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8C10" w14:textId="43706CD7" w:rsidR="00C4340E" w:rsidRPr="0015306A" w:rsidRDefault="00900C5E" w:rsidP="00DE1B7C">
      <w:pPr>
        <w:ind w:left="-144"/>
        <w:rPr>
          <w:rFonts w:asciiTheme="minorHAnsi" w:hAnsiTheme="minorHAnsi"/>
        </w:rPr>
      </w:pPr>
      <w:r w:rsidRPr="0015306A">
        <w:rPr>
          <w:rFonts w:asciiTheme="minorHAnsi" w:hAnsiTheme="minorHAnsi"/>
          <w:noProof/>
        </w:rPr>
        <mc:AlternateContent>
          <mc:Choice Requires="wps">
            <w:drawing>
              <wp:anchor distT="0" distB="0" distL="114300" distR="114300" simplePos="0" relativeHeight="251658261" behindDoc="0" locked="0" layoutInCell="1" allowOverlap="1" wp14:anchorId="4B0C573C" wp14:editId="3BAEAEAB">
                <wp:simplePos x="0" y="0"/>
                <wp:positionH relativeFrom="column">
                  <wp:posOffset>1210046</wp:posOffset>
                </wp:positionH>
                <wp:positionV relativeFrom="paragraph">
                  <wp:posOffset>-8255</wp:posOffset>
                </wp:positionV>
                <wp:extent cx="5594197"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197" cy="1152525"/>
                        </a:xfrm>
                        <a:prstGeom prst="rect">
                          <a:avLst/>
                        </a:prstGeom>
                        <a:noFill/>
                        <a:ln>
                          <a:noFill/>
                        </a:ln>
                        <a:effectLst/>
                      </wps:spPr>
                      <wps:txbx>
                        <w:txbxContent>
                          <w:p w14:paraId="515EF882" w14:textId="77777777" w:rsidR="00900C5E" w:rsidRPr="005F21FE" w:rsidRDefault="00900C5E" w:rsidP="00900C5E">
                            <w:pPr>
                              <w:jc w:val="center"/>
                              <w:rPr>
                                <w:b/>
                                <w:color w:val="1F497D" w:themeColor="text2"/>
                                <w:sz w:val="48"/>
                                <w:szCs w:val="52"/>
                              </w:rPr>
                            </w:pPr>
                            <w:r w:rsidRPr="005F21FE">
                              <w:rPr>
                                <w:b/>
                                <w:color w:val="1F497D" w:themeColor="text2"/>
                                <w:sz w:val="44"/>
                                <w:szCs w:val="48"/>
                              </w:rPr>
                              <w:t xml:space="preserve">Opioid-related Overdose Deaths in Massachusetts by Industry and Occupation: </w:t>
                            </w:r>
                            <w:r>
                              <w:rPr>
                                <w:b/>
                                <w:color w:val="1F497D" w:themeColor="text2"/>
                                <w:sz w:val="44"/>
                                <w:szCs w:val="48"/>
                              </w:rPr>
                              <w:t>2018-</w:t>
                            </w:r>
                            <w:r w:rsidRPr="005F21FE">
                              <w:rPr>
                                <w:b/>
                                <w:color w:val="1F497D" w:themeColor="text2"/>
                                <w:sz w:val="44"/>
                                <w:szCs w:val="48"/>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0C573C" id="_x0000_t202" coordsize="21600,21600" o:spt="202" path="m,l,21600r21600,l21600,xe">
                <v:stroke joinstyle="miter"/>
                <v:path gradientshapeok="t" o:connecttype="rect"/>
              </v:shapetype>
              <v:shape id="Text Box 1" o:spid="_x0000_s1026" type="#_x0000_t202" style="position:absolute;left:0;text-align:left;margin-left:95.3pt;margin-top:-.65pt;width:440.5pt;height:90.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" filled="f" stroked="f">
                <v:textbox>
                  <w:txbxContent>
                    <w:p w14:paraId="515EF882" w14:textId="77777777" w:rsidR="00900C5E" w:rsidRPr="005F21FE" w:rsidRDefault="00900C5E" w:rsidP="00900C5E">
                      <w:pPr>
                        <w:jc w:val="center"/>
                        <w:rPr>
                          <w:b/>
                          <w:color w:val="1F497D" w:themeColor="text2"/>
                          <w:sz w:val="48"/>
                          <w:szCs w:val="52"/>
                        </w:rPr>
                      </w:pPr>
                      <w:r w:rsidRPr="005F21FE">
                        <w:rPr>
                          <w:b/>
                          <w:color w:val="1F497D" w:themeColor="text2"/>
                          <w:sz w:val="44"/>
                          <w:szCs w:val="48"/>
                        </w:rPr>
                        <w:t xml:space="preserve">Opioid-related Overdose Deaths in Massachusetts by Industry and Occupation: </w:t>
                      </w:r>
                      <w:r>
                        <w:rPr>
                          <w:b/>
                          <w:color w:val="1F497D" w:themeColor="text2"/>
                          <w:sz w:val="44"/>
                          <w:szCs w:val="48"/>
                        </w:rPr>
                        <w:t>2018-</w:t>
                      </w:r>
                      <w:r w:rsidRPr="005F21FE">
                        <w:rPr>
                          <w:b/>
                          <w:color w:val="1F497D" w:themeColor="text2"/>
                          <w:sz w:val="44"/>
                          <w:szCs w:val="48"/>
                        </w:rPr>
                        <w:t>2020</w:t>
                      </w:r>
                    </w:p>
                  </w:txbxContent>
                </v:textbox>
              </v:shape>
            </w:pict>
          </mc:Fallback>
        </mc:AlternateContent>
      </w:r>
      <w:r w:rsidR="000F151F" w:rsidRPr="0015306A">
        <w:rPr>
          <w:rFonts w:asciiTheme="minorHAnsi" w:hAnsiTheme="minorHAnsi"/>
          <w:noProof/>
        </w:rPr>
        <mc:AlternateContent>
          <mc:Choice Requires="wpg">
            <w:drawing>
              <wp:anchor distT="0" distB="0" distL="114300" distR="114300" simplePos="0" relativeHeight="251658240" behindDoc="1" locked="0" layoutInCell="1" allowOverlap="1" wp14:anchorId="30DC5317" wp14:editId="672EDA84">
                <wp:simplePos x="0" y="0"/>
                <wp:positionH relativeFrom="column">
                  <wp:posOffset>-4527</wp:posOffset>
                </wp:positionH>
                <wp:positionV relativeFrom="paragraph">
                  <wp:posOffset>-130144</wp:posOffset>
                </wp:positionV>
                <wp:extent cx="6857548" cy="1579830"/>
                <wp:effectExtent l="0" t="0" r="19685" b="20955"/>
                <wp:wrapNone/>
                <wp:docPr id="2" name="Group 2"/>
                <wp:cNvGraphicFramePr/>
                <a:graphic xmlns:a="http://schemas.openxmlformats.org/drawingml/2006/main">
                  <a:graphicData uri="http://schemas.microsoft.com/office/word/2010/wordprocessingGroup">
                    <wpg:wgp>
                      <wpg:cNvGrpSpPr/>
                      <wpg:grpSpPr>
                        <a:xfrm>
                          <a:off x="0" y="0"/>
                          <a:ext cx="6857548" cy="1579830"/>
                          <a:chOff x="0" y="0"/>
                          <a:chExt cx="6772275" cy="1466393"/>
                        </a:xfrm>
                      </wpg:grpSpPr>
                      <wps:wsp>
                        <wps:cNvPr id="5" name="Text Box 4"/>
                        <wps:cNvSpPr txBox="1">
                          <a:spLocks noChangeArrowheads="1"/>
                        </wps:cNvSpPr>
                        <wps:spPr bwMode="auto">
                          <a:xfrm>
                            <a:off x="0" y="1199693"/>
                            <a:ext cx="6772275" cy="266700"/>
                          </a:xfrm>
                          <a:prstGeom prst="rect">
                            <a:avLst/>
                          </a:prstGeom>
                          <a:solidFill>
                            <a:srgbClr val="FFFFFF"/>
                          </a:solidFill>
                          <a:ln w="12700">
                            <a:solidFill>
                              <a:srgbClr val="000000"/>
                            </a:solidFill>
                            <a:miter lim="800000"/>
                            <a:headEnd/>
                            <a:tailEnd/>
                          </a:ln>
                        </wps:spPr>
                        <wps:txbx>
                          <w:txbxContent>
                            <w:p w14:paraId="57FD0961" w14:textId="1377615C" w:rsidR="001838EA" w:rsidRPr="00AD2D79" w:rsidRDefault="00247A96" w:rsidP="00401350">
                              <w:pPr>
                                <w:tabs>
                                  <w:tab w:val="right" w:pos="10350"/>
                                </w:tabs>
                                <w:spacing w:before="120"/>
                                <w:ind w:right="1411" w:hanging="90"/>
                                <w:rPr>
                                  <w:rFonts w:ascii="Calibri" w:hAnsi="Calibri"/>
                                  <w:color w:val="194D80"/>
                                  <w:sz w:val="18"/>
                                  <w:szCs w:val="16"/>
                                </w:rPr>
                              </w:pPr>
                              <w:r w:rsidRPr="00B659D6">
                                <w:rPr>
                                  <w:rFonts w:ascii="Calibri" w:hAnsi="Calibri"/>
                                  <w:color w:val="000000" w:themeColor="text1"/>
                                  <w:sz w:val="18"/>
                                  <w:szCs w:val="16"/>
                                </w:rPr>
                                <w:t>Massachusetts Department of Public Health</w:t>
                              </w:r>
                              <w:r>
                                <w:rPr>
                                  <w:rFonts w:ascii="Calibri" w:hAnsi="Calibri"/>
                                  <w:color w:val="000000" w:themeColor="text1"/>
                                  <w:sz w:val="18"/>
                                  <w:szCs w:val="16"/>
                                </w:rPr>
                                <w:t xml:space="preserve">, </w:t>
                              </w:r>
                              <w:r w:rsidR="00C3733F" w:rsidRPr="00B659D6">
                                <w:rPr>
                                  <w:rFonts w:ascii="Calibri" w:hAnsi="Calibri"/>
                                  <w:color w:val="000000" w:themeColor="text1"/>
                                  <w:sz w:val="18"/>
                                  <w:szCs w:val="16"/>
                                </w:rPr>
                                <w:t>Occupational Health Surveillance Program</w:t>
                              </w:r>
                              <w:r w:rsidR="001838EA" w:rsidRPr="00AD2D79">
                                <w:rPr>
                                  <w:rFonts w:ascii="Calibri" w:hAnsi="Calibri"/>
                                  <w:caps/>
                                  <w:color w:val="194D80"/>
                                  <w:sz w:val="18"/>
                                  <w:szCs w:val="16"/>
                                </w:rPr>
                                <w:tab/>
                              </w:r>
                              <w:r w:rsidR="00F95665" w:rsidRPr="00F95665">
                                <w:rPr>
                                  <w:rFonts w:ascii="Calibri" w:hAnsi="Calibri"/>
                                  <w:caps/>
                                  <w:sz w:val="18"/>
                                  <w:szCs w:val="16"/>
                                </w:rPr>
                                <w:t>SEPTEMBER</w:t>
                              </w:r>
                              <w:r w:rsidR="005F21FE">
                                <w:rPr>
                                  <w:rFonts w:ascii="Calibri" w:hAnsi="Calibri"/>
                                  <w:caps/>
                                  <w:color w:val="000000" w:themeColor="text1"/>
                                  <w:sz w:val="18"/>
                                  <w:szCs w:val="16"/>
                                </w:rPr>
                                <w:t xml:space="preserve"> </w:t>
                              </w:r>
                              <w:r w:rsidR="00EF37C0" w:rsidRPr="00B659D6">
                                <w:rPr>
                                  <w:rFonts w:ascii="Calibri" w:hAnsi="Calibri"/>
                                  <w:caps/>
                                  <w:color w:val="000000" w:themeColor="text1"/>
                                  <w:sz w:val="18"/>
                                  <w:szCs w:val="16"/>
                                </w:rPr>
                                <w:t>202</w:t>
                              </w:r>
                              <w:r w:rsidR="003652DE">
                                <w:rPr>
                                  <w:rFonts w:ascii="Calibri" w:hAnsi="Calibri"/>
                                  <w:caps/>
                                  <w:color w:val="000000" w:themeColor="text1"/>
                                  <w:sz w:val="18"/>
                                  <w:szCs w:val="16"/>
                                </w:rPr>
                                <w:t>2</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DC5317" id="Group 2" o:spid="_x0000_s1027" style="position:absolute;left:0;text-align:left;margin-left:-.35pt;margin-top:-10.25pt;width:539.95pt;height:124.4pt;z-index:-251658240;mso-width-relative:margin;mso-height-relative:margin" coordsize="67722,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">
                <v:shapetype id="_x0000_t202" coordsize="21600,21600" o:spt="202" path="m,l,21600r21600,l21600,xe">
                  <v:stroke joinstyle="miter"/>
                  <v:path gradientshapeok="t" o:connecttype="rect"/>
                </v:shapetype>
                <v:shape id="Text Box 4" o:spid="_x0000_s1028" type="#_x0000_t202" style="position:absolute;top:11996;width:6772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" strokeweight="1pt">
                  <v:textbox inset=",0,,0">
                    <w:txbxContent>
                      <w:p w14:paraId="57FD0961" w14:textId="1377615C" w:rsidR="001838EA" w:rsidRPr="00AD2D79" w:rsidRDefault="00247A96" w:rsidP="00401350">
                        <w:pPr>
                          <w:tabs>
                            <w:tab w:val="right" w:pos="10350"/>
                          </w:tabs>
                          <w:spacing w:before="120"/>
                          <w:ind w:right="1411" w:hanging="90"/>
                          <w:rPr>
                            <w:rFonts w:ascii="Calibri" w:hAnsi="Calibri"/>
                            <w:color w:val="194D80"/>
                            <w:sz w:val="18"/>
                            <w:szCs w:val="16"/>
                          </w:rPr>
                        </w:pPr>
                        <w:r w:rsidRPr="00B659D6">
                          <w:rPr>
                            <w:rFonts w:ascii="Calibri" w:hAnsi="Calibri"/>
                            <w:color w:val="000000" w:themeColor="text1"/>
                            <w:sz w:val="18"/>
                            <w:szCs w:val="16"/>
                          </w:rPr>
                          <w:t>Massachusetts Department of Public Health</w:t>
                        </w:r>
                        <w:r>
                          <w:rPr>
                            <w:rFonts w:ascii="Calibri" w:hAnsi="Calibri"/>
                            <w:color w:val="000000" w:themeColor="text1"/>
                            <w:sz w:val="18"/>
                            <w:szCs w:val="16"/>
                          </w:rPr>
                          <w:t xml:space="preserve">, </w:t>
                        </w:r>
                        <w:r w:rsidR="00C3733F" w:rsidRPr="00B659D6">
                          <w:rPr>
                            <w:rFonts w:ascii="Calibri" w:hAnsi="Calibri"/>
                            <w:color w:val="000000" w:themeColor="text1"/>
                            <w:sz w:val="18"/>
                            <w:szCs w:val="16"/>
                          </w:rPr>
                          <w:t>Occupational Health Surveillance Program</w:t>
                        </w:r>
                        <w:r w:rsidR="001838EA" w:rsidRPr="00AD2D79">
                          <w:rPr>
                            <w:rFonts w:ascii="Calibri" w:hAnsi="Calibri"/>
                            <w:caps/>
                            <w:color w:val="194D80"/>
                            <w:sz w:val="18"/>
                            <w:szCs w:val="16"/>
                          </w:rPr>
                          <w:tab/>
                        </w:r>
                        <w:r w:rsidR="00F95665" w:rsidRPr="00F95665">
                          <w:rPr>
                            <w:rFonts w:ascii="Calibri" w:hAnsi="Calibri"/>
                            <w:caps/>
                            <w:sz w:val="18"/>
                            <w:szCs w:val="16"/>
                          </w:rPr>
                          <w:t>SEPTEMBER</w:t>
                        </w:r>
                        <w:r w:rsidR="005F21FE">
                          <w:rPr>
                            <w:rFonts w:ascii="Calibri" w:hAnsi="Calibri"/>
                            <w:caps/>
                            <w:color w:val="000000" w:themeColor="text1"/>
                            <w:sz w:val="18"/>
                            <w:szCs w:val="16"/>
                          </w:rPr>
                          <w:t xml:space="preserve"> </w:t>
                        </w:r>
                        <w:r w:rsidR="00EF37C0" w:rsidRPr="00B659D6">
                          <w:rPr>
                            <w:rFonts w:ascii="Calibri" w:hAnsi="Calibri"/>
                            <w:caps/>
                            <w:color w:val="000000" w:themeColor="text1"/>
                            <w:sz w:val="18"/>
                            <w:szCs w:val="16"/>
                          </w:rPr>
                          <w:t>202</w:t>
                        </w:r>
                        <w:r w:rsidR="003652DE">
                          <w:rPr>
                            <w:rFonts w:ascii="Calibri" w:hAnsi="Calibri"/>
                            <w:caps/>
                            <w:color w:val="000000" w:themeColor="text1"/>
                            <w:sz w:val="18"/>
                            <w:szCs w:val="16"/>
                          </w:rPr>
                          <w:t>2</w:t>
                        </w:r>
                      </w:p>
                    </w:txbxContent>
                  </v:textbox>
                </v:shape>
                <v:rect id="Rectangle 11" o:spid="_x0000_s1029" style="position:absolute;width:67722;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group>
            </w:pict>
          </mc:Fallback>
        </mc:AlternateContent>
      </w:r>
      <w:r w:rsidR="00C4340E" w:rsidRPr="0015306A">
        <w:rPr>
          <w:rFonts w:asciiTheme="minorHAnsi" w:hAnsiTheme="minorHAnsi"/>
        </w:rPr>
        <w:t xml:space="preserve">      </w:t>
      </w:r>
      <w:r w:rsidR="008B5565" w:rsidRPr="0015306A">
        <w:rPr>
          <w:rFonts w:asciiTheme="minorHAnsi" w:hAnsiTheme="minorHAnsi"/>
          <w:noProof/>
        </w:rPr>
        <w:drawing>
          <wp:inline distT="0" distB="0" distL="0" distR="0" wp14:anchorId="4C6835B7" wp14:editId="33E38444">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14:paraId="731A4D54" w14:textId="77777777" w:rsidR="00C4340E" w:rsidRPr="0015306A" w:rsidRDefault="00C4340E" w:rsidP="00920EC9">
      <w:pPr>
        <w:jc w:val="center"/>
        <w:rPr>
          <w:rStyle w:val="TitleChar"/>
          <w:rFonts w:asciiTheme="minorHAnsi" w:eastAsia="Times New Roman" w:hAnsiTheme="minorHAnsi" w:cs="Arial"/>
          <w:b/>
          <w:color w:val="auto"/>
          <w:spacing w:val="0"/>
          <w:kern w:val="0"/>
          <w:sz w:val="22"/>
          <w:szCs w:val="22"/>
        </w:rPr>
      </w:pPr>
    </w:p>
    <w:p w14:paraId="531571BF" w14:textId="68F090C6" w:rsidR="00C4340E" w:rsidRPr="00B659D6" w:rsidRDefault="00F71A56" w:rsidP="003652DE">
      <w:pPr>
        <w:tabs>
          <w:tab w:val="left" w:pos="6497"/>
          <w:tab w:val="left" w:pos="9726"/>
          <w:tab w:val="left" w:pos="9779"/>
        </w:tabs>
        <w:rPr>
          <w:rStyle w:val="TitleChar"/>
          <w:rFonts w:asciiTheme="minorHAnsi" w:hAnsiTheme="minorHAnsi"/>
          <w:color w:val="auto"/>
          <w:sz w:val="20"/>
          <w:szCs w:val="20"/>
        </w:rPr>
      </w:pPr>
      <w:r w:rsidRPr="00B659D6">
        <w:rPr>
          <w:rStyle w:val="TitleChar"/>
          <w:rFonts w:asciiTheme="minorHAnsi" w:hAnsiTheme="minorHAnsi"/>
          <w:color w:val="000000" w:themeColor="text1"/>
          <w:sz w:val="20"/>
          <w:szCs w:val="20"/>
        </w:rPr>
        <w:tab/>
      </w:r>
      <w:r w:rsidR="00B659D6">
        <w:rPr>
          <w:rStyle w:val="TitleChar"/>
          <w:rFonts w:asciiTheme="minorHAnsi" w:hAnsiTheme="minorHAnsi"/>
          <w:color w:val="auto"/>
          <w:sz w:val="20"/>
          <w:szCs w:val="20"/>
        </w:rPr>
        <w:tab/>
      </w:r>
      <w:r w:rsidR="003652DE">
        <w:rPr>
          <w:rStyle w:val="TitleChar"/>
          <w:rFonts w:asciiTheme="minorHAnsi" w:hAnsiTheme="minorHAnsi"/>
          <w:color w:val="auto"/>
          <w:sz w:val="20"/>
          <w:szCs w:val="20"/>
        </w:rPr>
        <w:tab/>
      </w:r>
    </w:p>
    <w:p w14:paraId="78B98B51" w14:textId="77777777" w:rsidR="00C4340E" w:rsidRPr="00B659D6" w:rsidRDefault="00C4340E" w:rsidP="00F3713E">
      <w:pPr>
        <w:rPr>
          <w:rFonts w:asciiTheme="minorHAnsi" w:hAnsiTheme="minorHAnsi"/>
          <w:sz w:val="8"/>
          <w:szCs w:val="8"/>
        </w:rPr>
      </w:pPr>
    </w:p>
    <w:p w14:paraId="0122A7F4" w14:textId="77777777" w:rsidR="0016543E" w:rsidRPr="00B659D6" w:rsidRDefault="0016543E" w:rsidP="0016543E">
      <w:pPr>
        <w:widowControl w:val="0"/>
        <w:rPr>
          <w:rFonts w:ascii="Times New Roman" w:hAnsi="Times New Roman"/>
          <w:b/>
          <w:bCs/>
          <w:sz w:val="12"/>
          <w:szCs w:val="12"/>
        </w:rPr>
      </w:pPr>
    </w:p>
    <w:p w14:paraId="6369AD89" w14:textId="77777777" w:rsidR="00A824B1" w:rsidRPr="0015306A" w:rsidRDefault="00A824B1" w:rsidP="00A824B1">
      <w:pPr>
        <w:widowControl w:val="0"/>
        <w:rPr>
          <w:rFonts w:ascii="Times New Roman" w:hAnsi="Times New Roman"/>
          <w:sz w:val="12"/>
          <w:szCs w:val="12"/>
          <w:highlight w:val="yellow"/>
        </w:rPr>
      </w:pPr>
    </w:p>
    <w:p w14:paraId="54801AE1" w14:textId="6B592E55" w:rsidR="00C36426" w:rsidRDefault="009A221A" w:rsidP="0016543E">
      <w:pPr>
        <w:widowControl w:val="0"/>
      </w:pPr>
      <w:r w:rsidRPr="009A221A">
        <w:t>Like the rest of the nation, Massachusetts</w:t>
      </w:r>
      <w:r w:rsidR="00C36426">
        <w:t xml:space="preserve"> (MA)</w:t>
      </w:r>
      <w:r w:rsidRPr="009A221A">
        <w:t xml:space="preserve"> has been greatly impacted by the opioid epidemic, seeing a doubling of the annual rate of opioid-related overdose deaths between 2011 and 2020</w:t>
      </w:r>
      <w:r w:rsidR="1D07986A">
        <w:t>.</w:t>
      </w:r>
      <w:r w:rsidR="00742BC7">
        <w:rPr>
          <w:rStyle w:val="FootnoteReference"/>
        </w:rPr>
        <w:footnoteReference w:id="2"/>
      </w:r>
      <w:r w:rsidR="1D07986A">
        <w:t xml:space="preserve"> </w:t>
      </w:r>
      <w:r w:rsidR="00C36426" w:rsidRPr="00C36426">
        <w:t>While opioid overdoses and deaths in MA have stabilized and even decreased among some groups in recent years, a better understanding of affected groups and more tailored prevention efforts would better ensure that deaths decline</w:t>
      </w:r>
      <w:r w:rsidR="003A5B08">
        <w:t xml:space="preserve"> among all groups</w:t>
      </w:r>
      <w:r w:rsidR="00C36426" w:rsidRPr="00C36426">
        <w:t>.</w:t>
      </w:r>
    </w:p>
    <w:p w14:paraId="7E5D4CF8" w14:textId="5C5ECA91" w:rsidR="00CF5DB4" w:rsidRDefault="00CF5DB4" w:rsidP="0016543E">
      <w:pPr>
        <w:widowControl w:val="0"/>
      </w:pPr>
    </w:p>
    <w:p w14:paraId="4B04751D" w14:textId="6F9643F2" w:rsidR="00D83643" w:rsidRDefault="00CF5DB4" w:rsidP="008A510B">
      <w:pPr>
        <w:widowControl w:val="0"/>
      </w:pPr>
      <w:r w:rsidRPr="00CF5DB4">
        <w:t xml:space="preserve">Our research has shown that workers in industries and occupations that place them at high risk for injury and illness have been most affected by the opioid epidemic. This finding is consistent with research showing </w:t>
      </w:r>
      <w:r w:rsidR="0089303D">
        <w:t>increased</w:t>
      </w:r>
      <w:r w:rsidRPr="00CF5DB4">
        <w:t xml:space="preserve"> use of prescribed opioids for pain management following work-related injury</w:t>
      </w:r>
      <w:r w:rsidR="00225120">
        <w:t>.</w:t>
      </w:r>
      <w:r w:rsidR="00EF0834">
        <w:rPr>
          <w:rStyle w:val="FootnoteReference"/>
        </w:rPr>
        <w:footnoteReference w:id="3"/>
      </w:r>
      <w:r w:rsidR="00EF0834" w:rsidRPr="00066F2B">
        <w:rPr>
          <w:vertAlign w:val="superscript"/>
        </w:rPr>
        <w:t>,</w:t>
      </w:r>
      <w:r w:rsidR="00EF0834" w:rsidRPr="00066F2B">
        <w:rPr>
          <w:rStyle w:val="FootnoteReference"/>
        </w:rPr>
        <w:footnoteReference w:id="4"/>
      </w:r>
      <w:r w:rsidR="00EF0834" w:rsidRPr="00066F2B">
        <w:rPr>
          <w:vertAlign w:val="superscript"/>
        </w:rPr>
        <w:t>,</w:t>
      </w:r>
      <w:r w:rsidR="00EF0834">
        <w:rPr>
          <w:rStyle w:val="FootnoteReference"/>
        </w:rPr>
        <w:footnoteReference w:id="5"/>
      </w:r>
      <w:r w:rsidRPr="00CF5DB4">
        <w:t xml:space="preserve"> Previous reports from the </w:t>
      </w:r>
      <w:r w:rsidR="009E7DB9">
        <w:t>Massachusetts Department of Public Health (</w:t>
      </w:r>
      <w:r w:rsidR="003F2AAB">
        <w:t>M</w:t>
      </w:r>
      <w:r w:rsidRPr="00CF5DB4">
        <w:t>DPH</w:t>
      </w:r>
      <w:r w:rsidR="009E7DB9">
        <w:t>)</w:t>
      </w:r>
      <w:r w:rsidRPr="00CF5DB4">
        <w:t xml:space="preserve"> Occupational Health Surveillance Program (OHSP) found that workers in Construction and Extraction</w:t>
      </w:r>
      <w:r w:rsidR="00EA5D1D">
        <w:t xml:space="preserve"> occupations, as well as in</w:t>
      </w:r>
      <w:r w:rsidRPr="00CF5DB4">
        <w:t xml:space="preserve"> Farming, Fishing, and Forestry </w:t>
      </w:r>
      <w:r w:rsidR="00EA5D1D">
        <w:t xml:space="preserve">occupations </w:t>
      </w:r>
      <w:r w:rsidRPr="00CF5DB4">
        <w:t xml:space="preserve">had much higher rates </w:t>
      </w:r>
      <w:r w:rsidR="000D2397">
        <w:t xml:space="preserve">of fatal overdose </w:t>
      </w:r>
      <w:r w:rsidRPr="00CF5DB4">
        <w:t xml:space="preserve">than workers in other </w:t>
      </w:r>
      <w:r w:rsidR="00EA5D1D">
        <w:t>occupations</w:t>
      </w:r>
      <w:r w:rsidR="5795C1DB">
        <w:t>.</w:t>
      </w:r>
      <w:r w:rsidR="00731930">
        <w:rPr>
          <w:rStyle w:val="FootnoteReference"/>
        </w:rPr>
        <w:footnoteReference w:id="6"/>
      </w:r>
      <w:r w:rsidR="5795C1DB" w:rsidRPr="00235547">
        <w:rPr>
          <w:vertAlign w:val="superscript"/>
        </w:rPr>
        <w:t>,</w:t>
      </w:r>
      <w:r w:rsidR="00731930">
        <w:rPr>
          <w:rStyle w:val="FootnoteReference"/>
        </w:rPr>
        <w:footnoteReference w:id="7"/>
      </w:r>
    </w:p>
    <w:p w14:paraId="7B4528EC" w14:textId="77777777" w:rsidR="00D83643" w:rsidRDefault="00D83643" w:rsidP="0016543E">
      <w:pPr>
        <w:widowControl w:val="0"/>
      </w:pPr>
    </w:p>
    <w:p w14:paraId="3BD7ACC2" w14:textId="4494118D" w:rsidR="00C3733F" w:rsidRPr="00185757" w:rsidRDefault="75BFEE01" w:rsidP="0016543E">
      <w:pPr>
        <w:widowControl w:val="0"/>
        <w:rPr>
          <w:rFonts w:ascii="Times New Roman" w:hAnsi="Times New Roman"/>
          <w:b/>
          <w:bCs/>
          <w:color w:val="194D80"/>
          <w:sz w:val="12"/>
          <w:szCs w:val="12"/>
        </w:rPr>
      </w:pPr>
      <w:r>
        <w:t xml:space="preserve">The purpose of this data brief is to provide </w:t>
      </w:r>
      <w:r w:rsidR="0CB55EAF">
        <w:t>more recent</w:t>
      </w:r>
      <w:r>
        <w:t xml:space="preserve"> information on the magn</w:t>
      </w:r>
      <w:r w:rsidR="2855D002">
        <w:t>itude</w:t>
      </w:r>
      <w:r>
        <w:t>, trends, and risk factors</w:t>
      </w:r>
      <w:r w:rsidR="077B19C5">
        <w:t xml:space="preserve"> for opioid-related overdose deaths </w:t>
      </w:r>
      <w:r w:rsidR="2D388AC3">
        <w:t>among the working</w:t>
      </w:r>
      <w:r w:rsidR="0CB55EAF">
        <w:t>-</w:t>
      </w:r>
      <w:r w:rsidR="341FC3B1">
        <w:t>age</w:t>
      </w:r>
      <w:r w:rsidR="2D388AC3">
        <w:t xml:space="preserve"> population </w:t>
      </w:r>
      <w:r w:rsidR="077B19C5">
        <w:t>in MA</w:t>
      </w:r>
      <w:r w:rsidR="141FC00E">
        <w:t xml:space="preserve"> and to identify industries and occupations </w:t>
      </w:r>
      <w:r w:rsidR="36D6E1D4">
        <w:t>that have emerged</w:t>
      </w:r>
      <w:r w:rsidR="141FC00E">
        <w:t xml:space="preserve"> with high rates and numbers of </w:t>
      </w:r>
      <w:r w:rsidR="0C02AFFC">
        <w:t>deaths</w:t>
      </w:r>
      <w:r w:rsidR="23435482">
        <w:t xml:space="preserve"> since 2017</w:t>
      </w:r>
      <w:r w:rsidR="24D37BB2">
        <w:t>, with a special focus on the effects of the COVID-19 pandemic in 2020.</w:t>
      </w:r>
      <w:r w:rsidR="0C02AFFC">
        <w:t xml:space="preserve"> </w:t>
      </w:r>
      <w:r w:rsidR="275C3233">
        <w:t>The</w:t>
      </w:r>
      <w:r w:rsidR="67DEDF75">
        <w:t xml:space="preserve"> number</w:t>
      </w:r>
      <w:r w:rsidR="64C7AD6D">
        <w:t>s</w:t>
      </w:r>
      <w:r w:rsidR="67DEDF75">
        <w:t xml:space="preserve"> and rate</w:t>
      </w:r>
      <w:r w:rsidR="64C7AD6D">
        <w:t>s</w:t>
      </w:r>
      <w:r w:rsidR="67DEDF75">
        <w:t xml:space="preserve"> of </w:t>
      </w:r>
      <w:r w:rsidR="275C3233">
        <w:t xml:space="preserve">opioid-related overdose deaths </w:t>
      </w:r>
      <w:r w:rsidR="0218CA3B">
        <w:t>vary</w:t>
      </w:r>
      <w:r w:rsidR="67DEDF75">
        <w:t xml:space="preserve"> </w:t>
      </w:r>
      <w:r w:rsidR="275C3233">
        <w:t>across industries and occupations,</w:t>
      </w:r>
      <w:r w:rsidR="67DEDF75">
        <w:t xml:space="preserve"> </w:t>
      </w:r>
      <w:r w:rsidR="275C3233">
        <w:t>suggesting that work</w:t>
      </w:r>
      <w:r w:rsidR="4FDDE65A">
        <w:t>-related</w:t>
      </w:r>
      <w:r w:rsidR="275C3233">
        <w:t xml:space="preserve"> factors should be considered in the strategic planning of outreach and intervention efforts to reverse the harmful effects of this epidemic.</w:t>
      </w:r>
    </w:p>
    <w:p w14:paraId="3A7D3651" w14:textId="77777777" w:rsidR="00C3733F" w:rsidRPr="0015306A" w:rsidRDefault="00C3733F" w:rsidP="0016543E">
      <w:pPr>
        <w:widowControl w:val="0"/>
        <w:rPr>
          <w:rFonts w:ascii="Times New Roman" w:hAnsi="Times New Roman"/>
          <w:b/>
          <w:bCs/>
          <w:color w:val="194D80"/>
          <w:sz w:val="12"/>
          <w:szCs w:val="12"/>
        </w:rPr>
      </w:pPr>
    </w:p>
    <w:p w14:paraId="492335B2" w14:textId="66A79B3D" w:rsidR="00A824B1" w:rsidRDefault="0066103C" w:rsidP="0016543E">
      <w:pPr>
        <w:widowControl w:val="0"/>
        <w:rPr>
          <w:rFonts w:ascii="Times New Roman" w:hAnsi="Times New Roman"/>
          <w:b/>
          <w:bCs/>
          <w:color w:val="194D80"/>
          <w:sz w:val="28"/>
          <w:szCs w:val="28"/>
        </w:rPr>
      </w:pPr>
      <w:r w:rsidRPr="00726C71">
        <w:rPr>
          <w:noProof/>
        </w:rPr>
        <mc:AlternateContent>
          <mc:Choice Requires="wps">
            <w:drawing>
              <wp:anchor distT="0" distB="0" distL="114300" distR="114300" simplePos="0" relativeHeight="251658245" behindDoc="0" locked="0" layoutInCell="1" allowOverlap="1" wp14:anchorId="46FB68B9" wp14:editId="75DD78EF">
                <wp:simplePos x="0" y="0"/>
                <wp:positionH relativeFrom="column">
                  <wp:posOffset>0</wp:posOffset>
                </wp:positionH>
                <wp:positionV relativeFrom="paragraph">
                  <wp:posOffset>0</wp:posOffset>
                </wp:positionV>
                <wp:extent cx="6847205" cy="2667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chemeClr val="tx2"/>
                        </a:solidFill>
                        <a:ln w="9525">
                          <a:noFill/>
                          <a:miter lim="800000"/>
                          <a:headEnd/>
                          <a:tailEnd/>
                        </a:ln>
                      </wps:spPr>
                      <wps:txbx>
                        <w:txbxContent>
                          <w:p w14:paraId="4C2FF3C5" w14:textId="18024986" w:rsidR="0066103C" w:rsidRPr="005F21FE" w:rsidRDefault="0066103C" w:rsidP="0066103C">
                            <w:pPr>
                              <w:jc w:val="center"/>
                              <w:rPr>
                                <w:b/>
                                <w:color w:val="FFFFFF" w:themeColor="background1"/>
                              </w:rPr>
                            </w:pPr>
                            <w:r w:rsidRPr="005F21FE">
                              <w:rPr>
                                <w:b/>
                                <w:color w:val="FFFFFF" w:themeColor="background1"/>
                              </w:rPr>
                              <w:t>Data Highlights and Prevention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B68B9" id="Text Box 2" o:spid="_x0000_s1030" type="#_x0000_t202" style="position:absolute;margin-left:0;margin-top:0;width:539.15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" fillcolor="#1f497d [3215]" stroked="f">
                <v:textbox>
                  <w:txbxContent>
                    <w:p w14:paraId="4C2FF3C5" w14:textId="18024986" w:rsidR="0066103C" w:rsidRPr="005F21FE" w:rsidRDefault="0066103C" w:rsidP="0066103C">
                      <w:pPr>
                        <w:jc w:val="center"/>
                        <w:rPr>
                          <w:b/>
                          <w:color w:val="FFFFFF" w:themeColor="background1"/>
                        </w:rPr>
                      </w:pPr>
                      <w:r w:rsidRPr="005F21FE">
                        <w:rPr>
                          <w:b/>
                          <w:color w:val="FFFFFF" w:themeColor="background1"/>
                        </w:rPr>
                        <w:t>Data Highlights and Prevention Measures</w:t>
                      </w:r>
                    </w:p>
                  </w:txbxContent>
                </v:textbox>
              </v:shape>
            </w:pict>
          </mc:Fallback>
        </mc:AlternateContent>
      </w:r>
    </w:p>
    <w:p w14:paraId="7177CA93" w14:textId="1BA36CD4" w:rsidR="00F71A56" w:rsidRDefault="00F71A56" w:rsidP="0016543E">
      <w:pPr>
        <w:widowControl w:val="0"/>
        <w:rPr>
          <w:rFonts w:ascii="Times New Roman" w:hAnsi="Times New Roman"/>
          <w:b/>
          <w:bCs/>
          <w:color w:val="194D80"/>
          <w:sz w:val="28"/>
          <w:szCs w:val="28"/>
        </w:rPr>
      </w:pPr>
    </w:p>
    <w:p w14:paraId="0968B0F9" w14:textId="631B50B8" w:rsidR="007A20CB" w:rsidRPr="009F675B" w:rsidRDefault="3F520E99" w:rsidP="31F35B3C">
      <w:pPr>
        <w:rPr>
          <w:b/>
          <w:bCs/>
          <w:color w:val="365F91" w:themeColor="accent1" w:themeShade="BF"/>
        </w:rPr>
      </w:pPr>
      <w:r w:rsidRPr="31F35B3C">
        <w:rPr>
          <w:rFonts w:eastAsia="Calibri"/>
        </w:rPr>
        <w:t>Massachusetts death certificates were analyze</w:t>
      </w:r>
      <w:r w:rsidR="3D31C37D" w:rsidRPr="31F35B3C">
        <w:rPr>
          <w:rFonts w:eastAsia="Calibri"/>
        </w:rPr>
        <w:t>d</w:t>
      </w:r>
      <w:r w:rsidR="02255BEF" w:rsidRPr="31F35B3C">
        <w:rPr>
          <w:rFonts w:eastAsia="Calibri"/>
        </w:rPr>
        <w:t xml:space="preserve"> to identify</w:t>
      </w:r>
      <w:r w:rsidRPr="31F35B3C">
        <w:rPr>
          <w:rFonts w:eastAsia="Calibri"/>
        </w:rPr>
        <w:t xml:space="preserve"> opioid-related </w:t>
      </w:r>
      <w:r w:rsidR="1FB104C4" w:rsidRPr="31F35B3C">
        <w:rPr>
          <w:rFonts w:eastAsia="Calibri"/>
        </w:rPr>
        <w:t>overdose</w:t>
      </w:r>
      <w:r w:rsidRPr="31F35B3C">
        <w:rPr>
          <w:rFonts w:eastAsia="Calibri"/>
        </w:rPr>
        <w:t xml:space="preserve"> deaths from 2018 through 2020, among working-age </w:t>
      </w:r>
      <w:r w:rsidR="591E5A57" w:rsidRPr="31F35B3C">
        <w:rPr>
          <w:rFonts w:eastAsia="Calibri"/>
        </w:rPr>
        <w:t>decedents</w:t>
      </w:r>
      <w:r w:rsidRPr="31F35B3C">
        <w:rPr>
          <w:rFonts w:eastAsia="Calibri"/>
        </w:rPr>
        <w:t xml:space="preserve"> </w:t>
      </w:r>
      <w:r w:rsidR="677DD0C9" w:rsidRPr="31F35B3C">
        <w:rPr>
          <w:rFonts w:eastAsia="Calibri"/>
        </w:rPr>
        <w:t>(</w:t>
      </w:r>
      <w:r w:rsidRPr="31F35B3C">
        <w:rPr>
          <w:rFonts w:eastAsia="Calibri"/>
        </w:rPr>
        <w:t>residents</w:t>
      </w:r>
      <w:r w:rsidR="60DC669F" w:rsidRPr="31F35B3C">
        <w:rPr>
          <w:rFonts w:eastAsia="Calibri"/>
        </w:rPr>
        <w:t xml:space="preserve"> </w:t>
      </w:r>
      <w:r w:rsidRPr="31F35B3C">
        <w:rPr>
          <w:rFonts w:eastAsia="Calibri"/>
        </w:rPr>
        <w:t>16 years or older)</w:t>
      </w:r>
      <w:r w:rsidR="677DD0C9" w:rsidRPr="31F35B3C">
        <w:rPr>
          <w:rFonts w:eastAsia="Calibri"/>
        </w:rPr>
        <w:t xml:space="preserve"> for whom valid industry and/or occupation</w:t>
      </w:r>
      <w:r w:rsidR="5D317BD3" w:rsidRPr="31F35B3C">
        <w:rPr>
          <w:rFonts w:eastAsia="Calibri"/>
        </w:rPr>
        <w:t xml:space="preserve"> information was available</w:t>
      </w:r>
      <w:r w:rsidRPr="31F35B3C">
        <w:rPr>
          <w:rFonts w:eastAsia="Calibri"/>
        </w:rPr>
        <w:t xml:space="preserve">. Occupation describes the kind of work an individual does to earn a living (i.e., job title), while industry describes the </w:t>
      </w:r>
      <w:r w:rsidR="1FB104C4" w:rsidRPr="31F35B3C">
        <w:rPr>
          <w:rFonts w:eastAsia="Calibri"/>
        </w:rPr>
        <w:t>activities</w:t>
      </w:r>
      <w:r w:rsidRPr="31F35B3C">
        <w:rPr>
          <w:rFonts w:eastAsia="Calibri"/>
        </w:rPr>
        <w:t xml:space="preserve"> the individual’s employer is engaged in. Additional factors (such as availability of paid sick leave) that may </w:t>
      </w:r>
      <w:r w:rsidR="73A6994D" w:rsidRPr="31F35B3C">
        <w:rPr>
          <w:rFonts w:eastAsia="Calibri"/>
        </w:rPr>
        <w:t>help e</w:t>
      </w:r>
      <w:r w:rsidR="3561081D" w:rsidRPr="31F35B3C">
        <w:rPr>
          <w:rFonts w:eastAsia="Calibri"/>
        </w:rPr>
        <w:t>xplain</w:t>
      </w:r>
      <w:r w:rsidRPr="31F35B3C">
        <w:rPr>
          <w:rFonts w:eastAsia="Calibri"/>
        </w:rPr>
        <w:t xml:space="preserve"> </w:t>
      </w:r>
      <w:r w:rsidR="70323A45" w:rsidRPr="31F35B3C">
        <w:rPr>
          <w:rFonts w:eastAsia="Calibri"/>
        </w:rPr>
        <w:t>why</w:t>
      </w:r>
      <w:r w:rsidRPr="31F35B3C">
        <w:rPr>
          <w:rFonts w:eastAsia="Calibri"/>
        </w:rPr>
        <w:t xml:space="preserve"> opioid-related overdose death rates among </w:t>
      </w:r>
      <w:r w:rsidR="00CB57E5">
        <w:rPr>
          <w:bCs/>
        </w:rPr>
        <w:t>working-age decedents</w:t>
      </w:r>
      <w:r w:rsidR="00CB57E5" w:rsidRPr="00D1189A">
        <w:rPr>
          <w:bCs/>
        </w:rPr>
        <w:t xml:space="preserve"> </w:t>
      </w:r>
      <w:r w:rsidR="492581F5" w:rsidRPr="31F35B3C">
        <w:rPr>
          <w:rFonts w:eastAsia="Calibri"/>
        </w:rPr>
        <w:t>var</w:t>
      </w:r>
      <w:r w:rsidR="62921B55" w:rsidRPr="31F35B3C">
        <w:rPr>
          <w:rFonts w:eastAsia="Calibri"/>
        </w:rPr>
        <w:t>y by</w:t>
      </w:r>
      <w:r w:rsidRPr="31F35B3C">
        <w:rPr>
          <w:rFonts w:eastAsia="Calibri"/>
        </w:rPr>
        <w:t xml:space="preserve"> </w:t>
      </w:r>
      <w:r w:rsidR="1FB104C4" w:rsidRPr="31F35B3C">
        <w:rPr>
          <w:rFonts w:eastAsia="Calibri"/>
        </w:rPr>
        <w:t>industr</w:t>
      </w:r>
      <w:r w:rsidR="62921B55" w:rsidRPr="31F35B3C">
        <w:rPr>
          <w:rFonts w:eastAsia="Calibri"/>
        </w:rPr>
        <w:t>y</w:t>
      </w:r>
      <w:r w:rsidRPr="31F35B3C">
        <w:rPr>
          <w:rFonts w:eastAsia="Calibri"/>
        </w:rPr>
        <w:t xml:space="preserve"> and occupation were </w:t>
      </w:r>
      <w:r w:rsidR="4AC811EA" w:rsidRPr="31F35B3C">
        <w:rPr>
          <w:rFonts w:eastAsia="Calibri"/>
        </w:rPr>
        <w:t>also</w:t>
      </w:r>
      <w:r w:rsidRPr="31F35B3C">
        <w:rPr>
          <w:rFonts w:eastAsia="Calibri"/>
        </w:rPr>
        <w:t xml:space="preserve"> exam</w:t>
      </w:r>
      <w:r w:rsidR="1FB104C4" w:rsidRPr="31F35B3C">
        <w:rPr>
          <w:rFonts w:eastAsia="Calibri"/>
        </w:rPr>
        <w:t>ined</w:t>
      </w:r>
      <w:r w:rsidRPr="31F35B3C">
        <w:rPr>
          <w:rFonts w:eastAsia="Calibri"/>
        </w:rPr>
        <w:t xml:space="preserve">. Key data </w:t>
      </w:r>
      <w:r w:rsidR="1FB104C4" w:rsidRPr="31F35B3C">
        <w:rPr>
          <w:rFonts w:eastAsia="Calibri"/>
        </w:rPr>
        <w:t>highlights and associated prevention measures are:</w:t>
      </w:r>
    </w:p>
    <w:p w14:paraId="51C0ADAB" w14:textId="77F6A9DA" w:rsidR="007A20CB" w:rsidRDefault="007A20CB" w:rsidP="00052729">
      <w:pPr>
        <w:rPr>
          <w:bCs/>
        </w:rPr>
      </w:pPr>
    </w:p>
    <w:p w14:paraId="4CDF0515" w14:textId="586C5070" w:rsidR="00F863C9" w:rsidRPr="00F863C9" w:rsidRDefault="00F863C9" w:rsidP="00052729">
      <w:pPr>
        <w:rPr>
          <w:b/>
        </w:rPr>
      </w:pPr>
      <w:r w:rsidRPr="00F863C9">
        <w:rPr>
          <w:b/>
        </w:rPr>
        <w:t>Key Data Highlights:</w:t>
      </w:r>
    </w:p>
    <w:p w14:paraId="3E3BF1BA" w14:textId="51C99913" w:rsidR="001F707B" w:rsidRPr="00D215EB" w:rsidRDefault="3F8591E5" w:rsidP="31F35B3C">
      <w:pPr>
        <w:pStyle w:val="ListParagraph"/>
        <w:widowControl w:val="0"/>
        <w:numPr>
          <w:ilvl w:val="0"/>
          <w:numId w:val="8"/>
        </w:numPr>
        <w:rPr>
          <w:b/>
          <w:bCs/>
          <w:color w:val="000000" w:themeColor="text1"/>
        </w:rPr>
      </w:pPr>
      <w:r>
        <w:t>T</w:t>
      </w:r>
      <w:r w:rsidR="00F3B679">
        <w:t xml:space="preserve">he </w:t>
      </w:r>
      <w:r w:rsidR="56564E07">
        <w:t xml:space="preserve">2020 opioid-related overdose death rate </w:t>
      </w:r>
      <w:r w:rsidR="52ACEDE2">
        <w:t xml:space="preserve">has increased </w:t>
      </w:r>
      <w:r w:rsidR="00D056F1">
        <w:t>10.5</w:t>
      </w:r>
      <w:r w:rsidR="52ACEDE2">
        <w:t>%</w:t>
      </w:r>
      <w:r w:rsidR="52822B95">
        <w:t xml:space="preserve"> from 2019</w:t>
      </w:r>
      <w:r w:rsidR="00746491">
        <w:t xml:space="preserve"> to 2020. The data also shows that there were</w:t>
      </w:r>
      <w:r w:rsidR="00EA10AB">
        <w:t xml:space="preserve"> more</w:t>
      </w:r>
      <w:r w:rsidR="00746491">
        <w:t xml:space="preserve"> </w:t>
      </w:r>
      <w:r w:rsidR="009825AB">
        <w:t xml:space="preserve">fatal opioid overdoses in 2020 among decedents of working age than </w:t>
      </w:r>
      <w:r w:rsidR="007B51CA">
        <w:t xml:space="preserve">ever before.  </w:t>
      </w:r>
    </w:p>
    <w:p w14:paraId="4C0E7970" w14:textId="3E025B86" w:rsidR="00D215EB" w:rsidRPr="00D215EB" w:rsidRDefault="00D215EB" w:rsidP="00D215EB">
      <w:pPr>
        <w:pStyle w:val="ListParagraph"/>
        <w:numPr>
          <w:ilvl w:val="0"/>
          <w:numId w:val="8"/>
        </w:numPr>
        <w:rPr>
          <w:bCs/>
        </w:rPr>
      </w:pPr>
      <w:r>
        <w:rPr>
          <w:bCs/>
        </w:rPr>
        <w:t>The</w:t>
      </w:r>
      <w:r w:rsidR="00F630C2">
        <w:rPr>
          <w:bCs/>
        </w:rPr>
        <w:t xml:space="preserve"> </w:t>
      </w:r>
      <w:r>
        <w:rPr>
          <w:bCs/>
        </w:rPr>
        <w:t xml:space="preserve">opioid-related overdose death rate for all Massachusetts </w:t>
      </w:r>
      <w:r w:rsidR="00B518FD">
        <w:rPr>
          <w:bCs/>
        </w:rPr>
        <w:t xml:space="preserve">workers </w:t>
      </w:r>
      <w:r>
        <w:rPr>
          <w:bCs/>
        </w:rPr>
        <w:t>across all industry sectors was 44.7 deaths per 100,000 workers in 2018-2019 and 48.8 deaths per 100,000 workers in 2020.</w:t>
      </w:r>
    </w:p>
    <w:p w14:paraId="47DFA6A7" w14:textId="1AA4EFC3" w:rsidR="00862FC6" w:rsidRPr="000F1A65" w:rsidRDefault="005F28D4" w:rsidP="00D05D8E">
      <w:pPr>
        <w:pStyle w:val="ListParagraph"/>
        <w:widowControl w:val="0"/>
        <w:numPr>
          <w:ilvl w:val="0"/>
          <w:numId w:val="8"/>
        </w:numPr>
        <w:rPr>
          <w:b/>
          <w:color w:val="000000" w:themeColor="text1"/>
        </w:rPr>
      </w:pPr>
      <w:r>
        <w:rPr>
          <w:bCs/>
        </w:rPr>
        <w:t xml:space="preserve">Opioid-related overdose death rates for </w:t>
      </w:r>
      <w:r w:rsidR="0008787B">
        <w:rPr>
          <w:bCs/>
        </w:rPr>
        <w:t>eleven</w:t>
      </w:r>
      <w:r>
        <w:rPr>
          <w:bCs/>
        </w:rPr>
        <w:t xml:space="preserve"> industry sectors (out of 20) increased in 2020</w:t>
      </w:r>
      <w:r w:rsidR="009A64B8">
        <w:rPr>
          <w:bCs/>
        </w:rPr>
        <w:t xml:space="preserve"> compare</w:t>
      </w:r>
      <w:r w:rsidR="003F2329">
        <w:rPr>
          <w:bCs/>
        </w:rPr>
        <w:t>d to 2018-2019</w:t>
      </w:r>
      <w:r w:rsidR="000B06AA">
        <w:rPr>
          <w:bCs/>
        </w:rPr>
        <w:t xml:space="preserve">. This shift was most pronounced for the following three industry </w:t>
      </w:r>
      <w:r w:rsidR="00850BC2">
        <w:rPr>
          <w:bCs/>
        </w:rPr>
        <w:t>sectors</w:t>
      </w:r>
      <w:r w:rsidR="000B06AA">
        <w:rPr>
          <w:bCs/>
        </w:rPr>
        <w:t>:</w:t>
      </w:r>
      <w:r w:rsidR="000F2A0E">
        <w:rPr>
          <w:bCs/>
        </w:rPr>
        <w:t xml:space="preserve"> </w:t>
      </w:r>
      <w:r w:rsidR="00BD7393">
        <w:rPr>
          <w:bCs/>
        </w:rPr>
        <w:t>Acc</w:t>
      </w:r>
      <w:r w:rsidR="003D2EF0">
        <w:rPr>
          <w:bCs/>
        </w:rPr>
        <w:t>ommodation and Food Services; Real Estate and Rental and Leasing; and Retail Trade.</w:t>
      </w:r>
    </w:p>
    <w:p w14:paraId="58069E7F" w14:textId="7B7DF38D" w:rsidR="000F1A65" w:rsidRPr="00633509" w:rsidRDefault="000F1A65" w:rsidP="00633509">
      <w:pPr>
        <w:pStyle w:val="ListParagraph"/>
        <w:numPr>
          <w:ilvl w:val="0"/>
          <w:numId w:val="8"/>
        </w:numPr>
        <w:rPr>
          <w:bCs/>
        </w:rPr>
      </w:pPr>
      <w:r>
        <w:rPr>
          <w:bCs/>
        </w:rPr>
        <w:t>The</w:t>
      </w:r>
      <w:r w:rsidR="00727347">
        <w:rPr>
          <w:bCs/>
        </w:rPr>
        <w:t xml:space="preserve"> </w:t>
      </w:r>
      <w:r>
        <w:rPr>
          <w:bCs/>
        </w:rPr>
        <w:t xml:space="preserve">opioid-related overdose death rate for all Massachusetts </w:t>
      </w:r>
      <w:r w:rsidR="00FC448D">
        <w:rPr>
          <w:bCs/>
        </w:rPr>
        <w:t xml:space="preserve">workers </w:t>
      </w:r>
      <w:r>
        <w:rPr>
          <w:bCs/>
        </w:rPr>
        <w:t>across all occupation groups was 48.4 deaths per 100,000 workers in 2018-2019 and 57.4 deaths per 100,000 workers in 2020.</w:t>
      </w:r>
    </w:p>
    <w:p w14:paraId="24143465" w14:textId="29F55A31" w:rsidR="00337EC7" w:rsidRPr="008A5956" w:rsidRDefault="00337EC7" w:rsidP="00D05D8E">
      <w:pPr>
        <w:pStyle w:val="ListParagraph"/>
        <w:widowControl w:val="0"/>
        <w:numPr>
          <w:ilvl w:val="0"/>
          <w:numId w:val="8"/>
        </w:numPr>
        <w:rPr>
          <w:b/>
          <w:color w:val="000000" w:themeColor="text1"/>
        </w:rPr>
      </w:pPr>
      <w:r>
        <w:rPr>
          <w:bCs/>
        </w:rPr>
        <w:lastRenderedPageBreak/>
        <w:t xml:space="preserve">Opioid-related overdose death rates for </w:t>
      </w:r>
      <w:r w:rsidR="00772A98">
        <w:rPr>
          <w:bCs/>
        </w:rPr>
        <w:t>seventeen</w:t>
      </w:r>
      <w:r>
        <w:rPr>
          <w:bCs/>
        </w:rPr>
        <w:t xml:space="preserve"> </w:t>
      </w:r>
      <w:r w:rsidR="0077083E">
        <w:rPr>
          <w:bCs/>
        </w:rPr>
        <w:t>occupational groups (out of 22) increased in 2020</w:t>
      </w:r>
      <w:r w:rsidR="00B30116">
        <w:rPr>
          <w:bCs/>
        </w:rPr>
        <w:t xml:space="preserve"> compared to 2018-2019</w:t>
      </w:r>
      <w:r w:rsidR="0077083E">
        <w:rPr>
          <w:bCs/>
        </w:rPr>
        <w:t>. This shift was most pronounced for the following occupat</w:t>
      </w:r>
      <w:r w:rsidR="00850BC2">
        <w:rPr>
          <w:bCs/>
        </w:rPr>
        <w:t xml:space="preserve">ion groups: </w:t>
      </w:r>
      <w:r w:rsidR="00772A98">
        <w:rPr>
          <w:bCs/>
        </w:rPr>
        <w:t>Food Preparation and Serving Related; Healthcare Support; and Legal.</w:t>
      </w:r>
    </w:p>
    <w:p w14:paraId="4F3012A2" w14:textId="4491C7EB" w:rsidR="00BE2C40" w:rsidRDefault="00BE2C40" w:rsidP="00BE2C40">
      <w:pPr>
        <w:pStyle w:val="ListParagraph"/>
        <w:widowControl w:val="0"/>
        <w:numPr>
          <w:ilvl w:val="0"/>
          <w:numId w:val="8"/>
        </w:numPr>
        <w:rPr>
          <w:bCs/>
        </w:rPr>
      </w:pPr>
      <w:r>
        <w:rPr>
          <w:bCs/>
        </w:rPr>
        <w:t xml:space="preserve">The rate for all </w:t>
      </w:r>
      <w:r w:rsidR="00FC448D">
        <w:rPr>
          <w:bCs/>
        </w:rPr>
        <w:t>workers</w:t>
      </w:r>
      <w:r>
        <w:rPr>
          <w:bCs/>
        </w:rPr>
        <w:t xml:space="preserve">, as well as the rates for all racial/ethnic groups increased in 2020, however, the rate for Black, non-Hispanics nearly doubled </w:t>
      </w:r>
      <w:r w:rsidR="003B2E5D">
        <w:rPr>
          <w:bCs/>
        </w:rPr>
        <w:t xml:space="preserve">in 2020 </w:t>
      </w:r>
      <w:r>
        <w:rPr>
          <w:bCs/>
        </w:rPr>
        <w:t xml:space="preserve">compared to </w:t>
      </w:r>
      <w:r w:rsidR="00F317D5">
        <w:rPr>
          <w:bCs/>
        </w:rPr>
        <w:t>more modest</w:t>
      </w:r>
      <w:r w:rsidR="00A42D29">
        <w:rPr>
          <w:bCs/>
        </w:rPr>
        <w:t xml:space="preserve"> annual increases in</w:t>
      </w:r>
      <w:r>
        <w:rPr>
          <w:bCs/>
        </w:rPr>
        <w:t xml:space="preserve"> previous years. </w:t>
      </w:r>
    </w:p>
    <w:p w14:paraId="24C01A80" w14:textId="5F127F25" w:rsidR="00B83E41" w:rsidRDefault="00BC0F2D" w:rsidP="1AABE50A">
      <w:pPr>
        <w:pStyle w:val="ListParagraph"/>
        <w:widowControl w:val="0"/>
        <w:numPr>
          <w:ilvl w:val="0"/>
          <w:numId w:val="8"/>
        </w:numPr>
        <w:rPr>
          <w:color w:val="000000" w:themeColor="text1"/>
        </w:rPr>
      </w:pPr>
      <w:r>
        <w:rPr>
          <w:color w:val="000000" w:themeColor="text1"/>
        </w:rPr>
        <w:t xml:space="preserve">In 2020, groups with workers reporting </w:t>
      </w:r>
      <w:r w:rsidR="00FC448D">
        <w:rPr>
          <w:color w:val="000000" w:themeColor="text1"/>
        </w:rPr>
        <w:t>lower</w:t>
      </w:r>
      <w:r w:rsidR="001526B0">
        <w:rPr>
          <w:color w:val="000000" w:themeColor="text1"/>
        </w:rPr>
        <w:t xml:space="preserve"> percentages of</w:t>
      </w:r>
      <w:r w:rsidR="00C73662">
        <w:rPr>
          <w:color w:val="000000" w:themeColor="text1"/>
        </w:rPr>
        <w:t xml:space="preserve"> access to paid sick leave</w:t>
      </w:r>
      <w:r w:rsidR="00055244">
        <w:rPr>
          <w:color w:val="000000" w:themeColor="text1"/>
        </w:rPr>
        <w:t xml:space="preserve"> had </w:t>
      </w:r>
      <w:r w:rsidR="00BD611B">
        <w:rPr>
          <w:color w:val="000000" w:themeColor="text1"/>
        </w:rPr>
        <w:t xml:space="preserve">opioid </w:t>
      </w:r>
      <w:r w:rsidR="00055244">
        <w:rPr>
          <w:color w:val="000000" w:themeColor="text1"/>
        </w:rPr>
        <w:t>overdose rates that were</w:t>
      </w:r>
      <w:r w:rsidR="00BF6CF6">
        <w:rPr>
          <w:color w:val="000000" w:themeColor="text1"/>
        </w:rPr>
        <w:t xml:space="preserve"> </w:t>
      </w:r>
      <w:r w:rsidR="00FC448D">
        <w:rPr>
          <w:color w:val="000000" w:themeColor="text1"/>
        </w:rPr>
        <w:t xml:space="preserve">higher </w:t>
      </w:r>
      <w:r w:rsidR="00C14910">
        <w:rPr>
          <w:color w:val="000000" w:themeColor="text1"/>
        </w:rPr>
        <w:t>(4.9 and 3.5</w:t>
      </w:r>
      <w:r w:rsidR="00C83FB6">
        <w:rPr>
          <w:color w:val="000000" w:themeColor="text1"/>
        </w:rPr>
        <w:t xml:space="preserve"> times</w:t>
      </w:r>
      <w:r w:rsidR="00C14910">
        <w:rPr>
          <w:color w:val="000000" w:themeColor="text1"/>
        </w:rPr>
        <w:t>, respectively</w:t>
      </w:r>
      <w:r w:rsidR="00C83FB6">
        <w:rPr>
          <w:color w:val="000000" w:themeColor="text1"/>
        </w:rPr>
        <w:t>,</w:t>
      </w:r>
      <w:r w:rsidR="00C14910">
        <w:rPr>
          <w:color w:val="000000" w:themeColor="text1"/>
        </w:rPr>
        <w:t xml:space="preserve"> for industry and occupation) than groups with workers </w:t>
      </w:r>
      <w:r w:rsidR="00BD611B">
        <w:rPr>
          <w:color w:val="000000" w:themeColor="text1"/>
        </w:rPr>
        <w:t xml:space="preserve">reporting </w:t>
      </w:r>
      <w:r w:rsidR="00033FBE">
        <w:rPr>
          <w:color w:val="000000" w:themeColor="text1"/>
        </w:rPr>
        <w:t>higher</w:t>
      </w:r>
      <w:r w:rsidR="00304273">
        <w:rPr>
          <w:color w:val="000000" w:themeColor="text1"/>
        </w:rPr>
        <w:t xml:space="preserve"> percentages of</w:t>
      </w:r>
      <w:r w:rsidR="00BD611B">
        <w:rPr>
          <w:color w:val="000000" w:themeColor="text1"/>
        </w:rPr>
        <w:t xml:space="preserve"> access to paid sick leave</w:t>
      </w:r>
      <w:r w:rsidR="59A56DF6" w:rsidRPr="6873FAAA">
        <w:rPr>
          <w:color w:val="000000" w:themeColor="text1"/>
        </w:rPr>
        <w:t>.</w:t>
      </w:r>
    </w:p>
    <w:p w14:paraId="5CEAF200" w14:textId="20469C8E" w:rsidR="006C3CBE" w:rsidRDefault="006C3CBE" w:rsidP="006C3CBE">
      <w:pPr>
        <w:widowControl w:val="0"/>
        <w:rPr>
          <w:bCs/>
          <w:i/>
          <w:iCs/>
          <w:color w:val="000000" w:themeColor="text1"/>
        </w:rPr>
      </w:pPr>
    </w:p>
    <w:p w14:paraId="6C964E2E" w14:textId="46978129" w:rsidR="00E56DCB" w:rsidRPr="000C1424" w:rsidRDefault="1BA35DA3" w:rsidP="0048720E">
      <w:r>
        <w:t xml:space="preserve">It is important to note, due to the COVID-19 pandemic and </w:t>
      </w:r>
      <w:r w:rsidR="0093499D">
        <w:t xml:space="preserve">subsequent </w:t>
      </w:r>
      <w:r>
        <w:t xml:space="preserve">public health interventions, </w:t>
      </w:r>
      <w:r w:rsidR="15D2D818">
        <w:t>many experienced disruptions to employment (e.g.</w:t>
      </w:r>
      <w:r w:rsidR="5D0DC85E">
        <w:t>,</w:t>
      </w:r>
      <w:r w:rsidR="15D2D818">
        <w:t xml:space="preserve"> job loss) or changes in </w:t>
      </w:r>
      <w:r w:rsidR="15DE0DA2">
        <w:t xml:space="preserve">the nature of their </w:t>
      </w:r>
      <w:r>
        <w:t>work (e.g., work from home). Between March and April</w:t>
      </w:r>
      <w:r w:rsidR="0093499D">
        <w:t xml:space="preserve"> 2020</w:t>
      </w:r>
      <w:r>
        <w:t>, there was a rapid drop in employment</w:t>
      </w:r>
      <w:r w:rsidR="59ED2744">
        <w:t>, with many workers leav</w:t>
      </w:r>
      <w:r>
        <w:t>ing</w:t>
      </w:r>
      <w:r w:rsidR="59ED2744">
        <w:t xml:space="preserve"> the workforce</w:t>
      </w:r>
      <w:r w:rsidR="42EA3515">
        <w:t>, shift</w:t>
      </w:r>
      <w:r>
        <w:t>ing</w:t>
      </w:r>
      <w:r w:rsidR="42EA3515">
        <w:t xml:space="preserve"> jobs, or </w:t>
      </w:r>
      <w:r>
        <w:t>taking</w:t>
      </w:r>
      <w:r w:rsidR="42EA3515">
        <w:t xml:space="preserve"> pay cuts/reduced hours</w:t>
      </w:r>
      <w:r w:rsidR="5ED00E11">
        <w:t xml:space="preserve">. </w:t>
      </w:r>
      <w:r w:rsidR="2037E21C">
        <w:t xml:space="preserve">The impact was especially </w:t>
      </w:r>
      <w:r w:rsidR="4808013E">
        <w:t>pronounced</w:t>
      </w:r>
      <w:r w:rsidR="2037E21C">
        <w:t xml:space="preserve"> in </w:t>
      </w:r>
      <w:r>
        <w:t>some</w:t>
      </w:r>
      <w:r w:rsidR="2037E21C">
        <w:t xml:space="preserve"> industry sectors</w:t>
      </w:r>
      <w:r w:rsidR="18ED04DC">
        <w:t xml:space="preserve"> and occupational groups.</w:t>
      </w:r>
      <w:r w:rsidR="34FC3A1A">
        <w:t xml:space="preserve"> </w:t>
      </w:r>
      <w:r>
        <w:t>The following few</w:t>
      </w:r>
      <w:r w:rsidR="5ED00E11">
        <w:t xml:space="preserve"> </w:t>
      </w:r>
      <w:r w:rsidR="0093499D">
        <w:t>months brought</w:t>
      </w:r>
      <w:r w:rsidR="5ED00E11">
        <w:t xml:space="preserve"> a gradual re-opening of certain </w:t>
      </w:r>
      <w:r w:rsidR="0F10DFF1">
        <w:t xml:space="preserve">industry </w:t>
      </w:r>
      <w:r w:rsidR="5ED00E11">
        <w:t>sectors</w:t>
      </w:r>
      <w:r w:rsidR="0F10DFF1">
        <w:t xml:space="preserve">, </w:t>
      </w:r>
      <w:r>
        <w:t>although some</w:t>
      </w:r>
      <w:r w:rsidR="73834200">
        <w:t xml:space="preserve"> never </w:t>
      </w:r>
      <w:r>
        <w:t>returned to</w:t>
      </w:r>
      <w:r w:rsidR="73834200">
        <w:t xml:space="preserve"> full capacity </w:t>
      </w:r>
      <w:r>
        <w:t>or full in-person work</w:t>
      </w:r>
      <w:r w:rsidR="73834200">
        <w:t xml:space="preserve">. </w:t>
      </w:r>
      <w:r>
        <w:t>An</w:t>
      </w:r>
      <w:r w:rsidR="42EA3515">
        <w:t xml:space="preserve"> aim </w:t>
      </w:r>
      <w:r>
        <w:t>of this data brief is to</w:t>
      </w:r>
      <w:r w:rsidR="5E366A06">
        <w:t xml:space="preserve"> examin</w:t>
      </w:r>
      <w:r>
        <w:t>e</w:t>
      </w:r>
      <w:r w:rsidR="5E366A06">
        <w:t xml:space="preserve"> the 2020 overdose deaths by industry and occupation </w:t>
      </w:r>
      <w:r w:rsidR="00C7742C">
        <w:t>to understand</w:t>
      </w:r>
      <w:r w:rsidR="5E366A06">
        <w:t xml:space="preserve"> </w:t>
      </w:r>
      <w:r w:rsidR="7D5604BA">
        <w:t>how</w:t>
      </w:r>
      <w:r>
        <w:t xml:space="preserve"> </w:t>
      </w:r>
      <w:r w:rsidR="7D5604BA">
        <w:t xml:space="preserve">patterns of death in 2020 might vary compared to previous non-pandemic years.  </w:t>
      </w:r>
    </w:p>
    <w:p w14:paraId="49C96B8E" w14:textId="77777777" w:rsidR="00BE2C40" w:rsidRPr="00B83E41" w:rsidRDefault="00BE2C40" w:rsidP="00B83E41">
      <w:pPr>
        <w:widowControl w:val="0"/>
        <w:rPr>
          <w:b/>
          <w:color w:val="000000" w:themeColor="text1"/>
        </w:rPr>
      </w:pPr>
    </w:p>
    <w:p w14:paraId="037E063C" w14:textId="353D3308" w:rsidR="00CC3006" w:rsidRDefault="00CC3006" w:rsidP="00CC3006">
      <w:pPr>
        <w:widowControl w:val="0"/>
        <w:rPr>
          <w:b/>
          <w:color w:val="000000" w:themeColor="text1"/>
        </w:rPr>
      </w:pPr>
      <w:r>
        <w:rPr>
          <w:b/>
          <w:color w:val="000000" w:themeColor="text1"/>
        </w:rPr>
        <w:t>Workplace Strategies to Prevent Opioid-related Overdose Deaths:</w:t>
      </w:r>
    </w:p>
    <w:p w14:paraId="590B8104" w14:textId="4B759021" w:rsidR="0028463F" w:rsidRDefault="0028463F" w:rsidP="00CC3006">
      <w:pPr>
        <w:widowControl w:val="0"/>
        <w:rPr>
          <w:bCs/>
          <w:color w:val="000000" w:themeColor="text1"/>
        </w:rPr>
      </w:pPr>
      <w:r>
        <w:rPr>
          <w:bCs/>
          <w:color w:val="000000" w:themeColor="text1"/>
        </w:rPr>
        <w:t xml:space="preserve">The workplace is an important venue for </w:t>
      </w:r>
      <w:r w:rsidR="007009B0">
        <w:rPr>
          <w:bCs/>
          <w:color w:val="000000" w:themeColor="text1"/>
        </w:rPr>
        <w:t>health</w:t>
      </w:r>
      <w:r>
        <w:rPr>
          <w:bCs/>
          <w:color w:val="000000" w:themeColor="text1"/>
        </w:rPr>
        <w:t xml:space="preserve"> and safety, which includes concerns re</w:t>
      </w:r>
      <w:r w:rsidR="00AE1468">
        <w:rPr>
          <w:bCs/>
          <w:color w:val="000000" w:themeColor="text1"/>
        </w:rPr>
        <w:t>l</w:t>
      </w:r>
      <w:r>
        <w:rPr>
          <w:bCs/>
          <w:color w:val="000000" w:themeColor="text1"/>
        </w:rPr>
        <w:t xml:space="preserve">ated to </w:t>
      </w:r>
      <w:r w:rsidR="00FF29AB">
        <w:rPr>
          <w:bCs/>
          <w:color w:val="000000" w:themeColor="text1"/>
        </w:rPr>
        <w:t>opioid-related overdose</w:t>
      </w:r>
      <w:r w:rsidR="00AE1468">
        <w:rPr>
          <w:bCs/>
          <w:color w:val="000000" w:themeColor="text1"/>
        </w:rPr>
        <w:t xml:space="preserve"> prevention. As this data brief demonstrates, certain industry and occupation groups have higher rates of opioid-related overdose deaths.</w:t>
      </w:r>
      <w:r w:rsidR="00B514C0">
        <w:rPr>
          <w:bCs/>
          <w:color w:val="000000" w:themeColor="text1"/>
        </w:rPr>
        <w:t xml:space="preserve"> Employers, unions, </w:t>
      </w:r>
      <w:r w:rsidR="001A4BE5">
        <w:rPr>
          <w:bCs/>
          <w:color w:val="000000" w:themeColor="text1"/>
        </w:rPr>
        <w:t>employee assistance programs, community organizations</w:t>
      </w:r>
      <w:r w:rsidR="00A04C17">
        <w:rPr>
          <w:bCs/>
          <w:color w:val="000000" w:themeColor="text1"/>
        </w:rPr>
        <w:t xml:space="preserve">, </w:t>
      </w:r>
      <w:r w:rsidR="00B514C0">
        <w:rPr>
          <w:bCs/>
          <w:color w:val="000000" w:themeColor="text1"/>
        </w:rPr>
        <w:t>practitioners</w:t>
      </w:r>
      <w:r w:rsidR="00A04C17">
        <w:rPr>
          <w:bCs/>
          <w:color w:val="000000" w:themeColor="text1"/>
        </w:rPr>
        <w:t xml:space="preserve">, </w:t>
      </w:r>
      <w:r w:rsidR="00C071A1">
        <w:rPr>
          <w:bCs/>
          <w:color w:val="000000" w:themeColor="text1"/>
        </w:rPr>
        <w:t>insurers,</w:t>
      </w:r>
      <w:r w:rsidR="00A04C17">
        <w:rPr>
          <w:bCs/>
          <w:color w:val="000000" w:themeColor="text1"/>
        </w:rPr>
        <w:t xml:space="preserve"> and government agencies</w:t>
      </w:r>
      <w:r w:rsidR="00B514C0">
        <w:rPr>
          <w:bCs/>
          <w:color w:val="000000" w:themeColor="text1"/>
        </w:rPr>
        <w:t xml:space="preserve"> can all play an important role in </w:t>
      </w:r>
      <w:r w:rsidR="00B73476">
        <w:rPr>
          <w:bCs/>
          <w:color w:val="000000" w:themeColor="text1"/>
        </w:rPr>
        <w:t xml:space="preserve">preventing </w:t>
      </w:r>
      <w:r w:rsidR="004B43EE">
        <w:rPr>
          <w:bCs/>
          <w:color w:val="000000" w:themeColor="text1"/>
        </w:rPr>
        <w:t xml:space="preserve">fatal </w:t>
      </w:r>
      <w:r w:rsidR="00B514C0">
        <w:rPr>
          <w:bCs/>
          <w:color w:val="000000" w:themeColor="text1"/>
        </w:rPr>
        <w:t>opioid-related overdose</w:t>
      </w:r>
      <w:r w:rsidR="004B43EE">
        <w:rPr>
          <w:bCs/>
          <w:color w:val="000000" w:themeColor="text1"/>
        </w:rPr>
        <w:t>:</w:t>
      </w:r>
    </w:p>
    <w:p w14:paraId="4664F8CF" w14:textId="38941700" w:rsidR="004B43EE" w:rsidRDefault="00146940" w:rsidP="004B43EE">
      <w:pPr>
        <w:pStyle w:val="ListParagraph"/>
        <w:widowControl w:val="0"/>
        <w:numPr>
          <w:ilvl w:val="0"/>
          <w:numId w:val="20"/>
        </w:numPr>
        <w:rPr>
          <w:bCs/>
          <w:color w:val="000000" w:themeColor="text1"/>
        </w:rPr>
      </w:pPr>
      <w:r>
        <w:rPr>
          <w:bCs/>
          <w:color w:val="000000" w:themeColor="text1"/>
        </w:rPr>
        <w:t>Create a work environment that fosters communication, cultivates connectedness, and promotes asking for help</w:t>
      </w:r>
    </w:p>
    <w:p w14:paraId="32DE0E13" w14:textId="3470CA17" w:rsidR="0023612A" w:rsidRDefault="0023612A" w:rsidP="004B43EE">
      <w:pPr>
        <w:pStyle w:val="ListParagraph"/>
        <w:widowControl w:val="0"/>
        <w:numPr>
          <w:ilvl w:val="0"/>
          <w:numId w:val="20"/>
        </w:numPr>
        <w:rPr>
          <w:bCs/>
          <w:color w:val="000000" w:themeColor="text1"/>
        </w:rPr>
      </w:pPr>
      <w:r>
        <w:rPr>
          <w:bCs/>
          <w:color w:val="000000" w:themeColor="text1"/>
        </w:rPr>
        <w:t xml:space="preserve">Stronger health and safety measures </w:t>
      </w:r>
      <w:r w:rsidR="00D61788">
        <w:rPr>
          <w:bCs/>
          <w:color w:val="000000" w:themeColor="text1"/>
        </w:rPr>
        <w:t>and policies</w:t>
      </w:r>
      <w:r>
        <w:rPr>
          <w:bCs/>
          <w:color w:val="000000" w:themeColor="text1"/>
        </w:rPr>
        <w:t xml:space="preserve"> that can </w:t>
      </w:r>
      <w:r w:rsidR="00F658C7">
        <w:rPr>
          <w:bCs/>
          <w:color w:val="000000" w:themeColor="text1"/>
        </w:rPr>
        <w:t>reduce</w:t>
      </w:r>
      <w:r w:rsidR="00D61788">
        <w:rPr>
          <w:bCs/>
          <w:color w:val="000000" w:themeColor="text1"/>
        </w:rPr>
        <w:t xml:space="preserve"> ergon</w:t>
      </w:r>
      <w:r w:rsidR="00FE65B7">
        <w:rPr>
          <w:bCs/>
          <w:color w:val="000000" w:themeColor="text1"/>
        </w:rPr>
        <w:t>omic risk factors and</w:t>
      </w:r>
      <w:r>
        <w:rPr>
          <w:bCs/>
          <w:color w:val="000000" w:themeColor="text1"/>
        </w:rPr>
        <w:t xml:space="preserve"> prevent injury at the worksite</w:t>
      </w:r>
    </w:p>
    <w:p w14:paraId="4DB51216" w14:textId="78271D19" w:rsidR="00474162" w:rsidRDefault="00D778F4" w:rsidP="004B43EE">
      <w:pPr>
        <w:pStyle w:val="ListParagraph"/>
        <w:widowControl w:val="0"/>
        <w:numPr>
          <w:ilvl w:val="0"/>
          <w:numId w:val="20"/>
        </w:numPr>
        <w:rPr>
          <w:bCs/>
          <w:color w:val="000000" w:themeColor="text1"/>
        </w:rPr>
      </w:pPr>
      <w:r>
        <w:rPr>
          <w:bCs/>
          <w:color w:val="000000" w:themeColor="text1"/>
        </w:rPr>
        <w:t xml:space="preserve">Recovery-friendly </w:t>
      </w:r>
      <w:r w:rsidR="003E7AC3">
        <w:rPr>
          <w:bCs/>
          <w:color w:val="000000" w:themeColor="text1"/>
        </w:rPr>
        <w:t>workplace initiatives</w:t>
      </w:r>
      <w:r w:rsidR="00C424BB">
        <w:rPr>
          <w:bCs/>
          <w:color w:val="000000" w:themeColor="text1"/>
        </w:rPr>
        <w:t>/compassionate drug</w:t>
      </w:r>
      <w:r w:rsidR="00E72627">
        <w:rPr>
          <w:bCs/>
          <w:color w:val="000000" w:themeColor="text1"/>
        </w:rPr>
        <w:t>-</w:t>
      </w:r>
      <w:r w:rsidR="00C424BB">
        <w:rPr>
          <w:bCs/>
          <w:color w:val="000000" w:themeColor="text1"/>
        </w:rPr>
        <w:t>free workplace policies</w:t>
      </w:r>
    </w:p>
    <w:p w14:paraId="180382ED" w14:textId="0C47D66E" w:rsidR="003E7AC3" w:rsidRDefault="003E7AC3" w:rsidP="004B43EE">
      <w:pPr>
        <w:pStyle w:val="ListParagraph"/>
        <w:widowControl w:val="0"/>
        <w:numPr>
          <w:ilvl w:val="0"/>
          <w:numId w:val="20"/>
        </w:numPr>
        <w:rPr>
          <w:bCs/>
          <w:color w:val="000000" w:themeColor="text1"/>
        </w:rPr>
      </w:pPr>
      <w:r>
        <w:rPr>
          <w:bCs/>
          <w:color w:val="000000" w:themeColor="text1"/>
        </w:rPr>
        <w:t>Employee assistance/peer support programs</w:t>
      </w:r>
    </w:p>
    <w:p w14:paraId="209DF8CB" w14:textId="787A6143" w:rsidR="003E7AC3" w:rsidRDefault="003E7AC3" w:rsidP="004B43EE">
      <w:pPr>
        <w:pStyle w:val="ListParagraph"/>
        <w:widowControl w:val="0"/>
        <w:numPr>
          <w:ilvl w:val="0"/>
          <w:numId w:val="20"/>
        </w:numPr>
        <w:rPr>
          <w:bCs/>
          <w:color w:val="000000" w:themeColor="text1"/>
        </w:rPr>
      </w:pPr>
      <w:r>
        <w:rPr>
          <w:bCs/>
          <w:color w:val="000000" w:themeColor="text1"/>
        </w:rPr>
        <w:t>Naloxone training, as appropriate</w:t>
      </w:r>
    </w:p>
    <w:p w14:paraId="4F4F71BE" w14:textId="191D371A" w:rsidR="00A0700F" w:rsidRDefault="00A0700F" w:rsidP="004B43EE">
      <w:pPr>
        <w:pStyle w:val="ListParagraph"/>
        <w:widowControl w:val="0"/>
        <w:numPr>
          <w:ilvl w:val="0"/>
          <w:numId w:val="20"/>
        </w:numPr>
        <w:rPr>
          <w:bCs/>
          <w:color w:val="000000" w:themeColor="text1"/>
        </w:rPr>
      </w:pPr>
      <w:r>
        <w:rPr>
          <w:bCs/>
          <w:color w:val="000000" w:themeColor="text1"/>
        </w:rPr>
        <w:t>Stay at work/return to work accommodations</w:t>
      </w:r>
    </w:p>
    <w:p w14:paraId="3C71B274" w14:textId="590B5667" w:rsidR="00A0700F" w:rsidRDefault="00A0700F" w:rsidP="004B43EE">
      <w:pPr>
        <w:pStyle w:val="ListParagraph"/>
        <w:widowControl w:val="0"/>
        <w:numPr>
          <w:ilvl w:val="0"/>
          <w:numId w:val="20"/>
        </w:numPr>
        <w:rPr>
          <w:bCs/>
          <w:color w:val="000000" w:themeColor="text1"/>
        </w:rPr>
      </w:pPr>
      <w:r>
        <w:rPr>
          <w:bCs/>
          <w:color w:val="000000" w:themeColor="text1"/>
        </w:rPr>
        <w:t xml:space="preserve">Improved employee benefits (e.g., access to health insurance options that cover </w:t>
      </w:r>
      <w:r w:rsidR="00235BC3">
        <w:rPr>
          <w:bCs/>
          <w:color w:val="000000" w:themeColor="text1"/>
        </w:rPr>
        <w:t>non</w:t>
      </w:r>
      <w:r w:rsidR="00E847A4">
        <w:rPr>
          <w:bCs/>
          <w:color w:val="000000" w:themeColor="text1"/>
        </w:rPr>
        <w:t>pharmacologic</w:t>
      </w:r>
      <w:r>
        <w:rPr>
          <w:bCs/>
          <w:color w:val="000000" w:themeColor="text1"/>
        </w:rPr>
        <w:t xml:space="preserve"> pain treatments)</w:t>
      </w:r>
    </w:p>
    <w:p w14:paraId="10EC74F4" w14:textId="537D4AE6" w:rsidR="00A0700F" w:rsidRDefault="00A0700F" w:rsidP="004B43EE">
      <w:pPr>
        <w:pStyle w:val="ListParagraph"/>
        <w:widowControl w:val="0"/>
        <w:numPr>
          <w:ilvl w:val="0"/>
          <w:numId w:val="20"/>
        </w:numPr>
        <w:rPr>
          <w:bCs/>
          <w:color w:val="000000" w:themeColor="text1"/>
        </w:rPr>
      </w:pPr>
      <w:r>
        <w:rPr>
          <w:bCs/>
          <w:color w:val="000000" w:themeColor="text1"/>
        </w:rPr>
        <w:t>Organizational supports for their employee</w:t>
      </w:r>
      <w:r w:rsidR="00AE15D5">
        <w:rPr>
          <w:bCs/>
          <w:color w:val="000000" w:themeColor="text1"/>
        </w:rPr>
        <w:t>s’ treatment for and recovery from substance use/opioid dependency</w:t>
      </w:r>
    </w:p>
    <w:p w14:paraId="6D824AA1" w14:textId="7875C4EE" w:rsidR="0054696B" w:rsidRPr="004B43EE" w:rsidRDefault="0054696B" w:rsidP="0054696B">
      <w:pPr>
        <w:pStyle w:val="ListParagraph"/>
        <w:widowControl w:val="0"/>
        <w:numPr>
          <w:ilvl w:val="0"/>
          <w:numId w:val="20"/>
        </w:numPr>
        <w:rPr>
          <w:bCs/>
          <w:color w:val="000000" w:themeColor="text1"/>
        </w:rPr>
      </w:pPr>
      <w:r>
        <w:rPr>
          <w:bCs/>
          <w:color w:val="000000" w:themeColor="text1"/>
        </w:rPr>
        <w:t xml:space="preserve">Equity-centered approaches to combat the </w:t>
      </w:r>
      <w:r w:rsidR="00F64F86">
        <w:rPr>
          <w:bCs/>
          <w:color w:val="000000" w:themeColor="text1"/>
        </w:rPr>
        <w:t xml:space="preserve">large inequities seen in overdose rates between various </w:t>
      </w:r>
      <w:r w:rsidR="007F5778">
        <w:rPr>
          <w:bCs/>
          <w:color w:val="000000" w:themeColor="text1"/>
        </w:rPr>
        <w:t>populations</w:t>
      </w:r>
      <w:r w:rsidR="00F64F86">
        <w:rPr>
          <w:bCs/>
          <w:color w:val="000000" w:themeColor="text1"/>
        </w:rPr>
        <w:t xml:space="preserve"> are needed. This </w:t>
      </w:r>
      <w:r w:rsidR="007F5778">
        <w:rPr>
          <w:bCs/>
          <w:color w:val="000000" w:themeColor="text1"/>
        </w:rPr>
        <w:t>involves including</w:t>
      </w:r>
      <w:r w:rsidR="003E0C39">
        <w:rPr>
          <w:bCs/>
          <w:color w:val="000000" w:themeColor="text1"/>
        </w:rPr>
        <w:t xml:space="preserve"> voices </w:t>
      </w:r>
      <w:r w:rsidR="007A4CAD">
        <w:rPr>
          <w:bCs/>
          <w:color w:val="000000" w:themeColor="text1"/>
        </w:rPr>
        <w:t xml:space="preserve">from the communities of focus </w:t>
      </w:r>
      <w:r w:rsidR="003E0C39">
        <w:rPr>
          <w:bCs/>
          <w:color w:val="000000" w:themeColor="text1"/>
        </w:rPr>
        <w:t xml:space="preserve">in dissemination and intervention planning, </w:t>
      </w:r>
      <w:r w:rsidR="00D701F3">
        <w:rPr>
          <w:bCs/>
          <w:color w:val="000000" w:themeColor="text1"/>
        </w:rPr>
        <w:t xml:space="preserve">as well as </w:t>
      </w:r>
      <w:r w:rsidR="00D676F2">
        <w:rPr>
          <w:bCs/>
          <w:color w:val="000000" w:themeColor="text1"/>
        </w:rPr>
        <w:t>being intentional in outreach strategies</w:t>
      </w:r>
      <w:r w:rsidR="00D701F3">
        <w:rPr>
          <w:bCs/>
          <w:color w:val="000000" w:themeColor="text1"/>
        </w:rPr>
        <w:t xml:space="preserve"> to reduce the gaps seen in the data below</w:t>
      </w:r>
      <w:r w:rsidR="00D676F2">
        <w:rPr>
          <w:bCs/>
          <w:color w:val="000000" w:themeColor="text1"/>
        </w:rPr>
        <w:t xml:space="preserve">.  </w:t>
      </w:r>
    </w:p>
    <w:p w14:paraId="08AF2BAE" w14:textId="47F90F3E" w:rsidR="00C32360" w:rsidRDefault="00C32360" w:rsidP="004B43EE">
      <w:pPr>
        <w:pStyle w:val="ListParagraph"/>
        <w:widowControl w:val="0"/>
        <w:numPr>
          <w:ilvl w:val="0"/>
          <w:numId w:val="20"/>
        </w:numPr>
        <w:rPr>
          <w:bCs/>
          <w:color w:val="000000" w:themeColor="text1"/>
        </w:rPr>
      </w:pPr>
      <w:r>
        <w:rPr>
          <w:bCs/>
          <w:color w:val="000000" w:themeColor="text1"/>
        </w:rPr>
        <w:t>Integrated approaches to COVID-19 vaccine outreach</w:t>
      </w:r>
      <w:r w:rsidR="00FB4F1D">
        <w:rPr>
          <w:bCs/>
          <w:color w:val="000000" w:themeColor="text1"/>
        </w:rPr>
        <w:t>,</w:t>
      </w:r>
      <w:r>
        <w:rPr>
          <w:bCs/>
          <w:color w:val="000000" w:themeColor="text1"/>
        </w:rPr>
        <w:t xml:space="preserve"> such as combining COVID-19 vaccination information with harm </w:t>
      </w:r>
      <w:r w:rsidR="00CB630A">
        <w:rPr>
          <w:bCs/>
          <w:color w:val="000000" w:themeColor="text1"/>
        </w:rPr>
        <w:t>reduction</w:t>
      </w:r>
      <w:r>
        <w:rPr>
          <w:bCs/>
          <w:color w:val="000000" w:themeColor="text1"/>
        </w:rPr>
        <w:t xml:space="preserve"> strategies (e.g., naloxone training,</w:t>
      </w:r>
      <w:r w:rsidR="00CB630A">
        <w:rPr>
          <w:bCs/>
          <w:color w:val="000000" w:themeColor="text1"/>
        </w:rPr>
        <w:t xml:space="preserve"> fentanyl test strip distribution), and mental health services</w:t>
      </w:r>
    </w:p>
    <w:p w14:paraId="38CA9F9B" w14:textId="74D2F151" w:rsidR="00095190" w:rsidRDefault="00095190" w:rsidP="00095190">
      <w:pPr>
        <w:widowControl w:val="0"/>
        <w:rPr>
          <w:bCs/>
          <w:color w:val="000000" w:themeColor="text1"/>
        </w:rPr>
      </w:pPr>
    </w:p>
    <w:p w14:paraId="2F9C76B9" w14:textId="3B2C76E5" w:rsidR="00115ADA" w:rsidRPr="00231138" w:rsidRDefault="0024759A" w:rsidP="00115ADA">
      <w:pPr>
        <w:widowControl w:val="0"/>
        <w:rPr>
          <w:bCs/>
          <w:color w:val="000000" w:themeColor="text1"/>
        </w:rPr>
      </w:pPr>
      <w:r>
        <w:rPr>
          <w:b/>
          <w:color w:val="000000" w:themeColor="text1"/>
        </w:rPr>
        <w:t xml:space="preserve">Selected </w:t>
      </w:r>
      <w:r w:rsidR="00297CB0">
        <w:rPr>
          <w:b/>
          <w:color w:val="000000" w:themeColor="text1"/>
        </w:rPr>
        <w:t xml:space="preserve">Examples of </w:t>
      </w:r>
      <w:r w:rsidR="00CE2CEB">
        <w:rPr>
          <w:b/>
          <w:color w:val="000000" w:themeColor="text1"/>
        </w:rPr>
        <w:t xml:space="preserve">Current </w:t>
      </w:r>
      <w:r w:rsidR="00033FBE">
        <w:rPr>
          <w:b/>
          <w:color w:val="000000" w:themeColor="text1"/>
        </w:rPr>
        <w:t>M</w:t>
      </w:r>
      <w:r w:rsidR="00362C6A">
        <w:rPr>
          <w:b/>
          <w:color w:val="000000" w:themeColor="text1"/>
        </w:rPr>
        <w:t xml:space="preserve">DPH </w:t>
      </w:r>
      <w:r w:rsidR="00362C6A" w:rsidRPr="00362C6A">
        <w:rPr>
          <w:b/>
          <w:color w:val="000000" w:themeColor="text1"/>
        </w:rPr>
        <w:t>Prevention Efforts to Support Workers</w:t>
      </w:r>
      <w:r w:rsidR="00362C6A" w:rsidRPr="00362C6A">
        <w:rPr>
          <w:b/>
          <w:color w:val="000000" w:themeColor="text1"/>
        </w:rPr>
        <w:cr/>
      </w:r>
      <w:r w:rsidR="00115ADA" w:rsidRPr="00231138">
        <w:rPr>
          <w:bCs/>
          <w:color w:val="000000" w:themeColor="text1"/>
        </w:rPr>
        <w:t xml:space="preserve">Across the state, there are </w:t>
      </w:r>
      <w:r w:rsidR="00481B5F">
        <w:rPr>
          <w:bCs/>
          <w:color w:val="000000" w:themeColor="text1"/>
        </w:rPr>
        <w:t xml:space="preserve">many </w:t>
      </w:r>
      <w:r w:rsidR="00115ADA" w:rsidRPr="00231138">
        <w:rPr>
          <w:bCs/>
          <w:color w:val="000000" w:themeColor="text1"/>
        </w:rPr>
        <w:t>prevention initiatives and activities that are designed for workers and</w:t>
      </w:r>
      <w:r w:rsidR="00481B5F">
        <w:rPr>
          <w:bCs/>
          <w:color w:val="000000" w:themeColor="text1"/>
        </w:rPr>
        <w:t xml:space="preserve"> that</w:t>
      </w:r>
      <w:r w:rsidR="00115ADA" w:rsidRPr="00231138">
        <w:rPr>
          <w:bCs/>
          <w:color w:val="000000" w:themeColor="text1"/>
        </w:rPr>
        <w:t xml:space="preserve"> address the complex associations between work and opioid use. </w:t>
      </w:r>
      <w:r w:rsidR="006338CB">
        <w:rPr>
          <w:bCs/>
          <w:color w:val="000000" w:themeColor="text1"/>
        </w:rPr>
        <w:t xml:space="preserve">Described below are </w:t>
      </w:r>
      <w:r w:rsidR="00481B5F">
        <w:rPr>
          <w:bCs/>
          <w:color w:val="000000" w:themeColor="text1"/>
        </w:rPr>
        <w:t>a few</w:t>
      </w:r>
      <w:r w:rsidR="006338CB">
        <w:rPr>
          <w:bCs/>
          <w:color w:val="000000" w:themeColor="text1"/>
        </w:rPr>
        <w:t xml:space="preserve"> examples of this work:</w:t>
      </w:r>
    </w:p>
    <w:p w14:paraId="3B204710" w14:textId="75B3D8B4" w:rsidR="00613949" w:rsidRDefault="00115ADA" w:rsidP="00115ADA">
      <w:pPr>
        <w:pStyle w:val="ListParagraph"/>
        <w:widowControl w:val="0"/>
        <w:numPr>
          <w:ilvl w:val="0"/>
          <w:numId w:val="30"/>
        </w:numPr>
        <w:ind w:left="720" w:hanging="360"/>
        <w:rPr>
          <w:bCs/>
          <w:color w:val="000000" w:themeColor="text1"/>
        </w:rPr>
      </w:pPr>
      <w:r w:rsidRPr="00C57673">
        <w:rPr>
          <w:bCs/>
          <w:color w:val="000000" w:themeColor="text1"/>
        </w:rPr>
        <w:t>In collaboration with Health Resources in Action (</w:t>
      </w:r>
      <w:proofErr w:type="spellStart"/>
      <w:r w:rsidRPr="00C57673">
        <w:rPr>
          <w:bCs/>
          <w:color w:val="000000" w:themeColor="text1"/>
        </w:rPr>
        <w:t>HRiA</w:t>
      </w:r>
      <w:proofErr w:type="spellEnd"/>
      <w:r w:rsidRPr="00C57673">
        <w:rPr>
          <w:bCs/>
          <w:color w:val="000000" w:themeColor="text1"/>
        </w:rPr>
        <w:t>), in work funded by the State Opioid Response (SOR) gra</w:t>
      </w:r>
      <w:r w:rsidR="00BE3A4D">
        <w:rPr>
          <w:bCs/>
          <w:color w:val="000000" w:themeColor="text1"/>
        </w:rPr>
        <w:t>nt</w:t>
      </w:r>
      <w:r w:rsidRPr="00C57673">
        <w:rPr>
          <w:bCs/>
          <w:color w:val="000000" w:themeColor="text1"/>
        </w:rPr>
        <w:t xml:space="preserve">, </w:t>
      </w:r>
      <w:r w:rsidR="00746E2C">
        <w:rPr>
          <w:bCs/>
          <w:color w:val="000000" w:themeColor="text1"/>
        </w:rPr>
        <w:t>M</w:t>
      </w:r>
      <w:r w:rsidRPr="00C57673">
        <w:rPr>
          <w:bCs/>
          <w:color w:val="000000" w:themeColor="text1"/>
        </w:rPr>
        <w:t xml:space="preserve">DPH has developed new trainings and a comprehensive website aiming to increase opioid awareness and provide resources for Massachusetts employers to implement policies and practices that build capacity for ‘upstream’ prevention efforts. More information can be found here: </w:t>
      </w:r>
      <w:hyperlink r:id="rId12" w:history="1">
        <w:r w:rsidR="00613949" w:rsidRPr="00C57673">
          <w:rPr>
            <w:rStyle w:val="Hyperlink"/>
            <w:rFonts w:cs="Arial"/>
            <w:bCs/>
          </w:rPr>
          <w:t>https://behereinitiative.org/workplace/</w:t>
        </w:r>
      </w:hyperlink>
      <w:r w:rsidRPr="00C57673">
        <w:rPr>
          <w:bCs/>
          <w:color w:val="000000" w:themeColor="text1"/>
        </w:rPr>
        <w:t>.</w:t>
      </w:r>
    </w:p>
    <w:p w14:paraId="221A5C56" w14:textId="62698FB7" w:rsidR="00613949" w:rsidRDefault="00115ADA" w:rsidP="00115ADA">
      <w:pPr>
        <w:pStyle w:val="ListParagraph"/>
        <w:widowControl w:val="0"/>
        <w:numPr>
          <w:ilvl w:val="0"/>
          <w:numId w:val="30"/>
        </w:numPr>
        <w:ind w:left="720" w:hanging="360"/>
        <w:rPr>
          <w:bCs/>
          <w:color w:val="000000" w:themeColor="text1"/>
        </w:rPr>
      </w:pPr>
      <w:r w:rsidRPr="00C57673">
        <w:rPr>
          <w:bCs/>
          <w:color w:val="000000" w:themeColor="text1"/>
        </w:rPr>
        <w:t>The agency that oversees the state’s workers’ compensation system, the Massachusetts Department of Industrial Accidents (DIA), has a program called the Opioid Alternative Treatment Pathway (OATP). Injured workers who have been prescribed opioids for pain and are facing a litigation process with insurers can voluntarily enter the OATP</w:t>
      </w:r>
      <w:r w:rsidR="00FF309F">
        <w:rPr>
          <w:bCs/>
          <w:color w:val="000000" w:themeColor="text1"/>
        </w:rPr>
        <w:t xml:space="preserve"> to</w:t>
      </w:r>
      <w:r w:rsidRPr="00C57673">
        <w:rPr>
          <w:bCs/>
          <w:color w:val="000000" w:themeColor="text1"/>
        </w:rPr>
        <w:t xml:space="preserve"> gain immediate access to care coordinators who work with them and their medical providers to safely taper/reduce their use of opioids and to use alternative pain management strategies, with a goal of helping them regain functionality for an improved quality of life, or a return to work. </w:t>
      </w:r>
      <w:r w:rsidR="00746E2C">
        <w:rPr>
          <w:bCs/>
          <w:color w:val="000000" w:themeColor="text1"/>
        </w:rPr>
        <w:t>M</w:t>
      </w:r>
      <w:r w:rsidRPr="00C57673">
        <w:rPr>
          <w:bCs/>
          <w:color w:val="000000" w:themeColor="text1"/>
        </w:rPr>
        <w:t>DPH is funding a researcher from UMass Lowell to conduct an evaluation of the OATP</w:t>
      </w:r>
      <w:r w:rsidR="00D85DAA">
        <w:rPr>
          <w:bCs/>
          <w:color w:val="000000" w:themeColor="text1"/>
        </w:rPr>
        <w:t>; r</w:t>
      </w:r>
      <w:r w:rsidRPr="00C57673">
        <w:rPr>
          <w:bCs/>
          <w:color w:val="000000" w:themeColor="text1"/>
        </w:rPr>
        <w:t xml:space="preserve">esults from this evaluation have been well received by the DIA are already being incorporated into OATP to improve the program. </w:t>
      </w:r>
    </w:p>
    <w:p w14:paraId="6EB5468B" w14:textId="2AE4AB9A" w:rsidR="00922055" w:rsidRDefault="00115ADA" w:rsidP="00922055">
      <w:pPr>
        <w:pStyle w:val="ListParagraph"/>
        <w:widowControl w:val="0"/>
        <w:numPr>
          <w:ilvl w:val="0"/>
          <w:numId w:val="30"/>
        </w:numPr>
        <w:ind w:left="720" w:hanging="360"/>
        <w:rPr>
          <w:bCs/>
          <w:color w:val="000000" w:themeColor="text1"/>
        </w:rPr>
      </w:pPr>
      <w:r w:rsidRPr="00C57673">
        <w:rPr>
          <w:bCs/>
          <w:color w:val="000000" w:themeColor="text1"/>
        </w:rPr>
        <w:t xml:space="preserve">The Fatality Assessment and Control Evaluation (FACE) Project at </w:t>
      </w:r>
      <w:r w:rsidR="00746E2C">
        <w:rPr>
          <w:bCs/>
          <w:color w:val="000000" w:themeColor="text1"/>
        </w:rPr>
        <w:t>M</w:t>
      </w:r>
      <w:r w:rsidRPr="00C57673">
        <w:rPr>
          <w:bCs/>
          <w:color w:val="000000" w:themeColor="text1"/>
        </w:rPr>
        <w:t xml:space="preserve">DPH has drafted a protocol for on-site investigation of worksites where a fatal overdose has occurred. This FACE protocol will allow for the identification of factors that precede or happen during the emergency response at the worksite; information obtained will help guide the development of comprehensive recommendations for employers to prevent similar deaths and provide organizational supports for their employees. In collaboration with researchers from UMass Lowell and Massachusetts College of Pharmacy and Health Sciences, the tool is being piloted in the summer and fall of </w:t>
      </w:r>
      <w:r w:rsidRPr="00C57673">
        <w:rPr>
          <w:bCs/>
          <w:color w:val="000000" w:themeColor="text1"/>
        </w:rPr>
        <w:lastRenderedPageBreak/>
        <w:t xml:space="preserve">2022.  </w:t>
      </w:r>
    </w:p>
    <w:p w14:paraId="45AA06ED" w14:textId="06BB47B6" w:rsidR="00613949" w:rsidRDefault="00115ADA" w:rsidP="00922055">
      <w:pPr>
        <w:pStyle w:val="ListParagraph"/>
        <w:widowControl w:val="0"/>
        <w:numPr>
          <w:ilvl w:val="0"/>
          <w:numId w:val="30"/>
        </w:numPr>
        <w:ind w:left="720" w:hanging="360"/>
        <w:rPr>
          <w:bCs/>
          <w:color w:val="000000" w:themeColor="text1"/>
        </w:rPr>
      </w:pPr>
      <w:r w:rsidRPr="00C57673">
        <w:rPr>
          <w:bCs/>
          <w:color w:val="000000" w:themeColor="text1"/>
        </w:rPr>
        <w:t>At a community level, MDPH-funded prevention initiatives, such as Hampshire HOPE, ha</w:t>
      </w:r>
      <w:r w:rsidR="0022399B">
        <w:rPr>
          <w:bCs/>
          <w:color w:val="000000" w:themeColor="text1"/>
        </w:rPr>
        <w:t>ve</w:t>
      </w:r>
      <w:r w:rsidRPr="00C57673">
        <w:rPr>
          <w:bCs/>
          <w:color w:val="000000" w:themeColor="text1"/>
        </w:rPr>
        <w:t xml:space="preserve"> been working to educate local employers about opioids and the workplace. This work involves developing a toolkit for employers to support a recovery-friendly workplace</w:t>
      </w:r>
      <w:r w:rsidR="00613949" w:rsidRPr="00C57673">
        <w:rPr>
          <w:bCs/>
          <w:color w:val="000000" w:themeColor="text1"/>
        </w:rPr>
        <w:t>.</w:t>
      </w:r>
    </w:p>
    <w:p w14:paraId="584C0FA1" w14:textId="18B2B38C" w:rsidR="00922055" w:rsidRDefault="00922055">
      <w:pPr>
        <w:pStyle w:val="ListParagraph"/>
        <w:widowControl w:val="0"/>
        <w:numPr>
          <w:ilvl w:val="0"/>
          <w:numId w:val="30"/>
        </w:numPr>
        <w:ind w:left="720" w:hanging="360"/>
        <w:rPr>
          <w:bCs/>
          <w:color w:val="000000" w:themeColor="text1"/>
        </w:rPr>
      </w:pPr>
      <w:r w:rsidRPr="00922055">
        <w:rPr>
          <w:bCs/>
          <w:color w:val="000000" w:themeColor="text1"/>
        </w:rPr>
        <w:t xml:space="preserve">As part of </w:t>
      </w:r>
      <w:r w:rsidR="00746E2C">
        <w:rPr>
          <w:bCs/>
          <w:color w:val="000000" w:themeColor="text1"/>
        </w:rPr>
        <w:t>M</w:t>
      </w:r>
      <w:r w:rsidRPr="00922055">
        <w:rPr>
          <w:bCs/>
          <w:color w:val="000000" w:themeColor="text1"/>
        </w:rPr>
        <w:t xml:space="preserve">DPH’s Vaccine Equity Initiative, a program aiming to increase the number of people vaccinated </w:t>
      </w:r>
      <w:r w:rsidR="00A74012">
        <w:rPr>
          <w:bCs/>
          <w:color w:val="000000" w:themeColor="text1"/>
        </w:rPr>
        <w:t xml:space="preserve">against COVID-19 </w:t>
      </w:r>
      <w:r w:rsidRPr="00922055">
        <w:rPr>
          <w:bCs/>
          <w:color w:val="000000" w:themeColor="text1"/>
        </w:rPr>
        <w:t>in communities hard</w:t>
      </w:r>
      <w:r w:rsidR="00105921">
        <w:rPr>
          <w:bCs/>
          <w:color w:val="000000" w:themeColor="text1"/>
        </w:rPr>
        <w:t>-</w:t>
      </w:r>
      <w:r w:rsidRPr="00922055">
        <w:rPr>
          <w:bCs/>
          <w:color w:val="000000" w:themeColor="text1"/>
        </w:rPr>
        <w:t>hit by the pandemic, vaccine outreach efforts to worker groups particularly impacted by the opioid epidemic (e.g., fishing, construction) also include opioid overdose prevention services</w:t>
      </w:r>
      <w:r>
        <w:rPr>
          <w:bCs/>
          <w:color w:val="000000" w:themeColor="text1"/>
        </w:rPr>
        <w:t>.</w:t>
      </w:r>
    </w:p>
    <w:p w14:paraId="06DF431D" w14:textId="789A032E" w:rsidR="00A00D76" w:rsidRPr="00C0720C" w:rsidRDefault="00E7319D" w:rsidP="00C57673">
      <w:pPr>
        <w:pStyle w:val="ListParagraph"/>
        <w:widowControl w:val="0"/>
        <w:numPr>
          <w:ilvl w:val="0"/>
          <w:numId w:val="30"/>
        </w:numPr>
        <w:ind w:left="720" w:hanging="360"/>
        <w:rPr>
          <w:bCs/>
          <w:color w:val="000000" w:themeColor="text1"/>
        </w:rPr>
      </w:pPr>
      <w:r>
        <w:rPr>
          <w:bCs/>
          <w:color w:val="000000" w:themeColor="text1"/>
        </w:rPr>
        <w:t>M</w:t>
      </w:r>
      <w:r w:rsidRPr="00E7319D">
        <w:rPr>
          <w:bCs/>
          <w:color w:val="000000" w:themeColor="text1"/>
        </w:rPr>
        <w:t xml:space="preserve">DPH’s Bureau of Substance Addiction Services (BSAS) </w:t>
      </w:r>
      <w:r w:rsidR="006338CB">
        <w:rPr>
          <w:bCs/>
          <w:color w:val="000000" w:themeColor="text1"/>
        </w:rPr>
        <w:t>recently started</w:t>
      </w:r>
      <w:r w:rsidRPr="00E7319D">
        <w:rPr>
          <w:bCs/>
          <w:color w:val="000000" w:themeColor="text1"/>
        </w:rPr>
        <w:t xml:space="preserve"> a recovery-based re-entry services program focused on Black and Latino Men. The program serves Black and Latino men with a history of substance misuse who have been incarcerated in Suffolk, Essex, Worcester, and Hampden counties</w:t>
      </w:r>
      <w:r w:rsidR="008506E8">
        <w:rPr>
          <w:bCs/>
          <w:color w:val="000000" w:themeColor="text1"/>
        </w:rPr>
        <w:t xml:space="preserve"> and p</w:t>
      </w:r>
      <w:r w:rsidRPr="00E7319D">
        <w:rPr>
          <w:bCs/>
          <w:color w:val="000000" w:themeColor="text1"/>
        </w:rPr>
        <w:t>rovides funding to local non-profit, community-based organizations to provide culturally responsive wraparound services</w:t>
      </w:r>
      <w:r w:rsidR="0036745B">
        <w:rPr>
          <w:bCs/>
          <w:color w:val="000000" w:themeColor="text1"/>
        </w:rPr>
        <w:t>.</w:t>
      </w:r>
      <w:r w:rsidR="00DF242A">
        <w:rPr>
          <w:bCs/>
          <w:color w:val="000000" w:themeColor="text1"/>
        </w:rPr>
        <w:t xml:space="preserve"> This work is especially relevant, given the findings presented below on the elevated rates of overdose among Black, non-Hispanic workers. </w:t>
      </w:r>
    </w:p>
    <w:p w14:paraId="706B86ED" w14:textId="34073171" w:rsidR="00CC3006" w:rsidRPr="00CC3006" w:rsidRDefault="00115ADA" w:rsidP="00C0720C">
      <w:pPr>
        <w:rPr>
          <w:b/>
        </w:rPr>
      </w:pPr>
      <w:r w:rsidRPr="00C0720C">
        <w:rPr>
          <w:b/>
          <w:color w:val="000000" w:themeColor="text1"/>
        </w:rPr>
        <w:t xml:space="preserve">  </w:t>
      </w:r>
    </w:p>
    <w:p w14:paraId="2F7B3F78" w14:textId="263E9A63" w:rsidR="008A1D13" w:rsidRDefault="008A1D13" w:rsidP="00C0720C">
      <w:pPr>
        <w:spacing w:after="120"/>
        <w:jc w:val="both"/>
      </w:pPr>
    </w:p>
    <w:p w14:paraId="2387EEAE" w14:textId="6406C646" w:rsidR="00C4340E" w:rsidRDefault="00B659D6" w:rsidP="00F71A56">
      <w:pPr>
        <w:widowControl w:val="0"/>
        <w:rPr>
          <w:rFonts w:ascii="Times New Roman" w:hAnsi="Times New Roman"/>
          <w:b/>
          <w:color w:val="194D80"/>
          <w:sz w:val="28"/>
          <w:szCs w:val="28"/>
        </w:rPr>
      </w:pPr>
      <w:r w:rsidRPr="00726C71">
        <w:rPr>
          <w:noProof/>
        </w:rPr>
        <mc:AlternateContent>
          <mc:Choice Requires="wps">
            <w:drawing>
              <wp:anchor distT="0" distB="0" distL="114300" distR="114300" simplePos="0" relativeHeight="251658242" behindDoc="0" locked="0" layoutInCell="1" allowOverlap="1" wp14:anchorId="1B8EC375" wp14:editId="169E89D0">
                <wp:simplePos x="0" y="0"/>
                <wp:positionH relativeFrom="column">
                  <wp:posOffset>0</wp:posOffset>
                </wp:positionH>
                <wp:positionV relativeFrom="paragraph">
                  <wp:posOffset>-635</wp:posOffset>
                </wp:positionV>
                <wp:extent cx="6847205" cy="266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chemeClr val="tx2"/>
                        </a:solidFill>
                        <a:ln w="9525">
                          <a:noFill/>
                          <a:miter lim="800000"/>
                          <a:headEnd/>
                          <a:tailEnd/>
                        </a:ln>
                      </wps:spPr>
                      <wps:txbx>
                        <w:txbxContent>
                          <w:p w14:paraId="7B935DDF" w14:textId="305E369E" w:rsidR="00B659D6" w:rsidRPr="005F21FE" w:rsidRDefault="005F21FE" w:rsidP="00B659D6">
                            <w:pPr>
                              <w:jc w:val="center"/>
                              <w:rPr>
                                <w:b/>
                                <w:color w:val="FFFFFF" w:themeColor="background1"/>
                              </w:rPr>
                            </w:pPr>
                            <w:r>
                              <w:rPr>
                                <w:b/>
                                <w:color w:val="FFFFFF" w:themeColor="background1"/>
                              </w:rPr>
                              <w:t>Opioid-related Overdose Death Rates among Workers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EC375" id="_x0000_s1031" type="#_x0000_t202" style="position:absolute;margin-left:0;margin-top:-.05pt;width:539.1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" fillcolor="#1f497d [3215]" stroked="f">
                <v:textbox>
                  <w:txbxContent>
                    <w:p w14:paraId="7B935DDF" w14:textId="305E369E" w:rsidR="00B659D6" w:rsidRPr="005F21FE" w:rsidRDefault="005F21FE" w:rsidP="00B659D6">
                      <w:pPr>
                        <w:jc w:val="center"/>
                        <w:rPr>
                          <w:b/>
                          <w:color w:val="FFFFFF" w:themeColor="background1"/>
                        </w:rPr>
                      </w:pPr>
                      <w:r>
                        <w:rPr>
                          <w:b/>
                          <w:color w:val="FFFFFF" w:themeColor="background1"/>
                        </w:rPr>
                        <w:t>Opioid-related Overdose Death Rates among Workers</w:t>
                      </w:r>
                    </w:p>
                  </w:txbxContent>
                </v:textbox>
              </v:shape>
            </w:pict>
          </mc:Fallback>
        </mc:AlternateContent>
      </w:r>
    </w:p>
    <w:p w14:paraId="04DDBE3F" w14:textId="36BC551D" w:rsidR="000A1478" w:rsidRDefault="000A1478" w:rsidP="005F21FE">
      <w:pPr>
        <w:widowControl w:val="0"/>
        <w:rPr>
          <w:bCs/>
        </w:rPr>
      </w:pPr>
    </w:p>
    <w:p w14:paraId="7219FA7F" w14:textId="0FF218CE" w:rsidR="00817784" w:rsidRPr="00817784" w:rsidRDefault="00817784" w:rsidP="00817784">
      <w:pPr>
        <w:widowControl w:val="0"/>
        <w:jc w:val="center"/>
        <w:rPr>
          <w:rFonts w:asciiTheme="minorHAnsi" w:hAnsiTheme="minorHAnsi" w:cstheme="minorHAnsi"/>
          <w:b/>
        </w:rPr>
      </w:pPr>
      <w:r>
        <w:rPr>
          <w:rFonts w:asciiTheme="minorHAnsi" w:hAnsiTheme="minorHAnsi" w:cstheme="minorHAnsi"/>
          <w:b/>
        </w:rPr>
        <w:t>Figure 1. Rate and number of opioid-related overdose deaths among Massachusetts working-age decedents, n=12,770</w:t>
      </w:r>
    </w:p>
    <w:p w14:paraId="1C1F276A" w14:textId="61B263FB" w:rsidR="00817784" w:rsidRDefault="00817784" w:rsidP="005F21FE">
      <w:pPr>
        <w:widowControl w:val="0"/>
        <w:rPr>
          <w:bCs/>
        </w:rPr>
      </w:pPr>
      <w:r>
        <w:rPr>
          <w:noProof/>
        </w:rPr>
        <w:drawing>
          <wp:inline distT="0" distB="0" distL="0" distR="0" wp14:anchorId="13B28328" wp14:editId="55AE5FE4">
            <wp:extent cx="6847205" cy="2661920"/>
            <wp:effectExtent l="0" t="0" r="0" b="5080"/>
            <wp:docPr id="25" name="Chart 25">
              <a:extLst xmlns:a="http://schemas.openxmlformats.org/drawingml/2006/main">
                <a:ext uri="{FF2B5EF4-FFF2-40B4-BE49-F238E27FC236}">
                  <a16:creationId xmlns:a16="http://schemas.microsoft.com/office/drawing/2014/main" id="{025F7451-A541-4481-B7B8-D9D2797329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593DA0" w14:textId="35AEAD4A" w:rsidR="001E3300" w:rsidRDefault="00970E4D" w:rsidP="00F87420">
      <w:pPr>
        <w:pStyle w:val="ListParagraph"/>
        <w:ind w:left="1080"/>
        <w:rPr>
          <w:bCs/>
        </w:rPr>
      </w:pPr>
      <w:r>
        <w:rPr>
          <w:bCs/>
          <w:noProof/>
        </w:rPr>
        <mc:AlternateContent>
          <mc:Choice Requires="wps">
            <w:drawing>
              <wp:anchor distT="0" distB="0" distL="114300" distR="114300" simplePos="0" relativeHeight="251658262" behindDoc="0" locked="0" layoutInCell="1" allowOverlap="1" wp14:anchorId="773D1700" wp14:editId="7612D0C0">
                <wp:simplePos x="0" y="0"/>
                <wp:positionH relativeFrom="column">
                  <wp:posOffset>154701</wp:posOffset>
                </wp:positionH>
                <wp:positionV relativeFrom="paragraph">
                  <wp:posOffset>4445</wp:posOffset>
                </wp:positionV>
                <wp:extent cx="6150633" cy="310551"/>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6150633" cy="310551"/>
                        </a:xfrm>
                        <a:prstGeom prst="rect">
                          <a:avLst/>
                        </a:prstGeom>
                        <a:solidFill>
                          <a:schemeClr val="lt1"/>
                        </a:solidFill>
                        <a:ln w="6350">
                          <a:noFill/>
                        </a:ln>
                      </wps:spPr>
                      <wps:txbx>
                        <w:txbxContent>
                          <w:p w14:paraId="2AAF40A7" w14:textId="77777777" w:rsidR="00970E4D" w:rsidRPr="008309A7" w:rsidRDefault="00970E4D" w:rsidP="00970E4D">
                            <w:pPr>
                              <w:rPr>
                                <w:sz w:val="12"/>
                                <w:szCs w:val="12"/>
                              </w:rPr>
                            </w:pPr>
                            <w:r w:rsidRPr="008309A7">
                              <w:rPr>
                                <w:sz w:val="12"/>
                                <w:szCs w:val="12"/>
                              </w:rPr>
                              <w:t>Numerator source: Massachusetts Registry of Vital Records and Statistics, 2011-2020</w:t>
                            </w:r>
                          </w:p>
                          <w:p w14:paraId="36F37AA5" w14:textId="76554E86" w:rsidR="00970E4D" w:rsidRPr="00970E4D" w:rsidRDefault="00970E4D">
                            <w:pPr>
                              <w:rPr>
                                <w:sz w:val="12"/>
                                <w:szCs w:val="12"/>
                              </w:rPr>
                            </w:pPr>
                            <w:r w:rsidRPr="008309A7">
                              <w:rPr>
                                <w:sz w:val="12"/>
                                <w:szCs w:val="12"/>
                              </w:rPr>
                              <w:t>Denominator source: American Community Survey, 2011-2020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3D1700" id="Text Box 8" o:spid="_x0000_s1032" type="#_x0000_t202" style="position:absolute;left:0;text-align:left;margin-left:12.2pt;margin-top:.35pt;width:484.3pt;height:24.4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" fillcolor="white [3201]" stroked="f" strokeweight=".5pt">
                <v:textbox>
                  <w:txbxContent>
                    <w:p w14:paraId="2AAF40A7" w14:textId="77777777" w:rsidR="00970E4D" w:rsidRPr="008309A7" w:rsidRDefault="00970E4D" w:rsidP="00970E4D">
                      <w:pPr>
                        <w:rPr>
                          <w:sz w:val="12"/>
                          <w:szCs w:val="12"/>
                        </w:rPr>
                      </w:pPr>
                      <w:r w:rsidRPr="008309A7">
                        <w:rPr>
                          <w:sz w:val="12"/>
                          <w:szCs w:val="12"/>
                        </w:rPr>
                        <w:t>Numerator source: Massachusetts Registry of Vital Records and Statistics, 2011-2020</w:t>
                      </w:r>
                    </w:p>
                    <w:p w14:paraId="36F37AA5" w14:textId="76554E86" w:rsidR="00970E4D" w:rsidRPr="00970E4D" w:rsidRDefault="00970E4D">
                      <w:pPr>
                        <w:rPr>
                          <w:sz w:val="12"/>
                          <w:szCs w:val="12"/>
                        </w:rPr>
                      </w:pPr>
                      <w:r w:rsidRPr="008309A7">
                        <w:rPr>
                          <w:sz w:val="12"/>
                          <w:szCs w:val="12"/>
                        </w:rPr>
                        <w:t>Denominator source: American Community Survey, 2011-2020</w:t>
                      </w:r>
                    </w:p>
                  </w:txbxContent>
                </v:textbox>
              </v:shape>
            </w:pict>
          </mc:Fallback>
        </mc:AlternateContent>
      </w:r>
      <w:r w:rsidR="001E3300">
        <w:rPr>
          <w:bCs/>
        </w:rPr>
        <w:t xml:space="preserve">  </w:t>
      </w:r>
    </w:p>
    <w:p w14:paraId="56E7F001" w14:textId="77777777" w:rsidR="00A823C3" w:rsidRDefault="00A823C3" w:rsidP="00A823C3">
      <w:pPr>
        <w:pStyle w:val="ListParagraph"/>
        <w:ind w:left="1080"/>
        <w:rPr>
          <w:bCs/>
        </w:rPr>
      </w:pPr>
    </w:p>
    <w:p w14:paraId="01B0E641" w14:textId="77777777" w:rsidR="009276AD" w:rsidRDefault="009276AD" w:rsidP="00231CA0">
      <w:pPr>
        <w:pStyle w:val="ListParagraph"/>
        <w:ind w:left="1080"/>
        <w:rPr>
          <w:bCs/>
        </w:rPr>
      </w:pPr>
    </w:p>
    <w:p w14:paraId="77CAA31E" w14:textId="37DF98CD" w:rsidR="007B51CA" w:rsidRPr="007B51CA" w:rsidRDefault="007B51CA" w:rsidP="007B51CA">
      <w:pPr>
        <w:pStyle w:val="ListParagraph"/>
        <w:numPr>
          <w:ilvl w:val="0"/>
          <w:numId w:val="16"/>
        </w:numPr>
        <w:rPr>
          <w:bCs/>
        </w:rPr>
      </w:pPr>
      <w:r w:rsidRPr="007B51CA">
        <w:rPr>
          <w:bCs/>
        </w:rPr>
        <w:t>The 2020 opioid-related overdose death rate has increased 10.5% from 2019 to 2020. The data also shows that there were</w:t>
      </w:r>
      <w:r w:rsidR="00EA10AB">
        <w:rPr>
          <w:bCs/>
        </w:rPr>
        <w:t xml:space="preserve"> more</w:t>
      </w:r>
      <w:r w:rsidRPr="007B51CA">
        <w:rPr>
          <w:bCs/>
        </w:rPr>
        <w:t xml:space="preserve"> fatal opioid overdoses in 2020 among decedents of working age than ever before.  </w:t>
      </w:r>
    </w:p>
    <w:p w14:paraId="2B462158" w14:textId="65D89895" w:rsidR="006666CB" w:rsidRPr="003606B2" w:rsidRDefault="00D96AC8" w:rsidP="003606B2">
      <w:pPr>
        <w:pStyle w:val="ListParagraph"/>
        <w:numPr>
          <w:ilvl w:val="0"/>
          <w:numId w:val="16"/>
        </w:numPr>
        <w:rPr>
          <w:bCs/>
        </w:rPr>
      </w:pPr>
      <w:r w:rsidRPr="003606B2">
        <w:rPr>
          <w:bCs/>
        </w:rPr>
        <w:t>From 2011 t</w:t>
      </w:r>
      <w:r w:rsidR="00905003" w:rsidRPr="003606B2">
        <w:rPr>
          <w:bCs/>
        </w:rPr>
        <w:t>hrough</w:t>
      </w:r>
      <w:r w:rsidRPr="003606B2">
        <w:rPr>
          <w:bCs/>
        </w:rPr>
        <w:t xml:space="preserve"> 2016 there was a 26.</w:t>
      </w:r>
      <w:r w:rsidR="00F73E24" w:rsidRPr="003606B2">
        <w:rPr>
          <w:bCs/>
        </w:rPr>
        <w:t>9</w:t>
      </w:r>
      <w:r w:rsidRPr="003606B2">
        <w:rPr>
          <w:bCs/>
        </w:rPr>
        <w:t xml:space="preserve">% increase in opioid-related overdose deaths </w:t>
      </w:r>
      <w:r w:rsidR="009409F4" w:rsidRPr="003606B2">
        <w:rPr>
          <w:bCs/>
        </w:rPr>
        <w:t xml:space="preserve">among Massachusetts </w:t>
      </w:r>
      <w:r w:rsidR="00D30D20" w:rsidRPr="003606B2">
        <w:rPr>
          <w:bCs/>
        </w:rPr>
        <w:t xml:space="preserve">working-age decedents </w:t>
      </w:r>
      <w:r w:rsidR="009409F4" w:rsidRPr="003606B2">
        <w:rPr>
          <w:bCs/>
        </w:rPr>
        <w:t>(p&lt;0.05)</w:t>
      </w:r>
      <w:r w:rsidR="00BC04AB" w:rsidRPr="003606B2">
        <w:rPr>
          <w:bCs/>
        </w:rPr>
        <w:t>.</w:t>
      </w:r>
      <w:r w:rsidR="00F53DDF" w:rsidRPr="003606B2">
        <w:rPr>
          <w:bCs/>
        </w:rPr>
        <w:t xml:space="preserve"> </w:t>
      </w:r>
      <w:r w:rsidR="002B4C82" w:rsidRPr="003606B2">
        <w:rPr>
          <w:bCs/>
        </w:rPr>
        <w:t>The 2020 opioid-related overdose death rate (49.6</w:t>
      </w:r>
      <w:r w:rsidR="00EF72AD" w:rsidRPr="003606B2">
        <w:rPr>
          <w:bCs/>
        </w:rPr>
        <w:t xml:space="preserve"> deaths</w:t>
      </w:r>
      <w:r w:rsidR="002B4C82" w:rsidRPr="003606B2">
        <w:rPr>
          <w:bCs/>
        </w:rPr>
        <w:t xml:space="preserve"> per 100,000 workers) is approximately </w:t>
      </w:r>
      <w:r w:rsidR="0082284C" w:rsidRPr="003606B2">
        <w:rPr>
          <w:bCs/>
        </w:rPr>
        <w:t>2.7</w:t>
      </w:r>
      <w:r w:rsidR="00A076AB" w:rsidRPr="003606B2">
        <w:rPr>
          <w:bCs/>
        </w:rPr>
        <w:t>% higher than in 2016</w:t>
      </w:r>
      <w:r w:rsidR="00B15098" w:rsidRPr="003606B2">
        <w:rPr>
          <w:bCs/>
        </w:rPr>
        <w:t xml:space="preserve"> (48.3</w:t>
      </w:r>
      <w:r w:rsidR="00EF72AD" w:rsidRPr="003606B2">
        <w:rPr>
          <w:bCs/>
        </w:rPr>
        <w:t xml:space="preserve"> deaths</w:t>
      </w:r>
      <w:r w:rsidR="00B15098" w:rsidRPr="003606B2">
        <w:rPr>
          <w:bCs/>
        </w:rPr>
        <w:t xml:space="preserve"> per 100,000 workers), though this difference is not statistically significant. </w:t>
      </w:r>
      <w:r w:rsidR="00F72C2D" w:rsidRPr="003606B2">
        <w:rPr>
          <w:bCs/>
        </w:rPr>
        <w:t>Since 2016, the opioid-related overdose death</w:t>
      </w:r>
      <w:r w:rsidR="00F53DDF" w:rsidRPr="003606B2">
        <w:rPr>
          <w:bCs/>
        </w:rPr>
        <w:t xml:space="preserve"> rate among Massachusetts </w:t>
      </w:r>
      <w:r w:rsidR="009303CD" w:rsidRPr="003606B2">
        <w:rPr>
          <w:bCs/>
        </w:rPr>
        <w:t xml:space="preserve">workers </w:t>
      </w:r>
      <w:r w:rsidR="00F53DDF" w:rsidRPr="003606B2">
        <w:rPr>
          <w:bCs/>
        </w:rPr>
        <w:t>had been relatively stable.</w:t>
      </w:r>
    </w:p>
    <w:p w14:paraId="216E086C" w14:textId="14D3C219" w:rsidR="00BA4D90" w:rsidRDefault="00456CE5" w:rsidP="00780C06">
      <w:pPr>
        <w:pStyle w:val="ListParagraph"/>
        <w:numPr>
          <w:ilvl w:val="0"/>
          <w:numId w:val="16"/>
        </w:numPr>
        <w:rPr>
          <w:bCs/>
        </w:rPr>
      </w:pPr>
      <w:r w:rsidRPr="00D1189A">
        <w:rPr>
          <w:bCs/>
        </w:rPr>
        <w:t xml:space="preserve">These </w:t>
      </w:r>
      <w:r w:rsidR="0041331B" w:rsidRPr="00D1189A">
        <w:rPr>
          <w:bCs/>
        </w:rPr>
        <w:t xml:space="preserve">findings are consistent with </w:t>
      </w:r>
      <w:r w:rsidR="00B17D2B" w:rsidRPr="00D1189A">
        <w:rPr>
          <w:bCs/>
        </w:rPr>
        <w:t>opioid-related overdose deaths seen throughout Massachusetts</w:t>
      </w:r>
      <w:r w:rsidR="00D1189A" w:rsidRPr="00D1189A">
        <w:rPr>
          <w:bCs/>
        </w:rPr>
        <w:t xml:space="preserve"> statewide</w:t>
      </w:r>
      <w:r w:rsidR="00716028" w:rsidRPr="00D1189A">
        <w:rPr>
          <w:bCs/>
        </w:rPr>
        <w:t>.</w:t>
      </w:r>
      <w:r w:rsidR="00D1189A" w:rsidRPr="00D1189A">
        <w:rPr>
          <w:bCs/>
        </w:rPr>
        <w:t xml:space="preserve"> </w:t>
      </w:r>
      <w:r w:rsidR="00021831" w:rsidRPr="00D1189A">
        <w:rPr>
          <w:bCs/>
        </w:rPr>
        <w:t>Overall, the opioid-related overdose death rate has been stable for the past several years.</w:t>
      </w:r>
    </w:p>
    <w:p w14:paraId="0E560E8B" w14:textId="77777777" w:rsidR="00F654FF" w:rsidRPr="00D1189A" w:rsidRDefault="00F654FF" w:rsidP="00F654FF">
      <w:pPr>
        <w:pStyle w:val="ListParagraph"/>
        <w:ind w:left="1080"/>
        <w:rPr>
          <w:bCs/>
        </w:rPr>
      </w:pPr>
    </w:p>
    <w:p w14:paraId="1856D69B" w14:textId="77777777" w:rsidR="005220CD" w:rsidRDefault="005220CD" w:rsidP="005220CD">
      <w:pPr>
        <w:rPr>
          <w:bCs/>
        </w:rPr>
      </w:pPr>
    </w:p>
    <w:p w14:paraId="22D0F20D" w14:textId="2FDC68D6" w:rsidR="005220CD" w:rsidRDefault="005220CD" w:rsidP="005220CD">
      <w:pPr>
        <w:rPr>
          <w:bCs/>
        </w:rPr>
      </w:pPr>
    </w:p>
    <w:p w14:paraId="4443F4DF" w14:textId="2E050D37" w:rsidR="005220CD" w:rsidRDefault="005220CD" w:rsidP="005220CD">
      <w:pPr>
        <w:rPr>
          <w:bCs/>
        </w:rPr>
      </w:pPr>
    </w:p>
    <w:p w14:paraId="12D8B04E" w14:textId="1DF05217" w:rsidR="00817784" w:rsidRDefault="00817784" w:rsidP="005220CD">
      <w:pPr>
        <w:rPr>
          <w:bCs/>
        </w:rPr>
      </w:pPr>
    </w:p>
    <w:p w14:paraId="278A0736" w14:textId="754367B3" w:rsidR="00817784" w:rsidRDefault="00817784" w:rsidP="005220CD">
      <w:pPr>
        <w:rPr>
          <w:bCs/>
        </w:rPr>
      </w:pPr>
    </w:p>
    <w:p w14:paraId="35EE2A00" w14:textId="0CCE121A" w:rsidR="00817784" w:rsidRDefault="00817784" w:rsidP="005220CD">
      <w:pPr>
        <w:rPr>
          <w:bCs/>
        </w:rPr>
      </w:pPr>
    </w:p>
    <w:p w14:paraId="58992997" w14:textId="06DD5DE6" w:rsidR="00817784" w:rsidRDefault="00817784" w:rsidP="005220CD">
      <w:pPr>
        <w:rPr>
          <w:bCs/>
        </w:rPr>
      </w:pPr>
    </w:p>
    <w:p w14:paraId="75680470" w14:textId="327F2C42" w:rsidR="00817784" w:rsidRDefault="00817784" w:rsidP="005220CD">
      <w:pPr>
        <w:rPr>
          <w:bCs/>
        </w:rPr>
      </w:pPr>
    </w:p>
    <w:p w14:paraId="53D1A549" w14:textId="77777777" w:rsidR="00817784" w:rsidRDefault="00817784" w:rsidP="005220CD">
      <w:pPr>
        <w:rPr>
          <w:bCs/>
        </w:rPr>
      </w:pPr>
    </w:p>
    <w:p w14:paraId="4F3F24F3" w14:textId="11638E78" w:rsidR="00BA4D90" w:rsidRPr="00F633A0" w:rsidRDefault="001144DE" w:rsidP="00AB23D7">
      <w:pPr>
        <w:pStyle w:val="ListParagraph"/>
        <w:widowControl w:val="0"/>
        <w:ind w:left="0"/>
        <w:rPr>
          <w:rFonts w:ascii="Times New Roman" w:hAnsi="Times New Roman"/>
          <w:b/>
          <w:color w:val="194D80"/>
          <w:sz w:val="28"/>
          <w:szCs w:val="28"/>
        </w:rPr>
      </w:pPr>
      <w:r w:rsidRPr="006665F6">
        <w:rPr>
          <w:b/>
          <w:noProof/>
          <w:color w:val="194D80"/>
          <w:sz w:val="28"/>
          <w:szCs w:val="28"/>
        </w:rPr>
        <w:lastRenderedPageBreak/>
        <mc:AlternateContent>
          <mc:Choice Requires="wps">
            <w:drawing>
              <wp:anchor distT="45720" distB="45720" distL="114300" distR="114300" simplePos="0" relativeHeight="251658248" behindDoc="0" locked="0" layoutInCell="1" allowOverlap="1" wp14:anchorId="5B160E4A" wp14:editId="6392C89D">
                <wp:simplePos x="0" y="0"/>
                <wp:positionH relativeFrom="margin">
                  <wp:align>right</wp:align>
                </wp:positionH>
                <wp:positionV relativeFrom="paragraph">
                  <wp:posOffset>5140960</wp:posOffset>
                </wp:positionV>
                <wp:extent cx="6865620" cy="9525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952500"/>
                        </a:xfrm>
                        <a:prstGeom prst="rect">
                          <a:avLst/>
                        </a:prstGeom>
                        <a:solidFill>
                          <a:srgbClr val="FFFFFF"/>
                        </a:solidFill>
                        <a:ln w="9525">
                          <a:noFill/>
                          <a:miter lim="800000"/>
                          <a:headEnd/>
                          <a:tailEnd/>
                        </a:ln>
                      </wps:spPr>
                      <wps:txbx>
                        <w:txbxContent>
                          <w:p w14:paraId="5B5CA0AB" w14:textId="77777777" w:rsidR="004611CA" w:rsidRPr="002E4F1F" w:rsidRDefault="005B3005" w:rsidP="00E56690">
                            <w:pPr>
                              <w:rPr>
                                <w:sz w:val="12"/>
                                <w:szCs w:val="12"/>
                              </w:rPr>
                            </w:pPr>
                            <w:r w:rsidRPr="002E4F1F">
                              <w:rPr>
                                <w:sz w:val="12"/>
                                <w:szCs w:val="12"/>
                              </w:rPr>
                              <w:t>†</w:t>
                            </w:r>
                            <w:r w:rsidR="008B196C" w:rsidRPr="002E4F1F">
                              <w:rPr>
                                <w:sz w:val="12"/>
                                <w:szCs w:val="12"/>
                              </w:rPr>
                              <w:t xml:space="preserve"> In 2018-2019, this category excluded </w:t>
                            </w:r>
                            <w:r w:rsidR="000719CB" w:rsidRPr="002E4F1F">
                              <w:rPr>
                                <w:sz w:val="12"/>
                                <w:szCs w:val="12"/>
                              </w:rPr>
                              <w:t xml:space="preserve">14 opioid-related overdose deaths among those working in the military or military specific occupations due to lack of denominator information and 50 opioid-related overdose deaths because the death certificates did not contain enough information to code </w:t>
                            </w:r>
                            <w:r w:rsidR="00472869" w:rsidRPr="002E4F1F">
                              <w:rPr>
                                <w:sz w:val="12"/>
                                <w:szCs w:val="12"/>
                              </w:rPr>
                              <w:t>industry</w:t>
                            </w:r>
                            <w:r w:rsidR="008B196C" w:rsidRPr="002E4F1F">
                              <w:rPr>
                                <w:sz w:val="12"/>
                                <w:szCs w:val="12"/>
                              </w:rPr>
                              <w:t xml:space="preserve">; In 2020, this category excluded </w:t>
                            </w:r>
                            <w:r w:rsidR="004611CA" w:rsidRPr="002E4F1F">
                              <w:rPr>
                                <w:sz w:val="12"/>
                                <w:szCs w:val="12"/>
                              </w:rPr>
                              <w:t xml:space="preserve">5 opioid-related overdose deaths among those working in the military or military specific occupations due to lack of denominator information and 13 opioid-related overdose deaths because the death certificates did not contain enough information to code </w:t>
                            </w:r>
                            <w:r w:rsidR="00472869" w:rsidRPr="002E4F1F">
                              <w:rPr>
                                <w:sz w:val="12"/>
                                <w:szCs w:val="12"/>
                              </w:rPr>
                              <w:t>industry</w:t>
                            </w:r>
                            <w:r w:rsidR="004611CA" w:rsidRPr="002E4F1F">
                              <w:rPr>
                                <w:sz w:val="12"/>
                                <w:szCs w:val="12"/>
                              </w:rPr>
                              <w:t>.</w:t>
                            </w:r>
                          </w:p>
                          <w:p w14:paraId="0B8C9A90" w14:textId="77777777" w:rsidR="004C4524" w:rsidRPr="002E4F1F" w:rsidRDefault="006A6DF9" w:rsidP="00E56690">
                            <w:pPr>
                              <w:rPr>
                                <w:sz w:val="12"/>
                                <w:szCs w:val="12"/>
                              </w:rPr>
                            </w:pPr>
                            <w:r w:rsidRPr="002E4F1F">
                              <w:rPr>
                                <w:sz w:val="12"/>
                                <w:szCs w:val="12"/>
                              </w:rPr>
                              <w:t>*</w:t>
                            </w:r>
                            <w:r w:rsidR="00DF62F0" w:rsidRPr="002E4F1F">
                              <w:rPr>
                                <w:sz w:val="12"/>
                                <w:szCs w:val="12"/>
                              </w:rPr>
                              <w:t>Su</w:t>
                            </w:r>
                            <w:r w:rsidR="00A74220" w:rsidRPr="002E4F1F">
                              <w:rPr>
                                <w:sz w:val="12"/>
                                <w:szCs w:val="12"/>
                              </w:rPr>
                              <w:t>p</w:t>
                            </w:r>
                            <w:r w:rsidR="00DF62F0" w:rsidRPr="002E4F1F">
                              <w:rPr>
                                <w:sz w:val="12"/>
                                <w:szCs w:val="12"/>
                              </w:rPr>
                              <w:t xml:space="preserve">pressed due to </w:t>
                            </w:r>
                            <w:r w:rsidR="00A74220" w:rsidRPr="002E4F1F">
                              <w:rPr>
                                <w:sz w:val="12"/>
                                <w:szCs w:val="12"/>
                              </w:rPr>
                              <w:t>cell size restriction</w:t>
                            </w:r>
                          </w:p>
                          <w:p w14:paraId="2C124302" w14:textId="021D763A" w:rsidR="006A6DF9" w:rsidRDefault="00A74220" w:rsidP="00E56690">
                            <w:pPr>
                              <w:rPr>
                                <w:sz w:val="12"/>
                                <w:szCs w:val="12"/>
                              </w:rPr>
                            </w:pPr>
                            <w:r w:rsidRPr="002E4F1F">
                              <w:rPr>
                                <w:sz w:val="12"/>
                                <w:szCs w:val="12"/>
                              </w:rPr>
                              <w:t>‡</w:t>
                            </w:r>
                            <w:r w:rsidR="006A6DF9" w:rsidRPr="002E4F1F">
                              <w:rPr>
                                <w:sz w:val="12"/>
                                <w:szCs w:val="12"/>
                              </w:rPr>
                              <w:t xml:space="preserve">Industries with a </w:t>
                            </w:r>
                            <w:r w:rsidR="005D7ECA" w:rsidRPr="002E4F1F">
                              <w:rPr>
                                <w:sz w:val="12"/>
                                <w:szCs w:val="12"/>
                              </w:rPr>
                              <w:t xml:space="preserve">statistically significant higher rate compared to the rate for all </w:t>
                            </w:r>
                            <w:r w:rsidR="008920E4">
                              <w:rPr>
                                <w:sz w:val="12"/>
                                <w:szCs w:val="12"/>
                              </w:rPr>
                              <w:t>workers</w:t>
                            </w:r>
                          </w:p>
                          <w:p w14:paraId="049EC8D0" w14:textId="74A5950A" w:rsidR="00956737" w:rsidRPr="002E4F1F" w:rsidRDefault="00FC21B6" w:rsidP="00E56690">
                            <w:pPr>
                              <w:rPr>
                                <w:sz w:val="12"/>
                                <w:szCs w:val="12"/>
                              </w:rPr>
                            </w:pPr>
                            <w:r>
                              <w:rPr>
                                <w:sz w:val="12"/>
                                <w:szCs w:val="12"/>
                              </w:rPr>
                              <w:t xml:space="preserve">₸ </w:t>
                            </w:r>
                            <w:r w:rsidR="00CA21E8">
                              <w:rPr>
                                <w:sz w:val="12"/>
                                <w:szCs w:val="12"/>
                              </w:rPr>
                              <w:t>65.6</w:t>
                            </w:r>
                            <w:r>
                              <w:rPr>
                                <w:sz w:val="12"/>
                                <w:szCs w:val="12"/>
                              </w:rPr>
                              <w:t xml:space="preserve">% of these deaths occurred among workers employed in Fishing </w:t>
                            </w:r>
                            <w:r w:rsidR="00CA21E8">
                              <w:rPr>
                                <w:sz w:val="12"/>
                                <w:szCs w:val="12"/>
                              </w:rPr>
                              <w:t>industries</w:t>
                            </w:r>
                          </w:p>
                          <w:p w14:paraId="53A15C26" w14:textId="77777777" w:rsidR="00E56690" w:rsidRPr="002E4F1F" w:rsidRDefault="00E56690" w:rsidP="00E56690">
                            <w:pPr>
                              <w:rPr>
                                <w:sz w:val="12"/>
                                <w:szCs w:val="12"/>
                              </w:rPr>
                            </w:pPr>
                            <w:r w:rsidRPr="002E4F1F">
                              <w:rPr>
                                <w:sz w:val="12"/>
                                <w:szCs w:val="12"/>
                              </w:rPr>
                              <w:t xml:space="preserve">Numerator source: </w:t>
                            </w:r>
                            <w:r w:rsidR="00B25B1F" w:rsidRPr="002E4F1F">
                              <w:rPr>
                                <w:sz w:val="12"/>
                                <w:szCs w:val="12"/>
                              </w:rPr>
                              <w:t>Massachusetts Registry of Vital Records and Statistics</w:t>
                            </w:r>
                            <w:r w:rsidRPr="002E4F1F">
                              <w:rPr>
                                <w:sz w:val="12"/>
                                <w:szCs w:val="12"/>
                              </w:rPr>
                              <w:t>, 201</w:t>
                            </w:r>
                            <w:r w:rsidR="008E1C03" w:rsidRPr="002E4F1F">
                              <w:rPr>
                                <w:sz w:val="12"/>
                                <w:szCs w:val="12"/>
                              </w:rPr>
                              <w:t>8</w:t>
                            </w:r>
                            <w:r w:rsidRPr="002E4F1F">
                              <w:rPr>
                                <w:sz w:val="12"/>
                                <w:szCs w:val="12"/>
                              </w:rPr>
                              <w:t>-2020</w:t>
                            </w:r>
                          </w:p>
                          <w:p w14:paraId="7058EF06" w14:textId="77777777" w:rsidR="00E56690" w:rsidRPr="002E4F1F" w:rsidRDefault="00E56690" w:rsidP="00E56690">
                            <w:pPr>
                              <w:rPr>
                                <w:sz w:val="12"/>
                                <w:szCs w:val="12"/>
                              </w:rPr>
                            </w:pPr>
                            <w:r w:rsidRPr="002E4F1F">
                              <w:rPr>
                                <w:sz w:val="12"/>
                                <w:szCs w:val="12"/>
                              </w:rPr>
                              <w:t>Denominator source: American Community Survey, 201</w:t>
                            </w:r>
                            <w:r w:rsidR="008E1C03" w:rsidRPr="002E4F1F">
                              <w:rPr>
                                <w:sz w:val="12"/>
                                <w:szCs w:val="12"/>
                              </w:rPr>
                              <w:t>8</w:t>
                            </w:r>
                            <w:r w:rsidRPr="002E4F1F">
                              <w:rPr>
                                <w:sz w:val="12"/>
                                <w:szCs w:val="12"/>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60E4A" id="_x0000_t202" coordsize="21600,21600" o:spt="202" path="m,l,21600r21600,l21600,xe">
                <v:stroke joinstyle="miter"/>
                <v:path gradientshapeok="t" o:connecttype="rect"/>
              </v:shapetype>
              <v:shape id="_x0000_s1033" type="#_x0000_t202" style="position:absolute;margin-left:489.4pt;margin-top:404.8pt;width:540.6pt;height:7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" stroked="f">
                <v:textbox>
                  <w:txbxContent>
                    <w:p w14:paraId="5B5CA0AB" w14:textId="77777777" w:rsidR="004611CA" w:rsidRPr="002E4F1F" w:rsidRDefault="005B3005" w:rsidP="00E56690">
                      <w:pPr>
                        <w:rPr>
                          <w:sz w:val="12"/>
                          <w:szCs w:val="12"/>
                        </w:rPr>
                      </w:pPr>
                      <w:r w:rsidRPr="002E4F1F">
                        <w:rPr>
                          <w:sz w:val="12"/>
                          <w:szCs w:val="12"/>
                        </w:rPr>
                        <w:t>†</w:t>
                      </w:r>
                      <w:r w:rsidR="008B196C" w:rsidRPr="002E4F1F">
                        <w:rPr>
                          <w:sz w:val="12"/>
                          <w:szCs w:val="12"/>
                        </w:rPr>
                        <w:t xml:space="preserve"> In 2018-2019, this category excluded </w:t>
                      </w:r>
                      <w:r w:rsidR="000719CB" w:rsidRPr="002E4F1F">
                        <w:rPr>
                          <w:sz w:val="12"/>
                          <w:szCs w:val="12"/>
                        </w:rPr>
                        <w:t xml:space="preserve">14 opioid-related overdose deaths among those working in the military or military specific occupations due to lack of denominator information and 50 opioid-related overdose deaths because the death certificates did not contain enough information to code </w:t>
                      </w:r>
                      <w:r w:rsidR="00472869" w:rsidRPr="002E4F1F">
                        <w:rPr>
                          <w:sz w:val="12"/>
                          <w:szCs w:val="12"/>
                        </w:rPr>
                        <w:t>industry</w:t>
                      </w:r>
                      <w:r w:rsidR="008B196C" w:rsidRPr="002E4F1F">
                        <w:rPr>
                          <w:sz w:val="12"/>
                          <w:szCs w:val="12"/>
                        </w:rPr>
                        <w:t xml:space="preserve">; In 2020, this category excluded </w:t>
                      </w:r>
                      <w:r w:rsidR="004611CA" w:rsidRPr="002E4F1F">
                        <w:rPr>
                          <w:sz w:val="12"/>
                          <w:szCs w:val="12"/>
                        </w:rPr>
                        <w:t xml:space="preserve">5 opioid-related overdose deaths among those working in the military or military specific occupations due to lack of denominator information and 13 opioid-related overdose deaths because the death certificates did not contain enough information to code </w:t>
                      </w:r>
                      <w:r w:rsidR="00472869" w:rsidRPr="002E4F1F">
                        <w:rPr>
                          <w:sz w:val="12"/>
                          <w:szCs w:val="12"/>
                        </w:rPr>
                        <w:t>industry</w:t>
                      </w:r>
                      <w:r w:rsidR="004611CA" w:rsidRPr="002E4F1F">
                        <w:rPr>
                          <w:sz w:val="12"/>
                          <w:szCs w:val="12"/>
                        </w:rPr>
                        <w:t>.</w:t>
                      </w:r>
                    </w:p>
                    <w:p w14:paraId="0B8C9A90" w14:textId="77777777" w:rsidR="004C4524" w:rsidRPr="002E4F1F" w:rsidRDefault="006A6DF9" w:rsidP="00E56690">
                      <w:pPr>
                        <w:rPr>
                          <w:sz w:val="12"/>
                          <w:szCs w:val="12"/>
                        </w:rPr>
                      </w:pPr>
                      <w:r w:rsidRPr="002E4F1F">
                        <w:rPr>
                          <w:sz w:val="12"/>
                          <w:szCs w:val="12"/>
                        </w:rPr>
                        <w:t>*</w:t>
                      </w:r>
                      <w:r w:rsidR="00DF62F0" w:rsidRPr="002E4F1F">
                        <w:rPr>
                          <w:sz w:val="12"/>
                          <w:szCs w:val="12"/>
                        </w:rPr>
                        <w:t>Su</w:t>
                      </w:r>
                      <w:r w:rsidR="00A74220" w:rsidRPr="002E4F1F">
                        <w:rPr>
                          <w:sz w:val="12"/>
                          <w:szCs w:val="12"/>
                        </w:rPr>
                        <w:t>p</w:t>
                      </w:r>
                      <w:r w:rsidR="00DF62F0" w:rsidRPr="002E4F1F">
                        <w:rPr>
                          <w:sz w:val="12"/>
                          <w:szCs w:val="12"/>
                        </w:rPr>
                        <w:t xml:space="preserve">pressed due to </w:t>
                      </w:r>
                      <w:r w:rsidR="00A74220" w:rsidRPr="002E4F1F">
                        <w:rPr>
                          <w:sz w:val="12"/>
                          <w:szCs w:val="12"/>
                        </w:rPr>
                        <w:t>cell size restriction</w:t>
                      </w:r>
                    </w:p>
                    <w:p w14:paraId="2C124302" w14:textId="021D763A" w:rsidR="006A6DF9" w:rsidRDefault="00A74220" w:rsidP="00E56690">
                      <w:pPr>
                        <w:rPr>
                          <w:sz w:val="12"/>
                          <w:szCs w:val="12"/>
                        </w:rPr>
                      </w:pPr>
                      <w:r w:rsidRPr="002E4F1F">
                        <w:rPr>
                          <w:sz w:val="12"/>
                          <w:szCs w:val="12"/>
                        </w:rPr>
                        <w:t>‡</w:t>
                      </w:r>
                      <w:r w:rsidR="006A6DF9" w:rsidRPr="002E4F1F">
                        <w:rPr>
                          <w:sz w:val="12"/>
                          <w:szCs w:val="12"/>
                        </w:rPr>
                        <w:t xml:space="preserve">Industries with a </w:t>
                      </w:r>
                      <w:r w:rsidR="005D7ECA" w:rsidRPr="002E4F1F">
                        <w:rPr>
                          <w:sz w:val="12"/>
                          <w:szCs w:val="12"/>
                        </w:rPr>
                        <w:t xml:space="preserve">statistically significant higher rate compared to the rate for all </w:t>
                      </w:r>
                      <w:r w:rsidR="008920E4">
                        <w:rPr>
                          <w:sz w:val="12"/>
                          <w:szCs w:val="12"/>
                        </w:rPr>
                        <w:t>workers</w:t>
                      </w:r>
                    </w:p>
                    <w:p w14:paraId="049EC8D0" w14:textId="74A5950A" w:rsidR="00956737" w:rsidRPr="002E4F1F" w:rsidRDefault="00FC21B6" w:rsidP="00E56690">
                      <w:pPr>
                        <w:rPr>
                          <w:sz w:val="12"/>
                          <w:szCs w:val="12"/>
                        </w:rPr>
                      </w:pPr>
                      <w:r>
                        <w:rPr>
                          <w:sz w:val="12"/>
                          <w:szCs w:val="12"/>
                        </w:rPr>
                        <w:t xml:space="preserve">₸ </w:t>
                      </w:r>
                      <w:r w:rsidR="00CA21E8">
                        <w:rPr>
                          <w:sz w:val="12"/>
                          <w:szCs w:val="12"/>
                        </w:rPr>
                        <w:t>65.6</w:t>
                      </w:r>
                      <w:r>
                        <w:rPr>
                          <w:sz w:val="12"/>
                          <w:szCs w:val="12"/>
                        </w:rPr>
                        <w:t xml:space="preserve">% of these deaths occurred among workers employed in Fishing </w:t>
                      </w:r>
                      <w:r w:rsidR="00CA21E8">
                        <w:rPr>
                          <w:sz w:val="12"/>
                          <w:szCs w:val="12"/>
                        </w:rPr>
                        <w:t>industries</w:t>
                      </w:r>
                    </w:p>
                    <w:p w14:paraId="53A15C26" w14:textId="77777777" w:rsidR="00E56690" w:rsidRPr="002E4F1F" w:rsidRDefault="00E56690" w:rsidP="00E56690">
                      <w:pPr>
                        <w:rPr>
                          <w:sz w:val="12"/>
                          <w:szCs w:val="12"/>
                        </w:rPr>
                      </w:pPr>
                      <w:r w:rsidRPr="002E4F1F">
                        <w:rPr>
                          <w:sz w:val="12"/>
                          <w:szCs w:val="12"/>
                        </w:rPr>
                        <w:t xml:space="preserve">Numerator source: </w:t>
                      </w:r>
                      <w:r w:rsidR="00B25B1F" w:rsidRPr="002E4F1F">
                        <w:rPr>
                          <w:sz w:val="12"/>
                          <w:szCs w:val="12"/>
                        </w:rPr>
                        <w:t>Massachusetts Registry of Vital Records and Statistics</w:t>
                      </w:r>
                      <w:r w:rsidRPr="002E4F1F">
                        <w:rPr>
                          <w:sz w:val="12"/>
                          <w:szCs w:val="12"/>
                        </w:rPr>
                        <w:t>, 201</w:t>
                      </w:r>
                      <w:r w:rsidR="008E1C03" w:rsidRPr="002E4F1F">
                        <w:rPr>
                          <w:sz w:val="12"/>
                          <w:szCs w:val="12"/>
                        </w:rPr>
                        <w:t>8</w:t>
                      </w:r>
                      <w:r w:rsidRPr="002E4F1F">
                        <w:rPr>
                          <w:sz w:val="12"/>
                          <w:szCs w:val="12"/>
                        </w:rPr>
                        <w:t>-2020</w:t>
                      </w:r>
                    </w:p>
                    <w:p w14:paraId="7058EF06" w14:textId="77777777" w:rsidR="00E56690" w:rsidRPr="002E4F1F" w:rsidRDefault="00E56690" w:rsidP="00E56690">
                      <w:pPr>
                        <w:rPr>
                          <w:sz w:val="12"/>
                          <w:szCs w:val="12"/>
                        </w:rPr>
                      </w:pPr>
                      <w:r w:rsidRPr="002E4F1F">
                        <w:rPr>
                          <w:sz w:val="12"/>
                          <w:szCs w:val="12"/>
                        </w:rPr>
                        <w:t>Denominator source: American Community Survey, 201</w:t>
                      </w:r>
                      <w:r w:rsidR="008E1C03" w:rsidRPr="002E4F1F">
                        <w:rPr>
                          <w:sz w:val="12"/>
                          <w:szCs w:val="12"/>
                        </w:rPr>
                        <w:t>8</w:t>
                      </w:r>
                      <w:r w:rsidRPr="002E4F1F">
                        <w:rPr>
                          <w:sz w:val="12"/>
                          <w:szCs w:val="12"/>
                        </w:rPr>
                        <w:t>-2020</w:t>
                      </w:r>
                    </w:p>
                  </w:txbxContent>
                </v:textbox>
                <w10:wrap anchorx="margin"/>
              </v:shape>
            </w:pict>
          </mc:Fallback>
        </mc:AlternateContent>
      </w:r>
      <w:r w:rsidR="00D3316A" w:rsidRPr="006665F6">
        <w:rPr>
          <w:b/>
          <w:noProof/>
          <w:color w:val="194D80"/>
          <w:sz w:val="28"/>
          <w:szCs w:val="28"/>
        </w:rPr>
        <mc:AlternateContent>
          <mc:Choice Requires="wps">
            <w:drawing>
              <wp:anchor distT="45720" distB="45720" distL="114300" distR="114300" simplePos="0" relativeHeight="251658246" behindDoc="0" locked="0" layoutInCell="1" allowOverlap="1" wp14:anchorId="5663E3F4" wp14:editId="56DD245C">
                <wp:simplePos x="0" y="0"/>
                <wp:positionH relativeFrom="margin">
                  <wp:posOffset>352425</wp:posOffset>
                </wp:positionH>
                <wp:positionV relativeFrom="paragraph">
                  <wp:posOffset>3483610</wp:posOffset>
                </wp:positionV>
                <wp:extent cx="6445885" cy="6242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624205"/>
                        </a:xfrm>
                        <a:prstGeom prst="rect">
                          <a:avLst/>
                        </a:prstGeom>
                        <a:solidFill>
                          <a:srgbClr val="FFFFFF"/>
                        </a:solidFill>
                        <a:ln w="9525">
                          <a:noFill/>
                          <a:miter lim="800000"/>
                          <a:headEnd/>
                          <a:tailEnd/>
                        </a:ln>
                      </wps:spPr>
                      <wps:txbx>
                        <w:txbxContent>
                          <w:p w14:paraId="282583EC" w14:textId="774B8AE9" w:rsidR="00BA4D90" w:rsidRDefault="00BA4D90" w:rsidP="00BA4D90">
                            <w:pPr>
                              <w:rPr>
                                <w:sz w:val="14"/>
                                <w:szCs w:val="14"/>
                              </w:rPr>
                            </w:pPr>
                            <w:r w:rsidRPr="0012422F">
                              <w:rPr>
                                <w:sz w:val="14"/>
                                <w:szCs w:val="14"/>
                              </w:rPr>
                              <w:t xml:space="preserve">*This category excluded </w:t>
                            </w:r>
                            <w:r w:rsidR="00892DF4">
                              <w:rPr>
                                <w:sz w:val="14"/>
                                <w:szCs w:val="14"/>
                              </w:rPr>
                              <w:t>6</w:t>
                            </w:r>
                            <w:r w:rsidRPr="0012422F">
                              <w:rPr>
                                <w:sz w:val="14"/>
                                <w:szCs w:val="14"/>
                              </w:rPr>
                              <w:t xml:space="preserve"> </w:t>
                            </w:r>
                            <w:r w:rsidR="00892DF4">
                              <w:rPr>
                                <w:sz w:val="14"/>
                                <w:szCs w:val="14"/>
                              </w:rPr>
                              <w:t xml:space="preserve">opioid-related overdose deaths </w:t>
                            </w:r>
                            <w:r w:rsidRPr="0012422F">
                              <w:rPr>
                                <w:sz w:val="14"/>
                                <w:szCs w:val="14"/>
                              </w:rPr>
                              <w:t xml:space="preserve">among those working in the military or military specific occupations due to lack of denominator information and </w:t>
                            </w:r>
                            <w:r w:rsidR="00FE3C37">
                              <w:rPr>
                                <w:sz w:val="14"/>
                                <w:szCs w:val="14"/>
                              </w:rPr>
                              <w:t>30 opioid-related overdose deaths</w:t>
                            </w:r>
                            <w:r w:rsidRPr="0012422F">
                              <w:rPr>
                                <w:sz w:val="14"/>
                                <w:szCs w:val="14"/>
                              </w:rPr>
                              <w:t xml:space="preserve"> because the death certificates did not contain enough information to code occupation</w:t>
                            </w:r>
                            <w:r>
                              <w:rPr>
                                <w:sz w:val="14"/>
                                <w:szCs w:val="14"/>
                              </w:rPr>
                              <w:t>.</w:t>
                            </w:r>
                          </w:p>
                          <w:p w14:paraId="1A243E35" w14:textId="74CB58FA" w:rsidR="00FE3C37" w:rsidRDefault="00BA4D90" w:rsidP="00FE3C37">
                            <w:pPr>
                              <w:rPr>
                                <w:sz w:val="14"/>
                                <w:szCs w:val="14"/>
                              </w:rPr>
                            </w:pPr>
                            <w:r>
                              <w:rPr>
                                <w:sz w:val="14"/>
                                <w:szCs w:val="14"/>
                              </w:rPr>
                              <w:t xml:space="preserve">Numerator source: </w:t>
                            </w:r>
                            <w:r w:rsidR="00FE3C37">
                              <w:rPr>
                                <w:sz w:val="14"/>
                                <w:szCs w:val="14"/>
                              </w:rPr>
                              <w:t>Occupational Health Surveillance Program, 2020</w:t>
                            </w:r>
                          </w:p>
                          <w:p w14:paraId="1518F050" w14:textId="4F213008" w:rsidR="00BA4D90" w:rsidRPr="0012422F" w:rsidRDefault="00BA4D90" w:rsidP="00BA4D90">
                            <w:pPr>
                              <w:rPr>
                                <w:sz w:val="14"/>
                                <w:szCs w:val="14"/>
                              </w:rPr>
                            </w:pPr>
                            <w:r>
                              <w:rPr>
                                <w:sz w:val="14"/>
                                <w:szCs w:val="14"/>
                              </w:rPr>
                              <w:t xml:space="preserve">Denominator source: American Community Survey, </w:t>
                            </w:r>
                            <w:r w:rsidR="00FE3C37">
                              <w:rPr>
                                <w:sz w:val="14"/>
                                <w:szCs w:val="14"/>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3E3F4" id="_x0000_s1034" type="#_x0000_t202" style="position:absolute;margin-left:27.75pt;margin-top:274.3pt;width:507.55pt;height:49.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" stroked="f">
                <v:textbox>
                  <w:txbxContent>
                    <w:p w14:paraId="282583EC" w14:textId="774B8AE9" w:rsidR="00BA4D90" w:rsidRDefault="00BA4D90" w:rsidP="00BA4D90">
                      <w:pPr>
                        <w:rPr>
                          <w:sz w:val="14"/>
                          <w:szCs w:val="14"/>
                        </w:rPr>
                      </w:pPr>
                      <w:r w:rsidRPr="0012422F">
                        <w:rPr>
                          <w:sz w:val="14"/>
                          <w:szCs w:val="14"/>
                        </w:rPr>
                        <w:t xml:space="preserve">*This category excluded </w:t>
                      </w:r>
                      <w:r w:rsidR="00892DF4">
                        <w:rPr>
                          <w:sz w:val="14"/>
                          <w:szCs w:val="14"/>
                        </w:rPr>
                        <w:t>6</w:t>
                      </w:r>
                      <w:r w:rsidRPr="0012422F">
                        <w:rPr>
                          <w:sz w:val="14"/>
                          <w:szCs w:val="14"/>
                        </w:rPr>
                        <w:t xml:space="preserve"> </w:t>
                      </w:r>
                      <w:r w:rsidR="00892DF4">
                        <w:rPr>
                          <w:sz w:val="14"/>
                          <w:szCs w:val="14"/>
                        </w:rPr>
                        <w:t xml:space="preserve">opioid-related overdose deaths </w:t>
                      </w:r>
                      <w:r w:rsidRPr="0012422F">
                        <w:rPr>
                          <w:sz w:val="14"/>
                          <w:szCs w:val="14"/>
                        </w:rPr>
                        <w:t xml:space="preserve">among those working in the military or military specific occupations due to lack of denominator information and </w:t>
                      </w:r>
                      <w:r w:rsidR="00FE3C37">
                        <w:rPr>
                          <w:sz w:val="14"/>
                          <w:szCs w:val="14"/>
                        </w:rPr>
                        <w:t>30 opioid-related overdose deaths</w:t>
                      </w:r>
                      <w:r w:rsidRPr="0012422F">
                        <w:rPr>
                          <w:sz w:val="14"/>
                          <w:szCs w:val="14"/>
                        </w:rPr>
                        <w:t xml:space="preserve"> because the death certificates did not contain enough information to code occupation</w:t>
                      </w:r>
                      <w:r>
                        <w:rPr>
                          <w:sz w:val="14"/>
                          <w:szCs w:val="14"/>
                        </w:rPr>
                        <w:t>.</w:t>
                      </w:r>
                    </w:p>
                    <w:p w14:paraId="1A243E35" w14:textId="74CB58FA" w:rsidR="00FE3C37" w:rsidRDefault="00BA4D90" w:rsidP="00FE3C37">
                      <w:pPr>
                        <w:rPr>
                          <w:sz w:val="14"/>
                          <w:szCs w:val="14"/>
                        </w:rPr>
                      </w:pPr>
                      <w:r>
                        <w:rPr>
                          <w:sz w:val="14"/>
                          <w:szCs w:val="14"/>
                        </w:rPr>
                        <w:t xml:space="preserve">Numerator source: </w:t>
                      </w:r>
                      <w:r w:rsidR="00FE3C37">
                        <w:rPr>
                          <w:sz w:val="14"/>
                          <w:szCs w:val="14"/>
                        </w:rPr>
                        <w:t>Occupational Health Surveillance Program, 2020</w:t>
                      </w:r>
                    </w:p>
                    <w:p w14:paraId="1518F050" w14:textId="4F213008" w:rsidR="00BA4D90" w:rsidRPr="0012422F" w:rsidRDefault="00BA4D90" w:rsidP="00BA4D90">
                      <w:pPr>
                        <w:rPr>
                          <w:sz w:val="14"/>
                          <w:szCs w:val="14"/>
                        </w:rPr>
                      </w:pPr>
                      <w:r>
                        <w:rPr>
                          <w:sz w:val="14"/>
                          <w:szCs w:val="14"/>
                        </w:rPr>
                        <w:t xml:space="preserve">Denominator source: American Community Survey, </w:t>
                      </w:r>
                      <w:r w:rsidR="00FE3C37">
                        <w:rPr>
                          <w:sz w:val="14"/>
                          <w:szCs w:val="14"/>
                        </w:rPr>
                        <w:t>2020</w:t>
                      </w:r>
                    </w:p>
                  </w:txbxContent>
                </v:textbox>
                <w10:wrap anchorx="margin"/>
              </v:shape>
            </w:pict>
          </mc:Fallback>
        </mc:AlternateContent>
      </w:r>
      <w:r w:rsidR="00C44121" w:rsidRPr="00726C71">
        <w:rPr>
          <w:noProof/>
        </w:rPr>
        <mc:AlternateContent>
          <mc:Choice Requires="wps">
            <w:drawing>
              <wp:anchor distT="0" distB="0" distL="114300" distR="114300" simplePos="0" relativeHeight="251658243" behindDoc="0" locked="0" layoutInCell="1" allowOverlap="1" wp14:anchorId="6529E0F9" wp14:editId="16D9F7E6">
                <wp:simplePos x="0" y="0"/>
                <wp:positionH relativeFrom="column">
                  <wp:posOffset>0</wp:posOffset>
                </wp:positionH>
                <wp:positionV relativeFrom="paragraph">
                  <wp:posOffset>-635</wp:posOffset>
                </wp:positionV>
                <wp:extent cx="6847205" cy="2667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chemeClr val="tx2"/>
                        </a:solidFill>
                        <a:ln w="9525">
                          <a:noFill/>
                          <a:miter lim="800000"/>
                          <a:headEnd/>
                          <a:tailEnd/>
                        </a:ln>
                      </wps:spPr>
                      <wps:txbx>
                        <w:txbxContent>
                          <w:p w14:paraId="47BF47FC" w14:textId="5CF4A12C" w:rsidR="005F21FE" w:rsidRPr="005F21FE" w:rsidRDefault="005F21FE" w:rsidP="005F21FE">
                            <w:pPr>
                              <w:jc w:val="center"/>
                              <w:rPr>
                                <w:b/>
                                <w:color w:val="FFFFFF" w:themeColor="background1"/>
                              </w:rPr>
                            </w:pPr>
                            <w:r>
                              <w:rPr>
                                <w:b/>
                                <w:color w:val="FFFFFF" w:themeColor="background1"/>
                              </w:rPr>
                              <w:t xml:space="preserve">Opioid-related Overdose Death Rates </w:t>
                            </w:r>
                            <w:r w:rsidRPr="005F21FE">
                              <w:rPr>
                                <w:b/>
                                <w:color w:val="FFFFFF" w:themeColor="background1"/>
                              </w:rPr>
                              <w:t>by Industry and Occupation</w:t>
                            </w:r>
                          </w:p>
                          <w:p w14:paraId="26EA6773" w14:textId="1ED0B512" w:rsidR="00C44121" w:rsidRPr="005E14F6" w:rsidRDefault="00C44121" w:rsidP="00C4412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9E0F9" id="_x0000_s1035" type="#_x0000_t202" style="position:absolute;margin-left:0;margin-top:-.05pt;width:539.15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" fillcolor="#1f497d [3215]" stroked="f">
                <v:textbox>
                  <w:txbxContent>
                    <w:p w14:paraId="47BF47FC" w14:textId="5CF4A12C" w:rsidR="005F21FE" w:rsidRPr="005F21FE" w:rsidRDefault="005F21FE" w:rsidP="005F21FE">
                      <w:pPr>
                        <w:jc w:val="center"/>
                        <w:rPr>
                          <w:b/>
                          <w:color w:val="FFFFFF" w:themeColor="background1"/>
                        </w:rPr>
                      </w:pPr>
                      <w:r>
                        <w:rPr>
                          <w:b/>
                          <w:color w:val="FFFFFF" w:themeColor="background1"/>
                        </w:rPr>
                        <w:t xml:space="preserve">Opioid-related Overdose Death Rates </w:t>
                      </w:r>
                      <w:r w:rsidRPr="005F21FE">
                        <w:rPr>
                          <w:b/>
                          <w:color w:val="FFFFFF" w:themeColor="background1"/>
                        </w:rPr>
                        <w:t>by Industry and Occupation</w:t>
                      </w:r>
                    </w:p>
                    <w:p w14:paraId="26EA6773" w14:textId="1ED0B512" w:rsidR="00C44121" w:rsidRPr="005E14F6" w:rsidRDefault="00C44121" w:rsidP="00C44121">
                      <w:pPr>
                        <w:jc w:val="center"/>
                        <w:rPr>
                          <w:b/>
                        </w:rPr>
                      </w:pPr>
                    </w:p>
                  </w:txbxContent>
                </v:textbox>
              </v:shape>
            </w:pict>
          </mc:Fallback>
        </mc:AlternateContent>
      </w:r>
    </w:p>
    <w:p w14:paraId="6707224E" w14:textId="5A7BF2E2" w:rsidR="00E56690" w:rsidRPr="00BA4D90" w:rsidRDefault="00E56690" w:rsidP="00BA4D90">
      <w:pPr>
        <w:pStyle w:val="ListParagraph"/>
        <w:widowControl w:val="0"/>
        <w:ind w:left="1080"/>
        <w:rPr>
          <w:rFonts w:ascii="Times New Roman" w:hAnsi="Times New Roman"/>
          <w:bCs/>
          <w:i/>
          <w:iCs/>
          <w:color w:val="194D80"/>
          <w:sz w:val="28"/>
          <w:szCs w:val="28"/>
        </w:rPr>
      </w:pPr>
    </w:p>
    <w:p w14:paraId="7F27BDB4" w14:textId="35680A9B" w:rsidR="00BA4D90" w:rsidRDefault="00817784" w:rsidP="00817784">
      <w:pPr>
        <w:pStyle w:val="ListParagraph"/>
        <w:widowControl w:val="0"/>
        <w:ind w:left="1080"/>
        <w:jc w:val="center"/>
        <w:rPr>
          <w:rFonts w:asciiTheme="minorHAnsi" w:hAnsiTheme="minorHAnsi" w:cstheme="minorHAnsi"/>
          <w:b/>
        </w:rPr>
      </w:pPr>
      <w:r>
        <w:rPr>
          <w:noProof/>
        </w:rPr>
        <w:drawing>
          <wp:anchor distT="0" distB="0" distL="114300" distR="114300" simplePos="0" relativeHeight="251658256" behindDoc="1" locked="0" layoutInCell="1" allowOverlap="1" wp14:anchorId="2E55457A" wp14:editId="51C4674A">
            <wp:simplePos x="0" y="0"/>
            <wp:positionH relativeFrom="margin">
              <wp:posOffset>-234950</wp:posOffset>
            </wp:positionH>
            <wp:positionV relativeFrom="paragraph">
              <wp:posOffset>270510</wp:posOffset>
            </wp:positionV>
            <wp:extent cx="7324725" cy="4425950"/>
            <wp:effectExtent l="0" t="0" r="0" b="0"/>
            <wp:wrapTight wrapText="bothSides">
              <wp:wrapPolygon edited="0">
                <wp:start x="0" y="0"/>
                <wp:lineTo x="0" y="21476"/>
                <wp:lineTo x="21516" y="21476"/>
                <wp:lineTo x="21516" y="0"/>
                <wp:lineTo x="0" y="0"/>
              </wp:wrapPolygon>
            </wp:wrapTight>
            <wp:docPr id="27" name="Chart 27">
              <a:extLst xmlns:a="http://schemas.openxmlformats.org/drawingml/2006/main">
                <a:ext uri="{FF2B5EF4-FFF2-40B4-BE49-F238E27FC236}">
                  <a16:creationId xmlns:a16="http://schemas.microsoft.com/office/drawing/2014/main" id="{38626180-0371-46F5-9066-8FEC0E6CD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817784">
        <w:rPr>
          <w:rFonts w:asciiTheme="minorHAnsi" w:hAnsiTheme="minorHAnsi" w:cstheme="minorHAnsi"/>
          <w:b/>
        </w:rPr>
        <w:t>Figure 2. Rate of opioid-related deaths among Massachusetts working-age decedents by industry sectors</w:t>
      </w:r>
    </w:p>
    <w:p w14:paraId="736B9ED8" w14:textId="77777777" w:rsidR="00817784" w:rsidRPr="00817784" w:rsidRDefault="00817784" w:rsidP="00BA4D90">
      <w:pPr>
        <w:pStyle w:val="ListParagraph"/>
        <w:widowControl w:val="0"/>
        <w:ind w:left="1080"/>
        <w:rPr>
          <w:rFonts w:asciiTheme="minorHAnsi" w:hAnsiTheme="minorHAnsi" w:cstheme="minorHAnsi"/>
          <w:b/>
        </w:rPr>
      </w:pPr>
    </w:p>
    <w:p w14:paraId="184A5EAC" w14:textId="77777777" w:rsidR="009B25ED" w:rsidRDefault="009B25ED" w:rsidP="009B25ED">
      <w:pPr>
        <w:pStyle w:val="ListParagraph"/>
        <w:ind w:left="1080"/>
        <w:rPr>
          <w:bCs/>
        </w:rPr>
      </w:pPr>
    </w:p>
    <w:p w14:paraId="578816A3" w14:textId="77777777" w:rsidR="008E1C03" w:rsidRDefault="008E1C03" w:rsidP="008E1C03">
      <w:pPr>
        <w:pStyle w:val="ListParagraph"/>
        <w:ind w:left="1080"/>
        <w:rPr>
          <w:bCs/>
        </w:rPr>
      </w:pPr>
    </w:p>
    <w:p w14:paraId="7A87443F" w14:textId="77777777" w:rsidR="001144DE" w:rsidRDefault="001144DE" w:rsidP="001144DE">
      <w:pPr>
        <w:pStyle w:val="ListParagraph"/>
        <w:ind w:left="1080"/>
        <w:rPr>
          <w:bCs/>
        </w:rPr>
      </w:pPr>
    </w:p>
    <w:p w14:paraId="4A91981A" w14:textId="7BA036B4" w:rsidR="00C46616" w:rsidRDefault="00C07985" w:rsidP="00A972AB">
      <w:pPr>
        <w:pStyle w:val="ListParagraph"/>
        <w:numPr>
          <w:ilvl w:val="0"/>
          <w:numId w:val="24"/>
        </w:numPr>
        <w:rPr>
          <w:bCs/>
        </w:rPr>
      </w:pPr>
      <w:r>
        <w:rPr>
          <w:bCs/>
        </w:rPr>
        <w:t xml:space="preserve">The opioid-related overdose death rate for all Massachusetts </w:t>
      </w:r>
      <w:r w:rsidR="008920E4">
        <w:rPr>
          <w:bCs/>
        </w:rPr>
        <w:t xml:space="preserve">workers </w:t>
      </w:r>
      <w:r>
        <w:rPr>
          <w:bCs/>
        </w:rPr>
        <w:t>across all industry sectors was</w:t>
      </w:r>
      <w:r w:rsidR="00BA10A0">
        <w:rPr>
          <w:bCs/>
        </w:rPr>
        <w:t xml:space="preserve"> 44.7 deaths per 100,000 workers in 2018-2019 and 48.8 deaths per 100,000 workers in 2020.</w:t>
      </w:r>
    </w:p>
    <w:p w14:paraId="3785CDBF" w14:textId="13EE8167" w:rsidR="00936C56" w:rsidRDefault="00936C56" w:rsidP="00A972AB">
      <w:pPr>
        <w:pStyle w:val="ListParagraph"/>
        <w:numPr>
          <w:ilvl w:val="0"/>
          <w:numId w:val="24"/>
        </w:numPr>
        <w:rPr>
          <w:bCs/>
        </w:rPr>
      </w:pPr>
      <w:r>
        <w:rPr>
          <w:bCs/>
        </w:rPr>
        <w:t>The Construction industry sector ha</w:t>
      </w:r>
      <w:r w:rsidR="00566E4A">
        <w:rPr>
          <w:bCs/>
        </w:rPr>
        <w:t>d</w:t>
      </w:r>
      <w:r>
        <w:rPr>
          <w:bCs/>
        </w:rPr>
        <w:t xml:space="preserve"> the highest rate of </w:t>
      </w:r>
      <w:r w:rsidR="00930708">
        <w:rPr>
          <w:bCs/>
        </w:rPr>
        <w:t>opioid</w:t>
      </w:r>
      <w:r w:rsidR="00030D8F">
        <w:rPr>
          <w:bCs/>
        </w:rPr>
        <w:t>-related overdose deaths</w:t>
      </w:r>
      <w:r>
        <w:rPr>
          <w:bCs/>
        </w:rPr>
        <w:t xml:space="preserve"> (216.7 deaths per 100,000 workers in 2018-2019 and </w:t>
      </w:r>
      <w:r w:rsidR="00B14045">
        <w:rPr>
          <w:bCs/>
        </w:rPr>
        <w:t xml:space="preserve">226.2 deaths per 100,000 workers in 2020) and the highest number of </w:t>
      </w:r>
      <w:r w:rsidR="00030D8F">
        <w:rPr>
          <w:bCs/>
        </w:rPr>
        <w:t>opioid-related overdose deaths</w:t>
      </w:r>
      <w:r w:rsidR="00B14045">
        <w:rPr>
          <w:bCs/>
        </w:rPr>
        <w:t xml:space="preserve"> (n=935 in 2018-2019 and n=447 in 2020).</w:t>
      </w:r>
    </w:p>
    <w:p w14:paraId="6DC4679A" w14:textId="2355FDA6" w:rsidR="00A972AB" w:rsidRPr="00E56DCB" w:rsidRDefault="00A972AB" w:rsidP="00A972AB">
      <w:pPr>
        <w:pStyle w:val="ListParagraph"/>
        <w:numPr>
          <w:ilvl w:val="0"/>
          <w:numId w:val="24"/>
        </w:numPr>
        <w:rPr>
          <w:bCs/>
        </w:rPr>
      </w:pPr>
      <w:r w:rsidRPr="00E56DCB">
        <w:rPr>
          <w:bCs/>
        </w:rPr>
        <w:t xml:space="preserve">The following </w:t>
      </w:r>
      <w:r w:rsidR="00D0508F" w:rsidRPr="00E56DCB">
        <w:rPr>
          <w:bCs/>
        </w:rPr>
        <w:t>industries</w:t>
      </w:r>
      <w:r w:rsidR="00883D39" w:rsidRPr="00E56DCB">
        <w:rPr>
          <w:bCs/>
        </w:rPr>
        <w:t xml:space="preserve"> had opioid-related over</w:t>
      </w:r>
      <w:r w:rsidR="00DD497D" w:rsidRPr="00E56DCB">
        <w:rPr>
          <w:bCs/>
        </w:rPr>
        <w:t xml:space="preserve">dose death rates that were significantly higher than the rate for all </w:t>
      </w:r>
      <w:r w:rsidR="00747CC0">
        <w:rPr>
          <w:bCs/>
        </w:rPr>
        <w:t xml:space="preserve">Massachusetts </w:t>
      </w:r>
      <w:r w:rsidR="008920E4">
        <w:rPr>
          <w:bCs/>
        </w:rPr>
        <w:t xml:space="preserve">workers </w:t>
      </w:r>
      <w:r w:rsidR="00C74306" w:rsidRPr="00E56DCB">
        <w:rPr>
          <w:bCs/>
        </w:rPr>
        <w:t>in all industries</w:t>
      </w:r>
      <w:r w:rsidR="00DD497D" w:rsidRPr="00E56DCB">
        <w:rPr>
          <w:bCs/>
        </w:rPr>
        <w:t>:</w:t>
      </w:r>
    </w:p>
    <w:p w14:paraId="10125B91" w14:textId="7F3A2BC4" w:rsidR="00DD497D" w:rsidRDefault="00317CFB" w:rsidP="00DD497D">
      <w:pPr>
        <w:pStyle w:val="ListParagraph"/>
        <w:numPr>
          <w:ilvl w:val="1"/>
          <w:numId w:val="24"/>
        </w:numPr>
        <w:rPr>
          <w:bCs/>
        </w:rPr>
      </w:pPr>
      <w:r w:rsidRPr="00E56DCB">
        <w:rPr>
          <w:bCs/>
        </w:rPr>
        <w:t>Accommodation and Food Services</w:t>
      </w:r>
      <w:r w:rsidR="008E5A8E" w:rsidRPr="00E56DCB">
        <w:rPr>
          <w:bCs/>
        </w:rPr>
        <w:t xml:space="preserve"> (</w:t>
      </w:r>
      <w:r w:rsidR="00E07073" w:rsidRPr="00E56DCB">
        <w:rPr>
          <w:bCs/>
        </w:rPr>
        <w:t>76.2</w:t>
      </w:r>
      <w:r w:rsidR="00E56DCB">
        <w:rPr>
          <w:bCs/>
        </w:rPr>
        <w:t xml:space="preserve"> deaths per 100,000 workers</w:t>
      </w:r>
      <w:r w:rsidR="00E07073" w:rsidRPr="00E56DCB">
        <w:rPr>
          <w:bCs/>
        </w:rPr>
        <w:t xml:space="preserve"> </w:t>
      </w:r>
      <w:r w:rsidR="00717EBB" w:rsidRPr="00E56DCB">
        <w:rPr>
          <w:bCs/>
        </w:rPr>
        <w:t>in 2018-2019</w:t>
      </w:r>
      <w:r w:rsidR="00E07073" w:rsidRPr="00E56DCB">
        <w:rPr>
          <w:bCs/>
        </w:rPr>
        <w:t xml:space="preserve">; </w:t>
      </w:r>
      <w:r w:rsidR="00B71684" w:rsidRPr="00E56DCB">
        <w:rPr>
          <w:bCs/>
        </w:rPr>
        <w:t>117.5</w:t>
      </w:r>
      <w:r w:rsidR="00E56DCB">
        <w:rPr>
          <w:bCs/>
        </w:rPr>
        <w:t xml:space="preserve"> deaths per 100,000 workers</w:t>
      </w:r>
      <w:r w:rsidR="00B71684" w:rsidRPr="00E56DCB">
        <w:rPr>
          <w:bCs/>
        </w:rPr>
        <w:t xml:space="preserve"> </w:t>
      </w:r>
      <w:r w:rsidR="00717EBB" w:rsidRPr="00E56DCB">
        <w:rPr>
          <w:bCs/>
        </w:rPr>
        <w:t>in 2020</w:t>
      </w:r>
      <w:r w:rsidR="00B71684" w:rsidRPr="00E56DCB">
        <w:rPr>
          <w:bCs/>
        </w:rPr>
        <w:t>)</w:t>
      </w:r>
    </w:p>
    <w:p w14:paraId="75AE0273" w14:textId="7F69DDBA" w:rsidR="00BF0EFC" w:rsidRPr="00E56DCB" w:rsidRDefault="00BF0EFC" w:rsidP="00DD497D">
      <w:pPr>
        <w:pStyle w:val="ListParagraph"/>
        <w:numPr>
          <w:ilvl w:val="1"/>
          <w:numId w:val="24"/>
        </w:numPr>
        <w:rPr>
          <w:bCs/>
        </w:rPr>
      </w:pPr>
      <w:r>
        <w:rPr>
          <w:bCs/>
        </w:rPr>
        <w:t>Administrative and Support</w:t>
      </w:r>
      <w:r w:rsidR="00850E50">
        <w:rPr>
          <w:bCs/>
        </w:rPr>
        <w:t xml:space="preserve"> and Waste Management Services</w:t>
      </w:r>
      <w:r w:rsidR="00AE6EE1">
        <w:rPr>
          <w:bCs/>
        </w:rPr>
        <w:t xml:space="preserve"> (80.4; 91.1)</w:t>
      </w:r>
    </w:p>
    <w:p w14:paraId="4D83DF46" w14:textId="13CE50AB" w:rsidR="00317CFB" w:rsidRPr="00E56DCB" w:rsidRDefault="00317CFB" w:rsidP="00DD497D">
      <w:pPr>
        <w:pStyle w:val="ListParagraph"/>
        <w:numPr>
          <w:ilvl w:val="1"/>
          <w:numId w:val="24"/>
        </w:numPr>
        <w:rPr>
          <w:bCs/>
        </w:rPr>
      </w:pPr>
      <w:r w:rsidRPr="00E56DCB">
        <w:rPr>
          <w:bCs/>
        </w:rPr>
        <w:t>Agriculture, Forestry, Fishing, and Hunting</w:t>
      </w:r>
      <w:r w:rsidR="00B71684" w:rsidRPr="00E56DCB">
        <w:rPr>
          <w:bCs/>
        </w:rPr>
        <w:t xml:space="preserve"> (207.0; 244.1)</w:t>
      </w:r>
    </w:p>
    <w:p w14:paraId="2B0CB6F2" w14:textId="74C6A780" w:rsidR="00317CFB" w:rsidRPr="00E56DCB" w:rsidRDefault="00317CFB" w:rsidP="00DD497D">
      <w:pPr>
        <w:pStyle w:val="ListParagraph"/>
        <w:numPr>
          <w:ilvl w:val="1"/>
          <w:numId w:val="24"/>
        </w:numPr>
        <w:rPr>
          <w:bCs/>
        </w:rPr>
      </w:pPr>
      <w:r w:rsidRPr="00E56DCB">
        <w:rPr>
          <w:bCs/>
        </w:rPr>
        <w:t>Construction</w:t>
      </w:r>
      <w:r w:rsidR="00B71684" w:rsidRPr="00E56DCB">
        <w:rPr>
          <w:bCs/>
        </w:rPr>
        <w:t xml:space="preserve"> (216.7; 226.2)</w:t>
      </w:r>
    </w:p>
    <w:p w14:paraId="6C45788F" w14:textId="260AC2D8" w:rsidR="00317CFB" w:rsidRPr="00E56DCB" w:rsidRDefault="00317CFB" w:rsidP="00DD497D">
      <w:pPr>
        <w:pStyle w:val="ListParagraph"/>
        <w:numPr>
          <w:ilvl w:val="1"/>
          <w:numId w:val="24"/>
        </w:numPr>
        <w:rPr>
          <w:bCs/>
        </w:rPr>
      </w:pPr>
      <w:r w:rsidRPr="00E56DCB">
        <w:rPr>
          <w:bCs/>
        </w:rPr>
        <w:t xml:space="preserve">Other Services, Except Public </w:t>
      </w:r>
      <w:r w:rsidR="00A737DB" w:rsidRPr="00E56DCB">
        <w:rPr>
          <w:bCs/>
        </w:rPr>
        <w:t>Administration</w:t>
      </w:r>
      <w:r w:rsidR="00B71684" w:rsidRPr="00E56DCB">
        <w:rPr>
          <w:bCs/>
        </w:rPr>
        <w:t xml:space="preserve"> (</w:t>
      </w:r>
      <w:r w:rsidR="00260180" w:rsidRPr="00E56DCB">
        <w:rPr>
          <w:bCs/>
        </w:rPr>
        <w:t>68.5; 75.9)</w:t>
      </w:r>
    </w:p>
    <w:p w14:paraId="472A0AEB" w14:textId="589E80DD" w:rsidR="00A737DB" w:rsidRPr="00E56DCB" w:rsidRDefault="00A737DB" w:rsidP="00DD497D">
      <w:pPr>
        <w:pStyle w:val="ListParagraph"/>
        <w:numPr>
          <w:ilvl w:val="1"/>
          <w:numId w:val="24"/>
        </w:numPr>
        <w:rPr>
          <w:bCs/>
        </w:rPr>
      </w:pPr>
      <w:r w:rsidRPr="00E56DCB">
        <w:rPr>
          <w:bCs/>
        </w:rPr>
        <w:t>Transportation and Warehousing</w:t>
      </w:r>
      <w:r w:rsidR="00260180" w:rsidRPr="00E56DCB">
        <w:rPr>
          <w:bCs/>
        </w:rPr>
        <w:t xml:space="preserve"> (72.7; 86.9)</w:t>
      </w:r>
    </w:p>
    <w:p w14:paraId="1B81A178" w14:textId="55B242C0" w:rsidR="00260180" w:rsidRDefault="00260180" w:rsidP="00260180">
      <w:pPr>
        <w:pStyle w:val="ListParagraph"/>
        <w:ind w:left="1080"/>
        <w:rPr>
          <w:bCs/>
        </w:rPr>
      </w:pPr>
    </w:p>
    <w:p w14:paraId="32B7AD99" w14:textId="4B8B84FF" w:rsidR="00035140" w:rsidRDefault="00035140" w:rsidP="00260180">
      <w:pPr>
        <w:pStyle w:val="ListParagraph"/>
        <w:ind w:left="1080"/>
        <w:rPr>
          <w:bCs/>
        </w:rPr>
      </w:pPr>
    </w:p>
    <w:p w14:paraId="427A103D" w14:textId="2BD8797C" w:rsidR="00035140" w:rsidRDefault="00035140" w:rsidP="00260180">
      <w:pPr>
        <w:pStyle w:val="ListParagraph"/>
        <w:ind w:left="1080"/>
        <w:rPr>
          <w:bCs/>
        </w:rPr>
      </w:pPr>
    </w:p>
    <w:p w14:paraId="2AB953C7" w14:textId="22CFC8F2" w:rsidR="00817784" w:rsidRDefault="00817784" w:rsidP="00260180">
      <w:pPr>
        <w:pStyle w:val="ListParagraph"/>
        <w:ind w:left="1080"/>
        <w:rPr>
          <w:bCs/>
        </w:rPr>
      </w:pPr>
    </w:p>
    <w:p w14:paraId="185CA29D" w14:textId="34D72B71" w:rsidR="00817784" w:rsidRDefault="00817784" w:rsidP="00260180">
      <w:pPr>
        <w:pStyle w:val="ListParagraph"/>
        <w:ind w:left="1080"/>
        <w:rPr>
          <w:bCs/>
        </w:rPr>
      </w:pPr>
    </w:p>
    <w:p w14:paraId="3DAA4FB0" w14:textId="49BFF146" w:rsidR="00817784" w:rsidRDefault="00817784" w:rsidP="00260180">
      <w:pPr>
        <w:pStyle w:val="ListParagraph"/>
        <w:ind w:left="1080"/>
        <w:rPr>
          <w:bCs/>
        </w:rPr>
      </w:pPr>
    </w:p>
    <w:p w14:paraId="6397D834" w14:textId="08B86FB7" w:rsidR="00817784" w:rsidRDefault="00817784" w:rsidP="00817784">
      <w:pPr>
        <w:pStyle w:val="ListParagraph"/>
        <w:ind w:left="1080"/>
        <w:jc w:val="center"/>
        <w:rPr>
          <w:rFonts w:asciiTheme="minorHAnsi" w:hAnsiTheme="minorHAnsi" w:cstheme="minorHAnsi"/>
          <w:b/>
        </w:rPr>
      </w:pPr>
      <w:r>
        <w:rPr>
          <w:noProof/>
        </w:rPr>
        <w:lastRenderedPageBreak/>
        <w:drawing>
          <wp:anchor distT="0" distB="0" distL="114300" distR="114300" simplePos="0" relativeHeight="251658253" behindDoc="1" locked="0" layoutInCell="1" allowOverlap="1" wp14:anchorId="7386762A" wp14:editId="3E922C40">
            <wp:simplePos x="0" y="0"/>
            <wp:positionH relativeFrom="column">
              <wp:posOffset>146050</wp:posOffset>
            </wp:positionH>
            <wp:positionV relativeFrom="paragraph">
              <wp:posOffset>19050</wp:posOffset>
            </wp:positionV>
            <wp:extent cx="6858000" cy="5022215"/>
            <wp:effectExtent l="0" t="0" r="0" b="6985"/>
            <wp:wrapNone/>
            <wp:docPr id="22" name="Chart 22">
              <a:extLst xmlns:a="http://schemas.openxmlformats.org/drawingml/2006/main">
                <a:ext uri="{FF2B5EF4-FFF2-40B4-BE49-F238E27FC236}">
                  <a16:creationId xmlns:a16="http://schemas.microsoft.com/office/drawing/2014/main" id="{D97AC8E6-A346-457A-9EA4-F6EA669CD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Pr="00817784">
        <w:rPr>
          <w:rFonts w:asciiTheme="minorHAnsi" w:hAnsiTheme="minorHAnsi" w:cstheme="minorHAnsi"/>
          <w:b/>
        </w:rPr>
        <w:t>Figure 3. Rate ratios of opioid-related deaths among Massachusetts working-age decedents by industry sectors, comparing 2018-2019 vs. 2020</w:t>
      </w:r>
    </w:p>
    <w:p w14:paraId="26A27881" w14:textId="42D2FD06" w:rsidR="00DC08C3" w:rsidRDefault="00DC08C3" w:rsidP="00817784">
      <w:pPr>
        <w:pStyle w:val="ListParagraph"/>
        <w:ind w:left="1080"/>
        <w:jc w:val="center"/>
        <w:rPr>
          <w:rFonts w:asciiTheme="minorHAnsi" w:hAnsiTheme="minorHAnsi" w:cstheme="minorHAnsi"/>
          <w:b/>
        </w:rPr>
      </w:pPr>
    </w:p>
    <w:p w14:paraId="3341A4E6" w14:textId="785FDD99" w:rsidR="00DC08C3" w:rsidRDefault="00DC08C3" w:rsidP="00817784">
      <w:pPr>
        <w:pStyle w:val="ListParagraph"/>
        <w:ind w:left="1080"/>
        <w:jc w:val="center"/>
        <w:rPr>
          <w:rFonts w:asciiTheme="minorHAnsi" w:hAnsiTheme="minorHAnsi" w:cstheme="minorHAnsi"/>
          <w:b/>
        </w:rPr>
      </w:pPr>
    </w:p>
    <w:p w14:paraId="10C532D1" w14:textId="783B35B1" w:rsidR="00DC08C3" w:rsidRDefault="00DC08C3" w:rsidP="00817784">
      <w:pPr>
        <w:pStyle w:val="ListParagraph"/>
        <w:ind w:left="1080"/>
        <w:jc w:val="center"/>
        <w:rPr>
          <w:rFonts w:asciiTheme="minorHAnsi" w:hAnsiTheme="minorHAnsi" w:cstheme="minorHAnsi"/>
          <w:b/>
        </w:rPr>
      </w:pPr>
    </w:p>
    <w:p w14:paraId="1287C93B" w14:textId="7E3F8EB5" w:rsidR="00DC08C3" w:rsidRDefault="00DC08C3" w:rsidP="00817784">
      <w:pPr>
        <w:pStyle w:val="ListParagraph"/>
        <w:ind w:left="1080"/>
        <w:jc w:val="center"/>
        <w:rPr>
          <w:rFonts w:asciiTheme="minorHAnsi" w:hAnsiTheme="minorHAnsi" w:cstheme="minorHAnsi"/>
          <w:b/>
        </w:rPr>
      </w:pPr>
    </w:p>
    <w:p w14:paraId="6752B162" w14:textId="6A6BF1B6" w:rsidR="00DC08C3" w:rsidRDefault="00DC08C3" w:rsidP="00817784">
      <w:pPr>
        <w:pStyle w:val="ListParagraph"/>
        <w:ind w:left="1080"/>
        <w:jc w:val="center"/>
        <w:rPr>
          <w:rFonts w:asciiTheme="minorHAnsi" w:hAnsiTheme="minorHAnsi" w:cstheme="minorHAnsi"/>
          <w:b/>
        </w:rPr>
      </w:pPr>
    </w:p>
    <w:p w14:paraId="4A24CFA6" w14:textId="013EE8CD" w:rsidR="00DC08C3" w:rsidRDefault="00DC08C3" w:rsidP="00817784">
      <w:pPr>
        <w:pStyle w:val="ListParagraph"/>
        <w:ind w:left="1080"/>
        <w:jc w:val="center"/>
        <w:rPr>
          <w:rFonts w:asciiTheme="minorHAnsi" w:hAnsiTheme="minorHAnsi" w:cstheme="minorHAnsi"/>
          <w:b/>
        </w:rPr>
      </w:pPr>
    </w:p>
    <w:p w14:paraId="6575BD9D" w14:textId="70F81244" w:rsidR="00DC08C3" w:rsidRDefault="00DC08C3" w:rsidP="00817784">
      <w:pPr>
        <w:pStyle w:val="ListParagraph"/>
        <w:ind w:left="1080"/>
        <w:jc w:val="center"/>
        <w:rPr>
          <w:rFonts w:asciiTheme="minorHAnsi" w:hAnsiTheme="minorHAnsi" w:cstheme="minorHAnsi"/>
          <w:b/>
        </w:rPr>
      </w:pPr>
    </w:p>
    <w:p w14:paraId="77E1A506" w14:textId="2684CDCB" w:rsidR="00DC08C3" w:rsidRDefault="00DC08C3" w:rsidP="00817784">
      <w:pPr>
        <w:pStyle w:val="ListParagraph"/>
        <w:ind w:left="1080"/>
        <w:jc w:val="center"/>
        <w:rPr>
          <w:rFonts w:asciiTheme="minorHAnsi" w:hAnsiTheme="minorHAnsi" w:cstheme="minorHAnsi"/>
          <w:b/>
        </w:rPr>
      </w:pPr>
    </w:p>
    <w:p w14:paraId="4FD7ACE7" w14:textId="2010F0B0" w:rsidR="00DC08C3" w:rsidRDefault="00DC08C3" w:rsidP="00817784">
      <w:pPr>
        <w:pStyle w:val="ListParagraph"/>
        <w:ind w:left="1080"/>
        <w:jc w:val="center"/>
        <w:rPr>
          <w:rFonts w:asciiTheme="minorHAnsi" w:hAnsiTheme="minorHAnsi" w:cstheme="minorHAnsi"/>
          <w:b/>
        </w:rPr>
      </w:pPr>
    </w:p>
    <w:p w14:paraId="44EE5073" w14:textId="059134AE" w:rsidR="00DC08C3" w:rsidRDefault="00DC08C3" w:rsidP="00817784">
      <w:pPr>
        <w:pStyle w:val="ListParagraph"/>
        <w:ind w:left="1080"/>
        <w:jc w:val="center"/>
        <w:rPr>
          <w:rFonts w:asciiTheme="minorHAnsi" w:hAnsiTheme="minorHAnsi" w:cstheme="minorHAnsi"/>
          <w:b/>
        </w:rPr>
      </w:pPr>
    </w:p>
    <w:p w14:paraId="2E9EB614" w14:textId="19BBDFF4" w:rsidR="00DC08C3" w:rsidRDefault="00DC08C3" w:rsidP="00817784">
      <w:pPr>
        <w:pStyle w:val="ListParagraph"/>
        <w:ind w:left="1080"/>
        <w:jc w:val="center"/>
        <w:rPr>
          <w:rFonts w:asciiTheme="minorHAnsi" w:hAnsiTheme="minorHAnsi" w:cstheme="minorHAnsi"/>
          <w:b/>
        </w:rPr>
      </w:pPr>
    </w:p>
    <w:p w14:paraId="578B6071" w14:textId="18FFAFDC" w:rsidR="00DC08C3" w:rsidRDefault="00DC08C3" w:rsidP="00817784">
      <w:pPr>
        <w:pStyle w:val="ListParagraph"/>
        <w:ind w:left="1080"/>
        <w:jc w:val="center"/>
        <w:rPr>
          <w:rFonts w:asciiTheme="minorHAnsi" w:hAnsiTheme="minorHAnsi" w:cstheme="minorHAnsi"/>
          <w:b/>
        </w:rPr>
      </w:pPr>
    </w:p>
    <w:p w14:paraId="240A587A" w14:textId="55CA9126" w:rsidR="00DC08C3" w:rsidRDefault="00DC08C3" w:rsidP="00817784">
      <w:pPr>
        <w:pStyle w:val="ListParagraph"/>
        <w:ind w:left="1080"/>
        <w:jc w:val="center"/>
        <w:rPr>
          <w:rFonts w:asciiTheme="minorHAnsi" w:hAnsiTheme="minorHAnsi" w:cstheme="minorHAnsi"/>
          <w:b/>
        </w:rPr>
      </w:pPr>
    </w:p>
    <w:p w14:paraId="572F54BE" w14:textId="4DD2D31E" w:rsidR="00DC08C3" w:rsidRDefault="00DC08C3" w:rsidP="00817784">
      <w:pPr>
        <w:pStyle w:val="ListParagraph"/>
        <w:ind w:left="1080"/>
        <w:jc w:val="center"/>
        <w:rPr>
          <w:rFonts w:asciiTheme="minorHAnsi" w:hAnsiTheme="minorHAnsi" w:cstheme="minorHAnsi"/>
          <w:b/>
        </w:rPr>
      </w:pPr>
    </w:p>
    <w:p w14:paraId="2BF9F46D" w14:textId="2F22BADD" w:rsidR="00DC08C3" w:rsidRDefault="00DC08C3" w:rsidP="00817784">
      <w:pPr>
        <w:pStyle w:val="ListParagraph"/>
        <w:ind w:left="1080"/>
        <w:jc w:val="center"/>
        <w:rPr>
          <w:rFonts w:asciiTheme="minorHAnsi" w:hAnsiTheme="minorHAnsi" w:cstheme="minorHAnsi"/>
          <w:b/>
        </w:rPr>
      </w:pPr>
    </w:p>
    <w:p w14:paraId="62676BC7" w14:textId="349E93AD" w:rsidR="00DC08C3" w:rsidRDefault="00DC08C3" w:rsidP="00817784">
      <w:pPr>
        <w:pStyle w:val="ListParagraph"/>
        <w:ind w:left="1080"/>
        <w:jc w:val="center"/>
        <w:rPr>
          <w:rFonts w:asciiTheme="minorHAnsi" w:hAnsiTheme="minorHAnsi" w:cstheme="minorHAnsi"/>
          <w:b/>
        </w:rPr>
      </w:pPr>
    </w:p>
    <w:p w14:paraId="42941A48" w14:textId="46C10C1B" w:rsidR="00DC08C3" w:rsidRDefault="00DC08C3" w:rsidP="00817784">
      <w:pPr>
        <w:pStyle w:val="ListParagraph"/>
        <w:ind w:left="1080"/>
        <w:jc w:val="center"/>
        <w:rPr>
          <w:rFonts w:asciiTheme="minorHAnsi" w:hAnsiTheme="minorHAnsi" w:cstheme="minorHAnsi"/>
          <w:b/>
        </w:rPr>
      </w:pPr>
    </w:p>
    <w:p w14:paraId="76FA3A60" w14:textId="789E7B85" w:rsidR="00DC08C3" w:rsidRDefault="00DC08C3" w:rsidP="00817784">
      <w:pPr>
        <w:pStyle w:val="ListParagraph"/>
        <w:ind w:left="1080"/>
        <w:jc w:val="center"/>
        <w:rPr>
          <w:rFonts w:asciiTheme="minorHAnsi" w:hAnsiTheme="minorHAnsi" w:cstheme="minorHAnsi"/>
          <w:b/>
        </w:rPr>
      </w:pPr>
    </w:p>
    <w:p w14:paraId="72F586E3" w14:textId="5044B01E" w:rsidR="00DC08C3" w:rsidRDefault="00DC08C3" w:rsidP="00817784">
      <w:pPr>
        <w:pStyle w:val="ListParagraph"/>
        <w:ind w:left="1080"/>
        <w:jc w:val="center"/>
        <w:rPr>
          <w:rFonts w:asciiTheme="minorHAnsi" w:hAnsiTheme="minorHAnsi" w:cstheme="minorHAnsi"/>
          <w:b/>
        </w:rPr>
      </w:pPr>
    </w:p>
    <w:p w14:paraId="76256043" w14:textId="12EAE3BA" w:rsidR="00DC08C3" w:rsidRDefault="00DC08C3" w:rsidP="00817784">
      <w:pPr>
        <w:pStyle w:val="ListParagraph"/>
        <w:ind w:left="1080"/>
        <w:jc w:val="center"/>
        <w:rPr>
          <w:rFonts w:asciiTheme="minorHAnsi" w:hAnsiTheme="minorHAnsi" w:cstheme="minorHAnsi"/>
          <w:b/>
        </w:rPr>
      </w:pPr>
    </w:p>
    <w:p w14:paraId="582F13EF" w14:textId="211CAEF6" w:rsidR="00DC08C3" w:rsidRDefault="00DC08C3" w:rsidP="00817784">
      <w:pPr>
        <w:pStyle w:val="ListParagraph"/>
        <w:ind w:left="1080"/>
        <w:jc w:val="center"/>
        <w:rPr>
          <w:rFonts w:asciiTheme="minorHAnsi" w:hAnsiTheme="minorHAnsi" w:cstheme="minorHAnsi"/>
          <w:b/>
        </w:rPr>
      </w:pPr>
    </w:p>
    <w:p w14:paraId="6470E5DD" w14:textId="5A2F2899" w:rsidR="00DC08C3" w:rsidRDefault="00DC08C3" w:rsidP="00817784">
      <w:pPr>
        <w:pStyle w:val="ListParagraph"/>
        <w:ind w:left="1080"/>
        <w:jc w:val="center"/>
        <w:rPr>
          <w:rFonts w:asciiTheme="minorHAnsi" w:hAnsiTheme="minorHAnsi" w:cstheme="minorHAnsi"/>
          <w:b/>
        </w:rPr>
      </w:pPr>
    </w:p>
    <w:p w14:paraId="5E356333" w14:textId="412B91C4" w:rsidR="00DC08C3" w:rsidRDefault="00DC08C3" w:rsidP="00817784">
      <w:pPr>
        <w:pStyle w:val="ListParagraph"/>
        <w:ind w:left="1080"/>
        <w:jc w:val="center"/>
        <w:rPr>
          <w:rFonts w:asciiTheme="minorHAnsi" w:hAnsiTheme="minorHAnsi" w:cstheme="minorHAnsi"/>
          <w:b/>
        </w:rPr>
      </w:pPr>
    </w:p>
    <w:p w14:paraId="3F83D7CE" w14:textId="3FFADE3D" w:rsidR="00DC08C3" w:rsidRDefault="00DC08C3" w:rsidP="00817784">
      <w:pPr>
        <w:pStyle w:val="ListParagraph"/>
        <w:ind w:left="1080"/>
        <w:jc w:val="center"/>
        <w:rPr>
          <w:rFonts w:asciiTheme="minorHAnsi" w:hAnsiTheme="minorHAnsi" w:cstheme="minorHAnsi"/>
          <w:b/>
        </w:rPr>
      </w:pPr>
    </w:p>
    <w:p w14:paraId="162CB34A" w14:textId="4BE6CB4A" w:rsidR="00DC08C3" w:rsidRDefault="00DC08C3" w:rsidP="00817784">
      <w:pPr>
        <w:pStyle w:val="ListParagraph"/>
        <w:ind w:left="1080"/>
        <w:jc w:val="center"/>
        <w:rPr>
          <w:rFonts w:asciiTheme="minorHAnsi" w:hAnsiTheme="minorHAnsi" w:cstheme="minorHAnsi"/>
          <w:b/>
        </w:rPr>
      </w:pPr>
    </w:p>
    <w:p w14:paraId="7011B291" w14:textId="71FC58F6" w:rsidR="00DC08C3" w:rsidRDefault="00DC08C3" w:rsidP="00817784">
      <w:pPr>
        <w:pStyle w:val="ListParagraph"/>
        <w:ind w:left="1080"/>
        <w:jc w:val="center"/>
        <w:rPr>
          <w:rFonts w:asciiTheme="minorHAnsi" w:hAnsiTheme="minorHAnsi" w:cstheme="minorHAnsi"/>
          <w:b/>
        </w:rPr>
      </w:pPr>
    </w:p>
    <w:p w14:paraId="78EDD1F8" w14:textId="569D19FE" w:rsidR="00DC08C3" w:rsidRDefault="00DC08C3" w:rsidP="00817784">
      <w:pPr>
        <w:pStyle w:val="ListParagraph"/>
        <w:ind w:left="1080"/>
        <w:jc w:val="center"/>
        <w:rPr>
          <w:rFonts w:asciiTheme="minorHAnsi" w:hAnsiTheme="minorHAnsi" w:cstheme="minorHAnsi"/>
          <w:b/>
        </w:rPr>
      </w:pPr>
    </w:p>
    <w:p w14:paraId="63FB0BB3" w14:textId="30FCB77B" w:rsidR="00DC08C3" w:rsidRDefault="00DC08C3" w:rsidP="00817784">
      <w:pPr>
        <w:pStyle w:val="ListParagraph"/>
        <w:ind w:left="1080"/>
        <w:jc w:val="center"/>
        <w:rPr>
          <w:rFonts w:asciiTheme="minorHAnsi" w:hAnsiTheme="minorHAnsi" w:cstheme="minorHAnsi"/>
          <w:b/>
        </w:rPr>
      </w:pPr>
    </w:p>
    <w:p w14:paraId="6A17C146" w14:textId="2C5E813C" w:rsidR="00DC08C3" w:rsidRDefault="00DC08C3" w:rsidP="00817784">
      <w:pPr>
        <w:pStyle w:val="ListParagraph"/>
        <w:ind w:left="1080"/>
        <w:jc w:val="center"/>
        <w:rPr>
          <w:rFonts w:asciiTheme="minorHAnsi" w:hAnsiTheme="minorHAnsi" w:cstheme="minorHAnsi"/>
          <w:b/>
        </w:rPr>
      </w:pPr>
    </w:p>
    <w:p w14:paraId="4090965D" w14:textId="05E55723" w:rsidR="00DC08C3" w:rsidRDefault="00DC08C3" w:rsidP="00817784">
      <w:pPr>
        <w:pStyle w:val="ListParagraph"/>
        <w:ind w:left="1080"/>
        <w:jc w:val="center"/>
        <w:rPr>
          <w:rFonts w:asciiTheme="minorHAnsi" w:hAnsiTheme="minorHAnsi" w:cstheme="minorHAnsi"/>
          <w:b/>
        </w:rPr>
      </w:pPr>
    </w:p>
    <w:p w14:paraId="4A4C9C07" w14:textId="40EE36B1" w:rsidR="00DC08C3" w:rsidRDefault="00DC08C3" w:rsidP="00817784">
      <w:pPr>
        <w:pStyle w:val="ListParagraph"/>
        <w:ind w:left="1080"/>
        <w:jc w:val="center"/>
        <w:rPr>
          <w:rFonts w:asciiTheme="minorHAnsi" w:hAnsiTheme="minorHAnsi" w:cstheme="minorHAnsi"/>
          <w:b/>
        </w:rPr>
      </w:pPr>
      <w:r w:rsidRPr="006665F6">
        <w:rPr>
          <w:b/>
          <w:noProof/>
          <w:color w:val="194D80"/>
          <w:sz w:val="28"/>
          <w:szCs w:val="28"/>
        </w:rPr>
        <mc:AlternateContent>
          <mc:Choice Requires="wps">
            <w:drawing>
              <wp:anchor distT="45720" distB="45720" distL="114300" distR="114300" simplePos="0" relativeHeight="251660310" behindDoc="0" locked="0" layoutInCell="1" allowOverlap="1" wp14:anchorId="79F5E4C9" wp14:editId="527DD73F">
                <wp:simplePos x="0" y="0"/>
                <wp:positionH relativeFrom="margin">
                  <wp:posOffset>19050</wp:posOffset>
                </wp:positionH>
                <wp:positionV relativeFrom="paragraph">
                  <wp:posOffset>84455</wp:posOffset>
                </wp:positionV>
                <wp:extent cx="6865620" cy="88259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882595"/>
                        </a:xfrm>
                        <a:prstGeom prst="rect">
                          <a:avLst/>
                        </a:prstGeom>
                        <a:solidFill>
                          <a:srgbClr val="FFFFFF"/>
                        </a:solidFill>
                        <a:ln w="9525">
                          <a:noFill/>
                          <a:miter lim="800000"/>
                          <a:headEnd/>
                          <a:tailEnd/>
                        </a:ln>
                      </wps:spPr>
                      <wps:txbx>
                        <w:txbxContent>
                          <w:p w14:paraId="335400B2" w14:textId="77777777" w:rsidR="00DC08C3" w:rsidRPr="002E4F1F" w:rsidRDefault="00DC08C3" w:rsidP="00DC08C3">
                            <w:pPr>
                              <w:rPr>
                                <w:sz w:val="12"/>
                                <w:szCs w:val="12"/>
                              </w:rPr>
                            </w:pPr>
                            <w:r w:rsidRPr="002E4F1F">
                              <w:rPr>
                                <w:sz w:val="12"/>
                                <w:szCs w:val="12"/>
                              </w:rPr>
                              <w:t>† In 2018-2019, this category excluded 14 opioid-related overdose deaths among those working in the military or military specific occupations due to lack of denominator information and 50 opioid-related overdose deaths because the death certificates did not contain enough information to code industry;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industry.</w:t>
                            </w:r>
                          </w:p>
                          <w:p w14:paraId="19B5359C" w14:textId="77777777" w:rsidR="00DC08C3" w:rsidRPr="0004274B" w:rsidRDefault="00DC08C3" w:rsidP="00DC08C3">
                            <w:pPr>
                              <w:rPr>
                                <w:sz w:val="12"/>
                                <w:szCs w:val="12"/>
                              </w:rPr>
                            </w:pPr>
                            <w:r w:rsidRPr="0004274B">
                              <w:rPr>
                                <w:sz w:val="12"/>
                                <w:szCs w:val="12"/>
                              </w:rPr>
                              <w:t>‡ Rate ratios are the difference in opioid-related overdose death rates from 2018-2019 to 2020. If the rate ratio and confidence interval (CI) includes 1, it means there is no difference in the rates of 2018-2019 and 2020.</w:t>
                            </w:r>
                            <w:r>
                              <w:rPr>
                                <w:sz w:val="12"/>
                                <w:szCs w:val="12"/>
                              </w:rPr>
                              <w:t xml:space="preserve"> </w:t>
                            </w:r>
                            <w:r w:rsidRPr="0004274B">
                              <w:rPr>
                                <w:sz w:val="12"/>
                                <w:szCs w:val="12"/>
                              </w:rPr>
                              <w:t>If the rate ratio and CI favors the left</w:t>
                            </w:r>
                            <w:r>
                              <w:rPr>
                                <w:sz w:val="12"/>
                                <w:szCs w:val="12"/>
                              </w:rPr>
                              <w:t xml:space="preserve"> (less than one)</w:t>
                            </w:r>
                            <w:r w:rsidRPr="0004274B">
                              <w:rPr>
                                <w:sz w:val="12"/>
                                <w:szCs w:val="12"/>
                              </w:rPr>
                              <w:t xml:space="preserve"> and does not include 1, it means the rate of 2018-2019 is statistically greater than the rate of 2020. If the rate ratio and CI favors the right</w:t>
                            </w:r>
                            <w:r>
                              <w:rPr>
                                <w:sz w:val="12"/>
                                <w:szCs w:val="12"/>
                              </w:rPr>
                              <w:t xml:space="preserve"> (great than one)</w:t>
                            </w:r>
                            <w:r w:rsidRPr="0004274B">
                              <w:rPr>
                                <w:sz w:val="12"/>
                                <w:szCs w:val="12"/>
                              </w:rPr>
                              <w:t xml:space="preserve"> and does not include 1, it means the rate of 2020 is statistically greater than the rate of 2018-2019.</w:t>
                            </w:r>
                          </w:p>
                          <w:p w14:paraId="57D666AE" w14:textId="77777777" w:rsidR="00DC08C3" w:rsidRPr="0004274B" w:rsidRDefault="00DC08C3" w:rsidP="00DC08C3">
                            <w:pPr>
                              <w:rPr>
                                <w:sz w:val="12"/>
                                <w:szCs w:val="12"/>
                              </w:rPr>
                            </w:pPr>
                            <w:r w:rsidRPr="0004274B">
                              <w:rPr>
                                <w:sz w:val="12"/>
                                <w:szCs w:val="12"/>
                              </w:rPr>
                              <w:t>Numerator source: Massachusetts Registry of Vital Records and Statistics, 2018-2020</w:t>
                            </w:r>
                          </w:p>
                          <w:p w14:paraId="572E0637" w14:textId="77777777" w:rsidR="00DC08C3" w:rsidRPr="0004274B" w:rsidRDefault="00DC08C3" w:rsidP="00DC08C3">
                            <w:pPr>
                              <w:rPr>
                                <w:sz w:val="12"/>
                                <w:szCs w:val="12"/>
                              </w:rPr>
                            </w:pPr>
                            <w:r w:rsidRPr="0004274B">
                              <w:rPr>
                                <w:sz w:val="12"/>
                                <w:szCs w:val="12"/>
                              </w:rPr>
                              <w:t>Denominator source: American Community Survey, 2018-2020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5E4C9" id="_x0000_s1036" type="#_x0000_t202" style="position:absolute;left:0;text-align:left;margin-left:1.5pt;margin-top:6.65pt;width:540.6pt;height:69.5pt;z-index:2516603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" stroked="f">
                <v:textbox>
                  <w:txbxContent>
                    <w:p w14:paraId="335400B2" w14:textId="77777777" w:rsidR="00DC08C3" w:rsidRPr="002E4F1F" w:rsidRDefault="00DC08C3" w:rsidP="00DC08C3">
                      <w:pPr>
                        <w:rPr>
                          <w:sz w:val="12"/>
                          <w:szCs w:val="12"/>
                        </w:rPr>
                      </w:pPr>
                      <w:r w:rsidRPr="002E4F1F">
                        <w:rPr>
                          <w:sz w:val="12"/>
                          <w:szCs w:val="12"/>
                        </w:rPr>
                        <w:t>† In 2018-2019, this category excluded 14 opioid-related overdose deaths among those working in the military or military specific occupations due to lack of denominator information and 50 opioid-related overdose deaths because the death certificates did not contain enough information to code industry;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industry.</w:t>
                      </w:r>
                    </w:p>
                    <w:p w14:paraId="19B5359C" w14:textId="77777777" w:rsidR="00DC08C3" w:rsidRPr="0004274B" w:rsidRDefault="00DC08C3" w:rsidP="00DC08C3">
                      <w:pPr>
                        <w:rPr>
                          <w:sz w:val="12"/>
                          <w:szCs w:val="12"/>
                        </w:rPr>
                      </w:pPr>
                      <w:r w:rsidRPr="0004274B">
                        <w:rPr>
                          <w:sz w:val="12"/>
                          <w:szCs w:val="12"/>
                        </w:rPr>
                        <w:t>‡ Rate ratios are the difference in opioid-related overdose death rates from 2018-2019 to 2020. If the rate ratio and confidence interval (CI) includes 1, it means there is no difference in the rates of 2018-2019 and 2020.</w:t>
                      </w:r>
                      <w:r>
                        <w:rPr>
                          <w:sz w:val="12"/>
                          <w:szCs w:val="12"/>
                        </w:rPr>
                        <w:t xml:space="preserve"> </w:t>
                      </w:r>
                      <w:r w:rsidRPr="0004274B">
                        <w:rPr>
                          <w:sz w:val="12"/>
                          <w:szCs w:val="12"/>
                        </w:rPr>
                        <w:t>If the rate ratio and CI favors the left</w:t>
                      </w:r>
                      <w:r>
                        <w:rPr>
                          <w:sz w:val="12"/>
                          <w:szCs w:val="12"/>
                        </w:rPr>
                        <w:t xml:space="preserve"> (less than one)</w:t>
                      </w:r>
                      <w:r w:rsidRPr="0004274B">
                        <w:rPr>
                          <w:sz w:val="12"/>
                          <w:szCs w:val="12"/>
                        </w:rPr>
                        <w:t xml:space="preserve"> and does not include 1, it means the rate of 2018-2019 is statistically greater than the rate of 2020. If the rate ratio and CI favors the right</w:t>
                      </w:r>
                      <w:r>
                        <w:rPr>
                          <w:sz w:val="12"/>
                          <w:szCs w:val="12"/>
                        </w:rPr>
                        <w:t xml:space="preserve"> (great than one)</w:t>
                      </w:r>
                      <w:r w:rsidRPr="0004274B">
                        <w:rPr>
                          <w:sz w:val="12"/>
                          <w:szCs w:val="12"/>
                        </w:rPr>
                        <w:t xml:space="preserve"> and does not include 1, it means the rate of 2020 is statistically greater than the rate of 2018-2019.</w:t>
                      </w:r>
                    </w:p>
                    <w:p w14:paraId="57D666AE" w14:textId="77777777" w:rsidR="00DC08C3" w:rsidRPr="0004274B" w:rsidRDefault="00DC08C3" w:rsidP="00DC08C3">
                      <w:pPr>
                        <w:rPr>
                          <w:sz w:val="12"/>
                          <w:szCs w:val="12"/>
                        </w:rPr>
                      </w:pPr>
                      <w:r w:rsidRPr="0004274B">
                        <w:rPr>
                          <w:sz w:val="12"/>
                          <w:szCs w:val="12"/>
                        </w:rPr>
                        <w:t>Numerator source: Massachusetts Registry of Vital Records and Statistics, 2018-2020</w:t>
                      </w:r>
                    </w:p>
                    <w:p w14:paraId="572E0637" w14:textId="77777777" w:rsidR="00DC08C3" w:rsidRPr="0004274B" w:rsidRDefault="00DC08C3" w:rsidP="00DC08C3">
                      <w:pPr>
                        <w:rPr>
                          <w:sz w:val="12"/>
                          <w:szCs w:val="12"/>
                        </w:rPr>
                      </w:pPr>
                      <w:r w:rsidRPr="0004274B">
                        <w:rPr>
                          <w:sz w:val="12"/>
                          <w:szCs w:val="12"/>
                        </w:rPr>
                        <w:t>Denominator source: American Community Survey, 2018-2020</w:t>
                      </w:r>
                    </w:p>
                  </w:txbxContent>
                </v:textbox>
                <w10:wrap anchorx="margin"/>
              </v:shape>
            </w:pict>
          </mc:Fallback>
        </mc:AlternateContent>
      </w:r>
    </w:p>
    <w:p w14:paraId="47317BB3" w14:textId="33759552" w:rsidR="00DC08C3" w:rsidRPr="00817784" w:rsidRDefault="00DC08C3" w:rsidP="00817784">
      <w:pPr>
        <w:pStyle w:val="ListParagraph"/>
        <w:ind w:left="1080"/>
        <w:jc w:val="center"/>
        <w:rPr>
          <w:rFonts w:asciiTheme="minorHAnsi" w:hAnsiTheme="minorHAnsi" w:cstheme="minorHAnsi"/>
          <w:b/>
        </w:rPr>
      </w:pPr>
    </w:p>
    <w:p w14:paraId="7725137E" w14:textId="687F670C" w:rsidR="00035140" w:rsidRDefault="00035140" w:rsidP="00260180">
      <w:pPr>
        <w:pStyle w:val="ListParagraph"/>
        <w:ind w:left="1080"/>
        <w:rPr>
          <w:bCs/>
        </w:rPr>
      </w:pPr>
    </w:p>
    <w:p w14:paraId="4AA3214E" w14:textId="116DF412" w:rsidR="00035140" w:rsidRDefault="001144DE" w:rsidP="00260180">
      <w:pPr>
        <w:pStyle w:val="ListParagraph"/>
        <w:ind w:left="1080"/>
        <w:rPr>
          <w:bCs/>
        </w:rPr>
      </w:pPr>
      <w:r w:rsidRPr="006665F6">
        <w:rPr>
          <w:b/>
          <w:noProof/>
          <w:color w:val="194D80"/>
          <w:sz w:val="28"/>
          <w:szCs w:val="28"/>
        </w:rPr>
        <mc:AlternateContent>
          <mc:Choice Requires="wps">
            <w:drawing>
              <wp:anchor distT="45720" distB="45720" distL="114300" distR="114300" simplePos="0" relativeHeight="251658259" behindDoc="0" locked="0" layoutInCell="1" allowOverlap="1" wp14:anchorId="5AE38D6E" wp14:editId="42391A33">
                <wp:simplePos x="0" y="0"/>
                <wp:positionH relativeFrom="margin">
                  <wp:posOffset>209550</wp:posOffset>
                </wp:positionH>
                <wp:positionV relativeFrom="paragraph">
                  <wp:posOffset>5016500</wp:posOffset>
                </wp:positionV>
                <wp:extent cx="6865620" cy="8953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895350"/>
                        </a:xfrm>
                        <a:prstGeom prst="rect">
                          <a:avLst/>
                        </a:prstGeom>
                        <a:solidFill>
                          <a:srgbClr val="FFFFFF"/>
                        </a:solidFill>
                        <a:ln w="9525">
                          <a:noFill/>
                          <a:miter lim="800000"/>
                          <a:headEnd/>
                          <a:tailEnd/>
                        </a:ln>
                      </wps:spPr>
                      <wps:txbx>
                        <w:txbxContent>
                          <w:p w14:paraId="2F00B23F" w14:textId="2BC59192" w:rsidR="00FC56A3" w:rsidRPr="002E4F1F" w:rsidRDefault="00FC56A3" w:rsidP="001144DE">
                            <w:pPr>
                              <w:rPr>
                                <w:sz w:val="12"/>
                                <w:szCs w:val="12"/>
                              </w:rPr>
                            </w:pPr>
                            <w:r w:rsidRPr="002E4F1F">
                              <w:rPr>
                                <w:sz w:val="12"/>
                                <w:szCs w:val="12"/>
                              </w:rPr>
                              <w:t>† In 2018-2019, this category excluded 14 opioid-related overdose deaths among those working in the military or military specific occupations due to lack of denominator information and 50 opioid-related overdose deaths because the death certificates did not contain enough information to code industry;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industry.</w:t>
                            </w:r>
                          </w:p>
                          <w:p w14:paraId="556E4E40" w14:textId="2CCDF6C1" w:rsidR="00D35FFB" w:rsidRPr="002E4F1F" w:rsidRDefault="00D35FFB" w:rsidP="001144DE">
                            <w:pPr>
                              <w:rPr>
                                <w:sz w:val="12"/>
                                <w:szCs w:val="12"/>
                              </w:rPr>
                            </w:pPr>
                            <w:r w:rsidRPr="002E4F1F">
                              <w:rPr>
                                <w:sz w:val="12"/>
                                <w:szCs w:val="12"/>
                              </w:rPr>
                              <w:t xml:space="preserve">‡ </w:t>
                            </w:r>
                            <w:r w:rsidR="00677F9B" w:rsidRPr="002E4F1F">
                              <w:rPr>
                                <w:sz w:val="12"/>
                                <w:szCs w:val="12"/>
                              </w:rPr>
                              <w:t>Rate ratios</w:t>
                            </w:r>
                            <w:r w:rsidR="00600524" w:rsidRPr="002E4F1F">
                              <w:rPr>
                                <w:sz w:val="12"/>
                                <w:szCs w:val="12"/>
                              </w:rPr>
                              <w:t xml:space="preserve"> are </w:t>
                            </w:r>
                            <w:r w:rsidR="00287E35" w:rsidRPr="002E4F1F">
                              <w:rPr>
                                <w:sz w:val="12"/>
                                <w:szCs w:val="12"/>
                              </w:rPr>
                              <w:t>the difference in opioid-related overdose death rates from 2018-</w:t>
                            </w:r>
                            <w:r w:rsidR="0056166E" w:rsidRPr="002E4F1F">
                              <w:rPr>
                                <w:sz w:val="12"/>
                                <w:szCs w:val="12"/>
                              </w:rPr>
                              <w:t xml:space="preserve">2019 to 2020. </w:t>
                            </w:r>
                            <w:r w:rsidR="00557DC8" w:rsidRPr="002E4F1F">
                              <w:rPr>
                                <w:sz w:val="12"/>
                                <w:szCs w:val="12"/>
                              </w:rPr>
                              <w:t xml:space="preserve">If the </w:t>
                            </w:r>
                            <w:r w:rsidR="00C226DD" w:rsidRPr="002E4F1F">
                              <w:rPr>
                                <w:sz w:val="12"/>
                                <w:szCs w:val="12"/>
                              </w:rPr>
                              <w:t>rate ratio</w:t>
                            </w:r>
                            <w:r w:rsidR="0037419B" w:rsidRPr="002E4F1F">
                              <w:rPr>
                                <w:sz w:val="12"/>
                                <w:szCs w:val="12"/>
                              </w:rPr>
                              <w:t xml:space="preserve"> and confidence interval (CI) includes 1, it means there is no difference in </w:t>
                            </w:r>
                            <w:r w:rsidR="006644FC" w:rsidRPr="002E4F1F">
                              <w:rPr>
                                <w:sz w:val="12"/>
                                <w:szCs w:val="12"/>
                              </w:rPr>
                              <w:t>the rates of 2018-2019 and 2020.</w:t>
                            </w:r>
                            <w:r w:rsidR="00650122">
                              <w:rPr>
                                <w:sz w:val="12"/>
                                <w:szCs w:val="12"/>
                              </w:rPr>
                              <w:t xml:space="preserve"> </w:t>
                            </w:r>
                            <w:r w:rsidR="006644FC" w:rsidRPr="002E4F1F">
                              <w:rPr>
                                <w:sz w:val="12"/>
                                <w:szCs w:val="12"/>
                              </w:rPr>
                              <w:t xml:space="preserve">If the rate ratio and CI favors the left </w:t>
                            </w:r>
                            <w:r w:rsidR="006E071B">
                              <w:rPr>
                                <w:sz w:val="12"/>
                                <w:szCs w:val="12"/>
                              </w:rPr>
                              <w:t xml:space="preserve">(less than one) </w:t>
                            </w:r>
                            <w:r w:rsidR="006644FC" w:rsidRPr="002E4F1F">
                              <w:rPr>
                                <w:sz w:val="12"/>
                                <w:szCs w:val="12"/>
                              </w:rPr>
                              <w:t>and does not include 1, it means the rate of 2018-201</w:t>
                            </w:r>
                            <w:r w:rsidR="00840F3A" w:rsidRPr="002E4F1F">
                              <w:rPr>
                                <w:sz w:val="12"/>
                                <w:szCs w:val="12"/>
                              </w:rPr>
                              <w:t>9 is statistical</w:t>
                            </w:r>
                            <w:r w:rsidR="00AD3DD3" w:rsidRPr="002E4F1F">
                              <w:rPr>
                                <w:sz w:val="12"/>
                                <w:szCs w:val="12"/>
                              </w:rPr>
                              <w:t>ly</w:t>
                            </w:r>
                            <w:r w:rsidR="00840F3A" w:rsidRPr="002E4F1F">
                              <w:rPr>
                                <w:sz w:val="12"/>
                                <w:szCs w:val="12"/>
                              </w:rPr>
                              <w:t xml:space="preserve"> greater than the rate of 2020. If the rate ratio and CI favors the </w:t>
                            </w:r>
                            <w:r w:rsidR="00AD3DD3" w:rsidRPr="002E4F1F">
                              <w:rPr>
                                <w:sz w:val="12"/>
                                <w:szCs w:val="12"/>
                              </w:rPr>
                              <w:t>right</w:t>
                            </w:r>
                            <w:r w:rsidR="006E071B">
                              <w:rPr>
                                <w:sz w:val="12"/>
                                <w:szCs w:val="12"/>
                              </w:rPr>
                              <w:t xml:space="preserve"> (greater than one)</w:t>
                            </w:r>
                            <w:r w:rsidR="00AD3DD3" w:rsidRPr="002E4F1F">
                              <w:rPr>
                                <w:sz w:val="12"/>
                                <w:szCs w:val="12"/>
                              </w:rPr>
                              <w:t xml:space="preserve"> and does not include 1, it means the rate of 2020 is statistically greater than the rate of 2018-2019</w:t>
                            </w:r>
                            <w:r w:rsidR="001F43FF" w:rsidRPr="002E4F1F">
                              <w:rPr>
                                <w:sz w:val="12"/>
                                <w:szCs w:val="12"/>
                              </w:rPr>
                              <w:t>.</w:t>
                            </w:r>
                          </w:p>
                          <w:p w14:paraId="0B54C72D" w14:textId="7EA22F62" w:rsidR="001144DE" w:rsidRPr="002E4F1F" w:rsidRDefault="001144DE" w:rsidP="001144DE">
                            <w:pPr>
                              <w:rPr>
                                <w:sz w:val="12"/>
                                <w:szCs w:val="12"/>
                              </w:rPr>
                            </w:pPr>
                            <w:r w:rsidRPr="002E4F1F">
                              <w:rPr>
                                <w:sz w:val="12"/>
                                <w:szCs w:val="12"/>
                              </w:rPr>
                              <w:t>Numerator source: Massachusetts Registry of Vital Records and Statistics, 2018-2020</w:t>
                            </w:r>
                          </w:p>
                          <w:p w14:paraId="4E69C118" w14:textId="77777777" w:rsidR="001144DE" w:rsidRPr="002E4F1F" w:rsidRDefault="001144DE" w:rsidP="001144DE">
                            <w:pPr>
                              <w:rPr>
                                <w:sz w:val="12"/>
                                <w:szCs w:val="12"/>
                              </w:rPr>
                            </w:pPr>
                            <w:r w:rsidRPr="002E4F1F">
                              <w:rPr>
                                <w:sz w:val="12"/>
                                <w:szCs w:val="12"/>
                              </w:rPr>
                              <w:t>Denominator source: American Community Survey, 2018-2020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38D6E" id="_x0000_s1037" type="#_x0000_t202" style="position:absolute;left:0;text-align:left;margin-left:16.5pt;margin-top:395pt;width:540.6pt;height:70.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" stroked="f">
                <v:textbox>
                  <w:txbxContent>
                    <w:p w14:paraId="2F00B23F" w14:textId="2BC59192" w:rsidR="00FC56A3" w:rsidRPr="002E4F1F" w:rsidRDefault="00FC56A3" w:rsidP="001144DE">
                      <w:pPr>
                        <w:rPr>
                          <w:sz w:val="12"/>
                          <w:szCs w:val="12"/>
                        </w:rPr>
                      </w:pPr>
                      <w:r w:rsidRPr="002E4F1F">
                        <w:rPr>
                          <w:sz w:val="12"/>
                          <w:szCs w:val="12"/>
                        </w:rPr>
                        <w:t>† In 2018-2019, this category excluded 14 opioid-related overdose deaths among those working in the military or military specific occupations due to lack of denominator information and 50 opioid-related overdose deaths because the death certificates did not contain enough information to code industry;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industry.</w:t>
                      </w:r>
                    </w:p>
                    <w:p w14:paraId="556E4E40" w14:textId="2CCDF6C1" w:rsidR="00D35FFB" w:rsidRPr="002E4F1F" w:rsidRDefault="00D35FFB" w:rsidP="001144DE">
                      <w:pPr>
                        <w:rPr>
                          <w:sz w:val="12"/>
                          <w:szCs w:val="12"/>
                        </w:rPr>
                      </w:pPr>
                      <w:r w:rsidRPr="002E4F1F">
                        <w:rPr>
                          <w:sz w:val="12"/>
                          <w:szCs w:val="12"/>
                        </w:rPr>
                        <w:t xml:space="preserve">‡ </w:t>
                      </w:r>
                      <w:r w:rsidR="00677F9B" w:rsidRPr="002E4F1F">
                        <w:rPr>
                          <w:sz w:val="12"/>
                          <w:szCs w:val="12"/>
                        </w:rPr>
                        <w:t>Rate ratios</w:t>
                      </w:r>
                      <w:r w:rsidR="00600524" w:rsidRPr="002E4F1F">
                        <w:rPr>
                          <w:sz w:val="12"/>
                          <w:szCs w:val="12"/>
                        </w:rPr>
                        <w:t xml:space="preserve"> are </w:t>
                      </w:r>
                      <w:r w:rsidR="00287E35" w:rsidRPr="002E4F1F">
                        <w:rPr>
                          <w:sz w:val="12"/>
                          <w:szCs w:val="12"/>
                        </w:rPr>
                        <w:t>the difference in opioid-related overdose death rates from 2018-</w:t>
                      </w:r>
                      <w:r w:rsidR="0056166E" w:rsidRPr="002E4F1F">
                        <w:rPr>
                          <w:sz w:val="12"/>
                          <w:szCs w:val="12"/>
                        </w:rPr>
                        <w:t xml:space="preserve">2019 to 2020. </w:t>
                      </w:r>
                      <w:r w:rsidR="00557DC8" w:rsidRPr="002E4F1F">
                        <w:rPr>
                          <w:sz w:val="12"/>
                          <w:szCs w:val="12"/>
                        </w:rPr>
                        <w:t xml:space="preserve">If the </w:t>
                      </w:r>
                      <w:r w:rsidR="00C226DD" w:rsidRPr="002E4F1F">
                        <w:rPr>
                          <w:sz w:val="12"/>
                          <w:szCs w:val="12"/>
                        </w:rPr>
                        <w:t>rate ratio</w:t>
                      </w:r>
                      <w:r w:rsidR="0037419B" w:rsidRPr="002E4F1F">
                        <w:rPr>
                          <w:sz w:val="12"/>
                          <w:szCs w:val="12"/>
                        </w:rPr>
                        <w:t xml:space="preserve"> and confidence interval (CI) includes 1, it means there is no difference in </w:t>
                      </w:r>
                      <w:r w:rsidR="006644FC" w:rsidRPr="002E4F1F">
                        <w:rPr>
                          <w:sz w:val="12"/>
                          <w:szCs w:val="12"/>
                        </w:rPr>
                        <w:t>the rates of 2018-2019 and 2020.</w:t>
                      </w:r>
                      <w:r w:rsidR="00650122">
                        <w:rPr>
                          <w:sz w:val="12"/>
                          <w:szCs w:val="12"/>
                        </w:rPr>
                        <w:t xml:space="preserve"> </w:t>
                      </w:r>
                      <w:r w:rsidR="006644FC" w:rsidRPr="002E4F1F">
                        <w:rPr>
                          <w:sz w:val="12"/>
                          <w:szCs w:val="12"/>
                        </w:rPr>
                        <w:t xml:space="preserve">If the rate ratio and CI favors the left </w:t>
                      </w:r>
                      <w:r w:rsidR="006E071B">
                        <w:rPr>
                          <w:sz w:val="12"/>
                          <w:szCs w:val="12"/>
                        </w:rPr>
                        <w:t xml:space="preserve">(less than one) </w:t>
                      </w:r>
                      <w:r w:rsidR="006644FC" w:rsidRPr="002E4F1F">
                        <w:rPr>
                          <w:sz w:val="12"/>
                          <w:szCs w:val="12"/>
                        </w:rPr>
                        <w:t>and does not include 1, it means the rate of 2018-201</w:t>
                      </w:r>
                      <w:r w:rsidR="00840F3A" w:rsidRPr="002E4F1F">
                        <w:rPr>
                          <w:sz w:val="12"/>
                          <w:szCs w:val="12"/>
                        </w:rPr>
                        <w:t>9 is statistical</w:t>
                      </w:r>
                      <w:r w:rsidR="00AD3DD3" w:rsidRPr="002E4F1F">
                        <w:rPr>
                          <w:sz w:val="12"/>
                          <w:szCs w:val="12"/>
                        </w:rPr>
                        <w:t>ly</w:t>
                      </w:r>
                      <w:r w:rsidR="00840F3A" w:rsidRPr="002E4F1F">
                        <w:rPr>
                          <w:sz w:val="12"/>
                          <w:szCs w:val="12"/>
                        </w:rPr>
                        <w:t xml:space="preserve"> greater than the rate of 2020. If the rate ratio and CI favors the </w:t>
                      </w:r>
                      <w:r w:rsidR="00AD3DD3" w:rsidRPr="002E4F1F">
                        <w:rPr>
                          <w:sz w:val="12"/>
                          <w:szCs w:val="12"/>
                        </w:rPr>
                        <w:t>right</w:t>
                      </w:r>
                      <w:r w:rsidR="006E071B">
                        <w:rPr>
                          <w:sz w:val="12"/>
                          <w:szCs w:val="12"/>
                        </w:rPr>
                        <w:t xml:space="preserve"> (greater than one)</w:t>
                      </w:r>
                      <w:r w:rsidR="00AD3DD3" w:rsidRPr="002E4F1F">
                        <w:rPr>
                          <w:sz w:val="12"/>
                          <w:szCs w:val="12"/>
                        </w:rPr>
                        <w:t xml:space="preserve"> and does not include 1, it means the rate of 2020 is statistically greater than the rate of 2018-2019</w:t>
                      </w:r>
                      <w:r w:rsidR="001F43FF" w:rsidRPr="002E4F1F">
                        <w:rPr>
                          <w:sz w:val="12"/>
                          <w:szCs w:val="12"/>
                        </w:rPr>
                        <w:t>.</w:t>
                      </w:r>
                    </w:p>
                    <w:p w14:paraId="0B54C72D" w14:textId="7EA22F62" w:rsidR="001144DE" w:rsidRPr="002E4F1F" w:rsidRDefault="001144DE" w:rsidP="001144DE">
                      <w:pPr>
                        <w:rPr>
                          <w:sz w:val="12"/>
                          <w:szCs w:val="12"/>
                        </w:rPr>
                      </w:pPr>
                      <w:r w:rsidRPr="002E4F1F">
                        <w:rPr>
                          <w:sz w:val="12"/>
                          <w:szCs w:val="12"/>
                        </w:rPr>
                        <w:t>Numerator source: Massachusetts Registry of Vital Records and Statistics, 2018-2020</w:t>
                      </w:r>
                    </w:p>
                    <w:p w14:paraId="4E69C118" w14:textId="77777777" w:rsidR="001144DE" w:rsidRPr="002E4F1F" w:rsidRDefault="001144DE" w:rsidP="001144DE">
                      <w:pPr>
                        <w:rPr>
                          <w:sz w:val="12"/>
                          <w:szCs w:val="12"/>
                        </w:rPr>
                      </w:pPr>
                      <w:r w:rsidRPr="002E4F1F">
                        <w:rPr>
                          <w:sz w:val="12"/>
                          <w:szCs w:val="12"/>
                        </w:rPr>
                        <w:t>Denominator source: American Community Survey, 2018-2020</w:t>
                      </w:r>
                    </w:p>
                  </w:txbxContent>
                </v:textbox>
                <w10:wrap anchorx="margin"/>
              </v:shape>
            </w:pict>
          </mc:Fallback>
        </mc:AlternateContent>
      </w:r>
    </w:p>
    <w:p w14:paraId="70E80C70" w14:textId="77777777" w:rsidR="00FC56A3" w:rsidRDefault="00FC56A3" w:rsidP="00FC56A3">
      <w:pPr>
        <w:pStyle w:val="ListParagraph"/>
        <w:ind w:left="1080"/>
        <w:rPr>
          <w:bCs/>
        </w:rPr>
      </w:pPr>
    </w:p>
    <w:p w14:paraId="4AB53997" w14:textId="77777777" w:rsidR="001F43FF" w:rsidRDefault="001F43FF" w:rsidP="001F43FF">
      <w:pPr>
        <w:pStyle w:val="ListParagraph"/>
        <w:ind w:left="1080"/>
        <w:rPr>
          <w:bCs/>
        </w:rPr>
      </w:pPr>
    </w:p>
    <w:p w14:paraId="262F76D0" w14:textId="77777777" w:rsidR="00DC08C3" w:rsidRDefault="00DC08C3" w:rsidP="008B6DC4"/>
    <w:p w14:paraId="11148549" w14:textId="77777777" w:rsidR="00DC08C3" w:rsidRDefault="00DC08C3" w:rsidP="008B6DC4"/>
    <w:p w14:paraId="687CB5F5" w14:textId="05EDDBC3" w:rsidR="00D83625" w:rsidRPr="00AC5C77" w:rsidRDefault="738E6A42" w:rsidP="008B6DC4">
      <w:pPr>
        <w:rPr>
          <w:bCs/>
        </w:rPr>
      </w:pPr>
      <w:r>
        <w:t>Compared</w:t>
      </w:r>
      <w:r w:rsidR="00584D4E" w:rsidRPr="00AC5C77">
        <w:rPr>
          <w:bCs/>
        </w:rPr>
        <w:t xml:space="preserve"> </w:t>
      </w:r>
      <w:r w:rsidR="00206EEE" w:rsidRPr="00AC5C77">
        <w:rPr>
          <w:bCs/>
        </w:rPr>
        <w:t>t</w:t>
      </w:r>
      <w:r w:rsidR="00584D4E" w:rsidRPr="00AC5C77">
        <w:rPr>
          <w:bCs/>
        </w:rPr>
        <w:t>o 2018-2019, the rate of opioid-related overdoses among M</w:t>
      </w:r>
      <w:r w:rsidR="00E721E1" w:rsidRPr="00AC5C77">
        <w:rPr>
          <w:bCs/>
        </w:rPr>
        <w:t>assachusetts</w:t>
      </w:r>
      <w:r w:rsidR="00584D4E" w:rsidRPr="00AC5C77">
        <w:rPr>
          <w:bCs/>
        </w:rPr>
        <w:t xml:space="preserve"> </w:t>
      </w:r>
      <w:r w:rsidR="008920E4">
        <w:rPr>
          <w:bCs/>
        </w:rPr>
        <w:t xml:space="preserve">workers </w:t>
      </w:r>
      <w:r w:rsidR="00206EEE" w:rsidRPr="00AC5C77">
        <w:rPr>
          <w:bCs/>
        </w:rPr>
        <w:t>in the following industries increased in 2020:</w:t>
      </w:r>
      <w:r w:rsidR="00EF71D2" w:rsidRPr="00AC5C77">
        <w:rPr>
          <w:bCs/>
        </w:rPr>
        <w:t xml:space="preserve"> </w:t>
      </w:r>
    </w:p>
    <w:p w14:paraId="6916A121" w14:textId="73FD2D34" w:rsidR="00700CAA" w:rsidRDefault="001A28D6" w:rsidP="008B6DC4">
      <w:pPr>
        <w:pStyle w:val="ListParagraph"/>
        <w:numPr>
          <w:ilvl w:val="0"/>
          <w:numId w:val="24"/>
        </w:numPr>
        <w:rPr>
          <w:bCs/>
        </w:rPr>
      </w:pPr>
      <w:r w:rsidRPr="001A28D6">
        <w:rPr>
          <w:bCs/>
        </w:rPr>
        <w:t>Accommodation and Food Services</w:t>
      </w:r>
    </w:p>
    <w:p w14:paraId="52BC1841" w14:textId="649C2358" w:rsidR="001A28D6" w:rsidRDefault="00B10D16" w:rsidP="008B6DC4">
      <w:pPr>
        <w:pStyle w:val="ListParagraph"/>
        <w:numPr>
          <w:ilvl w:val="0"/>
          <w:numId w:val="24"/>
        </w:numPr>
        <w:rPr>
          <w:bCs/>
        </w:rPr>
      </w:pPr>
      <w:r>
        <w:rPr>
          <w:bCs/>
        </w:rPr>
        <w:t>Administrative and Support and Waste Management Services</w:t>
      </w:r>
    </w:p>
    <w:p w14:paraId="5504E2D3" w14:textId="2D49E6BF" w:rsidR="00B10D16" w:rsidRDefault="00B10D16" w:rsidP="008B6DC4">
      <w:pPr>
        <w:pStyle w:val="ListParagraph"/>
        <w:numPr>
          <w:ilvl w:val="0"/>
          <w:numId w:val="24"/>
        </w:numPr>
        <w:rPr>
          <w:bCs/>
        </w:rPr>
      </w:pPr>
      <w:r>
        <w:rPr>
          <w:bCs/>
        </w:rPr>
        <w:t>Agriculture, Forestry, Fishing, and Hunting</w:t>
      </w:r>
    </w:p>
    <w:p w14:paraId="0725EA62" w14:textId="5D8E88C3" w:rsidR="00854F41" w:rsidRDefault="00854F41" w:rsidP="008B6DC4">
      <w:pPr>
        <w:pStyle w:val="ListParagraph"/>
        <w:numPr>
          <w:ilvl w:val="0"/>
          <w:numId w:val="24"/>
        </w:numPr>
        <w:rPr>
          <w:bCs/>
        </w:rPr>
      </w:pPr>
      <w:r>
        <w:rPr>
          <w:bCs/>
        </w:rPr>
        <w:t>Construction</w:t>
      </w:r>
    </w:p>
    <w:p w14:paraId="40218279" w14:textId="3BEEAB32" w:rsidR="00854F41" w:rsidRDefault="00854F41" w:rsidP="008B6DC4">
      <w:pPr>
        <w:pStyle w:val="ListParagraph"/>
        <w:numPr>
          <w:ilvl w:val="0"/>
          <w:numId w:val="24"/>
        </w:numPr>
        <w:rPr>
          <w:bCs/>
        </w:rPr>
      </w:pPr>
      <w:r>
        <w:rPr>
          <w:bCs/>
        </w:rPr>
        <w:t>Educational Services</w:t>
      </w:r>
    </w:p>
    <w:p w14:paraId="4E2A71D5" w14:textId="68E13283" w:rsidR="00854F41" w:rsidRDefault="00854F41" w:rsidP="008B6DC4">
      <w:pPr>
        <w:pStyle w:val="ListParagraph"/>
        <w:numPr>
          <w:ilvl w:val="0"/>
          <w:numId w:val="24"/>
        </w:numPr>
        <w:rPr>
          <w:bCs/>
        </w:rPr>
      </w:pPr>
      <w:r>
        <w:rPr>
          <w:bCs/>
        </w:rPr>
        <w:t>Health Care and Social Assistance</w:t>
      </w:r>
    </w:p>
    <w:p w14:paraId="225BAD86" w14:textId="7B68C174" w:rsidR="00854F41" w:rsidRDefault="00854F41" w:rsidP="008B6DC4">
      <w:pPr>
        <w:pStyle w:val="ListParagraph"/>
        <w:numPr>
          <w:ilvl w:val="0"/>
          <w:numId w:val="24"/>
        </w:numPr>
        <w:rPr>
          <w:bCs/>
        </w:rPr>
      </w:pPr>
      <w:r>
        <w:rPr>
          <w:bCs/>
        </w:rPr>
        <w:t>Other Services, Except Public Administration</w:t>
      </w:r>
    </w:p>
    <w:p w14:paraId="7CD27333" w14:textId="44A8EE7F" w:rsidR="00854F41" w:rsidRDefault="00854F41" w:rsidP="008B6DC4">
      <w:pPr>
        <w:pStyle w:val="ListParagraph"/>
        <w:numPr>
          <w:ilvl w:val="0"/>
          <w:numId w:val="24"/>
        </w:numPr>
        <w:rPr>
          <w:bCs/>
        </w:rPr>
      </w:pPr>
      <w:r>
        <w:rPr>
          <w:bCs/>
        </w:rPr>
        <w:t>Public Administration</w:t>
      </w:r>
    </w:p>
    <w:p w14:paraId="1FD25F05" w14:textId="3630735A" w:rsidR="00854F41" w:rsidRDefault="00854F41" w:rsidP="008B6DC4">
      <w:pPr>
        <w:pStyle w:val="ListParagraph"/>
        <w:numPr>
          <w:ilvl w:val="0"/>
          <w:numId w:val="24"/>
        </w:numPr>
        <w:rPr>
          <w:bCs/>
        </w:rPr>
      </w:pPr>
      <w:r>
        <w:rPr>
          <w:bCs/>
        </w:rPr>
        <w:t>Real Estate and Rental and Leasing</w:t>
      </w:r>
    </w:p>
    <w:p w14:paraId="7BC60CF9" w14:textId="5191A914" w:rsidR="003C3761" w:rsidRDefault="003C3761" w:rsidP="008B6DC4">
      <w:pPr>
        <w:pStyle w:val="ListParagraph"/>
        <w:numPr>
          <w:ilvl w:val="0"/>
          <w:numId w:val="24"/>
        </w:numPr>
        <w:rPr>
          <w:bCs/>
        </w:rPr>
      </w:pPr>
      <w:r>
        <w:rPr>
          <w:bCs/>
        </w:rPr>
        <w:t>Retail Trade</w:t>
      </w:r>
    </w:p>
    <w:p w14:paraId="5C103A95" w14:textId="518066D1" w:rsidR="003C3761" w:rsidRPr="001A28D6" w:rsidRDefault="003C3761" w:rsidP="008B6DC4">
      <w:pPr>
        <w:pStyle w:val="ListParagraph"/>
        <w:numPr>
          <w:ilvl w:val="0"/>
          <w:numId w:val="24"/>
        </w:numPr>
        <w:rPr>
          <w:bCs/>
        </w:rPr>
      </w:pPr>
      <w:r>
        <w:rPr>
          <w:bCs/>
        </w:rPr>
        <w:t>Transportation and Warehousing</w:t>
      </w:r>
    </w:p>
    <w:p w14:paraId="52CDD703" w14:textId="3DBE67EE" w:rsidR="00EF71D2" w:rsidRDefault="00EF71D2" w:rsidP="00EF71D2">
      <w:pPr>
        <w:rPr>
          <w:bCs/>
        </w:rPr>
      </w:pPr>
    </w:p>
    <w:p w14:paraId="4CA5E722" w14:textId="1D413340" w:rsidR="00EF71D2" w:rsidRDefault="00EF71D2" w:rsidP="00EF71D2">
      <w:pPr>
        <w:tabs>
          <w:tab w:val="left" w:pos="1762"/>
        </w:tabs>
      </w:pPr>
      <w:r>
        <w:tab/>
      </w:r>
    </w:p>
    <w:p w14:paraId="6957EA00" w14:textId="6CB8F457" w:rsidR="00EF71D2" w:rsidRDefault="00EF71D2" w:rsidP="00EF71D2">
      <w:pPr>
        <w:tabs>
          <w:tab w:val="left" w:pos="1762"/>
        </w:tabs>
      </w:pPr>
    </w:p>
    <w:p w14:paraId="0E828E7E" w14:textId="3CDC5C18" w:rsidR="00EF71D2" w:rsidRDefault="00EF71D2" w:rsidP="00EF71D2">
      <w:pPr>
        <w:tabs>
          <w:tab w:val="left" w:pos="1762"/>
        </w:tabs>
      </w:pPr>
    </w:p>
    <w:p w14:paraId="3E6CE9DC" w14:textId="6C832B15" w:rsidR="00817784" w:rsidRPr="00817784" w:rsidRDefault="00817784" w:rsidP="00817784">
      <w:pPr>
        <w:tabs>
          <w:tab w:val="left" w:pos="1762"/>
        </w:tabs>
        <w:jc w:val="center"/>
        <w:rPr>
          <w:rFonts w:asciiTheme="minorHAnsi" w:hAnsiTheme="minorHAnsi" w:cstheme="minorHAnsi"/>
          <w:b/>
          <w:bCs/>
        </w:rPr>
      </w:pPr>
      <w:r>
        <w:rPr>
          <w:noProof/>
        </w:rPr>
        <w:lastRenderedPageBreak/>
        <w:drawing>
          <wp:anchor distT="0" distB="0" distL="114300" distR="114300" simplePos="0" relativeHeight="251658255" behindDoc="1" locked="0" layoutInCell="1" allowOverlap="1" wp14:anchorId="1FB44F8A" wp14:editId="6B3DE629">
            <wp:simplePos x="0" y="0"/>
            <wp:positionH relativeFrom="column">
              <wp:posOffset>-120650</wp:posOffset>
            </wp:positionH>
            <wp:positionV relativeFrom="paragraph">
              <wp:posOffset>171450</wp:posOffset>
            </wp:positionV>
            <wp:extent cx="7169150" cy="4695825"/>
            <wp:effectExtent l="0" t="0" r="0" b="0"/>
            <wp:wrapTight wrapText="bothSides">
              <wp:wrapPolygon edited="0">
                <wp:start x="0" y="0"/>
                <wp:lineTo x="0" y="21469"/>
                <wp:lineTo x="21523" y="21469"/>
                <wp:lineTo x="21523" y="0"/>
                <wp:lineTo x="0" y="0"/>
              </wp:wrapPolygon>
            </wp:wrapTight>
            <wp:docPr id="9" name="Chart 9">
              <a:extLst xmlns:a="http://schemas.openxmlformats.org/drawingml/2006/main">
                <a:ext uri="{FF2B5EF4-FFF2-40B4-BE49-F238E27FC236}">
                  <a16:creationId xmlns:a16="http://schemas.microsoft.com/office/drawing/2014/main" id="{C7E1A19A-6CDD-4880-A87F-9CA96D47E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817784">
        <w:rPr>
          <w:rFonts w:asciiTheme="minorHAnsi" w:hAnsiTheme="minorHAnsi" w:cstheme="minorHAnsi"/>
          <w:b/>
          <w:bCs/>
        </w:rPr>
        <w:t>Figure 4. Rate of opioid-related deaths among Massachusetts working-age decedents by occupational groups</w:t>
      </w:r>
    </w:p>
    <w:p w14:paraId="735D7314" w14:textId="068662A6" w:rsidR="00CE358B" w:rsidRDefault="00BF5B9D" w:rsidP="00515D58">
      <w:pPr>
        <w:pStyle w:val="ListParagraph"/>
        <w:widowControl w:val="0"/>
        <w:rPr>
          <w:rFonts w:ascii="Times New Roman" w:hAnsi="Times New Roman"/>
          <w:bCs/>
          <w:color w:val="194D80"/>
          <w:sz w:val="28"/>
          <w:szCs w:val="28"/>
        </w:rPr>
      </w:pPr>
      <w:r w:rsidRPr="006665F6">
        <w:rPr>
          <w:b/>
          <w:noProof/>
          <w:color w:val="194D80"/>
          <w:sz w:val="28"/>
          <w:szCs w:val="28"/>
        </w:rPr>
        <mc:AlternateContent>
          <mc:Choice Requires="wps">
            <w:drawing>
              <wp:anchor distT="45720" distB="45720" distL="114300" distR="114300" simplePos="0" relativeHeight="251658249" behindDoc="0" locked="0" layoutInCell="1" allowOverlap="1" wp14:anchorId="73239C05" wp14:editId="39A29D39">
                <wp:simplePos x="0" y="0"/>
                <wp:positionH relativeFrom="margin">
                  <wp:posOffset>476250</wp:posOffset>
                </wp:positionH>
                <wp:positionV relativeFrom="paragraph">
                  <wp:posOffset>4718050</wp:posOffset>
                </wp:positionV>
                <wp:extent cx="6467475" cy="83820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838200"/>
                        </a:xfrm>
                        <a:prstGeom prst="rect">
                          <a:avLst/>
                        </a:prstGeom>
                        <a:solidFill>
                          <a:srgbClr val="FFFFFF"/>
                        </a:solidFill>
                        <a:ln w="9525">
                          <a:noFill/>
                          <a:miter lim="800000"/>
                          <a:headEnd/>
                          <a:tailEnd/>
                        </a:ln>
                      </wps:spPr>
                      <wps:txbx>
                        <w:txbxContent>
                          <w:p w14:paraId="0D5B1556" w14:textId="2C431710" w:rsidR="00C716D9" w:rsidRPr="0004274B" w:rsidRDefault="005B3005" w:rsidP="00C716D9">
                            <w:pPr>
                              <w:rPr>
                                <w:sz w:val="12"/>
                                <w:szCs w:val="12"/>
                              </w:rPr>
                            </w:pPr>
                            <w:r w:rsidRPr="0004274B">
                              <w:rPr>
                                <w:sz w:val="12"/>
                                <w:szCs w:val="12"/>
                              </w:rPr>
                              <w:t>†</w:t>
                            </w:r>
                            <w:r w:rsidR="00C716D9" w:rsidRPr="0004274B">
                              <w:rPr>
                                <w:sz w:val="12"/>
                                <w:szCs w:val="12"/>
                              </w:rPr>
                              <w:t xml:space="preserve"> In 2018-2019, this category excluded </w:t>
                            </w:r>
                            <w:r w:rsidR="00DC70CF" w:rsidRPr="0004274B">
                              <w:rPr>
                                <w:sz w:val="12"/>
                                <w:szCs w:val="12"/>
                              </w:rPr>
                              <w:t xml:space="preserve">14 opioid-related overdose deaths among those working in the military or military specific occupations due to lack of denominator information and 23 opioid-related overdose deaths because the death certificates did not contain enough information to code occupation </w:t>
                            </w:r>
                            <w:r w:rsidR="00C716D9" w:rsidRPr="0004274B">
                              <w:rPr>
                                <w:sz w:val="12"/>
                                <w:szCs w:val="12"/>
                              </w:rPr>
                              <w:t>;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occupation.</w:t>
                            </w:r>
                          </w:p>
                          <w:p w14:paraId="26A8B630" w14:textId="3F4D42EC" w:rsidR="00B23F51" w:rsidRDefault="002D7D65" w:rsidP="00C716D9">
                            <w:pPr>
                              <w:rPr>
                                <w:sz w:val="12"/>
                                <w:szCs w:val="12"/>
                              </w:rPr>
                            </w:pPr>
                            <w:r w:rsidRPr="0004274B">
                              <w:rPr>
                                <w:sz w:val="12"/>
                                <w:szCs w:val="12"/>
                              </w:rPr>
                              <w:t>‡</w:t>
                            </w:r>
                            <w:r w:rsidR="00B23F51" w:rsidRPr="0004274B">
                              <w:rPr>
                                <w:sz w:val="12"/>
                                <w:szCs w:val="12"/>
                              </w:rPr>
                              <w:t xml:space="preserve">Occupations with a statistically significant higher rate compared to the rate for all </w:t>
                            </w:r>
                            <w:r w:rsidR="00D30D20" w:rsidRPr="00D30D20">
                              <w:rPr>
                                <w:sz w:val="12"/>
                                <w:szCs w:val="12"/>
                              </w:rPr>
                              <w:t>work</w:t>
                            </w:r>
                            <w:r w:rsidR="008920E4">
                              <w:rPr>
                                <w:sz w:val="12"/>
                                <w:szCs w:val="12"/>
                              </w:rPr>
                              <w:t>ers</w:t>
                            </w:r>
                          </w:p>
                          <w:p w14:paraId="39205E44" w14:textId="120D25E4" w:rsidR="00926423" w:rsidRPr="002E4F1F" w:rsidRDefault="00926423" w:rsidP="00926423">
                            <w:pPr>
                              <w:rPr>
                                <w:sz w:val="12"/>
                                <w:szCs w:val="12"/>
                              </w:rPr>
                            </w:pPr>
                            <w:r>
                              <w:rPr>
                                <w:sz w:val="12"/>
                                <w:szCs w:val="12"/>
                              </w:rPr>
                              <w:t>₸ at least 74</w:t>
                            </w:r>
                            <w:r w:rsidR="00853C71">
                              <w:rPr>
                                <w:sz w:val="12"/>
                                <w:szCs w:val="12"/>
                              </w:rPr>
                              <w:t>.1%</w:t>
                            </w:r>
                            <w:r>
                              <w:rPr>
                                <w:sz w:val="12"/>
                                <w:szCs w:val="12"/>
                              </w:rPr>
                              <w:t xml:space="preserve"> of these deaths occurred among </w:t>
                            </w:r>
                            <w:r w:rsidR="008920E4">
                              <w:rPr>
                                <w:sz w:val="12"/>
                                <w:szCs w:val="12"/>
                              </w:rPr>
                              <w:t xml:space="preserve">workers </w:t>
                            </w:r>
                            <w:r>
                              <w:rPr>
                                <w:sz w:val="12"/>
                                <w:szCs w:val="12"/>
                              </w:rPr>
                              <w:t>employed in Fishing o</w:t>
                            </w:r>
                            <w:r w:rsidR="00853C71">
                              <w:rPr>
                                <w:sz w:val="12"/>
                                <w:szCs w:val="12"/>
                              </w:rPr>
                              <w:t>ccupations</w:t>
                            </w:r>
                          </w:p>
                          <w:p w14:paraId="7A4E462D" w14:textId="6CC6FAD9" w:rsidR="00C716D9" w:rsidRPr="0004274B" w:rsidRDefault="00C716D9" w:rsidP="00C716D9">
                            <w:pPr>
                              <w:rPr>
                                <w:sz w:val="12"/>
                                <w:szCs w:val="12"/>
                              </w:rPr>
                            </w:pPr>
                            <w:r w:rsidRPr="0004274B">
                              <w:rPr>
                                <w:sz w:val="12"/>
                                <w:szCs w:val="12"/>
                              </w:rPr>
                              <w:t xml:space="preserve">Numerator source: </w:t>
                            </w:r>
                            <w:r w:rsidR="00B25B1F" w:rsidRPr="0004274B">
                              <w:rPr>
                                <w:sz w:val="12"/>
                                <w:szCs w:val="12"/>
                              </w:rPr>
                              <w:t>Massachusetts Registry of Vital Records and Statistics</w:t>
                            </w:r>
                            <w:r w:rsidRPr="0004274B">
                              <w:rPr>
                                <w:sz w:val="12"/>
                                <w:szCs w:val="12"/>
                              </w:rPr>
                              <w:t>, 201</w:t>
                            </w:r>
                            <w:r w:rsidR="005A7A5E" w:rsidRPr="0004274B">
                              <w:rPr>
                                <w:sz w:val="12"/>
                                <w:szCs w:val="12"/>
                              </w:rPr>
                              <w:t>8</w:t>
                            </w:r>
                            <w:r w:rsidRPr="0004274B">
                              <w:rPr>
                                <w:sz w:val="12"/>
                                <w:szCs w:val="12"/>
                              </w:rPr>
                              <w:t>-2020</w:t>
                            </w:r>
                          </w:p>
                          <w:p w14:paraId="27E7268F" w14:textId="2ED91BA1" w:rsidR="00C716D9" w:rsidRPr="0004274B" w:rsidRDefault="00C716D9" w:rsidP="00C716D9">
                            <w:pPr>
                              <w:rPr>
                                <w:sz w:val="12"/>
                                <w:szCs w:val="12"/>
                              </w:rPr>
                            </w:pPr>
                            <w:r w:rsidRPr="0004274B">
                              <w:rPr>
                                <w:sz w:val="12"/>
                                <w:szCs w:val="12"/>
                              </w:rPr>
                              <w:t>Denominator source: American Community Survey, 201</w:t>
                            </w:r>
                            <w:r w:rsidR="005A7A5E" w:rsidRPr="0004274B">
                              <w:rPr>
                                <w:sz w:val="12"/>
                                <w:szCs w:val="12"/>
                              </w:rPr>
                              <w:t>8</w:t>
                            </w:r>
                            <w:r w:rsidRPr="0004274B">
                              <w:rPr>
                                <w:sz w:val="12"/>
                                <w:szCs w:val="12"/>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39C05" id="_x0000_s1038" type="#_x0000_t202" style="position:absolute;left:0;text-align:left;margin-left:37.5pt;margin-top:371.5pt;width:509.25pt;height:66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" stroked="f">
                <v:textbox>
                  <w:txbxContent>
                    <w:p w14:paraId="0D5B1556" w14:textId="2C431710" w:rsidR="00C716D9" w:rsidRPr="0004274B" w:rsidRDefault="005B3005" w:rsidP="00C716D9">
                      <w:pPr>
                        <w:rPr>
                          <w:sz w:val="12"/>
                          <w:szCs w:val="12"/>
                        </w:rPr>
                      </w:pPr>
                      <w:r w:rsidRPr="0004274B">
                        <w:rPr>
                          <w:sz w:val="12"/>
                          <w:szCs w:val="12"/>
                        </w:rPr>
                        <w:t>†</w:t>
                      </w:r>
                      <w:r w:rsidR="00C716D9" w:rsidRPr="0004274B">
                        <w:rPr>
                          <w:sz w:val="12"/>
                          <w:szCs w:val="12"/>
                        </w:rPr>
                        <w:t xml:space="preserve"> In 2018-2019, this category excluded </w:t>
                      </w:r>
                      <w:r w:rsidR="00DC70CF" w:rsidRPr="0004274B">
                        <w:rPr>
                          <w:sz w:val="12"/>
                          <w:szCs w:val="12"/>
                        </w:rPr>
                        <w:t xml:space="preserve">14 opioid-related overdose deaths among those working in the military or military specific occupations due to lack of denominator information and 23 opioid-related overdose deaths because the death certificates did not contain enough information to code occupation </w:t>
                      </w:r>
                      <w:r w:rsidR="00C716D9" w:rsidRPr="0004274B">
                        <w:rPr>
                          <w:sz w:val="12"/>
                          <w:szCs w:val="12"/>
                        </w:rPr>
                        <w:t>;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occupation.</w:t>
                      </w:r>
                    </w:p>
                    <w:p w14:paraId="26A8B630" w14:textId="3F4D42EC" w:rsidR="00B23F51" w:rsidRDefault="002D7D65" w:rsidP="00C716D9">
                      <w:pPr>
                        <w:rPr>
                          <w:sz w:val="12"/>
                          <w:szCs w:val="12"/>
                        </w:rPr>
                      </w:pPr>
                      <w:r w:rsidRPr="0004274B">
                        <w:rPr>
                          <w:sz w:val="12"/>
                          <w:szCs w:val="12"/>
                        </w:rPr>
                        <w:t>‡</w:t>
                      </w:r>
                      <w:r w:rsidR="00B23F51" w:rsidRPr="0004274B">
                        <w:rPr>
                          <w:sz w:val="12"/>
                          <w:szCs w:val="12"/>
                        </w:rPr>
                        <w:t xml:space="preserve">Occupations with a statistically significant higher rate compared to the rate for all </w:t>
                      </w:r>
                      <w:r w:rsidR="00D30D20" w:rsidRPr="00D30D20">
                        <w:rPr>
                          <w:sz w:val="12"/>
                          <w:szCs w:val="12"/>
                        </w:rPr>
                        <w:t>work</w:t>
                      </w:r>
                      <w:r w:rsidR="008920E4">
                        <w:rPr>
                          <w:sz w:val="12"/>
                          <w:szCs w:val="12"/>
                        </w:rPr>
                        <w:t>ers</w:t>
                      </w:r>
                    </w:p>
                    <w:p w14:paraId="39205E44" w14:textId="120D25E4" w:rsidR="00926423" w:rsidRPr="002E4F1F" w:rsidRDefault="00926423" w:rsidP="00926423">
                      <w:pPr>
                        <w:rPr>
                          <w:sz w:val="12"/>
                          <w:szCs w:val="12"/>
                        </w:rPr>
                      </w:pPr>
                      <w:r>
                        <w:rPr>
                          <w:sz w:val="12"/>
                          <w:szCs w:val="12"/>
                        </w:rPr>
                        <w:t>₸ at least 74</w:t>
                      </w:r>
                      <w:r w:rsidR="00853C71">
                        <w:rPr>
                          <w:sz w:val="12"/>
                          <w:szCs w:val="12"/>
                        </w:rPr>
                        <w:t>.1%</w:t>
                      </w:r>
                      <w:r>
                        <w:rPr>
                          <w:sz w:val="12"/>
                          <w:szCs w:val="12"/>
                        </w:rPr>
                        <w:t xml:space="preserve"> of these deaths occurred among </w:t>
                      </w:r>
                      <w:r w:rsidR="008920E4">
                        <w:rPr>
                          <w:sz w:val="12"/>
                          <w:szCs w:val="12"/>
                        </w:rPr>
                        <w:t xml:space="preserve">workers </w:t>
                      </w:r>
                      <w:r>
                        <w:rPr>
                          <w:sz w:val="12"/>
                          <w:szCs w:val="12"/>
                        </w:rPr>
                        <w:t>employed in Fishing o</w:t>
                      </w:r>
                      <w:r w:rsidR="00853C71">
                        <w:rPr>
                          <w:sz w:val="12"/>
                          <w:szCs w:val="12"/>
                        </w:rPr>
                        <w:t>ccupations</w:t>
                      </w:r>
                    </w:p>
                    <w:p w14:paraId="7A4E462D" w14:textId="6CC6FAD9" w:rsidR="00C716D9" w:rsidRPr="0004274B" w:rsidRDefault="00C716D9" w:rsidP="00C716D9">
                      <w:pPr>
                        <w:rPr>
                          <w:sz w:val="12"/>
                          <w:szCs w:val="12"/>
                        </w:rPr>
                      </w:pPr>
                      <w:r w:rsidRPr="0004274B">
                        <w:rPr>
                          <w:sz w:val="12"/>
                          <w:szCs w:val="12"/>
                        </w:rPr>
                        <w:t xml:space="preserve">Numerator source: </w:t>
                      </w:r>
                      <w:r w:rsidR="00B25B1F" w:rsidRPr="0004274B">
                        <w:rPr>
                          <w:sz w:val="12"/>
                          <w:szCs w:val="12"/>
                        </w:rPr>
                        <w:t>Massachusetts Registry of Vital Records and Statistics</w:t>
                      </w:r>
                      <w:r w:rsidRPr="0004274B">
                        <w:rPr>
                          <w:sz w:val="12"/>
                          <w:szCs w:val="12"/>
                        </w:rPr>
                        <w:t>, 201</w:t>
                      </w:r>
                      <w:r w:rsidR="005A7A5E" w:rsidRPr="0004274B">
                        <w:rPr>
                          <w:sz w:val="12"/>
                          <w:szCs w:val="12"/>
                        </w:rPr>
                        <w:t>8</w:t>
                      </w:r>
                      <w:r w:rsidRPr="0004274B">
                        <w:rPr>
                          <w:sz w:val="12"/>
                          <w:szCs w:val="12"/>
                        </w:rPr>
                        <w:t>-2020</w:t>
                      </w:r>
                    </w:p>
                    <w:p w14:paraId="27E7268F" w14:textId="2ED91BA1" w:rsidR="00C716D9" w:rsidRPr="0004274B" w:rsidRDefault="00C716D9" w:rsidP="00C716D9">
                      <w:pPr>
                        <w:rPr>
                          <w:sz w:val="12"/>
                          <w:szCs w:val="12"/>
                        </w:rPr>
                      </w:pPr>
                      <w:r w:rsidRPr="0004274B">
                        <w:rPr>
                          <w:sz w:val="12"/>
                          <w:szCs w:val="12"/>
                        </w:rPr>
                        <w:t>Denominator source: American Community Survey, 201</w:t>
                      </w:r>
                      <w:r w:rsidR="005A7A5E" w:rsidRPr="0004274B">
                        <w:rPr>
                          <w:sz w:val="12"/>
                          <w:szCs w:val="12"/>
                        </w:rPr>
                        <w:t>8</w:t>
                      </w:r>
                      <w:r w:rsidRPr="0004274B">
                        <w:rPr>
                          <w:sz w:val="12"/>
                          <w:szCs w:val="12"/>
                        </w:rPr>
                        <w:t>-2020</w:t>
                      </w:r>
                    </w:p>
                  </w:txbxContent>
                </v:textbox>
                <w10:wrap anchorx="margin"/>
              </v:shape>
            </w:pict>
          </mc:Fallback>
        </mc:AlternateContent>
      </w:r>
    </w:p>
    <w:p w14:paraId="79A025BB" w14:textId="28D7FF09" w:rsidR="00762CE6" w:rsidRPr="00762CE6" w:rsidRDefault="001E3AF8" w:rsidP="00437A27">
      <w:pPr>
        <w:pStyle w:val="ListParagraph"/>
        <w:widowControl w:val="0"/>
        <w:ind w:left="1080"/>
        <w:rPr>
          <w:rFonts w:ascii="Times New Roman" w:hAnsi="Times New Roman"/>
          <w:bCs/>
          <w:i/>
          <w:iCs/>
          <w:color w:val="194D80"/>
          <w:sz w:val="28"/>
          <w:szCs w:val="28"/>
        </w:rPr>
      </w:pPr>
      <w:r>
        <w:rPr>
          <w:rFonts w:ascii="Times New Roman" w:hAnsi="Times New Roman"/>
          <w:bCs/>
          <w:color w:val="194D80"/>
          <w:sz w:val="28"/>
          <w:szCs w:val="28"/>
        </w:rPr>
        <w:t xml:space="preserve"> </w:t>
      </w:r>
    </w:p>
    <w:p w14:paraId="62B22511" w14:textId="4FDF090F" w:rsidR="00762CE6" w:rsidRPr="00762CE6" w:rsidRDefault="00762CE6" w:rsidP="00437A27">
      <w:pPr>
        <w:pStyle w:val="ListParagraph"/>
        <w:widowControl w:val="0"/>
        <w:ind w:left="1080"/>
        <w:rPr>
          <w:rFonts w:ascii="Times New Roman" w:hAnsi="Times New Roman"/>
          <w:bCs/>
          <w:i/>
          <w:iCs/>
          <w:color w:val="194D80"/>
          <w:sz w:val="28"/>
          <w:szCs w:val="28"/>
        </w:rPr>
      </w:pPr>
    </w:p>
    <w:p w14:paraId="6BD09DAD" w14:textId="5BF15E08" w:rsidR="00C716D9" w:rsidRDefault="00C716D9" w:rsidP="00C716D9">
      <w:pPr>
        <w:pStyle w:val="ListParagraph"/>
        <w:widowControl w:val="0"/>
        <w:ind w:left="1080"/>
        <w:rPr>
          <w:bCs/>
        </w:rPr>
      </w:pPr>
    </w:p>
    <w:p w14:paraId="0D2941A4" w14:textId="77777777" w:rsidR="00C716D9" w:rsidRDefault="00C716D9" w:rsidP="00C716D9">
      <w:pPr>
        <w:pStyle w:val="ListParagraph"/>
        <w:widowControl w:val="0"/>
        <w:ind w:left="1080"/>
        <w:rPr>
          <w:bCs/>
        </w:rPr>
      </w:pPr>
    </w:p>
    <w:p w14:paraId="45DC2F97" w14:textId="75176609" w:rsidR="00DA0332" w:rsidRDefault="00DA0332" w:rsidP="00DA0332">
      <w:pPr>
        <w:pStyle w:val="ListParagraph"/>
        <w:numPr>
          <w:ilvl w:val="0"/>
          <w:numId w:val="23"/>
        </w:numPr>
        <w:rPr>
          <w:bCs/>
        </w:rPr>
      </w:pPr>
      <w:r>
        <w:rPr>
          <w:bCs/>
        </w:rPr>
        <w:t xml:space="preserve">The opioid-related overdose death rate for all Massachusetts </w:t>
      </w:r>
      <w:r w:rsidR="007E77C4">
        <w:rPr>
          <w:bCs/>
        </w:rPr>
        <w:t xml:space="preserve">workers </w:t>
      </w:r>
      <w:r>
        <w:rPr>
          <w:bCs/>
        </w:rPr>
        <w:t>across all occupation groups was 4</w:t>
      </w:r>
      <w:r w:rsidR="0002262C">
        <w:rPr>
          <w:bCs/>
        </w:rPr>
        <w:t>8.4</w:t>
      </w:r>
      <w:r>
        <w:rPr>
          <w:bCs/>
        </w:rPr>
        <w:t xml:space="preserve"> deaths per 100,000 workers in 2018-2019 and </w:t>
      </w:r>
      <w:r w:rsidR="0002262C">
        <w:rPr>
          <w:bCs/>
        </w:rPr>
        <w:t>57.4</w:t>
      </w:r>
      <w:r>
        <w:rPr>
          <w:bCs/>
        </w:rPr>
        <w:t xml:space="preserve"> deaths per 100,000 workers in 2020.</w:t>
      </w:r>
    </w:p>
    <w:p w14:paraId="37B8C14B" w14:textId="1DA5D256" w:rsidR="00DA0332" w:rsidRPr="00DA0332" w:rsidRDefault="00DA0332" w:rsidP="00DA0332">
      <w:pPr>
        <w:pStyle w:val="ListParagraph"/>
        <w:numPr>
          <w:ilvl w:val="0"/>
          <w:numId w:val="23"/>
        </w:numPr>
        <w:rPr>
          <w:bCs/>
        </w:rPr>
      </w:pPr>
      <w:r>
        <w:rPr>
          <w:bCs/>
        </w:rPr>
        <w:t xml:space="preserve">The Construction </w:t>
      </w:r>
      <w:r w:rsidR="0002262C">
        <w:rPr>
          <w:bCs/>
        </w:rPr>
        <w:t>and Extraction occupation group</w:t>
      </w:r>
      <w:r>
        <w:rPr>
          <w:bCs/>
        </w:rPr>
        <w:t xml:space="preserve"> ha</w:t>
      </w:r>
      <w:r w:rsidR="00566E4A">
        <w:rPr>
          <w:bCs/>
        </w:rPr>
        <w:t>d</w:t>
      </w:r>
      <w:r>
        <w:rPr>
          <w:bCs/>
        </w:rPr>
        <w:t xml:space="preserve"> the</w:t>
      </w:r>
      <w:r w:rsidR="005D692C">
        <w:rPr>
          <w:bCs/>
        </w:rPr>
        <w:t xml:space="preserve"> second</w:t>
      </w:r>
      <w:r>
        <w:rPr>
          <w:bCs/>
        </w:rPr>
        <w:t xml:space="preserve"> highest rate of opioid-related overdose deaths (2</w:t>
      </w:r>
      <w:r w:rsidR="005D692C">
        <w:rPr>
          <w:bCs/>
        </w:rPr>
        <w:t>72.8</w:t>
      </w:r>
      <w:r>
        <w:rPr>
          <w:bCs/>
        </w:rPr>
        <w:t xml:space="preserve"> deaths per 100,000 workers in 2018-2019 and </w:t>
      </w:r>
      <w:r w:rsidR="0091766B">
        <w:rPr>
          <w:bCs/>
        </w:rPr>
        <w:t>310.8</w:t>
      </w:r>
      <w:r>
        <w:rPr>
          <w:bCs/>
        </w:rPr>
        <w:t xml:space="preserve"> deaths per 100,000 workers in 2020) and the highest number of opioid-related overdose deaths (n=</w:t>
      </w:r>
      <w:r w:rsidR="0091766B">
        <w:rPr>
          <w:bCs/>
        </w:rPr>
        <w:t>861</w:t>
      </w:r>
      <w:r>
        <w:rPr>
          <w:bCs/>
        </w:rPr>
        <w:t xml:space="preserve"> in 2018-2019 and n=4</w:t>
      </w:r>
      <w:r w:rsidR="0091766B">
        <w:rPr>
          <w:bCs/>
        </w:rPr>
        <w:t>20</w:t>
      </w:r>
      <w:r>
        <w:rPr>
          <w:bCs/>
        </w:rPr>
        <w:t xml:space="preserve"> in 2020).</w:t>
      </w:r>
    </w:p>
    <w:p w14:paraId="3ADAB172" w14:textId="3C152A18" w:rsidR="00D77E74" w:rsidRPr="00F85DC2" w:rsidRDefault="00CE3D4D" w:rsidP="00D77E74">
      <w:pPr>
        <w:pStyle w:val="ListParagraph"/>
        <w:widowControl w:val="0"/>
        <w:numPr>
          <w:ilvl w:val="0"/>
          <w:numId w:val="23"/>
        </w:numPr>
        <w:rPr>
          <w:bCs/>
        </w:rPr>
      </w:pPr>
      <w:r w:rsidRPr="00F85DC2">
        <w:rPr>
          <w:bCs/>
        </w:rPr>
        <w:t>The following occupation</w:t>
      </w:r>
      <w:r w:rsidR="00D77E74" w:rsidRPr="00F85DC2">
        <w:rPr>
          <w:bCs/>
        </w:rPr>
        <w:t xml:space="preserve">s had opioid-related overdose death rates that were significantly higher than the rate for all </w:t>
      </w:r>
      <w:r w:rsidR="00E721E1">
        <w:rPr>
          <w:bCs/>
        </w:rPr>
        <w:t xml:space="preserve">Massachusetts </w:t>
      </w:r>
      <w:r w:rsidR="007E77C4">
        <w:rPr>
          <w:bCs/>
        </w:rPr>
        <w:t xml:space="preserve">workers </w:t>
      </w:r>
      <w:r w:rsidR="00747CC0">
        <w:rPr>
          <w:bCs/>
        </w:rPr>
        <w:t>in all occupations</w:t>
      </w:r>
      <w:r w:rsidR="00D77E74" w:rsidRPr="00F85DC2">
        <w:rPr>
          <w:bCs/>
        </w:rPr>
        <w:t>:</w:t>
      </w:r>
    </w:p>
    <w:p w14:paraId="4A93260E" w14:textId="3DBFC6C3" w:rsidR="0013020D" w:rsidRPr="00F85DC2" w:rsidRDefault="0013020D" w:rsidP="00260180">
      <w:pPr>
        <w:pStyle w:val="ListParagraph"/>
        <w:numPr>
          <w:ilvl w:val="1"/>
          <w:numId w:val="24"/>
        </w:numPr>
        <w:rPr>
          <w:bCs/>
        </w:rPr>
      </w:pPr>
      <w:r w:rsidRPr="00F85DC2">
        <w:rPr>
          <w:bCs/>
        </w:rPr>
        <w:t>Building and Grou</w:t>
      </w:r>
      <w:r w:rsidR="00F93F0B" w:rsidRPr="00F85DC2">
        <w:rPr>
          <w:bCs/>
        </w:rPr>
        <w:t>nds</w:t>
      </w:r>
      <w:r w:rsidRPr="00F85DC2">
        <w:rPr>
          <w:bCs/>
        </w:rPr>
        <w:t xml:space="preserve"> Cleaning and Maintenance</w:t>
      </w:r>
      <w:r w:rsidR="00260180" w:rsidRPr="00F85DC2">
        <w:rPr>
          <w:bCs/>
        </w:rPr>
        <w:t xml:space="preserve"> (</w:t>
      </w:r>
      <w:r w:rsidR="008E4BA2" w:rsidRPr="00F85DC2">
        <w:rPr>
          <w:bCs/>
        </w:rPr>
        <w:t>116.3</w:t>
      </w:r>
      <w:r w:rsidR="002355EC" w:rsidRPr="00F85DC2">
        <w:rPr>
          <w:bCs/>
        </w:rPr>
        <w:t xml:space="preserve"> deaths per 100,000 workers</w:t>
      </w:r>
      <w:r w:rsidR="00260180" w:rsidRPr="00F85DC2">
        <w:rPr>
          <w:bCs/>
        </w:rPr>
        <w:t xml:space="preserve"> </w:t>
      </w:r>
      <w:r w:rsidR="00233757" w:rsidRPr="00F85DC2">
        <w:rPr>
          <w:bCs/>
        </w:rPr>
        <w:t>in 2018-2019</w:t>
      </w:r>
      <w:r w:rsidR="00260180" w:rsidRPr="00F85DC2">
        <w:rPr>
          <w:bCs/>
        </w:rPr>
        <w:t xml:space="preserve">; </w:t>
      </w:r>
      <w:r w:rsidR="008E4BA2" w:rsidRPr="00F85DC2">
        <w:rPr>
          <w:bCs/>
        </w:rPr>
        <w:t>177.6</w:t>
      </w:r>
      <w:r w:rsidR="002355EC" w:rsidRPr="00F85DC2">
        <w:rPr>
          <w:bCs/>
        </w:rPr>
        <w:t xml:space="preserve"> deaths per 100,000 workers</w:t>
      </w:r>
      <w:r w:rsidR="00260180" w:rsidRPr="00F85DC2">
        <w:rPr>
          <w:bCs/>
        </w:rPr>
        <w:t xml:space="preserve"> </w:t>
      </w:r>
      <w:r w:rsidR="00233757" w:rsidRPr="00F85DC2">
        <w:rPr>
          <w:bCs/>
        </w:rPr>
        <w:t>in 2020</w:t>
      </w:r>
      <w:r w:rsidR="00260180" w:rsidRPr="00F85DC2">
        <w:rPr>
          <w:bCs/>
        </w:rPr>
        <w:t>)</w:t>
      </w:r>
    </w:p>
    <w:p w14:paraId="737C4061" w14:textId="40C684C9" w:rsidR="0013020D" w:rsidRPr="00F85DC2" w:rsidRDefault="0013020D" w:rsidP="00D77E74">
      <w:pPr>
        <w:pStyle w:val="ListParagraph"/>
        <w:widowControl w:val="0"/>
        <w:numPr>
          <w:ilvl w:val="1"/>
          <w:numId w:val="23"/>
        </w:numPr>
        <w:rPr>
          <w:bCs/>
        </w:rPr>
      </w:pPr>
      <w:r w:rsidRPr="00F85DC2">
        <w:rPr>
          <w:bCs/>
        </w:rPr>
        <w:t>Construction and Extraction</w:t>
      </w:r>
      <w:r w:rsidR="008E4BA2" w:rsidRPr="00F85DC2">
        <w:rPr>
          <w:bCs/>
        </w:rPr>
        <w:t xml:space="preserve"> (272.8; 310.8)</w:t>
      </w:r>
    </w:p>
    <w:p w14:paraId="73A27D55" w14:textId="5D10E657" w:rsidR="0013020D" w:rsidRPr="00F85DC2" w:rsidRDefault="0013020D" w:rsidP="00D77E74">
      <w:pPr>
        <w:pStyle w:val="ListParagraph"/>
        <w:widowControl w:val="0"/>
        <w:numPr>
          <w:ilvl w:val="1"/>
          <w:numId w:val="23"/>
        </w:numPr>
        <w:rPr>
          <w:bCs/>
        </w:rPr>
      </w:pPr>
      <w:r w:rsidRPr="00F85DC2">
        <w:rPr>
          <w:bCs/>
        </w:rPr>
        <w:t>Farming, Fishing, and Forestry</w:t>
      </w:r>
      <w:r w:rsidR="008E4BA2" w:rsidRPr="00F85DC2">
        <w:rPr>
          <w:bCs/>
        </w:rPr>
        <w:t xml:space="preserve"> (475.5; 654.9)</w:t>
      </w:r>
    </w:p>
    <w:p w14:paraId="0FF2A608" w14:textId="2A221AFE" w:rsidR="00045990" w:rsidRPr="00F85DC2" w:rsidRDefault="0013020D" w:rsidP="00D77E74">
      <w:pPr>
        <w:pStyle w:val="ListParagraph"/>
        <w:widowControl w:val="0"/>
        <w:numPr>
          <w:ilvl w:val="1"/>
          <w:numId w:val="23"/>
        </w:numPr>
        <w:rPr>
          <w:bCs/>
        </w:rPr>
      </w:pPr>
      <w:r w:rsidRPr="00F85DC2">
        <w:rPr>
          <w:bCs/>
        </w:rPr>
        <w:t>Food Preparation and Serving Related</w:t>
      </w:r>
      <w:r w:rsidR="00E04C35" w:rsidRPr="00F85DC2">
        <w:rPr>
          <w:bCs/>
        </w:rPr>
        <w:t xml:space="preserve"> (81.9; 130.2)</w:t>
      </w:r>
    </w:p>
    <w:p w14:paraId="01F6EC37" w14:textId="1BF40397" w:rsidR="00045990" w:rsidRPr="00F85DC2" w:rsidRDefault="00045990" w:rsidP="00D77E74">
      <w:pPr>
        <w:pStyle w:val="ListParagraph"/>
        <w:widowControl w:val="0"/>
        <w:numPr>
          <w:ilvl w:val="1"/>
          <w:numId w:val="23"/>
        </w:numPr>
        <w:rPr>
          <w:bCs/>
        </w:rPr>
      </w:pPr>
      <w:r w:rsidRPr="00F85DC2">
        <w:rPr>
          <w:bCs/>
        </w:rPr>
        <w:t>Installation, Maintenance, and Repair</w:t>
      </w:r>
      <w:r w:rsidR="00E04C35" w:rsidRPr="00F85DC2">
        <w:rPr>
          <w:bCs/>
        </w:rPr>
        <w:t xml:space="preserve"> (</w:t>
      </w:r>
      <w:r w:rsidR="008C35E9" w:rsidRPr="00F85DC2">
        <w:rPr>
          <w:bCs/>
        </w:rPr>
        <w:t>110.5; 117.2)</w:t>
      </w:r>
    </w:p>
    <w:p w14:paraId="7D7199C4" w14:textId="45497652" w:rsidR="00A216D0" w:rsidRPr="00F85DC2" w:rsidRDefault="00045990" w:rsidP="00D77E74">
      <w:pPr>
        <w:pStyle w:val="ListParagraph"/>
        <w:widowControl w:val="0"/>
        <w:numPr>
          <w:ilvl w:val="1"/>
          <w:numId w:val="23"/>
        </w:numPr>
        <w:rPr>
          <w:bCs/>
        </w:rPr>
      </w:pPr>
      <w:r w:rsidRPr="00F85DC2">
        <w:rPr>
          <w:bCs/>
        </w:rPr>
        <w:t>Personal Care and Service</w:t>
      </w:r>
      <w:r w:rsidR="00A216D0" w:rsidRPr="00F85DC2">
        <w:rPr>
          <w:bCs/>
        </w:rPr>
        <w:t xml:space="preserve"> </w:t>
      </w:r>
      <w:r w:rsidR="008C35E9" w:rsidRPr="00F85DC2">
        <w:rPr>
          <w:bCs/>
        </w:rPr>
        <w:t>(67.7; 86.2)</w:t>
      </w:r>
    </w:p>
    <w:p w14:paraId="156EB347" w14:textId="4576B5E7" w:rsidR="00A216D0" w:rsidRPr="00F85DC2" w:rsidRDefault="00A216D0" w:rsidP="00D77E74">
      <w:pPr>
        <w:pStyle w:val="ListParagraph"/>
        <w:widowControl w:val="0"/>
        <w:numPr>
          <w:ilvl w:val="1"/>
          <w:numId w:val="23"/>
        </w:numPr>
        <w:rPr>
          <w:bCs/>
        </w:rPr>
      </w:pPr>
      <w:r w:rsidRPr="00F85DC2">
        <w:rPr>
          <w:bCs/>
        </w:rPr>
        <w:t>Production</w:t>
      </w:r>
      <w:r w:rsidR="008C35E9" w:rsidRPr="00F85DC2">
        <w:rPr>
          <w:bCs/>
        </w:rPr>
        <w:t xml:space="preserve"> (81.</w:t>
      </w:r>
      <w:r w:rsidR="00213022" w:rsidRPr="00F85DC2">
        <w:rPr>
          <w:bCs/>
        </w:rPr>
        <w:t>7; 92.2)</w:t>
      </w:r>
    </w:p>
    <w:p w14:paraId="77503AF2" w14:textId="4E74EF0F" w:rsidR="005704D9" w:rsidRDefault="00A216D0" w:rsidP="00D77E74">
      <w:pPr>
        <w:pStyle w:val="ListParagraph"/>
        <w:widowControl w:val="0"/>
        <w:numPr>
          <w:ilvl w:val="1"/>
          <w:numId w:val="23"/>
        </w:numPr>
        <w:rPr>
          <w:bCs/>
        </w:rPr>
      </w:pPr>
      <w:r w:rsidRPr="00F85DC2">
        <w:rPr>
          <w:bCs/>
        </w:rPr>
        <w:t>Transportation and Material Moving</w:t>
      </w:r>
      <w:r w:rsidR="00213022" w:rsidRPr="00F85DC2">
        <w:rPr>
          <w:bCs/>
        </w:rPr>
        <w:t xml:space="preserve"> (68.3; 103.2)</w:t>
      </w:r>
    </w:p>
    <w:p w14:paraId="7703EE62" w14:textId="21F48BE4" w:rsidR="00817784" w:rsidRDefault="00817784" w:rsidP="00817784">
      <w:pPr>
        <w:widowControl w:val="0"/>
        <w:rPr>
          <w:bCs/>
        </w:rPr>
      </w:pPr>
    </w:p>
    <w:p w14:paraId="3DA75F07" w14:textId="58F56808" w:rsidR="00817784" w:rsidRDefault="00817784" w:rsidP="00817784">
      <w:pPr>
        <w:widowControl w:val="0"/>
        <w:rPr>
          <w:bCs/>
        </w:rPr>
      </w:pPr>
    </w:p>
    <w:p w14:paraId="59A4E89A" w14:textId="267C32CA" w:rsidR="00817784" w:rsidRDefault="00817784" w:rsidP="00817784">
      <w:pPr>
        <w:widowControl w:val="0"/>
        <w:rPr>
          <w:bCs/>
        </w:rPr>
      </w:pPr>
    </w:p>
    <w:p w14:paraId="05B536DE" w14:textId="1406A111" w:rsidR="00817784" w:rsidRDefault="00817784" w:rsidP="00817784">
      <w:pPr>
        <w:widowControl w:val="0"/>
        <w:rPr>
          <w:bCs/>
        </w:rPr>
      </w:pPr>
    </w:p>
    <w:p w14:paraId="09833277" w14:textId="77777777" w:rsidR="007B3D5F" w:rsidRDefault="00DC08C3" w:rsidP="00817784">
      <w:pPr>
        <w:widowControl w:val="0"/>
        <w:jc w:val="center"/>
        <w:rPr>
          <w:rFonts w:asciiTheme="minorHAnsi" w:hAnsiTheme="minorHAnsi" w:cstheme="minorHAnsi"/>
          <w:b/>
        </w:rPr>
      </w:pPr>
      <w:r>
        <w:rPr>
          <w:noProof/>
        </w:rPr>
        <w:lastRenderedPageBreak/>
        <w:drawing>
          <wp:anchor distT="0" distB="0" distL="114300" distR="114300" simplePos="0" relativeHeight="251658257" behindDoc="1" locked="0" layoutInCell="1" allowOverlap="1" wp14:anchorId="7B8FA340" wp14:editId="1B3BFF38">
            <wp:simplePos x="0" y="0"/>
            <wp:positionH relativeFrom="margin">
              <wp:posOffset>-11575</wp:posOffset>
            </wp:positionH>
            <wp:positionV relativeFrom="paragraph">
              <wp:posOffset>4421</wp:posOffset>
            </wp:positionV>
            <wp:extent cx="6858000" cy="5237544"/>
            <wp:effectExtent l="0" t="0" r="0" b="1270"/>
            <wp:wrapNone/>
            <wp:docPr id="28" name="Chart 28">
              <a:extLst xmlns:a="http://schemas.openxmlformats.org/drawingml/2006/main">
                <a:ext uri="{FF2B5EF4-FFF2-40B4-BE49-F238E27FC236}">
                  <a16:creationId xmlns:a16="http://schemas.microsoft.com/office/drawing/2014/main" id="{B5DE8382-41C9-459E-AEEC-4F9319A393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817784" w:rsidRPr="00817784">
        <w:rPr>
          <w:rFonts w:asciiTheme="minorHAnsi" w:hAnsiTheme="minorHAnsi" w:cstheme="minorHAnsi"/>
          <w:b/>
        </w:rPr>
        <w:t xml:space="preserve">Figure 5. Rate ratios of opioid-related deaths among Massachusetts working-age decedents by occupational groups, </w:t>
      </w:r>
    </w:p>
    <w:p w14:paraId="5D5DC86A" w14:textId="5AEB21F9" w:rsidR="00817784" w:rsidRDefault="00817784" w:rsidP="00817784">
      <w:pPr>
        <w:widowControl w:val="0"/>
        <w:jc w:val="center"/>
        <w:rPr>
          <w:rFonts w:asciiTheme="minorHAnsi" w:hAnsiTheme="minorHAnsi" w:cstheme="minorHAnsi"/>
          <w:b/>
        </w:rPr>
      </w:pPr>
      <w:r w:rsidRPr="00817784">
        <w:rPr>
          <w:rFonts w:asciiTheme="minorHAnsi" w:hAnsiTheme="minorHAnsi" w:cstheme="minorHAnsi"/>
          <w:b/>
        </w:rPr>
        <w:t>comparing 2018-2019 vs. 2020</w:t>
      </w:r>
    </w:p>
    <w:p w14:paraId="476F18EC" w14:textId="7B3F2C74" w:rsidR="007B3D5F" w:rsidRDefault="007B3D5F" w:rsidP="00817784">
      <w:pPr>
        <w:widowControl w:val="0"/>
        <w:jc w:val="center"/>
        <w:rPr>
          <w:rFonts w:asciiTheme="minorHAnsi" w:hAnsiTheme="minorHAnsi" w:cstheme="minorHAnsi"/>
          <w:b/>
        </w:rPr>
      </w:pPr>
    </w:p>
    <w:p w14:paraId="419964F0" w14:textId="34C21C56" w:rsidR="007B3D5F" w:rsidRDefault="007B3D5F" w:rsidP="00817784">
      <w:pPr>
        <w:widowControl w:val="0"/>
        <w:jc w:val="center"/>
        <w:rPr>
          <w:rFonts w:asciiTheme="minorHAnsi" w:hAnsiTheme="minorHAnsi" w:cstheme="minorHAnsi"/>
          <w:b/>
        </w:rPr>
      </w:pPr>
    </w:p>
    <w:p w14:paraId="15C5DE38" w14:textId="62EACF0D" w:rsidR="007B3D5F" w:rsidRDefault="007B3D5F" w:rsidP="00817784">
      <w:pPr>
        <w:widowControl w:val="0"/>
        <w:jc w:val="center"/>
        <w:rPr>
          <w:rFonts w:asciiTheme="minorHAnsi" w:hAnsiTheme="minorHAnsi" w:cstheme="minorHAnsi"/>
          <w:b/>
        </w:rPr>
      </w:pPr>
    </w:p>
    <w:p w14:paraId="65161537" w14:textId="1B38C39D" w:rsidR="007B3D5F" w:rsidRDefault="007B3D5F" w:rsidP="00817784">
      <w:pPr>
        <w:widowControl w:val="0"/>
        <w:jc w:val="center"/>
        <w:rPr>
          <w:rFonts w:asciiTheme="minorHAnsi" w:hAnsiTheme="minorHAnsi" w:cstheme="minorHAnsi"/>
          <w:b/>
        </w:rPr>
      </w:pPr>
    </w:p>
    <w:p w14:paraId="6BB50F56" w14:textId="1C1A4404" w:rsidR="007B3D5F" w:rsidRDefault="007B3D5F" w:rsidP="00817784">
      <w:pPr>
        <w:widowControl w:val="0"/>
        <w:jc w:val="center"/>
        <w:rPr>
          <w:rFonts w:asciiTheme="minorHAnsi" w:hAnsiTheme="minorHAnsi" w:cstheme="minorHAnsi"/>
          <w:b/>
        </w:rPr>
      </w:pPr>
    </w:p>
    <w:p w14:paraId="36B004FA" w14:textId="19BBB527" w:rsidR="007B3D5F" w:rsidRDefault="007B3D5F" w:rsidP="00817784">
      <w:pPr>
        <w:widowControl w:val="0"/>
        <w:jc w:val="center"/>
        <w:rPr>
          <w:rFonts w:asciiTheme="minorHAnsi" w:hAnsiTheme="minorHAnsi" w:cstheme="minorHAnsi"/>
          <w:b/>
        </w:rPr>
      </w:pPr>
    </w:p>
    <w:p w14:paraId="512153D6" w14:textId="069A1B34" w:rsidR="007B3D5F" w:rsidRDefault="007B3D5F" w:rsidP="00817784">
      <w:pPr>
        <w:widowControl w:val="0"/>
        <w:jc w:val="center"/>
        <w:rPr>
          <w:rFonts w:asciiTheme="minorHAnsi" w:hAnsiTheme="minorHAnsi" w:cstheme="minorHAnsi"/>
          <w:b/>
        </w:rPr>
      </w:pPr>
    </w:p>
    <w:p w14:paraId="611240ED" w14:textId="1451B64B" w:rsidR="007B3D5F" w:rsidRDefault="007B3D5F" w:rsidP="00817784">
      <w:pPr>
        <w:widowControl w:val="0"/>
        <w:jc w:val="center"/>
        <w:rPr>
          <w:rFonts w:asciiTheme="minorHAnsi" w:hAnsiTheme="minorHAnsi" w:cstheme="minorHAnsi"/>
          <w:b/>
        </w:rPr>
      </w:pPr>
    </w:p>
    <w:p w14:paraId="1DCB07D5" w14:textId="10F82CC8" w:rsidR="007B3D5F" w:rsidRDefault="007B3D5F" w:rsidP="00817784">
      <w:pPr>
        <w:widowControl w:val="0"/>
        <w:jc w:val="center"/>
        <w:rPr>
          <w:rFonts w:asciiTheme="minorHAnsi" w:hAnsiTheme="minorHAnsi" w:cstheme="minorHAnsi"/>
          <w:b/>
        </w:rPr>
      </w:pPr>
    </w:p>
    <w:p w14:paraId="1BDAA330" w14:textId="2DB33A8F" w:rsidR="007B3D5F" w:rsidRDefault="007B3D5F" w:rsidP="00817784">
      <w:pPr>
        <w:widowControl w:val="0"/>
        <w:jc w:val="center"/>
        <w:rPr>
          <w:rFonts w:asciiTheme="minorHAnsi" w:hAnsiTheme="minorHAnsi" w:cstheme="minorHAnsi"/>
          <w:b/>
        </w:rPr>
      </w:pPr>
    </w:p>
    <w:p w14:paraId="4FDA5CC9" w14:textId="072666E3" w:rsidR="007B3D5F" w:rsidRDefault="007B3D5F" w:rsidP="00817784">
      <w:pPr>
        <w:widowControl w:val="0"/>
        <w:jc w:val="center"/>
        <w:rPr>
          <w:rFonts w:asciiTheme="minorHAnsi" w:hAnsiTheme="minorHAnsi" w:cstheme="minorHAnsi"/>
          <w:b/>
        </w:rPr>
      </w:pPr>
    </w:p>
    <w:p w14:paraId="6745BA1A" w14:textId="790154A7" w:rsidR="007B3D5F" w:rsidRDefault="007B3D5F" w:rsidP="00817784">
      <w:pPr>
        <w:widowControl w:val="0"/>
        <w:jc w:val="center"/>
        <w:rPr>
          <w:rFonts w:asciiTheme="minorHAnsi" w:hAnsiTheme="minorHAnsi" w:cstheme="minorHAnsi"/>
          <w:b/>
        </w:rPr>
      </w:pPr>
    </w:p>
    <w:p w14:paraId="4319895F" w14:textId="45B7E158" w:rsidR="007B3D5F" w:rsidRDefault="007B3D5F" w:rsidP="00817784">
      <w:pPr>
        <w:widowControl w:val="0"/>
        <w:jc w:val="center"/>
        <w:rPr>
          <w:rFonts w:asciiTheme="minorHAnsi" w:hAnsiTheme="minorHAnsi" w:cstheme="minorHAnsi"/>
          <w:b/>
        </w:rPr>
      </w:pPr>
    </w:p>
    <w:p w14:paraId="3A4CD306" w14:textId="30484FCB" w:rsidR="007B3D5F" w:rsidRDefault="007B3D5F" w:rsidP="00817784">
      <w:pPr>
        <w:widowControl w:val="0"/>
        <w:jc w:val="center"/>
        <w:rPr>
          <w:rFonts w:asciiTheme="minorHAnsi" w:hAnsiTheme="minorHAnsi" w:cstheme="minorHAnsi"/>
          <w:b/>
        </w:rPr>
      </w:pPr>
    </w:p>
    <w:p w14:paraId="6129E494" w14:textId="1F32E6B2" w:rsidR="007B3D5F" w:rsidRDefault="007B3D5F" w:rsidP="00817784">
      <w:pPr>
        <w:widowControl w:val="0"/>
        <w:jc w:val="center"/>
        <w:rPr>
          <w:rFonts w:asciiTheme="minorHAnsi" w:hAnsiTheme="minorHAnsi" w:cstheme="minorHAnsi"/>
          <w:b/>
        </w:rPr>
      </w:pPr>
    </w:p>
    <w:p w14:paraId="7EC907D6" w14:textId="013EA065" w:rsidR="007B3D5F" w:rsidRDefault="007B3D5F" w:rsidP="00817784">
      <w:pPr>
        <w:widowControl w:val="0"/>
        <w:jc w:val="center"/>
        <w:rPr>
          <w:rFonts w:asciiTheme="minorHAnsi" w:hAnsiTheme="minorHAnsi" w:cstheme="minorHAnsi"/>
          <w:b/>
        </w:rPr>
      </w:pPr>
    </w:p>
    <w:p w14:paraId="5A9BFBB6" w14:textId="2D1457BA" w:rsidR="007B3D5F" w:rsidRDefault="007B3D5F" w:rsidP="00817784">
      <w:pPr>
        <w:widowControl w:val="0"/>
        <w:jc w:val="center"/>
        <w:rPr>
          <w:rFonts w:asciiTheme="minorHAnsi" w:hAnsiTheme="minorHAnsi" w:cstheme="minorHAnsi"/>
          <w:b/>
        </w:rPr>
      </w:pPr>
    </w:p>
    <w:p w14:paraId="00763B03" w14:textId="52C29DA8" w:rsidR="007B3D5F" w:rsidRDefault="007B3D5F" w:rsidP="00817784">
      <w:pPr>
        <w:widowControl w:val="0"/>
        <w:jc w:val="center"/>
        <w:rPr>
          <w:rFonts w:asciiTheme="minorHAnsi" w:hAnsiTheme="minorHAnsi" w:cstheme="minorHAnsi"/>
          <w:b/>
        </w:rPr>
      </w:pPr>
    </w:p>
    <w:p w14:paraId="0F271F63" w14:textId="6AEBC060" w:rsidR="007B3D5F" w:rsidRDefault="007B3D5F" w:rsidP="00817784">
      <w:pPr>
        <w:widowControl w:val="0"/>
        <w:jc w:val="center"/>
        <w:rPr>
          <w:rFonts w:asciiTheme="minorHAnsi" w:hAnsiTheme="minorHAnsi" w:cstheme="minorHAnsi"/>
          <w:b/>
        </w:rPr>
      </w:pPr>
    </w:p>
    <w:p w14:paraId="7140118B" w14:textId="41EDE646" w:rsidR="007B3D5F" w:rsidRDefault="007B3D5F" w:rsidP="00817784">
      <w:pPr>
        <w:widowControl w:val="0"/>
        <w:jc w:val="center"/>
        <w:rPr>
          <w:rFonts w:asciiTheme="minorHAnsi" w:hAnsiTheme="minorHAnsi" w:cstheme="minorHAnsi"/>
          <w:b/>
        </w:rPr>
      </w:pPr>
    </w:p>
    <w:p w14:paraId="5EA7F11B" w14:textId="6BD9854D" w:rsidR="007B3D5F" w:rsidRDefault="007B3D5F" w:rsidP="00817784">
      <w:pPr>
        <w:widowControl w:val="0"/>
        <w:jc w:val="center"/>
        <w:rPr>
          <w:rFonts w:asciiTheme="minorHAnsi" w:hAnsiTheme="minorHAnsi" w:cstheme="minorHAnsi"/>
          <w:b/>
        </w:rPr>
      </w:pPr>
    </w:p>
    <w:p w14:paraId="12DBDBC7" w14:textId="178B1E10" w:rsidR="007B3D5F" w:rsidRDefault="007B3D5F" w:rsidP="00817784">
      <w:pPr>
        <w:widowControl w:val="0"/>
        <w:jc w:val="center"/>
        <w:rPr>
          <w:rFonts w:asciiTheme="minorHAnsi" w:hAnsiTheme="minorHAnsi" w:cstheme="minorHAnsi"/>
          <w:b/>
        </w:rPr>
      </w:pPr>
    </w:p>
    <w:p w14:paraId="4F0D0B34" w14:textId="427396FE" w:rsidR="007B3D5F" w:rsidRDefault="007B3D5F" w:rsidP="00817784">
      <w:pPr>
        <w:widowControl w:val="0"/>
        <w:jc w:val="center"/>
        <w:rPr>
          <w:rFonts w:asciiTheme="minorHAnsi" w:hAnsiTheme="minorHAnsi" w:cstheme="minorHAnsi"/>
          <w:b/>
        </w:rPr>
      </w:pPr>
    </w:p>
    <w:p w14:paraId="67746497" w14:textId="7743D848" w:rsidR="007B3D5F" w:rsidRDefault="007B3D5F" w:rsidP="00817784">
      <w:pPr>
        <w:widowControl w:val="0"/>
        <w:jc w:val="center"/>
        <w:rPr>
          <w:rFonts w:asciiTheme="minorHAnsi" w:hAnsiTheme="minorHAnsi" w:cstheme="minorHAnsi"/>
          <w:b/>
        </w:rPr>
      </w:pPr>
    </w:p>
    <w:p w14:paraId="00CD43C9" w14:textId="5DAE32C9" w:rsidR="007B3D5F" w:rsidRDefault="007B3D5F" w:rsidP="00817784">
      <w:pPr>
        <w:widowControl w:val="0"/>
        <w:jc w:val="center"/>
        <w:rPr>
          <w:rFonts w:asciiTheme="minorHAnsi" w:hAnsiTheme="minorHAnsi" w:cstheme="minorHAnsi"/>
          <w:b/>
        </w:rPr>
      </w:pPr>
    </w:p>
    <w:p w14:paraId="7EDF2EC5" w14:textId="53123A7E" w:rsidR="007B3D5F" w:rsidRDefault="007B3D5F" w:rsidP="00817784">
      <w:pPr>
        <w:widowControl w:val="0"/>
        <w:jc w:val="center"/>
        <w:rPr>
          <w:rFonts w:asciiTheme="minorHAnsi" w:hAnsiTheme="minorHAnsi" w:cstheme="minorHAnsi"/>
          <w:b/>
        </w:rPr>
      </w:pPr>
    </w:p>
    <w:p w14:paraId="7D5AE895" w14:textId="2399A327" w:rsidR="007B3D5F" w:rsidRDefault="007B3D5F" w:rsidP="00817784">
      <w:pPr>
        <w:widowControl w:val="0"/>
        <w:jc w:val="center"/>
        <w:rPr>
          <w:rFonts w:asciiTheme="minorHAnsi" w:hAnsiTheme="minorHAnsi" w:cstheme="minorHAnsi"/>
          <w:b/>
        </w:rPr>
      </w:pPr>
    </w:p>
    <w:p w14:paraId="497CDB37" w14:textId="55F2B55B" w:rsidR="00DC08C3" w:rsidRDefault="00DC08C3" w:rsidP="00817784">
      <w:pPr>
        <w:widowControl w:val="0"/>
        <w:jc w:val="center"/>
        <w:rPr>
          <w:rFonts w:asciiTheme="minorHAnsi" w:hAnsiTheme="minorHAnsi" w:cstheme="minorHAnsi"/>
          <w:b/>
        </w:rPr>
      </w:pPr>
    </w:p>
    <w:p w14:paraId="5B243EDF" w14:textId="188CD08C" w:rsidR="00DC08C3" w:rsidRDefault="00DC08C3" w:rsidP="00817784">
      <w:pPr>
        <w:widowControl w:val="0"/>
        <w:jc w:val="center"/>
        <w:rPr>
          <w:rFonts w:asciiTheme="minorHAnsi" w:hAnsiTheme="minorHAnsi" w:cstheme="minorHAnsi"/>
          <w:b/>
        </w:rPr>
      </w:pPr>
    </w:p>
    <w:p w14:paraId="6D295509" w14:textId="77777777" w:rsidR="00DC08C3" w:rsidRPr="00817784" w:rsidRDefault="00DC08C3" w:rsidP="00817784">
      <w:pPr>
        <w:widowControl w:val="0"/>
        <w:jc w:val="center"/>
        <w:rPr>
          <w:rFonts w:asciiTheme="minorHAnsi" w:hAnsiTheme="minorHAnsi" w:cstheme="minorHAnsi"/>
          <w:b/>
        </w:rPr>
      </w:pPr>
    </w:p>
    <w:p w14:paraId="49FC3E6C" w14:textId="0C5420A0" w:rsidR="009B25ED" w:rsidRDefault="00516CD5" w:rsidP="009B25ED">
      <w:pPr>
        <w:widowControl w:val="0"/>
        <w:rPr>
          <w:bCs/>
        </w:rPr>
      </w:pPr>
      <w:r w:rsidRPr="006665F6">
        <w:rPr>
          <w:b/>
          <w:noProof/>
          <w:color w:val="194D80"/>
          <w:sz w:val="28"/>
          <w:szCs w:val="28"/>
        </w:rPr>
        <mc:AlternateContent>
          <mc:Choice Requires="wps">
            <w:drawing>
              <wp:anchor distT="45720" distB="45720" distL="114300" distR="114300" simplePos="0" relativeHeight="251658258" behindDoc="0" locked="0" layoutInCell="1" allowOverlap="1" wp14:anchorId="25FA9AEE" wp14:editId="11DD899D">
                <wp:simplePos x="0" y="0"/>
                <wp:positionH relativeFrom="margin">
                  <wp:posOffset>226612</wp:posOffset>
                </wp:positionH>
                <wp:positionV relativeFrom="paragraph">
                  <wp:posOffset>5177348</wp:posOffset>
                </wp:positionV>
                <wp:extent cx="6865620" cy="88259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882595"/>
                        </a:xfrm>
                        <a:prstGeom prst="rect">
                          <a:avLst/>
                        </a:prstGeom>
                        <a:solidFill>
                          <a:srgbClr val="FFFFFF"/>
                        </a:solidFill>
                        <a:ln w="9525">
                          <a:noFill/>
                          <a:miter lim="800000"/>
                          <a:headEnd/>
                          <a:tailEnd/>
                        </a:ln>
                      </wps:spPr>
                      <wps:txbx>
                        <w:txbxContent>
                          <w:p w14:paraId="683D0C19" w14:textId="77777777" w:rsidR="00921FA2" w:rsidRPr="0004274B" w:rsidRDefault="00921FA2" w:rsidP="00921FA2">
                            <w:pPr>
                              <w:rPr>
                                <w:sz w:val="12"/>
                                <w:szCs w:val="12"/>
                              </w:rPr>
                            </w:pPr>
                            <w:r w:rsidRPr="0004274B">
                              <w:rPr>
                                <w:sz w:val="12"/>
                                <w:szCs w:val="12"/>
                              </w:rPr>
                              <w:t>† In 2018-2019, this category excluded 14 opioid-related overdose deaths among those working in the military or military specific occupations due to lack of denominator information and 23 opioid-related overdose deaths because the death certificates did not contain enough information to code occupation ;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occupation.</w:t>
                            </w:r>
                          </w:p>
                          <w:p w14:paraId="563B0317" w14:textId="27C0C109" w:rsidR="001F43FF" w:rsidRPr="0004274B" w:rsidRDefault="001F43FF" w:rsidP="001F43FF">
                            <w:pPr>
                              <w:rPr>
                                <w:sz w:val="12"/>
                                <w:szCs w:val="12"/>
                              </w:rPr>
                            </w:pPr>
                            <w:r w:rsidRPr="0004274B">
                              <w:rPr>
                                <w:sz w:val="12"/>
                                <w:szCs w:val="12"/>
                              </w:rPr>
                              <w:t>‡ Rate ratios are the difference in opioid-related overdose death rates from 2018-2019 to 2020. If the rate ratio and confidence interval (CI) includes 1, it means there is no difference in the rates of 2018-2019 and 2020.</w:t>
                            </w:r>
                            <w:r w:rsidR="00650122">
                              <w:rPr>
                                <w:sz w:val="12"/>
                                <w:szCs w:val="12"/>
                              </w:rPr>
                              <w:t xml:space="preserve"> </w:t>
                            </w:r>
                            <w:r w:rsidRPr="0004274B">
                              <w:rPr>
                                <w:sz w:val="12"/>
                                <w:szCs w:val="12"/>
                              </w:rPr>
                              <w:t>If the rate ratio and CI favors the left</w:t>
                            </w:r>
                            <w:r w:rsidR="004D7C4C">
                              <w:rPr>
                                <w:sz w:val="12"/>
                                <w:szCs w:val="12"/>
                              </w:rPr>
                              <w:t xml:space="preserve"> (less than one)</w:t>
                            </w:r>
                            <w:r w:rsidRPr="0004274B">
                              <w:rPr>
                                <w:sz w:val="12"/>
                                <w:szCs w:val="12"/>
                              </w:rPr>
                              <w:t xml:space="preserve"> and does not include 1, it means the rate of 2018-2019 is statistically greater than the rate of 2020. If the rate ratio and CI favors the right</w:t>
                            </w:r>
                            <w:r w:rsidR="004D7C4C">
                              <w:rPr>
                                <w:sz w:val="12"/>
                                <w:szCs w:val="12"/>
                              </w:rPr>
                              <w:t xml:space="preserve"> (great than one)</w:t>
                            </w:r>
                            <w:r w:rsidRPr="0004274B">
                              <w:rPr>
                                <w:sz w:val="12"/>
                                <w:szCs w:val="12"/>
                              </w:rPr>
                              <w:t xml:space="preserve"> and does not include 1, it means the rate of 2020 is statistically greater than the rate of 2018-2019.</w:t>
                            </w:r>
                          </w:p>
                          <w:p w14:paraId="12223D1B" w14:textId="7079B0D0" w:rsidR="00220E31" w:rsidRPr="0004274B" w:rsidRDefault="00220E31" w:rsidP="00220E31">
                            <w:pPr>
                              <w:rPr>
                                <w:sz w:val="12"/>
                                <w:szCs w:val="12"/>
                              </w:rPr>
                            </w:pPr>
                            <w:r w:rsidRPr="0004274B">
                              <w:rPr>
                                <w:sz w:val="12"/>
                                <w:szCs w:val="12"/>
                              </w:rPr>
                              <w:t xml:space="preserve">Numerator source: </w:t>
                            </w:r>
                            <w:r w:rsidR="00B25B1F" w:rsidRPr="0004274B">
                              <w:rPr>
                                <w:sz w:val="12"/>
                                <w:szCs w:val="12"/>
                              </w:rPr>
                              <w:t>Massachusetts Registry of Vital Records and Statistics</w:t>
                            </w:r>
                            <w:r w:rsidRPr="0004274B">
                              <w:rPr>
                                <w:sz w:val="12"/>
                                <w:szCs w:val="12"/>
                              </w:rPr>
                              <w:t>, 2018-2020</w:t>
                            </w:r>
                          </w:p>
                          <w:p w14:paraId="468EF938" w14:textId="77777777" w:rsidR="00220E31" w:rsidRPr="0004274B" w:rsidRDefault="00220E31" w:rsidP="00220E31">
                            <w:pPr>
                              <w:rPr>
                                <w:sz w:val="12"/>
                                <w:szCs w:val="12"/>
                              </w:rPr>
                            </w:pPr>
                            <w:r w:rsidRPr="0004274B">
                              <w:rPr>
                                <w:sz w:val="12"/>
                                <w:szCs w:val="12"/>
                              </w:rPr>
                              <w:t>Denominator source: American Community Survey, 2018-2020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A9AEE" id="_x0000_s1039" type="#_x0000_t202" style="position:absolute;margin-left:17.85pt;margin-top:407.65pt;width:540.6pt;height:69.5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" stroked="f">
                <v:textbox>
                  <w:txbxContent>
                    <w:p w14:paraId="683D0C19" w14:textId="77777777" w:rsidR="00921FA2" w:rsidRPr="0004274B" w:rsidRDefault="00921FA2" w:rsidP="00921FA2">
                      <w:pPr>
                        <w:rPr>
                          <w:sz w:val="12"/>
                          <w:szCs w:val="12"/>
                        </w:rPr>
                      </w:pPr>
                      <w:r w:rsidRPr="0004274B">
                        <w:rPr>
                          <w:sz w:val="12"/>
                          <w:szCs w:val="12"/>
                        </w:rPr>
                        <w:t>† In 2018-2019, this category excluded 14 opioid-related overdose deaths among those working in the military or military specific occupations due to lack of denominator information and 23 opioid-related overdose deaths because the death certificates did not contain enough information to code occupation ;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occupation.</w:t>
                      </w:r>
                    </w:p>
                    <w:p w14:paraId="563B0317" w14:textId="27C0C109" w:rsidR="001F43FF" w:rsidRPr="0004274B" w:rsidRDefault="001F43FF" w:rsidP="001F43FF">
                      <w:pPr>
                        <w:rPr>
                          <w:sz w:val="12"/>
                          <w:szCs w:val="12"/>
                        </w:rPr>
                      </w:pPr>
                      <w:r w:rsidRPr="0004274B">
                        <w:rPr>
                          <w:sz w:val="12"/>
                          <w:szCs w:val="12"/>
                        </w:rPr>
                        <w:t>‡ Rate ratios are the difference in opioid-related overdose death rates from 2018-2019 to 2020. If the rate ratio and confidence interval (CI) includes 1, it means there is no difference in the rates of 2018-2019 and 2020.</w:t>
                      </w:r>
                      <w:r w:rsidR="00650122">
                        <w:rPr>
                          <w:sz w:val="12"/>
                          <w:szCs w:val="12"/>
                        </w:rPr>
                        <w:t xml:space="preserve"> </w:t>
                      </w:r>
                      <w:r w:rsidRPr="0004274B">
                        <w:rPr>
                          <w:sz w:val="12"/>
                          <w:szCs w:val="12"/>
                        </w:rPr>
                        <w:t>If the rate ratio and CI favors the left</w:t>
                      </w:r>
                      <w:r w:rsidR="004D7C4C">
                        <w:rPr>
                          <w:sz w:val="12"/>
                          <w:szCs w:val="12"/>
                        </w:rPr>
                        <w:t xml:space="preserve"> (less than one)</w:t>
                      </w:r>
                      <w:r w:rsidRPr="0004274B">
                        <w:rPr>
                          <w:sz w:val="12"/>
                          <w:szCs w:val="12"/>
                        </w:rPr>
                        <w:t xml:space="preserve"> and does not include 1, it means the rate of 2018-2019 is statistically greater than the rate of 2020. If the rate ratio and CI favors the right</w:t>
                      </w:r>
                      <w:r w:rsidR="004D7C4C">
                        <w:rPr>
                          <w:sz w:val="12"/>
                          <w:szCs w:val="12"/>
                        </w:rPr>
                        <w:t xml:space="preserve"> (great than one)</w:t>
                      </w:r>
                      <w:r w:rsidRPr="0004274B">
                        <w:rPr>
                          <w:sz w:val="12"/>
                          <w:szCs w:val="12"/>
                        </w:rPr>
                        <w:t xml:space="preserve"> and does not include 1, it means the rate of 2020 is statistically greater than the rate of 2018-2019.</w:t>
                      </w:r>
                    </w:p>
                    <w:p w14:paraId="12223D1B" w14:textId="7079B0D0" w:rsidR="00220E31" w:rsidRPr="0004274B" w:rsidRDefault="00220E31" w:rsidP="00220E31">
                      <w:pPr>
                        <w:rPr>
                          <w:sz w:val="12"/>
                          <w:szCs w:val="12"/>
                        </w:rPr>
                      </w:pPr>
                      <w:r w:rsidRPr="0004274B">
                        <w:rPr>
                          <w:sz w:val="12"/>
                          <w:szCs w:val="12"/>
                        </w:rPr>
                        <w:t xml:space="preserve">Numerator source: </w:t>
                      </w:r>
                      <w:r w:rsidR="00B25B1F" w:rsidRPr="0004274B">
                        <w:rPr>
                          <w:sz w:val="12"/>
                          <w:szCs w:val="12"/>
                        </w:rPr>
                        <w:t>Massachusetts Registry of Vital Records and Statistics</w:t>
                      </w:r>
                      <w:r w:rsidRPr="0004274B">
                        <w:rPr>
                          <w:sz w:val="12"/>
                          <w:szCs w:val="12"/>
                        </w:rPr>
                        <w:t>, 2018-2020</w:t>
                      </w:r>
                    </w:p>
                    <w:p w14:paraId="468EF938" w14:textId="77777777" w:rsidR="00220E31" w:rsidRPr="0004274B" w:rsidRDefault="00220E31" w:rsidP="00220E31">
                      <w:pPr>
                        <w:rPr>
                          <w:sz w:val="12"/>
                          <w:szCs w:val="12"/>
                        </w:rPr>
                      </w:pPr>
                      <w:r w:rsidRPr="0004274B">
                        <w:rPr>
                          <w:sz w:val="12"/>
                          <w:szCs w:val="12"/>
                        </w:rPr>
                        <w:t>Denominator source: American Community Survey, 2018-2020</w:t>
                      </w:r>
                    </w:p>
                  </w:txbxContent>
                </v:textbox>
                <w10:wrap anchorx="margin"/>
              </v:shape>
            </w:pict>
          </mc:Fallback>
        </mc:AlternateContent>
      </w:r>
    </w:p>
    <w:p w14:paraId="754DD881" w14:textId="16B380B7" w:rsidR="00BF5B9D" w:rsidRDefault="007B3D5F" w:rsidP="009B25ED">
      <w:pPr>
        <w:widowControl w:val="0"/>
        <w:rPr>
          <w:bCs/>
        </w:rPr>
      </w:pPr>
      <w:r w:rsidRPr="006665F6">
        <w:rPr>
          <w:b/>
          <w:noProof/>
          <w:color w:val="194D80"/>
          <w:sz w:val="28"/>
          <w:szCs w:val="28"/>
        </w:rPr>
        <mc:AlternateContent>
          <mc:Choice Requires="wps">
            <w:drawing>
              <wp:anchor distT="45720" distB="45720" distL="114300" distR="114300" simplePos="0" relativeHeight="251662358" behindDoc="0" locked="0" layoutInCell="1" allowOverlap="1" wp14:anchorId="4E9805DF" wp14:editId="12DEF900">
                <wp:simplePos x="0" y="0"/>
                <wp:positionH relativeFrom="margin">
                  <wp:posOffset>34347</wp:posOffset>
                </wp:positionH>
                <wp:positionV relativeFrom="paragraph">
                  <wp:posOffset>47922</wp:posOffset>
                </wp:positionV>
                <wp:extent cx="6865620" cy="88259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882595"/>
                        </a:xfrm>
                        <a:prstGeom prst="rect">
                          <a:avLst/>
                        </a:prstGeom>
                        <a:solidFill>
                          <a:srgbClr val="FFFFFF"/>
                        </a:solidFill>
                        <a:ln w="9525">
                          <a:noFill/>
                          <a:miter lim="800000"/>
                          <a:headEnd/>
                          <a:tailEnd/>
                        </a:ln>
                      </wps:spPr>
                      <wps:txbx>
                        <w:txbxContent>
                          <w:p w14:paraId="60273362" w14:textId="77777777" w:rsidR="007B3D5F" w:rsidRPr="0004274B" w:rsidRDefault="007B3D5F" w:rsidP="007B3D5F">
                            <w:pPr>
                              <w:rPr>
                                <w:sz w:val="12"/>
                                <w:szCs w:val="12"/>
                              </w:rPr>
                            </w:pPr>
                            <w:r w:rsidRPr="0004274B">
                              <w:rPr>
                                <w:sz w:val="12"/>
                                <w:szCs w:val="12"/>
                              </w:rPr>
                              <w:t>† In 2018-2019, this category excluded 14 opioid-related overdose deaths among those working in the military or military specific occupations due to lack of denominator information and 23 opioid-related overdose deaths because the death certificates did not contain enough information to code occupation ;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occupation.</w:t>
                            </w:r>
                          </w:p>
                          <w:p w14:paraId="4AD0C0A4" w14:textId="77777777" w:rsidR="007B3D5F" w:rsidRPr="0004274B" w:rsidRDefault="007B3D5F" w:rsidP="007B3D5F">
                            <w:pPr>
                              <w:rPr>
                                <w:sz w:val="12"/>
                                <w:szCs w:val="12"/>
                              </w:rPr>
                            </w:pPr>
                            <w:r w:rsidRPr="0004274B">
                              <w:rPr>
                                <w:sz w:val="12"/>
                                <w:szCs w:val="12"/>
                              </w:rPr>
                              <w:t>‡ Rate ratios are the difference in opioid-related overdose death rates from 2018-2019 to 2020. If the rate ratio and confidence interval (CI) includes 1, it means there is no difference in the rates of 2018-2019 and 2020.</w:t>
                            </w:r>
                            <w:r>
                              <w:rPr>
                                <w:sz w:val="12"/>
                                <w:szCs w:val="12"/>
                              </w:rPr>
                              <w:t xml:space="preserve"> </w:t>
                            </w:r>
                            <w:r w:rsidRPr="0004274B">
                              <w:rPr>
                                <w:sz w:val="12"/>
                                <w:szCs w:val="12"/>
                              </w:rPr>
                              <w:t>If the rate ratio and CI favors the left</w:t>
                            </w:r>
                            <w:r>
                              <w:rPr>
                                <w:sz w:val="12"/>
                                <w:szCs w:val="12"/>
                              </w:rPr>
                              <w:t xml:space="preserve"> (less than one)</w:t>
                            </w:r>
                            <w:r w:rsidRPr="0004274B">
                              <w:rPr>
                                <w:sz w:val="12"/>
                                <w:szCs w:val="12"/>
                              </w:rPr>
                              <w:t xml:space="preserve"> and does not include 1, it means the rate of 2018-2019 is statistically greater than the rate of 2020. If the rate ratio and CI favors the right</w:t>
                            </w:r>
                            <w:r>
                              <w:rPr>
                                <w:sz w:val="12"/>
                                <w:szCs w:val="12"/>
                              </w:rPr>
                              <w:t xml:space="preserve"> (great than one)</w:t>
                            </w:r>
                            <w:r w:rsidRPr="0004274B">
                              <w:rPr>
                                <w:sz w:val="12"/>
                                <w:szCs w:val="12"/>
                              </w:rPr>
                              <w:t xml:space="preserve"> and does not include 1, it means the rate of 2020 is statistically greater than the rate of 2018-2019.</w:t>
                            </w:r>
                          </w:p>
                          <w:p w14:paraId="457B233A" w14:textId="77777777" w:rsidR="007B3D5F" w:rsidRPr="0004274B" w:rsidRDefault="007B3D5F" w:rsidP="007B3D5F">
                            <w:pPr>
                              <w:rPr>
                                <w:sz w:val="12"/>
                                <w:szCs w:val="12"/>
                              </w:rPr>
                            </w:pPr>
                            <w:r w:rsidRPr="0004274B">
                              <w:rPr>
                                <w:sz w:val="12"/>
                                <w:szCs w:val="12"/>
                              </w:rPr>
                              <w:t>Numerator source: Massachusetts Registry of Vital Records and Statistics, 2018-2020</w:t>
                            </w:r>
                          </w:p>
                          <w:p w14:paraId="20034522" w14:textId="77777777" w:rsidR="007B3D5F" w:rsidRPr="0004274B" w:rsidRDefault="007B3D5F" w:rsidP="007B3D5F">
                            <w:pPr>
                              <w:rPr>
                                <w:sz w:val="12"/>
                                <w:szCs w:val="12"/>
                              </w:rPr>
                            </w:pPr>
                            <w:r w:rsidRPr="0004274B">
                              <w:rPr>
                                <w:sz w:val="12"/>
                                <w:szCs w:val="12"/>
                              </w:rPr>
                              <w:t>Denominator source: American Community Survey, 2018-2020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805DF" id="_x0000_s1040" type="#_x0000_t202" style="position:absolute;margin-left:2.7pt;margin-top:3.75pt;width:540.6pt;height:69.5pt;z-index:2516623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" stroked="f">
                <v:textbox>
                  <w:txbxContent>
                    <w:p w14:paraId="60273362" w14:textId="77777777" w:rsidR="007B3D5F" w:rsidRPr="0004274B" w:rsidRDefault="007B3D5F" w:rsidP="007B3D5F">
                      <w:pPr>
                        <w:rPr>
                          <w:sz w:val="12"/>
                          <w:szCs w:val="12"/>
                        </w:rPr>
                      </w:pPr>
                      <w:r w:rsidRPr="0004274B">
                        <w:rPr>
                          <w:sz w:val="12"/>
                          <w:szCs w:val="12"/>
                        </w:rPr>
                        <w:t>† In 2018-2019, this category excluded 14 opioid-related overdose deaths among those working in the military or military specific occupations due to lack of denominator information and 23 opioid-related overdose deaths because the death certificates did not contain enough information to code occupation ; In 2020, this category excluded 5 opioid-related overdose deaths among those working in the military or military specific occupations due to lack of denominator information and 13 opioid-related overdose deaths because the death certificates did not contain enough information to code occupation.</w:t>
                      </w:r>
                    </w:p>
                    <w:p w14:paraId="4AD0C0A4" w14:textId="77777777" w:rsidR="007B3D5F" w:rsidRPr="0004274B" w:rsidRDefault="007B3D5F" w:rsidP="007B3D5F">
                      <w:pPr>
                        <w:rPr>
                          <w:sz w:val="12"/>
                          <w:szCs w:val="12"/>
                        </w:rPr>
                      </w:pPr>
                      <w:r w:rsidRPr="0004274B">
                        <w:rPr>
                          <w:sz w:val="12"/>
                          <w:szCs w:val="12"/>
                        </w:rPr>
                        <w:t>‡ Rate ratios are the difference in opioid-related overdose death rates from 2018-2019 to 2020. If the rate ratio and confidence interval (CI) includes 1, it means there is no difference in the rates of 2018-2019 and 2020.</w:t>
                      </w:r>
                      <w:r>
                        <w:rPr>
                          <w:sz w:val="12"/>
                          <w:szCs w:val="12"/>
                        </w:rPr>
                        <w:t xml:space="preserve"> </w:t>
                      </w:r>
                      <w:r w:rsidRPr="0004274B">
                        <w:rPr>
                          <w:sz w:val="12"/>
                          <w:szCs w:val="12"/>
                        </w:rPr>
                        <w:t>If the rate ratio and CI favors the left</w:t>
                      </w:r>
                      <w:r>
                        <w:rPr>
                          <w:sz w:val="12"/>
                          <w:szCs w:val="12"/>
                        </w:rPr>
                        <w:t xml:space="preserve"> (less than one)</w:t>
                      </w:r>
                      <w:r w:rsidRPr="0004274B">
                        <w:rPr>
                          <w:sz w:val="12"/>
                          <w:szCs w:val="12"/>
                        </w:rPr>
                        <w:t xml:space="preserve"> and does not include 1, it means the rate of 2018-2019 is statistically greater than the rate of 2020. If the rate ratio and CI favors the right</w:t>
                      </w:r>
                      <w:r>
                        <w:rPr>
                          <w:sz w:val="12"/>
                          <w:szCs w:val="12"/>
                        </w:rPr>
                        <w:t xml:space="preserve"> (great than one)</w:t>
                      </w:r>
                      <w:r w:rsidRPr="0004274B">
                        <w:rPr>
                          <w:sz w:val="12"/>
                          <w:szCs w:val="12"/>
                        </w:rPr>
                        <w:t xml:space="preserve"> and does not include 1, it means the rate of 2020 is statistically greater than the rate of 2018-2019.</w:t>
                      </w:r>
                    </w:p>
                    <w:p w14:paraId="457B233A" w14:textId="77777777" w:rsidR="007B3D5F" w:rsidRPr="0004274B" w:rsidRDefault="007B3D5F" w:rsidP="007B3D5F">
                      <w:pPr>
                        <w:rPr>
                          <w:sz w:val="12"/>
                          <w:szCs w:val="12"/>
                        </w:rPr>
                      </w:pPr>
                      <w:r w:rsidRPr="0004274B">
                        <w:rPr>
                          <w:sz w:val="12"/>
                          <w:szCs w:val="12"/>
                        </w:rPr>
                        <w:t>Numerator source: Massachusetts Registry of Vital Records and Statistics, 2018-2020</w:t>
                      </w:r>
                    </w:p>
                    <w:p w14:paraId="20034522" w14:textId="77777777" w:rsidR="007B3D5F" w:rsidRPr="0004274B" w:rsidRDefault="007B3D5F" w:rsidP="007B3D5F">
                      <w:pPr>
                        <w:rPr>
                          <w:sz w:val="12"/>
                          <w:szCs w:val="12"/>
                        </w:rPr>
                      </w:pPr>
                      <w:r w:rsidRPr="0004274B">
                        <w:rPr>
                          <w:sz w:val="12"/>
                          <w:szCs w:val="12"/>
                        </w:rPr>
                        <w:t>Denominator source: American Community Survey, 2018-2020</w:t>
                      </w:r>
                    </w:p>
                  </w:txbxContent>
                </v:textbox>
                <w10:wrap anchorx="margin"/>
              </v:shape>
            </w:pict>
          </mc:Fallback>
        </mc:AlternateContent>
      </w:r>
    </w:p>
    <w:p w14:paraId="4CD5BEFF" w14:textId="0F284388" w:rsidR="00F85DC2" w:rsidRPr="00F85DC2" w:rsidRDefault="00F85DC2" w:rsidP="00F85DC2">
      <w:pPr>
        <w:widowControl w:val="0"/>
        <w:rPr>
          <w:bCs/>
          <w:highlight w:val="yellow"/>
        </w:rPr>
      </w:pPr>
    </w:p>
    <w:p w14:paraId="3E0F0E59" w14:textId="19AD258C" w:rsidR="00921FA2" w:rsidRDefault="00921FA2" w:rsidP="00921FA2">
      <w:pPr>
        <w:pStyle w:val="ListParagraph"/>
        <w:ind w:left="1080"/>
        <w:rPr>
          <w:bCs/>
        </w:rPr>
      </w:pPr>
    </w:p>
    <w:p w14:paraId="201E14D0" w14:textId="20846A38" w:rsidR="00921FA2" w:rsidRPr="00516CD5" w:rsidRDefault="00921FA2" w:rsidP="00921FA2">
      <w:pPr>
        <w:pStyle w:val="ListParagraph"/>
        <w:ind w:left="1080"/>
        <w:rPr>
          <w:bCs/>
          <w:sz w:val="6"/>
          <w:szCs w:val="6"/>
        </w:rPr>
      </w:pPr>
    </w:p>
    <w:p w14:paraId="13157D5F" w14:textId="29D0E78A" w:rsidR="001925FA" w:rsidRPr="001925FA" w:rsidRDefault="001925FA" w:rsidP="001925FA">
      <w:pPr>
        <w:pStyle w:val="ListParagraph"/>
        <w:ind w:left="1080"/>
        <w:rPr>
          <w:bCs/>
          <w:sz w:val="4"/>
          <w:szCs w:val="4"/>
        </w:rPr>
      </w:pPr>
    </w:p>
    <w:p w14:paraId="4A122322" w14:textId="77777777" w:rsidR="00AC5C77" w:rsidRDefault="00AC5C77" w:rsidP="00AC5C77"/>
    <w:p w14:paraId="5EA5EBBC" w14:textId="77777777" w:rsidR="007B3D5F" w:rsidRDefault="007B3D5F" w:rsidP="008B6DC4"/>
    <w:p w14:paraId="35930B04" w14:textId="77777777" w:rsidR="007B3D5F" w:rsidRDefault="007B3D5F" w:rsidP="008B6DC4"/>
    <w:p w14:paraId="3F32C05D" w14:textId="77777777" w:rsidR="007B3D5F" w:rsidRDefault="007B3D5F" w:rsidP="008B6DC4"/>
    <w:p w14:paraId="3F0D0B76" w14:textId="651A5B70" w:rsidR="00F85DC2" w:rsidRPr="00AC5C77" w:rsidRDefault="5550E70C" w:rsidP="008B6DC4">
      <w:pPr>
        <w:rPr>
          <w:bCs/>
        </w:rPr>
      </w:pPr>
      <w:r>
        <w:t>Compared</w:t>
      </w:r>
      <w:r w:rsidR="00F85DC2" w:rsidRPr="00AC5C77">
        <w:rPr>
          <w:bCs/>
        </w:rPr>
        <w:t xml:space="preserve"> to 2018-2019, the rate of opioid-related overdoses among M</w:t>
      </w:r>
      <w:r w:rsidR="007934E5" w:rsidRPr="00AC5C77">
        <w:rPr>
          <w:bCs/>
        </w:rPr>
        <w:t>assachusetts</w:t>
      </w:r>
      <w:r w:rsidR="00F85DC2" w:rsidRPr="00AC5C77">
        <w:rPr>
          <w:bCs/>
        </w:rPr>
        <w:t xml:space="preserve"> </w:t>
      </w:r>
      <w:r w:rsidR="007E77C4">
        <w:rPr>
          <w:bCs/>
        </w:rPr>
        <w:t xml:space="preserve">workers </w:t>
      </w:r>
      <w:r w:rsidR="00F85DC2" w:rsidRPr="00AC5C77">
        <w:rPr>
          <w:bCs/>
        </w:rPr>
        <w:t xml:space="preserve">in the following industries increased in 2020: </w:t>
      </w:r>
    </w:p>
    <w:p w14:paraId="3F164CE5" w14:textId="77777777" w:rsidR="00AC5C77" w:rsidRDefault="00AC5C77" w:rsidP="00AC5C77">
      <w:pPr>
        <w:rPr>
          <w:bCs/>
        </w:rPr>
      </w:pPr>
    </w:p>
    <w:p w14:paraId="67D1B2B4" w14:textId="7D3A4281" w:rsidR="00AC5C77" w:rsidRPr="00AC5C77" w:rsidRDefault="00AC5C77" w:rsidP="008B6DC4">
      <w:pPr>
        <w:rPr>
          <w:bCs/>
        </w:rPr>
        <w:sectPr w:rsidR="00AC5C77" w:rsidRPr="00AC5C77" w:rsidSect="0016543E">
          <w:headerReference w:type="default" r:id="rId18"/>
          <w:footerReference w:type="default" r:id="rId19"/>
          <w:pgSz w:w="12240" w:h="15840"/>
          <w:pgMar w:top="540" w:right="720" w:bottom="450" w:left="720" w:header="720" w:footer="720" w:gutter="0"/>
          <w:cols w:space="720"/>
          <w:docGrid w:linePitch="360"/>
        </w:sectPr>
      </w:pPr>
    </w:p>
    <w:p w14:paraId="4026EA95" w14:textId="1C9BCEAA" w:rsidR="00A20C08" w:rsidRDefault="00A20C08" w:rsidP="008B6DC4">
      <w:pPr>
        <w:pStyle w:val="ListParagraph"/>
        <w:numPr>
          <w:ilvl w:val="0"/>
          <w:numId w:val="23"/>
        </w:numPr>
        <w:rPr>
          <w:bCs/>
        </w:rPr>
      </w:pPr>
      <w:r>
        <w:rPr>
          <w:bCs/>
        </w:rPr>
        <w:t>Arts, Design, Entertainment, Sports and Media</w:t>
      </w:r>
    </w:p>
    <w:p w14:paraId="205423C1" w14:textId="6BE08C5B" w:rsidR="00A20C08" w:rsidRDefault="003A17CB" w:rsidP="008B6DC4">
      <w:pPr>
        <w:pStyle w:val="ListParagraph"/>
        <w:numPr>
          <w:ilvl w:val="0"/>
          <w:numId w:val="23"/>
        </w:numPr>
        <w:rPr>
          <w:bCs/>
        </w:rPr>
      </w:pPr>
      <w:r>
        <w:rPr>
          <w:bCs/>
        </w:rPr>
        <w:t>Building and Grounds Cleaning and Maintenance</w:t>
      </w:r>
    </w:p>
    <w:p w14:paraId="207580A6" w14:textId="59BFC750" w:rsidR="003A17CB" w:rsidRDefault="003A17CB" w:rsidP="008B6DC4">
      <w:pPr>
        <w:pStyle w:val="ListParagraph"/>
        <w:numPr>
          <w:ilvl w:val="0"/>
          <w:numId w:val="23"/>
        </w:numPr>
        <w:rPr>
          <w:bCs/>
        </w:rPr>
      </w:pPr>
      <w:r>
        <w:rPr>
          <w:bCs/>
        </w:rPr>
        <w:t>Community and Social Services</w:t>
      </w:r>
    </w:p>
    <w:p w14:paraId="2D4E3A08" w14:textId="16824F5F" w:rsidR="003A17CB" w:rsidRDefault="003A17CB" w:rsidP="008B6DC4">
      <w:pPr>
        <w:pStyle w:val="ListParagraph"/>
        <w:numPr>
          <w:ilvl w:val="0"/>
          <w:numId w:val="23"/>
        </w:numPr>
        <w:rPr>
          <w:bCs/>
        </w:rPr>
      </w:pPr>
      <w:r>
        <w:rPr>
          <w:bCs/>
        </w:rPr>
        <w:t>Computer and Mathematical</w:t>
      </w:r>
    </w:p>
    <w:p w14:paraId="202BA683" w14:textId="62B366AA" w:rsidR="00C60C14" w:rsidRDefault="00C60C14" w:rsidP="008B6DC4">
      <w:pPr>
        <w:pStyle w:val="ListParagraph"/>
        <w:numPr>
          <w:ilvl w:val="0"/>
          <w:numId w:val="23"/>
        </w:numPr>
        <w:rPr>
          <w:bCs/>
        </w:rPr>
      </w:pPr>
      <w:r>
        <w:rPr>
          <w:bCs/>
        </w:rPr>
        <w:t>Construction and Extraction</w:t>
      </w:r>
    </w:p>
    <w:p w14:paraId="1776821E" w14:textId="6248DE91" w:rsidR="00C60C14" w:rsidRDefault="00C60C14" w:rsidP="008B6DC4">
      <w:pPr>
        <w:pStyle w:val="ListParagraph"/>
        <w:numPr>
          <w:ilvl w:val="0"/>
          <w:numId w:val="23"/>
        </w:numPr>
        <w:rPr>
          <w:bCs/>
        </w:rPr>
      </w:pPr>
      <w:r>
        <w:rPr>
          <w:bCs/>
        </w:rPr>
        <w:t>Farming, Fishing, and Forestry</w:t>
      </w:r>
    </w:p>
    <w:p w14:paraId="65C89B25" w14:textId="546CEA5A" w:rsidR="00AC5C77" w:rsidRPr="00AC5C77" w:rsidRDefault="00C60C14" w:rsidP="008B6DC4">
      <w:pPr>
        <w:pStyle w:val="ListParagraph"/>
        <w:numPr>
          <w:ilvl w:val="0"/>
          <w:numId w:val="23"/>
        </w:numPr>
        <w:rPr>
          <w:bCs/>
        </w:rPr>
      </w:pPr>
      <w:r>
        <w:rPr>
          <w:bCs/>
        </w:rPr>
        <w:t>Food Preparation and Serving Related</w:t>
      </w:r>
    </w:p>
    <w:p w14:paraId="241DC3E4" w14:textId="4F3A9B66" w:rsidR="00C60C14" w:rsidRDefault="00C60C14" w:rsidP="00AC5C77">
      <w:pPr>
        <w:pStyle w:val="ListParagraph"/>
        <w:numPr>
          <w:ilvl w:val="0"/>
          <w:numId w:val="23"/>
        </w:numPr>
        <w:rPr>
          <w:bCs/>
        </w:rPr>
      </w:pPr>
      <w:r>
        <w:rPr>
          <w:bCs/>
        </w:rPr>
        <w:t>Healthcare Practitioner and Technical</w:t>
      </w:r>
    </w:p>
    <w:p w14:paraId="16686A2E" w14:textId="01880DCF" w:rsidR="00AC5C77" w:rsidRDefault="00AC5C77" w:rsidP="00AC5C77">
      <w:pPr>
        <w:rPr>
          <w:bCs/>
        </w:rPr>
      </w:pPr>
    </w:p>
    <w:p w14:paraId="5B8662FD" w14:textId="3A3AF1F5" w:rsidR="00AC5C77" w:rsidRDefault="00AC5C77" w:rsidP="00AC5C77">
      <w:pPr>
        <w:rPr>
          <w:bCs/>
        </w:rPr>
      </w:pPr>
    </w:p>
    <w:p w14:paraId="051D3A7C" w14:textId="40170906" w:rsidR="00C60C14" w:rsidRDefault="00C60C14" w:rsidP="008B6DC4">
      <w:pPr>
        <w:pStyle w:val="ListParagraph"/>
        <w:numPr>
          <w:ilvl w:val="0"/>
          <w:numId w:val="23"/>
        </w:numPr>
        <w:rPr>
          <w:bCs/>
        </w:rPr>
      </w:pPr>
      <w:r>
        <w:rPr>
          <w:bCs/>
        </w:rPr>
        <w:t>Healthcare Support</w:t>
      </w:r>
    </w:p>
    <w:p w14:paraId="4EC1F402" w14:textId="70A11A19" w:rsidR="00C60C14" w:rsidRDefault="00C60C14" w:rsidP="008B6DC4">
      <w:pPr>
        <w:pStyle w:val="ListParagraph"/>
        <w:numPr>
          <w:ilvl w:val="0"/>
          <w:numId w:val="23"/>
        </w:numPr>
        <w:rPr>
          <w:bCs/>
        </w:rPr>
      </w:pPr>
      <w:r>
        <w:rPr>
          <w:bCs/>
        </w:rPr>
        <w:t>Installation, Maintenance, and Repair</w:t>
      </w:r>
    </w:p>
    <w:p w14:paraId="6F7316D5" w14:textId="4CDB8F08" w:rsidR="00C60C14" w:rsidRDefault="00C60C14" w:rsidP="008B6DC4">
      <w:pPr>
        <w:pStyle w:val="ListParagraph"/>
        <w:numPr>
          <w:ilvl w:val="0"/>
          <w:numId w:val="23"/>
        </w:numPr>
        <w:rPr>
          <w:bCs/>
        </w:rPr>
      </w:pPr>
      <w:r>
        <w:rPr>
          <w:bCs/>
        </w:rPr>
        <w:t>Legal</w:t>
      </w:r>
    </w:p>
    <w:p w14:paraId="1E0B10C2" w14:textId="30CF6ADA" w:rsidR="00C60C14" w:rsidRDefault="00C60C14" w:rsidP="008B6DC4">
      <w:pPr>
        <w:pStyle w:val="ListParagraph"/>
        <w:numPr>
          <w:ilvl w:val="0"/>
          <w:numId w:val="23"/>
        </w:numPr>
        <w:rPr>
          <w:bCs/>
        </w:rPr>
      </w:pPr>
      <w:r>
        <w:rPr>
          <w:bCs/>
        </w:rPr>
        <w:t>Life, Physical and Social Science</w:t>
      </w:r>
    </w:p>
    <w:p w14:paraId="2042E911" w14:textId="524EE3BE" w:rsidR="00C60C14" w:rsidRDefault="00C60C14" w:rsidP="008B6DC4">
      <w:pPr>
        <w:pStyle w:val="ListParagraph"/>
        <w:numPr>
          <w:ilvl w:val="0"/>
          <w:numId w:val="23"/>
        </w:numPr>
        <w:rPr>
          <w:bCs/>
        </w:rPr>
      </w:pPr>
      <w:r>
        <w:rPr>
          <w:bCs/>
        </w:rPr>
        <w:t>Management</w:t>
      </w:r>
    </w:p>
    <w:p w14:paraId="3783DCBF" w14:textId="07633D96" w:rsidR="00C60C14" w:rsidRDefault="00C60C14" w:rsidP="008B6DC4">
      <w:pPr>
        <w:pStyle w:val="ListParagraph"/>
        <w:numPr>
          <w:ilvl w:val="0"/>
          <w:numId w:val="23"/>
        </w:numPr>
        <w:rPr>
          <w:bCs/>
        </w:rPr>
      </w:pPr>
      <w:r>
        <w:rPr>
          <w:bCs/>
        </w:rPr>
        <w:t>Personal Care and Service</w:t>
      </w:r>
    </w:p>
    <w:p w14:paraId="053E4CA2" w14:textId="0A6134D7" w:rsidR="00C60C14" w:rsidRDefault="00C60C14" w:rsidP="008B6DC4">
      <w:pPr>
        <w:pStyle w:val="ListParagraph"/>
        <w:numPr>
          <w:ilvl w:val="0"/>
          <w:numId w:val="23"/>
        </w:numPr>
        <w:rPr>
          <w:bCs/>
        </w:rPr>
      </w:pPr>
      <w:r>
        <w:rPr>
          <w:bCs/>
        </w:rPr>
        <w:t>Protective Service</w:t>
      </w:r>
    </w:p>
    <w:p w14:paraId="4E34CCA9" w14:textId="4CBDC853" w:rsidR="00C60C14" w:rsidRDefault="00C60C14" w:rsidP="008B6DC4">
      <w:pPr>
        <w:pStyle w:val="ListParagraph"/>
        <w:numPr>
          <w:ilvl w:val="0"/>
          <w:numId w:val="23"/>
        </w:numPr>
        <w:rPr>
          <w:bCs/>
        </w:rPr>
      </w:pPr>
      <w:r>
        <w:rPr>
          <w:bCs/>
        </w:rPr>
        <w:t>Sales and Related</w:t>
      </w:r>
    </w:p>
    <w:p w14:paraId="27BB08C5" w14:textId="6BE9FA90" w:rsidR="00C60C14" w:rsidRPr="001A28D6" w:rsidRDefault="00C60C14" w:rsidP="008B6DC4">
      <w:pPr>
        <w:pStyle w:val="ListParagraph"/>
        <w:numPr>
          <w:ilvl w:val="0"/>
          <w:numId w:val="23"/>
        </w:numPr>
        <w:rPr>
          <w:bCs/>
        </w:rPr>
      </w:pPr>
      <w:r>
        <w:rPr>
          <w:bCs/>
        </w:rPr>
        <w:t>Transportation and Material Moving</w:t>
      </w:r>
    </w:p>
    <w:p w14:paraId="6F192CD6" w14:textId="77777777" w:rsidR="00AC5C77" w:rsidRDefault="00AC5C77" w:rsidP="00515D58">
      <w:pPr>
        <w:pStyle w:val="ListParagraph"/>
        <w:widowControl w:val="0"/>
        <w:rPr>
          <w:rFonts w:ascii="Times New Roman" w:hAnsi="Times New Roman"/>
          <w:bCs/>
          <w:color w:val="194D80"/>
          <w:sz w:val="28"/>
          <w:szCs w:val="28"/>
        </w:rPr>
      </w:pPr>
    </w:p>
    <w:p w14:paraId="72C19787" w14:textId="62426DBA" w:rsidR="00AC5C77" w:rsidRDefault="00AC5C77" w:rsidP="00515D58">
      <w:pPr>
        <w:pStyle w:val="ListParagraph"/>
        <w:widowControl w:val="0"/>
        <w:rPr>
          <w:rFonts w:ascii="Times New Roman" w:hAnsi="Times New Roman"/>
          <w:bCs/>
          <w:color w:val="194D80"/>
          <w:sz w:val="28"/>
          <w:szCs w:val="28"/>
        </w:rPr>
        <w:sectPr w:rsidR="00AC5C77" w:rsidSect="008B6DC4">
          <w:type w:val="continuous"/>
          <w:pgSz w:w="12240" w:h="15840"/>
          <w:pgMar w:top="540" w:right="720" w:bottom="450" w:left="720" w:header="720" w:footer="720" w:gutter="0"/>
          <w:cols w:num="2" w:space="720"/>
          <w:docGrid w:linePitch="360"/>
        </w:sectPr>
      </w:pPr>
    </w:p>
    <w:p w14:paraId="2CD802A9" w14:textId="77777777" w:rsidR="007B3D5F" w:rsidRDefault="007B3D5F" w:rsidP="00515D58">
      <w:pPr>
        <w:pStyle w:val="ListParagraph"/>
        <w:widowControl w:val="0"/>
        <w:rPr>
          <w:rFonts w:ascii="Times New Roman" w:hAnsi="Times New Roman"/>
          <w:bCs/>
          <w:color w:val="194D80"/>
          <w:sz w:val="28"/>
          <w:szCs w:val="28"/>
        </w:rPr>
      </w:pPr>
    </w:p>
    <w:p w14:paraId="4BE7464F" w14:textId="77777777" w:rsidR="007B3D5F" w:rsidRDefault="007B3D5F" w:rsidP="00515D58">
      <w:pPr>
        <w:pStyle w:val="ListParagraph"/>
        <w:widowControl w:val="0"/>
        <w:rPr>
          <w:rFonts w:ascii="Times New Roman" w:hAnsi="Times New Roman"/>
          <w:bCs/>
          <w:color w:val="194D80"/>
          <w:sz w:val="28"/>
          <w:szCs w:val="28"/>
        </w:rPr>
      </w:pPr>
    </w:p>
    <w:p w14:paraId="082E6DA1" w14:textId="34ED727D" w:rsidR="001972E6" w:rsidRDefault="00715838" w:rsidP="00515D58">
      <w:pPr>
        <w:pStyle w:val="ListParagraph"/>
        <w:widowControl w:val="0"/>
        <w:rPr>
          <w:rFonts w:ascii="Times New Roman" w:hAnsi="Times New Roman"/>
          <w:bCs/>
          <w:color w:val="194D80"/>
          <w:sz w:val="28"/>
          <w:szCs w:val="28"/>
        </w:rPr>
      </w:pPr>
      <w:r w:rsidRPr="00726C71">
        <w:rPr>
          <w:noProof/>
        </w:rPr>
        <w:lastRenderedPageBreak/>
        <mc:AlternateContent>
          <mc:Choice Requires="wps">
            <w:drawing>
              <wp:anchor distT="0" distB="0" distL="114300" distR="114300" simplePos="0" relativeHeight="251658250" behindDoc="0" locked="0" layoutInCell="1" allowOverlap="1" wp14:anchorId="6A427F0C" wp14:editId="286B834B">
                <wp:simplePos x="0" y="0"/>
                <wp:positionH relativeFrom="column">
                  <wp:posOffset>0</wp:posOffset>
                </wp:positionH>
                <wp:positionV relativeFrom="paragraph">
                  <wp:posOffset>-635</wp:posOffset>
                </wp:positionV>
                <wp:extent cx="6847205" cy="2667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chemeClr val="tx2"/>
                        </a:solidFill>
                        <a:ln w="9525">
                          <a:noFill/>
                          <a:miter lim="800000"/>
                          <a:headEnd/>
                          <a:tailEnd/>
                        </a:ln>
                      </wps:spPr>
                      <wps:txbx>
                        <w:txbxContent>
                          <w:p w14:paraId="35F5BA96" w14:textId="2560EFA2" w:rsidR="00715838" w:rsidRPr="005F21FE" w:rsidRDefault="00715838" w:rsidP="00715838">
                            <w:pPr>
                              <w:jc w:val="center"/>
                              <w:rPr>
                                <w:b/>
                                <w:color w:val="FFFFFF" w:themeColor="background1"/>
                              </w:rPr>
                            </w:pPr>
                            <w:r>
                              <w:rPr>
                                <w:b/>
                                <w:color w:val="FFFFFF" w:themeColor="background1"/>
                              </w:rPr>
                              <w:t>Opioid-related Overdose Death Rates</w:t>
                            </w:r>
                            <w:r w:rsidRPr="005F21FE">
                              <w:rPr>
                                <w:b/>
                                <w:color w:val="FFFFFF" w:themeColor="background1"/>
                              </w:rPr>
                              <w:t xml:space="preserve"> by </w:t>
                            </w:r>
                            <w:r>
                              <w:rPr>
                                <w:b/>
                                <w:color w:val="FFFFFF" w:themeColor="background1"/>
                              </w:rPr>
                              <w:t>Demographics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27F0C" id="_x0000_s1040" type="#_x0000_t202" style="position:absolute;left:0;text-align:left;margin-left:0;margin-top:-.05pt;width:539.15pt;height:2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" fillcolor="#1f497d [3215]" stroked="f">
                <v:textbox>
                  <w:txbxContent>
                    <w:p w14:paraId="35F5BA96" w14:textId="2560EFA2" w:rsidR="00715838" w:rsidRPr="005F21FE" w:rsidRDefault="00715838" w:rsidP="00715838">
                      <w:pPr>
                        <w:jc w:val="center"/>
                        <w:rPr>
                          <w:b/>
                          <w:color w:val="FFFFFF" w:themeColor="background1"/>
                        </w:rPr>
                      </w:pPr>
                      <w:r>
                        <w:rPr>
                          <w:b/>
                          <w:color w:val="FFFFFF" w:themeColor="background1"/>
                        </w:rPr>
                        <w:t>Opioid-related Overdose Death Rates</w:t>
                      </w:r>
                      <w:r w:rsidRPr="005F21FE">
                        <w:rPr>
                          <w:b/>
                          <w:color w:val="FFFFFF" w:themeColor="background1"/>
                        </w:rPr>
                        <w:t xml:space="preserve"> by </w:t>
                      </w:r>
                      <w:r>
                        <w:rPr>
                          <w:b/>
                          <w:color w:val="FFFFFF" w:themeColor="background1"/>
                        </w:rPr>
                        <w:t>Demographics</w:t>
                      </w:r>
                    </w:p>
                  </w:txbxContent>
                </v:textbox>
              </v:shape>
            </w:pict>
          </mc:Fallback>
        </mc:AlternateContent>
      </w:r>
    </w:p>
    <w:p w14:paraId="55516967" w14:textId="77777777" w:rsidR="00DC08C3" w:rsidRDefault="00DC08C3" w:rsidP="00515D58">
      <w:pPr>
        <w:pStyle w:val="ListParagraph"/>
        <w:widowControl w:val="0"/>
        <w:rPr>
          <w:rFonts w:ascii="Times New Roman" w:hAnsi="Times New Roman"/>
          <w:bCs/>
          <w:color w:val="194D80"/>
          <w:sz w:val="28"/>
          <w:szCs w:val="28"/>
        </w:rPr>
      </w:pPr>
    </w:p>
    <w:p w14:paraId="770757EC" w14:textId="3B99DC0E" w:rsidR="001972E6" w:rsidRPr="00DC08C3" w:rsidRDefault="00A959B9" w:rsidP="00DC08C3">
      <w:pPr>
        <w:pStyle w:val="ListParagraph"/>
        <w:widowControl w:val="0"/>
        <w:jc w:val="center"/>
        <w:rPr>
          <w:rFonts w:asciiTheme="minorHAnsi" w:hAnsiTheme="minorHAnsi" w:cstheme="minorHAnsi"/>
          <w:b/>
          <w:color w:val="194D80"/>
        </w:rPr>
      </w:pPr>
      <w:r w:rsidRPr="00DC08C3">
        <w:rPr>
          <w:rFonts w:asciiTheme="minorHAnsi" w:hAnsiTheme="minorHAnsi" w:cstheme="minorHAnsi"/>
          <w:b/>
          <w:noProof/>
        </w:rPr>
        <w:drawing>
          <wp:anchor distT="0" distB="0" distL="114300" distR="114300" simplePos="0" relativeHeight="251658251" behindDoc="1" locked="0" layoutInCell="1" allowOverlap="1" wp14:anchorId="2DAAB318" wp14:editId="439331B8">
            <wp:simplePos x="0" y="0"/>
            <wp:positionH relativeFrom="margin">
              <wp:align>right</wp:align>
            </wp:positionH>
            <wp:positionV relativeFrom="paragraph">
              <wp:posOffset>204470</wp:posOffset>
            </wp:positionV>
            <wp:extent cx="6858000" cy="3552825"/>
            <wp:effectExtent l="0" t="0" r="0" b="0"/>
            <wp:wrapTight wrapText="bothSides">
              <wp:wrapPolygon edited="0">
                <wp:start x="0" y="0"/>
                <wp:lineTo x="0" y="21426"/>
                <wp:lineTo x="21540" y="21426"/>
                <wp:lineTo x="21540" y="0"/>
                <wp:lineTo x="0" y="0"/>
              </wp:wrapPolygon>
            </wp:wrapTight>
            <wp:docPr id="19" name="Chart 19">
              <a:extLst xmlns:a="http://schemas.openxmlformats.org/drawingml/2006/main">
                <a:ext uri="{FF2B5EF4-FFF2-40B4-BE49-F238E27FC236}">
                  <a16:creationId xmlns:a16="http://schemas.microsoft.com/office/drawing/2014/main" id="{7A54A870-7AB0-4932-98EC-C18A22402A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r w:rsidR="005704D9" w:rsidRPr="00DC08C3">
        <w:rPr>
          <w:rFonts w:asciiTheme="minorHAnsi" w:hAnsiTheme="minorHAnsi" w:cstheme="minorHAnsi"/>
          <w:b/>
          <w:noProof/>
        </w:rPr>
        <mc:AlternateContent>
          <mc:Choice Requires="wps">
            <w:drawing>
              <wp:anchor distT="45720" distB="45720" distL="114300" distR="114300" simplePos="0" relativeHeight="251658252" behindDoc="0" locked="0" layoutInCell="1" allowOverlap="1" wp14:anchorId="3DDB40F6" wp14:editId="133DE6CA">
                <wp:simplePos x="0" y="0"/>
                <wp:positionH relativeFrom="margin">
                  <wp:align>right</wp:align>
                </wp:positionH>
                <wp:positionV relativeFrom="paragraph">
                  <wp:posOffset>3611245</wp:posOffset>
                </wp:positionV>
                <wp:extent cx="6467606" cy="323850"/>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606" cy="323850"/>
                        </a:xfrm>
                        <a:prstGeom prst="rect">
                          <a:avLst/>
                        </a:prstGeom>
                        <a:solidFill>
                          <a:srgbClr val="FFFFFF"/>
                        </a:solidFill>
                        <a:ln w="9525">
                          <a:noFill/>
                          <a:miter lim="800000"/>
                          <a:headEnd/>
                          <a:tailEnd/>
                        </a:ln>
                      </wps:spPr>
                      <wps:txbx>
                        <w:txbxContent>
                          <w:p w14:paraId="08AA2817" w14:textId="2783200D" w:rsidR="005704D9" w:rsidRPr="001925FA" w:rsidRDefault="005704D9" w:rsidP="005704D9">
                            <w:pPr>
                              <w:rPr>
                                <w:sz w:val="12"/>
                                <w:szCs w:val="12"/>
                              </w:rPr>
                            </w:pPr>
                            <w:r w:rsidRPr="001925FA">
                              <w:rPr>
                                <w:sz w:val="12"/>
                                <w:szCs w:val="12"/>
                              </w:rPr>
                              <w:t xml:space="preserve">Numerator source: </w:t>
                            </w:r>
                            <w:r w:rsidR="00B25B1F" w:rsidRPr="001925FA">
                              <w:rPr>
                                <w:sz w:val="12"/>
                                <w:szCs w:val="12"/>
                              </w:rPr>
                              <w:t>Massachusetts Registry of Vital Records and Statistics</w:t>
                            </w:r>
                            <w:r w:rsidRPr="001925FA">
                              <w:rPr>
                                <w:sz w:val="12"/>
                                <w:szCs w:val="12"/>
                              </w:rPr>
                              <w:t>, 2016-2020</w:t>
                            </w:r>
                          </w:p>
                          <w:p w14:paraId="02D0A85E" w14:textId="508C8C6A" w:rsidR="005704D9" w:rsidRPr="001925FA" w:rsidRDefault="005704D9" w:rsidP="005704D9">
                            <w:pPr>
                              <w:rPr>
                                <w:sz w:val="12"/>
                                <w:szCs w:val="12"/>
                              </w:rPr>
                            </w:pPr>
                            <w:r w:rsidRPr="001925FA">
                              <w:rPr>
                                <w:sz w:val="12"/>
                                <w:szCs w:val="12"/>
                              </w:rPr>
                              <w:t>Denominator source: American Community Survey, 2016-2020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B40F6" id="_x0000_s1041" type="#_x0000_t202" style="position:absolute;left:0;text-align:left;margin-left:458.05pt;margin-top:284.35pt;width:509.25pt;height:25.5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" stroked="f">
                <v:textbox>
                  <w:txbxContent>
                    <w:p w14:paraId="08AA2817" w14:textId="2783200D" w:rsidR="005704D9" w:rsidRPr="001925FA" w:rsidRDefault="005704D9" w:rsidP="005704D9">
                      <w:pPr>
                        <w:rPr>
                          <w:sz w:val="12"/>
                          <w:szCs w:val="12"/>
                        </w:rPr>
                      </w:pPr>
                      <w:r w:rsidRPr="001925FA">
                        <w:rPr>
                          <w:sz w:val="12"/>
                          <w:szCs w:val="12"/>
                        </w:rPr>
                        <w:t xml:space="preserve">Numerator source: </w:t>
                      </w:r>
                      <w:r w:rsidR="00B25B1F" w:rsidRPr="001925FA">
                        <w:rPr>
                          <w:sz w:val="12"/>
                          <w:szCs w:val="12"/>
                        </w:rPr>
                        <w:t>Massachusetts Registry of Vital Records and Statistics</w:t>
                      </w:r>
                      <w:r w:rsidRPr="001925FA">
                        <w:rPr>
                          <w:sz w:val="12"/>
                          <w:szCs w:val="12"/>
                        </w:rPr>
                        <w:t>, 2016-2020</w:t>
                      </w:r>
                    </w:p>
                    <w:p w14:paraId="02D0A85E" w14:textId="508C8C6A" w:rsidR="005704D9" w:rsidRPr="001925FA" w:rsidRDefault="005704D9" w:rsidP="005704D9">
                      <w:pPr>
                        <w:rPr>
                          <w:sz w:val="12"/>
                          <w:szCs w:val="12"/>
                        </w:rPr>
                      </w:pPr>
                      <w:r w:rsidRPr="001925FA">
                        <w:rPr>
                          <w:sz w:val="12"/>
                          <w:szCs w:val="12"/>
                        </w:rPr>
                        <w:t>Denominator source: American Community Survey, 2016-2020</w:t>
                      </w:r>
                    </w:p>
                  </w:txbxContent>
                </v:textbox>
                <w10:wrap anchorx="margin"/>
              </v:shape>
            </w:pict>
          </mc:Fallback>
        </mc:AlternateContent>
      </w:r>
      <w:r w:rsidR="00DC08C3" w:rsidRPr="00DC08C3">
        <w:rPr>
          <w:rFonts w:asciiTheme="minorHAnsi" w:hAnsiTheme="minorHAnsi" w:cstheme="minorHAnsi"/>
          <w:b/>
        </w:rPr>
        <w:t>Figure 6. Rate of opioid-related deaths among Massachusetts working-age decedents by race/ethnicity, n=8,433</w:t>
      </w:r>
    </w:p>
    <w:p w14:paraId="3FA4B740" w14:textId="2EC2BFB0" w:rsidR="00715838" w:rsidRDefault="00715838" w:rsidP="00515D58">
      <w:pPr>
        <w:pStyle w:val="ListParagraph"/>
        <w:widowControl w:val="0"/>
        <w:rPr>
          <w:rFonts w:ascii="Times New Roman" w:hAnsi="Times New Roman"/>
          <w:bCs/>
          <w:color w:val="194D80"/>
          <w:sz w:val="28"/>
          <w:szCs w:val="28"/>
        </w:rPr>
      </w:pPr>
    </w:p>
    <w:p w14:paraId="200C5DA0" w14:textId="3D4A5F12" w:rsidR="009A7351" w:rsidRDefault="00DF37FC" w:rsidP="005623BF">
      <w:pPr>
        <w:pStyle w:val="ListParagraph"/>
        <w:widowControl w:val="0"/>
        <w:numPr>
          <w:ilvl w:val="0"/>
          <w:numId w:val="21"/>
        </w:numPr>
        <w:rPr>
          <w:bCs/>
        </w:rPr>
      </w:pPr>
      <w:r>
        <w:rPr>
          <w:bCs/>
        </w:rPr>
        <w:t xml:space="preserve">Rates among </w:t>
      </w:r>
      <w:r w:rsidR="007E77C4">
        <w:rPr>
          <w:bCs/>
        </w:rPr>
        <w:t xml:space="preserve">workers </w:t>
      </w:r>
      <w:r>
        <w:rPr>
          <w:bCs/>
        </w:rPr>
        <w:t>by race/ethnicity were examined for each year during 2016</w:t>
      </w:r>
      <w:r w:rsidR="00A1572E">
        <w:rPr>
          <w:bCs/>
        </w:rPr>
        <w:t>-</w:t>
      </w:r>
      <w:r w:rsidR="00827AC0">
        <w:rPr>
          <w:bCs/>
        </w:rPr>
        <w:t>2020</w:t>
      </w:r>
      <w:r w:rsidR="009767E7">
        <w:rPr>
          <w:bCs/>
        </w:rPr>
        <w:t xml:space="preserve"> </w:t>
      </w:r>
      <w:r w:rsidR="0018049E">
        <w:rPr>
          <w:bCs/>
        </w:rPr>
        <w:t>(Figure 3)</w:t>
      </w:r>
      <w:r w:rsidR="00165789">
        <w:rPr>
          <w:bCs/>
        </w:rPr>
        <w:t>.</w:t>
      </w:r>
      <w:r w:rsidR="00533125">
        <w:rPr>
          <w:bCs/>
        </w:rPr>
        <w:t xml:space="preserve"> The rate for white, non-Hispanic</w:t>
      </w:r>
      <w:r w:rsidR="00827AC0">
        <w:rPr>
          <w:bCs/>
        </w:rPr>
        <w:t xml:space="preserve"> </w:t>
      </w:r>
      <w:r w:rsidR="007E77C4">
        <w:rPr>
          <w:bCs/>
        </w:rPr>
        <w:t xml:space="preserve">workers </w:t>
      </w:r>
      <w:r w:rsidR="001840AF">
        <w:rPr>
          <w:bCs/>
        </w:rPr>
        <w:t>has decrease</w:t>
      </w:r>
      <w:r w:rsidR="00A1572E">
        <w:rPr>
          <w:bCs/>
        </w:rPr>
        <w:t>d slightly</w:t>
      </w:r>
      <w:r w:rsidR="00751A55">
        <w:rPr>
          <w:bCs/>
        </w:rPr>
        <w:t xml:space="preserve"> from 2016 to 2017 but remained relatively stable</w:t>
      </w:r>
      <w:r w:rsidR="00A1572E">
        <w:rPr>
          <w:bCs/>
        </w:rPr>
        <w:t>, which is simil</w:t>
      </w:r>
      <w:r w:rsidR="00C32E71">
        <w:rPr>
          <w:bCs/>
        </w:rPr>
        <w:t xml:space="preserve">ar to the pattern for all </w:t>
      </w:r>
      <w:r w:rsidR="007E77C4">
        <w:rPr>
          <w:bCs/>
        </w:rPr>
        <w:t>workers</w:t>
      </w:r>
      <w:r w:rsidR="00C32E71">
        <w:rPr>
          <w:bCs/>
        </w:rPr>
        <w:t>.</w:t>
      </w:r>
      <w:r w:rsidR="00751A55">
        <w:rPr>
          <w:bCs/>
        </w:rPr>
        <w:t xml:space="preserve"> However, the rate among Hispanic</w:t>
      </w:r>
      <w:r w:rsidR="00C32E71">
        <w:rPr>
          <w:bCs/>
        </w:rPr>
        <w:t xml:space="preserve"> </w:t>
      </w:r>
      <w:r w:rsidR="007E77C4">
        <w:rPr>
          <w:bCs/>
        </w:rPr>
        <w:t xml:space="preserve">workers </w:t>
      </w:r>
      <w:r w:rsidR="00DE34B0">
        <w:rPr>
          <w:bCs/>
        </w:rPr>
        <w:t>decreased</w:t>
      </w:r>
      <w:r w:rsidR="00F272FE">
        <w:rPr>
          <w:bCs/>
        </w:rPr>
        <w:t xml:space="preserve"> from 2016 to 2019 and increased</w:t>
      </w:r>
      <w:r w:rsidR="00B66545">
        <w:rPr>
          <w:bCs/>
        </w:rPr>
        <w:t xml:space="preserve"> in 2020</w:t>
      </w:r>
      <w:r w:rsidR="00CA5A19">
        <w:rPr>
          <w:bCs/>
        </w:rPr>
        <w:t>. The rate among Black, non-Hispanic</w:t>
      </w:r>
      <w:r w:rsidR="00084E9F">
        <w:rPr>
          <w:bCs/>
        </w:rPr>
        <w:t xml:space="preserve"> </w:t>
      </w:r>
      <w:r w:rsidR="007E77C4">
        <w:rPr>
          <w:bCs/>
        </w:rPr>
        <w:t xml:space="preserve">workers </w:t>
      </w:r>
      <w:r w:rsidR="00E87457">
        <w:rPr>
          <w:bCs/>
        </w:rPr>
        <w:t>fluctuated</w:t>
      </w:r>
      <w:r w:rsidR="009A7351">
        <w:rPr>
          <w:bCs/>
        </w:rPr>
        <w:t xml:space="preserve"> between 2016 to </w:t>
      </w:r>
      <w:r>
        <w:t>2020</w:t>
      </w:r>
      <w:r w:rsidR="5A5FB926">
        <w:t>.</w:t>
      </w:r>
    </w:p>
    <w:p w14:paraId="1B3521F1" w14:textId="389099A0" w:rsidR="00CF69C3" w:rsidRPr="00525426" w:rsidRDefault="009A7351" w:rsidP="00C47566">
      <w:pPr>
        <w:pStyle w:val="ListParagraph"/>
        <w:widowControl w:val="0"/>
        <w:numPr>
          <w:ilvl w:val="0"/>
          <w:numId w:val="21"/>
        </w:numPr>
        <w:rPr>
          <w:bCs/>
        </w:rPr>
      </w:pPr>
      <w:r w:rsidRPr="00C47566">
        <w:rPr>
          <w:bCs/>
        </w:rPr>
        <w:t xml:space="preserve">The rate </w:t>
      </w:r>
      <w:r w:rsidR="00084E9F" w:rsidRPr="00C47566">
        <w:rPr>
          <w:bCs/>
        </w:rPr>
        <w:t>for</w:t>
      </w:r>
      <w:r w:rsidRPr="00C47566">
        <w:rPr>
          <w:bCs/>
        </w:rPr>
        <w:t xml:space="preserve"> all racial/ethnic groups increased in 2020, however, the rate for Black, non</w:t>
      </w:r>
      <w:r w:rsidR="009B0924" w:rsidRPr="00C47566">
        <w:rPr>
          <w:bCs/>
        </w:rPr>
        <w:t>-</w:t>
      </w:r>
      <w:r w:rsidRPr="00C47566">
        <w:rPr>
          <w:bCs/>
        </w:rPr>
        <w:t>Hispanic</w:t>
      </w:r>
      <w:r w:rsidR="00084E9F" w:rsidRPr="00C47566">
        <w:rPr>
          <w:bCs/>
        </w:rPr>
        <w:t xml:space="preserve"> </w:t>
      </w:r>
      <w:r w:rsidR="007E77C4">
        <w:rPr>
          <w:bCs/>
        </w:rPr>
        <w:t xml:space="preserve">workers </w:t>
      </w:r>
      <w:r w:rsidR="009B0924" w:rsidRPr="00C47566">
        <w:rPr>
          <w:bCs/>
        </w:rPr>
        <w:t>nearly doubled in 2020 compared to previous years.</w:t>
      </w:r>
      <w:r w:rsidR="00E87457" w:rsidRPr="00C47566">
        <w:rPr>
          <w:bCs/>
        </w:rPr>
        <w:t xml:space="preserve"> </w:t>
      </w:r>
      <w:r w:rsidR="00FA5201" w:rsidRPr="00C47566">
        <w:rPr>
          <w:bCs/>
        </w:rPr>
        <w:t>T</w:t>
      </w:r>
      <w:r w:rsidR="00FA5201" w:rsidRPr="00525426">
        <w:rPr>
          <w:bCs/>
        </w:rPr>
        <w:t xml:space="preserve">his same jump was seen </w:t>
      </w:r>
      <w:r w:rsidR="0080504B" w:rsidRPr="00525426">
        <w:rPr>
          <w:bCs/>
        </w:rPr>
        <w:t xml:space="preserve">overall </w:t>
      </w:r>
      <w:r w:rsidR="0016391E" w:rsidRPr="0037746D">
        <w:rPr>
          <w:bCs/>
        </w:rPr>
        <w:t xml:space="preserve">in </w:t>
      </w:r>
      <w:r w:rsidR="0016391E" w:rsidRPr="00C47566">
        <w:rPr>
          <w:bCs/>
        </w:rPr>
        <w:t>state-wide deaths</w:t>
      </w:r>
      <w:r w:rsidR="0080504B" w:rsidRPr="00C47566">
        <w:rPr>
          <w:bCs/>
        </w:rPr>
        <w:t>.</w:t>
      </w:r>
      <w:r w:rsidR="0080504B">
        <w:rPr>
          <w:rStyle w:val="FootnoteReference"/>
          <w:bCs/>
        </w:rPr>
        <w:footnoteReference w:id="8"/>
      </w:r>
      <w:r w:rsidR="00B82239" w:rsidRPr="00C47566">
        <w:rPr>
          <w:bCs/>
        </w:rPr>
        <w:t xml:space="preserve"> </w:t>
      </w:r>
      <w:r w:rsidR="00241AA1">
        <w:rPr>
          <w:bCs/>
        </w:rPr>
        <w:t>T</w:t>
      </w:r>
      <w:r w:rsidR="004C3470">
        <w:rPr>
          <w:bCs/>
        </w:rPr>
        <w:t xml:space="preserve">his </w:t>
      </w:r>
      <w:r w:rsidR="008333E3">
        <w:rPr>
          <w:bCs/>
        </w:rPr>
        <w:t>elevated rate</w:t>
      </w:r>
      <w:r w:rsidR="004C3470">
        <w:rPr>
          <w:bCs/>
        </w:rPr>
        <w:t xml:space="preserve"> </w:t>
      </w:r>
      <w:r w:rsidR="000A7880">
        <w:rPr>
          <w:bCs/>
        </w:rPr>
        <w:t>highlights the need for</w:t>
      </w:r>
      <w:r w:rsidR="00241AA1">
        <w:rPr>
          <w:bCs/>
        </w:rPr>
        <w:t xml:space="preserve"> prevention approaches that center equity and authentically engage the perspectives of Black workers. </w:t>
      </w:r>
    </w:p>
    <w:p w14:paraId="3828A44C" w14:textId="0C95CF41" w:rsidR="001E59A3" w:rsidRDefault="00100B3E" w:rsidP="005623BF">
      <w:pPr>
        <w:pStyle w:val="ListParagraph"/>
        <w:widowControl w:val="0"/>
        <w:numPr>
          <w:ilvl w:val="0"/>
          <w:numId w:val="21"/>
        </w:numPr>
        <w:rPr>
          <w:bCs/>
        </w:rPr>
      </w:pPr>
      <w:r>
        <w:rPr>
          <w:bCs/>
        </w:rPr>
        <w:t xml:space="preserve">Among Black, non-Hispanic </w:t>
      </w:r>
      <w:r w:rsidR="00FA5661">
        <w:rPr>
          <w:bCs/>
        </w:rPr>
        <w:t>workers</w:t>
      </w:r>
      <w:r w:rsidR="00FA0A34">
        <w:rPr>
          <w:bCs/>
        </w:rPr>
        <w:t xml:space="preserve">, </w:t>
      </w:r>
      <w:r>
        <w:rPr>
          <w:bCs/>
        </w:rPr>
        <w:t>t</w:t>
      </w:r>
      <w:r w:rsidR="000F42BF">
        <w:rPr>
          <w:bCs/>
        </w:rPr>
        <w:t>he t</w:t>
      </w:r>
      <w:r w:rsidR="004373C5">
        <w:rPr>
          <w:bCs/>
        </w:rPr>
        <w:t xml:space="preserve">op five occupation groups with rates of </w:t>
      </w:r>
      <w:r w:rsidR="001C16BB">
        <w:rPr>
          <w:bCs/>
        </w:rPr>
        <w:t xml:space="preserve">opioid-related overdose deaths </w:t>
      </w:r>
      <w:r w:rsidR="005C36D7">
        <w:rPr>
          <w:bCs/>
        </w:rPr>
        <w:t>that were significantly higher t</w:t>
      </w:r>
      <w:r w:rsidR="00E1344C">
        <w:rPr>
          <w:bCs/>
        </w:rPr>
        <w:t>han</w:t>
      </w:r>
      <w:r w:rsidR="003E0561">
        <w:rPr>
          <w:bCs/>
        </w:rPr>
        <w:t xml:space="preserve"> the rate for</w:t>
      </w:r>
      <w:r w:rsidR="0001139D">
        <w:rPr>
          <w:bCs/>
        </w:rPr>
        <w:t xml:space="preserve"> all occupations </w:t>
      </w:r>
      <w:r w:rsidR="004373C5">
        <w:rPr>
          <w:bCs/>
        </w:rPr>
        <w:t>were:</w:t>
      </w:r>
    </w:p>
    <w:p w14:paraId="79A3BD6D" w14:textId="725E8E35" w:rsidR="004373C5" w:rsidRDefault="005C36D7" w:rsidP="004373C5">
      <w:pPr>
        <w:pStyle w:val="ListParagraph"/>
        <w:widowControl w:val="0"/>
        <w:numPr>
          <w:ilvl w:val="1"/>
          <w:numId w:val="21"/>
        </w:numPr>
        <w:rPr>
          <w:bCs/>
        </w:rPr>
      </w:pPr>
      <w:r>
        <w:rPr>
          <w:bCs/>
        </w:rPr>
        <w:t>Construction and extraction</w:t>
      </w:r>
      <w:r w:rsidR="0001139D">
        <w:rPr>
          <w:bCs/>
        </w:rPr>
        <w:t xml:space="preserve"> (711.</w:t>
      </w:r>
      <w:r w:rsidR="00FA00CB">
        <w:rPr>
          <w:bCs/>
        </w:rPr>
        <w:t>7 deaths per 100,000 workers)</w:t>
      </w:r>
    </w:p>
    <w:p w14:paraId="4F9461AE" w14:textId="12D3F4CC" w:rsidR="00FA00CB" w:rsidRDefault="00FA00CB" w:rsidP="00FA00CB">
      <w:pPr>
        <w:pStyle w:val="ListParagraph"/>
        <w:widowControl w:val="0"/>
        <w:numPr>
          <w:ilvl w:val="1"/>
          <w:numId w:val="21"/>
        </w:numPr>
        <w:rPr>
          <w:bCs/>
        </w:rPr>
      </w:pPr>
      <w:r>
        <w:rPr>
          <w:bCs/>
        </w:rPr>
        <w:t>Building and Grou</w:t>
      </w:r>
      <w:r w:rsidR="00AF525D">
        <w:rPr>
          <w:bCs/>
        </w:rPr>
        <w:t>nd</w:t>
      </w:r>
      <w:r>
        <w:rPr>
          <w:bCs/>
        </w:rPr>
        <w:t xml:space="preserve">s Cleaning and Maintenance </w:t>
      </w:r>
      <w:r w:rsidR="00BB4281">
        <w:rPr>
          <w:bCs/>
        </w:rPr>
        <w:t>(303.5)</w:t>
      </w:r>
    </w:p>
    <w:p w14:paraId="30826E48" w14:textId="7784A168" w:rsidR="00FA00CB" w:rsidRDefault="00BB4281" w:rsidP="004373C5">
      <w:pPr>
        <w:pStyle w:val="ListParagraph"/>
        <w:widowControl w:val="0"/>
        <w:numPr>
          <w:ilvl w:val="1"/>
          <w:numId w:val="21"/>
        </w:numPr>
        <w:rPr>
          <w:bCs/>
        </w:rPr>
      </w:pPr>
      <w:r>
        <w:rPr>
          <w:bCs/>
        </w:rPr>
        <w:t>Personal Care and Service (204.6)</w:t>
      </w:r>
    </w:p>
    <w:p w14:paraId="363103B3" w14:textId="63D787C7" w:rsidR="00BB4281" w:rsidRDefault="00753D00" w:rsidP="004373C5">
      <w:pPr>
        <w:pStyle w:val="ListParagraph"/>
        <w:widowControl w:val="0"/>
        <w:numPr>
          <w:ilvl w:val="1"/>
          <w:numId w:val="21"/>
        </w:numPr>
        <w:rPr>
          <w:bCs/>
        </w:rPr>
      </w:pPr>
      <w:r>
        <w:rPr>
          <w:bCs/>
        </w:rPr>
        <w:t>Food Preparation and Serving Related (194.5)</w:t>
      </w:r>
    </w:p>
    <w:p w14:paraId="5FB4A852" w14:textId="663A8693" w:rsidR="00753D00" w:rsidRPr="00604738" w:rsidRDefault="00753D00" w:rsidP="00604738">
      <w:pPr>
        <w:pStyle w:val="ListParagraph"/>
        <w:widowControl w:val="0"/>
        <w:numPr>
          <w:ilvl w:val="1"/>
          <w:numId w:val="21"/>
        </w:numPr>
        <w:rPr>
          <w:bCs/>
        </w:rPr>
      </w:pPr>
      <w:r>
        <w:rPr>
          <w:bCs/>
        </w:rPr>
        <w:t>Sales and Related (135.6)</w:t>
      </w:r>
    </w:p>
    <w:p w14:paraId="756ED43B" w14:textId="2F36259F" w:rsidR="00A110AD" w:rsidRDefault="00A110AD" w:rsidP="005623BF">
      <w:pPr>
        <w:pStyle w:val="ListParagraph"/>
        <w:widowControl w:val="0"/>
        <w:numPr>
          <w:ilvl w:val="0"/>
          <w:numId w:val="21"/>
        </w:numPr>
        <w:rPr>
          <w:bCs/>
        </w:rPr>
      </w:pPr>
      <w:r>
        <w:rPr>
          <w:bCs/>
        </w:rPr>
        <w:t xml:space="preserve">Due to low numbers of opioid-related overdose deaths </w:t>
      </w:r>
      <w:r w:rsidR="006F48A2">
        <w:rPr>
          <w:bCs/>
        </w:rPr>
        <w:t>among</w:t>
      </w:r>
      <w:r>
        <w:rPr>
          <w:bCs/>
        </w:rPr>
        <w:t xml:space="preserve"> other racial and ethnic groups in the examined time period, it was not p</w:t>
      </w:r>
      <w:r w:rsidR="000A140E">
        <w:rPr>
          <w:bCs/>
        </w:rPr>
        <w:t xml:space="preserve">ossible to generate rates </w:t>
      </w:r>
      <w:r w:rsidR="00A4201D">
        <w:rPr>
          <w:bCs/>
        </w:rPr>
        <w:t>for</w:t>
      </w:r>
      <w:r w:rsidR="000A140E">
        <w:rPr>
          <w:bCs/>
        </w:rPr>
        <w:t xml:space="preserve"> </w:t>
      </w:r>
      <w:r w:rsidR="005968EB">
        <w:rPr>
          <w:bCs/>
        </w:rPr>
        <w:t>As</w:t>
      </w:r>
      <w:r w:rsidR="008F0018">
        <w:rPr>
          <w:bCs/>
        </w:rPr>
        <w:t>ian</w:t>
      </w:r>
      <w:r w:rsidR="00F80B15">
        <w:rPr>
          <w:bCs/>
        </w:rPr>
        <w:t>/</w:t>
      </w:r>
      <w:r w:rsidR="008F0018">
        <w:rPr>
          <w:bCs/>
        </w:rPr>
        <w:t xml:space="preserve">Pacific Islander, non-Hispanic </w:t>
      </w:r>
      <w:r w:rsidR="00FA0A34">
        <w:rPr>
          <w:bCs/>
        </w:rPr>
        <w:t xml:space="preserve">working-age decedents </w:t>
      </w:r>
      <w:r w:rsidR="008F0018">
        <w:rPr>
          <w:bCs/>
        </w:rPr>
        <w:t>(n=53)</w:t>
      </w:r>
      <w:r w:rsidR="005E05CF">
        <w:rPr>
          <w:bCs/>
        </w:rPr>
        <w:t xml:space="preserve"> and</w:t>
      </w:r>
      <w:r w:rsidR="2F88FC58">
        <w:t xml:space="preserve"> </w:t>
      </w:r>
      <w:r w:rsidR="005E05CF">
        <w:rPr>
          <w:bCs/>
        </w:rPr>
        <w:t>American Indian</w:t>
      </w:r>
      <w:r w:rsidR="00F80B15">
        <w:rPr>
          <w:bCs/>
        </w:rPr>
        <w:t>/</w:t>
      </w:r>
      <w:r w:rsidR="005E05CF">
        <w:rPr>
          <w:bCs/>
        </w:rPr>
        <w:t xml:space="preserve">Alaska Native, non-Hispanic </w:t>
      </w:r>
      <w:r w:rsidR="00FA0A34">
        <w:rPr>
          <w:bCs/>
        </w:rPr>
        <w:t xml:space="preserve">working-age decedents </w:t>
      </w:r>
      <w:r w:rsidR="005E05CF">
        <w:rPr>
          <w:bCs/>
        </w:rPr>
        <w:t>(n=22).</w:t>
      </w:r>
    </w:p>
    <w:p w14:paraId="37ADBC10" w14:textId="6FBD5BE0" w:rsidR="00734807" w:rsidRPr="009767E7" w:rsidRDefault="00734807" w:rsidP="005623BF">
      <w:pPr>
        <w:pStyle w:val="ListParagraph"/>
        <w:widowControl w:val="0"/>
        <w:numPr>
          <w:ilvl w:val="0"/>
          <w:numId w:val="21"/>
        </w:numPr>
        <w:rPr>
          <w:bCs/>
        </w:rPr>
      </w:pPr>
      <w:r>
        <w:rPr>
          <w:bCs/>
        </w:rPr>
        <w:t xml:space="preserve">It is important to note, using data from 2016-2020, the </w:t>
      </w:r>
      <w:r w:rsidR="66955E95">
        <w:t>rate</w:t>
      </w:r>
      <w:r>
        <w:rPr>
          <w:bCs/>
        </w:rPr>
        <w:t xml:space="preserve"> for Hispanic, and Black, non-Hispanic </w:t>
      </w:r>
      <w:r w:rsidR="002923AA">
        <w:rPr>
          <w:bCs/>
        </w:rPr>
        <w:t xml:space="preserve">working-age decedents </w:t>
      </w:r>
      <w:r>
        <w:rPr>
          <w:bCs/>
        </w:rPr>
        <w:t xml:space="preserve">may be underestimated because the death certificates among these racial/ethnic groups were more likely to have missing industry and occupation information and therefore, as mentioned below in the Methods section, these death certificates were excluded from the analysis. </w:t>
      </w:r>
    </w:p>
    <w:p w14:paraId="66A9C17C" w14:textId="77777777" w:rsidR="00715838" w:rsidRDefault="00715838" w:rsidP="00515D58">
      <w:pPr>
        <w:pStyle w:val="ListParagraph"/>
        <w:widowControl w:val="0"/>
        <w:rPr>
          <w:rFonts w:ascii="Times New Roman" w:hAnsi="Times New Roman"/>
          <w:bCs/>
          <w:color w:val="194D80"/>
          <w:sz w:val="28"/>
          <w:szCs w:val="28"/>
        </w:rPr>
      </w:pPr>
    </w:p>
    <w:p w14:paraId="53614616" w14:textId="00E73724" w:rsidR="00715838" w:rsidRDefault="00715838" w:rsidP="004B0C46">
      <w:pPr>
        <w:widowControl w:val="0"/>
        <w:rPr>
          <w:rFonts w:ascii="Times New Roman" w:hAnsi="Times New Roman"/>
          <w:bCs/>
          <w:color w:val="194D80"/>
          <w:sz w:val="28"/>
          <w:szCs w:val="28"/>
        </w:rPr>
      </w:pPr>
    </w:p>
    <w:p w14:paraId="413B04A5" w14:textId="1F4CC616" w:rsidR="00DC08C3" w:rsidRPr="00DC08C3" w:rsidRDefault="00DC08C3" w:rsidP="00DC08C3">
      <w:pPr>
        <w:widowControl w:val="0"/>
        <w:jc w:val="center"/>
        <w:rPr>
          <w:rFonts w:asciiTheme="minorHAnsi" w:hAnsiTheme="minorHAnsi" w:cstheme="minorHAnsi"/>
          <w:b/>
        </w:rPr>
      </w:pPr>
      <w:r w:rsidRPr="006665F6">
        <w:rPr>
          <w:b/>
          <w:noProof/>
          <w:color w:val="194D80"/>
          <w:sz w:val="28"/>
          <w:szCs w:val="28"/>
        </w:rPr>
        <w:lastRenderedPageBreak/>
        <mc:AlternateContent>
          <mc:Choice Requires="wps">
            <w:drawing>
              <wp:anchor distT="45720" distB="45720" distL="114300" distR="114300" simplePos="0" relativeHeight="251658247" behindDoc="0" locked="0" layoutInCell="1" allowOverlap="1" wp14:anchorId="6BE1B9D3" wp14:editId="1BC17AAC">
                <wp:simplePos x="0" y="0"/>
                <wp:positionH relativeFrom="margin">
                  <wp:posOffset>165100</wp:posOffset>
                </wp:positionH>
                <wp:positionV relativeFrom="paragraph">
                  <wp:posOffset>3434080</wp:posOffset>
                </wp:positionV>
                <wp:extent cx="6445885" cy="1047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1047750"/>
                        </a:xfrm>
                        <a:prstGeom prst="rect">
                          <a:avLst/>
                        </a:prstGeom>
                        <a:solidFill>
                          <a:srgbClr val="FFFFFF"/>
                        </a:solidFill>
                        <a:ln w="9525">
                          <a:noFill/>
                          <a:miter lim="800000"/>
                          <a:headEnd/>
                          <a:tailEnd/>
                        </a:ln>
                      </wps:spPr>
                      <wps:txbx>
                        <w:txbxContent>
                          <w:p w14:paraId="68D20045" w14:textId="5530C8A7" w:rsidR="00DC035E" w:rsidRPr="001925FA" w:rsidRDefault="00DC035E" w:rsidP="00DC035E">
                            <w:pPr>
                              <w:rPr>
                                <w:sz w:val="12"/>
                                <w:szCs w:val="12"/>
                              </w:rPr>
                            </w:pPr>
                            <w:r w:rsidRPr="001925FA">
                              <w:rPr>
                                <w:sz w:val="12"/>
                                <w:szCs w:val="12"/>
                              </w:rPr>
                              <w:t>*</w:t>
                            </w:r>
                            <w:r w:rsidR="00333078" w:rsidRPr="001925FA">
                              <w:rPr>
                                <w:sz w:val="12"/>
                                <w:szCs w:val="12"/>
                              </w:rPr>
                              <w:t xml:space="preserve">The </w:t>
                            </w:r>
                            <w:r w:rsidR="00EF01E8" w:rsidRPr="001925FA">
                              <w:rPr>
                                <w:sz w:val="12"/>
                                <w:szCs w:val="12"/>
                              </w:rPr>
                              <w:t>industry</w:t>
                            </w:r>
                            <w:r w:rsidR="00333078" w:rsidRPr="001925FA">
                              <w:rPr>
                                <w:sz w:val="12"/>
                                <w:szCs w:val="12"/>
                              </w:rPr>
                              <w:t xml:space="preserve"> </w:t>
                            </w:r>
                            <w:r w:rsidR="00EF01E8" w:rsidRPr="001925FA">
                              <w:rPr>
                                <w:sz w:val="12"/>
                                <w:szCs w:val="12"/>
                              </w:rPr>
                              <w:t>category excluded 5 opioid-related overdose deaths among those working in the military or military specific occupations due to lack of denominator information and 13 opioid-related overdose deaths because the death certificates did not contain enough information to code industry.</w:t>
                            </w:r>
                            <w:r w:rsidR="00333078" w:rsidRPr="001925FA">
                              <w:rPr>
                                <w:sz w:val="12"/>
                                <w:szCs w:val="12"/>
                              </w:rPr>
                              <w:t xml:space="preserve"> The occupation category e</w:t>
                            </w:r>
                            <w:r w:rsidR="00AC54A0" w:rsidRPr="001925FA">
                              <w:rPr>
                                <w:sz w:val="12"/>
                                <w:szCs w:val="12"/>
                              </w:rPr>
                              <w:t>xcluded from the opioid-related overdose death rate calculation were 33 death</w:t>
                            </w:r>
                            <w:r w:rsidR="00D613D2" w:rsidRPr="001925FA">
                              <w:rPr>
                                <w:sz w:val="12"/>
                                <w:szCs w:val="12"/>
                              </w:rPr>
                              <w:t xml:space="preserve">s </w:t>
                            </w:r>
                            <w:r w:rsidR="004E08DC" w:rsidRPr="001925FA">
                              <w:rPr>
                                <w:sz w:val="12"/>
                                <w:szCs w:val="12"/>
                              </w:rPr>
                              <w:t>among</w:t>
                            </w:r>
                            <w:r w:rsidR="00D613D2" w:rsidRPr="001925FA">
                              <w:rPr>
                                <w:sz w:val="12"/>
                                <w:szCs w:val="12"/>
                              </w:rPr>
                              <w:t xml:space="preserve"> those working in the military or military-specific occupations</w:t>
                            </w:r>
                            <w:r w:rsidR="004333AF" w:rsidRPr="001925FA">
                              <w:rPr>
                                <w:sz w:val="12"/>
                                <w:szCs w:val="12"/>
                              </w:rPr>
                              <w:t xml:space="preserve"> and </w:t>
                            </w:r>
                            <w:r w:rsidR="007D748B" w:rsidRPr="001925FA">
                              <w:rPr>
                                <w:sz w:val="12"/>
                                <w:szCs w:val="12"/>
                              </w:rPr>
                              <w:t>51</w:t>
                            </w:r>
                            <w:r w:rsidR="004333AF" w:rsidRPr="001925FA">
                              <w:rPr>
                                <w:sz w:val="12"/>
                                <w:szCs w:val="12"/>
                              </w:rPr>
                              <w:t xml:space="preserve"> deaths</w:t>
                            </w:r>
                            <w:r w:rsidR="004E08DC" w:rsidRPr="001925FA">
                              <w:rPr>
                                <w:sz w:val="12"/>
                                <w:szCs w:val="12"/>
                              </w:rPr>
                              <w:t xml:space="preserve"> which lacked information about paid sick leave</w:t>
                            </w:r>
                            <w:r w:rsidR="00E238AF" w:rsidRPr="001925FA">
                              <w:rPr>
                                <w:sz w:val="12"/>
                                <w:szCs w:val="12"/>
                              </w:rPr>
                              <w:t xml:space="preserve"> and/or </w:t>
                            </w:r>
                            <w:r w:rsidR="003E2633" w:rsidRPr="001925FA">
                              <w:rPr>
                                <w:sz w:val="12"/>
                                <w:szCs w:val="12"/>
                              </w:rPr>
                              <w:t>had insufficient sample size to</w:t>
                            </w:r>
                            <w:r w:rsidR="00F4138C" w:rsidRPr="001925FA">
                              <w:rPr>
                                <w:sz w:val="12"/>
                                <w:szCs w:val="12"/>
                              </w:rPr>
                              <w:t xml:space="preserve"> calculate access to paid sick leave</w:t>
                            </w:r>
                          </w:p>
                          <w:p w14:paraId="70F16CE5" w14:textId="450CE924" w:rsidR="00B26DC8" w:rsidRPr="001925FA" w:rsidRDefault="00EC38DA" w:rsidP="00DC035E">
                            <w:pPr>
                              <w:rPr>
                                <w:sz w:val="12"/>
                                <w:szCs w:val="12"/>
                              </w:rPr>
                            </w:pPr>
                            <w:r w:rsidRPr="001925FA">
                              <w:rPr>
                                <w:sz w:val="12"/>
                                <w:szCs w:val="12"/>
                              </w:rPr>
                              <w:t xml:space="preserve">Paid sick leave categories (High, Low) were derived from </w:t>
                            </w:r>
                            <w:r w:rsidR="006C6A6A" w:rsidRPr="001925FA">
                              <w:rPr>
                                <w:sz w:val="12"/>
                                <w:szCs w:val="12"/>
                              </w:rPr>
                              <w:t>Massachusetts data from the COVID</w:t>
                            </w:r>
                            <w:r w:rsidR="001239A1" w:rsidRPr="001925FA">
                              <w:rPr>
                                <w:sz w:val="12"/>
                                <w:szCs w:val="12"/>
                              </w:rPr>
                              <w:t>-19</w:t>
                            </w:r>
                            <w:r w:rsidR="006C6A6A" w:rsidRPr="001925FA">
                              <w:rPr>
                                <w:sz w:val="12"/>
                                <w:szCs w:val="12"/>
                              </w:rPr>
                              <w:t xml:space="preserve"> Community Impact Survey. </w:t>
                            </w:r>
                            <w:r w:rsidR="001E4263" w:rsidRPr="001925FA">
                              <w:rPr>
                                <w:sz w:val="12"/>
                                <w:szCs w:val="12"/>
                              </w:rPr>
                              <w:t xml:space="preserve">An Industry </w:t>
                            </w:r>
                            <w:r w:rsidR="003B5EA7" w:rsidRPr="001925FA">
                              <w:rPr>
                                <w:sz w:val="12"/>
                                <w:szCs w:val="12"/>
                              </w:rPr>
                              <w:t>sector was</w:t>
                            </w:r>
                            <w:r w:rsidR="001E4263" w:rsidRPr="001925FA">
                              <w:rPr>
                                <w:sz w:val="12"/>
                                <w:szCs w:val="12"/>
                              </w:rPr>
                              <w:t xml:space="preserve"> considered to have high availability of</w:t>
                            </w:r>
                            <w:r w:rsidR="00C108BA" w:rsidRPr="001925FA">
                              <w:rPr>
                                <w:sz w:val="12"/>
                                <w:szCs w:val="12"/>
                              </w:rPr>
                              <w:t xml:space="preserve"> paid sick leave if 82.2% or more of Survey respondents within that industry sector</w:t>
                            </w:r>
                            <w:r w:rsidR="00407AB7" w:rsidRPr="001925FA">
                              <w:rPr>
                                <w:sz w:val="12"/>
                                <w:szCs w:val="12"/>
                              </w:rPr>
                              <w:t xml:space="preserve"> reported having access to paid sick leave. All other industry sectors were categorized as having low availability of paid sick leave. </w:t>
                            </w:r>
                            <w:r w:rsidR="006C6A6A" w:rsidRPr="001925FA">
                              <w:rPr>
                                <w:sz w:val="12"/>
                                <w:szCs w:val="12"/>
                              </w:rPr>
                              <w:t xml:space="preserve">An Occupation group was considered to have high availability of paid sick leave if </w:t>
                            </w:r>
                            <w:r w:rsidR="00FA32D1" w:rsidRPr="001925FA">
                              <w:rPr>
                                <w:sz w:val="12"/>
                                <w:szCs w:val="12"/>
                              </w:rPr>
                              <w:t>82.5%</w:t>
                            </w:r>
                            <w:r w:rsidR="00F65266" w:rsidRPr="001925FA">
                              <w:rPr>
                                <w:sz w:val="12"/>
                                <w:szCs w:val="12"/>
                              </w:rPr>
                              <w:t xml:space="preserve"> or more of Survey respondents within that occupation</w:t>
                            </w:r>
                            <w:r w:rsidR="00C3290A" w:rsidRPr="001925FA">
                              <w:rPr>
                                <w:sz w:val="12"/>
                                <w:szCs w:val="12"/>
                              </w:rPr>
                              <w:t xml:space="preserve"> group</w:t>
                            </w:r>
                            <w:r w:rsidR="00F65266" w:rsidRPr="001925FA">
                              <w:rPr>
                                <w:sz w:val="12"/>
                                <w:szCs w:val="12"/>
                              </w:rPr>
                              <w:t xml:space="preserve"> reported having access to paid sick leave. All other occupation groups were categorized as having low availability of paid sick leave.</w:t>
                            </w:r>
                          </w:p>
                          <w:p w14:paraId="5B6157A4" w14:textId="51933935" w:rsidR="00DC035E" w:rsidRPr="003A5B08" w:rsidRDefault="00DC035E" w:rsidP="00DC035E">
                            <w:pPr>
                              <w:rPr>
                                <w:sz w:val="12"/>
                                <w:szCs w:val="12"/>
                              </w:rPr>
                            </w:pPr>
                            <w:r w:rsidRPr="003A5B08">
                              <w:rPr>
                                <w:sz w:val="12"/>
                                <w:szCs w:val="12"/>
                              </w:rPr>
                              <w:t xml:space="preserve">Numerator source: </w:t>
                            </w:r>
                            <w:r w:rsidR="00B25B1F" w:rsidRPr="003A5B08">
                              <w:rPr>
                                <w:sz w:val="12"/>
                                <w:szCs w:val="12"/>
                              </w:rPr>
                              <w:t>Massachusetts Registry of Vital Records and Statistics</w:t>
                            </w:r>
                            <w:r w:rsidRPr="003A5B08">
                              <w:rPr>
                                <w:sz w:val="12"/>
                                <w:szCs w:val="12"/>
                              </w:rPr>
                              <w:t>, 2020</w:t>
                            </w:r>
                          </w:p>
                          <w:p w14:paraId="32EDC2CC" w14:textId="33A487D7" w:rsidR="00437A27" w:rsidRPr="003A5B08" w:rsidRDefault="00DC035E" w:rsidP="00437A27">
                            <w:pPr>
                              <w:rPr>
                                <w:sz w:val="12"/>
                                <w:szCs w:val="12"/>
                              </w:rPr>
                            </w:pPr>
                            <w:r w:rsidRPr="003A5B08">
                              <w:rPr>
                                <w:sz w:val="12"/>
                                <w:szCs w:val="12"/>
                              </w:rPr>
                              <w:t>Denominator source: American Community Survey,</w:t>
                            </w:r>
                            <w:r w:rsidR="003B5EA7" w:rsidRPr="003A5B08">
                              <w:rPr>
                                <w:sz w:val="12"/>
                                <w:szCs w:val="12"/>
                              </w:rPr>
                              <w:t xml:space="preserve"> </w:t>
                            </w:r>
                            <w:r w:rsidRPr="003A5B08">
                              <w:rPr>
                                <w:sz w:val="12"/>
                                <w:szCs w:val="12"/>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1B9D3" id="_x0000_s1043" type="#_x0000_t202" style="position:absolute;left:0;text-align:left;margin-left:13pt;margin-top:270.4pt;width:507.55pt;height:8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" stroked="f">
                <v:textbox>
                  <w:txbxContent>
                    <w:p w14:paraId="68D20045" w14:textId="5530C8A7" w:rsidR="00DC035E" w:rsidRPr="001925FA" w:rsidRDefault="00DC035E" w:rsidP="00DC035E">
                      <w:pPr>
                        <w:rPr>
                          <w:sz w:val="12"/>
                          <w:szCs w:val="12"/>
                        </w:rPr>
                      </w:pPr>
                      <w:r w:rsidRPr="001925FA">
                        <w:rPr>
                          <w:sz w:val="12"/>
                          <w:szCs w:val="12"/>
                        </w:rPr>
                        <w:t>*</w:t>
                      </w:r>
                      <w:r w:rsidR="00333078" w:rsidRPr="001925FA">
                        <w:rPr>
                          <w:sz w:val="12"/>
                          <w:szCs w:val="12"/>
                        </w:rPr>
                        <w:t xml:space="preserve">The </w:t>
                      </w:r>
                      <w:r w:rsidR="00EF01E8" w:rsidRPr="001925FA">
                        <w:rPr>
                          <w:sz w:val="12"/>
                          <w:szCs w:val="12"/>
                        </w:rPr>
                        <w:t>industry</w:t>
                      </w:r>
                      <w:r w:rsidR="00333078" w:rsidRPr="001925FA">
                        <w:rPr>
                          <w:sz w:val="12"/>
                          <w:szCs w:val="12"/>
                        </w:rPr>
                        <w:t xml:space="preserve"> </w:t>
                      </w:r>
                      <w:r w:rsidR="00EF01E8" w:rsidRPr="001925FA">
                        <w:rPr>
                          <w:sz w:val="12"/>
                          <w:szCs w:val="12"/>
                        </w:rPr>
                        <w:t>category excluded 5 opioid-related overdose deaths among those working in the military or military specific occupations due to lack of denominator information and 13 opioid-related overdose deaths because the death certificates did not contain enough information to code industry.</w:t>
                      </w:r>
                      <w:r w:rsidR="00333078" w:rsidRPr="001925FA">
                        <w:rPr>
                          <w:sz w:val="12"/>
                          <w:szCs w:val="12"/>
                        </w:rPr>
                        <w:t xml:space="preserve"> The occupation category e</w:t>
                      </w:r>
                      <w:r w:rsidR="00AC54A0" w:rsidRPr="001925FA">
                        <w:rPr>
                          <w:sz w:val="12"/>
                          <w:szCs w:val="12"/>
                        </w:rPr>
                        <w:t>xcluded from the opioid-related overdose death rate calculation were 33 death</w:t>
                      </w:r>
                      <w:r w:rsidR="00D613D2" w:rsidRPr="001925FA">
                        <w:rPr>
                          <w:sz w:val="12"/>
                          <w:szCs w:val="12"/>
                        </w:rPr>
                        <w:t xml:space="preserve">s </w:t>
                      </w:r>
                      <w:r w:rsidR="004E08DC" w:rsidRPr="001925FA">
                        <w:rPr>
                          <w:sz w:val="12"/>
                          <w:szCs w:val="12"/>
                        </w:rPr>
                        <w:t>among</w:t>
                      </w:r>
                      <w:r w:rsidR="00D613D2" w:rsidRPr="001925FA">
                        <w:rPr>
                          <w:sz w:val="12"/>
                          <w:szCs w:val="12"/>
                        </w:rPr>
                        <w:t xml:space="preserve"> those working in the military or military-specific occupations</w:t>
                      </w:r>
                      <w:r w:rsidR="004333AF" w:rsidRPr="001925FA">
                        <w:rPr>
                          <w:sz w:val="12"/>
                          <w:szCs w:val="12"/>
                        </w:rPr>
                        <w:t xml:space="preserve"> and </w:t>
                      </w:r>
                      <w:r w:rsidR="007D748B" w:rsidRPr="001925FA">
                        <w:rPr>
                          <w:sz w:val="12"/>
                          <w:szCs w:val="12"/>
                        </w:rPr>
                        <w:t>51</w:t>
                      </w:r>
                      <w:r w:rsidR="004333AF" w:rsidRPr="001925FA">
                        <w:rPr>
                          <w:sz w:val="12"/>
                          <w:szCs w:val="12"/>
                        </w:rPr>
                        <w:t xml:space="preserve"> deaths</w:t>
                      </w:r>
                      <w:r w:rsidR="004E08DC" w:rsidRPr="001925FA">
                        <w:rPr>
                          <w:sz w:val="12"/>
                          <w:szCs w:val="12"/>
                        </w:rPr>
                        <w:t xml:space="preserve"> which lacked information about paid sick leave</w:t>
                      </w:r>
                      <w:r w:rsidR="00E238AF" w:rsidRPr="001925FA">
                        <w:rPr>
                          <w:sz w:val="12"/>
                          <w:szCs w:val="12"/>
                        </w:rPr>
                        <w:t xml:space="preserve"> and/or </w:t>
                      </w:r>
                      <w:r w:rsidR="003E2633" w:rsidRPr="001925FA">
                        <w:rPr>
                          <w:sz w:val="12"/>
                          <w:szCs w:val="12"/>
                        </w:rPr>
                        <w:t>had insufficient sample size to</w:t>
                      </w:r>
                      <w:r w:rsidR="00F4138C" w:rsidRPr="001925FA">
                        <w:rPr>
                          <w:sz w:val="12"/>
                          <w:szCs w:val="12"/>
                        </w:rPr>
                        <w:t xml:space="preserve"> calculate access to paid sick leave</w:t>
                      </w:r>
                    </w:p>
                    <w:p w14:paraId="70F16CE5" w14:textId="450CE924" w:rsidR="00B26DC8" w:rsidRPr="001925FA" w:rsidRDefault="00EC38DA" w:rsidP="00DC035E">
                      <w:pPr>
                        <w:rPr>
                          <w:sz w:val="12"/>
                          <w:szCs w:val="12"/>
                        </w:rPr>
                      </w:pPr>
                      <w:r w:rsidRPr="001925FA">
                        <w:rPr>
                          <w:sz w:val="12"/>
                          <w:szCs w:val="12"/>
                        </w:rPr>
                        <w:t xml:space="preserve">Paid sick leave categories (High, Low) were derived from </w:t>
                      </w:r>
                      <w:r w:rsidR="006C6A6A" w:rsidRPr="001925FA">
                        <w:rPr>
                          <w:sz w:val="12"/>
                          <w:szCs w:val="12"/>
                        </w:rPr>
                        <w:t>Massachusetts data from the COVID</w:t>
                      </w:r>
                      <w:r w:rsidR="001239A1" w:rsidRPr="001925FA">
                        <w:rPr>
                          <w:sz w:val="12"/>
                          <w:szCs w:val="12"/>
                        </w:rPr>
                        <w:t>-19</w:t>
                      </w:r>
                      <w:r w:rsidR="006C6A6A" w:rsidRPr="001925FA">
                        <w:rPr>
                          <w:sz w:val="12"/>
                          <w:szCs w:val="12"/>
                        </w:rPr>
                        <w:t xml:space="preserve"> Community Impact Survey. </w:t>
                      </w:r>
                      <w:r w:rsidR="001E4263" w:rsidRPr="001925FA">
                        <w:rPr>
                          <w:sz w:val="12"/>
                          <w:szCs w:val="12"/>
                        </w:rPr>
                        <w:t xml:space="preserve">An Industry </w:t>
                      </w:r>
                      <w:r w:rsidR="003B5EA7" w:rsidRPr="001925FA">
                        <w:rPr>
                          <w:sz w:val="12"/>
                          <w:szCs w:val="12"/>
                        </w:rPr>
                        <w:t>sector was</w:t>
                      </w:r>
                      <w:r w:rsidR="001E4263" w:rsidRPr="001925FA">
                        <w:rPr>
                          <w:sz w:val="12"/>
                          <w:szCs w:val="12"/>
                        </w:rPr>
                        <w:t xml:space="preserve"> considered to have high availability of</w:t>
                      </w:r>
                      <w:r w:rsidR="00C108BA" w:rsidRPr="001925FA">
                        <w:rPr>
                          <w:sz w:val="12"/>
                          <w:szCs w:val="12"/>
                        </w:rPr>
                        <w:t xml:space="preserve"> paid sick leave if 82.2% or more of Survey respondents within that industry sector</w:t>
                      </w:r>
                      <w:r w:rsidR="00407AB7" w:rsidRPr="001925FA">
                        <w:rPr>
                          <w:sz w:val="12"/>
                          <w:szCs w:val="12"/>
                        </w:rPr>
                        <w:t xml:space="preserve"> reported having access to paid sick leave. All other industry sectors were categorized as having low availability of paid sick leave. </w:t>
                      </w:r>
                      <w:r w:rsidR="006C6A6A" w:rsidRPr="001925FA">
                        <w:rPr>
                          <w:sz w:val="12"/>
                          <w:szCs w:val="12"/>
                        </w:rPr>
                        <w:t xml:space="preserve">An Occupation group was considered to have high availability of paid sick leave if </w:t>
                      </w:r>
                      <w:r w:rsidR="00FA32D1" w:rsidRPr="001925FA">
                        <w:rPr>
                          <w:sz w:val="12"/>
                          <w:szCs w:val="12"/>
                        </w:rPr>
                        <w:t>82.5%</w:t>
                      </w:r>
                      <w:r w:rsidR="00F65266" w:rsidRPr="001925FA">
                        <w:rPr>
                          <w:sz w:val="12"/>
                          <w:szCs w:val="12"/>
                        </w:rPr>
                        <w:t xml:space="preserve"> or more of Survey respondents within that occupation</w:t>
                      </w:r>
                      <w:r w:rsidR="00C3290A" w:rsidRPr="001925FA">
                        <w:rPr>
                          <w:sz w:val="12"/>
                          <w:szCs w:val="12"/>
                        </w:rPr>
                        <w:t xml:space="preserve"> group</w:t>
                      </w:r>
                      <w:r w:rsidR="00F65266" w:rsidRPr="001925FA">
                        <w:rPr>
                          <w:sz w:val="12"/>
                          <w:szCs w:val="12"/>
                        </w:rPr>
                        <w:t xml:space="preserve"> reported having access to paid sick leave. All other occupation groups were categorized as having low availability of paid sick leave.</w:t>
                      </w:r>
                    </w:p>
                    <w:p w14:paraId="5B6157A4" w14:textId="51933935" w:rsidR="00DC035E" w:rsidRPr="003A5B08" w:rsidRDefault="00DC035E" w:rsidP="00DC035E">
                      <w:pPr>
                        <w:rPr>
                          <w:sz w:val="12"/>
                          <w:szCs w:val="12"/>
                        </w:rPr>
                      </w:pPr>
                      <w:r w:rsidRPr="003A5B08">
                        <w:rPr>
                          <w:sz w:val="12"/>
                          <w:szCs w:val="12"/>
                        </w:rPr>
                        <w:t xml:space="preserve">Numerator source: </w:t>
                      </w:r>
                      <w:r w:rsidR="00B25B1F" w:rsidRPr="003A5B08">
                        <w:rPr>
                          <w:sz w:val="12"/>
                          <w:szCs w:val="12"/>
                        </w:rPr>
                        <w:t>Massachusetts Registry of Vital Records and Statistics</w:t>
                      </w:r>
                      <w:r w:rsidRPr="003A5B08">
                        <w:rPr>
                          <w:sz w:val="12"/>
                          <w:szCs w:val="12"/>
                        </w:rPr>
                        <w:t>, 2020</w:t>
                      </w:r>
                    </w:p>
                    <w:p w14:paraId="32EDC2CC" w14:textId="33A487D7" w:rsidR="00437A27" w:rsidRPr="003A5B08" w:rsidRDefault="00DC035E" w:rsidP="00437A27">
                      <w:pPr>
                        <w:rPr>
                          <w:sz w:val="12"/>
                          <w:szCs w:val="12"/>
                        </w:rPr>
                      </w:pPr>
                      <w:r w:rsidRPr="003A5B08">
                        <w:rPr>
                          <w:sz w:val="12"/>
                          <w:szCs w:val="12"/>
                        </w:rPr>
                        <w:t>Denominator source: American Community Survey,</w:t>
                      </w:r>
                      <w:r w:rsidR="003B5EA7" w:rsidRPr="003A5B08">
                        <w:rPr>
                          <w:sz w:val="12"/>
                          <w:szCs w:val="12"/>
                        </w:rPr>
                        <w:t xml:space="preserve"> </w:t>
                      </w:r>
                      <w:r w:rsidRPr="003A5B08">
                        <w:rPr>
                          <w:sz w:val="12"/>
                          <w:szCs w:val="12"/>
                        </w:rPr>
                        <w:t>2020</w:t>
                      </w:r>
                    </w:p>
                  </w:txbxContent>
                </v:textbox>
                <w10:wrap anchorx="margin"/>
              </v:shape>
            </w:pict>
          </mc:Fallback>
        </mc:AlternateContent>
      </w:r>
      <w:r>
        <w:rPr>
          <w:noProof/>
        </w:rPr>
        <w:drawing>
          <wp:anchor distT="0" distB="0" distL="114300" distR="114300" simplePos="0" relativeHeight="251658260" behindDoc="0" locked="0" layoutInCell="1" allowOverlap="1" wp14:anchorId="034CC9F5" wp14:editId="5F580DC3">
            <wp:simplePos x="0" y="0"/>
            <wp:positionH relativeFrom="margin">
              <wp:posOffset>-46355</wp:posOffset>
            </wp:positionH>
            <wp:positionV relativeFrom="paragraph">
              <wp:posOffset>552450</wp:posOffset>
            </wp:positionV>
            <wp:extent cx="6904355" cy="2882900"/>
            <wp:effectExtent l="0" t="0" r="0" b="0"/>
            <wp:wrapThrough wrapText="bothSides">
              <wp:wrapPolygon edited="0">
                <wp:start x="0" y="0"/>
                <wp:lineTo x="0" y="21410"/>
                <wp:lineTo x="21515" y="21410"/>
                <wp:lineTo x="21515" y="0"/>
                <wp:lineTo x="0" y="0"/>
              </wp:wrapPolygon>
            </wp:wrapThrough>
            <wp:docPr id="26" name="Chart 26">
              <a:extLst xmlns:a="http://schemas.openxmlformats.org/drawingml/2006/main">
                <a:ext uri="{FF2B5EF4-FFF2-40B4-BE49-F238E27FC236}">
                  <a16:creationId xmlns:a16="http://schemas.microsoft.com/office/drawing/2014/main" id="{C84400C5-51F2-477C-880E-A522D7A111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rFonts w:ascii="Times New Roman" w:hAnsi="Times New Roman"/>
          <w:bCs/>
          <w:color w:val="194D80"/>
          <w:sz w:val="28"/>
          <w:szCs w:val="28"/>
        </w:rPr>
        <w:br/>
      </w:r>
      <w:r w:rsidRPr="00DC08C3">
        <w:rPr>
          <w:rFonts w:asciiTheme="minorHAnsi" w:hAnsiTheme="minorHAnsi" w:cstheme="minorHAnsi"/>
          <w:b/>
          <w:noProof/>
        </w:rPr>
        <mc:AlternateContent>
          <mc:Choice Requires="wps">
            <w:drawing>
              <wp:anchor distT="0" distB="0" distL="114300" distR="114300" simplePos="0" relativeHeight="251658244" behindDoc="0" locked="0" layoutInCell="1" allowOverlap="1" wp14:anchorId="285C52B2" wp14:editId="260AD408">
                <wp:simplePos x="0" y="0"/>
                <wp:positionH relativeFrom="column">
                  <wp:posOffset>0</wp:posOffset>
                </wp:positionH>
                <wp:positionV relativeFrom="paragraph">
                  <wp:posOffset>-239395</wp:posOffset>
                </wp:positionV>
                <wp:extent cx="6847205" cy="2667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chemeClr val="tx2"/>
                        </a:solidFill>
                        <a:ln w="9525">
                          <a:noFill/>
                          <a:miter lim="800000"/>
                          <a:headEnd/>
                          <a:tailEnd/>
                        </a:ln>
                      </wps:spPr>
                      <wps:txbx>
                        <w:txbxContent>
                          <w:p w14:paraId="3ED1CF46" w14:textId="2879F9F3" w:rsidR="00C44121" w:rsidRPr="005F21FE" w:rsidRDefault="005F21FE" w:rsidP="00C44121">
                            <w:pPr>
                              <w:jc w:val="center"/>
                              <w:rPr>
                                <w:b/>
                                <w:color w:val="FFFFFF" w:themeColor="background1"/>
                              </w:rPr>
                            </w:pPr>
                            <w:r>
                              <w:rPr>
                                <w:b/>
                                <w:color w:val="FFFFFF" w:themeColor="background1"/>
                              </w:rPr>
                              <w:t>Opioid-related Overdose Death Rates</w:t>
                            </w:r>
                            <w:r w:rsidR="00C44121" w:rsidRPr="005F21FE">
                              <w:rPr>
                                <w:b/>
                                <w:color w:val="FFFFFF" w:themeColor="background1"/>
                              </w:rPr>
                              <w:t xml:space="preserve"> by </w:t>
                            </w:r>
                            <w:r w:rsidR="00823614">
                              <w:rPr>
                                <w:b/>
                                <w:color w:val="FFFFFF" w:themeColor="background1"/>
                              </w:rPr>
                              <w:t>Access to Paid Sick Leave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C52B2" id="_x0000_s1044" type="#_x0000_t202" style="position:absolute;left:0;text-align:left;margin-left:0;margin-top:-18.85pt;width:539.15pt;height: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" fillcolor="#1f497d [3215]" stroked="f">
                <v:textbox>
                  <w:txbxContent>
                    <w:p w14:paraId="3ED1CF46" w14:textId="2879F9F3" w:rsidR="00C44121" w:rsidRPr="005F21FE" w:rsidRDefault="005F21FE" w:rsidP="00C44121">
                      <w:pPr>
                        <w:jc w:val="center"/>
                        <w:rPr>
                          <w:b/>
                          <w:color w:val="FFFFFF" w:themeColor="background1"/>
                        </w:rPr>
                      </w:pPr>
                      <w:r>
                        <w:rPr>
                          <w:b/>
                          <w:color w:val="FFFFFF" w:themeColor="background1"/>
                        </w:rPr>
                        <w:t>Opioid-related Overdose Death Rates</w:t>
                      </w:r>
                      <w:r w:rsidR="00C44121" w:rsidRPr="005F21FE">
                        <w:rPr>
                          <w:b/>
                          <w:color w:val="FFFFFF" w:themeColor="background1"/>
                        </w:rPr>
                        <w:t xml:space="preserve"> by </w:t>
                      </w:r>
                      <w:r w:rsidR="00823614">
                        <w:rPr>
                          <w:b/>
                          <w:color w:val="FFFFFF" w:themeColor="background1"/>
                        </w:rPr>
                        <w:t>Access to Paid Sick Leave</w:t>
                      </w:r>
                    </w:p>
                  </w:txbxContent>
                </v:textbox>
              </v:shape>
            </w:pict>
          </mc:Fallback>
        </mc:AlternateContent>
      </w:r>
      <w:r w:rsidRPr="00DC08C3">
        <w:rPr>
          <w:rFonts w:asciiTheme="minorHAnsi" w:hAnsiTheme="minorHAnsi" w:cstheme="minorHAnsi"/>
          <w:b/>
        </w:rPr>
        <w:t>Figure 7. Rate of opioid-related deaths among Massachusetts working-age decedents by percentage of workers by availability of paid sick leave, n=1,736*</w:t>
      </w:r>
    </w:p>
    <w:p w14:paraId="4EDC7896" w14:textId="2914D56F" w:rsidR="00DC08C3" w:rsidRDefault="00DC08C3" w:rsidP="000A0A89">
      <w:pPr>
        <w:widowControl w:val="0"/>
        <w:rPr>
          <w:rFonts w:ascii="Times New Roman" w:hAnsi="Times New Roman"/>
          <w:b/>
          <w:color w:val="194D80"/>
          <w:sz w:val="28"/>
          <w:szCs w:val="28"/>
        </w:rPr>
      </w:pPr>
    </w:p>
    <w:p w14:paraId="17C80496" w14:textId="3CDD6433" w:rsidR="000A0A89" w:rsidRDefault="000A0A89" w:rsidP="000A0A89">
      <w:pPr>
        <w:widowControl w:val="0"/>
        <w:rPr>
          <w:rFonts w:ascii="Times New Roman" w:hAnsi="Times New Roman"/>
          <w:b/>
          <w:color w:val="194D80"/>
          <w:sz w:val="28"/>
          <w:szCs w:val="28"/>
        </w:rPr>
      </w:pPr>
    </w:p>
    <w:p w14:paraId="5BD569E4" w14:textId="604A6314" w:rsidR="001E3AF8" w:rsidRPr="000A0A89" w:rsidRDefault="001E3AF8" w:rsidP="000A0A89">
      <w:pPr>
        <w:widowControl w:val="0"/>
        <w:rPr>
          <w:rFonts w:ascii="Times New Roman" w:hAnsi="Times New Roman"/>
          <w:b/>
          <w:color w:val="194D80"/>
          <w:sz w:val="28"/>
          <w:szCs w:val="28"/>
        </w:rPr>
      </w:pPr>
    </w:p>
    <w:p w14:paraId="3E28AD5D" w14:textId="41A4562F" w:rsidR="004E6812" w:rsidRDefault="004E6812" w:rsidP="004E6812">
      <w:pPr>
        <w:pStyle w:val="ListParagraph"/>
        <w:widowControl w:val="0"/>
        <w:rPr>
          <w:bCs/>
          <w:color w:val="000000" w:themeColor="text1"/>
        </w:rPr>
      </w:pPr>
    </w:p>
    <w:p w14:paraId="484840B6" w14:textId="5260D5D4" w:rsidR="003F4CC3" w:rsidRPr="00DC08C3" w:rsidRDefault="003F4CC3" w:rsidP="00DC08C3">
      <w:pPr>
        <w:widowControl w:val="0"/>
        <w:rPr>
          <w:bCs/>
          <w:color w:val="000000" w:themeColor="text1"/>
        </w:rPr>
      </w:pPr>
    </w:p>
    <w:p w14:paraId="45A0E871" w14:textId="77777777" w:rsidR="003F4CC3" w:rsidRDefault="003F4CC3" w:rsidP="004E6812">
      <w:pPr>
        <w:pStyle w:val="ListParagraph"/>
        <w:widowControl w:val="0"/>
        <w:rPr>
          <w:bCs/>
          <w:color w:val="000000" w:themeColor="text1"/>
        </w:rPr>
      </w:pPr>
    </w:p>
    <w:p w14:paraId="1687196D" w14:textId="77777777" w:rsidR="006D4258" w:rsidRPr="00986582" w:rsidRDefault="006D4258" w:rsidP="006D4258">
      <w:pPr>
        <w:pStyle w:val="ListParagraph"/>
        <w:widowControl w:val="0"/>
        <w:ind w:left="780"/>
        <w:rPr>
          <w:bCs/>
          <w:color w:val="000000" w:themeColor="text1"/>
          <w:sz w:val="6"/>
          <w:szCs w:val="6"/>
        </w:rPr>
      </w:pPr>
    </w:p>
    <w:p w14:paraId="1189FA01" w14:textId="0ED073F0" w:rsidR="00724C10" w:rsidRPr="00D31D0F" w:rsidRDefault="004D12E9" w:rsidP="00181C4B">
      <w:pPr>
        <w:widowControl w:val="0"/>
        <w:rPr>
          <w:bCs/>
          <w:color w:val="000000" w:themeColor="text1"/>
        </w:rPr>
      </w:pPr>
      <w:r w:rsidRPr="00181C4B">
        <w:rPr>
          <w:bCs/>
          <w:color w:val="000000" w:themeColor="text1"/>
        </w:rPr>
        <w:t xml:space="preserve">In Massachusetts, </w:t>
      </w:r>
      <w:r w:rsidRPr="00D31D0F">
        <w:rPr>
          <w:bCs/>
          <w:color w:val="000000" w:themeColor="text1"/>
        </w:rPr>
        <w:t>workers may use sick time if they are injured, ill or have a routine medical appointment.</w:t>
      </w:r>
      <w:r w:rsidR="00A86F11">
        <w:rPr>
          <w:rStyle w:val="FootnoteReference"/>
          <w:bCs/>
          <w:color w:val="000000" w:themeColor="text1"/>
        </w:rPr>
        <w:footnoteReference w:id="9"/>
      </w:r>
      <w:r w:rsidRPr="00D31D0F">
        <w:rPr>
          <w:bCs/>
          <w:color w:val="000000" w:themeColor="text1"/>
        </w:rPr>
        <w:t xml:space="preserve"> They can also use this time for their child, spouse, parent, or spouse’s parent for the same purposes. Additionally, workers may use this time to deal with domestic violence involving themselves </w:t>
      </w:r>
      <w:r w:rsidR="00DD7A7E" w:rsidRPr="00D31D0F">
        <w:rPr>
          <w:bCs/>
          <w:color w:val="000000" w:themeColor="text1"/>
        </w:rPr>
        <w:t xml:space="preserve">or </w:t>
      </w:r>
      <w:r w:rsidRPr="00D31D0F">
        <w:rPr>
          <w:bCs/>
          <w:color w:val="000000" w:themeColor="text1"/>
        </w:rPr>
        <w:t xml:space="preserve">their children. </w:t>
      </w:r>
      <w:r w:rsidR="008878A4" w:rsidRPr="00D31D0F">
        <w:rPr>
          <w:bCs/>
          <w:color w:val="000000" w:themeColor="text1"/>
        </w:rPr>
        <w:t xml:space="preserve">Employers with 11 or more employees must provide </w:t>
      </w:r>
      <w:r w:rsidR="008878A4" w:rsidRPr="00D31D0F">
        <w:rPr>
          <w:b/>
          <w:color w:val="000000" w:themeColor="text1"/>
        </w:rPr>
        <w:t>paid</w:t>
      </w:r>
      <w:r w:rsidR="008878A4" w:rsidRPr="00D31D0F">
        <w:rPr>
          <w:bCs/>
          <w:color w:val="000000" w:themeColor="text1"/>
        </w:rPr>
        <w:t xml:space="preserve"> sick time. Employers with fewer than 11 employees must provide </w:t>
      </w:r>
      <w:r w:rsidR="008878A4" w:rsidRPr="00D31D0F">
        <w:rPr>
          <w:b/>
          <w:color w:val="000000" w:themeColor="text1"/>
        </w:rPr>
        <w:t>earned</w:t>
      </w:r>
      <w:r w:rsidR="008878A4" w:rsidRPr="00D31D0F">
        <w:rPr>
          <w:bCs/>
          <w:color w:val="000000" w:themeColor="text1"/>
        </w:rPr>
        <w:t xml:space="preserve"> s</w:t>
      </w:r>
      <w:r w:rsidR="008625A9" w:rsidRPr="00D31D0F">
        <w:rPr>
          <w:bCs/>
          <w:color w:val="000000" w:themeColor="text1"/>
        </w:rPr>
        <w:t xml:space="preserve">ick time, </w:t>
      </w:r>
      <w:r w:rsidR="008625A9" w:rsidRPr="00D31D0F">
        <w:rPr>
          <w:bCs/>
          <w:i/>
          <w:iCs/>
          <w:color w:val="000000" w:themeColor="text1"/>
        </w:rPr>
        <w:t>but it does not need to be paid</w:t>
      </w:r>
      <w:r w:rsidR="008625A9" w:rsidRPr="00D31D0F">
        <w:rPr>
          <w:bCs/>
          <w:color w:val="000000" w:themeColor="text1"/>
        </w:rPr>
        <w:t>.</w:t>
      </w:r>
      <w:r w:rsidR="0054351A" w:rsidRPr="00D31D0F">
        <w:rPr>
          <w:bCs/>
          <w:color w:val="000000" w:themeColor="text1"/>
        </w:rPr>
        <w:t xml:space="preserve"> </w:t>
      </w:r>
      <w:r w:rsidR="00D47DCD" w:rsidRPr="00D31D0F">
        <w:rPr>
          <w:bCs/>
          <w:color w:val="000000" w:themeColor="text1"/>
        </w:rPr>
        <w:t>Eligibility is not based on the number of hours worked</w:t>
      </w:r>
      <w:r w:rsidR="00F92F78" w:rsidRPr="00D31D0F">
        <w:rPr>
          <w:bCs/>
          <w:color w:val="000000" w:themeColor="text1"/>
        </w:rPr>
        <w:t>; t</w:t>
      </w:r>
      <w:r w:rsidR="008A5D10" w:rsidRPr="00D31D0F">
        <w:rPr>
          <w:bCs/>
          <w:color w:val="000000" w:themeColor="text1"/>
        </w:rPr>
        <w:t xml:space="preserve">he Earned Sick Time Law applies to part-time, full-time, temporary, seasonal, and other employees. </w:t>
      </w:r>
      <w:r w:rsidR="0054351A" w:rsidRPr="00D31D0F">
        <w:rPr>
          <w:bCs/>
          <w:color w:val="000000" w:themeColor="text1"/>
        </w:rPr>
        <w:t xml:space="preserve">The </w:t>
      </w:r>
      <w:r w:rsidR="00394753" w:rsidRPr="00D31D0F">
        <w:rPr>
          <w:bCs/>
          <w:color w:val="000000" w:themeColor="text1"/>
        </w:rPr>
        <w:t>Massachusetts Earned Sick Time Law went into effect in July 2015 and was implemented in 2016.</w:t>
      </w:r>
    </w:p>
    <w:p w14:paraId="5C269604" w14:textId="77777777" w:rsidR="00430432" w:rsidRDefault="00430432" w:rsidP="00430432">
      <w:pPr>
        <w:widowControl w:val="0"/>
        <w:rPr>
          <w:bCs/>
          <w:color w:val="000000" w:themeColor="text1"/>
        </w:rPr>
      </w:pPr>
    </w:p>
    <w:p w14:paraId="751E9837" w14:textId="343F3031" w:rsidR="000F65E3" w:rsidRPr="00D31D0F" w:rsidRDefault="004937A0" w:rsidP="00D31D0F">
      <w:pPr>
        <w:widowControl w:val="0"/>
        <w:rPr>
          <w:rFonts w:eastAsia="Arial"/>
          <w:color w:val="000000" w:themeColor="text1"/>
        </w:rPr>
      </w:pPr>
      <w:r w:rsidRPr="00D31D0F">
        <w:rPr>
          <w:bCs/>
          <w:color w:val="000000" w:themeColor="text1"/>
        </w:rPr>
        <w:t>If paid sick leave is unavailable, a worker may decide to work while in pain, which may increase reliance on pain medication, including opioids</w:t>
      </w:r>
      <w:r w:rsidR="00914A8F" w:rsidRPr="00D31D0F">
        <w:rPr>
          <w:bCs/>
          <w:color w:val="000000" w:themeColor="text1"/>
        </w:rPr>
        <w:t xml:space="preserve">. As shown in Figure 4, </w:t>
      </w:r>
      <w:r w:rsidR="00F418B5" w:rsidRPr="00D31D0F">
        <w:rPr>
          <w:bCs/>
          <w:color w:val="000000" w:themeColor="text1"/>
        </w:rPr>
        <w:t>industry sec</w:t>
      </w:r>
      <w:r w:rsidR="00366E92" w:rsidRPr="00D31D0F">
        <w:rPr>
          <w:bCs/>
          <w:color w:val="000000" w:themeColor="text1"/>
        </w:rPr>
        <w:t xml:space="preserve">tors and </w:t>
      </w:r>
      <w:r w:rsidR="00914A8F" w:rsidRPr="00D31D0F">
        <w:rPr>
          <w:bCs/>
          <w:color w:val="000000" w:themeColor="text1"/>
        </w:rPr>
        <w:t>occupation groups were categorized as having either a high</w:t>
      </w:r>
      <w:r w:rsidR="00C6409C" w:rsidRPr="00D31D0F">
        <w:rPr>
          <w:bCs/>
          <w:color w:val="000000" w:themeColor="text1"/>
        </w:rPr>
        <w:t xml:space="preserve"> </w:t>
      </w:r>
      <w:r w:rsidR="00914A8F" w:rsidRPr="00D31D0F">
        <w:rPr>
          <w:bCs/>
          <w:color w:val="000000" w:themeColor="text1"/>
        </w:rPr>
        <w:t>or low percentage of workers with paid sick leave, based on data</w:t>
      </w:r>
      <w:r w:rsidR="00F56960" w:rsidRPr="00D31D0F">
        <w:rPr>
          <w:bCs/>
          <w:color w:val="000000" w:themeColor="text1"/>
        </w:rPr>
        <w:t xml:space="preserve"> from the </w:t>
      </w:r>
      <w:r w:rsidR="00BD37B8" w:rsidRPr="00D31D0F">
        <w:rPr>
          <w:bCs/>
          <w:color w:val="000000" w:themeColor="text1"/>
        </w:rPr>
        <w:t xml:space="preserve">Massachusetts </w:t>
      </w:r>
      <w:r w:rsidR="0068114A" w:rsidRPr="00D31D0F">
        <w:rPr>
          <w:bCs/>
          <w:color w:val="000000" w:themeColor="text1"/>
        </w:rPr>
        <w:t>COVID</w:t>
      </w:r>
      <w:r w:rsidR="001239A1" w:rsidRPr="00D31D0F">
        <w:rPr>
          <w:bCs/>
          <w:color w:val="000000" w:themeColor="text1"/>
        </w:rPr>
        <w:t>-19</w:t>
      </w:r>
      <w:r w:rsidR="0068114A" w:rsidRPr="00D31D0F">
        <w:rPr>
          <w:bCs/>
          <w:color w:val="000000" w:themeColor="text1"/>
        </w:rPr>
        <w:t xml:space="preserve"> </w:t>
      </w:r>
      <w:r w:rsidR="00E80F13" w:rsidRPr="00D31D0F">
        <w:rPr>
          <w:bCs/>
          <w:color w:val="000000" w:themeColor="text1"/>
        </w:rPr>
        <w:t>Community Impact Survey</w:t>
      </w:r>
      <w:r w:rsidR="00BD37B8" w:rsidRPr="00D31D0F">
        <w:rPr>
          <w:bCs/>
          <w:color w:val="000000" w:themeColor="text1"/>
        </w:rPr>
        <w:t xml:space="preserve"> (CCIS</w:t>
      </w:r>
      <w:r w:rsidR="4472FE8F" w:rsidRPr="00D31D0F">
        <w:rPr>
          <w:color w:val="000000" w:themeColor="text1"/>
        </w:rPr>
        <w:t>)</w:t>
      </w:r>
      <w:r w:rsidRPr="00D31D0F">
        <w:rPr>
          <w:color w:val="000000" w:themeColor="text1"/>
        </w:rPr>
        <w:t>,</w:t>
      </w:r>
      <w:r w:rsidR="009A30A4" w:rsidRPr="00D31D0F">
        <w:rPr>
          <w:bCs/>
          <w:color w:val="000000" w:themeColor="text1"/>
        </w:rPr>
        <w:t xml:space="preserve"> a survey conducted in the fall of 2020 of over 30,000 MA residents, that aimed to </w:t>
      </w:r>
      <w:r w:rsidR="009A1431" w:rsidRPr="00D31D0F">
        <w:rPr>
          <w:bCs/>
          <w:color w:val="000000" w:themeColor="text1"/>
        </w:rPr>
        <w:t>better understand the biggest health needs facing people living in Massachusetts during the pandemic</w:t>
      </w:r>
      <w:r w:rsidR="0009404D" w:rsidRPr="00D31D0F">
        <w:rPr>
          <w:bCs/>
          <w:color w:val="000000" w:themeColor="text1"/>
        </w:rPr>
        <w:t>.</w:t>
      </w:r>
      <w:r w:rsidR="00461AA3">
        <w:rPr>
          <w:rStyle w:val="FootnoteReference"/>
          <w:bCs/>
          <w:color w:val="000000" w:themeColor="text1"/>
        </w:rPr>
        <w:footnoteReference w:id="10"/>
      </w:r>
      <w:r w:rsidR="004678A5" w:rsidRPr="00D31D0F">
        <w:rPr>
          <w:bCs/>
          <w:color w:val="000000" w:themeColor="text1"/>
        </w:rPr>
        <w:t xml:space="preserve"> </w:t>
      </w:r>
      <w:r w:rsidR="00FF63DE" w:rsidRPr="00D31D0F">
        <w:rPr>
          <w:bCs/>
          <w:color w:val="000000" w:themeColor="text1"/>
        </w:rPr>
        <w:t xml:space="preserve">Respondents answered questions about their </w:t>
      </w:r>
      <w:r w:rsidR="00FF63DE" w:rsidRPr="00D31D0F">
        <w:rPr>
          <w:color w:val="000000" w:themeColor="text1"/>
        </w:rPr>
        <w:t xml:space="preserve">industry, </w:t>
      </w:r>
      <w:r w:rsidR="00FF63DE" w:rsidRPr="00D31D0F">
        <w:rPr>
          <w:bCs/>
          <w:color w:val="000000" w:themeColor="text1"/>
        </w:rPr>
        <w:t xml:space="preserve">occupation and availability of paid sick leave. </w:t>
      </w:r>
      <w:r w:rsidR="00303D56" w:rsidRPr="00D31D0F">
        <w:rPr>
          <w:color w:val="000000" w:themeColor="text1"/>
        </w:rPr>
        <w:t>In the CCIS, 82.2% of employed respondents across all industries and 82.5% of employed respondents across all occupations reported having paid sick leave.</w:t>
      </w:r>
      <w:r w:rsidR="00FF63DE" w:rsidRPr="00D31D0F">
        <w:rPr>
          <w:bCs/>
          <w:color w:val="000000" w:themeColor="text1"/>
        </w:rPr>
        <w:t xml:space="preserve"> Based on the</w:t>
      </w:r>
      <w:r w:rsidR="00FF63DE" w:rsidRPr="00D31D0F">
        <w:rPr>
          <w:color w:val="000000" w:themeColor="text1"/>
        </w:rPr>
        <w:t>se averages</w:t>
      </w:r>
      <w:r w:rsidR="3873AD3F" w:rsidRPr="00D31D0F">
        <w:rPr>
          <w:color w:val="000000" w:themeColor="text1"/>
        </w:rPr>
        <w:t>,</w:t>
      </w:r>
      <w:r w:rsidR="00FF63DE" w:rsidRPr="00D31D0F">
        <w:rPr>
          <w:bCs/>
          <w:color w:val="000000" w:themeColor="text1"/>
        </w:rPr>
        <w:t xml:space="preserve"> we </w:t>
      </w:r>
      <w:r w:rsidR="00303D56" w:rsidRPr="00D31D0F">
        <w:rPr>
          <w:bCs/>
          <w:color w:val="000000" w:themeColor="text1"/>
        </w:rPr>
        <w:t xml:space="preserve">classified </w:t>
      </w:r>
      <w:r w:rsidR="007675B6" w:rsidRPr="00D31D0F">
        <w:rPr>
          <w:bCs/>
          <w:color w:val="000000" w:themeColor="text1"/>
        </w:rPr>
        <w:t xml:space="preserve">industry sectors and </w:t>
      </w:r>
      <w:r w:rsidR="00303D56" w:rsidRPr="00D31D0F">
        <w:rPr>
          <w:bCs/>
          <w:color w:val="000000" w:themeColor="text1"/>
        </w:rPr>
        <w:t>occupational groups as having high or low</w:t>
      </w:r>
      <w:r w:rsidR="7B6A2840" w:rsidRPr="00D31D0F">
        <w:rPr>
          <w:color w:val="000000" w:themeColor="text1"/>
        </w:rPr>
        <w:t xml:space="preserve"> </w:t>
      </w:r>
      <w:r w:rsidR="00303D56" w:rsidRPr="00D31D0F">
        <w:rPr>
          <w:bCs/>
          <w:color w:val="000000" w:themeColor="text1"/>
        </w:rPr>
        <w:t xml:space="preserve">paid sick leave availability. </w:t>
      </w:r>
      <w:r w:rsidR="007675B6" w:rsidRPr="00D31D0F">
        <w:rPr>
          <w:bCs/>
          <w:color w:val="000000" w:themeColor="text1"/>
        </w:rPr>
        <w:t>An industry sector was considered to have high availability of paid sick if</w:t>
      </w:r>
      <w:r w:rsidR="00D12EC6" w:rsidRPr="00D31D0F">
        <w:rPr>
          <w:bCs/>
          <w:color w:val="000000" w:themeColor="text1"/>
        </w:rPr>
        <w:t xml:space="preserve"> 82.2% or more of</w:t>
      </w:r>
      <w:r w:rsidR="6BB4AB17" w:rsidRPr="00D31D0F">
        <w:rPr>
          <w:color w:val="000000" w:themeColor="text1"/>
        </w:rPr>
        <w:t xml:space="preserve"> </w:t>
      </w:r>
      <w:r w:rsidR="00D12EC6" w:rsidRPr="00D31D0F">
        <w:rPr>
          <w:bCs/>
          <w:color w:val="000000" w:themeColor="text1"/>
        </w:rPr>
        <w:t>survey respondents within that industry sector</w:t>
      </w:r>
      <w:r w:rsidR="00097086" w:rsidRPr="00D31D0F">
        <w:rPr>
          <w:bCs/>
          <w:color w:val="000000" w:themeColor="text1"/>
        </w:rPr>
        <w:t xml:space="preserve"> reported having access to paid sick leave, while a</w:t>
      </w:r>
      <w:r w:rsidR="004678A5" w:rsidRPr="00D31D0F">
        <w:rPr>
          <w:bCs/>
          <w:color w:val="000000" w:themeColor="text1"/>
        </w:rPr>
        <w:t>n occupation group was considered to have high availab</w:t>
      </w:r>
      <w:r w:rsidR="00882CCE" w:rsidRPr="00D31D0F">
        <w:rPr>
          <w:bCs/>
          <w:color w:val="000000" w:themeColor="text1"/>
        </w:rPr>
        <w:t xml:space="preserve">ility of paid sick leave if 82.5% or more of survey respondents within that occupation group reported having access to paid sick leave. All </w:t>
      </w:r>
      <w:r w:rsidR="00586810" w:rsidRPr="00D31D0F">
        <w:rPr>
          <w:bCs/>
          <w:color w:val="000000" w:themeColor="text1"/>
        </w:rPr>
        <w:t>oth</w:t>
      </w:r>
      <w:r w:rsidR="00882CCE" w:rsidRPr="00D31D0F">
        <w:rPr>
          <w:bCs/>
          <w:color w:val="000000" w:themeColor="text1"/>
        </w:rPr>
        <w:t xml:space="preserve">er </w:t>
      </w:r>
      <w:r w:rsidR="00373954" w:rsidRPr="00D31D0F">
        <w:rPr>
          <w:bCs/>
          <w:color w:val="000000" w:themeColor="text1"/>
        </w:rPr>
        <w:t xml:space="preserve">industry sectors and </w:t>
      </w:r>
      <w:r w:rsidR="00882CCE" w:rsidRPr="00D31D0F">
        <w:rPr>
          <w:bCs/>
          <w:color w:val="000000" w:themeColor="text1"/>
        </w:rPr>
        <w:t>occupation groups were categorized as having low availability of paid sick leave.</w:t>
      </w:r>
      <w:r w:rsidR="008363C5" w:rsidRPr="00D31D0F">
        <w:rPr>
          <w:bCs/>
          <w:color w:val="000000" w:themeColor="text1"/>
        </w:rPr>
        <w:t xml:space="preserve"> </w:t>
      </w:r>
    </w:p>
    <w:p w14:paraId="298DDA56" w14:textId="77777777" w:rsidR="00430432" w:rsidRDefault="00430432" w:rsidP="00430432">
      <w:pPr>
        <w:widowControl w:val="0"/>
        <w:rPr>
          <w:bCs/>
          <w:color w:val="000000" w:themeColor="text1"/>
        </w:rPr>
      </w:pPr>
    </w:p>
    <w:p w14:paraId="1F82FA16" w14:textId="7F0979AD" w:rsidR="00192DAA" w:rsidRPr="00D31D0F" w:rsidRDefault="00882CCE" w:rsidP="002B48FC">
      <w:pPr>
        <w:widowControl w:val="0"/>
        <w:rPr>
          <w:bCs/>
          <w:color w:val="000000" w:themeColor="text1"/>
        </w:rPr>
      </w:pPr>
      <w:r w:rsidRPr="00D31D0F">
        <w:rPr>
          <w:bCs/>
          <w:color w:val="000000" w:themeColor="text1"/>
        </w:rPr>
        <w:t>The o</w:t>
      </w:r>
      <w:r w:rsidR="00192DAA" w:rsidRPr="00D31D0F">
        <w:rPr>
          <w:bCs/>
          <w:color w:val="000000" w:themeColor="text1"/>
        </w:rPr>
        <w:t xml:space="preserve">pioid-related overdose death rates </w:t>
      </w:r>
      <w:r w:rsidR="007C5D81" w:rsidRPr="00D31D0F">
        <w:rPr>
          <w:bCs/>
          <w:color w:val="000000" w:themeColor="text1"/>
        </w:rPr>
        <w:t xml:space="preserve">were </w:t>
      </w:r>
      <w:r w:rsidR="00A44532" w:rsidRPr="00D31D0F">
        <w:rPr>
          <w:bCs/>
          <w:color w:val="000000" w:themeColor="text1"/>
        </w:rPr>
        <w:t xml:space="preserve">4.9 </w:t>
      </w:r>
      <w:r w:rsidR="00776CDC" w:rsidRPr="00D31D0F">
        <w:rPr>
          <w:bCs/>
          <w:color w:val="000000" w:themeColor="text1"/>
        </w:rPr>
        <w:t xml:space="preserve">and 3.5 </w:t>
      </w:r>
      <w:r w:rsidR="00A44532" w:rsidRPr="00D31D0F">
        <w:rPr>
          <w:bCs/>
          <w:color w:val="000000" w:themeColor="text1"/>
        </w:rPr>
        <w:t>time</w:t>
      </w:r>
      <w:r w:rsidR="00776CDC" w:rsidRPr="00D31D0F">
        <w:rPr>
          <w:bCs/>
          <w:color w:val="000000" w:themeColor="text1"/>
        </w:rPr>
        <w:t>s</w:t>
      </w:r>
      <w:r w:rsidR="00A44532" w:rsidRPr="00D31D0F">
        <w:rPr>
          <w:bCs/>
          <w:color w:val="000000" w:themeColor="text1"/>
        </w:rPr>
        <w:t xml:space="preserve"> higher among industry sectors </w:t>
      </w:r>
      <w:r w:rsidR="006D67EF" w:rsidRPr="00D31D0F">
        <w:rPr>
          <w:bCs/>
          <w:color w:val="000000" w:themeColor="text1"/>
        </w:rPr>
        <w:t xml:space="preserve">and </w:t>
      </w:r>
      <w:r w:rsidR="00192DAA" w:rsidRPr="00D31D0F">
        <w:rPr>
          <w:bCs/>
          <w:color w:val="000000" w:themeColor="text1"/>
        </w:rPr>
        <w:t xml:space="preserve">occupation groups with low percentages of workers </w:t>
      </w:r>
      <w:r w:rsidR="003B11A7" w:rsidRPr="00D31D0F">
        <w:rPr>
          <w:bCs/>
          <w:color w:val="000000" w:themeColor="text1"/>
        </w:rPr>
        <w:t>reporting</w:t>
      </w:r>
      <w:r w:rsidR="00192DAA" w:rsidRPr="00D31D0F">
        <w:rPr>
          <w:bCs/>
          <w:color w:val="000000" w:themeColor="text1"/>
        </w:rPr>
        <w:t xml:space="preserve"> paid sick leave </w:t>
      </w:r>
      <w:r w:rsidR="00586810" w:rsidRPr="00D31D0F">
        <w:rPr>
          <w:bCs/>
          <w:color w:val="000000" w:themeColor="text1"/>
        </w:rPr>
        <w:t xml:space="preserve">in the CCIS </w:t>
      </w:r>
      <w:r w:rsidR="00192DAA" w:rsidRPr="00D31D0F">
        <w:rPr>
          <w:bCs/>
          <w:color w:val="000000" w:themeColor="text1"/>
        </w:rPr>
        <w:t xml:space="preserve">compared to </w:t>
      </w:r>
      <w:r w:rsidR="00586810" w:rsidRPr="00D31D0F">
        <w:rPr>
          <w:bCs/>
          <w:color w:val="000000" w:themeColor="text1"/>
        </w:rPr>
        <w:t>those</w:t>
      </w:r>
      <w:r w:rsidR="00192DAA" w:rsidRPr="00D31D0F">
        <w:rPr>
          <w:bCs/>
          <w:color w:val="000000" w:themeColor="text1"/>
        </w:rPr>
        <w:t xml:space="preserve"> with high percentages of workers </w:t>
      </w:r>
      <w:r w:rsidR="00586810" w:rsidRPr="00D31D0F">
        <w:rPr>
          <w:bCs/>
          <w:color w:val="000000" w:themeColor="text1"/>
        </w:rPr>
        <w:t>with</w:t>
      </w:r>
      <w:r w:rsidR="00192DAA" w:rsidRPr="00D31D0F">
        <w:rPr>
          <w:bCs/>
          <w:color w:val="000000" w:themeColor="text1"/>
        </w:rPr>
        <w:t xml:space="preserve"> paid sick leave</w:t>
      </w:r>
      <w:r w:rsidR="00776CDC" w:rsidRPr="00D31D0F">
        <w:rPr>
          <w:bCs/>
          <w:color w:val="000000" w:themeColor="text1"/>
        </w:rPr>
        <w:t>, respectively</w:t>
      </w:r>
      <w:r w:rsidR="00192DAA" w:rsidRPr="00D31D0F">
        <w:rPr>
          <w:bCs/>
          <w:color w:val="000000" w:themeColor="text1"/>
        </w:rPr>
        <w:t>.</w:t>
      </w:r>
    </w:p>
    <w:p w14:paraId="50A9AFAA" w14:textId="49C05BAE" w:rsidR="00C80E36" w:rsidRPr="00D31D0F" w:rsidRDefault="00C80E36" w:rsidP="00D31D0F">
      <w:pPr>
        <w:widowControl w:val="0"/>
        <w:rPr>
          <w:bCs/>
          <w:color w:val="000000" w:themeColor="text1"/>
        </w:rPr>
      </w:pPr>
      <w:r w:rsidRPr="00D31D0F">
        <w:rPr>
          <w:bCs/>
          <w:color w:val="000000" w:themeColor="text1"/>
        </w:rPr>
        <w:lastRenderedPageBreak/>
        <w:t xml:space="preserve">The following </w:t>
      </w:r>
      <w:r w:rsidRPr="00D31D0F">
        <w:rPr>
          <w:b/>
          <w:color w:val="000000" w:themeColor="text1"/>
        </w:rPr>
        <w:t>industry sectors</w:t>
      </w:r>
      <w:r w:rsidRPr="00D31D0F">
        <w:rPr>
          <w:bCs/>
          <w:color w:val="000000" w:themeColor="text1"/>
        </w:rPr>
        <w:t xml:space="preserve"> were categorized as having a low percentage of workers covered by paid sick leave in CCIS: </w:t>
      </w:r>
    </w:p>
    <w:p w14:paraId="154A8CB1" w14:textId="2181285F" w:rsidR="00C80E36" w:rsidRDefault="00CB7348" w:rsidP="00D31D0F">
      <w:pPr>
        <w:pStyle w:val="ListParagraph"/>
        <w:widowControl w:val="0"/>
        <w:numPr>
          <w:ilvl w:val="0"/>
          <w:numId w:val="18"/>
        </w:numPr>
        <w:rPr>
          <w:bCs/>
          <w:color w:val="000000" w:themeColor="text1"/>
        </w:rPr>
      </w:pPr>
      <w:r>
        <w:rPr>
          <w:bCs/>
          <w:color w:val="000000" w:themeColor="text1"/>
        </w:rPr>
        <w:t>Construction</w:t>
      </w:r>
    </w:p>
    <w:p w14:paraId="72F68612" w14:textId="654D3024" w:rsidR="00CB7348" w:rsidRDefault="00CB7348" w:rsidP="00D31D0F">
      <w:pPr>
        <w:pStyle w:val="ListParagraph"/>
        <w:widowControl w:val="0"/>
        <w:numPr>
          <w:ilvl w:val="0"/>
          <w:numId w:val="18"/>
        </w:numPr>
        <w:rPr>
          <w:bCs/>
          <w:color w:val="000000" w:themeColor="text1"/>
        </w:rPr>
      </w:pPr>
      <w:r>
        <w:rPr>
          <w:bCs/>
          <w:color w:val="000000" w:themeColor="text1"/>
        </w:rPr>
        <w:t>Transportation and Warehousing</w:t>
      </w:r>
    </w:p>
    <w:p w14:paraId="5D3CB80F" w14:textId="58351FAD" w:rsidR="00CB7348" w:rsidRDefault="00CB7348" w:rsidP="00D31D0F">
      <w:pPr>
        <w:pStyle w:val="ListParagraph"/>
        <w:widowControl w:val="0"/>
        <w:numPr>
          <w:ilvl w:val="0"/>
          <w:numId w:val="18"/>
        </w:numPr>
        <w:rPr>
          <w:bCs/>
          <w:color w:val="000000" w:themeColor="text1"/>
        </w:rPr>
      </w:pPr>
      <w:r>
        <w:rPr>
          <w:bCs/>
          <w:color w:val="000000" w:themeColor="text1"/>
        </w:rPr>
        <w:t>Administration and Support and Waste Management</w:t>
      </w:r>
      <w:r w:rsidR="002A4AD4">
        <w:rPr>
          <w:bCs/>
          <w:color w:val="000000" w:themeColor="text1"/>
        </w:rPr>
        <w:t xml:space="preserve"> Services</w:t>
      </w:r>
    </w:p>
    <w:p w14:paraId="090D2138" w14:textId="1B0A5D1B" w:rsidR="002A4AD4" w:rsidRDefault="002A4AD4" w:rsidP="00D31D0F">
      <w:pPr>
        <w:pStyle w:val="ListParagraph"/>
        <w:widowControl w:val="0"/>
        <w:numPr>
          <w:ilvl w:val="0"/>
          <w:numId w:val="18"/>
        </w:numPr>
        <w:rPr>
          <w:bCs/>
          <w:color w:val="000000" w:themeColor="text1"/>
        </w:rPr>
      </w:pPr>
      <w:r>
        <w:rPr>
          <w:bCs/>
          <w:color w:val="000000" w:themeColor="text1"/>
        </w:rPr>
        <w:t>Accommodation and Food Services</w:t>
      </w:r>
    </w:p>
    <w:p w14:paraId="77A28702" w14:textId="5089DC12" w:rsidR="002A4AD4" w:rsidRDefault="002A4AD4" w:rsidP="00D31D0F">
      <w:pPr>
        <w:pStyle w:val="ListParagraph"/>
        <w:widowControl w:val="0"/>
        <w:numPr>
          <w:ilvl w:val="0"/>
          <w:numId w:val="18"/>
        </w:numPr>
        <w:rPr>
          <w:bCs/>
          <w:color w:val="000000" w:themeColor="text1"/>
        </w:rPr>
      </w:pPr>
      <w:r>
        <w:rPr>
          <w:bCs/>
          <w:color w:val="000000" w:themeColor="text1"/>
        </w:rPr>
        <w:t>Other Services, except Public Administration</w:t>
      </w:r>
    </w:p>
    <w:p w14:paraId="53CC8A0F" w14:textId="2C9495C3" w:rsidR="002A4AD4" w:rsidRDefault="002A4AD4" w:rsidP="00D31D0F">
      <w:pPr>
        <w:pStyle w:val="ListParagraph"/>
        <w:widowControl w:val="0"/>
        <w:numPr>
          <w:ilvl w:val="0"/>
          <w:numId w:val="18"/>
        </w:numPr>
        <w:rPr>
          <w:bCs/>
          <w:color w:val="000000" w:themeColor="text1"/>
        </w:rPr>
      </w:pPr>
      <w:r>
        <w:rPr>
          <w:bCs/>
          <w:color w:val="000000" w:themeColor="text1"/>
        </w:rPr>
        <w:t>Arts, Enter</w:t>
      </w:r>
      <w:r w:rsidR="00C8549D">
        <w:rPr>
          <w:bCs/>
          <w:color w:val="000000" w:themeColor="text1"/>
        </w:rPr>
        <w:t>tainment, and Recreation</w:t>
      </w:r>
    </w:p>
    <w:p w14:paraId="5B422E35" w14:textId="15CBC06D" w:rsidR="00C8549D" w:rsidRDefault="00C8549D" w:rsidP="00D31D0F">
      <w:pPr>
        <w:pStyle w:val="ListParagraph"/>
        <w:widowControl w:val="0"/>
        <w:numPr>
          <w:ilvl w:val="0"/>
          <w:numId w:val="18"/>
        </w:numPr>
        <w:rPr>
          <w:bCs/>
          <w:color w:val="000000" w:themeColor="text1"/>
        </w:rPr>
      </w:pPr>
      <w:r>
        <w:rPr>
          <w:bCs/>
          <w:color w:val="000000" w:themeColor="text1"/>
        </w:rPr>
        <w:t>Retail Trade</w:t>
      </w:r>
    </w:p>
    <w:p w14:paraId="44A1D955" w14:textId="75BB98F7" w:rsidR="00C8549D" w:rsidRDefault="00C8549D" w:rsidP="00D31D0F">
      <w:pPr>
        <w:pStyle w:val="ListParagraph"/>
        <w:widowControl w:val="0"/>
        <w:numPr>
          <w:ilvl w:val="0"/>
          <w:numId w:val="18"/>
        </w:numPr>
        <w:rPr>
          <w:bCs/>
          <w:color w:val="000000" w:themeColor="text1"/>
        </w:rPr>
      </w:pPr>
      <w:r>
        <w:rPr>
          <w:bCs/>
          <w:color w:val="000000" w:themeColor="text1"/>
        </w:rPr>
        <w:t>Real Estate and Rental and Leasing</w:t>
      </w:r>
    </w:p>
    <w:p w14:paraId="6FC10F4D" w14:textId="77777777" w:rsidR="009276AD" w:rsidRDefault="009276AD" w:rsidP="009276AD">
      <w:pPr>
        <w:widowControl w:val="0"/>
        <w:rPr>
          <w:bCs/>
          <w:color w:val="000000" w:themeColor="text1"/>
        </w:rPr>
      </w:pPr>
    </w:p>
    <w:p w14:paraId="00DC4355" w14:textId="3D9DF4B1" w:rsidR="000E5BE1" w:rsidRPr="00D31D0F" w:rsidRDefault="00B071B2" w:rsidP="00D31D0F">
      <w:pPr>
        <w:widowControl w:val="0"/>
        <w:rPr>
          <w:bCs/>
          <w:color w:val="000000" w:themeColor="text1"/>
        </w:rPr>
      </w:pPr>
      <w:r w:rsidRPr="00D31D0F">
        <w:rPr>
          <w:bCs/>
          <w:color w:val="000000" w:themeColor="text1"/>
        </w:rPr>
        <w:t xml:space="preserve">The following </w:t>
      </w:r>
      <w:r w:rsidRPr="00D31D0F">
        <w:rPr>
          <w:b/>
          <w:color w:val="000000" w:themeColor="text1"/>
        </w:rPr>
        <w:t>occupation groups</w:t>
      </w:r>
      <w:r w:rsidRPr="00D31D0F">
        <w:rPr>
          <w:bCs/>
          <w:color w:val="000000" w:themeColor="text1"/>
        </w:rPr>
        <w:t xml:space="preserve"> </w:t>
      </w:r>
      <w:r w:rsidR="00F85258" w:rsidRPr="00D31D0F">
        <w:rPr>
          <w:bCs/>
          <w:color w:val="000000" w:themeColor="text1"/>
        </w:rPr>
        <w:t>were categorized as having a low percentage of workers covered by paid sick leave</w:t>
      </w:r>
      <w:r w:rsidR="007D05B7" w:rsidRPr="00D31D0F">
        <w:rPr>
          <w:bCs/>
          <w:color w:val="000000" w:themeColor="text1"/>
        </w:rPr>
        <w:t xml:space="preserve"> in the CCIS</w:t>
      </w:r>
      <w:r w:rsidR="00F85258" w:rsidRPr="00D31D0F">
        <w:rPr>
          <w:bCs/>
          <w:color w:val="000000" w:themeColor="text1"/>
        </w:rPr>
        <w:t>:</w:t>
      </w:r>
    </w:p>
    <w:p w14:paraId="70B5C07F" w14:textId="29DDFAA2" w:rsidR="00F85258" w:rsidRDefault="001D5AC8" w:rsidP="00D31D0F">
      <w:pPr>
        <w:pStyle w:val="ListParagraph"/>
        <w:widowControl w:val="0"/>
        <w:numPr>
          <w:ilvl w:val="0"/>
          <w:numId w:val="18"/>
        </w:numPr>
        <w:rPr>
          <w:bCs/>
          <w:color w:val="000000" w:themeColor="text1"/>
        </w:rPr>
      </w:pPr>
      <w:r>
        <w:rPr>
          <w:bCs/>
          <w:color w:val="000000" w:themeColor="text1"/>
        </w:rPr>
        <w:t xml:space="preserve">Construction and </w:t>
      </w:r>
      <w:r w:rsidR="00070810">
        <w:rPr>
          <w:bCs/>
          <w:color w:val="000000" w:themeColor="text1"/>
        </w:rPr>
        <w:t>E</w:t>
      </w:r>
      <w:r>
        <w:rPr>
          <w:bCs/>
          <w:color w:val="000000" w:themeColor="text1"/>
        </w:rPr>
        <w:t>xtraction</w:t>
      </w:r>
    </w:p>
    <w:p w14:paraId="7CF530E6" w14:textId="7BBD5284" w:rsidR="001D5AC8" w:rsidRDefault="001D5AC8" w:rsidP="00D31D0F">
      <w:pPr>
        <w:pStyle w:val="ListParagraph"/>
        <w:widowControl w:val="0"/>
        <w:numPr>
          <w:ilvl w:val="0"/>
          <w:numId w:val="18"/>
        </w:numPr>
        <w:rPr>
          <w:bCs/>
          <w:color w:val="000000" w:themeColor="text1"/>
        </w:rPr>
      </w:pPr>
      <w:r>
        <w:rPr>
          <w:bCs/>
          <w:color w:val="000000" w:themeColor="text1"/>
        </w:rPr>
        <w:t>Production</w:t>
      </w:r>
    </w:p>
    <w:p w14:paraId="1096A46C" w14:textId="7304E30C" w:rsidR="00AE40F7" w:rsidRDefault="001D5AC8" w:rsidP="00D31D0F">
      <w:pPr>
        <w:pStyle w:val="ListParagraph"/>
        <w:widowControl w:val="0"/>
        <w:numPr>
          <w:ilvl w:val="0"/>
          <w:numId w:val="18"/>
        </w:numPr>
        <w:rPr>
          <w:bCs/>
          <w:color w:val="000000" w:themeColor="text1"/>
        </w:rPr>
      </w:pPr>
      <w:r>
        <w:rPr>
          <w:bCs/>
          <w:color w:val="000000" w:themeColor="text1"/>
        </w:rPr>
        <w:t>Transportation and</w:t>
      </w:r>
      <w:r w:rsidR="00AE40F7">
        <w:rPr>
          <w:bCs/>
          <w:color w:val="000000" w:themeColor="text1"/>
        </w:rPr>
        <w:t xml:space="preserve"> </w:t>
      </w:r>
      <w:r w:rsidR="00070810">
        <w:rPr>
          <w:bCs/>
          <w:color w:val="000000" w:themeColor="text1"/>
        </w:rPr>
        <w:t>M</w:t>
      </w:r>
      <w:r w:rsidR="00AE40F7">
        <w:rPr>
          <w:bCs/>
          <w:color w:val="000000" w:themeColor="text1"/>
        </w:rPr>
        <w:t xml:space="preserve">aterial </w:t>
      </w:r>
      <w:r w:rsidR="00070810">
        <w:rPr>
          <w:bCs/>
          <w:color w:val="000000" w:themeColor="text1"/>
        </w:rPr>
        <w:t>M</w:t>
      </w:r>
      <w:r w:rsidR="00AE40F7">
        <w:rPr>
          <w:bCs/>
          <w:color w:val="000000" w:themeColor="text1"/>
        </w:rPr>
        <w:t>oving</w:t>
      </w:r>
    </w:p>
    <w:p w14:paraId="19C350E0" w14:textId="0E78B749" w:rsidR="00AE40F7" w:rsidRDefault="00AE40F7" w:rsidP="00D31D0F">
      <w:pPr>
        <w:pStyle w:val="ListParagraph"/>
        <w:widowControl w:val="0"/>
        <w:numPr>
          <w:ilvl w:val="0"/>
          <w:numId w:val="18"/>
        </w:numPr>
        <w:rPr>
          <w:bCs/>
          <w:color w:val="000000" w:themeColor="text1"/>
        </w:rPr>
      </w:pPr>
      <w:r>
        <w:rPr>
          <w:bCs/>
          <w:color w:val="000000" w:themeColor="text1"/>
        </w:rPr>
        <w:t xml:space="preserve">Arts, </w:t>
      </w:r>
      <w:r w:rsidR="00070810">
        <w:rPr>
          <w:bCs/>
          <w:color w:val="000000" w:themeColor="text1"/>
        </w:rPr>
        <w:t>D</w:t>
      </w:r>
      <w:r>
        <w:rPr>
          <w:bCs/>
          <w:color w:val="000000" w:themeColor="text1"/>
        </w:rPr>
        <w:t xml:space="preserve">esign, </w:t>
      </w:r>
      <w:r w:rsidR="00070810">
        <w:rPr>
          <w:bCs/>
          <w:color w:val="000000" w:themeColor="text1"/>
        </w:rPr>
        <w:t>E</w:t>
      </w:r>
      <w:r>
        <w:rPr>
          <w:bCs/>
          <w:color w:val="000000" w:themeColor="text1"/>
        </w:rPr>
        <w:t xml:space="preserve">ntertainment, </w:t>
      </w:r>
      <w:r w:rsidR="00070810">
        <w:rPr>
          <w:bCs/>
          <w:color w:val="000000" w:themeColor="text1"/>
        </w:rPr>
        <w:t>S</w:t>
      </w:r>
      <w:r>
        <w:rPr>
          <w:bCs/>
          <w:color w:val="000000" w:themeColor="text1"/>
        </w:rPr>
        <w:t xml:space="preserve">ports, and </w:t>
      </w:r>
      <w:r w:rsidR="00070810">
        <w:rPr>
          <w:bCs/>
          <w:color w:val="000000" w:themeColor="text1"/>
        </w:rPr>
        <w:t>M</w:t>
      </w:r>
      <w:r>
        <w:rPr>
          <w:bCs/>
          <w:color w:val="000000" w:themeColor="text1"/>
        </w:rPr>
        <w:t>edia</w:t>
      </w:r>
    </w:p>
    <w:p w14:paraId="64646A79" w14:textId="1145BF6D" w:rsidR="008154BD" w:rsidRPr="00AE40F7" w:rsidRDefault="00AE40F7" w:rsidP="00D31D0F">
      <w:pPr>
        <w:pStyle w:val="ListParagraph"/>
        <w:widowControl w:val="0"/>
        <w:numPr>
          <w:ilvl w:val="0"/>
          <w:numId w:val="18"/>
        </w:numPr>
        <w:rPr>
          <w:bCs/>
          <w:color w:val="000000" w:themeColor="text1"/>
        </w:rPr>
      </w:pPr>
      <w:r w:rsidRPr="00AE40F7">
        <w:rPr>
          <w:bCs/>
        </w:rPr>
        <w:t xml:space="preserve">Building and </w:t>
      </w:r>
      <w:r w:rsidR="00070810">
        <w:rPr>
          <w:bCs/>
        </w:rPr>
        <w:t>G</w:t>
      </w:r>
      <w:r w:rsidRPr="00AE40F7">
        <w:rPr>
          <w:bCs/>
        </w:rPr>
        <w:t xml:space="preserve">rounds </w:t>
      </w:r>
      <w:r w:rsidR="00070810">
        <w:rPr>
          <w:bCs/>
        </w:rPr>
        <w:t>C</w:t>
      </w:r>
      <w:r w:rsidRPr="00AE40F7">
        <w:rPr>
          <w:bCs/>
        </w:rPr>
        <w:t xml:space="preserve">leaning and </w:t>
      </w:r>
      <w:r w:rsidR="00070810">
        <w:rPr>
          <w:bCs/>
        </w:rPr>
        <w:t>M</w:t>
      </w:r>
      <w:r w:rsidRPr="00AE40F7">
        <w:rPr>
          <w:bCs/>
        </w:rPr>
        <w:t>aintenance</w:t>
      </w:r>
    </w:p>
    <w:p w14:paraId="162803A0" w14:textId="55BD23C9" w:rsidR="00AE40F7" w:rsidRPr="00AE40F7" w:rsidRDefault="00AE40F7" w:rsidP="00D31D0F">
      <w:pPr>
        <w:pStyle w:val="ListParagraph"/>
        <w:widowControl w:val="0"/>
        <w:numPr>
          <w:ilvl w:val="0"/>
          <w:numId w:val="18"/>
        </w:numPr>
        <w:rPr>
          <w:bCs/>
          <w:color w:val="000000" w:themeColor="text1"/>
        </w:rPr>
      </w:pPr>
      <w:r>
        <w:rPr>
          <w:bCs/>
        </w:rPr>
        <w:t xml:space="preserve">Sales and </w:t>
      </w:r>
      <w:r w:rsidR="00070810">
        <w:rPr>
          <w:bCs/>
        </w:rPr>
        <w:t>R</w:t>
      </w:r>
      <w:r>
        <w:rPr>
          <w:bCs/>
        </w:rPr>
        <w:t>elated</w:t>
      </w:r>
    </w:p>
    <w:p w14:paraId="69064518" w14:textId="6C787683" w:rsidR="00AE40F7" w:rsidRPr="00AE40F7" w:rsidRDefault="00AE40F7" w:rsidP="00D31D0F">
      <w:pPr>
        <w:pStyle w:val="ListParagraph"/>
        <w:widowControl w:val="0"/>
        <w:numPr>
          <w:ilvl w:val="0"/>
          <w:numId w:val="18"/>
        </w:numPr>
        <w:rPr>
          <w:bCs/>
          <w:color w:val="000000" w:themeColor="text1"/>
        </w:rPr>
      </w:pPr>
      <w:r>
        <w:rPr>
          <w:bCs/>
        </w:rPr>
        <w:t xml:space="preserve">Healthcare </w:t>
      </w:r>
      <w:r w:rsidR="00070810">
        <w:rPr>
          <w:bCs/>
        </w:rPr>
        <w:t>S</w:t>
      </w:r>
      <w:r>
        <w:rPr>
          <w:bCs/>
        </w:rPr>
        <w:t>upport</w:t>
      </w:r>
    </w:p>
    <w:p w14:paraId="5E08FC59" w14:textId="522B119E" w:rsidR="00AE40F7" w:rsidRPr="00AE40F7" w:rsidRDefault="00AE40F7" w:rsidP="00D31D0F">
      <w:pPr>
        <w:pStyle w:val="ListParagraph"/>
        <w:widowControl w:val="0"/>
        <w:numPr>
          <w:ilvl w:val="0"/>
          <w:numId w:val="18"/>
        </w:numPr>
        <w:rPr>
          <w:bCs/>
          <w:color w:val="000000" w:themeColor="text1"/>
        </w:rPr>
      </w:pPr>
      <w:r>
        <w:rPr>
          <w:bCs/>
        </w:rPr>
        <w:t xml:space="preserve">Food </w:t>
      </w:r>
      <w:r w:rsidR="00070810">
        <w:rPr>
          <w:bCs/>
        </w:rPr>
        <w:t>P</w:t>
      </w:r>
      <w:r>
        <w:rPr>
          <w:bCs/>
        </w:rPr>
        <w:t xml:space="preserve">reparation and </w:t>
      </w:r>
      <w:r w:rsidR="00070810">
        <w:rPr>
          <w:bCs/>
        </w:rPr>
        <w:t>S</w:t>
      </w:r>
      <w:r>
        <w:rPr>
          <w:bCs/>
        </w:rPr>
        <w:t xml:space="preserve">erving </w:t>
      </w:r>
      <w:r w:rsidR="00070810">
        <w:rPr>
          <w:bCs/>
        </w:rPr>
        <w:t>R</w:t>
      </w:r>
      <w:r>
        <w:rPr>
          <w:bCs/>
        </w:rPr>
        <w:t>elated</w:t>
      </w:r>
    </w:p>
    <w:p w14:paraId="06C92715" w14:textId="500D005E" w:rsidR="00AE40F7" w:rsidRPr="00AE40F7" w:rsidRDefault="00AE40F7" w:rsidP="00D31D0F">
      <w:pPr>
        <w:pStyle w:val="ListParagraph"/>
        <w:widowControl w:val="0"/>
        <w:numPr>
          <w:ilvl w:val="0"/>
          <w:numId w:val="18"/>
        </w:numPr>
        <w:rPr>
          <w:bCs/>
          <w:color w:val="000000" w:themeColor="text1"/>
        </w:rPr>
      </w:pPr>
      <w:r>
        <w:rPr>
          <w:bCs/>
        </w:rPr>
        <w:t xml:space="preserve">Personal </w:t>
      </w:r>
      <w:r w:rsidR="00070810">
        <w:rPr>
          <w:bCs/>
        </w:rPr>
        <w:t>C</w:t>
      </w:r>
      <w:r>
        <w:rPr>
          <w:bCs/>
        </w:rPr>
        <w:t xml:space="preserve">are and </w:t>
      </w:r>
      <w:r w:rsidR="00070810">
        <w:rPr>
          <w:bCs/>
        </w:rPr>
        <w:t>S</w:t>
      </w:r>
      <w:r>
        <w:rPr>
          <w:bCs/>
        </w:rPr>
        <w:t>ervice</w:t>
      </w:r>
    </w:p>
    <w:p w14:paraId="76DE98C3" w14:textId="2A363B44" w:rsidR="00AE40F7" w:rsidRPr="00DC404A" w:rsidRDefault="00AE40F7" w:rsidP="00D31D0F">
      <w:pPr>
        <w:pStyle w:val="ListParagraph"/>
        <w:widowControl w:val="0"/>
        <w:numPr>
          <w:ilvl w:val="0"/>
          <w:numId w:val="18"/>
        </w:numPr>
        <w:rPr>
          <w:bCs/>
          <w:color w:val="000000" w:themeColor="text1"/>
        </w:rPr>
      </w:pPr>
      <w:r>
        <w:rPr>
          <w:bCs/>
        </w:rPr>
        <w:t xml:space="preserve">Education, </w:t>
      </w:r>
      <w:r w:rsidR="00070810">
        <w:rPr>
          <w:bCs/>
        </w:rPr>
        <w:t>T</w:t>
      </w:r>
      <w:r>
        <w:rPr>
          <w:bCs/>
        </w:rPr>
        <w:t>raining, and</w:t>
      </w:r>
      <w:r w:rsidR="00DC404A">
        <w:rPr>
          <w:bCs/>
        </w:rPr>
        <w:t xml:space="preserve"> </w:t>
      </w:r>
      <w:r w:rsidR="00070810">
        <w:rPr>
          <w:bCs/>
        </w:rPr>
        <w:t>L</w:t>
      </w:r>
      <w:r w:rsidR="00DC404A">
        <w:rPr>
          <w:bCs/>
        </w:rPr>
        <w:t>ibrary</w:t>
      </w:r>
    </w:p>
    <w:p w14:paraId="049D6E0E" w14:textId="77777777" w:rsidR="00DC404A" w:rsidRDefault="00DC404A" w:rsidP="00DC404A">
      <w:pPr>
        <w:pStyle w:val="ListParagraph"/>
        <w:widowControl w:val="0"/>
        <w:ind w:left="1500"/>
        <w:rPr>
          <w:bCs/>
        </w:rPr>
      </w:pPr>
    </w:p>
    <w:p w14:paraId="034EAB4F" w14:textId="77777777" w:rsidR="00DC404A" w:rsidRDefault="00DC404A" w:rsidP="00DC404A">
      <w:pPr>
        <w:pStyle w:val="ListParagraph"/>
        <w:widowControl w:val="0"/>
        <w:ind w:left="1500"/>
        <w:rPr>
          <w:bCs/>
        </w:rPr>
      </w:pPr>
    </w:p>
    <w:p w14:paraId="499E941E" w14:textId="181B6121" w:rsidR="00726C71" w:rsidRDefault="00726C71" w:rsidP="00726C71">
      <w:r w:rsidRPr="00726C71">
        <w:rPr>
          <w:noProof/>
        </w:rPr>
        <mc:AlternateContent>
          <mc:Choice Requires="wps">
            <w:drawing>
              <wp:anchor distT="0" distB="0" distL="114300" distR="114300" simplePos="0" relativeHeight="251658241" behindDoc="0" locked="0" layoutInCell="1" allowOverlap="1" wp14:anchorId="4839A21A" wp14:editId="789D695D">
                <wp:simplePos x="0" y="0"/>
                <wp:positionH relativeFrom="column">
                  <wp:posOffset>0</wp:posOffset>
                </wp:positionH>
                <wp:positionV relativeFrom="paragraph">
                  <wp:posOffset>0</wp:posOffset>
                </wp:positionV>
                <wp:extent cx="6847205" cy="2667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chemeClr val="tx2"/>
                        </a:solidFill>
                        <a:ln w="9525">
                          <a:noFill/>
                          <a:miter lim="800000"/>
                          <a:headEnd/>
                          <a:tailEnd/>
                        </a:ln>
                      </wps:spPr>
                      <wps:txbx>
                        <w:txbxContent>
                          <w:p w14:paraId="1DA38897" w14:textId="22F009BA" w:rsidR="00726C71" w:rsidRPr="005F21FE" w:rsidRDefault="00726C71" w:rsidP="00726C71">
                            <w:pPr>
                              <w:jc w:val="center"/>
                              <w:rPr>
                                <w:b/>
                                <w:color w:val="FFFFFF" w:themeColor="background1"/>
                              </w:rPr>
                            </w:pPr>
                            <w:r w:rsidRPr="005F21FE">
                              <w:rPr>
                                <w:b/>
                                <w:color w:val="FFFFFF" w:themeColor="background1"/>
                              </w:rPr>
                              <w:t>Methods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9A21A" id="_x0000_s1044" type="#_x0000_t202" style="position:absolute;margin-left:0;margin-top:0;width:539.1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" fillcolor="#1f497d [3215]" stroked="f">
                <v:textbox>
                  <w:txbxContent>
                    <w:p w14:paraId="1DA38897" w14:textId="22F009BA" w:rsidR="00726C71" w:rsidRPr="005F21FE" w:rsidRDefault="00726C71" w:rsidP="00726C71">
                      <w:pPr>
                        <w:jc w:val="center"/>
                        <w:rPr>
                          <w:b/>
                          <w:color w:val="FFFFFF" w:themeColor="background1"/>
                        </w:rPr>
                      </w:pPr>
                      <w:r w:rsidRPr="005F21FE">
                        <w:rPr>
                          <w:b/>
                          <w:color w:val="FFFFFF" w:themeColor="background1"/>
                        </w:rPr>
                        <w:t>Methods</w:t>
                      </w:r>
                    </w:p>
                  </w:txbxContent>
                </v:textbox>
              </v:shape>
            </w:pict>
          </mc:Fallback>
        </mc:AlternateContent>
      </w:r>
    </w:p>
    <w:p w14:paraId="66816BA4" w14:textId="481A93B6" w:rsidR="00D52811" w:rsidRDefault="00D52811" w:rsidP="00D52811">
      <w:pPr>
        <w:jc w:val="right"/>
      </w:pPr>
    </w:p>
    <w:p w14:paraId="3EA19A10" w14:textId="7A9423C9" w:rsidR="001225B6" w:rsidRDefault="001F3312" w:rsidP="001225B6">
      <w:r>
        <w:t>Opioid-related overdose deaths were identified by the causes of</w:t>
      </w:r>
      <w:r w:rsidR="009A2581">
        <w:t xml:space="preserve"> death listed on death certificates, which were available electronically through a file provided by the Massachusetts Registry</w:t>
      </w:r>
      <w:r w:rsidR="00EB04C2">
        <w:t xml:space="preserve"> of Vital Records</w:t>
      </w:r>
      <w:r w:rsidR="00E20017">
        <w:t>. The following</w:t>
      </w:r>
      <w:r w:rsidR="002438CD">
        <w:t xml:space="preserve"> International Classification of Diseases – 10</w:t>
      </w:r>
      <w:r w:rsidR="002438CD" w:rsidRPr="002438CD">
        <w:rPr>
          <w:vertAlign w:val="superscript"/>
        </w:rPr>
        <w:t>th</w:t>
      </w:r>
      <w:r w:rsidR="002438CD">
        <w:t xml:space="preserve"> edition (ICD-10) codes were selected from the underlying cause of death field to identify all fatal poi</w:t>
      </w:r>
      <w:r w:rsidR="00A90A18">
        <w:t>sonings/overdoses, regardless of intent: X40-X49 (unintentional), X60-X69 (self-harm/suicide), X85-X90 &amp; Y35.2 (assault/homicide</w:t>
      </w:r>
      <w:r w:rsidR="00F30D5C">
        <w:t xml:space="preserve">/other) and Y10-Y19 (undetermined intent). Additionally, multiple cause of death fields </w:t>
      </w:r>
      <w:proofErr w:type="gramStart"/>
      <w:r w:rsidR="00F30D5C">
        <w:t>were</w:t>
      </w:r>
      <w:proofErr w:type="gramEnd"/>
      <w:r w:rsidR="00F30D5C">
        <w:t xml:space="preserve"> searched to identify fatal poisonings in which the substance involved was an opioid: T40.0</w:t>
      </w:r>
      <w:r w:rsidR="00F339A6">
        <w:t xml:space="preserve"> (opium), T40.1 (heroin), T40.2 (other opioids), T40.3 (methadone), T40.4) (synthetic narcotics), and T40.6</w:t>
      </w:r>
      <w:r w:rsidR="00645134">
        <w:t xml:space="preserve"> (other unspecified narcotics).</w:t>
      </w:r>
      <w:r w:rsidR="00AB551F">
        <w:t xml:space="preserve"> Additional information obtained from the death certificates included decedent’s age, sex. Race/ethnicity, residence, and usual industry and occupation. </w:t>
      </w:r>
      <w:r w:rsidR="00F37E66">
        <w:t xml:space="preserve">Occupation describes the kind of work and individual does to earn a living (i.e., job title), while industry describes the activities the </w:t>
      </w:r>
      <w:r w:rsidR="00402535">
        <w:t>individual’s</w:t>
      </w:r>
      <w:r w:rsidR="00F37E66">
        <w:t xml:space="preserve"> employer is engaged in. </w:t>
      </w:r>
      <w:r w:rsidR="002E229B">
        <w:t>Using the National Institute for Occupational Safety and Health Industry and Occupation Computerized Coding System (NIOCCS), industry and occupation were assigned North American Industry Classification System (NAICS) codes and the Standard Occupation Classification System (SOC) codes, respectively</w:t>
      </w:r>
      <w:r w:rsidR="006402DA">
        <w:t xml:space="preserve">, and were further classified by manual review. </w:t>
      </w:r>
      <w:r w:rsidR="00337F89">
        <w:t xml:space="preserve">Since </w:t>
      </w:r>
      <w:r w:rsidR="00481EE4">
        <w:t>this analysis</w:t>
      </w:r>
      <w:r w:rsidR="00337F89">
        <w:t xml:space="preserve"> focuses on </w:t>
      </w:r>
      <w:r w:rsidR="00900DCA">
        <w:t xml:space="preserve">working-age </w:t>
      </w:r>
      <w:r w:rsidR="00337F89">
        <w:t>Massachusetts residents who are employed, deaths among out-of-state residents</w:t>
      </w:r>
      <w:r w:rsidR="000451E3">
        <w:t xml:space="preserve">, individuals not in the workforce either because they were homemakers, unemployed or had never been employed, unable to work due to disability or another reason, </w:t>
      </w:r>
      <w:r w:rsidR="00C35214">
        <w:t xml:space="preserve">or </w:t>
      </w:r>
      <w:r w:rsidR="000451E3">
        <w:t xml:space="preserve">were </w:t>
      </w:r>
      <w:r w:rsidR="00C35214">
        <w:t xml:space="preserve">students were excluded. Additionally, </w:t>
      </w:r>
      <w:r w:rsidR="000E50D1">
        <w:t>deaths were excluded if death certificates lacked enough information to code either industry or occupation</w:t>
      </w:r>
      <w:r w:rsidR="00481EE4">
        <w:t>.</w:t>
      </w:r>
    </w:p>
    <w:p w14:paraId="42AFA94C" w14:textId="67FEAF09" w:rsidR="006402DA" w:rsidRDefault="006402DA" w:rsidP="001225B6"/>
    <w:p w14:paraId="590493D4" w14:textId="317CC766" w:rsidR="00552917" w:rsidRPr="00552917" w:rsidRDefault="006402DA" w:rsidP="00552917">
      <w:r>
        <w:t>The distribution and rate of opioid-related overdose deaths among</w:t>
      </w:r>
      <w:r w:rsidR="009A69AB">
        <w:t xml:space="preserve"> working-age</w:t>
      </w:r>
      <w:r>
        <w:t xml:space="preserve"> Massachusetts residents w</w:t>
      </w:r>
      <w:r w:rsidR="00F958BF">
        <w:t>as presented by industry and occupation</w:t>
      </w:r>
      <w:r w:rsidR="001A23C6">
        <w:t xml:space="preserve">. </w:t>
      </w:r>
      <w:r w:rsidR="00171155">
        <w:t>For</w:t>
      </w:r>
      <w:r w:rsidR="00417149">
        <w:t xml:space="preserve"> 2018-2019</w:t>
      </w:r>
      <w:r w:rsidR="0091161C">
        <w:t>, two-year average annual</w:t>
      </w:r>
      <w:r w:rsidR="00171155">
        <w:t xml:space="preserve"> opioid-related overdose death rates and for 2020, one-year </w:t>
      </w:r>
      <w:r w:rsidR="0098127A">
        <w:t xml:space="preserve">average </w:t>
      </w:r>
      <w:r w:rsidR="00171155">
        <w:t>a</w:t>
      </w:r>
      <w:r w:rsidR="008A1CCE">
        <w:t>nnual o</w:t>
      </w:r>
      <w:r w:rsidR="001D2BF4">
        <w:t xml:space="preserve">pioid-related overdose death rates </w:t>
      </w:r>
      <w:r w:rsidR="00A74DA3">
        <w:t xml:space="preserve">among </w:t>
      </w:r>
      <w:r w:rsidR="00CB57E5">
        <w:rPr>
          <w:bCs/>
        </w:rPr>
        <w:t>working-age decedents</w:t>
      </w:r>
      <w:r w:rsidR="00CB57E5" w:rsidRPr="00D1189A">
        <w:rPr>
          <w:bCs/>
        </w:rPr>
        <w:t xml:space="preserve"> </w:t>
      </w:r>
      <w:r w:rsidR="00A74DA3">
        <w:t>were calculated as the number of deaths per 100,000 workers. 95%</w:t>
      </w:r>
      <w:r w:rsidR="003F5E07">
        <w:t xml:space="preserve"> confidence intervals were calculated for all rates.</w:t>
      </w:r>
      <w:r w:rsidR="006F0CF4">
        <w:t xml:space="preserve"> </w:t>
      </w:r>
      <w:r w:rsidR="000C1847">
        <w:t>For brevity</w:t>
      </w:r>
      <w:r w:rsidR="006D2F88">
        <w:t xml:space="preserve"> in this data brief, all average annual rates, whether two-year or one-year</w:t>
      </w:r>
      <w:r w:rsidR="00A74051">
        <w:t xml:space="preserve">, are referred to as just rates. </w:t>
      </w:r>
      <w:r w:rsidR="00A82210">
        <w:t>Joinpoint regression was used to identify segments of time when the rate of opioid-related overdose deaths</w:t>
      </w:r>
      <w:r w:rsidR="001F6D56">
        <w:t xml:space="preserve"> among M</w:t>
      </w:r>
      <w:r w:rsidR="009A69AB">
        <w:t>assachusetts</w:t>
      </w:r>
      <w:r w:rsidR="001F6D56">
        <w:t xml:space="preserve"> </w:t>
      </w:r>
      <w:r w:rsidR="00CB57E5">
        <w:rPr>
          <w:bCs/>
        </w:rPr>
        <w:t>working-age decedents</w:t>
      </w:r>
      <w:r w:rsidR="00CB57E5" w:rsidRPr="00D1189A">
        <w:rPr>
          <w:bCs/>
        </w:rPr>
        <w:t xml:space="preserve"> </w:t>
      </w:r>
      <w:r w:rsidR="001F6D56">
        <w:t xml:space="preserve">changed from 2011 to 2020. </w:t>
      </w:r>
      <w:r w:rsidR="006F0CF4">
        <w:t xml:space="preserve">Data on the </w:t>
      </w:r>
      <w:r w:rsidR="007C04BC">
        <w:t xml:space="preserve">average </w:t>
      </w:r>
      <w:r w:rsidR="00067488">
        <w:t xml:space="preserve">annual number of workers employed in Massachusetts </w:t>
      </w:r>
      <w:r w:rsidR="003B767A">
        <w:t xml:space="preserve">between 2011 and </w:t>
      </w:r>
      <w:r w:rsidR="00067488">
        <w:t xml:space="preserve">2020 were obtained from the American Community Survey, </w:t>
      </w:r>
      <w:r w:rsidR="003B767A">
        <w:t>2011-</w:t>
      </w:r>
      <w:r w:rsidR="00067488">
        <w:t>2020 and served as the denominator</w:t>
      </w:r>
      <w:r w:rsidR="00FA6CD4">
        <w:t xml:space="preserve"> for rates</w:t>
      </w:r>
      <w:r w:rsidR="00DC4882">
        <w:t xml:space="preserve">. </w:t>
      </w:r>
    </w:p>
    <w:p w14:paraId="6C32524F" w14:textId="77777777" w:rsidR="001B0A26" w:rsidRDefault="001B0A26" w:rsidP="00E55EFC"/>
    <w:p w14:paraId="06CC20AB" w14:textId="391C14B1" w:rsidR="00E55EFC" w:rsidRDefault="00DC404C" w:rsidP="00E55EFC">
      <w:r>
        <w:t>As noted above, u</w:t>
      </w:r>
      <w:r w:rsidR="00E55EFC" w:rsidRPr="000E1A0F">
        <w:t xml:space="preserve">sing </w:t>
      </w:r>
      <w:r w:rsidR="00EF3F8E" w:rsidRPr="000E1A0F">
        <w:t>Massachusetts</w:t>
      </w:r>
      <w:r w:rsidR="00E55EFC" w:rsidRPr="000E1A0F">
        <w:t xml:space="preserve"> data from the </w:t>
      </w:r>
      <w:r w:rsidR="00EF3F8E" w:rsidRPr="000E1A0F">
        <w:t>COVID-19 Community Impact Survey</w:t>
      </w:r>
      <w:r w:rsidR="00E55EFC" w:rsidRPr="000E1A0F">
        <w:t>, occupation groups were categorized according to the availability level (high or low) of paid sick leave</w:t>
      </w:r>
      <w:r w:rsidR="00186FA8">
        <w:t xml:space="preserve">, </w:t>
      </w:r>
      <w:r w:rsidR="00F345EA">
        <w:t>based on the Massachusetts</w:t>
      </w:r>
      <w:r w:rsidR="006E4022">
        <w:t xml:space="preserve"> total of respondents</w:t>
      </w:r>
      <w:r w:rsidR="00E55EFC" w:rsidRPr="000E1A0F">
        <w:t xml:space="preserve">. </w:t>
      </w:r>
      <w:r w:rsidR="00077680">
        <w:rPr>
          <w:bCs/>
          <w:color w:val="000000" w:themeColor="text1"/>
        </w:rPr>
        <w:t>An industry sector was considered to have high availability of paid sick if 82.2% or more of survey respondents within that industry sector reported having access to paid sick leave, while</w:t>
      </w:r>
      <w:r w:rsidR="00E55EFC" w:rsidRPr="000E1A0F">
        <w:t xml:space="preserve"> occupation was considered to </w:t>
      </w:r>
      <w:r w:rsidR="00E55EFC" w:rsidRPr="000E1A0F">
        <w:lastRenderedPageBreak/>
        <w:t xml:space="preserve">have high availability of paid sick leave if </w:t>
      </w:r>
      <w:r w:rsidR="00EF3F8E" w:rsidRPr="000E1A0F">
        <w:t>82.5</w:t>
      </w:r>
      <w:r w:rsidR="00E55EFC" w:rsidRPr="000E1A0F">
        <w:t xml:space="preserve">% or more survey respondents within that occupation reported having access to paid sick leave. </w:t>
      </w:r>
      <w:r w:rsidR="006650CD">
        <w:t>An industry sector was considered to have low availability of paid sick leave i</w:t>
      </w:r>
      <w:r w:rsidR="00C871DA">
        <w:t>f</w:t>
      </w:r>
      <w:r w:rsidR="006650CD">
        <w:t xml:space="preserve"> less than 82.2% of survey respondents within that industry reported having access to paid sick leave, while a</w:t>
      </w:r>
      <w:r w:rsidR="00E55EFC" w:rsidRPr="000E1A0F">
        <w:t xml:space="preserve">n occupation was considered to have low availability of paid sick leave if less than </w:t>
      </w:r>
      <w:r w:rsidR="000E1A0F" w:rsidRPr="000E1A0F">
        <w:t>82.5</w:t>
      </w:r>
      <w:r w:rsidR="00E55EFC" w:rsidRPr="000E1A0F">
        <w:t>% of survey respondents within that occupation reported having access to paid sick leave.</w:t>
      </w:r>
    </w:p>
    <w:p w14:paraId="308DD1B9" w14:textId="600DFDDC" w:rsidR="006402DA" w:rsidRDefault="006402DA" w:rsidP="001225B6"/>
    <w:p w14:paraId="4F5FE4A8" w14:textId="27EE3B55" w:rsidR="00153109" w:rsidRDefault="006C70D1" w:rsidP="001225B6">
      <w:pPr>
        <w:rPr>
          <w:b/>
          <w:bCs/>
        </w:rPr>
      </w:pPr>
      <w:r w:rsidRPr="006C70D1">
        <w:rPr>
          <w:b/>
          <w:bCs/>
        </w:rPr>
        <w:t>Data Sources:</w:t>
      </w:r>
    </w:p>
    <w:p w14:paraId="69EC5ECA" w14:textId="425F33F6" w:rsidR="00B90036" w:rsidRDefault="00FC10A2" w:rsidP="00B90036">
      <w:pPr>
        <w:pStyle w:val="ListParagraph"/>
        <w:numPr>
          <w:ilvl w:val="0"/>
          <w:numId w:val="19"/>
        </w:numPr>
      </w:pPr>
      <w:r>
        <w:rPr>
          <w:i/>
          <w:iCs/>
        </w:rPr>
        <w:t>Opioid-related overdose deaths:</w:t>
      </w:r>
      <w:r>
        <w:t xml:space="preserve"> </w:t>
      </w:r>
      <w:r w:rsidR="007435ED">
        <w:t>Death certificates provided by the Massachusetts Registry of Vital Records</w:t>
      </w:r>
      <w:r w:rsidR="0004112B">
        <w:t>, M</w:t>
      </w:r>
      <w:r w:rsidR="00CA265F">
        <w:t>assachusetts</w:t>
      </w:r>
      <w:r w:rsidR="0004112B">
        <w:t xml:space="preserve"> Department of Public Health (</w:t>
      </w:r>
      <w:r w:rsidR="00CA265F">
        <w:t>M</w:t>
      </w:r>
      <w:r w:rsidR="0004112B">
        <w:t>DPH)</w:t>
      </w:r>
    </w:p>
    <w:p w14:paraId="5E7E1747" w14:textId="4A942ED5" w:rsidR="009D23CA" w:rsidRDefault="009D23CA" w:rsidP="00B90036">
      <w:pPr>
        <w:pStyle w:val="ListParagraph"/>
        <w:numPr>
          <w:ilvl w:val="0"/>
          <w:numId w:val="19"/>
        </w:numPr>
      </w:pPr>
      <w:r>
        <w:rPr>
          <w:i/>
          <w:iCs/>
        </w:rPr>
        <w:t>Denominators for rates</w:t>
      </w:r>
      <w:r>
        <w:t>:</w:t>
      </w:r>
      <w:r w:rsidR="007F30FB">
        <w:t xml:space="preserve"> American Community</w:t>
      </w:r>
      <w:r w:rsidR="00537DF0">
        <w:t xml:space="preserve"> Survey (ACS): United States Census Bureau, U.S. Department of Commerce</w:t>
      </w:r>
    </w:p>
    <w:p w14:paraId="68DBC2DF" w14:textId="59592A33" w:rsidR="00537DF0" w:rsidRDefault="00537DF0" w:rsidP="00B90036">
      <w:pPr>
        <w:pStyle w:val="ListParagraph"/>
        <w:numPr>
          <w:ilvl w:val="0"/>
          <w:numId w:val="19"/>
        </w:numPr>
      </w:pPr>
      <w:r>
        <w:rPr>
          <w:i/>
          <w:iCs/>
        </w:rPr>
        <w:t>Paid sick leave estimates:</w:t>
      </w:r>
      <w:r>
        <w:t xml:space="preserve"> </w:t>
      </w:r>
      <w:r w:rsidR="00E25DB9">
        <w:t>COVID-19</w:t>
      </w:r>
      <w:r w:rsidR="00412492">
        <w:t xml:space="preserve"> Community Impact Survey, M</w:t>
      </w:r>
      <w:r w:rsidR="00CA265F">
        <w:t>assachusetts</w:t>
      </w:r>
      <w:r w:rsidR="00412492">
        <w:t xml:space="preserve"> Department of Public Health (</w:t>
      </w:r>
      <w:r w:rsidR="00CA265F">
        <w:t>M</w:t>
      </w:r>
      <w:r w:rsidR="00412492">
        <w:t>DPH)</w:t>
      </w:r>
    </w:p>
    <w:p w14:paraId="4766F1C8" w14:textId="77777777" w:rsidR="00057138" w:rsidRDefault="00057138" w:rsidP="00057138"/>
    <w:p w14:paraId="6FD3F700" w14:textId="5C42AD94" w:rsidR="00057138" w:rsidRPr="00057138" w:rsidRDefault="00057138" w:rsidP="00057138">
      <w:r>
        <w:rPr>
          <w:b/>
          <w:bCs/>
        </w:rPr>
        <w:t xml:space="preserve">Statistical Significance: </w:t>
      </w:r>
      <w:r w:rsidR="008513EC">
        <w:t>The 95% confidence interval (95% CI) is a range of values determined by the degree of variability of the data within which the true value is likely to lie. The confidence interval indicates the precision of a calculation; the wider the interval, the less precision in the estimate. The 95% confidence intervals used in this report for crude rates are the indicators of reliability (or stability) of the estimate. Smaller population subgroups or smaller numbers of respondents yield less precise estimates</w:t>
      </w:r>
    </w:p>
    <w:sectPr w:rsidR="00057138" w:rsidRPr="00057138" w:rsidSect="00AC5C77">
      <w:type w:val="continuous"/>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DF3F" w14:textId="77777777" w:rsidR="004578EC" w:rsidRDefault="004578EC" w:rsidP="007C32A4">
      <w:r>
        <w:separator/>
      </w:r>
    </w:p>
  </w:endnote>
  <w:endnote w:type="continuationSeparator" w:id="0">
    <w:p w14:paraId="6B09BCEB" w14:textId="77777777" w:rsidR="004578EC" w:rsidRDefault="004578EC" w:rsidP="007C32A4">
      <w:r>
        <w:continuationSeparator/>
      </w:r>
    </w:p>
  </w:endnote>
  <w:endnote w:type="continuationNotice" w:id="1">
    <w:p w14:paraId="21D1551F" w14:textId="77777777" w:rsidR="004578EC" w:rsidRDefault="00457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996861"/>
      <w:docPartObj>
        <w:docPartGallery w:val="Page Numbers (Bottom of Page)"/>
        <w:docPartUnique/>
      </w:docPartObj>
    </w:sdtPr>
    <w:sdtEndPr>
      <w:rPr>
        <w:noProof/>
        <w:sz w:val="8"/>
        <w:szCs w:val="8"/>
      </w:rPr>
    </w:sdtEndPr>
    <w:sdtContent>
      <w:p w14:paraId="59845B42" w14:textId="77777777" w:rsidR="001838EA" w:rsidRPr="00F51A36" w:rsidRDefault="001838EA" w:rsidP="00F51A36">
        <w:pPr>
          <w:pStyle w:val="Footer"/>
          <w:jc w:val="right"/>
          <w:rPr>
            <w:noProof/>
          </w:rPr>
        </w:pPr>
        <w:r>
          <w:fldChar w:fldCharType="begin"/>
        </w:r>
        <w:r>
          <w:instrText xml:space="preserve"> PAGE   \* MERGEFORMAT </w:instrText>
        </w:r>
        <w:r>
          <w:fldChar w:fldCharType="separate"/>
        </w:r>
        <w:r w:rsidR="003C5BB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79BF" w14:textId="77777777" w:rsidR="004578EC" w:rsidRDefault="004578EC" w:rsidP="007C32A4">
      <w:r>
        <w:separator/>
      </w:r>
    </w:p>
  </w:footnote>
  <w:footnote w:type="continuationSeparator" w:id="0">
    <w:p w14:paraId="6BF1E388" w14:textId="77777777" w:rsidR="004578EC" w:rsidRDefault="004578EC" w:rsidP="007C32A4">
      <w:r>
        <w:continuationSeparator/>
      </w:r>
    </w:p>
  </w:footnote>
  <w:footnote w:type="continuationNotice" w:id="1">
    <w:p w14:paraId="198F1410" w14:textId="77777777" w:rsidR="004578EC" w:rsidRDefault="004578EC"/>
  </w:footnote>
  <w:footnote w:id="2">
    <w:p w14:paraId="0F806662" w14:textId="2951887F" w:rsidR="00742BC7" w:rsidRPr="000E5D65" w:rsidRDefault="00742BC7">
      <w:pPr>
        <w:pStyle w:val="FootnoteText"/>
        <w:rPr>
          <w:sz w:val="16"/>
          <w:szCs w:val="16"/>
        </w:rPr>
      </w:pPr>
      <w:r w:rsidRPr="000E5D65">
        <w:rPr>
          <w:rStyle w:val="FootnoteReference"/>
          <w:sz w:val="16"/>
          <w:szCs w:val="16"/>
        </w:rPr>
        <w:footnoteRef/>
      </w:r>
      <w:r w:rsidRPr="000E5D65">
        <w:rPr>
          <w:sz w:val="16"/>
          <w:szCs w:val="16"/>
        </w:rPr>
        <w:t xml:space="preserve"> Massachusetts Department </w:t>
      </w:r>
      <w:r w:rsidR="00550A9F" w:rsidRPr="000E5D65">
        <w:rPr>
          <w:sz w:val="16"/>
          <w:szCs w:val="16"/>
        </w:rPr>
        <w:t xml:space="preserve">of Public Health (2021). </w:t>
      </w:r>
      <w:r w:rsidR="0080410B" w:rsidRPr="000E5D65">
        <w:rPr>
          <w:sz w:val="16"/>
          <w:szCs w:val="16"/>
        </w:rPr>
        <w:t xml:space="preserve">Data Brief: Opioid-Related Overdose Deaths among Massachusetts Residents. </w:t>
      </w:r>
      <w:hyperlink r:id="rId1" w:history="1">
        <w:r w:rsidR="0080410B" w:rsidRPr="000E5D65">
          <w:rPr>
            <w:rStyle w:val="Hyperlink"/>
            <w:rFonts w:cs="Arial"/>
            <w:sz w:val="16"/>
            <w:szCs w:val="16"/>
          </w:rPr>
          <w:t>https://www.mass.gov/doc/opioid-related-overdose-deaths-among-ma-residents-may-2021/download</w:t>
        </w:r>
      </w:hyperlink>
      <w:r w:rsidR="0080410B" w:rsidRPr="000E5D65">
        <w:rPr>
          <w:sz w:val="16"/>
          <w:szCs w:val="16"/>
        </w:rPr>
        <w:t xml:space="preserve"> </w:t>
      </w:r>
    </w:p>
  </w:footnote>
  <w:footnote w:id="3">
    <w:p w14:paraId="527EF48D" w14:textId="77777777" w:rsidR="00EF0834" w:rsidRPr="000E5D65" w:rsidRDefault="00EF0834" w:rsidP="00EF0834">
      <w:pPr>
        <w:pStyle w:val="FootnoteText"/>
        <w:rPr>
          <w:sz w:val="16"/>
          <w:szCs w:val="16"/>
        </w:rPr>
      </w:pPr>
      <w:r w:rsidRPr="000E5D65">
        <w:rPr>
          <w:rStyle w:val="FootnoteReference"/>
          <w:sz w:val="16"/>
          <w:szCs w:val="16"/>
        </w:rPr>
        <w:footnoteRef/>
      </w:r>
      <w:r w:rsidRPr="000E5D65">
        <w:rPr>
          <w:sz w:val="16"/>
          <w:szCs w:val="16"/>
        </w:rPr>
        <w:t xml:space="preserve"> Franklin, G. M., Stover, B. D., Turner, J. A., Fulton-Kehoe, D., &amp; </w:t>
      </w:r>
      <w:proofErr w:type="spellStart"/>
      <w:r w:rsidRPr="000E5D65">
        <w:rPr>
          <w:sz w:val="16"/>
          <w:szCs w:val="16"/>
        </w:rPr>
        <w:t>Wickizer</w:t>
      </w:r>
      <w:proofErr w:type="spellEnd"/>
      <w:r w:rsidRPr="000E5D65">
        <w:rPr>
          <w:sz w:val="16"/>
          <w:szCs w:val="16"/>
        </w:rPr>
        <w:t>, T. M. (2008). Early opioid prescription and subsequent disability among workers with back injuries: the Disability Risk Identification Study Cohort. Spine, 33(2), 199-204.</w:t>
      </w:r>
    </w:p>
  </w:footnote>
  <w:footnote w:id="4">
    <w:p w14:paraId="6B78AFFE" w14:textId="77777777" w:rsidR="00EF0834" w:rsidRPr="000E5D65" w:rsidRDefault="00EF0834" w:rsidP="00EF0834">
      <w:pPr>
        <w:pStyle w:val="FootnoteText"/>
        <w:rPr>
          <w:sz w:val="16"/>
          <w:szCs w:val="16"/>
        </w:rPr>
      </w:pPr>
      <w:r w:rsidRPr="000E5D65">
        <w:rPr>
          <w:rStyle w:val="FootnoteReference"/>
          <w:sz w:val="16"/>
          <w:szCs w:val="16"/>
        </w:rPr>
        <w:footnoteRef/>
      </w:r>
      <w:r w:rsidRPr="000E5D65">
        <w:rPr>
          <w:sz w:val="16"/>
          <w:szCs w:val="16"/>
        </w:rPr>
        <w:t xml:space="preserve"> Dembe, A., </w:t>
      </w:r>
      <w:proofErr w:type="spellStart"/>
      <w:r w:rsidRPr="000E5D65">
        <w:rPr>
          <w:sz w:val="16"/>
          <w:szCs w:val="16"/>
        </w:rPr>
        <w:t>Wickizer</w:t>
      </w:r>
      <w:proofErr w:type="spellEnd"/>
      <w:r w:rsidRPr="000E5D65">
        <w:rPr>
          <w:sz w:val="16"/>
          <w:szCs w:val="16"/>
        </w:rPr>
        <w:t xml:space="preserve">, T., Sieck, C., Partridge, J., &amp; </w:t>
      </w:r>
      <w:proofErr w:type="spellStart"/>
      <w:r w:rsidRPr="000E5D65">
        <w:rPr>
          <w:sz w:val="16"/>
          <w:szCs w:val="16"/>
        </w:rPr>
        <w:t>Balchick</w:t>
      </w:r>
      <w:proofErr w:type="spellEnd"/>
      <w:r w:rsidRPr="000E5D65">
        <w:rPr>
          <w:sz w:val="16"/>
          <w:szCs w:val="16"/>
        </w:rPr>
        <w:t xml:space="preserve">, R. (2012). Opioid use and dosing in the workers' compensation setting. A comparative review and new data from Ohio. American Journal of Industrial Medicine, 55(4), 313-324. </w:t>
      </w:r>
    </w:p>
  </w:footnote>
  <w:footnote w:id="5">
    <w:p w14:paraId="10049D43" w14:textId="77777777" w:rsidR="00EF0834" w:rsidRPr="000E5D65" w:rsidRDefault="00EF0834" w:rsidP="00EF0834">
      <w:pPr>
        <w:pStyle w:val="FootnoteText"/>
        <w:rPr>
          <w:sz w:val="16"/>
          <w:szCs w:val="16"/>
        </w:rPr>
      </w:pPr>
      <w:r w:rsidRPr="000E5D65">
        <w:rPr>
          <w:rStyle w:val="FootnoteReference"/>
          <w:sz w:val="16"/>
          <w:szCs w:val="16"/>
        </w:rPr>
        <w:footnoteRef/>
      </w:r>
      <w:r w:rsidRPr="000E5D65">
        <w:rPr>
          <w:sz w:val="16"/>
          <w:szCs w:val="16"/>
        </w:rPr>
        <w:t xml:space="preserve"> </w:t>
      </w:r>
      <w:proofErr w:type="spellStart"/>
      <w:r w:rsidRPr="000E5D65">
        <w:rPr>
          <w:sz w:val="16"/>
          <w:szCs w:val="16"/>
        </w:rPr>
        <w:t>Savych</w:t>
      </w:r>
      <w:proofErr w:type="spellEnd"/>
      <w:r w:rsidRPr="000E5D65">
        <w:rPr>
          <w:sz w:val="16"/>
          <w:szCs w:val="16"/>
        </w:rPr>
        <w:t xml:space="preserve"> B, </w:t>
      </w:r>
      <w:proofErr w:type="spellStart"/>
      <w:r w:rsidRPr="000E5D65">
        <w:rPr>
          <w:sz w:val="16"/>
          <w:szCs w:val="16"/>
        </w:rPr>
        <w:t>Neumark</w:t>
      </w:r>
      <w:proofErr w:type="spellEnd"/>
      <w:r w:rsidRPr="000E5D65">
        <w:rPr>
          <w:sz w:val="16"/>
          <w:szCs w:val="16"/>
        </w:rPr>
        <w:t xml:space="preserve"> D, Lea R.</w:t>
      </w:r>
      <w:r>
        <w:rPr>
          <w:sz w:val="16"/>
          <w:szCs w:val="16"/>
        </w:rPr>
        <w:t xml:space="preserve"> (2019).</w:t>
      </w:r>
      <w:r w:rsidRPr="000E5D65">
        <w:rPr>
          <w:sz w:val="16"/>
          <w:szCs w:val="16"/>
        </w:rPr>
        <w:t xml:space="preserve"> Do opioids help injured workers recover and get back to work? The </w:t>
      </w:r>
    </w:p>
    <w:p w14:paraId="1C11BBBB" w14:textId="77777777" w:rsidR="00EF0834" w:rsidRDefault="00EF0834" w:rsidP="00EF0834">
      <w:pPr>
        <w:pStyle w:val="FootnoteText"/>
      </w:pPr>
      <w:r w:rsidRPr="000E5D65">
        <w:rPr>
          <w:sz w:val="16"/>
          <w:szCs w:val="16"/>
        </w:rPr>
        <w:t xml:space="preserve">impact of opioid prescriptions on duration of temporary disability. Ind </w:t>
      </w:r>
      <w:proofErr w:type="spellStart"/>
      <w:r w:rsidRPr="000E5D65">
        <w:rPr>
          <w:sz w:val="16"/>
          <w:szCs w:val="16"/>
        </w:rPr>
        <w:t>Relat</w:t>
      </w:r>
      <w:proofErr w:type="spellEnd"/>
      <w:r>
        <w:rPr>
          <w:sz w:val="16"/>
          <w:szCs w:val="16"/>
        </w:rPr>
        <w:t xml:space="preserve">, </w:t>
      </w:r>
      <w:r w:rsidRPr="000E5D65">
        <w:rPr>
          <w:sz w:val="16"/>
          <w:szCs w:val="16"/>
        </w:rPr>
        <w:t>58</w:t>
      </w:r>
      <w:r>
        <w:rPr>
          <w:sz w:val="16"/>
          <w:szCs w:val="16"/>
        </w:rPr>
        <w:t xml:space="preserve">, </w:t>
      </w:r>
      <w:r w:rsidRPr="000E5D65">
        <w:rPr>
          <w:sz w:val="16"/>
          <w:szCs w:val="16"/>
        </w:rPr>
        <w:t xml:space="preserve">549-90. </w:t>
      </w:r>
    </w:p>
  </w:footnote>
  <w:footnote w:id="6">
    <w:p w14:paraId="4575DA64" w14:textId="77777777" w:rsidR="00731930" w:rsidRPr="000E5D65" w:rsidRDefault="00731930" w:rsidP="00731930">
      <w:pPr>
        <w:pStyle w:val="FootnoteText"/>
        <w:rPr>
          <w:sz w:val="16"/>
          <w:szCs w:val="16"/>
        </w:rPr>
      </w:pPr>
      <w:r w:rsidRPr="000E5D65">
        <w:rPr>
          <w:rStyle w:val="FootnoteReference"/>
          <w:sz w:val="16"/>
          <w:szCs w:val="16"/>
        </w:rPr>
        <w:footnoteRef/>
      </w:r>
      <w:r w:rsidRPr="000E5D65">
        <w:rPr>
          <w:sz w:val="16"/>
          <w:szCs w:val="16"/>
        </w:rPr>
        <w:t xml:space="preserve"> Massachusetts Department of Public Health (2018). Opioid-related Overdose Deaths in Massachusetts by Industry and Occupation, 2011-2015. </w:t>
      </w:r>
      <w:hyperlink r:id="rId2" w:history="1">
        <w:r w:rsidRPr="000E5D65">
          <w:rPr>
            <w:rStyle w:val="Hyperlink"/>
            <w:rFonts w:cs="Arial"/>
            <w:sz w:val="16"/>
            <w:szCs w:val="16"/>
          </w:rPr>
          <w:t>https://www.mass.gov/files/documents/2020/03/19/opioid-industry-occupation.pdf</w:t>
        </w:r>
      </w:hyperlink>
      <w:r w:rsidRPr="000E5D65">
        <w:rPr>
          <w:sz w:val="16"/>
          <w:szCs w:val="16"/>
        </w:rPr>
        <w:t xml:space="preserve"> </w:t>
      </w:r>
    </w:p>
  </w:footnote>
  <w:footnote w:id="7">
    <w:p w14:paraId="55480B50" w14:textId="77777777" w:rsidR="00731930" w:rsidRPr="000E5D65" w:rsidRDefault="00731930" w:rsidP="00731930">
      <w:pPr>
        <w:pStyle w:val="FootnoteText"/>
        <w:rPr>
          <w:sz w:val="16"/>
          <w:szCs w:val="16"/>
        </w:rPr>
      </w:pPr>
      <w:r w:rsidRPr="000E5D65">
        <w:rPr>
          <w:rStyle w:val="FootnoteReference"/>
          <w:sz w:val="16"/>
          <w:szCs w:val="16"/>
        </w:rPr>
        <w:footnoteRef/>
      </w:r>
      <w:r w:rsidRPr="000E5D65">
        <w:rPr>
          <w:sz w:val="16"/>
          <w:szCs w:val="16"/>
        </w:rPr>
        <w:t xml:space="preserve"> Massachusetts Department of Public Health (2021). Opioid-related Overdose Deaths in Massachusetts by Industry and Occupation, 2016-2017. </w:t>
      </w:r>
      <w:hyperlink r:id="rId3" w:history="1">
        <w:r w:rsidRPr="000E5D65">
          <w:rPr>
            <w:rStyle w:val="Hyperlink"/>
            <w:rFonts w:cs="Arial"/>
            <w:sz w:val="16"/>
            <w:szCs w:val="16"/>
          </w:rPr>
          <w:t>https://www.mass.gov/doc/opioid-related-overdose-deaths-by-industry-and-occupation-2016-2017-0/download</w:t>
        </w:r>
      </w:hyperlink>
      <w:r w:rsidRPr="000E5D65">
        <w:rPr>
          <w:sz w:val="16"/>
          <w:szCs w:val="16"/>
        </w:rPr>
        <w:t xml:space="preserve"> </w:t>
      </w:r>
    </w:p>
  </w:footnote>
  <w:footnote w:id="8">
    <w:p w14:paraId="27623915" w14:textId="10476447" w:rsidR="0080504B" w:rsidRPr="002B48FC" w:rsidRDefault="0080504B" w:rsidP="0080504B">
      <w:pPr>
        <w:pStyle w:val="FootnoteText"/>
        <w:rPr>
          <w:sz w:val="16"/>
          <w:szCs w:val="16"/>
        </w:rPr>
      </w:pPr>
      <w:r>
        <w:rPr>
          <w:rStyle w:val="FootnoteReference"/>
        </w:rPr>
        <w:footnoteRef/>
      </w:r>
      <w:r>
        <w:t xml:space="preserve"> </w:t>
      </w:r>
      <w:r w:rsidRPr="002B48FC">
        <w:rPr>
          <w:sz w:val="16"/>
          <w:szCs w:val="16"/>
        </w:rPr>
        <w:t xml:space="preserve">Opioid-Related Overdose Deaths, All Intents, MA Residents – Demographic Data Highlights. Massachusetts Department of Public Health. June 2022. </w:t>
      </w:r>
      <w:hyperlink r:id="rId4" w:history="1">
        <w:r w:rsidR="00DD7A7E" w:rsidRPr="002B48FC">
          <w:rPr>
            <w:rStyle w:val="Hyperlink"/>
            <w:rFonts w:cs="Arial"/>
            <w:sz w:val="16"/>
            <w:szCs w:val="16"/>
          </w:rPr>
          <w:t>https://www.mass.gov/doc/opioid-related-overdose-deaths-demographics-june-2022/download</w:t>
        </w:r>
      </w:hyperlink>
      <w:r w:rsidR="00DD7A7E">
        <w:rPr>
          <w:sz w:val="16"/>
          <w:szCs w:val="16"/>
        </w:rPr>
        <w:t xml:space="preserve"> </w:t>
      </w:r>
    </w:p>
  </w:footnote>
  <w:footnote w:id="9">
    <w:p w14:paraId="48A7F14C" w14:textId="4CBAA103" w:rsidR="00A86F11" w:rsidRDefault="00A86F11">
      <w:pPr>
        <w:pStyle w:val="FootnoteText"/>
      </w:pPr>
      <w:r w:rsidRPr="00817AD5">
        <w:rPr>
          <w:rStyle w:val="FootnoteReference"/>
          <w:sz w:val="16"/>
          <w:szCs w:val="16"/>
        </w:rPr>
        <w:footnoteRef/>
      </w:r>
      <w:r w:rsidRPr="00817AD5">
        <w:rPr>
          <w:sz w:val="16"/>
          <w:szCs w:val="16"/>
        </w:rPr>
        <w:t xml:space="preserve"> </w:t>
      </w:r>
      <w:r w:rsidR="008A112C" w:rsidRPr="008A112C">
        <w:rPr>
          <w:sz w:val="16"/>
          <w:szCs w:val="16"/>
        </w:rPr>
        <w:t>Office</w:t>
      </w:r>
      <w:r w:rsidR="008A112C">
        <w:rPr>
          <w:sz w:val="16"/>
          <w:szCs w:val="16"/>
        </w:rPr>
        <w:t xml:space="preserve"> of Attorney General Maura Heale</w:t>
      </w:r>
      <w:r w:rsidR="00817AD5">
        <w:rPr>
          <w:sz w:val="16"/>
          <w:szCs w:val="16"/>
        </w:rPr>
        <w:t xml:space="preserve">y. Earned sick time. </w:t>
      </w:r>
      <w:hyperlink r:id="rId5" w:history="1">
        <w:r w:rsidR="00817AD5" w:rsidRPr="0024559D">
          <w:rPr>
            <w:rStyle w:val="Hyperlink"/>
            <w:rFonts w:cs="Arial"/>
            <w:sz w:val="16"/>
            <w:szCs w:val="16"/>
          </w:rPr>
          <w:t>https://www.mass.gov/info-details/earned-sick-time</w:t>
        </w:r>
      </w:hyperlink>
      <w:r w:rsidR="00817AD5">
        <w:rPr>
          <w:sz w:val="16"/>
          <w:szCs w:val="16"/>
        </w:rPr>
        <w:t xml:space="preserve"> </w:t>
      </w:r>
    </w:p>
  </w:footnote>
  <w:footnote w:id="10">
    <w:p w14:paraId="19DDE687" w14:textId="3E1DEAC0" w:rsidR="00461AA3" w:rsidRDefault="00461AA3">
      <w:pPr>
        <w:pStyle w:val="FootnoteText"/>
      </w:pPr>
      <w:r w:rsidRPr="001B4807">
        <w:rPr>
          <w:rStyle w:val="FootnoteReference"/>
          <w:sz w:val="16"/>
          <w:szCs w:val="16"/>
        </w:rPr>
        <w:footnoteRef/>
      </w:r>
      <w:r w:rsidRPr="001B4807">
        <w:rPr>
          <w:sz w:val="16"/>
          <w:szCs w:val="16"/>
        </w:rPr>
        <w:t xml:space="preserve"> </w:t>
      </w:r>
      <w:r w:rsidR="001471BA" w:rsidRPr="001B4807">
        <w:rPr>
          <w:sz w:val="16"/>
          <w:szCs w:val="16"/>
        </w:rPr>
        <w:t>Massachusetts Department of Public Health (</w:t>
      </w:r>
      <w:r w:rsidR="001B4807" w:rsidRPr="001B4807">
        <w:rPr>
          <w:sz w:val="16"/>
          <w:szCs w:val="16"/>
        </w:rPr>
        <w:t xml:space="preserve">2021). COVID-19 Community Impact Survey. </w:t>
      </w:r>
      <w:hyperlink r:id="rId6" w:history="1">
        <w:r w:rsidR="001B4807" w:rsidRPr="001B4807">
          <w:rPr>
            <w:rStyle w:val="Hyperlink"/>
            <w:rFonts w:cs="Arial"/>
            <w:sz w:val="16"/>
            <w:szCs w:val="16"/>
          </w:rPr>
          <w:t>https://www.mass.gov/info-details/covid-19-community-impact-survey?msclkid=6d05cdddb9b611ecbf6e6f73ae48cd6d</w:t>
        </w:r>
      </w:hyperlink>
      <w:r w:rsidR="001B4807" w:rsidRPr="001B480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599E" w14:textId="77777777" w:rsidR="006A7CE9" w:rsidRDefault="006A7CE9" w:rsidP="006A7CE9">
    <w:pPr>
      <w:pStyle w:val="Header"/>
      <w:ind w:left="-1152" w:right="-11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3CA"/>
    <w:multiLevelType w:val="hybridMultilevel"/>
    <w:tmpl w:val="AC48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82F9F"/>
    <w:multiLevelType w:val="hybridMultilevel"/>
    <w:tmpl w:val="2DEAD7E4"/>
    <w:lvl w:ilvl="0" w:tplc="E6364E0E">
      <w:start w:val="1"/>
      <w:numFmt w:val="bullet"/>
      <w:lvlText w:val=""/>
      <w:lvlJc w:val="left"/>
      <w:pPr>
        <w:ind w:left="1080" w:hanging="360"/>
      </w:pPr>
      <w:rPr>
        <w:rFonts w:ascii="Symbol" w:hAnsi="Symbol" w:hint="default"/>
        <w:color w:val="000000" w:themeColor="text1"/>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C5860"/>
    <w:multiLevelType w:val="hybridMultilevel"/>
    <w:tmpl w:val="6518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F72AA"/>
    <w:multiLevelType w:val="hybridMultilevel"/>
    <w:tmpl w:val="3236C9A8"/>
    <w:lvl w:ilvl="0" w:tplc="B448B3BA">
      <w:start w:val="1"/>
      <w:numFmt w:val="bullet"/>
      <w:lvlText w:val=""/>
      <w:lvlJc w:val="left"/>
      <w:pPr>
        <w:ind w:left="1080" w:hanging="360"/>
      </w:pPr>
      <w:rPr>
        <w:rFonts w:ascii="Symbol" w:hAnsi="Symbol"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C91C63"/>
    <w:multiLevelType w:val="hybridMultilevel"/>
    <w:tmpl w:val="80CEF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0A50ED"/>
    <w:multiLevelType w:val="hybridMultilevel"/>
    <w:tmpl w:val="D3EEC9D4"/>
    <w:lvl w:ilvl="0" w:tplc="A086C58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A5EC8"/>
    <w:multiLevelType w:val="hybridMultilevel"/>
    <w:tmpl w:val="ACEED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417CA7"/>
    <w:multiLevelType w:val="hybridMultilevel"/>
    <w:tmpl w:val="21D44BE8"/>
    <w:lvl w:ilvl="0" w:tplc="A086C58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831AC"/>
    <w:multiLevelType w:val="hybridMultilevel"/>
    <w:tmpl w:val="B1268078"/>
    <w:lvl w:ilvl="0" w:tplc="B448B3BA">
      <w:start w:val="1"/>
      <w:numFmt w:val="bullet"/>
      <w:lvlText w:val=""/>
      <w:lvlJc w:val="left"/>
      <w:pPr>
        <w:ind w:left="108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95622"/>
    <w:multiLevelType w:val="hybridMultilevel"/>
    <w:tmpl w:val="5A6670D6"/>
    <w:lvl w:ilvl="0" w:tplc="2562AD0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A54EA"/>
    <w:multiLevelType w:val="hybridMultilevel"/>
    <w:tmpl w:val="E092FC66"/>
    <w:lvl w:ilvl="0" w:tplc="8440018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55E98"/>
    <w:multiLevelType w:val="hybridMultilevel"/>
    <w:tmpl w:val="81447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FC2FA2"/>
    <w:multiLevelType w:val="hybridMultilevel"/>
    <w:tmpl w:val="2C72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A0929"/>
    <w:multiLevelType w:val="hybridMultilevel"/>
    <w:tmpl w:val="4064B94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7" w15:restartNumberingAfterBreak="0">
    <w:nsid w:val="36761A32"/>
    <w:multiLevelType w:val="hybridMultilevel"/>
    <w:tmpl w:val="3EBAC58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78778E8"/>
    <w:multiLevelType w:val="hybridMultilevel"/>
    <w:tmpl w:val="65062B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D5D14"/>
    <w:multiLevelType w:val="hybridMultilevel"/>
    <w:tmpl w:val="ADC4ED06"/>
    <w:lvl w:ilvl="0" w:tplc="8CECCF84">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05E3B"/>
    <w:multiLevelType w:val="hybridMultilevel"/>
    <w:tmpl w:val="6F988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DF73A9"/>
    <w:multiLevelType w:val="hybridMultilevel"/>
    <w:tmpl w:val="F594DAAE"/>
    <w:lvl w:ilvl="0" w:tplc="E884D796">
      <w:start w:val="1"/>
      <w:numFmt w:val="bullet"/>
      <w:lvlText w:val=""/>
      <w:lvlJc w:val="left"/>
      <w:pPr>
        <w:ind w:left="1080" w:hanging="360"/>
      </w:pPr>
      <w:rPr>
        <w:rFonts w:ascii="Symbol" w:hAnsi="Symbol" w:hint="default"/>
        <w:color w:val="000000" w:themeColor="text1"/>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B32E2C"/>
    <w:multiLevelType w:val="hybridMultilevel"/>
    <w:tmpl w:val="F56E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5530"/>
    <w:multiLevelType w:val="hybridMultilevel"/>
    <w:tmpl w:val="18EA06E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A307D"/>
    <w:multiLevelType w:val="hybridMultilevel"/>
    <w:tmpl w:val="8D2C3F6A"/>
    <w:lvl w:ilvl="0" w:tplc="E6364E0E">
      <w:start w:val="1"/>
      <w:numFmt w:val="bullet"/>
      <w:lvlText w:val=""/>
      <w:lvlJc w:val="left"/>
      <w:pPr>
        <w:ind w:left="1800" w:hanging="360"/>
      </w:pPr>
      <w:rPr>
        <w:rFonts w:ascii="Symbol" w:hAnsi="Symbol" w:hint="default"/>
        <w:color w:val="000000" w:themeColor="text1"/>
        <w:sz w:val="20"/>
        <w:szCs w:val="20"/>
      </w:rPr>
    </w:lvl>
    <w:lvl w:ilvl="1" w:tplc="E6364E0E">
      <w:start w:val="1"/>
      <w:numFmt w:val="bullet"/>
      <w:lvlText w:val=""/>
      <w:lvlJc w:val="left"/>
      <w:pPr>
        <w:ind w:left="1800" w:hanging="360"/>
      </w:pPr>
      <w:rPr>
        <w:rFonts w:ascii="Symbol" w:hAnsi="Symbol" w:hint="default"/>
        <w:color w:val="000000" w:themeColor="text1"/>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B91111"/>
    <w:multiLevelType w:val="hybridMultilevel"/>
    <w:tmpl w:val="ED60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A0980"/>
    <w:multiLevelType w:val="hybridMultilevel"/>
    <w:tmpl w:val="403CCD30"/>
    <w:lvl w:ilvl="0" w:tplc="632623E4">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9674B"/>
    <w:multiLevelType w:val="hybridMultilevel"/>
    <w:tmpl w:val="0A94488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B9B4043"/>
    <w:multiLevelType w:val="hybridMultilevel"/>
    <w:tmpl w:val="226A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9"/>
  </w:num>
  <w:num w:numId="5">
    <w:abstractNumId w:val="1"/>
  </w:num>
  <w:num w:numId="6">
    <w:abstractNumId w:val="27"/>
  </w:num>
  <w:num w:numId="7">
    <w:abstractNumId w:val="20"/>
  </w:num>
  <w:num w:numId="8">
    <w:abstractNumId w:val="13"/>
  </w:num>
  <w:num w:numId="9">
    <w:abstractNumId w:val="23"/>
  </w:num>
  <w:num w:numId="10">
    <w:abstractNumId w:val="8"/>
  </w:num>
  <w:num w:numId="11">
    <w:abstractNumId w:val="9"/>
  </w:num>
  <w:num w:numId="12">
    <w:abstractNumId w:val="7"/>
  </w:num>
  <w:num w:numId="13">
    <w:abstractNumId w:val="29"/>
  </w:num>
  <w:num w:numId="14">
    <w:abstractNumId w:val="17"/>
  </w:num>
  <w:num w:numId="15">
    <w:abstractNumId w:val="16"/>
  </w:num>
  <w:num w:numId="16">
    <w:abstractNumId w:val="5"/>
  </w:num>
  <w:num w:numId="17">
    <w:abstractNumId w:val="11"/>
  </w:num>
  <w:num w:numId="18">
    <w:abstractNumId w:val="28"/>
  </w:num>
  <w:num w:numId="19">
    <w:abstractNumId w:val="15"/>
  </w:num>
  <w:num w:numId="20">
    <w:abstractNumId w:val="12"/>
  </w:num>
  <w:num w:numId="21">
    <w:abstractNumId w:val="2"/>
  </w:num>
  <w:num w:numId="22">
    <w:abstractNumId w:val="25"/>
  </w:num>
  <w:num w:numId="23">
    <w:abstractNumId w:val="18"/>
  </w:num>
  <w:num w:numId="24">
    <w:abstractNumId w:val="22"/>
  </w:num>
  <w:num w:numId="25">
    <w:abstractNumId w:val="4"/>
  </w:num>
  <w:num w:numId="26">
    <w:abstractNumId w:val="14"/>
  </w:num>
  <w:num w:numId="27">
    <w:abstractNumId w:val="21"/>
  </w:num>
  <w:num w:numId="28">
    <w:abstractNumId w:val="6"/>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9E"/>
    <w:rsid w:val="00000081"/>
    <w:rsid w:val="000003DD"/>
    <w:rsid w:val="00000B81"/>
    <w:rsid w:val="00000C00"/>
    <w:rsid w:val="0000144D"/>
    <w:rsid w:val="000029AD"/>
    <w:rsid w:val="0000512F"/>
    <w:rsid w:val="000058BC"/>
    <w:rsid w:val="0000697C"/>
    <w:rsid w:val="00007C4A"/>
    <w:rsid w:val="00010B7A"/>
    <w:rsid w:val="00010C28"/>
    <w:rsid w:val="0001139D"/>
    <w:rsid w:val="000117FC"/>
    <w:rsid w:val="00013E13"/>
    <w:rsid w:val="0001535C"/>
    <w:rsid w:val="00016BE6"/>
    <w:rsid w:val="00016E03"/>
    <w:rsid w:val="00017017"/>
    <w:rsid w:val="000216AC"/>
    <w:rsid w:val="00021831"/>
    <w:rsid w:val="0002262C"/>
    <w:rsid w:val="00022664"/>
    <w:rsid w:val="00022B9A"/>
    <w:rsid w:val="00022CFB"/>
    <w:rsid w:val="00023276"/>
    <w:rsid w:val="0002355D"/>
    <w:rsid w:val="0002357E"/>
    <w:rsid w:val="00025EF7"/>
    <w:rsid w:val="000269BE"/>
    <w:rsid w:val="000269D9"/>
    <w:rsid w:val="000305E4"/>
    <w:rsid w:val="00030D8F"/>
    <w:rsid w:val="000316F8"/>
    <w:rsid w:val="00031D64"/>
    <w:rsid w:val="0003225B"/>
    <w:rsid w:val="000322AD"/>
    <w:rsid w:val="00033FBE"/>
    <w:rsid w:val="00034994"/>
    <w:rsid w:val="00035140"/>
    <w:rsid w:val="00037990"/>
    <w:rsid w:val="0004065B"/>
    <w:rsid w:val="0004112B"/>
    <w:rsid w:val="00041E67"/>
    <w:rsid w:val="0004274B"/>
    <w:rsid w:val="00042DCF"/>
    <w:rsid w:val="00044FFF"/>
    <w:rsid w:val="000451E3"/>
    <w:rsid w:val="00045990"/>
    <w:rsid w:val="0004635B"/>
    <w:rsid w:val="00046A3F"/>
    <w:rsid w:val="00046B25"/>
    <w:rsid w:val="00047E51"/>
    <w:rsid w:val="000519FB"/>
    <w:rsid w:val="00052729"/>
    <w:rsid w:val="00054777"/>
    <w:rsid w:val="00055244"/>
    <w:rsid w:val="000555E7"/>
    <w:rsid w:val="00056028"/>
    <w:rsid w:val="00057138"/>
    <w:rsid w:val="00057C9E"/>
    <w:rsid w:val="00061AFE"/>
    <w:rsid w:val="00062726"/>
    <w:rsid w:val="0006419B"/>
    <w:rsid w:val="00064451"/>
    <w:rsid w:val="00064F4F"/>
    <w:rsid w:val="00065D05"/>
    <w:rsid w:val="000665E3"/>
    <w:rsid w:val="00066E35"/>
    <w:rsid w:val="00066F2B"/>
    <w:rsid w:val="00067488"/>
    <w:rsid w:val="00067A82"/>
    <w:rsid w:val="000700C8"/>
    <w:rsid w:val="000701B6"/>
    <w:rsid w:val="00070802"/>
    <w:rsid w:val="00070810"/>
    <w:rsid w:val="00070D39"/>
    <w:rsid w:val="000719CB"/>
    <w:rsid w:val="000727A2"/>
    <w:rsid w:val="00072D46"/>
    <w:rsid w:val="00073248"/>
    <w:rsid w:val="00073F2E"/>
    <w:rsid w:val="00074594"/>
    <w:rsid w:val="00074744"/>
    <w:rsid w:val="0007643F"/>
    <w:rsid w:val="00076D65"/>
    <w:rsid w:val="00077680"/>
    <w:rsid w:val="0007777C"/>
    <w:rsid w:val="000779D8"/>
    <w:rsid w:val="00081322"/>
    <w:rsid w:val="00081E61"/>
    <w:rsid w:val="00082734"/>
    <w:rsid w:val="00084B65"/>
    <w:rsid w:val="00084E9F"/>
    <w:rsid w:val="00085356"/>
    <w:rsid w:val="0008551B"/>
    <w:rsid w:val="000868CC"/>
    <w:rsid w:val="000876AB"/>
    <w:rsid w:val="0008787B"/>
    <w:rsid w:val="00087FDD"/>
    <w:rsid w:val="000909E7"/>
    <w:rsid w:val="0009137E"/>
    <w:rsid w:val="00091641"/>
    <w:rsid w:val="000925A8"/>
    <w:rsid w:val="000933F0"/>
    <w:rsid w:val="000934BB"/>
    <w:rsid w:val="00093E2B"/>
    <w:rsid w:val="0009404D"/>
    <w:rsid w:val="00095190"/>
    <w:rsid w:val="00095F0B"/>
    <w:rsid w:val="000965F8"/>
    <w:rsid w:val="00097086"/>
    <w:rsid w:val="000972D5"/>
    <w:rsid w:val="00097341"/>
    <w:rsid w:val="000A0341"/>
    <w:rsid w:val="000A0A89"/>
    <w:rsid w:val="000A0F63"/>
    <w:rsid w:val="000A140E"/>
    <w:rsid w:val="000A1478"/>
    <w:rsid w:val="000A2A7F"/>
    <w:rsid w:val="000A2A9E"/>
    <w:rsid w:val="000A3168"/>
    <w:rsid w:val="000A3BF5"/>
    <w:rsid w:val="000A4CBF"/>
    <w:rsid w:val="000A501B"/>
    <w:rsid w:val="000A6520"/>
    <w:rsid w:val="000A68A7"/>
    <w:rsid w:val="000A6FC2"/>
    <w:rsid w:val="000A7151"/>
    <w:rsid w:val="000A7817"/>
    <w:rsid w:val="000A7880"/>
    <w:rsid w:val="000A7AB3"/>
    <w:rsid w:val="000B04A9"/>
    <w:rsid w:val="000B06AA"/>
    <w:rsid w:val="000B1750"/>
    <w:rsid w:val="000B351B"/>
    <w:rsid w:val="000B63DB"/>
    <w:rsid w:val="000B7A65"/>
    <w:rsid w:val="000C052D"/>
    <w:rsid w:val="000C0915"/>
    <w:rsid w:val="000C0D1E"/>
    <w:rsid w:val="000C1424"/>
    <w:rsid w:val="000C1559"/>
    <w:rsid w:val="000C1847"/>
    <w:rsid w:val="000C3592"/>
    <w:rsid w:val="000C56BA"/>
    <w:rsid w:val="000C56F3"/>
    <w:rsid w:val="000C6325"/>
    <w:rsid w:val="000C639F"/>
    <w:rsid w:val="000C6CC4"/>
    <w:rsid w:val="000C7465"/>
    <w:rsid w:val="000C7A61"/>
    <w:rsid w:val="000C7CCB"/>
    <w:rsid w:val="000D0567"/>
    <w:rsid w:val="000D05F8"/>
    <w:rsid w:val="000D0C2A"/>
    <w:rsid w:val="000D203C"/>
    <w:rsid w:val="000D2397"/>
    <w:rsid w:val="000D25A8"/>
    <w:rsid w:val="000D2679"/>
    <w:rsid w:val="000D298B"/>
    <w:rsid w:val="000D3CB0"/>
    <w:rsid w:val="000D5B0C"/>
    <w:rsid w:val="000D6107"/>
    <w:rsid w:val="000D6821"/>
    <w:rsid w:val="000D7F37"/>
    <w:rsid w:val="000E051F"/>
    <w:rsid w:val="000E1A0F"/>
    <w:rsid w:val="000E1BDC"/>
    <w:rsid w:val="000E2A46"/>
    <w:rsid w:val="000E2EF2"/>
    <w:rsid w:val="000E36D3"/>
    <w:rsid w:val="000E4CD2"/>
    <w:rsid w:val="000E50D1"/>
    <w:rsid w:val="000E5BE1"/>
    <w:rsid w:val="000E5D65"/>
    <w:rsid w:val="000E5FD8"/>
    <w:rsid w:val="000F0B43"/>
    <w:rsid w:val="000F151F"/>
    <w:rsid w:val="000F157F"/>
    <w:rsid w:val="000F1A65"/>
    <w:rsid w:val="000F2527"/>
    <w:rsid w:val="000F2A0E"/>
    <w:rsid w:val="000F42BF"/>
    <w:rsid w:val="000F4674"/>
    <w:rsid w:val="000F4DE9"/>
    <w:rsid w:val="000F4E75"/>
    <w:rsid w:val="000F5007"/>
    <w:rsid w:val="000F65E3"/>
    <w:rsid w:val="000F7A54"/>
    <w:rsid w:val="00100B3E"/>
    <w:rsid w:val="00100BA6"/>
    <w:rsid w:val="00100DD1"/>
    <w:rsid w:val="001013C8"/>
    <w:rsid w:val="00103E73"/>
    <w:rsid w:val="00105921"/>
    <w:rsid w:val="0010631D"/>
    <w:rsid w:val="00107032"/>
    <w:rsid w:val="001072C1"/>
    <w:rsid w:val="0011076E"/>
    <w:rsid w:val="001108AE"/>
    <w:rsid w:val="00111733"/>
    <w:rsid w:val="00111DA8"/>
    <w:rsid w:val="001144DE"/>
    <w:rsid w:val="00115ADA"/>
    <w:rsid w:val="0011627D"/>
    <w:rsid w:val="0011681F"/>
    <w:rsid w:val="00116CEF"/>
    <w:rsid w:val="00117562"/>
    <w:rsid w:val="00120DB5"/>
    <w:rsid w:val="00121D7F"/>
    <w:rsid w:val="001225B6"/>
    <w:rsid w:val="001236B1"/>
    <w:rsid w:val="001239A1"/>
    <w:rsid w:val="0012422F"/>
    <w:rsid w:val="00124E45"/>
    <w:rsid w:val="00124EA7"/>
    <w:rsid w:val="00125CA0"/>
    <w:rsid w:val="00126ED5"/>
    <w:rsid w:val="001279BC"/>
    <w:rsid w:val="0013020D"/>
    <w:rsid w:val="001328E1"/>
    <w:rsid w:val="00133E7D"/>
    <w:rsid w:val="00134E4C"/>
    <w:rsid w:val="001352D0"/>
    <w:rsid w:val="001368CE"/>
    <w:rsid w:val="00136AB3"/>
    <w:rsid w:val="0014011C"/>
    <w:rsid w:val="00140AF2"/>
    <w:rsid w:val="001410AA"/>
    <w:rsid w:val="00141A1D"/>
    <w:rsid w:val="0014276B"/>
    <w:rsid w:val="00143407"/>
    <w:rsid w:val="001436FF"/>
    <w:rsid w:val="00143B86"/>
    <w:rsid w:val="001445D4"/>
    <w:rsid w:val="001450FB"/>
    <w:rsid w:val="00146940"/>
    <w:rsid w:val="001471BA"/>
    <w:rsid w:val="001477F1"/>
    <w:rsid w:val="00150555"/>
    <w:rsid w:val="0015158A"/>
    <w:rsid w:val="00151A86"/>
    <w:rsid w:val="00151CA5"/>
    <w:rsid w:val="001526B0"/>
    <w:rsid w:val="0015294F"/>
    <w:rsid w:val="0015306A"/>
    <w:rsid w:val="00153109"/>
    <w:rsid w:val="00153ED1"/>
    <w:rsid w:val="0015446E"/>
    <w:rsid w:val="001544F3"/>
    <w:rsid w:val="001569F6"/>
    <w:rsid w:val="00160478"/>
    <w:rsid w:val="00160EC8"/>
    <w:rsid w:val="00161020"/>
    <w:rsid w:val="0016333E"/>
    <w:rsid w:val="00163551"/>
    <w:rsid w:val="0016391E"/>
    <w:rsid w:val="0016411E"/>
    <w:rsid w:val="00164633"/>
    <w:rsid w:val="001649DD"/>
    <w:rsid w:val="001653FE"/>
    <w:rsid w:val="0016543E"/>
    <w:rsid w:val="00165789"/>
    <w:rsid w:val="00165886"/>
    <w:rsid w:val="00165DF8"/>
    <w:rsid w:val="00166097"/>
    <w:rsid w:val="00167632"/>
    <w:rsid w:val="00171155"/>
    <w:rsid w:val="00172345"/>
    <w:rsid w:val="0017278A"/>
    <w:rsid w:val="00172C14"/>
    <w:rsid w:val="00173675"/>
    <w:rsid w:val="0017445F"/>
    <w:rsid w:val="001744F8"/>
    <w:rsid w:val="001749C7"/>
    <w:rsid w:val="00174A12"/>
    <w:rsid w:val="00175A60"/>
    <w:rsid w:val="00176A5A"/>
    <w:rsid w:val="00176A73"/>
    <w:rsid w:val="00176B47"/>
    <w:rsid w:val="001774B6"/>
    <w:rsid w:val="0018049E"/>
    <w:rsid w:val="001816E6"/>
    <w:rsid w:val="00181BAE"/>
    <w:rsid w:val="00181C4B"/>
    <w:rsid w:val="00182716"/>
    <w:rsid w:val="001828A9"/>
    <w:rsid w:val="00182EC3"/>
    <w:rsid w:val="00183213"/>
    <w:rsid w:val="001835E5"/>
    <w:rsid w:val="001838EA"/>
    <w:rsid w:val="00183FA2"/>
    <w:rsid w:val="001840AF"/>
    <w:rsid w:val="00184C77"/>
    <w:rsid w:val="00185757"/>
    <w:rsid w:val="00185A2A"/>
    <w:rsid w:val="00186FA8"/>
    <w:rsid w:val="0019097F"/>
    <w:rsid w:val="00190E5C"/>
    <w:rsid w:val="00190F09"/>
    <w:rsid w:val="001925FA"/>
    <w:rsid w:val="001929D0"/>
    <w:rsid w:val="00192DAA"/>
    <w:rsid w:val="00192FB8"/>
    <w:rsid w:val="0019369B"/>
    <w:rsid w:val="00194317"/>
    <w:rsid w:val="0019456E"/>
    <w:rsid w:val="0019510E"/>
    <w:rsid w:val="0019591F"/>
    <w:rsid w:val="00196989"/>
    <w:rsid w:val="00196BC5"/>
    <w:rsid w:val="0019714E"/>
    <w:rsid w:val="001972E6"/>
    <w:rsid w:val="001979DA"/>
    <w:rsid w:val="001A125B"/>
    <w:rsid w:val="001A1EB0"/>
    <w:rsid w:val="001A23C6"/>
    <w:rsid w:val="001A28D6"/>
    <w:rsid w:val="001A2F0E"/>
    <w:rsid w:val="001A3ADE"/>
    <w:rsid w:val="001A4A15"/>
    <w:rsid w:val="001A4BE5"/>
    <w:rsid w:val="001A62B3"/>
    <w:rsid w:val="001A646C"/>
    <w:rsid w:val="001A7F63"/>
    <w:rsid w:val="001B0A26"/>
    <w:rsid w:val="001B1377"/>
    <w:rsid w:val="001B18C7"/>
    <w:rsid w:val="001B1FE0"/>
    <w:rsid w:val="001B2472"/>
    <w:rsid w:val="001B316F"/>
    <w:rsid w:val="001B3CA2"/>
    <w:rsid w:val="001B4807"/>
    <w:rsid w:val="001B56F9"/>
    <w:rsid w:val="001B67FD"/>
    <w:rsid w:val="001B69EE"/>
    <w:rsid w:val="001B7E08"/>
    <w:rsid w:val="001C105F"/>
    <w:rsid w:val="001C16BB"/>
    <w:rsid w:val="001C1723"/>
    <w:rsid w:val="001C5E26"/>
    <w:rsid w:val="001D17FF"/>
    <w:rsid w:val="001D1A0A"/>
    <w:rsid w:val="001D1B24"/>
    <w:rsid w:val="001D2433"/>
    <w:rsid w:val="001D2809"/>
    <w:rsid w:val="001D2BF4"/>
    <w:rsid w:val="001D35E8"/>
    <w:rsid w:val="001D3D2D"/>
    <w:rsid w:val="001D5AC8"/>
    <w:rsid w:val="001D753E"/>
    <w:rsid w:val="001D7813"/>
    <w:rsid w:val="001D7895"/>
    <w:rsid w:val="001E2839"/>
    <w:rsid w:val="001E2E5D"/>
    <w:rsid w:val="001E3300"/>
    <w:rsid w:val="001E3AF8"/>
    <w:rsid w:val="001E4263"/>
    <w:rsid w:val="001E59A3"/>
    <w:rsid w:val="001F1DBC"/>
    <w:rsid w:val="001F2213"/>
    <w:rsid w:val="001F233D"/>
    <w:rsid w:val="001F2542"/>
    <w:rsid w:val="001F3312"/>
    <w:rsid w:val="001F34B7"/>
    <w:rsid w:val="001F3B55"/>
    <w:rsid w:val="001F43FF"/>
    <w:rsid w:val="001F54C1"/>
    <w:rsid w:val="001F6D56"/>
    <w:rsid w:val="001F707B"/>
    <w:rsid w:val="001F74AA"/>
    <w:rsid w:val="0020067B"/>
    <w:rsid w:val="00203D24"/>
    <w:rsid w:val="00203FE0"/>
    <w:rsid w:val="00204499"/>
    <w:rsid w:val="00204EB7"/>
    <w:rsid w:val="00204F99"/>
    <w:rsid w:val="00205343"/>
    <w:rsid w:val="00206531"/>
    <w:rsid w:val="00206EEE"/>
    <w:rsid w:val="002078AF"/>
    <w:rsid w:val="00212AB8"/>
    <w:rsid w:val="00213022"/>
    <w:rsid w:val="0021457C"/>
    <w:rsid w:val="002153B8"/>
    <w:rsid w:val="00215AE6"/>
    <w:rsid w:val="00215B95"/>
    <w:rsid w:val="00220530"/>
    <w:rsid w:val="00220E31"/>
    <w:rsid w:val="002210B2"/>
    <w:rsid w:val="002212E1"/>
    <w:rsid w:val="00221ACF"/>
    <w:rsid w:val="0022399B"/>
    <w:rsid w:val="0022428B"/>
    <w:rsid w:val="00225120"/>
    <w:rsid w:val="002254D2"/>
    <w:rsid w:val="00225639"/>
    <w:rsid w:val="00225708"/>
    <w:rsid w:val="00226111"/>
    <w:rsid w:val="00226DEE"/>
    <w:rsid w:val="002270DF"/>
    <w:rsid w:val="0022742A"/>
    <w:rsid w:val="00227809"/>
    <w:rsid w:val="0023002D"/>
    <w:rsid w:val="0023095B"/>
    <w:rsid w:val="00230978"/>
    <w:rsid w:val="00231138"/>
    <w:rsid w:val="0023189F"/>
    <w:rsid w:val="00231CA0"/>
    <w:rsid w:val="00233757"/>
    <w:rsid w:val="00233B01"/>
    <w:rsid w:val="0023443A"/>
    <w:rsid w:val="00235547"/>
    <w:rsid w:val="002355EC"/>
    <w:rsid w:val="00235BC3"/>
    <w:rsid w:val="0023612A"/>
    <w:rsid w:val="00236B65"/>
    <w:rsid w:val="00237B66"/>
    <w:rsid w:val="00237FD2"/>
    <w:rsid w:val="00241AA1"/>
    <w:rsid w:val="002421BB"/>
    <w:rsid w:val="00242A9D"/>
    <w:rsid w:val="002438CD"/>
    <w:rsid w:val="00244BFA"/>
    <w:rsid w:val="00246D0F"/>
    <w:rsid w:val="00246E15"/>
    <w:rsid w:val="00247048"/>
    <w:rsid w:val="0024759A"/>
    <w:rsid w:val="002478A3"/>
    <w:rsid w:val="00247A96"/>
    <w:rsid w:val="00250117"/>
    <w:rsid w:val="0025019A"/>
    <w:rsid w:val="00250C0C"/>
    <w:rsid w:val="00252B58"/>
    <w:rsid w:val="00252EFE"/>
    <w:rsid w:val="0025387F"/>
    <w:rsid w:val="00254D82"/>
    <w:rsid w:val="00254E59"/>
    <w:rsid w:val="00255226"/>
    <w:rsid w:val="0025678B"/>
    <w:rsid w:val="00260180"/>
    <w:rsid w:val="00261959"/>
    <w:rsid w:val="00261995"/>
    <w:rsid w:val="00262843"/>
    <w:rsid w:val="00262E28"/>
    <w:rsid w:val="00263563"/>
    <w:rsid w:val="00263CAA"/>
    <w:rsid w:val="00264171"/>
    <w:rsid w:val="00265864"/>
    <w:rsid w:val="00266428"/>
    <w:rsid w:val="002665E3"/>
    <w:rsid w:val="00266EC5"/>
    <w:rsid w:val="00267408"/>
    <w:rsid w:val="00267AC5"/>
    <w:rsid w:val="00267AE5"/>
    <w:rsid w:val="00270A1B"/>
    <w:rsid w:val="00270E37"/>
    <w:rsid w:val="00270E83"/>
    <w:rsid w:val="002732B6"/>
    <w:rsid w:val="0027527B"/>
    <w:rsid w:val="002752E8"/>
    <w:rsid w:val="002753D0"/>
    <w:rsid w:val="00276738"/>
    <w:rsid w:val="002771FA"/>
    <w:rsid w:val="002774F4"/>
    <w:rsid w:val="00277A00"/>
    <w:rsid w:val="00277E3B"/>
    <w:rsid w:val="00283005"/>
    <w:rsid w:val="00283486"/>
    <w:rsid w:val="00283D76"/>
    <w:rsid w:val="0028463F"/>
    <w:rsid w:val="0028583C"/>
    <w:rsid w:val="00285AE9"/>
    <w:rsid w:val="002865B2"/>
    <w:rsid w:val="00287E35"/>
    <w:rsid w:val="002903EF"/>
    <w:rsid w:val="00291887"/>
    <w:rsid w:val="002923AA"/>
    <w:rsid w:val="002937F9"/>
    <w:rsid w:val="00295568"/>
    <w:rsid w:val="00297CB0"/>
    <w:rsid w:val="002A06FE"/>
    <w:rsid w:val="002A14F4"/>
    <w:rsid w:val="002A2A2E"/>
    <w:rsid w:val="002A4AD4"/>
    <w:rsid w:val="002A4C5D"/>
    <w:rsid w:val="002A5447"/>
    <w:rsid w:val="002A5486"/>
    <w:rsid w:val="002A613D"/>
    <w:rsid w:val="002A700B"/>
    <w:rsid w:val="002B00AD"/>
    <w:rsid w:val="002B0268"/>
    <w:rsid w:val="002B1583"/>
    <w:rsid w:val="002B22AD"/>
    <w:rsid w:val="002B3060"/>
    <w:rsid w:val="002B32E2"/>
    <w:rsid w:val="002B48FC"/>
    <w:rsid w:val="002B4C82"/>
    <w:rsid w:val="002B4EED"/>
    <w:rsid w:val="002B5069"/>
    <w:rsid w:val="002B7C77"/>
    <w:rsid w:val="002C082B"/>
    <w:rsid w:val="002C1D98"/>
    <w:rsid w:val="002C4015"/>
    <w:rsid w:val="002C6000"/>
    <w:rsid w:val="002C6895"/>
    <w:rsid w:val="002C780F"/>
    <w:rsid w:val="002C7FCB"/>
    <w:rsid w:val="002CC2DF"/>
    <w:rsid w:val="002D0514"/>
    <w:rsid w:val="002D09D6"/>
    <w:rsid w:val="002D0A76"/>
    <w:rsid w:val="002D198E"/>
    <w:rsid w:val="002D2B4D"/>
    <w:rsid w:val="002D46EE"/>
    <w:rsid w:val="002D4A66"/>
    <w:rsid w:val="002D5002"/>
    <w:rsid w:val="002D635C"/>
    <w:rsid w:val="002D6FAB"/>
    <w:rsid w:val="002D6FDA"/>
    <w:rsid w:val="002D7D65"/>
    <w:rsid w:val="002E00E2"/>
    <w:rsid w:val="002E0BCD"/>
    <w:rsid w:val="002E1932"/>
    <w:rsid w:val="002E1C0A"/>
    <w:rsid w:val="002E229B"/>
    <w:rsid w:val="002E2F5D"/>
    <w:rsid w:val="002E3082"/>
    <w:rsid w:val="002E321B"/>
    <w:rsid w:val="002E39B5"/>
    <w:rsid w:val="002E4F1F"/>
    <w:rsid w:val="002E579F"/>
    <w:rsid w:val="002E57E5"/>
    <w:rsid w:val="002E5F25"/>
    <w:rsid w:val="002E74D6"/>
    <w:rsid w:val="002E7EAD"/>
    <w:rsid w:val="002F0F87"/>
    <w:rsid w:val="002F13B9"/>
    <w:rsid w:val="002F22EA"/>
    <w:rsid w:val="002F2C34"/>
    <w:rsid w:val="002F2DB5"/>
    <w:rsid w:val="002F3A80"/>
    <w:rsid w:val="002F5D82"/>
    <w:rsid w:val="002F70C1"/>
    <w:rsid w:val="002F75B6"/>
    <w:rsid w:val="002F7FD4"/>
    <w:rsid w:val="003021AA"/>
    <w:rsid w:val="003022B2"/>
    <w:rsid w:val="00303D56"/>
    <w:rsid w:val="00304273"/>
    <w:rsid w:val="00304AA2"/>
    <w:rsid w:val="00304CF7"/>
    <w:rsid w:val="00305F5D"/>
    <w:rsid w:val="0030682F"/>
    <w:rsid w:val="003069C4"/>
    <w:rsid w:val="00306DE5"/>
    <w:rsid w:val="003070C6"/>
    <w:rsid w:val="00310D0F"/>
    <w:rsid w:val="00310DF8"/>
    <w:rsid w:val="00311EE6"/>
    <w:rsid w:val="00311FDF"/>
    <w:rsid w:val="00316641"/>
    <w:rsid w:val="00317CFB"/>
    <w:rsid w:val="00322588"/>
    <w:rsid w:val="00322ABF"/>
    <w:rsid w:val="00322CE8"/>
    <w:rsid w:val="00326156"/>
    <w:rsid w:val="00327F75"/>
    <w:rsid w:val="0033069F"/>
    <w:rsid w:val="00331EB3"/>
    <w:rsid w:val="00333078"/>
    <w:rsid w:val="00335020"/>
    <w:rsid w:val="003355AD"/>
    <w:rsid w:val="0033757C"/>
    <w:rsid w:val="003377C3"/>
    <w:rsid w:val="00337EC7"/>
    <w:rsid w:val="00337F89"/>
    <w:rsid w:val="00340AD9"/>
    <w:rsid w:val="003410CD"/>
    <w:rsid w:val="00341391"/>
    <w:rsid w:val="00341DCB"/>
    <w:rsid w:val="00342B11"/>
    <w:rsid w:val="0034373B"/>
    <w:rsid w:val="00343CF1"/>
    <w:rsid w:val="0034439A"/>
    <w:rsid w:val="003444CF"/>
    <w:rsid w:val="00345A1B"/>
    <w:rsid w:val="00345C20"/>
    <w:rsid w:val="00346763"/>
    <w:rsid w:val="00346A3E"/>
    <w:rsid w:val="00347B51"/>
    <w:rsid w:val="00350A59"/>
    <w:rsid w:val="003511FD"/>
    <w:rsid w:val="0035216C"/>
    <w:rsid w:val="003522F4"/>
    <w:rsid w:val="00353C11"/>
    <w:rsid w:val="003545C6"/>
    <w:rsid w:val="00354829"/>
    <w:rsid w:val="003555A6"/>
    <w:rsid w:val="00357E99"/>
    <w:rsid w:val="003605CA"/>
    <w:rsid w:val="003606B2"/>
    <w:rsid w:val="00360AA1"/>
    <w:rsid w:val="00362C6A"/>
    <w:rsid w:val="00362C7D"/>
    <w:rsid w:val="00363060"/>
    <w:rsid w:val="0036322B"/>
    <w:rsid w:val="00363443"/>
    <w:rsid w:val="003646AD"/>
    <w:rsid w:val="003652DE"/>
    <w:rsid w:val="0036538C"/>
    <w:rsid w:val="00365EB3"/>
    <w:rsid w:val="00366626"/>
    <w:rsid w:val="00366E92"/>
    <w:rsid w:val="0036745B"/>
    <w:rsid w:val="0037060B"/>
    <w:rsid w:val="003706F6"/>
    <w:rsid w:val="00371882"/>
    <w:rsid w:val="00371DA4"/>
    <w:rsid w:val="00371E6B"/>
    <w:rsid w:val="00372714"/>
    <w:rsid w:val="00372C20"/>
    <w:rsid w:val="00373061"/>
    <w:rsid w:val="00373954"/>
    <w:rsid w:val="0037409E"/>
    <w:rsid w:val="0037419B"/>
    <w:rsid w:val="00374F12"/>
    <w:rsid w:val="00375294"/>
    <w:rsid w:val="00375C30"/>
    <w:rsid w:val="00376491"/>
    <w:rsid w:val="0037746D"/>
    <w:rsid w:val="00377EEE"/>
    <w:rsid w:val="0038017F"/>
    <w:rsid w:val="00380880"/>
    <w:rsid w:val="00380E9A"/>
    <w:rsid w:val="00382BA9"/>
    <w:rsid w:val="00384B86"/>
    <w:rsid w:val="00385319"/>
    <w:rsid w:val="003854CB"/>
    <w:rsid w:val="003877F6"/>
    <w:rsid w:val="003906E3"/>
    <w:rsid w:val="003930A7"/>
    <w:rsid w:val="00393F49"/>
    <w:rsid w:val="00394753"/>
    <w:rsid w:val="00395F72"/>
    <w:rsid w:val="003964BC"/>
    <w:rsid w:val="003969D3"/>
    <w:rsid w:val="003972D7"/>
    <w:rsid w:val="00397459"/>
    <w:rsid w:val="003A08A7"/>
    <w:rsid w:val="003A0A47"/>
    <w:rsid w:val="003A17CB"/>
    <w:rsid w:val="003A1BDF"/>
    <w:rsid w:val="003A1CEC"/>
    <w:rsid w:val="003A233B"/>
    <w:rsid w:val="003A2ABD"/>
    <w:rsid w:val="003A2E3D"/>
    <w:rsid w:val="003A3CFF"/>
    <w:rsid w:val="003A5467"/>
    <w:rsid w:val="003A5816"/>
    <w:rsid w:val="003A5B08"/>
    <w:rsid w:val="003A5F9D"/>
    <w:rsid w:val="003A63F1"/>
    <w:rsid w:val="003A6AEE"/>
    <w:rsid w:val="003A7F96"/>
    <w:rsid w:val="003A7FB4"/>
    <w:rsid w:val="003B11A7"/>
    <w:rsid w:val="003B12FC"/>
    <w:rsid w:val="003B23CF"/>
    <w:rsid w:val="003B2E5D"/>
    <w:rsid w:val="003B3A43"/>
    <w:rsid w:val="003B4CF5"/>
    <w:rsid w:val="003B5A38"/>
    <w:rsid w:val="003B5EA7"/>
    <w:rsid w:val="003B5F6B"/>
    <w:rsid w:val="003B60D6"/>
    <w:rsid w:val="003B767A"/>
    <w:rsid w:val="003B78F1"/>
    <w:rsid w:val="003B7EC3"/>
    <w:rsid w:val="003C15FB"/>
    <w:rsid w:val="003C20BE"/>
    <w:rsid w:val="003C29E5"/>
    <w:rsid w:val="003C3761"/>
    <w:rsid w:val="003C407D"/>
    <w:rsid w:val="003C5BB7"/>
    <w:rsid w:val="003C7797"/>
    <w:rsid w:val="003D1855"/>
    <w:rsid w:val="003D2729"/>
    <w:rsid w:val="003D2EF0"/>
    <w:rsid w:val="003D3013"/>
    <w:rsid w:val="003D634E"/>
    <w:rsid w:val="003DB3DF"/>
    <w:rsid w:val="003E0561"/>
    <w:rsid w:val="003E0C39"/>
    <w:rsid w:val="003E0D6E"/>
    <w:rsid w:val="003E19F9"/>
    <w:rsid w:val="003E1C89"/>
    <w:rsid w:val="003E2633"/>
    <w:rsid w:val="003E3079"/>
    <w:rsid w:val="003E3A8F"/>
    <w:rsid w:val="003E5A69"/>
    <w:rsid w:val="003E6028"/>
    <w:rsid w:val="003E6906"/>
    <w:rsid w:val="003E7AC3"/>
    <w:rsid w:val="003E7B44"/>
    <w:rsid w:val="003E7FBC"/>
    <w:rsid w:val="003F1A13"/>
    <w:rsid w:val="003F1C5E"/>
    <w:rsid w:val="003F2329"/>
    <w:rsid w:val="003F2AAB"/>
    <w:rsid w:val="003F2E98"/>
    <w:rsid w:val="003F3A55"/>
    <w:rsid w:val="003F4CC3"/>
    <w:rsid w:val="003F51C1"/>
    <w:rsid w:val="003F5874"/>
    <w:rsid w:val="003F5E07"/>
    <w:rsid w:val="003F5FDE"/>
    <w:rsid w:val="003F66C6"/>
    <w:rsid w:val="003F681C"/>
    <w:rsid w:val="003F6DA6"/>
    <w:rsid w:val="003F780F"/>
    <w:rsid w:val="00400137"/>
    <w:rsid w:val="00401350"/>
    <w:rsid w:val="004018EE"/>
    <w:rsid w:val="00402535"/>
    <w:rsid w:val="004029DC"/>
    <w:rsid w:val="00405380"/>
    <w:rsid w:val="00405524"/>
    <w:rsid w:val="00405C85"/>
    <w:rsid w:val="00406153"/>
    <w:rsid w:val="00406B6E"/>
    <w:rsid w:val="00407537"/>
    <w:rsid w:val="00407AB7"/>
    <w:rsid w:val="004106D4"/>
    <w:rsid w:val="00410D1A"/>
    <w:rsid w:val="00410E83"/>
    <w:rsid w:val="00412492"/>
    <w:rsid w:val="00413004"/>
    <w:rsid w:val="0041331B"/>
    <w:rsid w:val="00413421"/>
    <w:rsid w:val="004136E5"/>
    <w:rsid w:val="00414926"/>
    <w:rsid w:val="00415B5F"/>
    <w:rsid w:val="004162A0"/>
    <w:rsid w:val="004166A2"/>
    <w:rsid w:val="0041675F"/>
    <w:rsid w:val="00417149"/>
    <w:rsid w:val="0042006C"/>
    <w:rsid w:val="00420380"/>
    <w:rsid w:val="00420A0F"/>
    <w:rsid w:val="00421340"/>
    <w:rsid w:val="004214D2"/>
    <w:rsid w:val="00422C1A"/>
    <w:rsid w:val="00423EAF"/>
    <w:rsid w:val="00425026"/>
    <w:rsid w:val="004251B4"/>
    <w:rsid w:val="00425870"/>
    <w:rsid w:val="00425999"/>
    <w:rsid w:val="004269E1"/>
    <w:rsid w:val="00426B4D"/>
    <w:rsid w:val="00427140"/>
    <w:rsid w:val="0042721F"/>
    <w:rsid w:val="00427B7B"/>
    <w:rsid w:val="00430432"/>
    <w:rsid w:val="004319D2"/>
    <w:rsid w:val="00432B54"/>
    <w:rsid w:val="004331A6"/>
    <w:rsid w:val="004333AF"/>
    <w:rsid w:val="004333BB"/>
    <w:rsid w:val="004336D8"/>
    <w:rsid w:val="00434045"/>
    <w:rsid w:val="00435456"/>
    <w:rsid w:val="004361AB"/>
    <w:rsid w:val="004373C5"/>
    <w:rsid w:val="004374A2"/>
    <w:rsid w:val="00437A27"/>
    <w:rsid w:val="00437EFC"/>
    <w:rsid w:val="004405B0"/>
    <w:rsid w:val="00441AAB"/>
    <w:rsid w:val="004424BE"/>
    <w:rsid w:val="00444016"/>
    <w:rsid w:val="00446CE5"/>
    <w:rsid w:val="00447077"/>
    <w:rsid w:val="004473BC"/>
    <w:rsid w:val="00450820"/>
    <w:rsid w:val="004511C8"/>
    <w:rsid w:val="0045175C"/>
    <w:rsid w:val="00452053"/>
    <w:rsid w:val="00454D7D"/>
    <w:rsid w:val="00454D9D"/>
    <w:rsid w:val="0045532E"/>
    <w:rsid w:val="00456CE5"/>
    <w:rsid w:val="004578EC"/>
    <w:rsid w:val="0046031A"/>
    <w:rsid w:val="004611CA"/>
    <w:rsid w:val="00461688"/>
    <w:rsid w:val="0046198F"/>
    <w:rsid w:val="00461AA3"/>
    <w:rsid w:val="00461F78"/>
    <w:rsid w:val="00462DA7"/>
    <w:rsid w:val="00462F04"/>
    <w:rsid w:val="0046363E"/>
    <w:rsid w:val="004646E8"/>
    <w:rsid w:val="004647EC"/>
    <w:rsid w:val="00464F34"/>
    <w:rsid w:val="00465A27"/>
    <w:rsid w:val="00465D54"/>
    <w:rsid w:val="004678A5"/>
    <w:rsid w:val="0047082C"/>
    <w:rsid w:val="00472869"/>
    <w:rsid w:val="00472DBB"/>
    <w:rsid w:val="004736AE"/>
    <w:rsid w:val="00473DC4"/>
    <w:rsid w:val="00474162"/>
    <w:rsid w:val="004747BD"/>
    <w:rsid w:val="00474BB6"/>
    <w:rsid w:val="00474F45"/>
    <w:rsid w:val="00476678"/>
    <w:rsid w:val="00476B44"/>
    <w:rsid w:val="00477A4C"/>
    <w:rsid w:val="00481045"/>
    <w:rsid w:val="00481B5F"/>
    <w:rsid w:val="00481EE4"/>
    <w:rsid w:val="004846A7"/>
    <w:rsid w:val="00485582"/>
    <w:rsid w:val="00485D8F"/>
    <w:rsid w:val="0048720E"/>
    <w:rsid w:val="0049033D"/>
    <w:rsid w:val="00490408"/>
    <w:rsid w:val="00490446"/>
    <w:rsid w:val="0049117C"/>
    <w:rsid w:val="00491188"/>
    <w:rsid w:val="004937A0"/>
    <w:rsid w:val="004970C3"/>
    <w:rsid w:val="004A19FA"/>
    <w:rsid w:val="004A1D3B"/>
    <w:rsid w:val="004A1F8D"/>
    <w:rsid w:val="004A5CF7"/>
    <w:rsid w:val="004A5F97"/>
    <w:rsid w:val="004A7378"/>
    <w:rsid w:val="004A738C"/>
    <w:rsid w:val="004B0BFE"/>
    <w:rsid w:val="004B0C46"/>
    <w:rsid w:val="004B0DE1"/>
    <w:rsid w:val="004B1FAD"/>
    <w:rsid w:val="004B20E8"/>
    <w:rsid w:val="004B2E58"/>
    <w:rsid w:val="004B2EF6"/>
    <w:rsid w:val="004B43EE"/>
    <w:rsid w:val="004B449F"/>
    <w:rsid w:val="004B482C"/>
    <w:rsid w:val="004B5CAE"/>
    <w:rsid w:val="004B5E31"/>
    <w:rsid w:val="004C1390"/>
    <w:rsid w:val="004C171A"/>
    <w:rsid w:val="004C262F"/>
    <w:rsid w:val="004C3470"/>
    <w:rsid w:val="004C4524"/>
    <w:rsid w:val="004C6338"/>
    <w:rsid w:val="004D01C9"/>
    <w:rsid w:val="004D0480"/>
    <w:rsid w:val="004D04B7"/>
    <w:rsid w:val="004D0CD2"/>
    <w:rsid w:val="004D12E9"/>
    <w:rsid w:val="004D1F51"/>
    <w:rsid w:val="004D25FE"/>
    <w:rsid w:val="004D2A1C"/>
    <w:rsid w:val="004D5B08"/>
    <w:rsid w:val="004D6155"/>
    <w:rsid w:val="004D7C4C"/>
    <w:rsid w:val="004E060B"/>
    <w:rsid w:val="004E08DC"/>
    <w:rsid w:val="004E0CCF"/>
    <w:rsid w:val="004E37A0"/>
    <w:rsid w:val="004E485C"/>
    <w:rsid w:val="004E53A9"/>
    <w:rsid w:val="004E59B1"/>
    <w:rsid w:val="004E6812"/>
    <w:rsid w:val="004E75C1"/>
    <w:rsid w:val="004E7E70"/>
    <w:rsid w:val="004F1216"/>
    <w:rsid w:val="004F4852"/>
    <w:rsid w:val="004F5228"/>
    <w:rsid w:val="005003D0"/>
    <w:rsid w:val="005013B9"/>
    <w:rsid w:val="005038C8"/>
    <w:rsid w:val="00503A1E"/>
    <w:rsid w:val="00504155"/>
    <w:rsid w:val="00504668"/>
    <w:rsid w:val="0050567F"/>
    <w:rsid w:val="00505B00"/>
    <w:rsid w:val="00506251"/>
    <w:rsid w:val="005074BD"/>
    <w:rsid w:val="0051017C"/>
    <w:rsid w:val="00510651"/>
    <w:rsid w:val="00512206"/>
    <w:rsid w:val="00512AB6"/>
    <w:rsid w:val="00512BF8"/>
    <w:rsid w:val="005153ED"/>
    <w:rsid w:val="00515763"/>
    <w:rsid w:val="00515D58"/>
    <w:rsid w:val="00515E3A"/>
    <w:rsid w:val="00516975"/>
    <w:rsid w:val="00516C40"/>
    <w:rsid w:val="00516CD5"/>
    <w:rsid w:val="00517CE4"/>
    <w:rsid w:val="00520271"/>
    <w:rsid w:val="00520EFC"/>
    <w:rsid w:val="00522090"/>
    <w:rsid w:val="005220CD"/>
    <w:rsid w:val="005227F0"/>
    <w:rsid w:val="0052406D"/>
    <w:rsid w:val="005241F8"/>
    <w:rsid w:val="00525426"/>
    <w:rsid w:val="00525448"/>
    <w:rsid w:val="00526880"/>
    <w:rsid w:val="00530474"/>
    <w:rsid w:val="005305BF"/>
    <w:rsid w:val="00530D9D"/>
    <w:rsid w:val="0053216F"/>
    <w:rsid w:val="00533125"/>
    <w:rsid w:val="005337B8"/>
    <w:rsid w:val="00533CF3"/>
    <w:rsid w:val="0053495B"/>
    <w:rsid w:val="005352C4"/>
    <w:rsid w:val="0053583F"/>
    <w:rsid w:val="005366A2"/>
    <w:rsid w:val="00537390"/>
    <w:rsid w:val="00537DF0"/>
    <w:rsid w:val="0054130B"/>
    <w:rsid w:val="00541C72"/>
    <w:rsid w:val="005424CF"/>
    <w:rsid w:val="00542BAA"/>
    <w:rsid w:val="0054351A"/>
    <w:rsid w:val="005441EC"/>
    <w:rsid w:val="0054514B"/>
    <w:rsid w:val="005459BE"/>
    <w:rsid w:val="00545AB8"/>
    <w:rsid w:val="0054696B"/>
    <w:rsid w:val="00546A05"/>
    <w:rsid w:val="00547254"/>
    <w:rsid w:val="00547260"/>
    <w:rsid w:val="00550A9F"/>
    <w:rsid w:val="00552917"/>
    <w:rsid w:val="00552A28"/>
    <w:rsid w:val="00553139"/>
    <w:rsid w:val="00553AF6"/>
    <w:rsid w:val="00555837"/>
    <w:rsid w:val="00555940"/>
    <w:rsid w:val="0055594D"/>
    <w:rsid w:val="00557DC8"/>
    <w:rsid w:val="0056166E"/>
    <w:rsid w:val="00561E28"/>
    <w:rsid w:val="005621AC"/>
    <w:rsid w:val="005623BF"/>
    <w:rsid w:val="00563C4B"/>
    <w:rsid w:val="00563DD5"/>
    <w:rsid w:val="00565751"/>
    <w:rsid w:val="00566E4A"/>
    <w:rsid w:val="005679AC"/>
    <w:rsid w:val="005704D9"/>
    <w:rsid w:val="00570FB4"/>
    <w:rsid w:val="0057111F"/>
    <w:rsid w:val="0057183B"/>
    <w:rsid w:val="00571CE5"/>
    <w:rsid w:val="005726E8"/>
    <w:rsid w:val="005733A9"/>
    <w:rsid w:val="00573445"/>
    <w:rsid w:val="005738C1"/>
    <w:rsid w:val="0057398B"/>
    <w:rsid w:val="00573EED"/>
    <w:rsid w:val="00574A61"/>
    <w:rsid w:val="00575D59"/>
    <w:rsid w:val="00575F66"/>
    <w:rsid w:val="00576FE7"/>
    <w:rsid w:val="00577A0E"/>
    <w:rsid w:val="005804F5"/>
    <w:rsid w:val="00580AB9"/>
    <w:rsid w:val="00581C0B"/>
    <w:rsid w:val="00582985"/>
    <w:rsid w:val="00583647"/>
    <w:rsid w:val="00584D4E"/>
    <w:rsid w:val="00585303"/>
    <w:rsid w:val="00585A6A"/>
    <w:rsid w:val="00585F4A"/>
    <w:rsid w:val="005863D4"/>
    <w:rsid w:val="00586810"/>
    <w:rsid w:val="00587034"/>
    <w:rsid w:val="00587D08"/>
    <w:rsid w:val="005906F2"/>
    <w:rsid w:val="005916C9"/>
    <w:rsid w:val="00592309"/>
    <w:rsid w:val="0059422F"/>
    <w:rsid w:val="005954E0"/>
    <w:rsid w:val="00595D04"/>
    <w:rsid w:val="00595EB1"/>
    <w:rsid w:val="005968EB"/>
    <w:rsid w:val="00597400"/>
    <w:rsid w:val="005A00A1"/>
    <w:rsid w:val="005A0A6B"/>
    <w:rsid w:val="005A11F3"/>
    <w:rsid w:val="005A6337"/>
    <w:rsid w:val="005A6B10"/>
    <w:rsid w:val="005A752E"/>
    <w:rsid w:val="005A7A5E"/>
    <w:rsid w:val="005A7D1E"/>
    <w:rsid w:val="005B0021"/>
    <w:rsid w:val="005B0104"/>
    <w:rsid w:val="005B0F34"/>
    <w:rsid w:val="005B1035"/>
    <w:rsid w:val="005B2278"/>
    <w:rsid w:val="005B28C5"/>
    <w:rsid w:val="005B3005"/>
    <w:rsid w:val="005B4541"/>
    <w:rsid w:val="005B5287"/>
    <w:rsid w:val="005B57D0"/>
    <w:rsid w:val="005B7001"/>
    <w:rsid w:val="005B7769"/>
    <w:rsid w:val="005C01D2"/>
    <w:rsid w:val="005C13D0"/>
    <w:rsid w:val="005C24F1"/>
    <w:rsid w:val="005C36D7"/>
    <w:rsid w:val="005C3BF8"/>
    <w:rsid w:val="005C3F0D"/>
    <w:rsid w:val="005C583A"/>
    <w:rsid w:val="005C5AA5"/>
    <w:rsid w:val="005C68DF"/>
    <w:rsid w:val="005C6C89"/>
    <w:rsid w:val="005C724C"/>
    <w:rsid w:val="005C728D"/>
    <w:rsid w:val="005D0C23"/>
    <w:rsid w:val="005D12DC"/>
    <w:rsid w:val="005D1B26"/>
    <w:rsid w:val="005D2DC5"/>
    <w:rsid w:val="005D3A08"/>
    <w:rsid w:val="005D62FB"/>
    <w:rsid w:val="005D662A"/>
    <w:rsid w:val="005D692C"/>
    <w:rsid w:val="005D7941"/>
    <w:rsid w:val="005D7ECA"/>
    <w:rsid w:val="005E05CF"/>
    <w:rsid w:val="005E11A8"/>
    <w:rsid w:val="005E12B8"/>
    <w:rsid w:val="005E1BD6"/>
    <w:rsid w:val="005E1D61"/>
    <w:rsid w:val="005E3F1C"/>
    <w:rsid w:val="005E50DB"/>
    <w:rsid w:val="005E7A80"/>
    <w:rsid w:val="005E7B84"/>
    <w:rsid w:val="005F0B7A"/>
    <w:rsid w:val="005F1D71"/>
    <w:rsid w:val="005F21D9"/>
    <w:rsid w:val="005F21FE"/>
    <w:rsid w:val="005F28D4"/>
    <w:rsid w:val="005F396C"/>
    <w:rsid w:val="005F4822"/>
    <w:rsid w:val="005F52E8"/>
    <w:rsid w:val="005F6519"/>
    <w:rsid w:val="005F68F7"/>
    <w:rsid w:val="00600524"/>
    <w:rsid w:val="006010B0"/>
    <w:rsid w:val="00602DA6"/>
    <w:rsid w:val="006043AF"/>
    <w:rsid w:val="00604738"/>
    <w:rsid w:val="00604BB5"/>
    <w:rsid w:val="00605184"/>
    <w:rsid w:val="006053A0"/>
    <w:rsid w:val="0061021F"/>
    <w:rsid w:val="006125B2"/>
    <w:rsid w:val="006125E1"/>
    <w:rsid w:val="00613701"/>
    <w:rsid w:val="00613949"/>
    <w:rsid w:val="0061498C"/>
    <w:rsid w:val="0061506A"/>
    <w:rsid w:val="006162B9"/>
    <w:rsid w:val="006177F3"/>
    <w:rsid w:val="00617955"/>
    <w:rsid w:val="0062055D"/>
    <w:rsid w:val="00620BC8"/>
    <w:rsid w:val="00621189"/>
    <w:rsid w:val="00621A30"/>
    <w:rsid w:val="00622E09"/>
    <w:rsid w:val="006237EF"/>
    <w:rsid w:val="00625211"/>
    <w:rsid w:val="006252FF"/>
    <w:rsid w:val="006260CC"/>
    <w:rsid w:val="00626457"/>
    <w:rsid w:val="00627A71"/>
    <w:rsid w:val="006309F5"/>
    <w:rsid w:val="0063111F"/>
    <w:rsid w:val="00633509"/>
    <w:rsid w:val="006338CB"/>
    <w:rsid w:val="00634552"/>
    <w:rsid w:val="00635866"/>
    <w:rsid w:val="006363FA"/>
    <w:rsid w:val="006371C4"/>
    <w:rsid w:val="00637F27"/>
    <w:rsid w:val="006402DA"/>
    <w:rsid w:val="0064290C"/>
    <w:rsid w:val="00643C1F"/>
    <w:rsid w:val="00645134"/>
    <w:rsid w:val="006458EE"/>
    <w:rsid w:val="00645926"/>
    <w:rsid w:val="00645940"/>
    <w:rsid w:val="00650037"/>
    <w:rsid w:val="00650122"/>
    <w:rsid w:val="006509E6"/>
    <w:rsid w:val="00651B3C"/>
    <w:rsid w:val="00651DE9"/>
    <w:rsid w:val="00654F0A"/>
    <w:rsid w:val="00655495"/>
    <w:rsid w:val="00655704"/>
    <w:rsid w:val="006602AF"/>
    <w:rsid w:val="00660673"/>
    <w:rsid w:val="006607EB"/>
    <w:rsid w:val="0066103C"/>
    <w:rsid w:val="006628AC"/>
    <w:rsid w:val="0066295B"/>
    <w:rsid w:val="00662D94"/>
    <w:rsid w:val="00663C90"/>
    <w:rsid w:val="0066447D"/>
    <w:rsid w:val="006644FC"/>
    <w:rsid w:val="00664FAD"/>
    <w:rsid w:val="006650CD"/>
    <w:rsid w:val="006653C8"/>
    <w:rsid w:val="00665C3F"/>
    <w:rsid w:val="006661EA"/>
    <w:rsid w:val="006665F6"/>
    <w:rsid w:val="006666CB"/>
    <w:rsid w:val="0067018F"/>
    <w:rsid w:val="00670DA0"/>
    <w:rsid w:val="006715C5"/>
    <w:rsid w:val="006722CD"/>
    <w:rsid w:val="0067406A"/>
    <w:rsid w:val="00674E41"/>
    <w:rsid w:val="0067580A"/>
    <w:rsid w:val="00676955"/>
    <w:rsid w:val="00676983"/>
    <w:rsid w:val="00676BE1"/>
    <w:rsid w:val="00677F9B"/>
    <w:rsid w:val="00680526"/>
    <w:rsid w:val="006806E9"/>
    <w:rsid w:val="0068114A"/>
    <w:rsid w:val="006861EA"/>
    <w:rsid w:val="00686F41"/>
    <w:rsid w:val="006900EF"/>
    <w:rsid w:val="00690E2D"/>
    <w:rsid w:val="00691BC8"/>
    <w:rsid w:val="006926F1"/>
    <w:rsid w:val="00692A98"/>
    <w:rsid w:val="00692DD8"/>
    <w:rsid w:val="0069475C"/>
    <w:rsid w:val="00696B67"/>
    <w:rsid w:val="00696CE7"/>
    <w:rsid w:val="006A1AD0"/>
    <w:rsid w:val="006A1DBA"/>
    <w:rsid w:val="006A3E0B"/>
    <w:rsid w:val="006A42B9"/>
    <w:rsid w:val="006A6DF9"/>
    <w:rsid w:val="006A7000"/>
    <w:rsid w:val="006A76DA"/>
    <w:rsid w:val="006A7CE9"/>
    <w:rsid w:val="006B036F"/>
    <w:rsid w:val="006B2598"/>
    <w:rsid w:val="006B51C1"/>
    <w:rsid w:val="006B615B"/>
    <w:rsid w:val="006B669A"/>
    <w:rsid w:val="006C05B6"/>
    <w:rsid w:val="006C07D5"/>
    <w:rsid w:val="006C12D1"/>
    <w:rsid w:val="006C157C"/>
    <w:rsid w:val="006C249A"/>
    <w:rsid w:val="006C3331"/>
    <w:rsid w:val="006C398F"/>
    <w:rsid w:val="006C3CBE"/>
    <w:rsid w:val="006C4E79"/>
    <w:rsid w:val="006C5355"/>
    <w:rsid w:val="006C539A"/>
    <w:rsid w:val="006C54E4"/>
    <w:rsid w:val="006C54EF"/>
    <w:rsid w:val="006C5552"/>
    <w:rsid w:val="006C6165"/>
    <w:rsid w:val="006C66A4"/>
    <w:rsid w:val="006C6A6A"/>
    <w:rsid w:val="006C70D1"/>
    <w:rsid w:val="006C73E7"/>
    <w:rsid w:val="006C75A7"/>
    <w:rsid w:val="006D087C"/>
    <w:rsid w:val="006D2758"/>
    <w:rsid w:val="006D2CFE"/>
    <w:rsid w:val="006D2F88"/>
    <w:rsid w:val="006D4258"/>
    <w:rsid w:val="006D4BBF"/>
    <w:rsid w:val="006D4DEC"/>
    <w:rsid w:val="006D525A"/>
    <w:rsid w:val="006D67EF"/>
    <w:rsid w:val="006E071B"/>
    <w:rsid w:val="006E4022"/>
    <w:rsid w:val="006E54AF"/>
    <w:rsid w:val="006E760B"/>
    <w:rsid w:val="006E7826"/>
    <w:rsid w:val="006E7E12"/>
    <w:rsid w:val="006F0209"/>
    <w:rsid w:val="006F05CA"/>
    <w:rsid w:val="006F0962"/>
    <w:rsid w:val="006F0CF4"/>
    <w:rsid w:val="006F2806"/>
    <w:rsid w:val="006F2A6C"/>
    <w:rsid w:val="006F378B"/>
    <w:rsid w:val="006F48A2"/>
    <w:rsid w:val="006F742D"/>
    <w:rsid w:val="006F75FB"/>
    <w:rsid w:val="006F7EC9"/>
    <w:rsid w:val="0070062F"/>
    <w:rsid w:val="007009B0"/>
    <w:rsid w:val="00700CAA"/>
    <w:rsid w:val="007014AA"/>
    <w:rsid w:val="007016E5"/>
    <w:rsid w:val="0070264B"/>
    <w:rsid w:val="00702FF7"/>
    <w:rsid w:val="00704A88"/>
    <w:rsid w:val="0071170A"/>
    <w:rsid w:val="0071364C"/>
    <w:rsid w:val="00713776"/>
    <w:rsid w:val="00713973"/>
    <w:rsid w:val="00713C6B"/>
    <w:rsid w:val="0071431D"/>
    <w:rsid w:val="007155F4"/>
    <w:rsid w:val="00715838"/>
    <w:rsid w:val="00716028"/>
    <w:rsid w:val="00716BDE"/>
    <w:rsid w:val="00717284"/>
    <w:rsid w:val="00717EBB"/>
    <w:rsid w:val="00717EDF"/>
    <w:rsid w:val="00721C9B"/>
    <w:rsid w:val="00722A70"/>
    <w:rsid w:val="0072369F"/>
    <w:rsid w:val="00723A8D"/>
    <w:rsid w:val="00724600"/>
    <w:rsid w:val="00724A24"/>
    <w:rsid w:val="00724C10"/>
    <w:rsid w:val="007267B8"/>
    <w:rsid w:val="007268C0"/>
    <w:rsid w:val="0072694B"/>
    <w:rsid w:val="00726C71"/>
    <w:rsid w:val="00727000"/>
    <w:rsid w:val="007272E1"/>
    <w:rsid w:val="00727347"/>
    <w:rsid w:val="00731930"/>
    <w:rsid w:val="00732141"/>
    <w:rsid w:val="0073367F"/>
    <w:rsid w:val="00734807"/>
    <w:rsid w:val="0073527D"/>
    <w:rsid w:val="00736B45"/>
    <w:rsid w:val="00736F32"/>
    <w:rsid w:val="00737143"/>
    <w:rsid w:val="0074025F"/>
    <w:rsid w:val="00740F5C"/>
    <w:rsid w:val="00741509"/>
    <w:rsid w:val="00742BC7"/>
    <w:rsid w:val="007435ED"/>
    <w:rsid w:val="007447D2"/>
    <w:rsid w:val="007448AE"/>
    <w:rsid w:val="00746491"/>
    <w:rsid w:val="00746E2C"/>
    <w:rsid w:val="0074717B"/>
    <w:rsid w:val="00747CC0"/>
    <w:rsid w:val="00750E54"/>
    <w:rsid w:val="00751A55"/>
    <w:rsid w:val="00752C22"/>
    <w:rsid w:val="00752E48"/>
    <w:rsid w:val="00753236"/>
    <w:rsid w:val="007534F4"/>
    <w:rsid w:val="00753D00"/>
    <w:rsid w:val="00753F66"/>
    <w:rsid w:val="00755CC7"/>
    <w:rsid w:val="00756D99"/>
    <w:rsid w:val="007604FE"/>
    <w:rsid w:val="00760820"/>
    <w:rsid w:val="007609EC"/>
    <w:rsid w:val="00760C01"/>
    <w:rsid w:val="0076166F"/>
    <w:rsid w:val="00761A3A"/>
    <w:rsid w:val="00762CE6"/>
    <w:rsid w:val="007637D0"/>
    <w:rsid w:val="00764CD0"/>
    <w:rsid w:val="0076581B"/>
    <w:rsid w:val="0076615E"/>
    <w:rsid w:val="007669D6"/>
    <w:rsid w:val="00767317"/>
    <w:rsid w:val="007675B6"/>
    <w:rsid w:val="007701C2"/>
    <w:rsid w:val="0077066D"/>
    <w:rsid w:val="0077083E"/>
    <w:rsid w:val="00772A98"/>
    <w:rsid w:val="00775140"/>
    <w:rsid w:val="00775CD1"/>
    <w:rsid w:val="00776CDC"/>
    <w:rsid w:val="007770D8"/>
    <w:rsid w:val="0078067D"/>
    <w:rsid w:val="00780C06"/>
    <w:rsid w:val="00781FB8"/>
    <w:rsid w:val="007833FE"/>
    <w:rsid w:val="00784CAB"/>
    <w:rsid w:val="00785209"/>
    <w:rsid w:val="00787775"/>
    <w:rsid w:val="00787F7C"/>
    <w:rsid w:val="007905CE"/>
    <w:rsid w:val="0079094C"/>
    <w:rsid w:val="0079227C"/>
    <w:rsid w:val="0079319C"/>
    <w:rsid w:val="007932D0"/>
    <w:rsid w:val="007934E5"/>
    <w:rsid w:val="007949A1"/>
    <w:rsid w:val="00795373"/>
    <w:rsid w:val="007A178B"/>
    <w:rsid w:val="007A20CB"/>
    <w:rsid w:val="007A21E7"/>
    <w:rsid w:val="007A37C2"/>
    <w:rsid w:val="007A4CAD"/>
    <w:rsid w:val="007A771B"/>
    <w:rsid w:val="007A7C9C"/>
    <w:rsid w:val="007B1DF9"/>
    <w:rsid w:val="007B2C66"/>
    <w:rsid w:val="007B3D5F"/>
    <w:rsid w:val="007B4903"/>
    <w:rsid w:val="007B51CA"/>
    <w:rsid w:val="007B5659"/>
    <w:rsid w:val="007B6811"/>
    <w:rsid w:val="007B684E"/>
    <w:rsid w:val="007B773B"/>
    <w:rsid w:val="007C02FF"/>
    <w:rsid w:val="007C04BC"/>
    <w:rsid w:val="007C32A4"/>
    <w:rsid w:val="007C4384"/>
    <w:rsid w:val="007C5D81"/>
    <w:rsid w:val="007C6052"/>
    <w:rsid w:val="007C62FB"/>
    <w:rsid w:val="007C7D85"/>
    <w:rsid w:val="007C7F67"/>
    <w:rsid w:val="007D04A3"/>
    <w:rsid w:val="007D05B7"/>
    <w:rsid w:val="007D0E9F"/>
    <w:rsid w:val="007D2D6D"/>
    <w:rsid w:val="007D478B"/>
    <w:rsid w:val="007D4A92"/>
    <w:rsid w:val="007D710B"/>
    <w:rsid w:val="007D748B"/>
    <w:rsid w:val="007E0627"/>
    <w:rsid w:val="007E146C"/>
    <w:rsid w:val="007E1FD5"/>
    <w:rsid w:val="007E28B4"/>
    <w:rsid w:val="007E5814"/>
    <w:rsid w:val="007E77C4"/>
    <w:rsid w:val="007E7F7A"/>
    <w:rsid w:val="007F028C"/>
    <w:rsid w:val="007F0F2E"/>
    <w:rsid w:val="007F1F37"/>
    <w:rsid w:val="007F30FB"/>
    <w:rsid w:val="007F39F6"/>
    <w:rsid w:val="007F5778"/>
    <w:rsid w:val="007F58F4"/>
    <w:rsid w:val="008009EE"/>
    <w:rsid w:val="00802ED0"/>
    <w:rsid w:val="00803C4D"/>
    <w:rsid w:val="0080410B"/>
    <w:rsid w:val="0080504B"/>
    <w:rsid w:val="008052AF"/>
    <w:rsid w:val="008056D5"/>
    <w:rsid w:val="008066EE"/>
    <w:rsid w:val="008108FE"/>
    <w:rsid w:val="00811A09"/>
    <w:rsid w:val="00812171"/>
    <w:rsid w:val="00812FFC"/>
    <w:rsid w:val="00815292"/>
    <w:rsid w:val="008154BD"/>
    <w:rsid w:val="00817784"/>
    <w:rsid w:val="00817AD5"/>
    <w:rsid w:val="008207C1"/>
    <w:rsid w:val="0082102E"/>
    <w:rsid w:val="008210D8"/>
    <w:rsid w:val="00822510"/>
    <w:rsid w:val="0082284C"/>
    <w:rsid w:val="00822B1D"/>
    <w:rsid w:val="008233B2"/>
    <w:rsid w:val="00823614"/>
    <w:rsid w:val="00824354"/>
    <w:rsid w:val="008254F4"/>
    <w:rsid w:val="00825512"/>
    <w:rsid w:val="00826901"/>
    <w:rsid w:val="00827AC0"/>
    <w:rsid w:val="0083002A"/>
    <w:rsid w:val="008309A7"/>
    <w:rsid w:val="008313C5"/>
    <w:rsid w:val="00832CB9"/>
    <w:rsid w:val="008333E3"/>
    <w:rsid w:val="008343A7"/>
    <w:rsid w:val="00834E55"/>
    <w:rsid w:val="008351B4"/>
    <w:rsid w:val="008363C5"/>
    <w:rsid w:val="008363D1"/>
    <w:rsid w:val="00840F3A"/>
    <w:rsid w:val="00841915"/>
    <w:rsid w:val="0084290B"/>
    <w:rsid w:val="00843614"/>
    <w:rsid w:val="00844BA3"/>
    <w:rsid w:val="008457E9"/>
    <w:rsid w:val="00845EE3"/>
    <w:rsid w:val="00845F74"/>
    <w:rsid w:val="00846518"/>
    <w:rsid w:val="008506E8"/>
    <w:rsid w:val="00850BC2"/>
    <w:rsid w:val="00850E50"/>
    <w:rsid w:val="008511B3"/>
    <w:rsid w:val="0085131F"/>
    <w:rsid w:val="008513EC"/>
    <w:rsid w:val="00853819"/>
    <w:rsid w:val="00853BE4"/>
    <w:rsid w:val="00853C71"/>
    <w:rsid w:val="00853DB8"/>
    <w:rsid w:val="00854BCF"/>
    <w:rsid w:val="00854F41"/>
    <w:rsid w:val="0085554E"/>
    <w:rsid w:val="00855FD3"/>
    <w:rsid w:val="0085605A"/>
    <w:rsid w:val="0085754E"/>
    <w:rsid w:val="0085765C"/>
    <w:rsid w:val="00860B54"/>
    <w:rsid w:val="008625A9"/>
    <w:rsid w:val="0086289A"/>
    <w:rsid w:val="00862967"/>
    <w:rsid w:val="00862BAA"/>
    <w:rsid w:val="00862FC6"/>
    <w:rsid w:val="0086306E"/>
    <w:rsid w:val="008638FD"/>
    <w:rsid w:val="00863FA8"/>
    <w:rsid w:val="0086663E"/>
    <w:rsid w:val="00866987"/>
    <w:rsid w:val="0086716A"/>
    <w:rsid w:val="008745F9"/>
    <w:rsid w:val="00874A79"/>
    <w:rsid w:val="0087503F"/>
    <w:rsid w:val="00876D1B"/>
    <w:rsid w:val="00876D4F"/>
    <w:rsid w:val="00880300"/>
    <w:rsid w:val="00881901"/>
    <w:rsid w:val="00881A21"/>
    <w:rsid w:val="00881F64"/>
    <w:rsid w:val="008823A0"/>
    <w:rsid w:val="00882B56"/>
    <w:rsid w:val="00882CCE"/>
    <w:rsid w:val="00883D39"/>
    <w:rsid w:val="00884629"/>
    <w:rsid w:val="00884B30"/>
    <w:rsid w:val="00884EC4"/>
    <w:rsid w:val="00885E0C"/>
    <w:rsid w:val="00886E94"/>
    <w:rsid w:val="008878A4"/>
    <w:rsid w:val="00887AF9"/>
    <w:rsid w:val="00890E15"/>
    <w:rsid w:val="00890E3F"/>
    <w:rsid w:val="00891110"/>
    <w:rsid w:val="008911A6"/>
    <w:rsid w:val="008920E4"/>
    <w:rsid w:val="0089217E"/>
    <w:rsid w:val="00892242"/>
    <w:rsid w:val="008926C1"/>
    <w:rsid w:val="00892DF4"/>
    <w:rsid w:val="0089303D"/>
    <w:rsid w:val="008931F7"/>
    <w:rsid w:val="0089395C"/>
    <w:rsid w:val="008961EE"/>
    <w:rsid w:val="008971AC"/>
    <w:rsid w:val="0089766C"/>
    <w:rsid w:val="008A01DF"/>
    <w:rsid w:val="008A112C"/>
    <w:rsid w:val="008A1CCE"/>
    <w:rsid w:val="008A1D13"/>
    <w:rsid w:val="008A233C"/>
    <w:rsid w:val="008A29E6"/>
    <w:rsid w:val="008A3E46"/>
    <w:rsid w:val="008A510B"/>
    <w:rsid w:val="008A5956"/>
    <w:rsid w:val="008A5D10"/>
    <w:rsid w:val="008A62CB"/>
    <w:rsid w:val="008A68A2"/>
    <w:rsid w:val="008A75C8"/>
    <w:rsid w:val="008A7E6B"/>
    <w:rsid w:val="008B024D"/>
    <w:rsid w:val="008B0FE8"/>
    <w:rsid w:val="008B13BA"/>
    <w:rsid w:val="008B196C"/>
    <w:rsid w:val="008B1D34"/>
    <w:rsid w:val="008B2B61"/>
    <w:rsid w:val="008B5565"/>
    <w:rsid w:val="008B63A4"/>
    <w:rsid w:val="008B63F8"/>
    <w:rsid w:val="008B6DC4"/>
    <w:rsid w:val="008B6E60"/>
    <w:rsid w:val="008C35E9"/>
    <w:rsid w:val="008C3B7E"/>
    <w:rsid w:val="008C5CEB"/>
    <w:rsid w:val="008C5EAD"/>
    <w:rsid w:val="008C766D"/>
    <w:rsid w:val="008C7E9B"/>
    <w:rsid w:val="008D007F"/>
    <w:rsid w:val="008D0385"/>
    <w:rsid w:val="008D07BA"/>
    <w:rsid w:val="008D0F58"/>
    <w:rsid w:val="008D173E"/>
    <w:rsid w:val="008D2060"/>
    <w:rsid w:val="008D24D2"/>
    <w:rsid w:val="008D284C"/>
    <w:rsid w:val="008D4BCF"/>
    <w:rsid w:val="008D6C3D"/>
    <w:rsid w:val="008D7675"/>
    <w:rsid w:val="008D7FCF"/>
    <w:rsid w:val="008E0377"/>
    <w:rsid w:val="008E0957"/>
    <w:rsid w:val="008E0D33"/>
    <w:rsid w:val="008E0E64"/>
    <w:rsid w:val="008E1C03"/>
    <w:rsid w:val="008E4BA2"/>
    <w:rsid w:val="008E539D"/>
    <w:rsid w:val="008E54DE"/>
    <w:rsid w:val="008E59C5"/>
    <w:rsid w:val="008E5A72"/>
    <w:rsid w:val="008E5A8E"/>
    <w:rsid w:val="008E74EE"/>
    <w:rsid w:val="008E78F4"/>
    <w:rsid w:val="008E7A53"/>
    <w:rsid w:val="008F0018"/>
    <w:rsid w:val="008F05DA"/>
    <w:rsid w:val="008F0DE9"/>
    <w:rsid w:val="008F1BBF"/>
    <w:rsid w:val="008F1BE8"/>
    <w:rsid w:val="008F4248"/>
    <w:rsid w:val="008F4794"/>
    <w:rsid w:val="008F47FE"/>
    <w:rsid w:val="008F5185"/>
    <w:rsid w:val="008F522B"/>
    <w:rsid w:val="008F61AB"/>
    <w:rsid w:val="00900C5E"/>
    <w:rsid w:val="00900DCA"/>
    <w:rsid w:val="009029E8"/>
    <w:rsid w:val="00902C8A"/>
    <w:rsid w:val="009046AE"/>
    <w:rsid w:val="00905003"/>
    <w:rsid w:val="00910DF1"/>
    <w:rsid w:val="0091161C"/>
    <w:rsid w:val="009122FB"/>
    <w:rsid w:val="0091396F"/>
    <w:rsid w:val="00914A8F"/>
    <w:rsid w:val="00914B0F"/>
    <w:rsid w:val="00914FF6"/>
    <w:rsid w:val="00915381"/>
    <w:rsid w:val="00916AA1"/>
    <w:rsid w:val="009173B8"/>
    <w:rsid w:val="0091766B"/>
    <w:rsid w:val="009178A6"/>
    <w:rsid w:val="009178AF"/>
    <w:rsid w:val="00917918"/>
    <w:rsid w:val="00920EC9"/>
    <w:rsid w:val="00921C54"/>
    <w:rsid w:val="00921FA2"/>
    <w:rsid w:val="00921FC4"/>
    <w:rsid w:val="00922055"/>
    <w:rsid w:val="00922B72"/>
    <w:rsid w:val="009231BF"/>
    <w:rsid w:val="00923A90"/>
    <w:rsid w:val="00926423"/>
    <w:rsid w:val="009276AD"/>
    <w:rsid w:val="00927D4C"/>
    <w:rsid w:val="00930050"/>
    <w:rsid w:val="00930225"/>
    <w:rsid w:val="00930320"/>
    <w:rsid w:val="0093036B"/>
    <w:rsid w:val="009303CD"/>
    <w:rsid w:val="00930708"/>
    <w:rsid w:val="0093132B"/>
    <w:rsid w:val="00932B2C"/>
    <w:rsid w:val="00933435"/>
    <w:rsid w:val="00933E4D"/>
    <w:rsid w:val="0093499D"/>
    <w:rsid w:val="009359EF"/>
    <w:rsid w:val="00935A8B"/>
    <w:rsid w:val="00935BE9"/>
    <w:rsid w:val="00936006"/>
    <w:rsid w:val="00936C56"/>
    <w:rsid w:val="00940179"/>
    <w:rsid w:val="009409F4"/>
    <w:rsid w:val="0094251E"/>
    <w:rsid w:val="009434D9"/>
    <w:rsid w:val="00943B97"/>
    <w:rsid w:val="00944F14"/>
    <w:rsid w:val="009459AC"/>
    <w:rsid w:val="00945C6B"/>
    <w:rsid w:val="009477DE"/>
    <w:rsid w:val="009505AD"/>
    <w:rsid w:val="009507B9"/>
    <w:rsid w:val="00950D5D"/>
    <w:rsid w:val="00952E27"/>
    <w:rsid w:val="009536FB"/>
    <w:rsid w:val="00953EBA"/>
    <w:rsid w:val="00953F0F"/>
    <w:rsid w:val="00953F2B"/>
    <w:rsid w:val="00953F32"/>
    <w:rsid w:val="00954CDC"/>
    <w:rsid w:val="00954EE3"/>
    <w:rsid w:val="00955F45"/>
    <w:rsid w:val="00956737"/>
    <w:rsid w:val="00956EC3"/>
    <w:rsid w:val="0095754A"/>
    <w:rsid w:val="00957AF6"/>
    <w:rsid w:val="009600F8"/>
    <w:rsid w:val="0096036B"/>
    <w:rsid w:val="00960CDF"/>
    <w:rsid w:val="00961760"/>
    <w:rsid w:val="00961AA4"/>
    <w:rsid w:val="009624DB"/>
    <w:rsid w:val="009643B9"/>
    <w:rsid w:val="0096530D"/>
    <w:rsid w:val="00965B9C"/>
    <w:rsid w:val="00966D9D"/>
    <w:rsid w:val="00967A99"/>
    <w:rsid w:val="00967CB0"/>
    <w:rsid w:val="00970E4D"/>
    <w:rsid w:val="0097192B"/>
    <w:rsid w:val="00972754"/>
    <w:rsid w:val="00972B8D"/>
    <w:rsid w:val="00974D91"/>
    <w:rsid w:val="009767E7"/>
    <w:rsid w:val="00977F27"/>
    <w:rsid w:val="00980262"/>
    <w:rsid w:val="0098055F"/>
    <w:rsid w:val="009805EF"/>
    <w:rsid w:val="0098127A"/>
    <w:rsid w:val="009814E1"/>
    <w:rsid w:val="009825A7"/>
    <w:rsid w:val="009825AB"/>
    <w:rsid w:val="00982E73"/>
    <w:rsid w:val="00984CC0"/>
    <w:rsid w:val="00984D76"/>
    <w:rsid w:val="00985D64"/>
    <w:rsid w:val="00986582"/>
    <w:rsid w:val="00986BC5"/>
    <w:rsid w:val="009877FC"/>
    <w:rsid w:val="00990059"/>
    <w:rsid w:val="009909D1"/>
    <w:rsid w:val="00990C27"/>
    <w:rsid w:val="00990FE6"/>
    <w:rsid w:val="009928B6"/>
    <w:rsid w:val="00995DE5"/>
    <w:rsid w:val="00996A63"/>
    <w:rsid w:val="00996F91"/>
    <w:rsid w:val="00997A9C"/>
    <w:rsid w:val="00997E0D"/>
    <w:rsid w:val="00997EB0"/>
    <w:rsid w:val="009A0663"/>
    <w:rsid w:val="009A1431"/>
    <w:rsid w:val="009A1B84"/>
    <w:rsid w:val="009A221A"/>
    <w:rsid w:val="009A225A"/>
    <w:rsid w:val="009A2581"/>
    <w:rsid w:val="009A26A5"/>
    <w:rsid w:val="009A30A4"/>
    <w:rsid w:val="009A3838"/>
    <w:rsid w:val="009A4352"/>
    <w:rsid w:val="009A49B9"/>
    <w:rsid w:val="009A64B8"/>
    <w:rsid w:val="009A6803"/>
    <w:rsid w:val="009A69AB"/>
    <w:rsid w:val="009A72A5"/>
    <w:rsid w:val="009A7351"/>
    <w:rsid w:val="009B05C3"/>
    <w:rsid w:val="009B0924"/>
    <w:rsid w:val="009B0B4D"/>
    <w:rsid w:val="009B0B9A"/>
    <w:rsid w:val="009B10C2"/>
    <w:rsid w:val="009B130A"/>
    <w:rsid w:val="009B1821"/>
    <w:rsid w:val="009B2368"/>
    <w:rsid w:val="009B25ED"/>
    <w:rsid w:val="009B2B34"/>
    <w:rsid w:val="009B3A65"/>
    <w:rsid w:val="009B41CA"/>
    <w:rsid w:val="009B551F"/>
    <w:rsid w:val="009B6CF4"/>
    <w:rsid w:val="009C02FD"/>
    <w:rsid w:val="009C12CB"/>
    <w:rsid w:val="009C12F6"/>
    <w:rsid w:val="009C27C6"/>
    <w:rsid w:val="009C4586"/>
    <w:rsid w:val="009C5C3B"/>
    <w:rsid w:val="009C6788"/>
    <w:rsid w:val="009C67F5"/>
    <w:rsid w:val="009C7153"/>
    <w:rsid w:val="009C7A4C"/>
    <w:rsid w:val="009C7BD4"/>
    <w:rsid w:val="009D0629"/>
    <w:rsid w:val="009D0C31"/>
    <w:rsid w:val="009D0CB9"/>
    <w:rsid w:val="009D0DF2"/>
    <w:rsid w:val="009D1194"/>
    <w:rsid w:val="009D1904"/>
    <w:rsid w:val="009D23CA"/>
    <w:rsid w:val="009D26BA"/>
    <w:rsid w:val="009D3556"/>
    <w:rsid w:val="009D5EBA"/>
    <w:rsid w:val="009D6AFC"/>
    <w:rsid w:val="009D6C03"/>
    <w:rsid w:val="009D6DEF"/>
    <w:rsid w:val="009D6EF0"/>
    <w:rsid w:val="009D7175"/>
    <w:rsid w:val="009E1311"/>
    <w:rsid w:val="009E1D56"/>
    <w:rsid w:val="009E2C8B"/>
    <w:rsid w:val="009E2EC8"/>
    <w:rsid w:val="009E35C6"/>
    <w:rsid w:val="009E4D66"/>
    <w:rsid w:val="009E56FD"/>
    <w:rsid w:val="009E60AA"/>
    <w:rsid w:val="009E6994"/>
    <w:rsid w:val="009E735E"/>
    <w:rsid w:val="009E7DB9"/>
    <w:rsid w:val="009F407C"/>
    <w:rsid w:val="009F4F8D"/>
    <w:rsid w:val="009F6B4F"/>
    <w:rsid w:val="009F6E1D"/>
    <w:rsid w:val="00A008C2"/>
    <w:rsid w:val="00A00D76"/>
    <w:rsid w:val="00A016BB"/>
    <w:rsid w:val="00A02A35"/>
    <w:rsid w:val="00A02AA0"/>
    <w:rsid w:val="00A0457E"/>
    <w:rsid w:val="00A04C17"/>
    <w:rsid w:val="00A067F8"/>
    <w:rsid w:val="00A06960"/>
    <w:rsid w:val="00A0700F"/>
    <w:rsid w:val="00A0766E"/>
    <w:rsid w:val="00A076AB"/>
    <w:rsid w:val="00A07DE5"/>
    <w:rsid w:val="00A10A6B"/>
    <w:rsid w:val="00A110AD"/>
    <w:rsid w:val="00A121A1"/>
    <w:rsid w:val="00A12D22"/>
    <w:rsid w:val="00A135FE"/>
    <w:rsid w:val="00A13854"/>
    <w:rsid w:val="00A1572E"/>
    <w:rsid w:val="00A15762"/>
    <w:rsid w:val="00A163BD"/>
    <w:rsid w:val="00A166F0"/>
    <w:rsid w:val="00A169E2"/>
    <w:rsid w:val="00A20C08"/>
    <w:rsid w:val="00A216D0"/>
    <w:rsid w:val="00A217FD"/>
    <w:rsid w:val="00A2292B"/>
    <w:rsid w:val="00A237B8"/>
    <w:rsid w:val="00A24E83"/>
    <w:rsid w:val="00A250F6"/>
    <w:rsid w:val="00A25584"/>
    <w:rsid w:val="00A26EC6"/>
    <w:rsid w:val="00A318F0"/>
    <w:rsid w:val="00A3368B"/>
    <w:rsid w:val="00A33A29"/>
    <w:rsid w:val="00A348F4"/>
    <w:rsid w:val="00A36E68"/>
    <w:rsid w:val="00A4079A"/>
    <w:rsid w:val="00A40A2B"/>
    <w:rsid w:val="00A41473"/>
    <w:rsid w:val="00A4201D"/>
    <w:rsid w:val="00A42D07"/>
    <w:rsid w:val="00A42D29"/>
    <w:rsid w:val="00A43916"/>
    <w:rsid w:val="00A4427A"/>
    <w:rsid w:val="00A44532"/>
    <w:rsid w:val="00A446C9"/>
    <w:rsid w:val="00A46737"/>
    <w:rsid w:val="00A46BA4"/>
    <w:rsid w:val="00A46EE7"/>
    <w:rsid w:val="00A5040D"/>
    <w:rsid w:val="00A52B42"/>
    <w:rsid w:val="00A5470C"/>
    <w:rsid w:val="00A55359"/>
    <w:rsid w:val="00A55B8B"/>
    <w:rsid w:val="00A567D7"/>
    <w:rsid w:val="00A568BE"/>
    <w:rsid w:val="00A56D60"/>
    <w:rsid w:val="00A60C19"/>
    <w:rsid w:val="00A60F86"/>
    <w:rsid w:val="00A645F7"/>
    <w:rsid w:val="00A64DDD"/>
    <w:rsid w:val="00A6551D"/>
    <w:rsid w:val="00A67659"/>
    <w:rsid w:val="00A7055D"/>
    <w:rsid w:val="00A72D32"/>
    <w:rsid w:val="00A737DB"/>
    <w:rsid w:val="00A74012"/>
    <w:rsid w:val="00A74051"/>
    <w:rsid w:val="00A74220"/>
    <w:rsid w:val="00A74DA3"/>
    <w:rsid w:val="00A75CAB"/>
    <w:rsid w:val="00A75D9E"/>
    <w:rsid w:val="00A76129"/>
    <w:rsid w:val="00A76E6F"/>
    <w:rsid w:val="00A815A7"/>
    <w:rsid w:val="00A81AEE"/>
    <w:rsid w:val="00A82210"/>
    <w:rsid w:val="00A823C3"/>
    <w:rsid w:val="00A824B1"/>
    <w:rsid w:val="00A83368"/>
    <w:rsid w:val="00A833AD"/>
    <w:rsid w:val="00A83EE0"/>
    <w:rsid w:val="00A83FAA"/>
    <w:rsid w:val="00A84E3A"/>
    <w:rsid w:val="00A86325"/>
    <w:rsid w:val="00A86F11"/>
    <w:rsid w:val="00A87601"/>
    <w:rsid w:val="00A87E8E"/>
    <w:rsid w:val="00A90A18"/>
    <w:rsid w:val="00A9156C"/>
    <w:rsid w:val="00A91A7E"/>
    <w:rsid w:val="00A91B92"/>
    <w:rsid w:val="00A924AD"/>
    <w:rsid w:val="00A92693"/>
    <w:rsid w:val="00A927A1"/>
    <w:rsid w:val="00A92A41"/>
    <w:rsid w:val="00A92AA7"/>
    <w:rsid w:val="00A92D77"/>
    <w:rsid w:val="00A93B6F"/>
    <w:rsid w:val="00A948EF"/>
    <w:rsid w:val="00A94A60"/>
    <w:rsid w:val="00A94FD7"/>
    <w:rsid w:val="00A9575C"/>
    <w:rsid w:val="00A959B9"/>
    <w:rsid w:val="00A959FE"/>
    <w:rsid w:val="00A95DD6"/>
    <w:rsid w:val="00A962F2"/>
    <w:rsid w:val="00A972AB"/>
    <w:rsid w:val="00AA09A8"/>
    <w:rsid w:val="00AA1B0C"/>
    <w:rsid w:val="00AA1B8D"/>
    <w:rsid w:val="00AA2A83"/>
    <w:rsid w:val="00AA4D4E"/>
    <w:rsid w:val="00AA4F18"/>
    <w:rsid w:val="00AA6652"/>
    <w:rsid w:val="00AA7015"/>
    <w:rsid w:val="00AA7301"/>
    <w:rsid w:val="00AA7497"/>
    <w:rsid w:val="00AA779E"/>
    <w:rsid w:val="00AA7918"/>
    <w:rsid w:val="00AA79D8"/>
    <w:rsid w:val="00AB1A50"/>
    <w:rsid w:val="00AB1FC9"/>
    <w:rsid w:val="00AB23D7"/>
    <w:rsid w:val="00AB2759"/>
    <w:rsid w:val="00AB2A87"/>
    <w:rsid w:val="00AB31B4"/>
    <w:rsid w:val="00AB3459"/>
    <w:rsid w:val="00AB551F"/>
    <w:rsid w:val="00AB5B9C"/>
    <w:rsid w:val="00AB62D6"/>
    <w:rsid w:val="00AB65B5"/>
    <w:rsid w:val="00AB7E8B"/>
    <w:rsid w:val="00AC097F"/>
    <w:rsid w:val="00AC1554"/>
    <w:rsid w:val="00AC1DEE"/>
    <w:rsid w:val="00AC31AF"/>
    <w:rsid w:val="00AC37D9"/>
    <w:rsid w:val="00AC3B80"/>
    <w:rsid w:val="00AC4A70"/>
    <w:rsid w:val="00AC537F"/>
    <w:rsid w:val="00AC54A0"/>
    <w:rsid w:val="00AC58DE"/>
    <w:rsid w:val="00AC5C77"/>
    <w:rsid w:val="00AC5F61"/>
    <w:rsid w:val="00AC63E9"/>
    <w:rsid w:val="00AC6965"/>
    <w:rsid w:val="00AC7DC4"/>
    <w:rsid w:val="00AC7EDA"/>
    <w:rsid w:val="00AC7FA9"/>
    <w:rsid w:val="00AD1A9B"/>
    <w:rsid w:val="00AD2821"/>
    <w:rsid w:val="00AD2BB6"/>
    <w:rsid w:val="00AD2D79"/>
    <w:rsid w:val="00AD3317"/>
    <w:rsid w:val="00AD3DD3"/>
    <w:rsid w:val="00AD43AD"/>
    <w:rsid w:val="00AD4FC9"/>
    <w:rsid w:val="00AD557D"/>
    <w:rsid w:val="00AD591A"/>
    <w:rsid w:val="00AD6095"/>
    <w:rsid w:val="00AD72E5"/>
    <w:rsid w:val="00AE1468"/>
    <w:rsid w:val="00AE15D5"/>
    <w:rsid w:val="00AE1834"/>
    <w:rsid w:val="00AE2BE6"/>
    <w:rsid w:val="00AE40F7"/>
    <w:rsid w:val="00AE6113"/>
    <w:rsid w:val="00AE6296"/>
    <w:rsid w:val="00AE6E49"/>
    <w:rsid w:val="00AE6ED7"/>
    <w:rsid w:val="00AE6EE1"/>
    <w:rsid w:val="00AE7958"/>
    <w:rsid w:val="00AF0294"/>
    <w:rsid w:val="00AF1A9A"/>
    <w:rsid w:val="00AF2D52"/>
    <w:rsid w:val="00AF4A01"/>
    <w:rsid w:val="00AF525D"/>
    <w:rsid w:val="00AF60ED"/>
    <w:rsid w:val="00AF645B"/>
    <w:rsid w:val="00AF6865"/>
    <w:rsid w:val="00AF7CBD"/>
    <w:rsid w:val="00B00E65"/>
    <w:rsid w:val="00B035F6"/>
    <w:rsid w:val="00B071B2"/>
    <w:rsid w:val="00B07C62"/>
    <w:rsid w:val="00B1065A"/>
    <w:rsid w:val="00B10671"/>
    <w:rsid w:val="00B10D16"/>
    <w:rsid w:val="00B116B2"/>
    <w:rsid w:val="00B1220A"/>
    <w:rsid w:val="00B1250A"/>
    <w:rsid w:val="00B12BE1"/>
    <w:rsid w:val="00B14045"/>
    <w:rsid w:val="00B15098"/>
    <w:rsid w:val="00B15854"/>
    <w:rsid w:val="00B15E20"/>
    <w:rsid w:val="00B179A1"/>
    <w:rsid w:val="00B17D2B"/>
    <w:rsid w:val="00B20072"/>
    <w:rsid w:val="00B205FB"/>
    <w:rsid w:val="00B208A5"/>
    <w:rsid w:val="00B21F25"/>
    <w:rsid w:val="00B22585"/>
    <w:rsid w:val="00B225BC"/>
    <w:rsid w:val="00B22CB3"/>
    <w:rsid w:val="00B23579"/>
    <w:rsid w:val="00B23F51"/>
    <w:rsid w:val="00B255AA"/>
    <w:rsid w:val="00B25B1F"/>
    <w:rsid w:val="00B26DC8"/>
    <w:rsid w:val="00B278CA"/>
    <w:rsid w:val="00B30116"/>
    <w:rsid w:val="00B30E3F"/>
    <w:rsid w:val="00B31278"/>
    <w:rsid w:val="00B32B2B"/>
    <w:rsid w:val="00B32C81"/>
    <w:rsid w:val="00B3353C"/>
    <w:rsid w:val="00B34CBE"/>
    <w:rsid w:val="00B35A8B"/>
    <w:rsid w:val="00B37837"/>
    <w:rsid w:val="00B37D39"/>
    <w:rsid w:val="00B40B40"/>
    <w:rsid w:val="00B4163D"/>
    <w:rsid w:val="00B41B1A"/>
    <w:rsid w:val="00B426FF"/>
    <w:rsid w:val="00B43FF9"/>
    <w:rsid w:val="00B44338"/>
    <w:rsid w:val="00B45CCB"/>
    <w:rsid w:val="00B51090"/>
    <w:rsid w:val="00B514C0"/>
    <w:rsid w:val="00B518FD"/>
    <w:rsid w:val="00B5249A"/>
    <w:rsid w:val="00B526A9"/>
    <w:rsid w:val="00B53605"/>
    <w:rsid w:val="00B546C0"/>
    <w:rsid w:val="00B54BD4"/>
    <w:rsid w:val="00B557DC"/>
    <w:rsid w:val="00B558CF"/>
    <w:rsid w:val="00B55D01"/>
    <w:rsid w:val="00B56163"/>
    <w:rsid w:val="00B5628A"/>
    <w:rsid w:val="00B56435"/>
    <w:rsid w:val="00B56728"/>
    <w:rsid w:val="00B57109"/>
    <w:rsid w:val="00B5753D"/>
    <w:rsid w:val="00B60071"/>
    <w:rsid w:val="00B61E36"/>
    <w:rsid w:val="00B6257B"/>
    <w:rsid w:val="00B63131"/>
    <w:rsid w:val="00B6321C"/>
    <w:rsid w:val="00B658D1"/>
    <w:rsid w:val="00B659D6"/>
    <w:rsid w:val="00B66545"/>
    <w:rsid w:val="00B7110C"/>
    <w:rsid w:val="00B71684"/>
    <w:rsid w:val="00B7196D"/>
    <w:rsid w:val="00B733F2"/>
    <w:rsid w:val="00B73476"/>
    <w:rsid w:val="00B73A26"/>
    <w:rsid w:val="00B73BE6"/>
    <w:rsid w:val="00B743AA"/>
    <w:rsid w:val="00B773D3"/>
    <w:rsid w:val="00B77813"/>
    <w:rsid w:val="00B80253"/>
    <w:rsid w:val="00B80827"/>
    <w:rsid w:val="00B80F30"/>
    <w:rsid w:val="00B81371"/>
    <w:rsid w:val="00B81B3A"/>
    <w:rsid w:val="00B82239"/>
    <w:rsid w:val="00B83E41"/>
    <w:rsid w:val="00B8499C"/>
    <w:rsid w:val="00B857E6"/>
    <w:rsid w:val="00B860C2"/>
    <w:rsid w:val="00B86C6B"/>
    <w:rsid w:val="00B87C6F"/>
    <w:rsid w:val="00B90036"/>
    <w:rsid w:val="00B90071"/>
    <w:rsid w:val="00B90210"/>
    <w:rsid w:val="00B90A99"/>
    <w:rsid w:val="00B90C01"/>
    <w:rsid w:val="00B9176C"/>
    <w:rsid w:val="00B946B9"/>
    <w:rsid w:val="00B94C7B"/>
    <w:rsid w:val="00B94E9C"/>
    <w:rsid w:val="00B9660B"/>
    <w:rsid w:val="00B97C85"/>
    <w:rsid w:val="00BA10A0"/>
    <w:rsid w:val="00BA2586"/>
    <w:rsid w:val="00BA26B4"/>
    <w:rsid w:val="00BA3947"/>
    <w:rsid w:val="00BA3F05"/>
    <w:rsid w:val="00BA4BD6"/>
    <w:rsid w:val="00BA4D90"/>
    <w:rsid w:val="00BA60C4"/>
    <w:rsid w:val="00BA6A29"/>
    <w:rsid w:val="00BA7568"/>
    <w:rsid w:val="00BB0B6A"/>
    <w:rsid w:val="00BB17D8"/>
    <w:rsid w:val="00BB2CA0"/>
    <w:rsid w:val="00BB3D3F"/>
    <w:rsid w:val="00BB3F2A"/>
    <w:rsid w:val="00BB4281"/>
    <w:rsid w:val="00BB4EC5"/>
    <w:rsid w:val="00BB538C"/>
    <w:rsid w:val="00BB5733"/>
    <w:rsid w:val="00BB5AB0"/>
    <w:rsid w:val="00BB70AA"/>
    <w:rsid w:val="00BB7DD6"/>
    <w:rsid w:val="00BC04AB"/>
    <w:rsid w:val="00BC07C8"/>
    <w:rsid w:val="00BC0F2D"/>
    <w:rsid w:val="00BC1683"/>
    <w:rsid w:val="00BC230B"/>
    <w:rsid w:val="00BC2E6E"/>
    <w:rsid w:val="00BC49B7"/>
    <w:rsid w:val="00BC5108"/>
    <w:rsid w:val="00BC64BE"/>
    <w:rsid w:val="00BC6B68"/>
    <w:rsid w:val="00BC6C30"/>
    <w:rsid w:val="00BD0EF9"/>
    <w:rsid w:val="00BD1F87"/>
    <w:rsid w:val="00BD1FBA"/>
    <w:rsid w:val="00BD26BB"/>
    <w:rsid w:val="00BD28AE"/>
    <w:rsid w:val="00BD2E4A"/>
    <w:rsid w:val="00BD3732"/>
    <w:rsid w:val="00BD37B8"/>
    <w:rsid w:val="00BD3EA0"/>
    <w:rsid w:val="00BD4F7A"/>
    <w:rsid w:val="00BD5231"/>
    <w:rsid w:val="00BD592A"/>
    <w:rsid w:val="00BD60B1"/>
    <w:rsid w:val="00BD611B"/>
    <w:rsid w:val="00BD632D"/>
    <w:rsid w:val="00BD6BE9"/>
    <w:rsid w:val="00BD715B"/>
    <w:rsid w:val="00BD7393"/>
    <w:rsid w:val="00BE0372"/>
    <w:rsid w:val="00BE0AA9"/>
    <w:rsid w:val="00BE268A"/>
    <w:rsid w:val="00BE29C6"/>
    <w:rsid w:val="00BE2C40"/>
    <w:rsid w:val="00BE30E6"/>
    <w:rsid w:val="00BE3492"/>
    <w:rsid w:val="00BE3A4D"/>
    <w:rsid w:val="00BE47BB"/>
    <w:rsid w:val="00BE4A2E"/>
    <w:rsid w:val="00BE5B15"/>
    <w:rsid w:val="00BE5DC3"/>
    <w:rsid w:val="00BE61AC"/>
    <w:rsid w:val="00BE6A77"/>
    <w:rsid w:val="00BE74F7"/>
    <w:rsid w:val="00BF0EFC"/>
    <w:rsid w:val="00BF2F89"/>
    <w:rsid w:val="00BF370B"/>
    <w:rsid w:val="00BF3A6E"/>
    <w:rsid w:val="00BF4036"/>
    <w:rsid w:val="00BF59D8"/>
    <w:rsid w:val="00BF5B9D"/>
    <w:rsid w:val="00BF6CF6"/>
    <w:rsid w:val="00BF716B"/>
    <w:rsid w:val="00BF736D"/>
    <w:rsid w:val="00BF7E0E"/>
    <w:rsid w:val="00C00C53"/>
    <w:rsid w:val="00C01DD6"/>
    <w:rsid w:val="00C02297"/>
    <w:rsid w:val="00C049A5"/>
    <w:rsid w:val="00C05283"/>
    <w:rsid w:val="00C05391"/>
    <w:rsid w:val="00C05C55"/>
    <w:rsid w:val="00C071A1"/>
    <w:rsid w:val="00C0720C"/>
    <w:rsid w:val="00C074D3"/>
    <w:rsid w:val="00C07829"/>
    <w:rsid w:val="00C07985"/>
    <w:rsid w:val="00C108BA"/>
    <w:rsid w:val="00C11E58"/>
    <w:rsid w:val="00C11E91"/>
    <w:rsid w:val="00C1227B"/>
    <w:rsid w:val="00C126CC"/>
    <w:rsid w:val="00C142B2"/>
    <w:rsid w:val="00C147CA"/>
    <w:rsid w:val="00C14910"/>
    <w:rsid w:val="00C1722B"/>
    <w:rsid w:val="00C173D1"/>
    <w:rsid w:val="00C17FB0"/>
    <w:rsid w:val="00C216CD"/>
    <w:rsid w:val="00C21DC6"/>
    <w:rsid w:val="00C2229E"/>
    <w:rsid w:val="00C226DD"/>
    <w:rsid w:val="00C24AD1"/>
    <w:rsid w:val="00C26094"/>
    <w:rsid w:val="00C2706D"/>
    <w:rsid w:val="00C27C1F"/>
    <w:rsid w:val="00C27E61"/>
    <w:rsid w:val="00C3079D"/>
    <w:rsid w:val="00C3183A"/>
    <w:rsid w:val="00C32360"/>
    <w:rsid w:val="00C3290A"/>
    <w:rsid w:val="00C32BA6"/>
    <w:rsid w:val="00C32E71"/>
    <w:rsid w:val="00C33A55"/>
    <w:rsid w:val="00C347C2"/>
    <w:rsid w:val="00C3480F"/>
    <w:rsid w:val="00C35214"/>
    <w:rsid w:val="00C36426"/>
    <w:rsid w:val="00C36505"/>
    <w:rsid w:val="00C36813"/>
    <w:rsid w:val="00C36F11"/>
    <w:rsid w:val="00C3733F"/>
    <w:rsid w:val="00C37369"/>
    <w:rsid w:val="00C37608"/>
    <w:rsid w:val="00C37D1B"/>
    <w:rsid w:val="00C400C7"/>
    <w:rsid w:val="00C4142F"/>
    <w:rsid w:val="00C41FE0"/>
    <w:rsid w:val="00C424BB"/>
    <w:rsid w:val="00C4340E"/>
    <w:rsid w:val="00C438AE"/>
    <w:rsid w:val="00C44121"/>
    <w:rsid w:val="00C45225"/>
    <w:rsid w:val="00C453C7"/>
    <w:rsid w:val="00C461EB"/>
    <w:rsid w:val="00C46616"/>
    <w:rsid w:val="00C47566"/>
    <w:rsid w:val="00C50AA1"/>
    <w:rsid w:val="00C52C29"/>
    <w:rsid w:val="00C53122"/>
    <w:rsid w:val="00C53928"/>
    <w:rsid w:val="00C54415"/>
    <w:rsid w:val="00C54AB7"/>
    <w:rsid w:val="00C55278"/>
    <w:rsid w:val="00C556D2"/>
    <w:rsid w:val="00C55744"/>
    <w:rsid w:val="00C568F0"/>
    <w:rsid w:val="00C57673"/>
    <w:rsid w:val="00C603D3"/>
    <w:rsid w:val="00C60C14"/>
    <w:rsid w:val="00C62CD2"/>
    <w:rsid w:val="00C62F4E"/>
    <w:rsid w:val="00C6409C"/>
    <w:rsid w:val="00C67143"/>
    <w:rsid w:val="00C6785B"/>
    <w:rsid w:val="00C67E24"/>
    <w:rsid w:val="00C67EE5"/>
    <w:rsid w:val="00C705D5"/>
    <w:rsid w:val="00C70BFA"/>
    <w:rsid w:val="00C70E14"/>
    <w:rsid w:val="00C71219"/>
    <w:rsid w:val="00C71592"/>
    <w:rsid w:val="00C716D9"/>
    <w:rsid w:val="00C73137"/>
    <w:rsid w:val="00C73662"/>
    <w:rsid w:val="00C7402F"/>
    <w:rsid w:val="00C74306"/>
    <w:rsid w:val="00C7516B"/>
    <w:rsid w:val="00C754A4"/>
    <w:rsid w:val="00C75DF0"/>
    <w:rsid w:val="00C75E7F"/>
    <w:rsid w:val="00C76608"/>
    <w:rsid w:val="00C767E2"/>
    <w:rsid w:val="00C7742C"/>
    <w:rsid w:val="00C8075A"/>
    <w:rsid w:val="00C80E36"/>
    <w:rsid w:val="00C816ED"/>
    <w:rsid w:val="00C82503"/>
    <w:rsid w:val="00C833A0"/>
    <w:rsid w:val="00C83916"/>
    <w:rsid w:val="00C8399E"/>
    <w:rsid w:val="00C83FB6"/>
    <w:rsid w:val="00C8549D"/>
    <w:rsid w:val="00C8687E"/>
    <w:rsid w:val="00C871DA"/>
    <w:rsid w:val="00C87472"/>
    <w:rsid w:val="00C876E6"/>
    <w:rsid w:val="00C87B80"/>
    <w:rsid w:val="00C911C4"/>
    <w:rsid w:val="00C91E2D"/>
    <w:rsid w:val="00C92C57"/>
    <w:rsid w:val="00C938D2"/>
    <w:rsid w:val="00C93BD6"/>
    <w:rsid w:val="00C941E2"/>
    <w:rsid w:val="00C94FD8"/>
    <w:rsid w:val="00C9600E"/>
    <w:rsid w:val="00C96514"/>
    <w:rsid w:val="00C97482"/>
    <w:rsid w:val="00CA04FE"/>
    <w:rsid w:val="00CA0F10"/>
    <w:rsid w:val="00CA12EB"/>
    <w:rsid w:val="00CA21E8"/>
    <w:rsid w:val="00CA265F"/>
    <w:rsid w:val="00CA2671"/>
    <w:rsid w:val="00CA27BE"/>
    <w:rsid w:val="00CA2CF4"/>
    <w:rsid w:val="00CA325D"/>
    <w:rsid w:val="00CA3427"/>
    <w:rsid w:val="00CA3EA6"/>
    <w:rsid w:val="00CA45E6"/>
    <w:rsid w:val="00CA4C4C"/>
    <w:rsid w:val="00CA5A19"/>
    <w:rsid w:val="00CA636A"/>
    <w:rsid w:val="00CA6E82"/>
    <w:rsid w:val="00CA722E"/>
    <w:rsid w:val="00CB019F"/>
    <w:rsid w:val="00CB0F8A"/>
    <w:rsid w:val="00CB2857"/>
    <w:rsid w:val="00CB313B"/>
    <w:rsid w:val="00CB36D2"/>
    <w:rsid w:val="00CB3E00"/>
    <w:rsid w:val="00CB4205"/>
    <w:rsid w:val="00CB4A64"/>
    <w:rsid w:val="00CB4C56"/>
    <w:rsid w:val="00CB57E5"/>
    <w:rsid w:val="00CB5F05"/>
    <w:rsid w:val="00CB630A"/>
    <w:rsid w:val="00CB7348"/>
    <w:rsid w:val="00CC08B5"/>
    <w:rsid w:val="00CC0930"/>
    <w:rsid w:val="00CC0964"/>
    <w:rsid w:val="00CC3006"/>
    <w:rsid w:val="00CC47EE"/>
    <w:rsid w:val="00CC5322"/>
    <w:rsid w:val="00CC5CC3"/>
    <w:rsid w:val="00CC633D"/>
    <w:rsid w:val="00CC68BC"/>
    <w:rsid w:val="00CC7307"/>
    <w:rsid w:val="00CD0ADC"/>
    <w:rsid w:val="00CD2382"/>
    <w:rsid w:val="00CD27FC"/>
    <w:rsid w:val="00CD2FE2"/>
    <w:rsid w:val="00CD725B"/>
    <w:rsid w:val="00CD7883"/>
    <w:rsid w:val="00CE0B5E"/>
    <w:rsid w:val="00CE1532"/>
    <w:rsid w:val="00CE1BD1"/>
    <w:rsid w:val="00CE250A"/>
    <w:rsid w:val="00CE2CEB"/>
    <w:rsid w:val="00CE3320"/>
    <w:rsid w:val="00CE358B"/>
    <w:rsid w:val="00CE3D4D"/>
    <w:rsid w:val="00CE4DA0"/>
    <w:rsid w:val="00CE5412"/>
    <w:rsid w:val="00CE6111"/>
    <w:rsid w:val="00CE64EF"/>
    <w:rsid w:val="00CE6793"/>
    <w:rsid w:val="00CE6CC4"/>
    <w:rsid w:val="00CE78E4"/>
    <w:rsid w:val="00CF00EC"/>
    <w:rsid w:val="00CF01C0"/>
    <w:rsid w:val="00CF059B"/>
    <w:rsid w:val="00CF10F8"/>
    <w:rsid w:val="00CF1663"/>
    <w:rsid w:val="00CF1F49"/>
    <w:rsid w:val="00CF28BC"/>
    <w:rsid w:val="00CF34F4"/>
    <w:rsid w:val="00CF566B"/>
    <w:rsid w:val="00CF576C"/>
    <w:rsid w:val="00CF5BFC"/>
    <w:rsid w:val="00CF5DB4"/>
    <w:rsid w:val="00CF69C3"/>
    <w:rsid w:val="00CF7F75"/>
    <w:rsid w:val="00D00826"/>
    <w:rsid w:val="00D00F9C"/>
    <w:rsid w:val="00D023D0"/>
    <w:rsid w:val="00D02F64"/>
    <w:rsid w:val="00D0390E"/>
    <w:rsid w:val="00D0508F"/>
    <w:rsid w:val="00D05411"/>
    <w:rsid w:val="00D056F1"/>
    <w:rsid w:val="00D05D8E"/>
    <w:rsid w:val="00D05E50"/>
    <w:rsid w:val="00D06F5F"/>
    <w:rsid w:val="00D06FBC"/>
    <w:rsid w:val="00D0712F"/>
    <w:rsid w:val="00D10747"/>
    <w:rsid w:val="00D108E6"/>
    <w:rsid w:val="00D113C0"/>
    <w:rsid w:val="00D11724"/>
    <w:rsid w:val="00D1189A"/>
    <w:rsid w:val="00D11E0E"/>
    <w:rsid w:val="00D122AD"/>
    <w:rsid w:val="00D12732"/>
    <w:rsid w:val="00D127AC"/>
    <w:rsid w:val="00D12AD1"/>
    <w:rsid w:val="00D12EC6"/>
    <w:rsid w:val="00D144C4"/>
    <w:rsid w:val="00D20EC7"/>
    <w:rsid w:val="00D21077"/>
    <w:rsid w:val="00D215EB"/>
    <w:rsid w:val="00D219B0"/>
    <w:rsid w:val="00D228CE"/>
    <w:rsid w:val="00D22CA6"/>
    <w:rsid w:val="00D22F42"/>
    <w:rsid w:val="00D252FD"/>
    <w:rsid w:val="00D25C0A"/>
    <w:rsid w:val="00D25E9D"/>
    <w:rsid w:val="00D26488"/>
    <w:rsid w:val="00D26CBF"/>
    <w:rsid w:val="00D27208"/>
    <w:rsid w:val="00D30D20"/>
    <w:rsid w:val="00D31D0F"/>
    <w:rsid w:val="00D31DEC"/>
    <w:rsid w:val="00D32FBE"/>
    <w:rsid w:val="00D3316A"/>
    <w:rsid w:val="00D353C4"/>
    <w:rsid w:val="00D358A1"/>
    <w:rsid w:val="00D35FFB"/>
    <w:rsid w:val="00D36166"/>
    <w:rsid w:val="00D4016A"/>
    <w:rsid w:val="00D41B0D"/>
    <w:rsid w:val="00D4336A"/>
    <w:rsid w:val="00D43A90"/>
    <w:rsid w:val="00D45287"/>
    <w:rsid w:val="00D464B8"/>
    <w:rsid w:val="00D46ED3"/>
    <w:rsid w:val="00D471A6"/>
    <w:rsid w:val="00D47344"/>
    <w:rsid w:val="00D47A50"/>
    <w:rsid w:val="00D47DCD"/>
    <w:rsid w:val="00D5196D"/>
    <w:rsid w:val="00D51A31"/>
    <w:rsid w:val="00D52811"/>
    <w:rsid w:val="00D52B74"/>
    <w:rsid w:val="00D52F32"/>
    <w:rsid w:val="00D54025"/>
    <w:rsid w:val="00D542F2"/>
    <w:rsid w:val="00D55EC8"/>
    <w:rsid w:val="00D563C7"/>
    <w:rsid w:val="00D5642E"/>
    <w:rsid w:val="00D57F05"/>
    <w:rsid w:val="00D603B8"/>
    <w:rsid w:val="00D60F07"/>
    <w:rsid w:val="00D613D2"/>
    <w:rsid w:val="00D61788"/>
    <w:rsid w:val="00D62A11"/>
    <w:rsid w:val="00D6363C"/>
    <w:rsid w:val="00D65743"/>
    <w:rsid w:val="00D65B9A"/>
    <w:rsid w:val="00D671F8"/>
    <w:rsid w:val="00D67420"/>
    <w:rsid w:val="00D6749C"/>
    <w:rsid w:val="00D676F2"/>
    <w:rsid w:val="00D701F3"/>
    <w:rsid w:val="00D70304"/>
    <w:rsid w:val="00D7034E"/>
    <w:rsid w:val="00D71452"/>
    <w:rsid w:val="00D716FC"/>
    <w:rsid w:val="00D7272B"/>
    <w:rsid w:val="00D731DF"/>
    <w:rsid w:val="00D75B36"/>
    <w:rsid w:val="00D777AD"/>
    <w:rsid w:val="00D778F4"/>
    <w:rsid w:val="00D77E74"/>
    <w:rsid w:val="00D804B6"/>
    <w:rsid w:val="00D816DC"/>
    <w:rsid w:val="00D823E3"/>
    <w:rsid w:val="00D8262A"/>
    <w:rsid w:val="00D82746"/>
    <w:rsid w:val="00D82808"/>
    <w:rsid w:val="00D833DA"/>
    <w:rsid w:val="00D83625"/>
    <w:rsid w:val="00D83643"/>
    <w:rsid w:val="00D837F2"/>
    <w:rsid w:val="00D84C6E"/>
    <w:rsid w:val="00D84D3A"/>
    <w:rsid w:val="00D851AC"/>
    <w:rsid w:val="00D85459"/>
    <w:rsid w:val="00D85DAA"/>
    <w:rsid w:val="00D85DB1"/>
    <w:rsid w:val="00D86BE3"/>
    <w:rsid w:val="00D87B62"/>
    <w:rsid w:val="00D94860"/>
    <w:rsid w:val="00D94CEF"/>
    <w:rsid w:val="00D94F1B"/>
    <w:rsid w:val="00D95389"/>
    <w:rsid w:val="00D96AC8"/>
    <w:rsid w:val="00D96F41"/>
    <w:rsid w:val="00D9706A"/>
    <w:rsid w:val="00DA0058"/>
    <w:rsid w:val="00DA0332"/>
    <w:rsid w:val="00DA054B"/>
    <w:rsid w:val="00DA0646"/>
    <w:rsid w:val="00DA0670"/>
    <w:rsid w:val="00DA0C70"/>
    <w:rsid w:val="00DA2441"/>
    <w:rsid w:val="00DA2590"/>
    <w:rsid w:val="00DA2DA5"/>
    <w:rsid w:val="00DA2E3D"/>
    <w:rsid w:val="00DA3907"/>
    <w:rsid w:val="00DA4740"/>
    <w:rsid w:val="00DA552C"/>
    <w:rsid w:val="00DA71DA"/>
    <w:rsid w:val="00DB01D3"/>
    <w:rsid w:val="00DB035C"/>
    <w:rsid w:val="00DB49C5"/>
    <w:rsid w:val="00DB6D6B"/>
    <w:rsid w:val="00DC035E"/>
    <w:rsid w:val="00DC08C3"/>
    <w:rsid w:val="00DC0E5B"/>
    <w:rsid w:val="00DC1DDD"/>
    <w:rsid w:val="00DC3830"/>
    <w:rsid w:val="00DC404A"/>
    <w:rsid w:val="00DC404C"/>
    <w:rsid w:val="00DC4299"/>
    <w:rsid w:val="00DC4498"/>
    <w:rsid w:val="00DC4882"/>
    <w:rsid w:val="00DC5D37"/>
    <w:rsid w:val="00DC60B0"/>
    <w:rsid w:val="00DC6316"/>
    <w:rsid w:val="00DC6F71"/>
    <w:rsid w:val="00DC70A7"/>
    <w:rsid w:val="00DC70CF"/>
    <w:rsid w:val="00DD03F9"/>
    <w:rsid w:val="00DD112D"/>
    <w:rsid w:val="00DD1D48"/>
    <w:rsid w:val="00DD1FB9"/>
    <w:rsid w:val="00DD2E94"/>
    <w:rsid w:val="00DD497D"/>
    <w:rsid w:val="00DD4CCC"/>
    <w:rsid w:val="00DD663C"/>
    <w:rsid w:val="00DD6A94"/>
    <w:rsid w:val="00DD7542"/>
    <w:rsid w:val="00DD7A7E"/>
    <w:rsid w:val="00DE17F3"/>
    <w:rsid w:val="00DE1B7C"/>
    <w:rsid w:val="00DE2078"/>
    <w:rsid w:val="00DE2D7F"/>
    <w:rsid w:val="00DE34B0"/>
    <w:rsid w:val="00DE4260"/>
    <w:rsid w:val="00DE49BD"/>
    <w:rsid w:val="00DE5C84"/>
    <w:rsid w:val="00DE5CD0"/>
    <w:rsid w:val="00DE6569"/>
    <w:rsid w:val="00DE757D"/>
    <w:rsid w:val="00DF1B02"/>
    <w:rsid w:val="00DF2143"/>
    <w:rsid w:val="00DF242A"/>
    <w:rsid w:val="00DF2D04"/>
    <w:rsid w:val="00DF3572"/>
    <w:rsid w:val="00DF37FC"/>
    <w:rsid w:val="00DF4A6D"/>
    <w:rsid w:val="00DF4D5C"/>
    <w:rsid w:val="00DF4E54"/>
    <w:rsid w:val="00DF4FAA"/>
    <w:rsid w:val="00DF57F7"/>
    <w:rsid w:val="00DF5FFD"/>
    <w:rsid w:val="00DF62F0"/>
    <w:rsid w:val="00DF6627"/>
    <w:rsid w:val="00DF6715"/>
    <w:rsid w:val="00DF714E"/>
    <w:rsid w:val="00DF7398"/>
    <w:rsid w:val="00DF7C0E"/>
    <w:rsid w:val="00E0035D"/>
    <w:rsid w:val="00E00C8B"/>
    <w:rsid w:val="00E022D7"/>
    <w:rsid w:val="00E028A3"/>
    <w:rsid w:val="00E03506"/>
    <w:rsid w:val="00E036B9"/>
    <w:rsid w:val="00E03AA4"/>
    <w:rsid w:val="00E04C35"/>
    <w:rsid w:val="00E055CD"/>
    <w:rsid w:val="00E07073"/>
    <w:rsid w:val="00E0716C"/>
    <w:rsid w:val="00E118AA"/>
    <w:rsid w:val="00E127B8"/>
    <w:rsid w:val="00E1344C"/>
    <w:rsid w:val="00E13629"/>
    <w:rsid w:val="00E13651"/>
    <w:rsid w:val="00E1624C"/>
    <w:rsid w:val="00E162BF"/>
    <w:rsid w:val="00E16CE5"/>
    <w:rsid w:val="00E16F5A"/>
    <w:rsid w:val="00E20017"/>
    <w:rsid w:val="00E200A8"/>
    <w:rsid w:val="00E20508"/>
    <w:rsid w:val="00E20CC3"/>
    <w:rsid w:val="00E238AF"/>
    <w:rsid w:val="00E2404E"/>
    <w:rsid w:val="00E24E46"/>
    <w:rsid w:val="00E25B30"/>
    <w:rsid w:val="00E25DB9"/>
    <w:rsid w:val="00E26615"/>
    <w:rsid w:val="00E2775B"/>
    <w:rsid w:val="00E27EBE"/>
    <w:rsid w:val="00E27F96"/>
    <w:rsid w:val="00E302D8"/>
    <w:rsid w:val="00E3090A"/>
    <w:rsid w:val="00E31871"/>
    <w:rsid w:val="00E31BF4"/>
    <w:rsid w:val="00E34491"/>
    <w:rsid w:val="00E34AA0"/>
    <w:rsid w:val="00E37291"/>
    <w:rsid w:val="00E3731B"/>
    <w:rsid w:val="00E37A20"/>
    <w:rsid w:val="00E403D9"/>
    <w:rsid w:val="00E40A07"/>
    <w:rsid w:val="00E40E28"/>
    <w:rsid w:val="00E421CF"/>
    <w:rsid w:val="00E427DF"/>
    <w:rsid w:val="00E42ECD"/>
    <w:rsid w:val="00E43578"/>
    <w:rsid w:val="00E4443D"/>
    <w:rsid w:val="00E4475F"/>
    <w:rsid w:val="00E4512A"/>
    <w:rsid w:val="00E45468"/>
    <w:rsid w:val="00E45EED"/>
    <w:rsid w:val="00E50CAE"/>
    <w:rsid w:val="00E5287A"/>
    <w:rsid w:val="00E52CA5"/>
    <w:rsid w:val="00E52D2F"/>
    <w:rsid w:val="00E539E7"/>
    <w:rsid w:val="00E53E06"/>
    <w:rsid w:val="00E54A3F"/>
    <w:rsid w:val="00E5518C"/>
    <w:rsid w:val="00E557B2"/>
    <w:rsid w:val="00E55EFC"/>
    <w:rsid w:val="00E564A8"/>
    <w:rsid w:val="00E5656F"/>
    <w:rsid w:val="00E565CD"/>
    <w:rsid w:val="00E56690"/>
    <w:rsid w:val="00E56DCB"/>
    <w:rsid w:val="00E56FDB"/>
    <w:rsid w:val="00E570A6"/>
    <w:rsid w:val="00E573B7"/>
    <w:rsid w:val="00E5764B"/>
    <w:rsid w:val="00E60FBD"/>
    <w:rsid w:val="00E614F7"/>
    <w:rsid w:val="00E63AB7"/>
    <w:rsid w:val="00E640B6"/>
    <w:rsid w:val="00E6535C"/>
    <w:rsid w:val="00E653F0"/>
    <w:rsid w:val="00E65BF1"/>
    <w:rsid w:val="00E6732C"/>
    <w:rsid w:val="00E70D55"/>
    <w:rsid w:val="00E721E1"/>
    <w:rsid w:val="00E72402"/>
    <w:rsid w:val="00E72627"/>
    <w:rsid w:val="00E72A4E"/>
    <w:rsid w:val="00E7319D"/>
    <w:rsid w:val="00E73933"/>
    <w:rsid w:val="00E74B62"/>
    <w:rsid w:val="00E753BE"/>
    <w:rsid w:val="00E76303"/>
    <w:rsid w:val="00E77ED8"/>
    <w:rsid w:val="00E80D12"/>
    <w:rsid w:val="00E80F13"/>
    <w:rsid w:val="00E81C73"/>
    <w:rsid w:val="00E82C12"/>
    <w:rsid w:val="00E8330B"/>
    <w:rsid w:val="00E845B0"/>
    <w:rsid w:val="00E847A4"/>
    <w:rsid w:val="00E8566D"/>
    <w:rsid w:val="00E86F5C"/>
    <w:rsid w:val="00E87457"/>
    <w:rsid w:val="00E91542"/>
    <w:rsid w:val="00E916B0"/>
    <w:rsid w:val="00E92043"/>
    <w:rsid w:val="00E95C84"/>
    <w:rsid w:val="00E964AF"/>
    <w:rsid w:val="00E96AC1"/>
    <w:rsid w:val="00E97382"/>
    <w:rsid w:val="00E979BF"/>
    <w:rsid w:val="00EA10AB"/>
    <w:rsid w:val="00EA341C"/>
    <w:rsid w:val="00EA4BBA"/>
    <w:rsid w:val="00EA4EBF"/>
    <w:rsid w:val="00EA50D9"/>
    <w:rsid w:val="00EA54FA"/>
    <w:rsid w:val="00EA5AED"/>
    <w:rsid w:val="00EA5D1D"/>
    <w:rsid w:val="00EA6952"/>
    <w:rsid w:val="00EA78D6"/>
    <w:rsid w:val="00EB0101"/>
    <w:rsid w:val="00EB0441"/>
    <w:rsid w:val="00EB04C2"/>
    <w:rsid w:val="00EB0F6E"/>
    <w:rsid w:val="00EB36D7"/>
    <w:rsid w:val="00EB3717"/>
    <w:rsid w:val="00EB4E9A"/>
    <w:rsid w:val="00EC38DA"/>
    <w:rsid w:val="00EC4AE9"/>
    <w:rsid w:val="00EC53CC"/>
    <w:rsid w:val="00EC7450"/>
    <w:rsid w:val="00ED08CA"/>
    <w:rsid w:val="00ED0FF1"/>
    <w:rsid w:val="00ED2EFB"/>
    <w:rsid w:val="00ED7714"/>
    <w:rsid w:val="00ED7A99"/>
    <w:rsid w:val="00EE02D5"/>
    <w:rsid w:val="00EE038A"/>
    <w:rsid w:val="00EE06DF"/>
    <w:rsid w:val="00EE0A83"/>
    <w:rsid w:val="00EE0C27"/>
    <w:rsid w:val="00EE20A6"/>
    <w:rsid w:val="00EE29C7"/>
    <w:rsid w:val="00EE34A6"/>
    <w:rsid w:val="00EE445D"/>
    <w:rsid w:val="00EE53D2"/>
    <w:rsid w:val="00EE6574"/>
    <w:rsid w:val="00EF01E8"/>
    <w:rsid w:val="00EF0262"/>
    <w:rsid w:val="00EF0493"/>
    <w:rsid w:val="00EF04EA"/>
    <w:rsid w:val="00EF0834"/>
    <w:rsid w:val="00EF3234"/>
    <w:rsid w:val="00EF3406"/>
    <w:rsid w:val="00EF37C0"/>
    <w:rsid w:val="00EF3F8E"/>
    <w:rsid w:val="00EF4EBC"/>
    <w:rsid w:val="00EF5475"/>
    <w:rsid w:val="00EF6564"/>
    <w:rsid w:val="00EF71D2"/>
    <w:rsid w:val="00EF7221"/>
    <w:rsid w:val="00EF72AD"/>
    <w:rsid w:val="00F00BDE"/>
    <w:rsid w:val="00F00E8D"/>
    <w:rsid w:val="00F00F90"/>
    <w:rsid w:val="00F01788"/>
    <w:rsid w:val="00F02589"/>
    <w:rsid w:val="00F0378C"/>
    <w:rsid w:val="00F03DAE"/>
    <w:rsid w:val="00F04381"/>
    <w:rsid w:val="00F04468"/>
    <w:rsid w:val="00F04906"/>
    <w:rsid w:val="00F04AE9"/>
    <w:rsid w:val="00F0749F"/>
    <w:rsid w:val="00F11E0D"/>
    <w:rsid w:val="00F13629"/>
    <w:rsid w:val="00F15225"/>
    <w:rsid w:val="00F156DA"/>
    <w:rsid w:val="00F172E3"/>
    <w:rsid w:val="00F173FD"/>
    <w:rsid w:val="00F176D8"/>
    <w:rsid w:val="00F17D35"/>
    <w:rsid w:val="00F2048D"/>
    <w:rsid w:val="00F20D63"/>
    <w:rsid w:val="00F20EE8"/>
    <w:rsid w:val="00F2369C"/>
    <w:rsid w:val="00F23A93"/>
    <w:rsid w:val="00F261D5"/>
    <w:rsid w:val="00F262B4"/>
    <w:rsid w:val="00F272FE"/>
    <w:rsid w:val="00F279B7"/>
    <w:rsid w:val="00F304FE"/>
    <w:rsid w:val="00F30D5C"/>
    <w:rsid w:val="00F3119F"/>
    <w:rsid w:val="00F317D5"/>
    <w:rsid w:val="00F31897"/>
    <w:rsid w:val="00F31C5C"/>
    <w:rsid w:val="00F339A6"/>
    <w:rsid w:val="00F345EA"/>
    <w:rsid w:val="00F3479F"/>
    <w:rsid w:val="00F352C5"/>
    <w:rsid w:val="00F3713E"/>
    <w:rsid w:val="00F3757D"/>
    <w:rsid w:val="00F37E66"/>
    <w:rsid w:val="00F3B679"/>
    <w:rsid w:val="00F4138C"/>
    <w:rsid w:val="00F418B5"/>
    <w:rsid w:val="00F41C90"/>
    <w:rsid w:val="00F42075"/>
    <w:rsid w:val="00F43F12"/>
    <w:rsid w:val="00F43F9E"/>
    <w:rsid w:val="00F45DC1"/>
    <w:rsid w:val="00F460DF"/>
    <w:rsid w:val="00F46AFA"/>
    <w:rsid w:val="00F47A72"/>
    <w:rsid w:val="00F511E0"/>
    <w:rsid w:val="00F51A0B"/>
    <w:rsid w:val="00F51A36"/>
    <w:rsid w:val="00F51BDE"/>
    <w:rsid w:val="00F51ED8"/>
    <w:rsid w:val="00F52144"/>
    <w:rsid w:val="00F528CA"/>
    <w:rsid w:val="00F53DDF"/>
    <w:rsid w:val="00F54338"/>
    <w:rsid w:val="00F5494F"/>
    <w:rsid w:val="00F55747"/>
    <w:rsid w:val="00F55A1A"/>
    <w:rsid w:val="00F56960"/>
    <w:rsid w:val="00F56995"/>
    <w:rsid w:val="00F56E60"/>
    <w:rsid w:val="00F5759B"/>
    <w:rsid w:val="00F57B4B"/>
    <w:rsid w:val="00F5D1AB"/>
    <w:rsid w:val="00F610DC"/>
    <w:rsid w:val="00F6213B"/>
    <w:rsid w:val="00F62E70"/>
    <w:rsid w:val="00F630C2"/>
    <w:rsid w:val="00F633A0"/>
    <w:rsid w:val="00F64E80"/>
    <w:rsid w:val="00F64F86"/>
    <w:rsid w:val="00F65266"/>
    <w:rsid w:val="00F654FF"/>
    <w:rsid w:val="00F658C7"/>
    <w:rsid w:val="00F65972"/>
    <w:rsid w:val="00F66379"/>
    <w:rsid w:val="00F66F09"/>
    <w:rsid w:val="00F70681"/>
    <w:rsid w:val="00F70843"/>
    <w:rsid w:val="00F71A56"/>
    <w:rsid w:val="00F71B65"/>
    <w:rsid w:val="00F72ABE"/>
    <w:rsid w:val="00F72C2D"/>
    <w:rsid w:val="00F73344"/>
    <w:rsid w:val="00F73E24"/>
    <w:rsid w:val="00F73F94"/>
    <w:rsid w:val="00F7456A"/>
    <w:rsid w:val="00F75102"/>
    <w:rsid w:val="00F76D7A"/>
    <w:rsid w:val="00F77824"/>
    <w:rsid w:val="00F77902"/>
    <w:rsid w:val="00F7793B"/>
    <w:rsid w:val="00F77F66"/>
    <w:rsid w:val="00F80B0C"/>
    <w:rsid w:val="00F80B15"/>
    <w:rsid w:val="00F814F2"/>
    <w:rsid w:val="00F8180F"/>
    <w:rsid w:val="00F820EC"/>
    <w:rsid w:val="00F824A3"/>
    <w:rsid w:val="00F825D2"/>
    <w:rsid w:val="00F827B9"/>
    <w:rsid w:val="00F82F0A"/>
    <w:rsid w:val="00F85258"/>
    <w:rsid w:val="00F85DC2"/>
    <w:rsid w:val="00F85EFA"/>
    <w:rsid w:val="00F8631C"/>
    <w:rsid w:val="00F863C9"/>
    <w:rsid w:val="00F87420"/>
    <w:rsid w:val="00F87E45"/>
    <w:rsid w:val="00F901EE"/>
    <w:rsid w:val="00F91F8F"/>
    <w:rsid w:val="00F92578"/>
    <w:rsid w:val="00F92F78"/>
    <w:rsid w:val="00F931F5"/>
    <w:rsid w:val="00F9379C"/>
    <w:rsid w:val="00F93F0B"/>
    <w:rsid w:val="00F95665"/>
    <w:rsid w:val="00F958BF"/>
    <w:rsid w:val="00F96BF8"/>
    <w:rsid w:val="00FA00CB"/>
    <w:rsid w:val="00FA01B3"/>
    <w:rsid w:val="00FA0A34"/>
    <w:rsid w:val="00FA1DD0"/>
    <w:rsid w:val="00FA311D"/>
    <w:rsid w:val="00FA32D1"/>
    <w:rsid w:val="00FA42C1"/>
    <w:rsid w:val="00FA5201"/>
    <w:rsid w:val="00FA5392"/>
    <w:rsid w:val="00FA5661"/>
    <w:rsid w:val="00FA6CD4"/>
    <w:rsid w:val="00FA6D9D"/>
    <w:rsid w:val="00FA6EA3"/>
    <w:rsid w:val="00FA7335"/>
    <w:rsid w:val="00FB0197"/>
    <w:rsid w:val="00FB03B9"/>
    <w:rsid w:val="00FB07CE"/>
    <w:rsid w:val="00FB22B7"/>
    <w:rsid w:val="00FB415E"/>
    <w:rsid w:val="00FB4F1D"/>
    <w:rsid w:val="00FB63EB"/>
    <w:rsid w:val="00FB64FD"/>
    <w:rsid w:val="00FB7FD3"/>
    <w:rsid w:val="00FC0AD5"/>
    <w:rsid w:val="00FC0E96"/>
    <w:rsid w:val="00FC10A2"/>
    <w:rsid w:val="00FC2048"/>
    <w:rsid w:val="00FC21B6"/>
    <w:rsid w:val="00FC2337"/>
    <w:rsid w:val="00FC448D"/>
    <w:rsid w:val="00FC496A"/>
    <w:rsid w:val="00FC4CA1"/>
    <w:rsid w:val="00FC56A3"/>
    <w:rsid w:val="00FC5909"/>
    <w:rsid w:val="00FC6B21"/>
    <w:rsid w:val="00FD0892"/>
    <w:rsid w:val="00FD0D50"/>
    <w:rsid w:val="00FD1BC5"/>
    <w:rsid w:val="00FD5A67"/>
    <w:rsid w:val="00FD5CAD"/>
    <w:rsid w:val="00FD5D15"/>
    <w:rsid w:val="00FD6ACD"/>
    <w:rsid w:val="00FD6C7F"/>
    <w:rsid w:val="00FD7524"/>
    <w:rsid w:val="00FD7C1A"/>
    <w:rsid w:val="00FE00CE"/>
    <w:rsid w:val="00FE0275"/>
    <w:rsid w:val="00FE0DD3"/>
    <w:rsid w:val="00FE0DE4"/>
    <w:rsid w:val="00FE355C"/>
    <w:rsid w:val="00FE359E"/>
    <w:rsid w:val="00FE3917"/>
    <w:rsid w:val="00FE3C37"/>
    <w:rsid w:val="00FE4A71"/>
    <w:rsid w:val="00FE5B7F"/>
    <w:rsid w:val="00FE620E"/>
    <w:rsid w:val="00FE65B7"/>
    <w:rsid w:val="00FE66BB"/>
    <w:rsid w:val="00FE72B3"/>
    <w:rsid w:val="00FE7C12"/>
    <w:rsid w:val="00FF08B3"/>
    <w:rsid w:val="00FF08FD"/>
    <w:rsid w:val="00FF187E"/>
    <w:rsid w:val="00FF1D38"/>
    <w:rsid w:val="00FF2180"/>
    <w:rsid w:val="00FF29AB"/>
    <w:rsid w:val="00FF309F"/>
    <w:rsid w:val="00FF40B4"/>
    <w:rsid w:val="00FF5AFF"/>
    <w:rsid w:val="00FF5D10"/>
    <w:rsid w:val="00FF63DE"/>
    <w:rsid w:val="00FF6427"/>
    <w:rsid w:val="00FF76B9"/>
    <w:rsid w:val="01977985"/>
    <w:rsid w:val="0218CA3B"/>
    <w:rsid w:val="02255BEF"/>
    <w:rsid w:val="02344AF4"/>
    <w:rsid w:val="0235DB66"/>
    <w:rsid w:val="0289FE3D"/>
    <w:rsid w:val="02A44B61"/>
    <w:rsid w:val="02E32504"/>
    <w:rsid w:val="03213806"/>
    <w:rsid w:val="034089E8"/>
    <w:rsid w:val="035A1968"/>
    <w:rsid w:val="03965D34"/>
    <w:rsid w:val="043D05F9"/>
    <w:rsid w:val="0459726D"/>
    <w:rsid w:val="05062D0E"/>
    <w:rsid w:val="05250E4E"/>
    <w:rsid w:val="055D1532"/>
    <w:rsid w:val="059FE2C3"/>
    <w:rsid w:val="06306B1F"/>
    <w:rsid w:val="065F2724"/>
    <w:rsid w:val="066B0FBE"/>
    <w:rsid w:val="067A5257"/>
    <w:rsid w:val="0708D3BC"/>
    <w:rsid w:val="070D2F76"/>
    <w:rsid w:val="072F1854"/>
    <w:rsid w:val="0730799B"/>
    <w:rsid w:val="07740F43"/>
    <w:rsid w:val="077B19C5"/>
    <w:rsid w:val="081622B8"/>
    <w:rsid w:val="0898F305"/>
    <w:rsid w:val="089FB19B"/>
    <w:rsid w:val="08A8B72E"/>
    <w:rsid w:val="096FF560"/>
    <w:rsid w:val="0A20942F"/>
    <w:rsid w:val="0A3BD70C"/>
    <w:rsid w:val="0A59D45D"/>
    <w:rsid w:val="0A630C4F"/>
    <w:rsid w:val="0A69D76D"/>
    <w:rsid w:val="0AC103D4"/>
    <w:rsid w:val="0B0CF67F"/>
    <w:rsid w:val="0BA2E419"/>
    <w:rsid w:val="0C02AFFC"/>
    <w:rsid w:val="0C265B3A"/>
    <w:rsid w:val="0CB55EAF"/>
    <w:rsid w:val="0CCA4BEB"/>
    <w:rsid w:val="0DCE19E1"/>
    <w:rsid w:val="0EF0D753"/>
    <w:rsid w:val="0F10DFF1"/>
    <w:rsid w:val="0F5CF1FF"/>
    <w:rsid w:val="0F62F9D6"/>
    <w:rsid w:val="0F9F7AFF"/>
    <w:rsid w:val="0FFC93B3"/>
    <w:rsid w:val="103C3C65"/>
    <w:rsid w:val="11FFB868"/>
    <w:rsid w:val="1217CFF7"/>
    <w:rsid w:val="1256A487"/>
    <w:rsid w:val="12971287"/>
    <w:rsid w:val="1307E7F8"/>
    <w:rsid w:val="13A42BE9"/>
    <w:rsid w:val="13FEDB4E"/>
    <w:rsid w:val="141FC00E"/>
    <w:rsid w:val="1473FA72"/>
    <w:rsid w:val="1474436A"/>
    <w:rsid w:val="1493CC3A"/>
    <w:rsid w:val="14BC6760"/>
    <w:rsid w:val="14CAEA95"/>
    <w:rsid w:val="15CD3D80"/>
    <w:rsid w:val="15D2D818"/>
    <w:rsid w:val="15DE0DA2"/>
    <w:rsid w:val="1605BEF5"/>
    <w:rsid w:val="161FACBD"/>
    <w:rsid w:val="1650E53F"/>
    <w:rsid w:val="1727B1E1"/>
    <w:rsid w:val="17434D98"/>
    <w:rsid w:val="1765127F"/>
    <w:rsid w:val="17843914"/>
    <w:rsid w:val="1811406C"/>
    <w:rsid w:val="181B5090"/>
    <w:rsid w:val="18ED04DC"/>
    <w:rsid w:val="1A015DB5"/>
    <w:rsid w:val="1A4A3A28"/>
    <w:rsid w:val="1AABE50A"/>
    <w:rsid w:val="1AF4DC79"/>
    <w:rsid w:val="1B1671FE"/>
    <w:rsid w:val="1B2FCD91"/>
    <w:rsid w:val="1BA35DA3"/>
    <w:rsid w:val="1BA71E72"/>
    <w:rsid w:val="1BDAAD98"/>
    <w:rsid w:val="1C8726C4"/>
    <w:rsid w:val="1D07986A"/>
    <w:rsid w:val="1F9E8F64"/>
    <w:rsid w:val="1FA51F03"/>
    <w:rsid w:val="1FB104C4"/>
    <w:rsid w:val="2037E21C"/>
    <w:rsid w:val="204E7A9F"/>
    <w:rsid w:val="207307B1"/>
    <w:rsid w:val="207A1743"/>
    <w:rsid w:val="20F98F70"/>
    <w:rsid w:val="216DCEC4"/>
    <w:rsid w:val="21B1B61E"/>
    <w:rsid w:val="227AA565"/>
    <w:rsid w:val="23435482"/>
    <w:rsid w:val="23EF07EA"/>
    <w:rsid w:val="23F30FB4"/>
    <w:rsid w:val="246A49AC"/>
    <w:rsid w:val="24D37BB2"/>
    <w:rsid w:val="24F11E26"/>
    <w:rsid w:val="251C91EE"/>
    <w:rsid w:val="253AB23D"/>
    <w:rsid w:val="2540B65D"/>
    <w:rsid w:val="25752A21"/>
    <w:rsid w:val="25AEB45D"/>
    <w:rsid w:val="26781039"/>
    <w:rsid w:val="268DCA34"/>
    <w:rsid w:val="26928D4C"/>
    <w:rsid w:val="26B640F7"/>
    <w:rsid w:val="2743CEC9"/>
    <w:rsid w:val="274E8B09"/>
    <w:rsid w:val="275C3233"/>
    <w:rsid w:val="27813481"/>
    <w:rsid w:val="2832C8B8"/>
    <w:rsid w:val="2855D002"/>
    <w:rsid w:val="285A761C"/>
    <w:rsid w:val="2A991906"/>
    <w:rsid w:val="2AAB5EBE"/>
    <w:rsid w:val="2AF71443"/>
    <w:rsid w:val="2B15E361"/>
    <w:rsid w:val="2B310B2D"/>
    <w:rsid w:val="2B3FA19F"/>
    <w:rsid w:val="2B800602"/>
    <w:rsid w:val="2BFB47C4"/>
    <w:rsid w:val="2C561239"/>
    <w:rsid w:val="2C63EA0F"/>
    <w:rsid w:val="2C93F949"/>
    <w:rsid w:val="2CC9FEAC"/>
    <w:rsid w:val="2CD20B6A"/>
    <w:rsid w:val="2D388AC3"/>
    <w:rsid w:val="2DA8E7D5"/>
    <w:rsid w:val="2DB2ACBE"/>
    <w:rsid w:val="2DFDDADB"/>
    <w:rsid w:val="2DFFBA70"/>
    <w:rsid w:val="2EA3F64B"/>
    <w:rsid w:val="2F308BA1"/>
    <w:rsid w:val="2F88FC58"/>
    <w:rsid w:val="2FB419E4"/>
    <w:rsid w:val="2FC815C7"/>
    <w:rsid w:val="30522418"/>
    <w:rsid w:val="309E9698"/>
    <w:rsid w:val="30DB38F9"/>
    <w:rsid w:val="318529B8"/>
    <w:rsid w:val="31F35B3C"/>
    <w:rsid w:val="32BCCA92"/>
    <w:rsid w:val="32CBD4AE"/>
    <w:rsid w:val="32DF125B"/>
    <w:rsid w:val="331CE60D"/>
    <w:rsid w:val="335F009C"/>
    <w:rsid w:val="341FC3B1"/>
    <w:rsid w:val="343A657B"/>
    <w:rsid w:val="34FC3A1A"/>
    <w:rsid w:val="3561081D"/>
    <w:rsid w:val="35664F91"/>
    <w:rsid w:val="35AEDCED"/>
    <w:rsid w:val="360C1C08"/>
    <w:rsid w:val="369EC318"/>
    <w:rsid w:val="36BAF74D"/>
    <w:rsid w:val="36D6E1D4"/>
    <w:rsid w:val="36ECEFE9"/>
    <w:rsid w:val="380E7D67"/>
    <w:rsid w:val="381BDB76"/>
    <w:rsid w:val="384D51F7"/>
    <w:rsid w:val="3873AD3F"/>
    <w:rsid w:val="391A6B9D"/>
    <w:rsid w:val="394DCD20"/>
    <w:rsid w:val="397DC99C"/>
    <w:rsid w:val="3A20EC87"/>
    <w:rsid w:val="3A9F072E"/>
    <w:rsid w:val="3B13B9A9"/>
    <w:rsid w:val="3C206669"/>
    <w:rsid w:val="3C20E0F8"/>
    <w:rsid w:val="3C24242D"/>
    <w:rsid w:val="3C3E6364"/>
    <w:rsid w:val="3D31C37D"/>
    <w:rsid w:val="3D943AB5"/>
    <w:rsid w:val="3D98D9EA"/>
    <w:rsid w:val="3E16287E"/>
    <w:rsid w:val="3EB99C23"/>
    <w:rsid w:val="3F520E99"/>
    <w:rsid w:val="3F8591E5"/>
    <w:rsid w:val="3FB7A7BD"/>
    <w:rsid w:val="40165D86"/>
    <w:rsid w:val="406E604C"/>
    <w:rsid w:val="40B7EDDF"/>
    <w:rsid w:val="41559C86"/>
    <w:rsid w:val="41936279"/>
    <w:rsid w:val="429D9901"/>
    <w:rsid w:val="42E0F8E3"/>
    <w:rsid w:val="42EA3515"/>
    <w:rsid w:val="433167D2"/>
    <w:rsid w:val="4348A65F"/>
    <w:rsid w:val="437E605E"/>
    <w:rsid w:val="438DA88E"/>
    <w:rsid w:val="4472FE8F"/>
    <w:rsid w:val="448390FC"/>
    <w:rsid w:val="44FFEE24"/>
    <w:rsid w:val="45FBF6E5"/>
    <w:rsid w:val="46432447"/>
    <w:rsid w:val="4699458F"/>
    <w:rsid w:val="469BF990"/>
    <w:rsid w:val="46B94F15"/>
    <w:rsid w:val="47FB2393"/>
    <w:rsid w:val="4808013E"/>
    <w:rsid w:val="4892CC64"/>
    <w:rsid w:val="48C3825B"/>
    <w:rsid w:val="48F96922"/>
    <w:rsid w:val="492581F5"/>
    <w:rsid w:val="4954C359"/>
    <w:rsid w:val="4A2BD492"/>
    <w:rsid w:val="4AC811EA"/>
    <w:rsid w:val="4B1E6E41"/>
    <w:rsid w:val="4B873E29"/>
    <w:rsid w:val="4CF30DD8"/>
    <w:rsid w:val="4DDC5A04"/>
    <w:rsid w:val="4E7A1943"/>
    <w:rsid w:val="4E7E4909"/>
    <w:rsid w:val="4E96BEB9"/>
    <w:rsid w:val="4EDC2143"/>
    <w:rsid w:val="4EDDFDB9"/>
    <w:rsid w:val="4F20931A"/>
    <w:rsid w:val="4FDDE65A"/>
    <w:rsid w:val="50C1C050"/>
    <w:rsid w:val="515F38BB"/>
    <w:rsid w:val="51B87C8C"/>
    <w:rsid w:val="51E8EB28"/>
    <w:rsid w:val="5212A575"/>
    <w:rsid w:val="5254CD36"/>
    <w:rsid w:val="52822B95"/>
    <w:rsid w:val="52ACEDE2"/>
    <w:rsid w:val="53D00FA1"/>
    <w:rsid w:val="5511DEA0"/>
    <w:rsid w:val="5518AAD9"/>
    <w:rsid w:val="553FDDAA"/>
    <w:rsid w:val="5550E70C"/>
    <w:rsid w:val="55A69F1B"/>
    <w:rsid w:val="55C165A7"/>
    <w:rsid w:val="560EE099"/>
    <w:rsid w:val="562D6A25"/>
    <w:rsid w:val="56564E07"/>
    <w:rsid w:val="574BE2BC"/>
    <w:rsid w:val="576A13ED"/>
    <w:rsid w:val="57946EFD"/>
    <w:rsid w:val="5795C1DB"/>
    <w:rsid w:val="57D45160"/>
    <w:rsid w:val="57F504BE"/>
    <w:rsid w:val="586E8113"/>
    <w:rsid w:val="58B86598"/>
    <w:rsid w:val="591E5A57"/>
    <w:rsid w:val="593E2F2E"/>
    <w:rsid w:val="595E320F"/>
    <w:rsid w:val="59A56DF6"/>
    <w:rsid w:val="59CEDBA2"/>
    <w:rsid w:val="59ED2744"/>
    <w:rsid w:val="5A042F15"/>
    <w:rsid w:val="5A5FB926"/>
    <w:rsid w:val="5A755BB0"/>
    <w:rsid w:val="5AD0A849"/>
    <w:rsid w:val="5B993D1C"/>
    <w:rsid w:val="5BA9752D"/>
    <w:rsid w:val="5BB4A6AC"/>
    <w:rsid w:val="5C304189"/>
    <w:rsid w:val="5CADE226"/>
    <w:rsid w:val="5D026BDC"/>
    <w:rsid w:val="5D0DC85E"/>
    <w:rsid w:val="5D317BD3"/>
    <w:rsid w:val="5D334BD4"/>
    <w:rsid w:val="5DCCF077"/>
    <w:rsid w:val="5DEEF226"/>
    <w:rsid w:val="5DF122E1"/>
    <w:rsid w:val="5DF8DD96"/>
    <w:rsid w:val="5E366A06"/>
    <w:rsid w:val="5ED00E11"/>
    <w:rsid w:val="5ED7A038"/>
    <w:rsid w:val="5EF01FA1"/>
    <w:rsid w:val="5F08A9B9"/>
    <w:rsid w:val="5FD4D8E2"/>
    <w:rsid w:val="60BEEE07"/>
    <w:rsid w:val="60DC669F"/>
    <w:rsid w:val="61D5272F"/>
    <w:rsid w:val="624B4A80"/>
    <w:rsid w:val="626F4496"/>
    <w:rsid w:val="62921B55"/>
    <w:rsid w:val="62FDCFEF"/>
    <w:rsid w:val="62FFF4E9"/>
    <w:rsid w:val="63478ACF"/>
    <w:rsid w:val="635738B6"/>
    <w:rsid w:val="640FAA38"/>
    <w:rsid w:val="645B0C4F"/>
    <w:rsid w:val="64C7AD6D"/>
    <w:rsid w:val="64D223C4"/>
    <w:rsid w:val="64E55A15"/>
    <w:rsid w:val="64FD5382"/>
    <w:rsid w:val="652028D8"/>
    <w:rsid w:val="655D8151"/>
    <w:rsid w:val="65E3B890"/>
    <w:rsid w:val="66955E95"/>
    <w:rsid w:val="66BA4363"/>
    <w:rsid w:val="66C35594"/>
    <w:rsid w:val="66E3D550"/>
    <w:rsid w:val="677DD0C9"/>
    <w:rsid w:val="677F88F1"/>
    <w:rsid w:val="67DEDF75"/>
    <w:rsid w:val="6803CE54"/>
    <w:rsid w:val="6873FAAA"/>
    <w:rsid w:val="68B267D3"/>
    <w:rsid w:val="68C2FCB2"/>
    <w:rsid w:val="69CB5446"/>
    <w:rsid w:val="69D999C5"/>
    <w:rsid w:val="6AC97ECB"/>
    <w:rsid w:val="6AE45D54"/>
    <w:rsid w:val="6B266F27"/>
    <w:rsid w:val="6BAE5E20"/>
    <w:rsid w:val="6BB4AB17"/>
    <w:rsid w:val="6C10E3CE"/>
    <w:rsid w:val="6CB82BB2"/>
    <w:rsid w:val="6CCE871D"/>
    <w:rsid w:val="6D273034"/>
    <w:rsid w:val="6DA21CC4"/>
    <w:rsid w:val="6ECEE00B"/>
    <w:rsid w:val="6EE5FEE2"/>
    <w:rsid w:val="6F0039BA"/>
    <w:rsid w:val="6F5CB820"/>
    <w:rsid w:val="70323A45"/>
    <w:rsid w:val="703A928A"/>
    <w:rsid w:val="705215E1"/>
    <w:rsid w:val="70B50E3E"/>
    <w:rsid w:val="70EC5DB3"/>
    <w:rsid w:val="713B097A"/>
    <w:rsid w:val="7192BC4E"/>
    <w:rsid w:val="7253DBD3"/>
    <w:rsid w:val="7344283C"/>
    <w:rsid w:val="73834200"/>
    <w:rsid w:val="738E6A42"/>
    <w:rsid w:val="73A6994D"/>
    <w:rsid w:val="74004C5F"/>
    <w:rsid w:val="755EE191"/>
    <w:rsid w:val="75665B68"/>
    <w:rsid w:val="759AA2A8"/>
    <w:rsid w:val="75A4D6DA"/>
    <w:rsid w:val="75BCBE42"/>
    <w:rsid w:val="75BFEE01"/>
    <w:rsid w:val="76521ED4"/>
    <w:rsid w:val="7660C00A"/>
    <w:rsid w:val="76AE26DC"/>
    <w:rsid w:val="77C5A8BB"/>
    <w:rsid w:val="78006566"/>
    <w:rsid w:val="78207E2F"/>
    <w:rsid w:val="79007E3F"/>
    <w:rsid w:val="7960F6A0"/>
    <w:rsid w:val="796F40DE"/>
    <w:rsid w:val="79E28028"/>
    <w:rsid w:val="7A032CAA"/>
    <w:rsid w:val="7B15EE63"/>
    <w:rsid w:val="7B1C747C"/>
    <w:rsid w:val="7B6A2840"/>
    <w:rsid w:val="7BDC38E9"/>
    <w:rsid w:val="7C367D02"/>
    <w:rsid w:val="7C7F0A5E"/>
    <w:rsid w:val="7C904535"/>
    <w:rsid w:val="7D5604BA"/>
    <w:rsid w:val="7DDF64ED"/>
    <w:rsid w:val="7DDFC460"/>
    <w:rsid w:val="7E0474E9"/>
    <w:rsid w:val="7E072676"/>
    <w:rsid w:val="7E86293C"/>
    <w:rsid w:val="7EEB5323"/>
    <w:rsid w:val="7F288F5D"/>
    <w:rsid w:val="7FE5B7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EF1126"/>
  <w15:docId w15:val="{F7114588-6B8E-4325-9270-2FB27E9A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27A71"/>
    <w:rPr>
      <w:color w:val="800080" w:themeColor="followedHyperlink"/>
      <w:u w:val="single"/>
    </w:rPr>
  </w:style>
  <w:style w:type="paragraph" w:styleId="EndnoteText">
    <w:name w:val="endnote text"/>
    <w:basedOn w:val="Normal"/>
    <w:link w:val="EndnoteTextChar"/>
    <w:uiPriority w:val="99"/>
    <w:unhideWhenUsed/>
    <w:rsid w:val="00D11E0E"/>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D11E0E"/>
    <w:rPr>
      <w:rFonts w:asciiTheme="minorHAnsi" w:eastAsiaTheme="minorHAnsi" w:hAnsiTheme="minorHAnsi" w:cstheme="minorBidi"/>
      <w:sz w:val="20"/>
      <w:szCs w:val="20"/>
    </w:rPr>
  </w:style>
  <w:style w:type="character" w:styleId="UnresolvedMention">
    <w:name w:val="Unresolved Mention"/>
    <w:basedOn w:val="DefaultParagraphFont"/>
    <w:uiPriority w:val="99"/>
    <w:unhideWhenUsed/>
    <w:rsid w:val="000C6CC4"/>
    <w:rPr>
      <w:color w:val="605E5C"/>
      <w:shd w:val="clear" w:color="auto" w:fill="E1DFDD"/>
    </w:rPr>
  </w:style>
  <w:style w:type="paragraph" w:styleId="Revision">
    <w:name w:val="Revision"/>
    <w:hidden/>
    <w:uiPriority w:val="99"/>
    <w:semiHidden/>
    <w:rsid w:val="001D7895"/>
    <w:rPr>
      <w:rFonts w:ascii="Arial" w:hAnsi="Arial" w:cs="Arial"/>
      <w:sz w:val="20"/>
      <w:szCs w:val="20"/>
    </w:rPr>
  </w:style>
  <w:style w:type="character" w:styleId="EndnoteReference">
    <w:name w:val="endnote reference"/>
    <w:basedOn w:val="DefaultParagraphFont"/>
    <w:uiPriority w:val="99"/>
    <w:semiHidden/>
    <w:unhideWhenUsed/>
    <w:rsid w:val="008A29E6"/>
    <w:rPr>
      <w:vertAlign w:val="superscript"/>
    </w:rPr>
  </w:style>
  <w:style w:type="character" w:styleId="Mention">
    <w:name w:val="Mention"/>
    <w:basedOn w:val="DefaultParagraphFont"/>
    <w:uiPriority w:val="99"/>
    <w:unhideWhenUsed/>
    <w:rsid w:val="00B312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0941">
      <w:bodyDiv w:val="1"/>
      <w:marLeft w:val="0"/>
      <w:marRight w:val="0"/>
      <w:marTop w:val="0"/>
      <w:marBottom w:val="0"/>
      <w:divBdr>
        <w:top w:val="none" w:sz="0" w:space="0" w:color="auto"/>
        <w:left w:val="none" w:sz="0" w:space="0" w:color="auto"/>
        <w:bottom w:val="none" w:sz="0" w:space="0" w:color="auto"/>
        <w:right w:val="none" w:sz="0" w:space="0" w:color="auto"/>
      </w:divBdr>
      <w:divsChild>
        <w:div w:id="1473014351">
          <w:marLeft w:val="0"/>
          <w:marRight w:val="0"/>
          <w:marTop w:val="0"/>
          <w:marBottom w:val="0"/>
          <w:divBdr>
            <w:top w:val="none" w:sz="0" w:space="0" w:color="auto"/>
            <w:left w:val="none" w:sz="0" w:space="0" w:color="auto"/>
            <w:bottom w:val="none" w:sz="0" w:space="0" w:color="auto"/>
            <w:right w:val="none" w:sz="0" w:space="0" w:color="auto"/>
          </w:divBdr>
        </w:div>
      </w:divsChild>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288897223">
      <w:bodyDiv w:val="1"/>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800657504">
      <w:bodyDiv w:val="1"/>
      <w:marLeft w:val="0"/>
      <w:marRight w:val="0"/>
      <w:marTop w:val="0"/>
      <w:marBottom w:val="0"/>
      <w:divBdr>
        <w:top w:val="none" w:sz="0" w:space="0" w:color="auto"/>
        <w:left w:val="none" w:sz="0" w:space="0" w:color="auto"/>
        <w:bottom w:val="none" w:sz="0" w:space="0" w:color="auto"/>
        <w:right w:val="none" w:sz="0" w:space="0" w:color="auto"/>
      </w:divBdr>
    </w:div>
    <w:div w:id="856963708">
      <w:bodyDiv w:val="1"/>
      <w:marLeft w:val="0"/>
      <w:marRight w:val="0"/>
      <w:marTop w:val="0"/>
      <w:marBottom w:val="0"/>
      <w:divBdr>
        <w:top w:val="none" w:sz="0" w:space="0" w:color="auto"/>
        <w:left w:val="none" w:sz="0" w:space="0" w:color="auto"/>
        <w:bottom w:val="none" w:sz="0" w:space="0" w:color="auto"/>
        <w:right w:val="none" w:sz="0" w:space="0" w:color="auto"/>
      </w:divBdr>
    </w:div>
    <w:div w:id="884560855">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14422256">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809930971">
      <w:bodyDiv w:val="1"/>
      <w:marLeft w:val="0"/>
      <w:marRight w:val="0"/>
      <w:marTop w:val="0"/>
      <w:marBottom w:val="0"/>
      <w:divBdr>
        <w:top w:val="none" w:sz="0" w:space="0" w:color="auto"/>
        <w:left w:val="none" w:sz="0" w:space="0" w:color="auto"/>
        <w:bottom w:val="none" w:sz="0" w:space="0" w:color="auto"/>
        <w:right w:val="none" w:sz="0" w:space="0" w:color="auto"/>
      </w:divBdr>
    </w:div>
    <w:div w:id="21226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hyperlink" Target="https://behereinitiative.org/workplace/" TargetMode="Externa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opioid-related-overdose-deaths-by-industry-and-occupation-2016-2017-0/download" TargetMode="External"/><Relationship Id="rId2" Type="http://schemas.openxmlformats.org/officeDocument/2006/relationships/hyperlink" Target="https://www.mass.gov/files/documents/2020/03/19/opioid-industry-occupation.pdf" TargetMode="External"/><Relationship Id="rId1" Type="http://schemas.openxmlformats.org/officeDocument/2006/relationships/hyperlink" Target="https://www.mass.gov/doc/opioid-related-overdose-deaths-among-ma-residents-may-2021/download" TargetMode="External"/><Relationship Id="rId6" Type="http://schemas.openxmlformats.org/officeDocument/2006/relationships/hyperlink" Target="https://www.mass.gov/info-details/covid-19-community-impact-survey?msclkid=6d05cdddb9b611ecbf6e6f73ae48cd6d" TargetMode="External"/><Relationship Id="rId5" Type="http://schemas.openxmlformats.org/officeDocument/2006/relationships/hyperlink" Target="https://www.mass.gov/info-details/earned-sick-time" TargetMode="External"/><Relationship Id="rId4" Type="http://schemas.openxmlformats.org/officeDocument/2006/relationships/hyperlink" Target="https://www.mass.gov/doc/opioid-related-overdose-deaths-demographics-june-2022/downloa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assgov-my.sharepoint.com/personal/michelle_reid2_mass_gov/Documents/Opioids_IO_May%20Data%20Brie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assgov-my.sharepoint.com/personal/michelle_reid2_mass_gov/Documents/Documents/Opioid%20presentation%20data%20all%20years%20compa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massgov-my.sharepoint.com/personal/michelle_reid2_mass_gov/Documents/Documents/Opioid%20presentation%20data%20all%20years%20compared.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s://massgov-my.sharepoint.com/personal/michelle_reid2_mass_gov/Documents/Documents/Opioid%20presentation%20data%20all%20years%20compared.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https://massgov-my.sharepoint.com/personal/michelle_reid2_mass_gov/Documents/Documents/Opioid%20presentation%20data%20all%20years%20compa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massgov.sharepoint.com/sites/EHS-Teams-DPH_Occupational_Health_Surveillance_Program-Opioids/Shared%20Documents/Opioids/2018-2020%20Analysis/Tables%20-%202020.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massgov.sharepoint.com/sites/EHS-Teams-DPH_Occupational_Health_Surveillance_Program-Opioids/Shared%20Documents/Opioids/2018-2020%20Analysis/Tables%20-%202020.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4167225897282"/>
          <c:y val="6.0529242050850522E-2"/>
          <c:w val="0.8239911029390824"/>
          <c:h val="0.82297477009076159"/>
        </c:manualLayout>
      </c:layout>
      <c:barChart>
        <c:barDir val="col"/>
        <c:grouping val="clustered"/>
        <c:varyColors val="0"/>
        <c:ser>
          <c:idx val="0"/>
          <c:order val="0"/>
          <c:tx>
            <c:strRef>
              <c:f>'all years'!$A$2</c:f>
              <c:strCache>
                <c:ptCount val="1"/>
                <c:pt idx="0">
                  <c:v>Number of Opioid-related Overdose Deaths of all workers</c:v>
                </c:pt>
              </c:strCache>
            </c:strRef>
          </c:tx>
          <c:spPr>
            <a:solidFill>
              <a:srgbClr val="002060"/>
            </a:solidFill>
            <a:ln>
              <a:solidFill>
                <a:schemeClr val="tx1"/>
              </a:solidFill>
            </a:ln>
            <a:effectLst/>
          </c:spPr>
          <c:invertIfNegative val="0"/>
          <c:cat>
            <c:numRef>
              <c:f>'all years'!$B$1:$K$1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'all years'!$B$2:$K$2</c:f>
              <c:numCache>
                <c:formatCode>General</c:formatCode>
                <c:ptCount val="10"/>
                <c:pt idx="0">
                  <c:v>502</c:v>
                </c:pt>
                <c:pt idx="1">
                  <c:v>566</c:v>
                </c:pt>
                <c:pt idx="2">
                  <c:v>742</c:v>
                </c:pt>
                <c:pt idx="3">
                  <c:v>1099</c:v>
                </c:pt>
                <c:pt idx="4">
                  <c:v>1428</c:v>
                </c:pt>
                <c:pt idx="5">
                  <c:v>1721</c:v>
                </c:pt>
                <c:pt idx="6">
                  <c:v>1633</c:v>
                </c:pt>
                <c:pt idx="7">
                  <c:v>1682</c:v>
                </c:pt>
                <c:pt idx="8">
                  <c:v>1661</c:v>
                </c:pt>
                <c:pt idx="9">
                  <c:v>1736</c:v>
                </c:pt>
              </c:numCache>
            </c:numRef>
          </c:val>
          <c:extLst>
            <c:ext xmlns:c16="http://schemas.microsoft.com/office/drawing/2014/chart" uri="{C3380CC4-5D6E-409C-BE32-E72D297353CC}">
              <c16:uniqueId val="{00000000-037A-4137-AE0F-44A5307076B1}"/>
            </c:ext>
          </c:extLst>
        </c:ser>
        <c:dLbls>
          <c:showLegendKey val="0"/>
          <c:showVal val="0"/>
          <c:showCatName val="0"/>
          <c:showSerName val="0"/>
          <c:showPercent val="0"/>
          <c:showBubbleSize val="0"/>
        </c:dLbls>
        <c:gapWidth val="219"/>
        <c:axId val="1601620559"/>
        <c:axId val="1601621391"/>
      </c:barChart>
      <c:lineChart>
        <c:grouping val="standard"/>
        <c:varyColors val="0"/>
        <c:ser>
          <c:idx val="1"/>
          <c:order val="1"/>
          <c:tx>
            <c:strRef>
              <c:f>'all years'!$A$3</c:f>
              <c:strCache>
                <c:ptCount val="1"/>
                <c:pt idx="0">
                  <c:v>Rate of Opioid-related overdose deaths of all workers</c:v>
                </c:pt>
              </c:strCache>
            </c:strRef>
          </c:tx>
          <c:spPr>
            <a:ln w="28575" cap="rnd">
              <a:solidFill>
                <a:srgbClr val="00B0F0"/>
              </a:solidFill>
              <a:round/>
            </a:ln>
            <a:effectLst/>
          </c:spPr>
          <c:marker>
            <c:symbol val="circle"/>
            <c:size val="5"/>
            <c:spPr>
              <a:solidFill>
                <a:srgbClr val="00B0F0"/>
              </a:solidFill>
              <a:ln w="9525">
                <a:solidFill>
                  <a:srgbClr val="00B0F0"/>
                </a:solidFill>
              </a:ln>
              <a:effectLst/>
            </c:spPr>
          </c:marker>
          <c:errBars>
            <c:errDir val="y"/>
            <c:errBarType val="both"/>
            <c:errValType val="cust"/>
            <c:noEndCap val="0"/>
            <c:plus>
              <c:numRef>
                <c:f>'all years'!$A$6:$A$15</c:f>
                <c:numCache>
                  <c:formatCode>General</c:formatCode>
                  <c:ptCount val="10"/>
                  <c:pt idx="0">
                    <c:v>1.338880344369499</c:v>
                  </c:pt>
                  <c:pt idx="1">
                    <c:v>1.4023614599276846</c:v>
                  </c:pt>
                  <c:pt idx="2">
                    <c:v>1.5708860439083496</c:v>
                  </c:pt>
                  <c:pt idx="3">
                    <c:v>1.8756994166081056</c:v>
                  </c:pt>
                  <c:pt idx="4">
                    <c:v>2.1044588568386171</c:v>
                  </c:pt>
                  <c:pt idx="5">
                    <c:v>2.2813676838277721</c:v>
                  </c:pt>
                  <c:pt idx="6">
                    <c:v>2.2048152961363541</c:v>
                  </c:pt>
                  <c:pt idx="7">
                    <c:v>2.2150567194359931</c:v>
                  </c:pt>
                  <c:pt idx="8">
                    <c:v>2.1579368437346798</c:v>
                  </c:pt>
                  <c:pt idx="9">
                    <c:v>2.3349785439537656</c:v>
                  </c:pt>
                </c:numCache>
              </c:numRef>
            </c:plus>
            <c:minus>
              <c:numRef>
                <c:f>'all years'!$A$6:$A$15</c:f>
                <c:numCache>
                  <c:formatCode>General</c:formatCode>
                  <c:ptCount val="10"/>
                  <c:pt idx="0">
                    <c:v>1.338880344369499</c:v>
                  </c:pt>
                  <c:pt idx="1">
                    <c:v>1.4023614599276846</c:v>
                  </c:pt>
                  <c:pt idx="2">
                    <c:v>1.5708860439083496</c:v>
                  </c:pt>
                  <c:pt idx="3">
                    <c:v>1.8756994166081056</c:v>
                  </c:pt>
                  <c:pt idx="4">
                    <c:v>2.1044588568386171</c:v>
                  </c:pt>
                  <c:pt idx="5">
                    <c:v>2.2813676838277721</c:v>
                  </c:pt>
                  <c:pt idx="6">
                    <c:v>2.2048152961363541</c:v>
                  </c:pt>
                  <c:pt idx="7">
                    <c:v>2.2150567194359931</c:v>
                  </c:pt>
                  <c:pt idx="8">
                    <c:v>2.1579368437346798</c:v>
                  </c:pt>
                  <c:pt idx="9">
                    <c:v>2.3349785439537656</c:v>
                  </c:pt>
                </c:numCache>
              </c:numRef>
            </c:minus>
            <c:spPr>
              <a:noFill/>
              <a:ln w="9525" cap="flat" cmpd="sng" algn="ctr">
                <a:solidFill>
                  <a:srgbClr val="00B0F0"/>
                </a:solidFill>
                <a:round/>
              </a:ln>
              <a:effectLst/>
            </c:spPr>
          </c:errBars>
          <c:val>
            <c:numRef>
              <c:f>'all years'!$B$3:$K$3</c:f>
              <c:numCache>
                <c:formatCode>General</c:formatCode>
                <c:ptCount val="10"/>
                <c:pt idx="0">
                  <c:v>15.305099999999999</c:v>
                </c:pt>
                <c:pt idx="1">
                  <c:v>17.022099999999998</c:v>
                </c:pt>
                <c:pt idx="2">
                  <c:v>21.831900000000001</c:v>
                </c:pt>
                <c:pt idx="3">
                  <c:v>31.725300000000001</c:v>
                </c:pt>
                <c:pt idx="4">
                  <c:v>40.574100000000001</c:v>
                </c:pt>
                <c:pt idx="5">
                  <c:v>48.286900000000003</c:v>
                </c:pt>
                <c:pt idx="6">
                  <c:v>45.457900000000002</c:v>
                </c:pt>
                <c:pt idx="7">
                  <c:v>46.349200000000003</c:v>
                </c:pt>
                <c:pt idx="8">
                  <c:v>44.871200000000002</c:v>
                </c:pt>
                <c:pt idx="9">
                  <c:v>49.636600000000001</c:v>
                </c:pt>
              </c:numCache>
            </c:numRef>
          </c:val>
          <c:smooth val="0"/>
          <c:extLst>
            <c:ext xmlns:c16="http://schemas.microsoft.com/office/drawing/2014/chart" uri="{C3380CC4-5D6E-409C-BE32-E72D297353CC}">
              <c16:uniqueId val="{00000001-037A-4137-AE0F-44A5307076B1}"/>
            </c:ext>
          </c:extLst>
        </c:ser>
        <c:dLbls>
          <c:showLegendKey val="0"/>
          <c:showVal val="0"/>
          <c:showCatName val="0"/>
          <c:showSerName val="0"/>
          <c:showPercent val="0"/>
          <c:showBubbleSize val="0"/>
        </c:dLbls>
        <c:marker val="1"/>
        <c:smooth val="0"/>
        <c:axId val="1794428751"/>
        <c:axId val="1794428335"/>
      </c:lineChart>
      <c:catAx>
        <c:axId val="1601620559"/>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Year</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601621391"/>
        <c:crosses val="autoZero"/>
        <c:auto val="1"/>
        <c:lblAlgn val="ctr"/>
        <c:lblOffset val="100"/>
        <c:noMultiLvlLbl val="0"/>
      </c:catAx>
      <c:valAx>
        <c:axId val="1601621391"/>
        <c:scaling>
          <c:orientation val="minMax"/>
          <c:max val="18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Opioid-related overdose deaths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01620559"/>
        <c:crosses val="autoZero"/>
        <c:crossBetween val="between"/>
      </c:valAx>
      <c:valAx>
        <c:axId val="1794428335"/>
        <c:scaling>
          <c:orientation val="minMax"/>
          <c:max val="60"/>
          <c:min val="0"/>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Opioid-related overdose deaths per 100,000 workers</a:t>
                </a:r>
              </a:p>
            </c:rich>
          </c:tx>
          <c:layout>
            <c:manualLayout>
              <c:xMode val="edge"/>
              <c:yMode val="edge"/>
              <c:x val="0.95592128467016835"/>
              <c:y val="0.1634984381972333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794428751"/>
        <c:crosses val="max"/>
        <c:crossBetween val="between"/>
        <c:majorUnit val="10"/>
        <c:minorUnit val="10"/>
      </c:valAx>
      <c:catAx>
        <c:axId val="1794428751"/>
        <c:scaling>
          <c:orientation val="minMax"/>
        </c:scaling>
        <c:delete val="1"/>
        <c:axPos val="b"/>
        <c:majorTickMark val="out"/>
        <c:minorTickMark val="none"/>
        <c:tickLblPos val="nextTo"/>
        <c:crossAx val="1794428335"/>
        <c:crossesAt val="0"/>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8933816627928"/>
          <c:y val="1.7073191583951024E-2"/>
          <c:w val="0.55880350456843086"/>
          <c:h val="0.90957834260945392"/>
        </c:manualLayout>
      </c:layout>
      <c:barChart>
        <c:barDir val="bar"/>
        <c:grouping val="clustered"/>
        <c:varyColors val="0"/>
        <c:ser>
          <c:idx val="2"/>
          <c:order val="0"/>
          <c:tx>
            <c:strRef>
              <c:f>Industry!$T$1</c:f>
              <c:strCache>
                <c:ptCount val="1"/>
                <c:pt idx="0">
                  <c:v>2020</c:v>
                </c:pt>
              </c:strCache>
            </c:strRef>
          </c:tx>
          <c:spPr>
            <a:solidFill>
              <a:srgbClr val="00B0F0"/>
            </a:solidFill>
            <a:ln>
              <a:solidFill>
                <a:schemeClr val="tx1"/>
              </a:solidFill>
            </a:ln>
            <a:effectLst/>
          </c:spPr>
          <c:invertIfNegative val="0"/>
          <c:dPt>
            <c:idx val="2"/>
            <c:invertIfNegative val="0"/>
            <c:bubble3D val="0"/>
            <c:spPr>
              <a:solidFill>
                <a:srgbClr val="00B0F0"/>
              </a:solidFill>
              <a:ln>
                <a:solidFill>
                  <a:schemeClr val="tx1"/>
                </a:solidFill>
              </a:ln>
              <a:effectLst/>
            </c:spPr>
            <c:extLst>
              <c:ext xmlns:c16="http://schemas.microsoft.com/office/drawing/2014/chart" uri="{C3380CC4-5D6E-409C-BE32-E72D297353CC}">
                <c16:uniqueId val="{00000001-F403-41F9-9023-AAE08F40B8CB}"/>
              </c:ext>
            </c:extLst>
          </c:dPt>
          <c:dPt>
            <c:idx val="7"/>
            <c:invertIfNegative val="0"/>
            <c:bubble3D val="0"/>
            <c:spPr>
              <a:solidFill>
                <a:srgbClr val="00B0F0"/>
              </a:solidFill>
              <a:ln>
                <a:solidFill>
                  <a:schemeClr val="tx1"/>
                </a:solidFill>
              </a:ln>
              <a:effectLst/>
            </c:spPr>
            <c:extLst>
              <c:ext xmlns:c16="http://schemas.microsoft.com/office/drawing/2014/chart" uri="{C3380CC4-5D6E-409C-BE32-E72D297353CC}">
                <c16:uniqueId val="{00000003-F403-41F9-9023-AAE08F40B8CB}"/>
              </c:ext>
            </c:extLst>
          </c:dPt>
          <c:dPt>
            <c:idx val="15"/>
            <c:invertIfNegative val="0"/>
            <c:bubble3D val="0"/>
            <c:spPr>
              <a:solidFill>
                <a:srgbClr val="00B0F0"/>
              </a:solidFill>
              <a:ln>
                <a:solidFill>
                  <a:schemeClr val="tx1"/>
                </a:solidFill>
              </a:ln>
              <a:effectLst/>
            </c:spPr>
            <c:extLst>
              <c:ext xmlns:c16="http://schemas.microsoft.com/office/drawing/2014/chart" uri="{C3380CC4-5D6E-409C-BE32-E72D297353CC}">
                <c16:uniqueId val="{00000005-F403-41F9-9023-AAE08F40B8CB}"/>
              </c:ext>
            </c:extLst>
          </c:dPt>
          <c:dPt>
            <c:idx val="17"/>
            <c:invertIfNegative val="0"/>
            <c:bubble3D val="0"/>
            <c:spPr>
              <a:solidFill>
                <a:srgbClr val="00B0F0"/>
              </a:solidFill>
              <a:ln>
                <a:solidFill>
                  <a:schemeClr val="tx1"/>
                </a:solidFill>
              </a:ln>
              <a:effectLst/>
            </c:spPr>
            <c:extLst>
              <c:ext xmlns:c16="http://schemas.microsoft.com/office/drawing/2014/chart" uri="{C3380CC4-5D6E-409C-BE32-E72D297353CC}">
                <c16:uniqueId val="{00000007-F403-41F9-9023-AAE08F40B8CB}"/>
              </c:ext>
            </c:extLst>
          </c:dPt>
          <c:dPt>
            <c:idx val="18"/>
            <c:invertIfNegative val="0"/>
            <c:bubble3D val="0"/>
            <c:spPr>
              <a:solidFill>
                <a:srgbClr val="00B0F0"/>
              </a:solidFill>
              <a:ln>
                <a:solidFill>
                  <a:schemeClr val="tx1"/>
                </a:solidFill>
              </a:ln>
              <a:effectLst/>
            </c:spPr>
            <c:extLst>
              <c:ext xmlns:c16="http://schemas.microsoft.com/office/drawing/2014/chart" uri="{C3380CC4-5D6E-409C-BE32-E72D297353CC}">
                <c16:uniqueId val="{00000009-F403-41F9-9023-AAE08F40B8CB}"/>
              </c:ext>
            </c:extLst>
          </c:dPt>
          <c:dPt>
            <c:idx val="19"/>
            <c:invertIfNegative val="0"/>
            <c:bubble3D val="0"/>
            <c:spPr>
              <a:solidFill>
                <a:srgbClr val="00B0F0"/>
              </a:solidFill>
              <a:ln>
                <a:solidFill>
                  <a:schemeClr val="tx1"/>
                </a:solidFill>
              </a:ln>
              <a:effectLst/>
            </c:spPr>
            <c:extLst>
              <c:ext xmlns:c16="http://schemas.microsoft.com/office/drawing/2014/chart" uri="{C3380CC4-5D6E-409C-BE32-E72D297353CC}">
                <c16:uniqueId val="{0000000B-F403-41F9-9023-AAE08F40B8CB}"/>
              </c:ext>
            </c:extLst>
          </c:dPt>
          <c:dLbls>
            <c:dLbl>
              <c:idx val="0"/>
              <c:tx>
                <c:rich>
                  <a:bodyPr/>
                  <a:lstStyle/>
                  <a:p>
                    <a:fld id="{95F57F2A-4F04-4D01-9A06-47189087005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F403-41F9-9023-AAE08F40B8CB}"/>
                </c:ext>
              </c:extLst>
            </c:dLbl>
            <c:dLbl>
              <c:idx val="1"/>
              <c:layout>
                <c:manualLayout>
                  <c:x val="-5.4006532668461955E-2"/>
                  <c:y val="0"/>
                </c:manualLayout>
              </c:layout>
              <c:tx>
                <c:rich>
                  <a:bodyPr/>
                  <a:lstStyle/>
                  <a:p>
                    <a:fld id="{AA11133C-5355-459A-AC12-A93FAC89FBB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F403-41F9-9023-AAE08F40B8CB}"/>
                </c:ext>
              </c:extLst>
            </c:dLbl>
            <c:dLbl>
              <c:idx val="2"/>
              <c:tx>
                <c:rich>
                  <a:bodyPr/>
                  <a:lstStyle/>
                  <a:p>
                    <a:fld id="{0D5125CE-92A7-4CFA-BBEE-9BD1DC3E9AA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403-41F9-9023-AAE08F40B8CB}"/>
                </c:ext>
              </c:extLst>
            </c:dLbl>
            <c:dLbl>
              <c:idx val="3"/>
              <c:tx>
                <c:rich>
                  <a:bodyPr/>
                  <a:lstStyle/>
                  <a:p>
                    <a:fld id="{84085F7A-691F-487E-A33D-DAB3468B942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F403-41F9-9023-AAE08F40B8CB}"/>
                </c:ext>
              </c:extLst>
            </c:dLbl>
            <c:dLbl>
              <c:idx val="4"/>
              <c:tx>
                <c:rich>
                  <a:bodyPr/>
                  <a:lstStyle/>
                  <a:p>
                    <a:fld id="{12E69FC3-B929-4811-A048-FBFDA50584C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F403-41F9-9023-AAE08F40B8CB}"/>
                </c:ext>
              </c:extLst>
            </c:dLbl>
            <c:dLbl>
              <c:idx val="5"/>
              <c:layout>
                <c:manualLayout>
                  <c:x val="7.5702500776479026E-3"/>
                  <c:y val="2.6253609871356347E-3"/>
                </c:manualLayout>
              </c:layout>
              <c:tx>
                <c:rich>
                  <a:bodyPr/>
                  <a:lstStyle/>
                  <a:p>
                    <a:fld id="{654644BD-A0C0-4BB3-9144-06720ABC289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F403-41F9-9023-AAE08F40B8CB}"/>
                </c:ext>
              </c:extLst>
            </c:dLbl>
            <c:dLbl>
              <c:idx val="6"/>
              <c:layout>
                <c:manualLayout>
                  <c:x val="6.3990115669870931E-3"/>
                  <c:y val="0"/>
                </c:manualLayout>
              </c:layout>
              <c:tx>
                <c:rich>
                  <a:bodyPr/>
                  <a:lstStyle/>
                  <a:p>
                    <a:fld id="{4FA2FE62-4CDE-4E35-9652-7CC3426CB25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F403-41F9-9023-AAE08F40B8CB}"/>
                </c:ext>
              </c:extLst>
            </c:dLbl>
            <c:dLbl>
              <c:idx val="7"/>
              <c:tx>
                <c:rich>
                  <a:bodyPr/>
                  <a:lstStyle/>
                  <a:p>
                    <a:fld id="{E9F8E4BF-7C7E-4F24-B5B8-B0A2081C80A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403-41F9-9023-AAE08F40B8CB}"/>
                </c:ext>
              </c:extLst>
            </c:dLbl>
            <c:dLbl>
              <c:idx val="8"/>
              <c:tx>
                <c:rich>
                  <a:bodyPr/>
                  <a:lstStyle/>
                  <a:p>
                    <a:r>
                      <a:rPr lang="en-US"/>
                      <a:t>*</a:t>
                    </a:r>
                  </a:p>
                </c:rich>
              </c:tx>
              <c:dLblPos val="inBase"/>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12-F403-41F9-9023-AAE08F40B8CB}"/>
                </c:ext>
              </c:extLst>
            </c:dLbl>
            <c:dLbl>
              <c:idx val="9"/>
              <c:tx>
                <c:rich>
                  <a:bodyPr/>
                  <a:lstStyle/>
                  <a:p>
                    <a:fld id="{C5276F13-FF65-47C6-B714-7231EE19163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F403-41F9-9023-AAE08F40B8CB}"/>
                </c:ext>
              </c:extLst>
            </c:dLbl>
            <c:dLbl>
              <c:idx val="10"/>
              <c:tx>
                <c:rich>
                  <a:bodyPr/>
                  <a:lstStyle/>
                  <a:p>
                    <a:fld id="{8C5B29FE-AB4A-4C3F-A2C6-A4FDD27902F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F403-41F9-9023-AAE08F40B8CB}"/>
                </c:ext>
              </c:extLst>
            </c:dLbl>
            <c:dLbl>
              <c:idx val="11"/>
              <c:layout>
                <c:manualLayout>
                  <c:x val="-4.5832437395260571E-2"/>
                  <c:y val="0"/>
                </c:manualLayout>
              </c:layout>
              <c:tx>
                <c:rich>
                  <a:bodyPr/>
                  <a:lstStyle/>
                  <a:p>
                    <a:fld id="{CBEF4F6E-0F85-4782-8602-53CC2204598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F403-41F9-9023-AAE08F40B8CB}"/>
                </c:ext>
              </c:extLst>
            </c:dLbl>
            <c:dLbl>
              <c:idx val="12"/>
              <c:tx>
                <c:rich>
                  <a:bodyPr/>
                  <a:lstStyle/>
                  <a:p>
                    <a:fld id="{7E90ABCA-9FA2-460F-A14F-B403E46D1CF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F403-41F9-9023-AAE08F40B8CB}"/>
                </c:ext>
              </c:extLst>
            </c:dLbl>
            <c:dLbl>
              <c:idx val="13"/>
              <c:layout>
                <c:manualLayout>
                  <c:x val="6.9341852424493113E-3"/>
                  <c:y val="0"/>
                </c:manualLayout>
              </c:layout>
              <c:tx>
                <c:rich>
                  <a:bodyPr/>
                  <a:lstStyle/>
                  <a:p>
                    <a:fld id="{B446864E-5F12-478E-B17D-3212383BA1A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F403-41F9-9023-AAE08F40B8CB}"/>
                </c:ext>
              </c:extLst>
            </c:dLbl>
            <c:dLbl>
              <c:idx val="14"/>
              <c:layout>
                <c:manualLayout>
                  <c:x val="3.8697698548409666E-3"/>
                  <c:y val="0"/>
                </c:manualLayout>
              </c:layout>
              <c:tx>
                <c:rich>
                  <a:bodyPr/>
                  <a:lstStyle/>
                  <a:p>
                    <a:fld id="{CA490786-55E3-46C5-AB70-961B81E569A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F403-41F9-9023-AAE08F40B8CB}"/>
                </c:ext>
              </c:extLst>
            </c:dLbl>
            <c:dLbl>
              <c:idx val="15"/>
              <c:tx>
                <c:rich>
                  <a:bodyPr/>
                  <a:lstStyle/>
                  <a:p>
                    <a:fld id="{E2EE595A-E50C-4CAD-8824-A9E99F52BCF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403-41F9-9023-AAE08F40B8CB}"/>
                </c:ext>
              </c:extLst>
            </c:dLbl>
            <c:dLbl>
              <c:idx val="16"/>
              <c:tx>
                <c:rich>
                  <a:bodyPr/>
                  <a:lstStyle/>
                  <a:p>
                    <a:fld id="{C8B9DAF3-CFA9-4FD4-B1F4-6CA5D9A531B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F403-41F9-9023-AAE08F40B8CB}"/>
                </c:ext>
              </c:extLst>
            </c:dLbl>
            <c:dLbl>
              <c:idx val="17"/>
              <c:tx>
                <c:rich>
                  <a:bodyPr/>
                  <a:lstStyle/>
                  <a:p>
                    <a:fld id="{86F50084-D8FA-4A1C-829F-7AE859D268F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F403-41F9-9023-AAE08F40B8CB}"/>
                </c:ext>
              </c:extLst>
            </c:dLbl>
            <c:dLbl>
              <c:idx val="18"/>
              <c:tx>
                <c:rich>
                  <a:bodyPr/>
                  <a:lstStyle/>
                  <a:p>
                    <a:fld id="{E916F496-C40F-4240-9FF9-A5AA33EA290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F403-41F9-9023-AAE08F40B8CB}"/>
                </c:ext>
              </c:extLst>
            </c:dLbl>
            <c:dLbl>
              <c:idx val="19"/>
              <c:tx>
                <c:rich>
                  <a:bodyPr/>
                  <a:lstStyle/>
                  <a:p>
                    <a:fld id="{327D68DD-986C-45AC-95C3-89262BE3159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F403-41F9-9023-AAE08F40B8CB}"/>
                </c:ext>
              </c:extLst>
            </c:dLbl>
            <c:dLbl>
              <c:idx val="20"/>
              <c:tx>
                <c:rich>
                  <a:bodyPr/>
                  <a:lstStyle/>
                  <a:p>
                    <a:fld id="{63B87B7E-2CBE-4198-B2C2-57BA6ED0753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F403-41F9-9023-AAE08F40B8CB}"/>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tx1"/>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Industry!$G$2:$G$22</c:f>
                <c:numCache>
                  <c:formatCode>General</c:formatCode>
                  <c:ptCount val="21"/>
                  <c:pt idx="0">
                    <c:v>12.201816876490083</c:v>
                  </c:pt>
                  <c:pt idx="1">
                    <c:v>20.363121690436653</c:v>
                  </c:pt>
                  <c:pt idx="2">
                    <c:v>16.78351963177586</c:v>
                  </c:pt>
                  <c:pt idx="3">
                    <c:v>7.7658443074327801</c:v>
                  </c:pt>
                  <c:pt idx="4">
                    <c:v>15.77033246435583</c:v>
                  </c:pt>
                  <c:pt idx="5">
                    <c:v>7.3698837424630419</c:v>
                  </c:pt>
                  <c:pt idx="6">
                    <c:v>3.2268235338997906</c:v>
                  </c:pt>
                  <c:pt idx="7">
                    <c:v>13.879198611817666</c:v>
                  </c:pt>
                  <c:pt idx="8">
                    <c:v>91.205211726384377</c:v>
                  </c:pt>
                  <c:pt idx="9">
                    <c:v>6.6954850743009606</c:v>
                  </c:pt>
                  <c:pt idx="10">
                    <c:v>0</c:v>
                  </c:pt>
                  <c:pt idx="11">
                    <c:v>10.878320894640607</c:v>
                  </c:pt>
                  <c:pt idx="12">
                    <c:v>4.4290787508911036</c:v>
                  </c:pt>
                  <c:pt idx="13">
                    <c:v>3.8283306232268335</c:v>
                  </c:pt>
                  <c:pt idx="14">
                    <c:v>2.4481159126660454</c:v>
                  </c:pt>
                  <c:pt idx="15">
                    <c:v>20.967149051931969</c:v>
                  </c:pt>
                  <c:pt idx="16">
                    <c:v>15.230769151491526</c:v>
                  </c:pt>
                  <c:pt idx="17">
                    <c:v>84.591701602235958</c:v>
                  </c:pt>
                  <c:pt idx="18">
                    <c:v>16.870010636932228</c:v>
                  </c:pt>
                  <c:pt idx="19">
                    <c:v>15.967374444107978</c:v>
                  </c:pt>
                  <c:pt idx="20">
                    <c:v>2.3147151129605881</c:v>
                  </c:pt>
                </c:numCache>
              </c:numRef>
            </c:plus>
            <c:minus>
              <c:numRef>
                <c:f>Industry!$G$2:$G$22</c:f>
                <c:numCache>
                  <c:formatCode>General</c:formatCode>
                  <c:ptCount val="21"/>
                  <c:pt idx="0">
                    <c:v>12.201816876490083</c:v>
                  </c:pt>
                  <c:pt idx="1">
                    <c:v>20.363121690436653</c:v>
                  </c:pt>
                  <c:pt idx="2">
                    <c:v>16.78351963177586</c:v>
                  </c:pt>
                  <c:pt idx="3">
                    <c:v>7.7658443074327801</c:v>
                  </c:pt>
                  <c:pt idx="4">
                    <c:v>15.77033246435583</c:v>
                  </c:pt>
                  <c:pt idx="5">
                    <c:v>7.3698837424630419</c:v>
                  </c:pt>
                  <c:pt idx="6">
                    <c:v>3.2268235338997906</c:v>
                  </c:pt>
                  <c:pt idx="7">
                    <c:v>13.879198611817666</c:v>
                  </c:pt>
                  <c:pt idx="8">
                    <c:v>91.205211726384377</c:v>
                  </c:pt>
                  <c:pt idx="9">
                    <c:v>6.6954850743009606</c:v>
                  </c:pt>
                  <c:pt idx="10">
                    <c:v>0</c:v>
                  </c:pt>
                  <c:pt idx="11">
                    <c:v>10.878320894640607</c:v>
                  </c:pt>
                  <c:pt idx="12">
                    <c:v>4.4290787508911036</c:v>
                  </c:pt>
                  <c:pt idx="13">
                    <c:v>3.8283306232268335</c:v>
                  </c:pt>
                  <c:pt idx="14">
                    <c:v>2.4481159126660454</c:v>
                  </c:pt>
                  <c:pt idx="15">
                    <c:v>20.967149051931969</c:v>
                  </c:pt>
                  <c:pt idx="16">
                    <c:v>15.230769151491526</c:v>
                  </c:pt>
                  <c:pt idx="17">
                    <c:v>84.591701602235958</c:v>
                  </c:pt>
                  <c:pt idx="18">
                    <c:v>16.870010636932228</c:v>
                  </c:pt>
                  <c:pt idx="19">
                    <c:v>15.967374444107978</c:v>
                  </c:pt>
                  <c:pt idx="20">
                    <c:v>2.3147151129605881</c:v>
                  </c:pt>
                </c:numCache>
              </c:numRef>
            </c:minus>
            <c:spPr>
              <a:noFill/>
              <a:ln w="9525" cap="flat" cmpd="sng" algn="ctr">
                <a:solidFill>
                  <a:schemeClr val="tx1">
                    <a:lumMod val="65000"/>
                    <a:lumOff val="35000"/>
                  </a:schemeClr>
                </a:solidFill>
                <a:round/>
              </a:ln>
              <a:effectLst/>
            </c:spPr>
          </c:errBars>
          <c:cat>
            <c:strRef>
              <c:f>Industry!$N$2:$O$22</c:f>
              <c:strCache>
                <c:ptCount val="21"/>
                <c:pt idx="0">
                  <c:v>Wholesale Trade</c:v>
                </c:pt>
                <c:pt idx="1">
                  <c:v>Utilities</c:v>
                </c:pt>
                <c:pt idx="2">
                  <c:v>Transportation and Warehousing‡</c:v>
                </c:pt>
                <c:pt idx="3">
                  <c:v>Retail Trade</c:v>
                </c:pt>
                <c:pt idx="4">
                  <c:v>Real Estate and Rental and Leasing</c:v>
                </c:pt>
                <c:pt idx="5">
                  <c:v>Public Administration</c:v>
                </c:pt>
                <c:pt idx="6">
                  <c:v>Professional, Scientific, and Technical Services</c:v>
                </c:pt>
                <c:pt idx="7">
                  <c:v>Other Services, Except Public Administration‡</c:v>
                </c:pt>
                <c:pt idx="8">
                  <c:v>Mining, Quarrying, and Oil and Gas Extraction</c:v>
                </c:pt>
                <c:pt idx="9">
                  <c:v>Manufacturing</c:v>
                </c:pt>
                <c:pt idx="10">
                  <c:v>Management of Companies and Enterprises</c:v>
                </c:pt>
                <c:pt idx="11">
                  <c:v>Information</c:v>
                </c:pt>
                <c:pt idx="12">
                  <c:v>Health Care and Social Assistance</c:v>
                </c:pt>
                <c:pt idx="13">
                  <c:v>Finance and Insurance</c:v>
                </c:pt>
                <c:pt idx="14">
                  <c:v>Educational Services</c:v>
                </c:pt>
                <c:pt idx="15">
                  <c:v>Construction‡</c:v>
                </c:pt>
                <c:pt idx="16">
                  <c:v>Arts, Entertainment, and Recreation</c:v>
                </c:pt>
                <c:pt idx="17">
                  <c:v>Agriculture, Forestry, Fishing, and Hunting‡₸</c:v>
                </c:pt>
                <c:pt idx="18">
                  <c:v>Administrative and Support and Waste Management Services‡</c:v>
                </c:pt>
                <c:pt idx="19">
                  <c:v>Accommodation and Food Services‡</c:v>
                </c:pt>
                <c:pt idx="20">
                  <c:v>All Industries†</c:v>
                </c:pt>
              </c:strCache>
            </c:strRef>
          </c:cat>
          <c:val>
            <c:numRef>
              <c:f>Industry!$F$2:$F$22</c:f>
              <c:numCache>
                <c:formatCode>General</c:formatCode>
                <c:ptCount val="21"/>
                <c:pt idx="0">
                  <c:v>29.199792946922738</c:v>
                </c:pt>
                <c:pt idx="1">
                  <c:v>27.487630566245191</c:v>
                </c:pt>
                <c:pt idx="2">
                  <c:v>86.905163685453928</c:v>
                </c:pt>
                <c:pt idx="3">
                  <c:v>53.452534443109769</c:v>
                </c:pt>
                <c:pt idx="4">
                  <c:v>40.230439960091402</c:v>
                </c:pt>
                <c:pt idx="5">
                  <c:v>19.173051538637385</c:v>
                </c:pt>
                <c:pt idx="6">
                  <c:v>11.043974652851063</c:v>
                </c:pt>
                <c:pt idx="7">
                  <c:v>75.93766508188061</c:v>
                </c:pt>
                <c:pt idx="8">
                  <c:v>46.533271288971619</c:v>
                </c:pt>
                <c:pt idx="9">
                  <c:v>36.473580649805633</c:v>
                </c:pt>
                <c:pt idx="10">
                  <c:v>0</c:v>
                </c:pt>
                <c:pt idx="11">
                  <c:v>22.883911264268793</c:v>
                </c:pt>
                <c:pt idx="12">
                  <c:v>29.549857175690317</c:v>
                </c:pt>
                <c:pt idx="13">
                  <c:v>7.8129196392384355</c:v>
                </c:pt>
                <c:pt idx="14">
                  <c:v>6.6092917199737524</c:v>
                </c:pt>
                <c:pt idx="15">
                  <c:v>226.17108046023537</c:v>
                </c:pt>
                <c:pt idx="16">
                  <c:v>41.847041847041844</c:v>
                </c:pt>
                <c:pt idx="17">
                  <c:v>244.14435034714276</c:v>
                </c:pt>
                <c:pt idx="18">
                  <c:v>91.089495429259259</c:v>
                </c:pt>
                <c:pt idx="19">
                  <c:v>117.49221896482577</c:v>
                </c:pt>
                <c:pt idx="20">
                  <c:v>48.778786203094739</c:v>
                </c:pt>
              </c:numCache>
            </c:numRef>
          </c:val>
          <c:extLst>
            <c:ext xmlns:c15="http://schemas.microsoft.com/office/drawing/2012/chart" uri="{02D57815-91ED-43cb-92C2-25804820EDAC}">
              <c15:datalabelsRange>
                <c15:f>Industry!$L$2:$L$22</c15:f>
                <c15:dlblRangeCache>
                  <c:ptCount val="21"/>
                  <c:pt idx="0">
                    <c:v>22</c:v>
                  </c:pt>
                  <c:pt idx="1">
                    <c:v>7</c:v>
                  </c:pt>
                  <c:pt idx="2">
                    <c:v>103</c:v>
                  </c:pt>
                  <c:pt idx="3">
                    <c:v>182</c:v>
                  </c:pt>
                  <c:pt idx="4">
                    <c:v>25</c:v>
                  </c:pt>
                  <c:pt idx="5">
                    <c:v>26</c:v>
                  </c:pt>
                  <c:pt idx="6">
                    <c:v>45</c:v>
                  </c:pt>
                  <c:pt idx="7">
                    <c:v>115</c:v>
                  </c:pt>
                  <c:pt idx="8">
                    <c:v>1</c:v>
                  </c:pt>
                  <c:pt idx="9">
                    <c:v>114</c:v>
                  </c:pt>
                  <c:pt idx="10">
                    <c:v>0</c:v>
                  </c:pt>
                  <c:pt idx="11">
                    <c:v>17</c:v>
                  </c:pt>
                  <c:pt idx="12">
                    <c:v>171</c:v>
                  </c:pt>
                  <c:pt idx="13">
                    <c:v>16</c:v>
                  </c:pt>
                  <c:pt idx="14">
                    <c:v>28</c:v>
                  </c:pt>
                  <c:pt idx="15">
                    <c:v>447</c:v>
                  </c:pt>
                  <c:pt idx="16">
                    <c:v>29</c:v>
                  </c:pt>
                  <c:pt idx="17">
                    <c:v>32</c:v>
                  </c:pt>
                  <c:pt idx="18">
                    <c:v>112</c:v>
                  </c:pt>
                  <c:pt idx="19">
                    <c:v>208</c:v>
                  </c:pt>
                  <c:pt idx="20">
                    <c:v>1,736</c:v>
                  </c:pt>
                </c15:dlblRangeCache>
              </c15:datalabelsRange>
            </c:ext>
            <c:ext xmlns:c16="http://schemas.microsoft.com/office/drawing/2014/chart" uri="{C3380CC4-5D6E-409C-BE32-E72D297353CC}">
              <c16:uniqueId val="{0000001B-F403-41F9-9023-AAE08F40B8CB}"/>
            </c:ext>
          </c:extLst>
        </c:ser>
        <c:ser>
          <c:idx val="1"/>
          <c:order val="1"/>
          <c:tx>
            <c:strRef>
              <c:f>Industry!$S$1</c:f>
              <c:strCache>
                <c:ptCount val="1"/>
                <c:pt idx="0">
                  <c:v>2018-2019</c:v>
                </c:pt>
              </c:strCache>
            </c:strRef>
          </c:tx>
          <c:spPr>
            <a:solidFill>
              <a:srgbClr val="002060"/>
            </a:solidFill>
            <a:ln>
              <a:solidFill>
                <a:schemeClr val="tx1"/>
              </a:solidFill>
            </a:ln>
            <a:effectLst/>
          </c:spPr>
          <c:invertIfNegative val="0"/>
          <c:dPt>
            <c:idx val="2"/>
            <c:invertIfNegative val="0"/>
            <c:bubble3D val="0"/>
            <c:spPr>
              <a:solidFill>
                <a:srgbClr val="002060"/>
              </a:solidFill>
              <a:ln>
                <a:solidFill>
                  <a:schemeClr val="tx1"/>
                </a:solidFill>
              </a:ln>
              <a:effectLst/>
            </c:spPr>
            <c:extLst>
              <c:ext xmlns:c16="http://schemas.microsoft.com/office/drawing/2014/chart" uri="{C3380CC4-5D6E-409C-BE32-E72D297353CC}">
                <c16:uniqueId val="{0000001D-F403-41F9-9023-AAE08F40B8CB}"/>
              </c:ext>
            </c:extLst>
          </c:dPt>
          <c:dPt>
            <c:idx val="7"/>
            <c:invertIfNegative val="0"/>
            <c:bubble3D val="0"/>
            <c:spPr>
              <a:solidFill>
                <a:srgbClr val="002060"/>
              </a:solidFill>
              <a:ln>
                <a:solidFill>
                  <a:schemeClr val="tx1"/>
                </a:solidFill>
              </a:ln>
              <a:effectLst/>
            </c:spPr>
            <c:extLst>
              <c:ext xmlns:c16="http://schemas.microsoft.com/office/drawing/2014/chart" uri="{C3380CC4-5D6E-409C-BE32-E72D297353CC}">
                <c16:uniqueId val="{0000001F-F403-41F9-9023-AAE08F40B8CB}"/>
              </c:ext>
            </c:extLst>
          </c:dPt>
          <c:dPt>
            <c:idx val="15"/>
            <c:invertIfNegative val="0"/>
            <c:bubble3D val="0"/>
            <c:spPr>
              <a:solidFill>
                <a:srgbClr val="002060"/>
              </a:solidFill>
              <a:ln>
                <a:solidFill>
                  <a:schemeClr val="tx1"/>
                </a:solidFill>
              </a:ln>
              <a:effectLst/>
            </c:spPr>
            <c:extLst>
              <c:ext xmlns:c16="http://schemas.microsoft.com/office/drawing/2014/chart" uri="{C3380CC4-5D6E-409C-BE32-E72D297353CC}">
                <c16:uniqueId val="{00000021-F403-41F9-9023-AAE08F40B8CB}"/>
              </c:ext>
            </c:extLst>
          </c:dPt>
          <c:dPt>
            <c:idx val="17"/>
            <c:invertIfNegative val="0"/>
            <c:bubble3D val="0"/>
            <c:spPr>
              <a:solidFill>
                <a:srgbClr val="002060"/>
              </a:solidFill>
              <a:ln>
                <a:solidFill>
                  <a:schemeClr val="tx1"/>
                </a:solidFill>
              </a:ln>
              <a:effectLst/>
            </c:spPr>
            <c:extLst>
              <c:ext xmlns:c16="http://schemas.microsoft.com/office/drawing/2014/chart" uri="{C3380CC4-5D6E-409C-BE32-E72D297353CC}">
                <c16:uniqueId val="{00000023-F403-41F9-9023-AAE08F40B8CB}"/>
              </c:ext>
            </c:extLst>
          </c:dPt>
          <c:dPt>
            <c:idx val="18"/>
            <c:invertIfNegative val="0"/>
            <c:bubble3D val="0"/>
            <c:spPr>
              <a:solidFill>
                <a:srgbClr val="002060"/>
              </a:solidFill>
              <a:ln>
                <a:solidFill>
                  <a:schemeClr val="tx1"/>
                </a:solidFill>
              </a:ln>
              <a:effectLst/>
            </c:spPr>
            <c:extLst>
              <c:ext xmlns:c16="http://schemas.microsoft.com/office/drawing/2014/chart" uri="{C3380CC4-5D6E-409C-BE32-E72D297353CC}">
                <c16:uniqueId val="{00000025-F403-41F9-9023-AAE08F40B8CB}"/>
              </c:ext>
            </c:extLst>
          </c:dPt>
          <c:dPt>
            <c:idx val="19"/>
            <c:invertIfNegative val="0"/>
            <c:bubble3D val="0"/>
            <c:spPr>
              <a:solidFill>
                <a:srgbClr val="002060"/>
              </a:solidFill>
              <a:ln>
                <a:solidFill>
                  <a:schemeClr val="tx1"/>
                </a:solidFill>
              </a:ln>
              <a:effectLst/>
            </c:spPr>
            <c:extLst>
              <c:ext xmlns:c16="http://schemas.microsoft.com/office/drawing/2014/chart" uri="{C3380CC4-5D6E-409C-BE32-E72D297353CC}">
                <c16:uniqueId val="{00000027-F403-41F9-9023-AAE08F40B8CB}"/>
              </c:ext>
            </c:extLst>
          </c:dPt>
          <c:dLbls>
            <c:dLbl>
              <c:idx val="0"/>
              <c:tx>
                <c:rich>
                  <a:bodyPr/>
                  <a:lstStyle/>
                  <a:p>
                    <a:fld id="{39EBBEA4-0FD1-43A8-B01A-8B558754672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F403-41F9-9023-AAE08F40B8CB}"/>
                </c:ext>
              </c:extLst>
            </c:dLbl>
            <c:dLbl>
              <c:idx val="1"/>
              <c:layout>
                <c:manualLayout>
                  <c:x val="-5.7618272358347988E-2"/>
                  <c:y val="0"/>
                </c:manualLayout>
              </c:layout>
              <c:tx>
                <c:rich>
                  <a:bodyPr/>
                  <a:lstStyle/>
                  <a:p>
                    <a:fld id="{63735FA4-6919-4C70-AE25-CADE7299AFF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F403-41F9-9023-AAE08F40B8CB}"/>
                </c:ext>
              </c:extLst>
            </c:dLbl>
            <c:dLbl>
              <c:idx val="2"/>
              <c:tx>
                <c:rich>
                  <a:bodyPr/>
                  <a:lstStyle/>
                  <a:p>
                    <a:fld id="{D5B5D8AC-B409-4CF7-8EE5-A94211DD12F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F403-41F9-9023-AAE08F40B8CB}"/>
                </c:ext>
              </c:extLst>
            </c:dLbl>
            <c:dLbl>
              <c:idx val="3"/>
              <c:tx>
                <c:rich>
                  <a:bodyPr/>
                  <a:lstStyle/>
                  <a:p>
                    <a:fld id="{A9939299-F4CD-4765-81CE-84ABB632836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F403-41F9-9023-AAE08F40B8CB}"/>
                </c:ext>
              </c:extLst>
            </c:dLbl>
            <c:dLbl>
              <c:idx val="4"/>
              <c:tx>
                <c:rich>
                  <a:bodyPr/>
                  <a:lstStyle/>
                  <a:p>
                    <a:fld id="{A958BEA9-A204-4210-B946-6DB7527C1F8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F403-41F9-9023-AAE08F40B8CB}"/>
                </c:ext>
              </c:extLst>
            </c:dLbl>
            <c:dLbl>
              <c:idx val="5"/>
              <c:layout>
                <c:manualLayout>
                  <c:x val="1.4757141053077077E-2"/>
                  <c:y val="0"/>
                </c:manualLayout>
              </c:layout>
              <c:tx>
                <c:rich>
                  <a:bodyPr/>
                  <a:lstStyle/>
                  <a:p>
                    <a:fld id="{DA51414A-051E-41AE-A440-34576D234548}"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C-F403-41F9-9023-AAE08F40B8CB}"/>
                </c:ext>
              </c:extLst>
            </c:dLbl>
            <c:dLbl>
              <c:idx val="6"/>
              <c:layout>
                <c:manualLayout>
                  <c:x val="2.6327268259217287E-3"/>
                  <c:y val="0"/>
                </c:manualLayout>
              </c:layout>
              <c:tx>
                <c:rich>
                  <a:bodyPr/>
                  <a:lstStyle/>
                  <a:p>
                    <a:fld id="{FC3FE673-88D7-4526-96C5-7CB0870B22EC}"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D-F403-41F9-9023-AAE08F40B8CB}"/>
                </c:ext>
              </c:extLst>
            </c:dLbl>
            <c:dLbl>
              <c:idx val="7"/>
              <c:tx>
                <c:rich>
                  <a:bodyPr/>
                  <a:lstStyle/>
                  <a:p>
                    <a:fld id="{A9C70149-8B15-4EC8-AB5F-0E50D860D4F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F403-41F9-9023-AAE08F40B8CB}"/>
                </c:ext>
              </c:extLst>
            </c:dLbl>
            <c:dLbl>
              <c:idx val="8"/>
              <c:tx>
                <c:rich>
                  <a:bodyPr/>
                  <a:lstStyle/>
                  <a:p>
                    <a:r>
                      <a:rPr lang="en-US"/>
                      <a:t>*</a:t>
                    </a:r>
                  </a:p>
                </c:rich>
              </c:tx>
              <c:dLblPos val="inBase"/>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2E-F403-41F9-9023-AAE08F40B8CB}"/>
                </c:ext>
              </c:extLst>
            </c:dLbl>
            <c:dLbl>
              <c:idx val="9"/>
              <c:tx>
                <c:rich>
                  <a:bodyPr/>
                  <a:lstStyle/>
                  <a:p>
                    <a:fld id="{D1800852-159D-49E0-97BD-34C98DAE0DF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F403-41F9-9023-AAE08F40B8CB}"/>
                </c:ext>
              </c:extLst>
            </c:dLbl>
            <c:dLbl>
              <c:idx val="10"/>
              <c:tx>
                <c:rich>
                  <a:bodyPr/>
                  <a:lstStyle/>
                  <a:p>
                    <a:r>
                      <a:rPr lang="en-US"/>
                      <a:t>*</a:t>
                    </a:r>
                  </a:p>
                </c:rich>
              </c:tx>
              <c:dLblPos val="inBase"/>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30-F403-41F9-9023-AAE08F40B8CB}"/>
                </c:ext>
              </c:extLst>
            </c:dLbl>
            <c:dLbl>
              <c:idx val="11"/>
              <c:layout>
                <c:manualLayout>
                  <c:x val="-4.8687425125175411E-2"/>
                  <c:y val="0"/>
                </c:manualLayout>
              </c:layout>
              <c:tx>
                <c:rich>
                  <a:bodyPr/>
                  <a:lstStyle/>
                  <a:p>
                    <a:fld id="{B9EDA0D4-A1C2-441D-9B3A-24F9965D547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1-F403-41F9-9023-AAE08F40B8CB}"/>
                </c:ext>
              </c:extLst>
            </c:dLbl>
            <c:dLbl>
              <c:idx val="12"/>
              <c:tx>
                <c:rich>
                  <a:bodyPr/>
                  <a:lstStyle/>
                  <a:p>
                    <a:fld id="{FDFBBE09-1CBC-4026-B240-63C9A24CB64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F403-41F9-9023-AAE08F40B8CB}"/>
                </c:ext>
              </c:extLst>
            </c:dLbl>
            <c:dLbl>
              <c:idx val="13"/>
              <c:layout>
                <c:manualLayout>
                  <c:x val="3.1343156227707572E-3"/>
                  <c:y val="-4.8131062083352037E-17"/>
                </c:manualLayout>
              </c:layout>
              <c:tx>
                <c:rich>
                  <a:bodyPr/>
                  <a:lstStyle/>
                  <a:p>
                    <a:fld id="{AA1B5CB3-32E2-4DA7-9995-35F7AB42F0AB}"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3-F403-41F9-9023-AAE08F40B8CB}"/>
                </c:ext>
              </c:extLst>
            </c:dLbl>
            <c:dLbl>
              <c:idx val="14"/>
              <c:layout>
                <c:manualLayout>
                  <c:x val="6.4904825778441559E-3"/>
                  <c:y val="0"/>
                </c:manualLayout>
              </c:layout>
              <c:tx>
                <c:rich>
                  <a:bodyPr/>
                  <a:lstStyle/>
                  <a:p>
                    <a:fld id="{AE8CF63A-03B9-4BBF-BA24-8174E8D35F9B}"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4-F403-41F9-9023-AAE08F40B8CB}"/>
                </c:ext>
              </c:extLst>
            </c:dLbl>
            <c:dLbl>
              <c:idx val="15"/>
              <c:tx>
                <c:rich>
                  <a:bodyPr/>
                  <a:lstStyle/>
                  <a:p>
                    <a:fld id="{8F95A9A3-39FD-41F2-BC33-07B4782F0199}"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F403-41F9-9023-AAE08F40B8CB}"/>
                </c:ext>
              </c:extLst>
            </c:dLbl>
            <c:dLbl>
              <c:idx val="16"/>
              <c:tx>
                <c:rich>
                  <a:bodyPr/>
                  <a:lstStyle/>
                  <a:p>
                    <a:fld id="{EB480FA5-BD29-4D35-B961-A0D95B1F986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5-F403-41F9-9023-AAE08F40B8CB}"/>
                </c:ext>
              </c:extLst>
            </c:dLbl>
            <c:dLbl>
              <c:idx val="17"/>
              <c:tx>
                <c:rich>
                  <a:bodyPr/>
                  <a:lstStyle/>
                  <a:p>
                    <a:fld id="{9B123BE0-2296-4C48-82A8-78D5D165A4E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F403-41F9-9023-AAE08F40B8CB}"/>
                </c:ext>
              </c:extLst>
            </c:dLbl>
            <c:dLbl>
              <c:idx val="18"/>
              <c:tx>
                <c:rich>
                  <a:bodyPr/>
                  <a:lstStyle/>
                  <a:p>
                    <a:fld id="{9A28453B-6180-47CC-837A-DBDA972B4FE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F403-41F9-9023-AAE08F40B8CB}"/>
                </c:ext>
              </c:extLst>
            </c:dLbl>
            <c:dLbl>
              <c:idx val="19"/>
              <c:tx>
                <c:rich>
                  <a:bodyPr/>
                  <a:lstStyle/>
                  <a:p>
                    <a:fld id="{6F1E7FEA-A55A-4B22-AAB1-2E7BF84447A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F403-41F9-9023-AAE08F40B8CB}"/>
                </c:ext>
              </c:extLst>
            </c:dLbl>
            <c:dLbl>
              <c:idx val="20"/>
              <c:tx>
                <c:rich>
                  <a:bodyPr/>
                  <a:lstStyle/>
                  <a:p>
                    <a:fld id="{DB44154D-825C-453C-B19D-57E5830D38C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6-F403-41F9-9023-AAE08F40B8CB}"/>
                </c:ext>
              </c:extLst>
            </c:dLbl>
            <c:spPr>
              <a:noFill/>
              <a:ln>
                <a:noFill/>
              </a:ln>
              <a:effectLst/>
            </c:spPr>
            <c:txPr>
              <a:bodyPr rot="0" spcFirstLastPara="1" vertOverflow="ellipsis" vert="horz" wrap="square" lIns="38100" tIns="19050" rIns="38100" bIns="19050" anchor="ctr" anchorCtr="0">
                <a:spAutoFit/>
              </a:bodyPr>
              <a:lstStyle/>
              <a:p>
                <a:pPr>
                  <a:defRPr sz="750" b="0" i="0" u="none" strike="noStrike" kern="1200" baseline="0">
                    <a:solidFill>
                      <a:schemeClr val="bg1"/>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Industry!$E$2:$E$22</c:f>
                <c:numCache>
                  <c:formatCode>General</c:formatCode>
                  <c:ptCount val="21"/>
                  <c:pt idx="0">
                    <c:v>12.213415728560776</c:v>
                  </c:pt>
                  <c:pt idx="1">
                    <c:v>20.429630294399889</c:v>
                  </c:pt>
                  <c:pt idx="2">
                    <c:v>14.806967571499314</c:v>
                  </c:pt>
                  <c:pt idx="3">
                    <c:v>6.3570780761489285</c:v>
                  </c:pt>
                  <c:pt idx="4">
                    <c:v>12.10382025193252</c:v>
                  </c:pt>
                  <c:pt idx="5">
                    <c:v>6.7285231988859904</c:v>
                  </c:pt>
                  <c:pt idx="6">
                    <c:v>3.6132435658345905</c:v>
                  </c:pt>
                  <c:pt idx="7">
                    <c:v>12.721881106387277</c:v>
                  </c:pt>
                  <c:pt idx="8">
                    <c:v>134.15468856947294</c:v>
                  </c:pt>
                  <c:pt idx="9">
                    <c:v>6.9475028706618076</c:v>
                  </c:pt>
                  <c:pt idx="10">
                    <c:v>32.263374485596707</c:v>
                  </c:pt>
                  <c:pt idx="11">
                    <c:v>12.10382025193252</c:v>
                  </c:pt>
                  <c:pt idx="12">
                    <c:v>4.0722575932943625</c:v>
                  </c:pt>
                  <c:pt idx="13">
                    <c:v>4.5671947106901163</c:v>
                  </c:pt>
                  <c:pt idx="14">
                    <c:v>2.3262588809360771</c:v>
                  </c:pt>
                  <c:pt idx="15">
                    <c:v>19.643607017074785</c:v>
                  </c:pt>
                  <c:pt idx="16">
                    <c:v>15.349915162908728</c:v>
                  </c:pt>
                  <c:pt idx="17">
                    <c:v>77.37955817260773</c:v>
                  </c:pt>
                  <c:pt idx="18">
                    <c:v>14.848022745906228</c:v>
                  </c:pt>
                  <c:pt idx="19">
                    <c:v>10.958940598906942</c:v>
                  </c:pt>
                  <c:pt idx="20">
                    <c:v>2.1648658296349894</c:v>
                  </c:pt>
                </c:numCache>
              </c:numRef>
            </c:plus>
            <c:minus>
              <c:numRef>
                <c:f>Industry!$E$2:$E$22</c:f>
                <c:numCache>
                  <c:formatCode>General</c:formatCode>
                  <c:ptCount val="21"/>
                  <c:pt idx="0">
                    <c:v>12.213415728560776</c:v>
                  </c:pt>
                  <c:pt idx="1">
                    <c:v>20.429630294399889</c:v>
                  </c:pt>
                  <c:pt idx="2">
                    <c:v>14.806967571499314</c:v>
                  </c:pt>
                  <c:pt idx="3">
                    <c:v>6.3570780761489285</c:v>
                  </c:pt>
                  <c:pt idx="4">
                    <c:v>12.10382025193252</c:v>
                  </c:pt>
                  <c:pt idx="5">
                    <c:v>6.7285231988859904</c:v>
                  </c:pt>
                  <c:pt idx="6">
                    <c:v>3.6132435658345905</c:v>
                  </c:pt>
                  <c:pt idx="7">
                    <c:v>12.721881106387277</c:v>
                  </c:pt>
                  <c:pt idx="8">
                    <c:v>134.15468856947294</c:v>
                  </c:pt>
                  <c:pt idx="9">
                    <c:v>6.9475028706618076</c:v>
                  </c:pt>
                  <c:pt idx="10">
                    <c:v>32.263374485596707</c:v>
                  </c:pt>
                  <c:pt idx="11">
                    <c:v>12.10382025193252</c:v>
                  </c:pt>
                  <c:pt idx="12">
                    <c:v>4.0722575932943625</c:v>
                  </c:pt>
                  <c:pt idx="13">
                    <c:v>4.5671947106901163</c:v>
                  </c:pt>
                  <c:pt idx="14">
                    <c:v>2.3262588809360771</c:v>
                  </c:pt>
                  <c:pt idx="15">
                    <c:v>19.643607017074785</c:v>
                  </c:pt>
                  <c:pt idx="16">
                    <c:v>15.349915162908728</c:v>
                  </c:pt>
                  <c:pt idx="17">
                    <c:v>77.37955817260773</c:v>
                  </c:pt>
                  <c:pt idx="18">
                    <c:v>14.848022745906228</c:v>
                  </c:pt>
                  <c:pt idx="19">
                    <c:v>10.958940598906942</c:v>
                  </c:pt>
                  <c:pt idx="20">
                    <c:v>2.1648658296349894</c:v>
                  </c:pt>
                </c:numCache>
              </c:numRef>
            </c:minus>
            <c:spPr>
              <a:noFill/>
              <a:ln w="9525" cap="flat" cmpd="sng" algn="ctr">
                <a:solidFill>
                  <a:schemeClr val="tx1">
                    <a:lumMod val="65000"/>
                    <a:lumOff val="35000"/>
                  </a:schemeClr>
                </a:solidFill>
                <a:round/>
              </a:ln>
              <a:effectLst/>
            </c:spPr>
          </c:errBars>
          <c:cat>
            <c:strRef>
              <c:f>Industry!$N$2:$O$22</c:f>
              <c:strCache>
                <c:ptCount val="21"/>
                <c:pt idx="0">
                  <c:v>Wholesale Trade</c:v>
                </c:pt>
                <c:pt idx="1">
                  <c:v>Utilities</c:v>
                </c:pt>
                <c:pt idx="2">
                  <c:v>Transportation and Warehousing‡</c:v>
                </c:pt>
                <c:pt idx="3">
                  <c:v>Retail Trade</c:v>
                </c:pt>
                <c:pt idx="4">
                  <c:v>Real Estate and Rental and Leasing</c:v>
                </c:pt>
                <c:pt idx="5">
                  <c:v>Public Administration</c:v>
                </c:pt>
                <c:pt idx="6">
                  <c:v>Professional, Scientific, and Technical Services</c:v>
                </c:pt>
                <c:pt idx="7">
                  <c:v>Other Services, Except Public Administration‡</c:v>
                </c:pt>
                <c:pt idx="8">
                  <c:v>Mining, Quarrying, and Oil and Gas Extraction</c:v>
                </c:pt>
                <c:pt idx="9">
                  <c:v>Manufacturing</c:v>
                </c:pt>
                <c:pt idx="10">
                  <c:v>Management of Companies and Enterprises</c:v>
                </c:pt>
                <c:pt idx="11">
                  <c:v>Information</c:v>
                </c:pt>
                <c:pt idx="12">
                  <c:v>Health Care and Social Assistance</c:v>
                </c:pt>
                <c:pt idx="13">
                  <c:v>Finance and Insurance</c:v>
                </c:pt>
                <c:pt idx="14">
                  <c:v>Educational Services</c:v>
                </c:pt>
                <c:pt idx="15">
                  <c:v>Construction‡</c:v>
                </c:pt>
                <c:pt idx="16">
                  <c:v>Arts, Entertainment, and Recreation</c:v>
                </c:pt>
                <c:pt idx="17">
                  <c:v>Agriculture, Forestry, Fishing, and Hunting‡₸</c:v>
                </c:pt>
                <c:pt idx="18">
                  <c:v>Administrative and Support and Waste Management Services‡</c:v>
                </c:pt>
                <c:pt idx="19">
                  <c:v>Accommodation and Food Services‡</c:v>
                </c:pt>
                <c:pt idx="20">
                  <c:v>All Industries†</c:v>
                </c:pt>
              </c:strCache>
            </c:strRef>
          </c:cat>
          <c:val>
            <c:numRef>
              <c:f>Industry!$D$2:$D$22</c:f>
              <c:numCache>
                <c:formatCode>General</c:formatCode>
                <c:ptCount val="21"/>
                <c:pt idx="0">
                  <c:v>29.557815086308821</c:v>
                </c:pt>
                <c:pt idx="1">
                  <c:v>28.545329984014618</c:v>
                </c:pt>
                <c:pt idx="2">
                  <c:v>72.657578578189373</c:v>
                </c:pt>
                <c:pt idx="3">
                  <c:v>38.649657188427966</c:v>
                </c:pt>
                <c:pt idx="4">
                  <c:v>23.515293049203724</c:v>
                </c:pt>
                <c:pt idx="5">
                  <c:v>16.101822067547143</c:v>
                </c:pt>
                <c:pt idx="6">
                  <c:v>13.165163428724837</c:v>
                </c:pt>
                <c:pt idx="7">
                  <c:v>68.538200057781083</c:v>
                </c:pt>
                <c:pt idx="8">
                  <c:v>68.446269678302528</c:v>
                </c:pt>
                <c:pt idx="9">
                  <c:v>39.630328297639622</c:v>
                </c:pt>
                <c:pt idx="10">
                  <c:v>16.460905349794238</c:v>
                </c:pt>
                <c:pt idx="11">
                  <c:v>23.515293049203724</c:v>
                </c:pt>
                <c:pt idx="12">
                  <c:v>25.573224243416583</c:v>
                </c:pt>
                <c:pt idx="13">
                  <c:v>10.929613290409762</c:v>
                </c:pt>
                <c:pt idx="14">
                  <c:v>6.1097706760980008</c:v>
                </c:pt>
                <c:pt idx="15">
                  <c:v>216.6985340981517</c:v>
                </c:pt>
                <c:pt idx="16">
                  <c:v>47.31472719494964</c:v>
                </c:pt>
                <c:pt idx="17">
                  <c:v>207.03154407889784</c:v>
                </c:pt>
                <c:pt idx="18">
                  <c:v>80.350542633997918</c:v>
                </c:pt>
                <c:pt idx="19">
                  <c:v>76.152551418366926</c:v>
                </c:pt>
                <c:pt idx="20">
                  <c:v>44.716148627311092</c:v>
                </c:pt>
              </c:numCache>
            </c:numRef>
          </c:val>
          <c:extLst>
            <c:ext xmlns:c15="http://schemas.microsoft.com/office/drawing/2012/chart" uri="{02D57815-91ED-43cb-92C2-25804820EDAC}">
              <c15:datalabelsRange>
                <c15:f>Industry!$K$2:$K$22</c15:f>
                <c15:dlblRangeCache>
                  <c:ptCount val="21"/>
                  <c:pt idx="0">
                    <c:v>45</c:v>
                  </c:pt>
                  <c:pt idx="1">
                    <c:v>15</c:v>
                  </c:pt>
                  <c:pt idx="2">
                    <c:v>185</c:v>
                  </c:pt>
                  <c:pt idx="3">
                    <c:v>284</c:v>
                  </c:pt>
                  <c:pt idx="4">
                    <c:v>29</c:v>
                  </c:pt>
                  <c:pt idx="5">
                    <c:v>44</c:v>
                  </c:pt>
                  <c:pt idx="6">
                    <c:v>102</c:v>
                  </c:pt>
                  <c:pt idx="7">
                    <c:v>223</c:v>
                  </c:pt>
                  <c:pt idx="8">
                    <c:v>2</c:v>
                  </c:pt>
                  <c:pt idx="9">
                    <c:v>250</c:v>
                  </c:pt>
                  <c:pt idx="10">
                    <c:v>2</c:v>
                  </c:pt>
                  <c:pt idx="11">
                    <c:v>38</c:v>
                  </c:pt>
                  <c:pt idx="12">
                    <c:v>303</c:v>
                  </c:pt>
                  <c:pt idx="13">
                    <c:v>44</c:v>
                  </c:pt>
                  <c:pt idx="14">
                    <c:v>53</c:v>
                  </c:pt>
                  <c:pt idx="15">
                    <c:v>935</c:v>
                  </c:pt>
                  <c:pt idx="16">
                    <c:v>73</c:v>
                  </c:pt>
                  <c:pt idx="17">
                    <c:v>55</c:v>
                  </c:pt>
                  <c:pt idx="18">
                    <c:v>225</c:v>
                  </c:pt>
                  <c:pt idx="19">
                    <c:v>371</c:v>
                  </c:pt>
                  <c:pt idx="20">
                    <c:v>3,342</c:v>
                  </c:pt>
                </c15:dlblRangeCache>
              </c15:datalabelsRange>
            </c:ext>
            <c:ext xmlns:c16="http://schemas.microsoft.com/office/drawing/2014/chart" uri="{C3380CC4-5D6E-409C-BE32-E72D297353CC}">
              <c16:uniqueId val="{00000037-F403-41F9-9023-AAE08F40B8CB}"/>
            </c:ext>
          </c:extLst>
        </c:ser>
        <c:dLbls>
          <c:showLegendKey val="0"/>
          <c:showVal val="0"/>
          <c:showCatName val="0"/>
          <c:showSerName val="0"/>
          <c:showPercent val="0"/>
          <c:showBubbleSize val="0"/>
        </c:dLbls>
        <c:gapWidth val="30"/>
        <c:axId val="540661087"/>
        <c:axId val="540676895"/>
      </c:barChart>
      <c:catAx>
        <c:axId val="54066108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Industry Sectors</a:t>
                </a:r>
              </a:p>
            </c:rich>
          </c:tx>
          <c:layout>
            <c:manualLayout>
              <c:xMode val="edge"/>
              <c:yMode val="edge"/>
              <c:x val="6.0325814279716975E-3"/>
              <c:y val="0.4049728884965777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0676895"/>
        <c:crosses val="autoZero"/>
        <c:auto val="1"/>
        <c:lblAlgn val="ctr"/>
        <c:lblOffset val="100"/>
        <c:noMultiLvlLbl val="0"/>
      </c:catAx>
      <c:valAx>
        <c:axId val="540676895"/>
        <c:scaling>
          <c:orientation val="minMax"/>
          <c:max val="350"/>
          <c:min val="0"/>
        </c:scaling>
        <c:delete val="0"/>
        <c:axPos val="b"/>
        <c:majorGridlines>
          <c:spPr>
            <a:ln w="9525" cap="flat" cmpd="sng" algn="ctr">
              <a:solidFill>
                <a:schemeClr val="bg1">
                  <a:lumMod val="9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Opioid-related overdose deaths per 100,000 workers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0661087"/>
        <c:crosses val="autoZero"/>
        <c:crossBetween val="between"/>
      </c:valAx>
      <c:spPr>
        <a:noFill/>
        <a:ln>
          <a:noFill/>
        </a:ln>
        <a:effectLst/>
      </c:spPr>
    </c:plotArea>
    <c:legend>
      <c:legendPos val="r"/>
      <c:layout>
        <c:manualLayout>
          <c:xMode val="edge"/>
          <c:yMode val="edge"/>
          <c:x val="0.88318328958880121"/>
          <c:y val="1.3181631752297434E-2"/>
          <c:w val="0.11306794983960339"/>
          <c:h val="7.967433120479262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182750072907555"/>
          <c:y val="0"/>
          <c:w val="0.60374890638670176"/>
          <c:h val="0.92584805708238294"/>
        </c:manualLayout>
      </c:layout>
      <c:scatterChart>
        <c:scatterStyle val="lineMarker"/>
        <c:varyColors val="0"/>
        <c:ser>
          <c:idx val="0"/>
          <c:order val="0"/>
          <c:tx>
            <c:strRef>
              <c:f>Industry!$A$95</c:f>
              <c:strCache>
                <c:ptCount val="1"/>
                <c:pt idx="0">
                  <c:v>All Industries†</c:v>
                </c:pt>
              </c:strCache>
            </c:strRef>
          </c:tx>
          <c:spPr>
            <a:ln w="19050">
              <a:noFill/>
            </a:ln>
          </c:spPr>
          <c:marker>
            <c:symbol val="square"/>
            <c:size val="6"/>
            <c:spPr>
              <a:ln w="3175">
                <a:solidFill>
                  <a:schemeClr val="tx1"/>
                </a:solidFill>
              </a:ln>
            </c:spPr>
          </c:marker>
          <c:errBars>
            <c:errDir val="x"/>
            <c:errBarType val="both"/>
            <c:errValType val="cust"/>
            <c:noEndCap val="0"/>
            <c:plus>
              <c:numRef>
                <c:f>Industry!$N$95</c:f>
                <c:numCache>
                  <c:formatCode>General</c:formatCode>
                  <c:ptCount val="1"/>
                  <c:pt idx="0">
                    <c:v>2.1635184924409634E-2</c:v>
                  </c:pt>
                </c:numCache>
              </c:numRef>
            </c:plus>
            <c:minus>
              <c:numRef>
                <c:f>Industry!$N$95</c:f>
                <c:numCache>
                  <c:formatCode>General</c:formatCode>
                  <c:ptCount val="1"/>
                  <c:pt idx="0">
                    <c:v>2.1635184924409634E-2</c:v>
                  </c:pt>
                </c:numCache>
              </c:numRef>
            </c:minus>
          </c:errBars>
          <c:xVal>
            <c:numRef>
              <c:f>Industry!$K$95</c:f>
              <c:numCache>
                <c:formatCode>General</c:formatCode>
                <c:ptCount val="1"/>
                <c:pt idx="0">
                  <c:v>1.0908539241526343</c:v>
                </c:pt>
              </c:numCache>
            </c:numRef>
          </c:xVal>
          <c:yVal>
            <c:numRef>
              <c:f>Industry!$M$95</c:f>
              <c:numCache>
                <c:formatCode>General</c:formatCode>
                <c:ptCount val="1"/>
                <c:pt idx="0">
                  <c:v>21</c:v>
                </c:pt>
              </c:numCache>
            </c:numRef>
          </c:yVal>
          <c:smooth val="0"/>
          <c:extLst>
            <c:ext xmlns:c16="http://schemas.microsoft.com/office/drawing/2014/chart" uri="{C3380CC4-5D6E-409C-BE32-E72D297353CC}">
              <c16:uniqueId val="{00000000-3E37-4BDE-B228-4493A0895379}"/>
            </c:ext>
          </c:extLst>
        </c:ser>
        <c:ser>
          <c:idx val="1"/>
          <c:order val="1"/>
          <c:tx>
            <c:strRef>
              <c:f>Industry!$A$96</c:f>
              <c:strCache>
                <c:ptCount val="1"/>
                <c:pt idx="0">
                  <c:v>Accommodation and Food Services</c:v>
                </c:pt>
              </c:strCache>
            </c:strRef>
          </c:tx>
          <c:spPr>
            <a:ln w="19050">
              <a:noFill/>
            </a:ln>
          </c:spPr>
          <c:marker>
            <c:spPr>
              <a:ln w="3175">
                <a:solidFill>
                  <a:schemeClr val="tx1"/>
                </a:solidFill>
              </a:ln>
            </c:spPr>
          </c:marker>
          <c:errBars>
            <c:errDir val="x"/>
            <c:errBarType val="both"/>
            <c:errValType val="cust"/>
            <c:noEndCap val="0"/>
            <c:plus>
              <c:numRef>
                <c:f>Industry!$N$96</c:f>
                <c:numCache>
                  <c:formatCode>General</c:formatCode>
                  <c:ptCount val="1"/>
                  <c:pt idx="0">
                    <c:v>8.5835281995670476E-2</c:v>
                  </c:pt>
                </c:numCache>
              </c:numRef>
            </c:plus>
            <c:minus>
              <c:numRef>
                <c:f>Industry!$N$96</c:f>
                <c:numCache>
                  <c:formatCode>General</c:formatCode>
                  <c:ptCount val="1"/>
                  <c:pt idx="0">
                    <c:v>8.5835281995670476E-2</c:v>
                  </c:pt>
                </c:numCache>
              </c:numRef>
            </c:minus>
          </c:errBars>
          <c:errBars>
            <c:errDir val="y"/>
            <c:errBarType val="both"/>
            <c:errValType val="stdErr"/>
            <c:noEndCap val="0"/>
          </c:errBars>
          <c:xVal>
            <c:numRef>
              <c:f>Industry!$K$96</c:f>
              <c:numCache>
                <c:formatCode>General</c:formatCode>
                <c:ptCount val="1"/>
                <c:pt idx="0">
                  <c:v>1.5428533486599412</c:v>
                </c:pt>
              </c:numCache>
            </c:numRef>
          </c:xVal>
          <c:yVal>
            <c:numRef>
              <c:f>Industry!$M$96</c:f>
              <c:numCache>
                <c:formatCode>General</c:formatCode>
                <c:ptCount val="1"/>
                <c:pt idx="0">
                  <c:v>20</c:v>
                </c:pt>
              </c:numCache>
            </c:numRef>
          </c:yVal>
          <c:smooth val="0"/>
          <c:extLst>
            <c:ext xmlns:c16="http://schemas.microsoft.com/office/drawing/2014/chart" uri="{C3380CC4-5D6E-409C-BE32-E72D297353CC}">
              <c16:uniqueId val="{00000001-3E37-4BDE-B228-4493A0895379}"/>
            </c:ext>
          </c:extLst>
        </c:ser>
        <c:ser>
          <c:idx val="2"/>
          <c:order val="2"/>
          <c:tx>
            <c:strRef>
              <c:f>Industry!$A$97</c:f>
              <c:strCache>
                <c:ptCount val="1"/>
                <c:pt idx="0">
                  <c:v>Administrative and Support and Waste Management Services</c:v>
                </c:pt>
              </c:strCache>
            </c:strRef>
          </c:tx>
          <c:spPr>
            <a:ln w="19050">
              <a:noFill/>
            </a:ln>
          </c:spPr>
          <c:marker>
            <c:symbol val="square"/>
            <c:size val="6"/>
            <c:spPr>
              <a:ln w="3175">
                <a:solidFill>
                  <a:schemeClr val="tx1"/>
                </a:solidFill>
              </a:ln>
            </c:spPr>
          </c:marker>
          <c:errBars>
            <c:errDir val="x"/>
            <c:errBarType val="both"/>
            <c:errValType val="cust"/>
            <c:noEndCap val="0"/>
            <c:plus>
              <c:numRef>
                <c:f>Industry!$O$97</c:f>
                <c:numCache>
                  <c:formatCode>General</c:formatCode>
                  <c:ptCount val="1"/>
                  <c:pt idx="0">
                    <c:v>2.5276537044138792E-3</c:v>
                  </c:pt>
                </c:numCache>
              </c:numRef>
            </c:plus>
            <c:minus>
              <c:numRef>
                <c:f>Industry!$O$97</c:f>
                <c:numCache>
                  <c:formatCode>General</c:formatCode>
                  <c:ptCount val="1"/>
                  <c:pt idx="0">
                    <c:v>2.5276537044138792E-3</c:v>
                  </c:pt>
                </c:numCache>
              </c:numRef>
            </c:minus>
          </c:errBars>
          <c:xVal>
            <c:numRef>
              <c:f>Industry!$K$97</c:f>
              <c:numCache>
                <c:formatCode>General</c:formatCode>
                <c:ptCount val="1"/>
                <c:pt idx="0">
                  <c:v>1.1336512790483317</c:v>
                </c:pt>
              </c:numCache>
            </c:numRef>
          </c:xVal>
          <c:yVal>
            <c:numRef>
              <c:f>Industry!$M$97</c:f>
              <c:numCache>
                <c:formatCode>General</c:formatCode>
                <c:ptCount val="1"/>
                <c:pt idx="0">
                  <c:v>19</c:v>
                </c:pt>
              </c:numCache>
            </c:numRef>
          </c:yVal>
          <c:smooth val="0"/>
          <c:extLst>
            <c:ext xmlns:c16="http://schemas.microsoft.com/office/drawing/2014/chart" uri="{C3380CC4-5D6E-409C-BE32-E72D297353CC}">
              <c16:uniqueId val="{00000002-3E37-4BDE-B228-4493A0895379}"/>
            </c:ext>
          </c:extLst>
        </c:ser>
        <c:ser>
          <c:idx val="3"/>
          <c:order val="3"/>
          <c:tx>
            <c:strRef>
              <c:f>Industry!$A$98</c:f>
              <c:strCache>
                <c:ptCount val="1"/>
                <c:pt idx="0">
                  <c:v>Agriculture, Forestry, Fishing, and Hunting</c:v>
                </c:pt>
              </c:strCache>
            </c:strRef>
          </c:tx>
          <c:spPr>
            <a:ln w="19050">
              <a:noFill/>
            </a:ln>
          </c:spPr>
          <c:marker>
            <c:symbol val="square"/>
            <c:size val="6"/>
            <c:spPr>
              <a:ln w="3175">
                <a:solidFill>
                  <a:schemeClr val="tx1"/>
                </a:solidFill>
              </a:ln>
            </c:spPr>
          </c:marker>
          <c:errBars>
            <c:errDir val="x"/>
            <c:errBarType val="both"/>
            <c:errValType val="cust"/>
            <c:noEndCap val="0"/>
            <c:plus>
              <c:numRef>
                <c:f>Industry!$N$98</c:f>
                <c:numCache>
                  <c:formatCode>General</c:formatCode>
                  <c:ptCount val="1"/>
                  <c:pt idx="0">
                    <c:v>8.6056838423973936E-2</c:v>
                  </c:pt>
                </c:numCache>
              </c:numRef>
            </c:plus>
            <c:minus>
              <c:numRef>
                <c:f>Industry!$N$98</c:f>
                <c:numCache>
                  <c:formatCode>General</c:formatCode>
                  <c:ptCount val="1"/>
                  <c:pt idx="0">
                    <c:v>8.6056838423973936E-2</c:v>
                  </c:pt>
                </c:numCache>
              </c:numRef>
            </c:minus>
          </c:errBars>
          <c:errBars>
            <c:errDir val="y"/>
            <c:errBarType val="both"/>
            <c:errValType val="stdErr"/>
            <c:noEndCap val="0"/>
          </c:errBars>
          <c:xVal>
            <c:numRef>
              <c:f>Industry!$K$98</c:f>
              <c:numCache>
                <c:formatCode>General</c:formatCode>
                <c:ptCount val="1"/>
                <c:pt idx="0">
                  <c:v>1.1792616020585809</c:v>
                </c:pt>
              </c:numCache>
            </c:numRef>
          </c:xVal>
          <c:yVal>
            <c:numRef>
              <c:f>Industry!$M$98</c:f>
              <c:numCache>
                <c:formatCode>General</c:formatCode>
                <c:ptCount val="1"/>
                <c:pt idx="0">
                  <c:v>18</c:v>
                </c:pt>
              </c:numCache>
            </c:numRef>
          </c:yVal>
          <c:smooth val="0"/>
          <c:extLst>
            <c:ext xmlns:c16="http://schemas.microsoft.com/office/drawing/2014/chart" uri="{C3380CC4-5D6E-409C-BE32-E72D297353CC}">
              <c16:uniqueId val="{00000003-3E37-4BDE-B228-4493A0895379}"/>
            </c:ext>
          </c:extLst>
        </c:ser>
        <c:ser>
          <c:idx val="4"/>
          <c:order val="4"/>
          <c:tx>
            <c:strRef>
              <c:f>Industry!$A$99</c:f>
              <c:strCache>
                <c:ptCount val="1"/>
                <c:pt idx="0">
                  <c:v>Arts, Entertainment, and Recreation</c:v>
                </c:pt>
              </c:strCache>
            </c:strRef>
          </c:tx>
          <c:spPr>
            <a:ln w="19050">
              <a:noFill/>
            </a:ln>
          </c:spPr>
          <c:marker>
            <c:symbol val="square"/>
            <c:size val="6"/>
            <c:spPr>
              <a:ln w="3175">
                <a:solidFill>
                  <a:schemeClr val="tx1"/>
                </a:solidFill>
              </a:ln>
            </c:spPr>
          </c:marker>
          <c:errBars>
            <c:errDir val="x"/>
            <c:errBarType val="both"/>
            <c:errValType val="cust"/>
            <c:noEndCap val="0"/>
            <c:plus>
              <c:numRef>
                <c:f>Industry!$O$99</c:f>
                <c:numCache>
                  <c:formatCode>General</c:formatCode>
                  <c:ptCount val="1"/>
                  <c:pt idx="0">
                    <c:v>0.10779790628647146</c:v>
                  </c:pt>
                </c:numCache>
              </c:numRef>
            </c:plus>
            <c:minus>
              <c:numRef>
                <c:f>Industry!$O$99</c:f>
                <c:numCache>
                  <c:formatCode>General</c:formatCode>
                  <c:ptCount val="1"/>
                  <c:pt idx="0">
                    <c:v>0.10779790628647146</c:v>
                  </c:pt>
                </c:numCache>
              </c:numRef>
            </c:minus>
          </c:errBars>
          <c:errBars>
            <c:errDir val="y"/>
            <c:errBarType val="both"/>
            <c:errValType val="stdErr"/>
            <c:noEndCap val="0"/>
          </c:errBars>
          <c:xVal>
            <c:numRef>
              <c:f>Industry!$K$99</c:f>
              <c:numCache>
                <c:formatCode>General</c:formatCode>
                <c:ptCount val="1"/>
                <c:pt idx="0">
                  <c:v>0.88444009567297233</c:v>
                </c:pt>
              </c:numCache>
            </c:numRef>
          </c:xVal>
          <c:yVal>
            <c:numRef>
              <c:f>Industry!$M$99</c:f>
              <c:numCache>
                <c:formatCode>General</c:formatCode>
                <c:ptCount val="1"/>
                <c:pt idx="0">
                  <c:v>17</c:v>
                </c:pt>
              </c:numCache>
            </c:numRef>
          </c:yVal>
          <c:smooth val="0"/>
          <c:extLst>
            <c:ext xmlns:c16="http://schemas.microsoft.com/office/drawing/2014/chart" uri="{C3380CC4-5D6E-409C-BE32-E72D297353CC}">
              <c16:uniqueId val="{00000004-3E37-4BDE-B228-4493A0895379}"/>
            </c:ext>
          </c:extLst>
        </c:ser>
        <c:ser>
          <c:idx val="5"/>
          <c:order val="5"/>
          <c:tx>
            <c:strRef>
              <c:f>Industry!$A$100</c:f>
              <c:strCache>
                <c:ptCount val="1"/>
                <c:pt idx="0">
                  <c:v>Construction</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Industry!$O$100</c:f>
                <c:numCache>
                  <c:formatCode>General</c:formatCode>
                  <c:ptCount val="1"/>
                  <c:pt idx="0">
                    <c:v>2.3664734183045377E-2</c:v>
                  </c:pt>
                </c:numCache>
              </c:numRef>
            </c:plus>
            <c:minus>
              <c:numRef>
                <c:f>Industry!$O$100</c:f>
                <c:numCache>
                  <c:formatCode>General</c:formatCode>
                  <c:ptCount val="1"/>
                  <c:pt idx="0">
                    <c:v>2.3664734183045377E-2</c:v>
                  </c:pt>
                </c:numCache>
              </c:numRef>
            </c:minus>
          </c:errBars>
          <c:errBars>
            <c:errDir val="y"/>
            <c:errBarType val="both"/>
            <c:errValType val="stdErr"/>
            <c:noEndCap val="0"/>
          </c:errBars>
          <c:xVal>
            <c:numRef>
              <c:f>Industry!$K$100</c:f>
              <c:numCache>
                <c:formatCode>General</c:formatCode>
                <c:ptCount val="1"/>
                <c:pt idx="0">
                  <c:v>1.0437130154179686</c:v>
                </c:pt>
              </c:numCache>
            </c:numRef>
          </c:xVal>
          <c:yVal>
            <c:numRef>
              <c:f>Industry!$M$100</c:f>
              <c:numCache>
                <c:formatCode>General</c:formatCode>
                <c:ptCount val="1"/>
                <c:pt idx="0">
                  <c:v>16</c:v>
                </c:pt>
              </c:numCache>
            </c:numRef>
          </c:yVal>
          <c:smooth val="0"/>
          <c:extLst>
            <c:ext xmlns:c16="http://schemas.microsoft.com/office/drawing/2014/chart" uri="{C3380CC4-5D6E-409C-BE32-E72D297353CC}">
              <c16:uniqueId val="{00000005-3E37-4BDE-B228-4493A0895379}"/>
            </c:ext>
          </c:extLst>
        </c:ser>
        <c:ser>
          <c:idx val="6"/>
          <c:order val="6"/>
          <c:tx>
            <c:strRef>
              <c:f>Industry!$A$101</c:f>
              <c:strCache>
                <c:ptCount val="1"/>
                <c:pt idx="0">
                  <c:v>Educational Services</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Industry!$N$101</c:f>
                <c:numCache>
                  <c:formatCode>General</c:formatCode>
                  <c:ptCount val="1"/>
                  <c:pt idx="0">
                    <c:v>2.9374476827870089E-2</c:v>
                  </c:pt>
                </c:numCache>
              </c:numRef>
            </c:plus>
            <c:minus>
              <c:numRef>
                <c:f>Industry!$N$101</c:f>
                <c:numCache>
                  <c:formatCode>General</c:formatCode>
                  <c:ptCount val="1"/>
                  <c:pt idx="0">
                    <c:v>2.9374476827870089E-2</c:v>
                  </c:pt>
                </c:numCache>
              </c:numRef>
            </c:minus>
          </c:errBars>
          <c:errBars>
            <c:errDir val="y"/>
            <c:errBarType val="both"/>
            <c:errValType val="stdErr"/>
            <c:noEndCap val="0"/>
          </c:errBars>
          <c:xVal>
            <c:numRef>
              <c:f>Industry!$K$101</c:f>
              <c:numCache>
                <c:formatCode>General</c:formatCode>
                <c:ptCount val="1"/>
                <c:pt idx="0">
                  <c:v>1.081757740242187</c:v>
                </c:pt>
              </c:numCache>
            </c:numRef>
          </c:xVal>
          <c:yVal>
            <c:numRef>
              <c:f>Industry!$M$101</c:f>
              <c:numCache>
                <c:formatCode>General</c:formatCode>
                <c:ptCount val="1"/>
                <c:pt idx="0">
                  <c:v>15</c:v>
                </c:pt>
              </c:numCache>
            </c:numRef>
          </c:yVal>
          <c:smooth val="0"/>
          <c:extLst>
            <c:ext xmlns:c16="http://schemas.microsoft.com/office/drawing/2014/chart" uri="{C3380CC4-5D6E-409C-BE32-E72D297353CC}">
              <c16:uniqueId val="{00000006-3E37-4BDE-B228-4493A0895379}"/>
            </c:ext>
          </c:extLst>
        </c:ser>
        <c:ser>
          <c:idx val="7"/>
          <c:order val="7"/>
          <c:tx>
            <c:strRef>
              <c:f>Industry!$A$102</c:f>
              <c:strCache>
                <c:ptCount val="1"/>
                <c:pt idx="0">
                  <c:v>Finance and Insurance</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Industry!$O$102</c:f>
                <c:numCache>
                  <c:formatCode>General</c:formatCode>
                  <c:ptCount val="1"/>
                  <c:pt idx="0">
                    <c:v>0.12338411949801875</c:v>
                  </c:pt>
                </c:numCache>
              </c:numRef>
            </c:plus>
            <c:minus>
              <c:numRef>
                <c:f>Industry!$O$102</c:f>
                <c:numCache>
                  <c:formatCode>General</c:formatCode>
                  <c:ptCount val="1"/>
                  <c:pt idx="0">
                    <c:v>0.12338411949801875</c:v>
                  </c:pt>
                </c:numCache>
              </c:numRef>
            </c:minus>
          </c:errBars>
          <c:errBars>
            <c:errDir val="y"/>
            <c:errBarType val="both"/>
            <c:errValType val="stdErr"/>
            <c:noEndCap val="0"/>
          </c:errBars>
          <c:xVal>
            <c:numRef>
              <c:f>Industry!$K$102</c:f>
              <c:numCache>
                <c:formatCode>General</c:formatCode>
                <c:ptCount val="1"/>
                <c:pt idx="0">
                  <c:v>0.71483953106501186</c:v>
                </c:pt>
              </c:numCache>
            </c:numRef>
          </c:xVal>
          <c:yVal>
            <c:numRef>
              <c:f>Industry!$M$102</c:f>
              <c:numCache>
                <c:formatCode>General</c:formatCode>
                <c:ptCount val="1"/>
                <c:pt idx="0">
                  <c:v>14</c:v>
                </c:pt>
              </c:numCache>
            </c:numRef>
          </c:yVal>
          <c:smooth val="0"/>
          <c:extLst>
            <c:ext xmlns:c16="http://schemas.microsoft.com/office/drawing/2014/chart" uri="{C3380CC4-5D6E-409C-BE32-E72D297353CC}">
              <c16:uniqueId val="{00000007-3E37-4BDE-B228-4493A0895379}"/>
            </c:ext>
          </c:extLst>
        </c:ser>
        <c:ser>
          <c:idx val="8"/>
          <c:order val="8"/>
          <c:tx>
            <c:strRef>
              <c:f>Industry!$A$103</c:f>
              <c:strCache>
                <c:ptCount val="1"/>
                <c:pt idx="0">
                  <c:v>Health Care and Social Assistance</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Industry!$N$103</c:f>
                <c:numCache>
                  <c:formatCode>General</c:formatCode>
                  <c:ptCount val="1"/>
                  <c:pt idx="0">
                    <c:v>6.7877422886726935E-2</c:v>
                  </c:pt>
                </c:numCache>
              </c:numRef>
            </c:plus>
            <c:minus>
              <c:numRef>
                <c:f>Industry!$N$103</c:f>
                <c:numCache>
                  <c:formatCode>General</c:formatCode>
                  <c:ptCount val="1"/>
                  <c:pt idx="0">
                    <c:v>6.7877422886726935E-2</c:v>
                  </c:pt>
                </c:numCache>
              </c:numRef>
            </c:minus>
          </c:errBars>
          <c:errBars>
            <c:errDir val="y"/>
            <c:errBarType val="both"/>
            <c:errValType val="stdErr"/>
            <c:noEndCap val="0"/>
          </c:errBars>
          <c:xVal>
            <c:numRef>
              <c:f>Industry!$K$103</c:f>
              <c:numCache>
                <c:formatCode>General</c:formatCode>
                <c:ptCount val="1"/>
                <c:pt idx="0">
                  <c:v>1.1554998655790325</c:v>
                </c:pt>
              </c:numCache>
            </c:numRef>
          </c:xVal>
          <c:yVal>
            <c:numRef>
              <c:f>Industry!$M$103</c:f>
              <c:numCache>
                <c:formatCode>General</c:formatCode>
                <c:ptCount val="1"/>
                <c:pt idx="0">
                  <c:v>13</c:v>
                </c:pt>
              </c:numCache>
            </c:numRef>
          </c:yVal>
          <c:smooth val="0"/>
          <c:extLst>
            <c:ext xmlns:c16="http://schemas.microsoft.com/office/drawing/2014/chart" uri="{C3380CC4-5D6E-409C-BE32-E72D297353CC}">
              <c16:uniqueId val="{00000008-3E37-4BDE-B228-4493A0895379}"/>
            </c:ext>
          </c:extLst>
        </c:ser>
        <c:ser>
          <c:idx val="9"/>
          <c:order val="9"/>
          <c:tx>
            <c:strRef>
              <c:f>Industry!$A$104</c:f>
              <c:strCache>
                <c:ptCount val="1"/>
                <c:pt idx="0">
                  <c:v>Information</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Industry!$N$104</c:f>
                <c:numCache>
                  <c:formatCode>General</c:formatCode>
                  <c:ptCount val="1"/>
                  <c:pt idx="0">
                    <c:v>7.4399134978453407E-2</c:v>
                  </c:pt>
                </c:numCache>
              </c:numRef>
            </c:plus>
            <c:minus>
              <c:numRef>
                <c:f>Industry!$N$104</c:f>
                <c:numCache>
                  <c:formatCode>General</c:formatCode>
                  <c:ptCount val="1"/>
                  <c:pt idx="0">
                    <c:v>7.4399134978453407E-2</c:v>
                  </c:pt>
                </c:numCache>
              </c:numRef>
            </c:minus>
          </c:errBars>
          <c:errBars>
            <c:errDir val="y"/>
            <c:errBarType val="both"/>
            <c:errValType val="stdErr"/>
            <c:noEndCap val="0"/>
          </c:errBars>
          <c:xVal>
            <c:numRef>
              <c:f>Industry!$K$104</c:f>
              <c:numCache>
                <c:formatCode>General</c:formatCode>
                <c:ptCount val="1"/>
                <c:pt idx="0">
                  <c:v>0.97315016301885682</c:v>
                </c:pt>
              </c:numCache>
            </c:numRef>
          </c:xVal>
          <c:yVal>
            <c:numRef>
              <c:f>Industry!$M$104</c:f>
              <c:numCache>
                <c:formatCode>General</c:formatCode>
                <c:ptCount val="1"/>
                <c:pt idx="0">
                  <c:v>12</c:v>
                </c:pt>
              </c:numCache>
            </c:numRef>
          </c:yVal>
          <c:smooth val="0"/>
          <c:extLst>
            <c:ext xmlns:c16="http://schemas.microsoft.com/office/drawing/2014/chart" uri="{C3380CC4-5D6E-409C-BE32-E72D297353CC}">
              <c16:uniqueId val="{00000009-3E37-4BDE-B228-4493A0895379}"/>
            </c:ext>
          </c:extLst>
        </c:ser>
        <c:ser>
          <c:idx val="10"/>
          <c:order val="10"/>
          <c:tx>
            <c:strRef>
              <c:f>Industry!$A$105</c:f>
              <c:strCache>
                <c:ptCount val="1"/>
                <c:pt idx="0">
                  <c:v>Management of Companies and Enterprises</c:v>
                </c:pt>
              </c:strCache>
            </c:strRef>
          </c:tx>
          <c:spPr>
            <a:ln w="19050">
              <a:noFill/>
            </a:ln>
          </c:spPr>
          <c:marker>
            <c:spPr>
              <a:ln w="3175">
                <a:solidFill>
                  <a:schemeClr val="dk1">
                    <a:shade val="95000"/>
                    <a:satMod val="105000"/>
                  </a:schemeClr>
                </a:solidFill>
              </a:ln>
            </c:spPr>
          </c:marker>
          <c:errBars>
            <c:errDir val="x"/>
            <c:errBarType val="both"/>
            <c:errValType val="stdErr"/>
            <c:noEndCap val="0"/>
          </c:errBars>
          <c:errBars>
            <c:errDir val="y"/>
            <c:errBarType val="both"/>
            <c:errValType val="stdErr"/>
            <c:noEndCap val="0"/>
          </c:errBars>
          <c:xVal>
            <c:numRef>
              <c:f>Industry!$K$105</c:f>
              <c:numCache>
                <c:formatCode>General</c:formatCode>
                <c:ptCount val="1"/>
                <c:pt idx="0">
                  <c:v>0</c:v>
                </c:pt>
              </c:numCache>
            </c:numRef>
          </c:xVal>
          <c:yVal>
            <c:numRef>
              <c:f>Industry!$M$105</c:f>
              <c:numCache>
                <c:formatCode>General</c:formatCode>
                <c:ptCount val="1"/>
                <c:pt idx="0">
                  <c:v>11</c:v>
                </c:pt>
              </c:numCache>
            </c:numRef>
          </c:yVal>
          <c:smooth val="0"/>
          <c:extLst>
            <c:ext xmlns:c16="http://schemas.microsoft.com/office/drawing/2014/chart" uri="{C3380CC4-5D6E-409C-BE32-E72D297353CC}">
              <c16:uniqueId val="{0000000A-3E37-4BDE-B228-4493A0895379}"/>
            </c:ext>
          </c:extLst>
        </c:ser>
        <c:ser>
          <c:idx val="11"/>
          <c:order val="11"/>
          <c:tx>
            <c:strRef>
              <c:f>Industry!$A$106</c:f>
              <c:strCache>
                <c:ptCount val="1"/>
                <c:pt idx="0">
                  <c:v>Manufacturing</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Industry!$O$106</c:f>
                <c:numCache>
                  <c:formatCode>General</c:formatCode>
                  <c:ptCount val="1"/>
                  <c:pt idx="0">
                    <c:v>4.3380257884600426E-2</c:v>
                  </c:pt>
                </c:numCache>
              </c:numRef>
            </c:plus>
            <c:minus>
              <c:numRef>
                <c:f>Industry!$O$106</c:f>
                <c:numCache>
                  <c:formatCode>General</c:formatCode>
                  <c:ptCount val="1"/>
                  <c:pt idx="0">
                    <c:v>4.3380257884600426E-2</c:v>
                  </c:pt>
                </c:numCache>
              </c:numRef>
            </c:minus>
          </c:errBars>
          <c:errBars>
            <c:errDir val="y"/>
            <c:errBarType val="both"/>
            <c:errValType val="stdErr"/>
            <c:noEndCap val="0"/>
          </c:errBars>
          <c:xVal>
            <c:numRef>
              <c:f>Industry!$K$106</c:f>
              <c:numCache>
                <c:formatCode>General</c:formatCode>
                <c:ptCount val="1"/>
                <c:pt idx="0">
                  <c:v>0.92034515525267546</c:v>
                </c:pt>
              </c:numCache>
            </c:numRef>
          </c:xVal>
          <c:yVal>
            <c:numRef>
              <c:f>Industry!$M$106</c:f>
              <c:numCache>
                <c:formatCode>General</c:formatCode>
                <c:ptCount val="1"/>
                <c:pt idx="0">
                  <c:v>10</c:v>
                </c:pt>
              </c:numCache>
            </c:numRef>
          </c:yVal>
          <c:smooth val="0"/>
          <c:extLst>
            <c:ext xmlns:c16="http://schemas.microsoft.com/office/drawing/2014/chart" uri="{C3380CC4-5D6E-409C-BE32-E72D297353CC}">
              <c16:uniqueId val="{0000000B-3E37-4BDE-B228-4493A0895379}"/>
            </c:ext>
          </c:extLst>
        </c:ser>
        <c:ser>
          <c:idx val="12"/>
          <c:order val="12"/>
          <c:tx>
            <c:strRef>
              <c:f>Industry!$A$107</c:f>
              <c:strCache>
                <c:ptCount val="1"/>
                <c:pt idx="0">
                  <c:v>Mining, Quarrying, and Oil and Gas Extraction</c:v>
                </c:pt>
              </c:strCache>
            </c:strRef>
          </c:tx>
          <c:spPr>
            <a:ln w="19050">
              <a:noFill/>
            </a:ln>
          </c:spPr>
          <c:marker>
            <c:symbol val="square"/>
            <c:size val="6"/>
            <c:spPr>
              <a:ln w="3175">
                <a:solidFill>
                  <a:schemeClr val="dk1">
                    <a:shade val="95000"/>
                    <a:satMod val="105000"/>
                  </a:schemeClr>
                </a:solidFill>
              </a:ln>
            </c:spPr>
          </c:marker>
          <c:errBars>
            <c:errDir val="y"/>
            <c:errBarType val="both"/>
            <c:errValType val="stdErr"/>
            <c:noEndCap val="0"/>
          </c:errBars>
          <c:xVal>
            <c:numRef>
              <c:f>Industry!$K$107</c:f>
              <c:numCache>
                <c:formatCode>General</c:formatCode>
                <c:ptCount val="1"/>
                <c:pt idx="0">
                  <c:v>0.67985109353187545</c:v>
                </c:pt>
              </c:numCache>
            </c:numRef>
          </c:xVal>
          <c:yVal>
            <c:numRef>
              <c:f>Industry!$M$107</c:f>
              <c:numCache>
                <c:formatCode>General</c:formatCode>
                <c:ptCount val="1"/>
                <c:pt idx="0">
                  <c:v>9</c:v>
                </c:pt>
              </c:numCache>
            </c:numRef>
          </c:yVal>
          <c:smooth val="0"/>
          <c:extLst>
            <c:ext xmlns:c16="http://schemas.microsoft.com/office/drawing/2014/chart" uri="{C3380CC4-5D6E-409C-BE32-E72D297353CC}">
              <c16:uniqueId val="{0000000C-3E37-4BDE-B228-4493A0895379}"/>
            </c:ext>
          </c:extLst>
        </c:ser>
        <c:ser>
          <c:idx val="13"/>
          <c:order val="13"/>
          <c:tx>
            <c:strRef>
              <c:f>Industry!$A$108</c:f>
              <c:strCache>
                <c:ptCount val="1"/>
                <c:pt idx="0">
                  <c:v>Other Services, Except Public Administration</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Industry!$N$108</c:f>
                <c:numCache>
                  <c:formatCode>General</c:formatCode>
                  <c:ptCount val="1"/>
                  <c:pt idx="0">
                    <c:v>1.6990553674123499E-2</c:v>
                  </c:pt>
                </c:numCache>
              </c:numRef>
            </c:plus>
            <c:minus>
              <c:numRef>
                <c:f>Industry!$N$108</c:f>
                <c:numCache>
                  <c:formatCode>General</c:formatCode>
                  <c:ptCount val="1"/>
                  <c:pt idx="0">
                    <c:v>1.6990553674123499E-2</c:v>
                  </c:pt>
                </c:numCache>
              </c:numRef>
            </c:minus>
          </c:errBars>
          <c:errBars>
            <c:errDir val="y"/>
            <c:errBarType val="both"/>
            <c:errValType val="stdErr"/>
            <c:noEndCap val="0"/>
          </c:errBars>
          <c:xVal>
            <c:numRef>
              <c:f>Industry!$K$108</c:f>
              <c:numCache>
                <c:formatCode>General</c:formatCode>
                <c:ptCount val="1"/>
                <c:pt idx="0">
                  <c:v>1.1079611810327878</c:v>
                </c:pt>
              </c:numCache>
            </c:numRef>
          </c:xVal>
          <c:yVal>
            <c:numRef>
              <c:f>Industry!$M$108</c:f>
              <c:numCache>
                <c:formatCode>General</c:formatCode>
                <c:ptCount val="1"/>
                <c:pt idx="0">
                  <c:v>8</c:v>
                </c:pt>
              </c:numCache>
            </c:numRef>
          </c:yVal>
          <c:smooth val="0"/>
          <c:extLst>
            <c:ext xmlns:c16="http://schemas.microsoft.com/office/drawing/2014/chart" uri="{C3380CC4-5D6E-409C-BE32-E72D297353CC}">
              <c16:uniqueId val="{0000000D-3E37-4BDE-B228-4493A0895379}"/>
            </c:ext>
          </c:extLst>
        </c:ser>
        <c:ser>
          <c:idx val="14"/>
          <c:order val="14"/>
          <c:tx>
            <c:strRef>
              <c:f>Industry!$A$109</c:f>
              <c:strCache>
                <c:ptCount val="1"/>
                <c:pt idx="0">
                  <c:v>Professional, Scientific, and Technical Services</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Industry!$O$109</c:f>
                <c:numCache>
                  <c:formatCode>General</c:formatCode>
                  <c:ptCount val="1"/>
                  <c:pt idx="0">
                    <c:v>5.4175870066115017E-2</c:v>
                  </c:pt>
                </c:numCache>
              </c:numRef>
            </c:plus>
            <c:minus>
              <c:numRef>
                <c:f>Industry!$O$109</c:f>
                <c:numCache>
                  <c:formatCode>General</c:formatCode>
                  <c:ptCount val="1"/>
                  <c:pt idx="0">
                    <c:v>5.4175870066115017E-2</c:v>
                  </c:pt>
                </c:numCache>
              </c:numRef>
            </c:minus>
          </c:errBars>
          <c:errBars>
            <c:errDir val="y"/>
            <c:errBarType val="both"/>
            <c:errValType val="stdErr"/>
            <c:noEndCap val="0"/>
          </c:errBars>
          <c:xVal>
            <c:numRef>
              <c:f>Industry!$K$109</c:f>
              <c:numCache>
                <c:formatCode>General</c:formatCode>
                <c:ptCount val="1"/>
                <c:pt idx="0">
                  <c:v>0.83887865977830633</c:v>
                </c:pt>
              </c:numCache>
            </c:numRef>
          </c:xVal>
          <c:yVal>
            <c:numRef>
              <c:f>Industry!$M$109</c:f>
              <c:numCache>
                <c:formatCode>General</c:formatCode>
                <c:ptCount val="1"/>
                <c:pt idx="0">
                  <c:v>7</c:v>
                </c:pt>
              </c:numCache>
            </c:numRef>
          </c:yVal>
          <c:smooth val="0"/>
          <c:extLst>
            <c:ext xmlns:c16="http://schemas.microsoft.com/office/drawing/2014/chart" uri="{C3380CC4-5D6E-409C-BE32-E72D297353CC}">
              <c16:uniqueId val="{0000000E-3E37-4BDE-B228-4493A0895379}"/>
            </c:ext>
          </c:extLst>
        </c:ser>
        <c:ser>
          <c:idx val="15"/>
          <c:order val="15"/>
          <c:tx>
            <c:strRef>
              <c:f>Industry!$A$110</c:f>
              <c:strCache>
                <c:ptCount val="1"/>
                <c:pt idx="0">
                  <c:v>Public Administration</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Industry!$N$110</c:f>
                <c:numCache>
                  <c:formatCode>General</c:formatCode>
                  <c:ptCount val="1"/>
                  <c:pt idx="0">
                    <c:v>9.5418348301733236E-2</c:v>
                  </c:pt>
                </c:numCache>
              </c:numRef>
            </c:plus>
            <c:minus>
              <c:numRef>
                <c:f>Industry!$N$110</c:f>
                <c:numCache>
                  <c:formatCode>General</c:formatCode>
                  <c:ptCount val="1"/>
                  <c:pt idx="0">
                    <c:v>9.5418348301733236E-2</c:v>
                  </c:pt>
                </c:numCache>
              </c:numRef>
            </c:minus>
          </c:errBars>
          <c:errBars>
            <c:errDir val="y"/>
            <c:errBarType val="both"/>
            <c:errValType val="stdErr"/>
            <c:noEndCap val="0"/>
          </c:errBars>
          <c:xVal>
            <c:numRef>
              <c:f>Industry!$K$110</c:f>
              <c:numCache>
                <c:formatCode>General</c:formatCode>
                <c:ptCount val="1"/>
                <c:pt idx="0">
                  <c:v>1.1907380082953614</c:v>
                </c:pt>
              </c:numCache>
            </c:numRef>
          </c:xVal>
          <c:yVal>
            <c:numRef>
              <c:f>Industry!$M$110</c:f>
              <c:numCache>
                <c:formatCode>General</c:formatCode>
                <c:ptCount val="1"/>
                <c:pt idx="0">
                  <c:v>6</c:v>
                </c:pt>
              </c:numCache>
            </c:numRef>
          </c:yVal>
          <c:smooth val="0"/>
          <c:extLst>
            <c:ext xmlns:c16="http://schemas.microsoft.com/office/drawing/2014/chart" uri="{C3380CC4-5D6E-409C-BE32-E72D297353CC}">
              <c16:uniqueId val="{0000000F-3E37-4BDE-B228-4493A0895379}"/>
            </c:ext>
          </c:extLst>
        </c:ser>
        <c:ser>
          <c:idx val="16"/>
          <c:order val="16"/>
          <c:tx>
            <c:strRef>
              <c:f>Industry!$A$111</c:f>
              <c:strCache>
                <c:ptCount val="1"/>
                <c:pt idx="0">
                  <c:v>Real Estate and Rental and Leasing</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Industry!$N$111</c:f>
                <c:numCache>
                  <c:formatCode>General</c:formatCode>
                  <c:ptCount val="1"/>
                  <c:pt idx="0">
                    <c:v>0.40789836943590752</c:v>
                  </c:pt>
                </c:numCache>
              </c:numRef>
            </c:plus>
            <c:minus>
              <c:numRef>
                <c:f>Industry!$N$111</c:f>
                <c:numCache>
                  <c:formatCode>General</c:formatCode>
                  <c:ptCount val="1"/>
                  <c:pt idx="0">
                    <c:v>0.40789836943590752</c:v>
                  </c:pt>
                </c:numCache>
              </c:numRef>
            </c:minus>
          </c:errBars>
          <c:errBars>
            <c:errDir val="y"/>
            <c:errBarType val="both"/>
            <c:errValType val="stdErr"/>
            <c:noEndCap val="0"/>
          </c:errBars>
          <c:xVal>
            <c:numRef>
              <c:f>Industry!$K$111</c:f>
              <c:numCache>
                <c:formatCode>General</c:formatCode>
                <c:ptCount val="1"/>
                <c:pt idx="0">
                  <c:v>1.7108202681511422</c:v>
                </c:pt>
              </c:numCache>
            </c:numRef>
          </c:xVal>
          <c:yVal>
            <c:numRef>
              <c:f>Industry!$M$111</c:f>
              <c:numCache>
                <c:formatCode>General</c:formatCode>
                <c:ptCount val="1"/>
                <c:pt idx="0">
                  <c:v>5</c:v>
                </c:pt>
              </c:numCache>
            </c:numRef>
          </c:yVal>
          <c:smooth val="0"/>
          <c:extLst>
            <c:ext xmlns:c16="http://schemas.microsoft.com/office/drawing/2014/chart" uri="{C3380CC4-5D6E-409C-BE32-E72D297353CC}">
              <c16:uniqueId val="{00000010-3E37-4BDE-B228-4493A0895379}"/>
            </c:ext>
          </c:extLst>
        </c:ser>
        <c:ser>
          <c:idx val="17"/>
          <c:order val="17"/>
          <c:tx>
            <c:strRef>
              <c:f>Industry!$A$112</c:f>
              <c:strCache>
                <c:ptCount val="1"/>
                <c:pt idx="0">
                  <c:v>Retail Trade</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Industry!$N$112</c:f>
                <c:numCache>
                  <c:formatCode>General</c:formatCode>
                  <c:ptCount val="1"/>
                  <c:pt idx="0">
                    <c:v>0.16139557987451525</c:v>
                  </c:pt>
                </c:numCache>
              </c:numRef>
            </c:plus>
            <c:minus>
              <c:numRef>
                <c:f>Industry!$N$112</c:f>
                <c:numCache>
                  <c:formatCode>General</c:formatCode>
                  <c:ptCount val="1"/>
                  <c:pt idx="0">
                    <c:v>0.16139557987451525</c:v>
                  </c:pt>
                </c:numCache>
              </c:numRef>
            </c:minus>
          </c:errBars>
          <c:errBars>
            <c:errDir val="y"/>
            <c:errBarType val="both"/>
            <c:errValType val="stdErr"/>
            <c:noEndCap val="0"/>
          </c:errBars>
          <c:xVal>
            <c:numRef>
              <c:f>Industry!$K$112</c:f>
              <c:numCache>
                <c:formatCode>General</c:formatCode>
                <c:ptCount val="1"/>
                <c:pt idx="0">
                  <c:v>1.3830015149297084</c:v>
                </c:pt>
              </c:numCache>
            </c:numRef>
          </c:xVal>
          <c:yVal>
            <c:numRef>
              <c:f>Industry!$M$112</c:f>
              <c:numCache>
                <c:formatCode>General</c:formatCode>
                <c:ptCount val="1"/>
                <c:pt idx="0">
                  <c:v>4</c:v>
                </c:pt>
              </c:numCache>
            </c:numRef>
          </c:yVal>
          <c:smooth val="0"/>
          <c:extLst>
            <c:ext xmlns:c16="http://schemas.microsoft.com/office/drawing/2014/chart" uri="{C3380CC4-5D6E-409C-BE32-E72D297353CC}">
              <c16:uniqueId val="{00000011-3E37-4BDE-B228-4493A0895379}"/>
            </c:ext>
          </c:extLst>
        </c:ser>
        <c:ser>
          <c:idx val="18"/>
          <c:order val="18"/>
          <c:tx>
            <c:strRef>
              <c:f>Industry!$A$113</c:f>
              <c:strCache>
                <c:ptCount val="1"/>
                <c:pt idx="0">
                  <c:v>Transportation and Warehousing</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Industry!$N$113</c:f>
                <c:numCache>
                  <c:formatCode>General</c:formatCode>
                  <c:ptCount val="1"/>
                  <c:pt idx="0">
                    <c:v>6.2604238151901415E-2</c:v>
                  </c:pt>
                </c:numCache>
              </c:numRef>
            </c:plus>
            <c:minus>
              <c:numRef>
                <c:f>Industry!$N$113</c:f>
                <c:numCache>
                  <c:formatCode>General</c:formatCode>
                  <c:ptCount val="1"/>
                  <c:pt idx="0">
                    <c:v>6.2604238151901415E-2</c:v>
                  </c:pt>
                </c:numCache>
              </c:numRef>
            </c:minus>
          </c:errBars>
          <c:errBars>
            <c:errDir val="y"/>
            <c:errBarType val="both"/>
            <c:errValType val="stdErr"/>
            <c:noEndCap val="0"/>
          </c:errBars>
          <c:xVal>
            <c:numRef>
              <c:f>Industry!$K$113</c:f>
              <c:numCache>
                <c:formatCode>General</c:formatCode>
                <c:ptCount val="1"/>
                <c:pt idx="0">
                  <c:v>1.1960922093203563</c:v>
                </c:pt>
              </c:numCache>
            </c:numRef>
          </c:xVal>
          <c:yVal>
            <c:numRef>
              <c:f>Industry!$M$113</c:f>
              <c:numCache>
                <c:formatCode>General</c:formatCode>
                <c:ptCount val="1"/>
                <c:pt idx="0">
                  <c:v>3</c:v>
                </c:pt>
              </c:numCache>
            </c:numRef>
          </c:yVal>
          <c:smooth val="0"/>
          <c:extLst>
            <c:ext xmlns:c16="http://schemas.microsoft.com/office/drawing/2014/chart" uri="{C3380CC4-5D6E-409C-BE32-E72D297353CC}">
              <c16:uniqueId val="{00000012-3E37-4BDE-B228-4493A0895379}"/>
            </c:ext>
          </c:extLst>
        </c:ser>
        <c:ser>
          <c:idx val="19"/>
          <c:order val="19"/>
          <c:tx>
            <c:strRef>
              <c:f>Industry!$A$114</c:f>
              <c:strCache>
                <c:ptCount val="1"/>
                <c:pt idx="0">
                  <c:v>Utilities</c:v>
                </c:pt>
              </c:strCache>
            </c:strRef>
          </c:tx>
          <c:spPr>
            <a:ln w="19050">
              <a:noFill/>
            </a:ln>
          </c:spPr>
          <c:marker>
            <c:spPr>
              <a:ln w="3175">
                <a:solidFill>
                  <a:schemeClr val="dk1">
                    <a:shade val="95000"/>
                    <a:satMod val="105000"/>
                  </a:schemeClr>
                </a:solidFill>
              </a:ln>
            </c:spPr>
          </c:marker>
          <c:errBars>
            <c:errDir val="x"/>
            <c:errBarType val="both"/>
            <c:errValType val="cust"/>
            <c:noEndCap val="0"/>
            <c:plus>
              <c:numRef>
                <c:f>Industry!$O$114</c:f>
                <c:numCache>
                  <c:formatCode>General</c:formatCode>
                  <c:ptCount val="1"/>
                  <c:pt idx="0">
                    <c:v>3.3797828815888997E-2</c:v>
                  </c:pt>
                </c:numCache>
              </c:numRef>
            </c:plus>
            <c:minus>
              <c:numRef>
                <c:f>Industry!$O$114</c:f>
                <c:numCache>
                  <c:formatCode>General</c:formatCode>
                  <c:ptCount val="1"/>
                  <c:pt idx="0">
                    <c:v>3.3797828815888997E-2</c:v>
                  </c:pt>
                </c:numCache>
              </c:numRef>
            </c:minus>
          </c:errBars>
          <c:errBars>
            <c:errDir val="y"/>
            <c:errBarType val="both"/>
            <c:errValType val="stdErr"/>
            <c:noEndCap val="0"/>
          </c:errBars>
          <c:xVal>
            <c:numRef>
              <c:f>Industry!$K$114</c:f>
              <c:numCache>
                <c:formatCode>General</c:formatCode>
                <c:ptCount val="1"/>
                <c:pt idx="0">
                  <c:v>0.96294667399670142</c:v>
                </c:pt>
              </c:numCache>
            </c:numRef>
          </c:xVal>
          <c:yVal>
            <c:numRef>
              <c:f>Industry!$M$114</c:f>
              <c:numCache>
                <c:formatCode>General</c:formatCode>
                <c:ptCount val="1"/>
                <c:pt idx="0">
                  <c:v>2</c:v>
                </c:pt>
              </c:numCache>
            </c:numRef>
          </c:yVal>
          <c:smooth val="0"/>
          <c:extLst>
            <c:ext xmlns:c16="http://schemas.microsoft.com/office/drawing/2014/chart" uri="{C3380CC4-5D6E-409C-BE32-E72D297353CC}">
              <c16:uniqueId val="{00000013-3E37-4BDE-B228-4493A0895379}"/>
            </c:ext>
          </c:extLst>
        </c:ser>
        <c:ser>
          <c:idx val="20"/>
          <c:order val="20"/>
          <c:tx>
            <c:strRef>
              <c:f>Industry!$A$115</c:f>
              <c:strCache>
                <c:ptCount val="1"/>
                <c:pt idx="0">
                  <c:v>Wholesale Trade</c:v>
                </c:pt>
              </c:strCache>
            </c:strRef>
          </c:tx>
          <c:spPr>
            <a:ln w="19050">
              <a:noFill/>
            </a:ln>
          </c:spPr>
          <c:marker>
            <c:symbol val="square"/>
            <c:size val="6"/>
            <c:spPr>
              <a:ln w="3175">
                <a:solidFill>
                  <a:schemeClr val="dk1">
                    <a:shade val="95000"/>
                    <a:satMod val="105000"/>
                  </a:schemeClr>
                </a:solidFill>
              </a:ln>
            </c:spPr>
          </c:marker>
          <c:errBars>
            <c:errDir val="x"/>
            <c:errBarType val="both"/>
            <c:errValType val="cust"/>
            <c:noEndCap val="0"/>
            <c:plus>
              <c:numRef>
                <c:f>Industry!$O$115</c:f>
                <c:numCache>
                  <c:formatCode>General</c:formatCode>
                  <c:ptCount val="1"/>
                  <c:pt idx="0">
                    <c:v>1.1162923757033538E-2</c:v>
                  </c:pt>
                </c:numCache>
              </c:numRef>
            </c:plus>
            <c:minus>
              <c:numRef>
                <c:f>Industry!$O$115</c:f>
                <c:numCache>
                  <c:formatCode>General</c:formatCode>
                  <c:ptCount val="1"/>
                  <c:pt idx="0">
                    <c:v>1.1162923757033538E-2</c:v>
                  </c:pt>
                </c:numCache>
              </c:numRef>
            </c:minus>
          </c:errBars>
          <c:errBars>
            <c:errDir val="y"/>
            <c:errBarType val="both"/>
            <c:errValType val="stdErr"/>
            <c:noEndCap val="0"/>
          </c:errBars>
          <c:xVal>
            <c:numRef>
              <c:f>Industry!$K$115</c:f>
              <c:numCache>
                <c:formatCode>General</c:formatCode>
                <c:ptCount val="1"/>
                <c:pt idx="0">
                  <c:v>0.98788739498028999</c:v>
                </c:pt>
              </c:numCache>
            </c:numRef>
          </c:xVal>
          <c:yVal>
            <c:numRef>
              <c:f>Industry!$M$115</c:f>
              <c:numCache>
                <c:formatCode>General</c:formatCode>
                <c:ptCount val="1"/>
                <c:pt idx="0">
                  <c:v>1</c:v>
                </c:pt>
              </c:numCache>
            </c:numRef>
          </c:yVal>
          <c:smooth val="0"/>
          <c:extLst>
            <c:ext xmlns:c16="http://schemas.microsoft.com/office/drawing/2014/chart" uri="{C3380CC4-5D6E-409C-BE32-E72D297353CC}">
              <c16:uniqueId val="{00000014-3E37-4BDE-B228-4493A0895379}"/>
            </c:ext>
          </c:extLst>
        </c:ser>
        <c:dLbls>
          <c:showLegendKey val="0"/>
          <c:showVal val="0"/>
          <c:showCatName val="0"/>
          <c:showSerName val="0"/>
          <c:showPercent val="0"/>
          <c:showBubbleSize val="0"/>
        </c:dLbls>
        <c:axId val="310787536"/>
        <c:axId val="310427080"/>
      </c:scatterChart>
      <c:valAx>
        <c:axId val="310787536"/>
        <c:scaling>
          <c:orientation val="minMax"/>
        </c:scaling>
        <c:delete val="0"/>
        <c:axPos val="b"/>
        <c:title>
          <c:tx>
            <c:rich>
              <a:bodyPr/>
              <a:lstStyle/>
              <a:p>
                <a:pPr>
                  <a:defRPr sz="900"/>
                </a:pPr>
                <a:r>
                  <a:rPr lang="en-US" sz="900"/>
                  <a:t>2018-2019 / 2020 Rate Ratio (CI)</a:t>
                </a:r>
                <a:r>
                  <a:rPr lang="en-US" sz="900" baseline="30000">
                    <a:latin typeface="Calibri" panose="020F0502020204030204" pitchFamily="34" charset="0"/>
                    <a:cs typeface="Calibri" panose="020F0502020204030204" pitchFamily="34" charset="0"/>
                  </a:rPr>
                  <a:t>‡</a:t>
                </a:r>
                <a:endParaRPr lang="en-US" sz="900" baseline="30000"/>
              </a:p>
            </c:rich>
          </c:tx>
          <c:overlay val="0"/>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0427080"/>
        <c:crosses val="autoZero"/>
        <c:crossBetween val="midCat"/>
      </c:valAx>
      <c:valAx>
        <c:axId val="310427080"/>
        <c:scaling>
          <c:orientation val="minMax"/>
        </c:scaling>
        <c:delete val="0"/>
        <c:axPos val="l"/>
        <c:numFmt formatCode="General" sourceLinked="1"/>
        <c:majorTickMark val="none"/>
        <c:minorTickMark val="none"/>
        <c:tickLblPos val="none"/>
        <c:spPr>
          <a:solidFill>
            <a:schemeClr val="tx1"/>
          </a:solid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787536"/>
        <c:crosses val="autoZero"/>
        <c:crossBetween val="midCat"/>
      </c:valAx>
      <c:spPr>
        <a:noFill/>
        <a:ln>
          <a:noFill/>
        </a:ln>
        <a:effectLst/>
      </c:spPr>
    </c:plotArea>
    <c:legend>
      <c:legendPos val="r"/>
      <c:layout>
        <c:manualLayout>
          <c:xMode val="edge"/>
          <c:yMode val="edge"/>
          <c:x val="1.8518518518518519E-3"/>
          <c:y val="0.12467785628452785"/>
          <c:w val="0.40168708078156906"/>
          <c:h val="0.78648504693646126"/>
        </c:manualLayout>
      </c:layout>
      <c:overlay val="0"/>
      <c:txPr>
        <a:bodyPr/>
        <a:lstStyle/>
        <a:p>
          <a:pPr>
            <a:defRPr sz="800"/>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642396255614801"/>
          <c:y val="5.4987685842860491E-2"/>
          <c:w val="0.61160290490342251"/>
          <c:h val="0.85026214340576955"/>
        </c:manualLayout>
      </c:layout>
      <c:barChart>
        <c:barDir val="bar"/>
        <c:grouping val="clustered"/>
        <c:varyColors val="0"/>
        <c:ser>
          <c:idx val="4"/>
          <c:order val="0"/>
          <c:tx>
            <c:strRef>
              <c:f>Occupation!$M$1</c:f>
              <c:strCache>
                <c:ptCount val="1"/>
                <c:pt idx="0">
                  <c:v>2020</c:v>
                </c:pt>
              </c:strCache>
            </c:strRef>
          </c:tx>
          <c:spPr>
            <a:solidFill>
              <a:srgbClr val="00B0F0"/>
            </a:solidFill>
            <a:ln>
              <a:solidFill>
                <a:schemeClr val="tx1"/>
              </a:solidFill>
            </a:ln>
            <a:effectLst/>
          </c:spPr>
          <c:invertIfNegative val="0"/>
          <c:dPt>
            <c:idx val="0"/>
            <c:invertIfNegative val="0"/>
            <c:bubble3D val="0"/>
            <c:spPr>
              <a:solidFill>
                <a:srgbClr val="00B0F0"/>
              </a:solidFill>
              <a:ln>
                <a:solidFill>
                  <a:schemeClr val="tx1"/>
                </a:solidFill>
              </a:ln>
              <a:effectLst/>
            </c:spPr>
            <c:extLst>
              <c:ext xmlns:c16="http://schemas.microsoft.com/office/drawing/2014/chart" uri="{C3380CC4-5D6E-409C-BE32-E72D297353CC}">
                <c16:uniqueId val="{00000001-6AE0-42B6-9CB3-15A4F546EF90}"/>
              </c:ext>
            </c:extLst>
          </c:dPt>
          <c:dPt>
            <c:idx val="9"/>
            <c:invertIfNegative val="0"/>
            <c:bubble3D val="0"/>
            <c:spPr>
              <a:solidFill>
                <a:srgbClr val="00B0F0"/>
              </a:solidFill>
              <a:ln>
                <a:solidFill>
                  <a:schemeClr val="tx1"/>
                </a:solidFill>
              </a:ln>
              <a:effectLst/>
            </c:spPr>
            <c:extLst>
              <c:ext xmlns:c16="http://schemas.microsoft.com/office/drawing/2014/chart" uri="{C3380CC4-5D6E-409C-BE32-E72D297353CC}">
                <c16:uniqueId val="{00000003-6AE0-42B6-9CB3-15A4F546EF90}"/>
              </c:ext>
            </c:extLst>
          </c:dPt>
          <c:dPt>
            <c:idx val="12"/>
            <c:invertIfNegative val="0"/>
            <c:bubble3D val="0"/>
            <c:spPr>
              <a:solidFill>
                <a:srgbClr val="00B0F0"/>
              </a:solidFill>
              <a:ln>
                <a:solidFill>
                  <a:schemeClr val="tx1"/>
                </a:solidFill>
              </a:ln>
              <a:effectLst/>
            </c:spPr>
            <c:extLst>
              <c:ext xmlns:c16="http://schemas.microsoft.com/office/drawing/2014/chart" uri="{C3380CC4-5D6E-409C-BE32-E72D297353CC}">
                <c16:uniqueId val="{00000005-6AE0-42B6-9CB3-15A4F546EF90}"/>
              </c:ext>
            </c:extLst>
          </c:dPt>
          <c:dPt>
            <c:idx val="13"/>
            <c:invertIfNegative val="0"/>
            <c:bubble3D val="0"/>
            <c:spPr>
              <a:solidFill>
                <a:srgbClr val="00B0F0"/>
              </a:solidFill>
              <a:ln>
                <a:solidFill>
                  <a:schemeClr val="tx1"/>
                </a:solidFill>
              </a:ln>
              <a:effectLst/>
            </c:spPr>
            <c:extLst>
              <c:ext xmlns:c16="http://schemas.microsoft.com/office/drawing/2014/chart" uri="{C3380CC4-5D6E-409C-BE32-E72D297353CC}">
                <c16:uniqueId val="{00000007-6AE0-42B6-9CB3-15A4F546EF90}"/>
              </c:ext>
            </c:extLst>
          </c:dPt>
          <c:dPt>
            <c:idx val="15"/>
            <c:invertIfNegative val="0"/>
            <c:bubble3D val="0"/>
            <c:spPr>
              <a:solidFill>
                <a:srgbClr val="00B0F0"/>
              </a:solidFill>
              <a:ln>
                <a:solidFill>
                  <a:schemeClr val="tx1"/>
                </a:solidFill>
              </a:ln>
              <a:effectLst/>
            </c:spPr>
            <c:extLst>
              <c:ext xmlns:c16="http://schemas.microsoft.com/office/drawing/2014/chart" uri="{C3380CC4-5D6E-409C-BE32-E72D297353CC}">
                <c16:uniqueId val="{00000009-6AE0-42B6-9CB3-15A4F546EF90}"/>
              </c:ext>
            </c:extLst>
          </c:dPt>
          <c:dPt>
            <c:idx val="19"/>
            <c:invertIfNegative val="0"/>
            <c:bubble3D val="0"/>
            <c:spPr>
              <a:solidFill>
                <a:srgbClr val="00B0F0"/>
              </a:solidFill>
              <a:ln>
                <a:solidFill>
                  <a:schemeClr val="tx1"/>
                </a:solidFill>
              </a:ln>
              <a:effectLst/>
            </c:spPr>
            <c:extLst>
              <c:ext xmlns:c16="http://schemas.microsoft.com/office/drawing/2014/chart" uri="{C3380CC4-5D6E-409C-BE32-E72D297353CC}">
                <c16:uniqueId val="{0000000B-6AE0-42B6-9CB3-15A4F546EF90}"/>
              </c:ext>
            </c:extLst>
          </c:dPt>
          <c:dLbls>
            <c:dLbl>
              <c:idx val="0"/>
              <c:tx>
                <c:rich>
                  <a:bodyPr/>
                  <a:lstStyle/>
                  <a:p>
                    <a:fld id="{69DE6813-3DF7-4E04-977A-2A8F379AFE4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AE0-42B6-9CB3-15A4F546EF90}"/>
                </c:ext>
              </c:extLst>
            </c:dLbl>
            <c:dLbl>
              <c:idx val="1"/>
              <c:layout>
                <c:manualLayout>
                  <c:x val="-1.7596777899126718E-3"/>
                  <c:y val="0"/>
                </c:manualLayout>
              </c:layout>
              <c:tx>
                <c:rich>
                  <a:bodyPr/>
                  <a:lstStyle/>
                  <a:p>
                    <a:fld id="{93B05ED4-4528-40BD-AD46-825036BADB3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6AE0-42B6-9CB3-15A4F546EF90}"/>
                </c:ext>
              </c:extLst>
            </c:dLbl>
            <c:dLbl>
              <c:idx val="2"/>
              <c:layout>
                <c:manualLayout>
                  <c:x val="5.1798586355793399E-3"/>
                  <c:y val="-9.6236858517316476E-17"/>
                </c:manualLayout>
              </c:layout>
              <c:tx>
                <c:rich>
                  <a:bodyPr/>
                  <a:lstStyle/>
                  <a:p>
                    <a:fld id="{B93A54E4-EF75-4282-930F-70E326CA91A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6AE0-42B6-9CB3-15A4F546EF90}"/>
                </c:ext>
              </c:extLst>
            </c:dLbl>
            <c:dLbl>
              <c:idx val="3"/>
              <c:tx>
                <c:rich>
                  <a:bodyPr/>
                  <a:lstStyle/>
                  <a:p>
                    <a:fld id="{BC26CE26-22D0-407F-B851-570FD6A7B42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AE0-42B6-9CB3-15A4F546EF90}"/>
                </c:ext>
              </c:extLst>
            </c:dLbl>
            <c:dLbl>
              <c:idx val="4"/>
              <c:tx>
                <c:rich>
                  <a:bodyPr/>
                  <a:lstStyle/>
                  <a:p>
                    <a:fld id="{37AB8056-6788-400E-AA73-64AD98D878C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AE0-42B6-9CB3-15A4F546EF90}"/>
                </c:ext>
              </c:extLst>
            </c:dLbl>
            <c:dLbl>
              <c:idx val="5"/>
              <c:layout>
                <c:manualLayout>
                  <c:x val="1.2896757889006493E-3"/>
                  <c:y val="0"/>
                </c:manualLayout>
              </c:layout>
              <c:tx>
                <c:rich>
                  <a:bodyPr/>
                  <a:lstStyle/>
                  <a:p>
                    <a:fld id="{1AF47420-ED30-4F28-9E5C-3372869D579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6AE0-42B6-9CB3-15A4F546EF90}"/>
                </c:ext>
              </c:extLst>
            </c:dLbl>
            <c:dLbl>
              <c:idx val="6"/>
              <c:layout>
                <c:manualLayout>
                  <c:x val="4.7299341283032698E-3"/>
                  <c:y val="0"/>
                </c:manualLayout>
              </c:layout>
              <c:tx>
                <c:rich>
                  <a:bodyPr/>
                  <a:lstStyle/>
                  <a:p>
                    <a:fld id="{0470F070-01E3-41D2-A3F1-1FD9DEEDB14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6AE0-42B6-9CB3-15A4F546EF90}"/>
                </c:ext>
              </c:extLst>
            </c:dLbl>
            <c:dLbl>
              <c:idx val="7"/>
              <c:layout>
                <c:manualLayout>
                  <c:x val="4.6312983872652096E-4"/>
                  <c:y val="0"/>
                </c:manualLayout>
              </c:layout>
              <c:tx>
                <c:rich>
                  <a:bodyPr/>
                  <a:lstStyle/>
                  <a:p>
                    <a:fld id="{4F622CA1-E3E8-4ADE-87E2-13DBA6C0C6C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6AE0-42B6-9CB3-15A4F546EF90}"/>
                </c:ext>
              </c:extLst>
            </c:dLbl>
            <c:dLbl>
              <c:idx val="8"/>
              <c:layout>
                <c:manualLayout>
                  <c:x val="1.8395026710477762E-2"/>
                  <c:y val="0"/>
                </c:manualLayout>
              </c:layout>
              <c:tx>
                <c:rich>
                  <a:bodyPr/>
                  <a:lstStyle/>
                  <a:p>
                    <a:fld id="{01108AE9-84FC-4358-9CF3-44E987400AA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6AE0-42B6-9CB3-15A4F546EF90}"/>
                </c:ext>
              </c:extLst>
            </c:dLbl>
            <c:dLbl>
              <c:idx val="9"/>
              <c:tx>
                <c:rich>
                  <a:bodyPr/>
                  <a:lstStyle/>
                  <a:p>
                    <a:fld id="{0A6C2F96-F3A9-4C90-8580-1C5270BE8FFB}"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AE0-42B6-9CB3-15A4F546EF90}"/>
                </c:ext>
              </c:extLst>
            </c:dLbl>
            <c:dLbl>
              <c:idx val="10"/>
              <c:layout>
                <c:manualLayout>
                  <c:x val="-3.5492696980088986E-2"/>
                  <c:y val="-2.7045300878972278E-3"/>
                </c:manualLayout>
              </c:layout>
              <c:tx>
                <c:rich>
                  <a:bodyPr/>
                  <a:lstStyle/>
                  <a:p>
                    <a:fld id="{41793716-FE08-473B-9A2C-C6014F9C6A2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6AE0-42B6-9CB3-15A4F546EF90}"/>
                </c:ext>
              </c:extLst>
            </c:dLbl>
            <c:dLbl>
              <c:idx val="11"/>
              <c:layout>
                <c:manualLayout>
                  <c:x val="-4.0654903590974295E-3"/>
                  <c:y val="0"/>
                </c:manualLayout>
              </c:layout>
              <c:tx>
                <c:rich>
                  <a:bodyPr/>
                  <a:lstStyle/>
                  <a:p>
                    <a:fld id="{073B582F-7506-4859-BBB4-C063DC3476F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6AE0-42B6-9CB3-15A4F546EF90}"/>
                </c:ext>
              </c:extLst>
            </c:dLbl>
            <c:dLbl>
              <c:idx val="12"/>
              <c:tx>
                <c:rich>
                  <a:bodyPr/>
                  <a:lstStyle/>
                  <a:p>
                    <a:fld id="{48CA688A-CB91-4651-983F-0AE96F92435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AE0-42B6-9CB3-15A4F546EF90}"/>
                </c:ext>
              </c:extLst>
            </c:dLbl>
            <c:dLbl>
              <c:idx val="13"/>
              <c:tx>
                <c:rich>
                  <a:bodyPr/>
                  <a:lstStyle/>
                  <a:p>
                    <a:fld id="{DEEBE327-53BA-4995-B0E3-7C464E471C6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AE0-42B6-9CB3-15A4F546EF90}"/>
                </c:ext>
              </c:extLst>
            </c:dLbl>
            <c:dLbl>
              <c:idx val="14"/>
              <c:tx>
                <c:rich>
                  <a:bodyPr/>
                  <a:lstStyle/>
                  <a:p>
                    <a:fld id="{0FAD4B72-EA47-4924-8F04-E9B9649D14E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AE0-42B6-9CB3-15A4F546EF90}"/>
                </c:ext>
              </c:extLst>
            </c:dLbl>
            <c:dLbl>
              <c:idx val="15"/>
              <c:layout>
                <c:manualLayout>
                  <c:x val="-0.20008650839582853"/>
                  <c:y val="-2.7045300878972773E-3"/>
                </c:manualLayout>
              </c:layout>
              <c:tx>
                <c:rich>
                  <a:bodyPr rot="0" spcFirstLastPara="1" vertOverflow="ellipsis" vert="horz" wrap="square" lIns="38100" tIns="19050" rIns="38100" bIns="19050" anchor="ctr" anchorCtr="1">
                    <a:noAutofit/>
                  </a:bodyPr>
                  <a:lstStyle/>
                  <a:p>
                    <a:pPr>
                      <a:defRPr sz="750" b="0" i="0" u="none" strike="noStrike" kern="1200" baseline="0">
                        <a:solidFill>
                          <a:sysClr val="windowText" lastClr="000000"/>
                        </a:solidFill>
                        <a:latin typeface="+mn-lt"/>
                        <a:ea typeface="+mn-ea"/>
                        <a:cs typeface="+mn-cs"/>
                      </a:defRPr>
                    </a:pPr>
                    <a:fld id="{239B6D7E-A04A-4DCC-8F3B-6901D89A9426}" type="CELLRANGE">
                      <a:rPr lang="en-US"/>
                      <a:pPr>
                        <a:defRPr sz="750">
                          <a:solidFill>
                            <a:sysClr val="windowText" lastClr="000000"/>
                          </a:solidFill>
                        </a:defRPr>
                      </a:pPr>
                      <a:t>[CELLRANGE]</a:t>
                    </a:fld>
                    <a:endParaRPr lang="en-US"/>
                  </a:p>
                </c:rich>
              </c:tx>
              <c:spPr>
                <a:noFill/>
                <a:ln>
                  <a:noFill/>
                </a:ln>
                <a:effectLst/>
              </c:spPr>
              <c:txPr>
                <a:bodyPr rot="0" spcFirstLastPara="1" vertOverflow="ellipsis" vert="horz" wrap="square" lIns="38100" tIns="19050" rIns="38100" bIns="19050" anchor="ctr" anchorCtr="1">
                  <a:noAutofit/>
                </a:bodyPr>
                <a:lstStyle/>
                <a:p>
                  <a:pPr>
                    <a:defRPr sz="750" b="0" i="0" u="none" strike="noStrike" kern="1200" baseline="0">
                      <a:solidFill>
                        <a:sysClr val="windowText" lastClr="000000"/>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15:layout>
                    <c:manualLayout>
                      <c:w val="3.3199281252673914E-2"/>
                      <c:h val="2.2055549344364409E-2"/>
                    </c:manualLayout>
                  </c15:layout>
                  <c15:dlblFieldTable/>
                  <c15:showDataLabelsRange val="1"/>
                </c:ext>
                <c:ext xmlns:c16="http://schemas.microsoft.com/office/drawing/2014/chart" uri="{C3380CC4-5D6E-409C-BE32-E72D297353CC}">
                  <c16:uniqueId val="{00000009-6AE0-42B6-9CB3-15A4F546EF90}"/>
                </c:ext>
              </c:extLst>
            </c:dLbl>
            <c:dLbl>
              <c:idx val="16"/>
              <c:layout>
                <c:manualLayout>
                  <c:x val="8.2956431164851099E-3"/>
                  <c:y val="0"/>
                </c:manualLayout>
              </c:layout>
              <c:tx>
                <c:rich>
                  <a:bodyPr/>
                  <a:lstStyle/>
                  <a:p>
                    <a:fld id="{AAC28A46-D387-48CB-A49F-5AC163FEAF7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6AE0-42B6-9CB3-15A4F546EF90}"/>
                </c:ext>
              </c:extLst>
            </c:dLbl>
            <c:dLbl>
              <c:idx val="17"/>
              <c:layout>
                <c:manualLayout>
                  <c:x val="4.1428358718785772E-3"/>
                  <c:y val="0"/>
                </c:manualLayout>
              </c:layout>
              <c:tx>
                <c:rich>
                  <a:bodyPr/>
                  <a:lstStyle/>
                  <a:p>
                    <a:fld id="{CCDE2A1E-6F84-4407-BB1E-7F9DEFDBBAB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6AE0-42B6-9CB3-15A4F546EF90}"/>
                </c:ext>
              </c:extLst>
            </c:dLbl>
            <c:dLbl>
              <c:idx val="18"/>
              <c:layout>
                <c:manualLayout>
                  <c:x val="2.8464226689726589E-3"/>
                  <c:y val="0"/>
                </c:manualLayout>
              </c:layout>
              <c:tx>
                <c:rich>
                  <a:bodyPr/>
                  <a:lstStyle/>
                  <a:p>
                    <a:fld id="{F2FCB1A2-18A4-40B2-987F-EA1110443C9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6AE0-42B6-9CB3-15A4F546EF90}"/>
                </c:ext>
              </c:extLst>
            </c:dLbl>
            <c:dLbl>
              <c:idx val="19"/>
              <c:tx>
                <c:rich>
                  <a:bodyPr/>
                  <a:lstStyle/>
                  <a:p>
                    <a:fld id="{66B31FA8-A57A-4400-8EA8-D7D9AACAA55D}"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6AE0-42B6-9CB3-15A4F546EF90}"/>
                </c:ext>
              </c:extLst>
            </c:dLbl>
            <c:dLbl>
              <c:idx val="20"/>
              <c:layout>
                <c:manualLayout>
                  <c:x val="6.2637738007571509E-3"/>
                  <c:y val="0"/>
                </c:manualLayout>
              </c:layout>
              <c:tx>
                <c:rich>
                  <a:bodyPr/>
                  <a:lstStyle/>
                  <a:p>
                    <a:fld id="{4EFC4D4A-FA18-4ECF-879D-58E27B08F96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A-6AE0-42B6-9CB3-15A4F546EF90}"/>
                </c:ext>
              </c:extLst>
            </c:dLbl>
            <c:dLbl>
              <c:idx val="21"/>
              <c:layout>
                <c:manualLayout>
                  <c:x val="2.7421275001700569E-3"/>
                  <c:y val="0"/>
                </c:manualLayout>
              </c:layout>
              <c:tx>
                <c:rich>
                  <a:bodyPr/>
                  <a:lstStyle/>
                  <a:p>
                    <a:fld id="{EC823FC7-6FB4-4F94-9775-290D051BABE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6AE0-42B6-9CB3-15A4F546EF90}"/>
                </c:ext>
              </c:extLst>
            </c:dLbl>
            <c:dLbl>
              <c:idx val="22"/>
              <c:layout>
                <c:manualLayout>
                  <c:x val="-1.9752750380832326E-3"/>
                  <c:y val="0"/>
                </c:manualLayout>
              </c:layout>
              <c:tx>
                <c:rich>
                  <a:bodyPr/>
                  <a:lstStyle/>
                  <a:p>
                    <a:fld id="{CC8BB5E1-7267-4A8B-922C-65F38ACAD95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6AE0-42B6-9CB3-15A4F546EF90}"/>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ysClr val="windowText" lastClr="000000"/>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Occupation!$G$2:$G$24</c:f>
                <c:numCache>
                  <c:formatCode>General</c:formatCode>
                  <c:ptCount val="23"/>
                  <c:pt idx="0">
                    <c:v>15.20126851822276</c:v>
                  </c:pt>
                  <c:pt idx="1">
                    <c:v>7.8104271630957731</c:v>
                  </c:pt>
                  <c:pt idx="2">
                    <c:v>14.454685609237325</c:v>
                  </c:pt>
                  <c:pt idx="3">
                    <c:v>20.735251330234139</c:v>
                  </c:pt>
                  <c:pt idx="4">
                    <c:v>19.915877104323705</c:v>
                  </c:pt>
                  <c:pt idx="5">
                    <c:v>5.9776406587962265</c:v>
                  </c:pt>
                  <c:pt idx="6">
                    <c:v>6.1395754168109455</c:v>
                  </c:pt>
                  <c:pt idx="7">
                    <c:v>9.8378328059884179</c:v>
                  </c:pt>
                  <c:pt idx="8">
                    <c:v>33.124429263846935</c:v>
                  </c:pt>
                  <c:pt idx="9">
                    <c:v>24.626079911707208</c:v>
                  </c:pt>
                  <c:pt idx="10">
                    <c:v>13.613785908482939</c:v>
                  </c:pt>
                  <c:pt idx="11">
                    <c:v>5.1607467284551989</c:v>
                  </c:pt>
                  <c:pt idx="12">
                    <c:v>18.917029592593114</c:v>
                  </c:pt>
                  <c:pt idx="13">
                    <c:v>247.01573486551052</c:v>
                  </c:pt>
                  <c:pt idx="14">
                    <c:v>3.0309269038767903</c:v>
                  </c:pt>
                  <c:pt idx="15">
                    <c:v>29.723724638933255</c:v>
                  </c:pt>
                  <c:pt idx="16">
                    <c:v>4.4197625085731014</c:v>
                  </c:pt>
                  <c:pt idx="17">
                    <c:v>14.461725617740315</c:v>
                  </c:pt>
                  <c:pt idx="18">
                    <c:v>3.5362443058156674</c:v>
                  </c:pt>
                  <c:pt idx="19">
                    <c:v>33.659949941503257</c:v>
                  </c:pt>
                  <c:pt idx="20">
                    <c:v>15.125181082670606</c:v>
                  </c:pt>
                  <c:pt idx="21">
                    <c:v>10.832682746082392</c:v>
                  </c:pt>
                  <c:pt idx="22">
                    <c:v>2.7130529639912746</c:v>
                  </c:pt>
                </c:numCache>
              </c:numRef>
            </c:plus>
            <c:minus>
              <c:numRef>
                <c:f>Occupation!$G$2:$G$24</c:f>
                <c:numCache>
                  <c:formatCode>General</c:formatCode>
                  <c:ptCount val="23"/>
                  <c:pt idx="0">
                    <c:v>15.20126851822276</c:v>
                  </c:pt>
                  <c:pt idx="1">
                    <c:v>7.8104271630957731</c:v>
                  </c:pt>
                  <c:pt idx="2">
                    <c:v>14.454685609237325</c:v>
                  </c:pt>
                  <c:pt idx="3">
                    <c:v>20.735251330234139</c:v>
                  </c:pt>
                  <c:pt idx="4">
                    <c:v>19.915877104323705</c:v>
                  </c:pt>
                  <c:pt idx="5">
                    <c:v>5.9776406587962265</c:v>
                  </c:pt>
                  <c:pt idx="6">
                    <c:v>6.1395754168109455</c:v>
                  </c:pt>
                  <c:pt idx="7">
                    <c:v>9.8378328059884179</c:v>
                  </c:pt>
                  <c:pt idx="8">
                    <c:v>33.124429263846935</c:v>
                  </c:pt>
                  <c:pt idx="9">
                    <c:v>24.626079911707208</c:v>
                  </c:pt>
                  <c:pt idx="10">
                    <c:v>13.613785908482939</c:v>
                  </c:pt>
                  <c:pt idx="11">
                    <c:v>5.1607467284551989</c:v>
                  </c:pt>
                  <c:pt idx="12">
                    <c:v>18.917029592593114</c:v>
                  </c:pt>
                  <c:pt idx="13">
                    <c:v>247.01573486551052</c:v>
                  </c:pt>
                  <c:pt idx="14">
                    <c:v>3.0309269038767903</c:v>
                  </c:pt>
                  <c:pt idx="15">
                    <c:v>29.723724638933255</c:v>
                  </c:pt>
                  <c:pt idx="16">
                    <c:v>4.4197625085731014</c:v>
                  </c:pt>
                  <c:pt idx="17">
                    <c:v>14.461725617740315</c:v>
                  </c:pt>
                  <c:pt idx="18">
                    <c:v>3.5362443058156674</c:v>
                  </c:pt>
                  <c:pt idx="19">
                    <c:v>33.659949941503257</c:v>
                  </c:pt>
                  <c:pt idx="20">
                    <c:v>15.125181082670606</c:v>
                  </c:pt>
                  <c:pt idx="21">
                    <c:v>10.832682746082392</c:v>
                  </c:pt>
                  <c:pt idx="22">
                    <c:v>2.7130529639912746</c:v>
                  </c:pt>
                </c:numCache>
              </c:numRef>
            </c:minus>
            <c:spPr>
              <a:noFill/>
              <a:ln w="9525" cap="flat" cmpd="sng" algn="ctr">
                <a:solidFill>
                  <a:schemeClr val="tx1">
                    <a:lumMod val="65000"/>
                    <a:lumOff val="35000"/>
                  </a:schemeClr>
                </a:solidFill>
                <a:round/>
              </a:ln>
              <a:effectLst/>
            </c:spPr>
          </c:errBars>
          <c:cat>
            <c:strRef>
              <c:f>Occupation!$A$2:$A$24</c:f>
              <c:strCache>
                <c:ptCount val="23"/>
                <c:pt idx="0">
                  <c:v>Transportation and Material Moving‡</c:v>
                </c:pt>
                <c:pt idx="1">
                  <c:v>Sales and Related </c:v>
                </c:pt>
                <c:pt idx="2">
                  <c:v>Protective Service</c:v>
                </c:pt>
                <c:pt idx="3">
                  <c:v>Production‡</c:v>
                </c:pt>
                <c:pt idx="4">
                  <c:v>Personal Care and Service‡</c:v>
                </c:pt>
                <c:pt idx="5">
                  <c:v>Office and Administrative Support</c:v>
                </c:pt>
                <c:pt idx="6">
                  <c:v>Management</c:v>
                </c:pt>
                <c:pt idx="7">
                  <c:v>Life, Physical and Social Science</c:v>
                </c:pt>
                <c:pt idx="8">
                  <c:v>Legal</c:v>
                </c:pt>
                <c:pt idx="9">
                  <c:v>Installation, Maintenance, and Repair‡</c:v>
                </c:pt>
                <c:pt idx="10">
                  <c:v>Healthcare Support</c:v>
                </c:pt>
                <c:pt idx="11">
                  <c:v>Healthcare Practitioner and Technical</c:v>
                </c:pt>
                <c:pt idx="12">
                  <c:v>Food Preparation and Serving Related‡</c:v>
                </c:pt>
                <c:pt idx="13">
                  <c:v>Farming, Fishing, and Forestry‡₸</c:v>
                </c:pt>
                <c:pt idx="14">
                  <c:v>Education, Training, and Library</c:v>
                </c:pt>
                <c:pt idx="15">
                  <c:v>Construction and Extraction‡</c:v>
                </c:pt>
                <c:pt idx="16">
                  <c:v>Computer and Mathematical</c:v>
                </c:pt>
                <c:pt idx="17">
                  <c:v>Community and Social Services</c:v>
                </c:pt>
                <c:pt idx="18">
                  <c:v>Business and Financial Operations</c:v>
                </c:pt>
                <c:pt idx="19">
                  <c:v>Building and Grounds Cleaning and Maintenance‡</c:v>
                </c:pt>
                <c:pt idx="20">
                  <c:v>Arts, Design, Entertainment, Sports and Media</c:v>
                </c:pt>
                <c:pt idx="21">
                  <c:v>Architecture and Engineering</c:v>
                </c:pt>
                <c:pt idx="22">
                  <c:v>All Occupations†</c:v>
                </c:pt>
              </c:strCache>
            </c:strRef>
          </c:cat>
          <c:val>
            <c:numRef>
              <c:f>Occupation!$F$2:$F$24</c:f>
              <c:numCache>
                <c:formatCode>General</c:formatCode>
                <c:ptCount val="23"/>
                <c:pt idx="0">
                  <c:v>103.18353260774518</c:v>
                </c:pt>
                <c:pt idx="1">
                  <c:v>47.150112486696933</c:v>
                </c:pt>
                <c:pt idx="2">
                  <c:v>32.146180526182214</c:v>
                </c:pt>
                <c:pt idx="3">
                  <c:v>92.227413385110125</c:v>
                </c:pt>
                <c:pt idx="4">
                  <c:v>86.220316859664464</c:v>
                </c:pt>
                <c:pt idx="5">
                  <c:v>30.345292648163191</c:v>
                </c:pt>
                <c:pt idx="6">
                  <c:v>27.841704053258717</c:v>
                </c:pt>
                <c:pt idx="7">
                  <c:v>14.19673120264059</c:v>
                </c:pt>
                <c:pt idx="8">
                  <c:v>37.790038545839316</c:v>
                </c:pt>
                <c:pt idx="9">
                  <c:v>117.19223567762705</c:v>
                </c:pt>
                <c:pt idx="10">
                  <c:v>55.130650891716407</c:v>
                </c:pt>
                <c:pt idx="11">
                  <c:v>15.79820427078122</c:v>
                </c:pt>
                <c:pt idx="12">
                  <c:v>130.20647025998369</c:v>
                </c:pt>
                <c:pt idx="13">
                  <c:v>654.86296386126605</c:v>
                </c:pt>
                <c:pt idx="14">
                  <c:v>5.9891476644320489</c:v>
                </c:pt>
                <c:pt idx="15">
                  <c:v>310.79341117968295</c:v>
                </c:pt>
                <c:pt idx="16">
                  <c:v>7.8114828798333553</c:v>
                </c:pt>
                <c:pt idx="17">
                  <c:v>41.081367611979857</c:v>
                </c:pt>
                <c:pt idx="18">
                  <c:v>8.2679118404371756</c:v>
                </c:pt>
                <c:pt idx="19">
                  <c:v>177.64348446864676</c:v>
                </c:pt>
                <c:pt idx="20">
                  <c:v>42.966042966042963</c:v>
                </c:pt>
                <c:pt idx="21">
                  <c:v>18.330583745771467</c:v>
                </c:pt>
                <c:pt idx="22">
                  <c:v>57.373821841258852</c:v>
                </c:pt>
              </c:numCache>
            </c:numRef>
          </c:val>
          <c:extLst>
            <c:ext xmlns:c15="http://schemas.microsoft.com/office/drawing/2012/chart" uri="{02D57815-91ED-43cb-92C2-25804820EDAC}">
              <c15:datalabelsRange>
                <c15:f>Occupation!$M$2:$M$24</c15:f>
                <c15:dlblRangeCache>
                  <c:ptCount val="23"/>
                  <c:pt idx="0">
                    <c:v>177</c:v>
                  </c:pt>
                  <c:pt idx="1">
                    <c:v>140</c:v>
                  </c:pt>
                  <c:pt idx="2">
                    <c:v>19</c:v>
                  </c:pt>
                  <c:pt idx="3">
                    <c:v>76</c:v>
                  </c:pt>
                  <c:pt idx="4">
                    <c:v>72</c:v>
                  </c:pt>
                  <c:pt idx="5">
                    <c:v>99</c:v>
                  </c:pt>
                  <c:pt idx="6">
                    <c:v>79</c:v>
                  </c:pt>
                  <c:pt idx="7">
                    <c:v>8</c:v>
                  </c:pt>
                  <c:pt idx="8">
                    <c:v>5</c:v>
                  </c:pt>
                  <c:pt idx="9">
                    <c:v>87</c:v>
                  </c:pt>
                  <c:pt idx="10">
                    <c:v>63</c:v>
                  </c:pt>
                  <c:pt idx="11">
                    <c:v>36</c:v>
                  </c:pt>
                  <c:pt idx="12">
                    <c:v>182</c:v>
                  </c:pt>
                  <c:pt idx="13">
                    <c:v>27</c:v>
                  </c:pt>
                  <c:pt idx="14">
                    <c:v>15</c:v>
                  </c:pt>
                  <c:pt idx="15">
                    <c:v>420</c:v>
                  </c:pt>
                  <c:pt idx="16">
                    <c:v>12</c:v>
                  </c:pt>
                  <c:pt idx="17">
                    <c:v>31</c:v>
                  </c:pt>
                  <c:pt idx="18">
                    <c:v>21</c:v>
                  </c:pt>
                  <c:pt idx="19">
                    <c:v>107</c:v>
                  </c:pt>
                  <c:pt idx="20">
                    <c:v>31</c:v>
                  </c:pt>
                  <c:pt idx="21">
                    <c:v>11</c:v>
                  </c:pt>
                  <c:pt idx="22">
                    <c:v>1,736</c:v>
                  </c:pt>
                </c15:dlblRangeCache>
              </c15:datalabelsRange>
            </c:ext>
            <c:ext xmlns:c16="http://schemas.microsoft.com/office/drawing/2014/chart" uri="{C3380CC4-5D6E-409C-BE32-E72D297353CC}">
              <c16:uniqueId val="{0000001D-6AE0-42B6-9CB3-15A4F546EF90}"/>
            </c:ext>
          </c:extLst>
        </c:ser>
        <c:ser>
          <c:idx val="2"/>
          <c:order val="1"/>
          <c:tx>
            <c:strRef>
              <c:f>Occupation!$L$1</c:f>
              <c:strCache>
                <c:ptCount val="1"/>
                <c:pt idx="0">
                  <c:v>2018-2019</c:v>
                </c:pt>
              </c:strCache>
            </c:strRef>
          </c:tx>
          <c:spPr>
            <a:solidFill>
              <a:srgbClr val="002060"/>
            </a:solidFill>
            <a:ln>
              <a:solidFill>
                <a:schemeClr val="tx1"/>
              </a:solidFill>
            </a:ln>
            <a:effectLst/>
          </c:spPr>
          <c:invertIfNegative val="0"/>
          <c:dPt>
            <c:idx val="0"/>
            <c:invertIfNegative val="0"/>
            <c:bubble3D val="0"/>
            <c:spPr>
              <a:solidFill>
                <a:srgbClr val="002060"/>
              </a:solidFill>
              <a:ln>
                <a:solidFill>
                  <a:schemeClr val="tx1"/>
                </a:solidFill>
              </a:ln>
              <a:effectLst/>
            </c:spPr>
            <c:extLst>
              <c:ext xmlns:c16="http://schemas.microsoft.com/office/drawing/2014/chart" uri="{C3380CC4-5D6E-409C-BE32-E72D297353CC}">
                <c16:uniqueId val="{0000001F-6AE0-42B6-9CB3-15A4F546EF90}"/>
              </c:ext>
            </c:extLst>
          </c:dPt>
          <c:dPt>
            <c:idx val="3"/>
            <c:invertIfNegative val="0"/>
            <c:bubble3D val="0"/>
            <c:spPr>
              <a:solidFill>
                <a:srgbClr val="002060"/>
              </a:solidFill>
              <a:ln>
                <a:solidFill>
                  <a:schemeClr val="tx1"/>
                </a:solidFill>
              </a:ln>
              <a:effectLst/>
            </c:spPr>
            <c:extLst>
              <c:ext xmlns:c16="http://schemas.microsoft.com/office/drawing/2014/chart" uri="{C3380CC4-5D6E-409C-BE32-E72D297353CC}">
                <c16:uniqueId val="{00000021-6AE0-42B6-9CB3-15A4F546EF90}"/>
              </c:ext>
            </c:extLst>
          </c:dPt>
          <c:dPt>
            <c:idx val="9"/>
            <c:invertIfNegative val="0"/>
            <c:bubble3D val="0"/>
            <c:spPr>
              <a:solidFill>
                <a:srgbClr val="002060"/>
              </a:solidFill>
              <a:ln>
                <a:solidFill>
                  <a:schemeClr val="tx1"/>
                </a:solidFill>
              </a:ln>
              <a:effectLst/>
            </c:spPr>
            <c:extLst>
              <c:ext xmlns:c16="http://schemas.microsoft.com/office/drawing/2014/chart" uri="{C3380CC4-5D6E-409C-BE32-E72D297353CC}">
                <c16:uniqueId val="{00000023-6AE0-42B6-9CB3-15A4F546EF90}"/>
              </c:ext>
            </c:extLst>
          </c:dPt>
          <c:dPt>
            <c:idx val="12"/>
            <c:invertIfNegative val="0"/>
            <c:bubble3D val="0"/>
            <c:spPr>
              <a:solidFill>
                <a:srgbClr val="002060"/>
              </a:solidFill>
              <a:ln>
                <a:solidFill>
                  <a:schemeClr val="tx1"/>
                </a:solidFill>
              </a:ln>
              <a:effectLst/>
            </c:spPr>
            <c:extLst>
              <c:ext xmlns:c16="http://schemas.microsoft.com/office/drawing/2014/chart" uri="{C3380CC4-5D6E-409C-BE32-E72D297353CC}">
                <c16:uniqueId val="{00000025-6AE0-42B6-9CB3-15A4F546EF90}"/>
              </c:ext>
            </c:extLst>
          </c:dPt>
          <c:dPt>
            <c:idx val="13"/>
            <c:invertIfNegative val="0"/>
            <c:bubble3D val="0"/>
            <c:spPr>
              <a:solidFill>
                <a:srgbClr val="002060"/>
              </a:solidFill>
              <a:ln>
                <a:solidFill>
                  <a:schemeClr val="tx1"/>
                </a:solidFill>
              </a:ln>
              <a:effectLst/>
            </c:spPr>
            <c:extLst>
              <c:ext xmlns:c16="http://schemas.microsoft.com/office/drawing/2014/chart" uri="{C3380CC4-5D6E-409C-BE32-E72D297353CC}">
                <c16:uniqueId val="{00000027-6AE0-42B6-9CB3-15A4F546EF90}"/>
              </c:ext>
            </c:extLst>
          </c:dPt>
          <c:dPt>
            <c:idx val="15"/>
            <c:invertIfNegative val="0"/>
            <c:bubble3D val="0"/>
            <c:spPr>
              <a:solidFill>
                <a:srgbClr val="002060"/>
              </a:solidFill>
              <a:ln>
                <a:solidFill>
                  <a:schemeClr val="tx1"/>
                </a:solidFill>
              </a:ln>
              <a:effectLst/>
            </c:spPr>
            <c:extLst>
              <c:ext xmlns:c16="http://schemas.microsoft.com/office/drawing/2014/chart" uri="{C3380CC4-5D6E-409C-BE32-E72D297353CC}">
                <c16:uniqueId val="{00000029-6AE0-42B6-9CB3-15A4F546EF90}"/>
              </c:ext>
            </c:extLst>
          </c:dPt>
          <c:dPt>
            <c:idx val="19"/>
            <c:invertIfNegative val="0"/>
            <c:bubble3D val="0"/>
            <c:spPr>
              <a:solidFill>
                <a:srgbClr val="002060"/>
              </a:solidFill>
              <a:ln>
                <a:solidFill>
                  <a:schemeClr val="tx1"/>
                </a:solidFill>
              </a:ln>
              <a:effectLst/>
            </c:spPr>
            <c:extLst>
              <c:ext xmlns:c16="http://schemas.microsoft.com/office/drawing/2014/chart" uri="{C3380CC4-5D6E-409C-BE32-E72D297353CC}">
                <c16:uniqueId val="{0000002B-6AE0-42B6-9CB3-15A4F546EF90}"/>
              </c:ext>
            </c:extLst>
          </c:dPt>
          <c:dLbls>
            <c:dLbl>
              <c:idx val="0"/>
              <c:tx>
                <c:rich>
                  <a:bodyPr/>
                  <a:lstStyle/>
                  <a:p>
                    <a:fld id="{DD62FC05-10A1-42F3-A857-C320204A16A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6AE0-42B6-9CB3-15A4F546EF90}"/>
                </c:ext>
              </c:extLst>
            </c:dLbl>
            <c:dLbl>
              <c:idx val="1"/>
              <c:layout>
                <c:manualLayout>
                  <c:x val="2.9203994747511413E-3"/>
                  <c:y val="-9.6236858517316476E-17"/>
                </c:manualLayout>
              </c:layout>
              <c:tx>
                <c:rich>
                  <a:bodyPr/>
                  <a:lstStyle/>
                  <a:p>
                    <a:fld id="{70388077-2BA6-4419-9254-490DF2F745CF}"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C-6AE0-42B6-9CB3-15A4F546EF90}"/>
                </c:ext>
              </c:extLst>
            </c:dLbl>
            <c:dLbl>
              <c:idx val="2"/>
              <c:layout>
                <c:manualLayout>
                  <c:x val="8.727376605946845E-3"/>
                  <c:y val="-9.6236858517316476E-17"/>
                </c:manualLayout>
              </c:layout>
              <c:tx>
                <c:rich>
                  <a:bodyPr/>
                  <a:lstStyle/>
                  <a:p>
                    <a:fld id="{AAA26BA5-6BBF-4E24-ABC1-B9D044B62BD0}"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D-6AE0-42B6-9CB3-15A4F546EF90}"/>
                </c:ext>
              </c:extLst>
            </c:dLbl>
            <c:dLbl>
              <c:idx val="3"/>
              <c:tx>
                <c:rich>
                  <a:bodyPr/>
                  <a:lstStyle/>
                  <a:p>
                    <a:fld id="{02099438-405D-4759-8B6B-37E4F8C40B74}"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6AE0-42B6-9CB3-15A4F546EF90}"/>
                </c:ext>
              </c:extLst>
            </c:dLbl>
            <c:dLbl>
              <c:idx val="4"/>
              <c:tx>
                <c:rich>
                  <a:bodyPr/>
                  <a:lstStyle/>
                  <a:p>
                    <a:fld id="{732631C8-8375-4800-B24D-8204DB913E7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6AE0-42B6-9CB3-15A4F546EF90}"/>
                </c:ext>
              </c:extLst>
            </c:dLbl>
            <c:dLbl>
              <c:idx val="5"/>
              <c:layout>
                <c:manualLayout>
                  <c:x val="-3.6686566741834375E-3"/>
                  <c:y val="-9.6236858517316476E-17"/>
                </c:manualLayout>
              </c:layout>
              <c:tx>
                <c:rich>
                  <a:bodyPr/>
                  <a:lstStyle/>
                  <a:p>
                    <a:fld id="{31F4D0C1-F53E-4DE3-9363-34C3896FB278}"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F-6AE0-42B6-9CB3-15A4F546EF90}"/>
                </c:ext>
              </c:extLst>
            </c:dLbl>
            <c:dLbl>
              <c:idx val="6"/>
              <c:layout>
                <c:manualLayout>
                  <c:x val="7.7425014266474159E-3"/>
                  <c:y val="0"/>
                </c:manualLayout>
              </c:layout>
              <c:tx>
                <c:rich>
                  <a:bodyPr/>
                  <a:lstStyle/>
                  <a:p>
                    <a:fld id="{DA0617EE-5A30-4629-9B2F-339C8D077B88}"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0-6AE0-42B6-9CB3-15A4F546EF90}"/>
                </c:ext>
              </c:extLst>
            </c:dLbl>
            <c:dLbl>
              <c:idx val="7"/>
              <c:layout>
                <c:manualLayout>
                  <c:x val="-2.9197257333506707E-3"/>
                  <c:y val="0"/>
                </c:manualLayout>
              </c:layout>
              <c:tx>
                <c:rich>
                  <a:bodyPr/>
                  <a:lstStyle/>
                  <a:p>
                    <a:fld id="{7526F439-7A90-4F8D-99B6-3AEA05B2FBA8}"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1-6AE0-42B6-9CB3-15A4F546EF90}"/>
                </c:ext>
              </c:extLst>
            </c:dLbl>
            <c:dLbl>
              <c:idx val="8"/>
              <c:layout>
                <c:manualLayout>
                  <c:x val="2.5204126800826544E-2"/>
                  <c:y val="0"/>
                </c:manualLayout>
              </c:layout>
              <c:tx>
                <c:rich>
                  <a:bodyPr/>
                  <a:lstStyle/>
                  <a:p>
                    <a:fld id="{894AD289-5759-407D-B836-E3300D2B0C75}"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2-6AE0-42B6-9CB3-15A4F546EF90}"/>
                </c:ext>
              </c:extLst>
            </c:dLbl>
            <c:dLbl>
              <c:idx val="9"/>
              <c:tx>
                <c:rich>
                  <a:bodyPr/>
                  <a:lstStyle/>
                  <a:p>
                    <a:fld id="{73D53A35-3E71-41F0-BA5D-641F7B4A10B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6AE0-42B6-9CB3-15A4F546EF90}"/>
                </c:ext>
              </c:extLst>
            </c:dLbl>
            <c:dLbl>
              <c:idx val="10"/>
              <c:tx>
                <c:rich>
                  <a:bodyPr/>
                  <a:lstStyle/>
                  <a:p>
                    <a:fld id="{6CF33D86-774F-4BFF-A5BA-1BCA9C12AB0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3-6AE0-42B6-9CB3-15A4F546EF90}"/>
                </c:ext>
              </c:extLst>
            </c:dLbl>
            <c:dLbl>
              <c:idx val="11"/>
              <c:layout>
                <c:manualLayout>
                  <c:x val="-4.4899474414333441E-3"/>
                  <c:y val="-9.6236858517316476E-17"/>
                </c:manualLayout>
              </c:layout>
              <c:tx>
                <c:rich>
                  <a:bodyPr/>
                  <a:lstStyle/>
                  <a:p>
                    <a:fld id="{DCA0EDBF-EF98-4E0A-9B68-B5C0ECD257C0}"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4-6AE0-42B6-9CB3-15A4F546EF90}"/>
                </c:ext>
              </c:extLst>
            </c:dLbl>
            <c:dLbl>
              <c:idx val="12"/>
              <c:tx>
                <c:rich>
                  <a:bodyPr/>
                  <a:lstStyle/>
                  <a:p>
                    <a:fld id="{B9265799-2581-47E9-ABC7-53C8341AE53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6AE0-42B6-9CB3-15A4F546EF90}"/>
                </c:ext>
              </c:extLst>
            </c:dLbl>
            <c:dLbl>
              <c:idx val="13"/>
              <c:tx>
                <c:rich>
                  <a:bodyPr/>
                  <a:lstStyle/>
                  <a:p>
                    <a:fld id="{1A6E8FCC-4F50-4E4F-958F-636CF690520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6AE0-42B6-9CB3-15A4F546EF90}"/>
                </c:ext>
              </c:extLst>
            </c:dLbl>
            <c:dLbl>
              <c:idx val="14"/>
              <c:tx>
                <c:rich>
                  <a:bodyPr rot="0" spcFirstLastPara="1" vertOverflow="ellipsis" vert="horz" wrap="square" lIns="38100" tIns="19050" rIns="38100" bIns="19050" anchor="ctr" anchorCtr="1">
                    <a:spAutoFit/>
                  </a:bodyPr>
                  <a:lstStyle/>
                  <a:p>
                    <a:pPr>
                      <a:defRPr sz="750" b="0" i="0" u="none" strike="noStrike" kern="1200" baseline="0">
                        <a:solidFill>
                          <a:sysClr val="windowText" lastClr="000000"/>
                        </a:solidFill>
                        <a:latin typeface="+mn-lt"/>
                        <a:ea typeface="+mn-ea"/>
                        <a:cs typeface="+mn-cs"/>
                      </a:defRPr>
                    </a:pPr>
                    <a:fld id="{1A505B6E-E49C-42F4-BE70-1DD7707FFEBE}" type="CELLRANGE">
                      <a:rPr lang="en-US"/>
                      <a:pPr>
                        <a:defRPr sz="750">
                          <a:solidFill>
                            <a:sysClr val="windowText" lastClr="000000"/>
                          </a:solidFill>
                        </a:defRPr>
                      </a:pPr>
                      <a:t>[CELLRANGE]</a:t>
                    </a:fld>
                    <a:endParaRPr lang="en-US"/>
                  </a:p>
                </c:rich>
              </c:tx>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ysClr val="windowText" lastClr="000000"/>
                      </a:solidFill>
                      <a:latin typeface="+mn-lt"/>
                      <a:ea typeface="+mn-ea"/>
                      <a:cs typeface="+mn-cs"/>
                    </a:defRPr>
                  </a:pPr>
                  <a:endParaRPr lang="en-US"/>
                </a:p>
              </c:txPr>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5-6AE0-42B6-9CB3-15A4F546EF90}"/>
                </c:ext>
              </c:extLst>
            </c:dLbl>
            <c:dLbl>
              <c:idx val="15"/>
              <c:tx>
                <c:rich>
                  <a:bodyPr/>
                  <a:lstStyle/>
                  <a:p>
                    <a:fld id="{2AE3E0C2-5563-4817-A967-7BD9C9389952}"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6AE0-42B6-9CB3-15A4F546EF90}"/>
                </c:ext>
              </c:extLst>
            </c:dLbl>
            <c:dLbl>
              <c:idx val="16"/>
              <c:layout>
                <c:manualLayout>
                  <c:x val="7.7039634185369164E-3"/>
                  <c:y val="0"/>
                </c:manualLayout>
              </c:layout>
              <c:tx>
                <c:rich>
                  <a:bodyPr/>
                  <a:lstStyle/>
                  <a:p>
                    <a:fld id="{AF7DEEBC-E249-4DE7-8C4F-947990D62F76}"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6-6AE0-42B6-9CB3-15A4F546EF90}"/>
                </c:ext>
              </c:extLst>
            </c:dLbl>
            <c:dLbl>
              <c:idx val="17"/>
              <c:layout>
                <c:manualLayout>
                  <c:x val="1.2223690229873766E-2"/>
                  <c:y val="-4.0808283912184285E-17"/>
                </c:manualLayout>
              </c:layout>
              <c:tx>
                <c:rich>
                  <a:bodyPr/>
                  <a:lstStyle/>
                  <a:p>
                    <a:fld id="{19A1B308-F1B5-468F-822F-9D24C1A860E0}"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7-6AE0-42B6-9CB3-15A4F546EF90}"/>
                </c:ext>
              </c:extLst>
            </c:dLbl>
            <c:dLbl>
              <c:idx val="18"/>
              <c:layout>
                <c:manualLayout>
                  <c:x val="3.7022089959299282E-3"/>
                  <c:y val="0"/>
                </c:manualLayout>
              </c:layout>
              <c:tx>
                <c:rich>
                  <a:bodyPr/>
                  <a:lstStyle/>
                  <a:p>
                    <a:fld id="{33F70D4E-8E71-4A01-A92E-AF57BA58E77E}"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8-6AE0-42B6-9CB3-15A4F546EF90}"/>
                </c:ext>
              </c:extLst>
            </c:dLbl>
            <c:dLbl>
              <c:idx val="19"/>
              <c:tx>
                <c:rich>
                  <a:bodyPr/>
                  <a:lstStyle/>
                  <a:p>
                    <a:fld id="{BADC3C0F-2483-4271-A4D7-522FABB54C23}"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6AE0-42B6-9CB3-15A4F546EF90}"/>
                </c:ext>
              </c:extLst>
            </c:dLbl>
            <c:dLbl>
              <c:idx val="20"/>
              <c:layout>
                <c:manualLayout>
                  <c:x val="1.1808126534024951E-2"/>
                  <c:y val="0"/>
                </c:manualLayout>
              </c:layout>
              <c:tx>
                <c:rich>
                  <a:bodyPr/>
                  <a:lstStyle/>
                  <a:p>
                    <a:fld id="{768DE2CD-46D8-4A01-AB7F-970E6F223DF3}"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9-6AE0-42B6-9CB3-15A4F546EF90}"/>
                </c:ext>
              </c:extLst>
            </c:dLbl>
            <c:dLbl>
              <c:idx val="21"/>
              <c:layout>
                <c:manualLayout>
                  <c:x val="6.7681366131962404E-3"/>
                  <c:y val="-1.0202070978046071E-17"/>
                </c:manualLayout>
              </c:layout>
              <c:tx>
                <c:rich>
                  <a:bodyPr/>
                  <a:lstStyle/>
                  <a:p>
                    <a:fld id="{436F4F99-F035-40DF-9CAD-2ABB4044B512}" type="CELLRANGE">
                      <a:rPr lang="en-US">
                        <a:solidFill>
                          <a:sysClr val="windowText" lastClr="000000"/>
                        </a:solidFill>
                      </a:rPr>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A-6AE0-42B6-9CB3-15A4F546EF90}"/>
                </c:ext>
              </c:extLst>
            </c:dLbl>
            <c:dLbl>
              <c:idx val="22"/>
              <c:layout>
                <c:manualLayout>
                  <c:x val="2.5253175174785362E-3"/>
                  <c:y val="-5.5413860317823688E-18"/>
                </c:manualLayout>
              </c:layout>
              <c:tx>
                <c:rich>
                  <a:bodyPr rot="0" spcFirstLastPara="1" vertOverflow="ellipsis" vert="horz" wrap="square" lIns="38100" tIns="19050" rIns="38100" bIns="19050" anchor="ctr" anchorCtr="1">
                    <a:spAutoFit/>
                  </a:bodyPr>
                  <a:lstStyle/>
                  <a:p>
                    <a:pPr>
                      <a:defRPr sz="750" b="0" i="0" u="none" strike="noStrike" kern="1200" baseline="0">
                        <a:solidFill>
                          <a:sysClr val="windowText" lastClr="000000"/>
                        </a:solidFill>
                        <a:latin typeface="+mn-lt"/>
                        <a:ea typeface="+mn-ea"/>
                        <a:cs typeface="+mn-cs"/>
                      </a:defRPr>
                    </a:pPr>
                    <a:fld id="{C2D53BC6-8973-4DDB-B296-0DE8BF3EC5F9}" type="CELLRANGE">
                      <a:rPr lang="en-US"/>
                      <a:pPr>
                        <a:defRPr sz="750">
                          <a:solidFill>
                            <a:sysClr val="windowText" lastClr="000000"/>
                          </a:solidFill>
                        </a:defRPr>
                      </a:pPr>
                      <a:t>[CELLRANGE]</a:t>
                    </a:fld>
                    <a:endParaRPr lang="en-US"/>
                  </a:p>
                </c:rich>
              </c:tx>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ysClr val="windowText" lastClr="000000"/>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B-6AE0-42B6-9CB3-15A4F546EF90}"/>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bg1"/>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Occupation!$E$2:$E$24</c:f>
                <c:numCache>
                  <c:formatCode>General</c:formatCode>
                  <c:ptCount val="23"/>
                  <c:pt idx="0">
                    <c:v>11.452604062182976</c:v>
                  </c:pt>
                  <c:pt idx="1">
                    <c:v>6.6836010738011549</c:v>
                  </c:pt>
                  <c:pt idx="2">
                    <c:v>11.661561254876533</c:v>
                  </c:pt>
                  <c:pt idx="3">
                    <c:v>16.467701501984944</c:v>
                  </c:pt>
                  <c:pt idx="4">
                    <c:v>15.219524321992564</c:v>
                  </c:pt>
                  <c:pt idx="5">
                    <c:v>5.9397633476394072</c:v>
                  </c:pt>
                  <c:pt idx="6">
                    <c:v>4.769078294879205</c:v>
                  </c:pt>
                  <c:pt idx="7">
                    <c:v>8.6388281532407607</c:v>
                  </c:pt>
                  <c:pt idx="8">
                    <c:v>17.0200622610168</c:v>
                  </c:pt>
                  <c:pt idx="9">
                    <c:v>24.06203749803916</c:v>
                  </c:pt>
                  <c:pt idx="10">
                    <c:v>10.451363690739806</c:v>
                  </c:pt>
                  <c:pt idx="11">
                    <c:v>4.6840713610790568</c:v>
                  </c:pt>
                  <c:pt idx="12">
                    <c:v>12.651944995627996</c:v>
                  </c:pt>
                  <c:pt idx="13">
                    <c:v>184.5690412978058</c:v>
                  </c:pt>
                  <c:pt idx="14">
                    <c:v>3.2251603007378882</c:v>
                  </c:pt>
                  <c:pt idx="15">
                    <c:v>25.766769470239979</c:v>
                  </c:pt>
                  <c:pt idx="16">
                    <c:v>3.836800974313276</c:v>
                  </c:pt>
                  <c:pt idx="17">
                    <c:v>12.007498161405323</c:v>
                  </c:pt>
                  <c:pt idx="18">
                    <c:v>3.885262719068896</c:v>
                  </c:pt>
                  <c:pt idx="19">
                    <c:v>21.934491853019246</c:v>
                  </c:pt>
                  <c:pt idx="20">
                    <c:v>12.827205922291302</c:v>
                  </c:pt>
                  <c:pt idx="21">
                    <c:v>9.6776013625140216</c:v>
                  </c:pt>
                  <c:pt idx="22">
                    <c:v>2.3326208936373694</c:v>
                  </c:pt>
                </c:numCache>
              </c:numRef>
            </c:plus>
            <c:minus>
              <c:numRef>
                <c:f>Occupation!$E$2:$E$24</c:f>
                <c:numCache>
                  <c:formatCode>General</c:formatCode>
                  <c:ptCount val="23"/>
                  <c:pt idx="0">
                    <c:v>11.452604062182976</c:v>
                  </c:pt>
                  <c:pt idx="1">
                    <c:v>6.6836010738011549</c:v>
                  </c:pt>
                  <c:pt idx="2">
                    <c:v>11.661561254876533</c:v>
                  </c:pt>
                  <c:pt idx="3">
                    <c:v>16.467701501984944</c:v>
                  </c:pt>
                  <c:pt idx="4">
                    <c:v>15.219524321992564</c:v>
                  </c:pt>
                  <c:pt idx="5">
                    <c:v>5.9397633476394072</c:v>
                  </c:pt>
                  <c:pt idx="6">
                    <c:v>4.769078294879205</c:v>
                  </c:pt>
                  <c:pt idx="7">
                    <c:v>8.6388281532407607</c:v>
                  </c:pt>
                  <c:pt idx="8">
                    <c:v>17.0200622610168</c:v>
                  </c:pt>
                  <c:pt idx="9">
                    <c:v>24.06203749803916</c:v>
                  </c:pt>
                  <c:pt idx="10">
                    <c:v>10.451363690739806</c:v>
                  </c:pt>
                  <c:pt idx="11">
                    <c:v>4.6840713610790568</c:v>
                  </c:pt>
                  <c:pt idx="12">
                    <c:v>12.651944995627996</c:v>
                  </c:pt>
                  <c:pt idx="13">
                    <c:v>184.5690412978058</c:v>
                  </c:pt>
                  <c:pt idx="14">
                    <c:v>3.2251603007378882</c:v>
                  </c:pt>
                  <c:pt idx="15">
                    <c:v>25.766769470239979</c:v>
                  </c:pt>
                  <c:pt idx="16">
                    <c:v>3.836800974313276</c:v>
                  </c:pt>
                  <c:pt idx="17">
                    <c:v>12.007498161405323</c:v>
                  </c:pt>
                  <c:pt idx="18">
                    <c:v>3.885262719068896</c:v>
                  </c:pt>
                  <c:pt idx="19">
                    <c:v>21.934491853019246</c:v>
                  </c:pt>
                  <c:pt idx="20">
                    <c:v>12.827205922291302</c:v>
                  </c:pt>
                  <c:pt idx="21">
                    <c:v>9.6776013625140216</c:v>
                  </c:pt>
                  <c:pt idx="22">
                    <c:v>2.3326208936373694</c:v>
                  </c:pt>
                </c:numCache>
              </c:numRef>
            </c:minus>
            <c:spPr>
              <a:noFill/>
              <a:ln w="9525" cap="flat" cmpd="sng" algn="ctr">
                <a:solidFill>
                  <a:schemeClr val="tx1">
                    <a:lumMod val="65000"/>
                    <a:lumOff val="35000"/>
                  </a:schemeClr>
                </a:solidFill>
                <a:round/>
              </a:ln>
              <a:effectLst/>
            </c:spPr>
          </c:errBars>
          <c:cat>
            <c:strRef>
              <c:f>Occupation!$A$2:$A$24</c:f>
              <c:strCache>
                <c:ptCount val="23"/>
                <c:pt idx="0">
                  <c:v>Transportation and Material Moving‡</c:v>
                </c:pt>
                <c:pt idx="1">
                  <c:v>Sales and Related </c:v>
                </c:pt>
                <c:pt idx="2">
                  <c:v>Protective Service</c:v>
                </c:pt>
                <c:pt idx="3">
                  <c:v>Production‡</c:v>
                </c:pt>
                <c:pt idx="4">
                  <c:v>Personal Care and Service‡</c:v>
                </c:pt>
                <c:pt idx="5">
                  <c:v>Office and Administrative Support</c:v>
                </c:pt>
                <c:pt idx="6">
                  <c:v>Management</c:v>
                </c:pt>
                <c:pt idx="7">
                  <c:v>Life, Physical and Social Science</c:v>
                </c:pt>
                <c:pt idx="8">
                  <c:v>Legal</c:v>
                </c:pt>
                <c:pt idx="9">
                  <c:v>Installation, Maintenance, and Repair‡</c:v>
                </c:pt>
                <c:pt idx="10">
                  <c:v>Healthcare Support</c:v>
                </c:pt>
                <c:pt idx="11">
                  <c:v>Healthcare Practitioner and Technical</c:v>
                </c:pt>
                <c:pt idx="12">
                  <c:v>Food Preparation and Serving Related‡</c:v>
                </c:pt>
                <c:pt idx="13">
                  <c:v>Farming, Fishing, and Forestry‡₸</c:v>
                </c:pt>
                <c:pt idx="14">
                  <c:v>Education, Training, and Library</c:v>
                </c:pt>
                <c:pt idx="15">
                  <c:v>Construction and Extraction‡</c:v>
                </c:pt>
                <c:pt idx="16">
                  <c:v>Computer and Mathematical</c:v>
                </c:pt>
                <c:pt idx="17">
                  <c:v>Community and Social Services</c:v>
                </c:pt>
                <c:pt idx="18">
                  <c:v>Business and Financial Operations</c:v>
                </c:pt>
                <c:pt idx="19">
                  <c:v>Building and Grounds Cleaning and Maintenance‡</c:v>
                </c:pt>
                <c:pt idx="20">
                  <c:v>Arts, Design, Entertainment, Sports and Media</c:v>
                </c:pt>
                <c:pt idx="21">
                  <c:v>Architecture and Engineering</c:v>
                </c:pt>
                <c:pt idx="22">
                  <c:v>All Occupations†</c:v>
                </c:pt>
              </c:strCache>
            </c:strRef>
          </c:cat>
          <c:val>
            <c:numRef>
              <c:f>Occupation!$D$2:$D$24</c:f>
              <c:numCache>
                <c:formatCode>General</c:formatCode>
                <c:ptCount val="23"/>
                <c:pt idx="0">
                  <c:v>68.267578901567163</c:v>
                </c:pt>
                <c:pt idx="1">
                  <c:v>37.89552495274566</c:v>
                </c:pt>
                <c:pt idx="2">
                  <c:v>24.531555517074686</c:v>
                </c:pt>
                <c:pt idx="3">
                  <c:v>81.675691326387309</c:v>
                </c:pt>
                <c:pt idx="4">
                  <c:v>67.694253559515275</c:v>
                </c:pt>
                <c:pt idx="5">
                  <c:v>32.568972907126259</c:v>
                </c:pt>
                <c:pt idx="6">
                  <c:v>21.001799952922138</c:v>
                </c:pt>
                <c:pt idx="7">
                  <c:v>11.661321894131856</c:v>
                </c:pt>
                <c:pt idx="8">
                  <c:v>22.974924510962321</c:v>
                </c:pt>
                <c:pt idx="9">
                  <c:v>110.48894769507778</c:v>
                </c:pt>
                <c:pt idx="10">
                  <c:v>35.968521614709942</c:v>
                </c:pt>
                <c:pt idx="11">
                  <c:v>13.934997335956391</c:v>
                </c:pt>
                <c:pt idx="12">
                  <c:v>81.905706691085754</c:v>
                </c:pt>
                <c:pt idx="13">
                  <c:v>475.52447552447552</c:v>
                </c:pt>
                <c:pt idx="14">
                  <c:v>7.0775198840051869</c:v>
                </c:pt>
                <c:pt idx="15">
                  <c:v>272.76615292011849</c:v>
                </c:pt>
                <c:pt idx="16">
                  <c:v>6.1903214324403795</c:v>
                </c:pt>
                <c:pt idx="17">
                  <c:v>29.380580713564886</c:v>
                </c:pt>
                <c:pt idx="18">
                  <c:v>9.5066660328889299</c:v>
                </c:pt>
                <c:pt idx="19">
                  <c:v>116.30098263561719</c:v>
                </c:pt>
                <c:pt idx="20">
                  <c:v>34.938030966128501</c:v>
                </c:pt>
                <c:pt idx="21">
                  <c:v>17.456881502688361</c:v>
                </c:pt>
                <c:pt idx="22">
                  <c:v>48.379215761933857</c:v>
                </c:pt>
              </c:numCache>
            </c:numRef>
          </c:val>
          <c:extLst>
            <c:ext xmlns:c15="http://schemas.microsoft.com/office/drawing/2012/chart" uri="{02D57815-91ED-43cb-92C2-25804820EDAC}">
              <c15:datalabelsRange>
                <c15:f>Occupation!$L$2:$L$24</c15:f>
                <c15:dlblRangeCache>
                  <c:ptCount val="23"/>
                  <c:pt idx="0">
                    <c:v>273</c:v>
                  </c:pt>
                  <c:pt idx="1">
                    <c:v>247</c:v>
                  </c:pt>
                  <c:pt idx="2">
                    <c:v>34</c:v>
                  </c:pt>
                  <c:pt idx="3">
                    <c:v>189</c:v>
                  </c:pt>
                  <c:pt idx="4">
                    <c:v>152</c:v>
                  </c:pt>
                  <c:pt idx="5">
                    <c:v>231</c:v>
                  </c:pt>
                  <c:pt idx="6">
                    <c:v>149</c:v>
                  </c:pt>
                  <c:pt idx="7">
                    <c:v>14</c:v>
                  </c:pt>
                  <c:pt idx="8">
                    <c:v>14</c:v>
                  </c:pt>
                  <c:pt idx="9">
                    <c:v>162</c:v>
                  </c:pt>
                  <c:pt idx="10">
                    <c:v>91</c:v>
                  </c:pt>
                  <c:pt idx="11">
                    <c:v>68</c:v>
                  </c:pt>
                  <c:pt idx="12">
                    <c:v>322</c:v>
                  </c:pt>
                  <c:pt idx="13">
                    <c:v>51</c:v>
                  </c:pt>
                  <c:pt idx="14">
                    <c:v>37</c:v>
                  </c:pt>
                  <c:pt idx="15">
                    <c:v>861</c:v>
                  </c:pt>
                  <c:pt idx="16">
                    <c:v>20</c:v>
                  </c:pt>
                  <c:pt idx="17">
                    <c:v>46</c:v>
                  </c:pt>
                  <c:pt idx="18">
                    <c:v>46</c:v>
                  </c:pt>
                  <c:pt idx="19">
                    <c:v>216</c:v>
                  </c:pt>
                  <c:pt idx="20">
                    <c:v>57</c:v>
                  </c:pt>
                  <c:pt idx="21">
                    <c:v>25</c:v>
                  </c:pt>
                  <c:pt idx="22">
                    <c:v>3,342</c:v>
                  </c:pt>
                </c15:dlblRangeCache>
              </c15:datalabelsRange>
            </c:ext>
            <c:ext xmlns:c16="http://schemas.microsoft.com/office/drawing/2014/chart" uri="{C3380CC4-5D6E-409C-BE32-E72D297353CC}">
              <c16:uniqueId val="{0000003C-6AE0-42B6-9CB3-15A4F546EF90}"/>
            </c:ext>
          </c:extLst>
        </c:ser>
        <c:dLbls>
          <c:showLegendKey val="0"/>
          <c:showVal val="0"/>
          <c:showCatName val="0"/>
          <c:showSerName val="0"/>
          <c:showPercent val="0"/>
          <c:showBubbleSize val="0"/>
        </c:dLbls>
        <c:gapWidth val="30"/>
        <c:axId val="150796159"/>
        <c:axId val="150794495"/>
      </c:barChart>
      <c:catAx>
        <c:axId val="15079615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Occupation</a:t>
                </a:r>
                <a:r>
                  <a:rPr lang="en-US" baseline="0">
                    <a:solidFill>
                      <a:sysClr val="windowText" lastClr="000000"/>
                    </a:solidFill>
                  </a:rPr>
                  <a:t> Group</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0794495"/>
        <c:crosses val="autoZero"/>
        <c:auto val="1"/>
        <c:lblAlgn val="ctr"/>
        <c:lblOffset val="100"/>
        <c:noMultiLvlLbl val="0"/>
      </c:catAx>
      <c:valAx>
        <c:axId val="150794495"/>
        <c:scaling>
          <c:orientation val="minMax"/>
          <c:max val="950"/>
          <c:min val="0"/>
        </c:scaling>
        <c:delete val="0"/>
        <c:axPos val="b"/>
        <c:majorGridlines>
          <c:spPr>
            <a:ln w="9525" cap="flat" cmpd="sng" algn="ctr">
              <a:solidFill>
                <a:schemeClr val="bg1">
                  <a:lumMod val="9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Opioid-related overdose deaths per 100,000 workers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0796159"/>
        <c:crosses val="autoZero"/>
        <c:crossBetween val="between"/>
      </c:valAx>
      <c:spPr>
        <a:noFill/>
        <a:ln>
          <a:noFill/>
        </a:ln>
        <a:effectLst/>
      </c:spPr>
    </c:plotArea>
    <c:legend>
      <c:legendPos val="b"/>
      <c:layout>
        <c:manualLayout>
          <c:xMode val="edge"/>
          <c:yMode val="edge"/>
          <c:x val="0.86618943317462227"/>
          <c:y val="5.1811801221479332E-2"/>
          <c:w val="0.11065111042688927"/>
          <c:h val="7.870474297350479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293870448514379"/>
          <c:y val="6.2000646728465156E-2"/>
          <c:w val="0.69263783904835141"/>
          <c:h val="0.84122045125056077"/>
        </c:manualLayout>
      </c:layout>
      <c:scatterChart>
        <c:scatterStyle val="lineMarker"/>
        <c:varyColors val="0"/>
        <c:ser>
          <c:idx val="20"/>
          <c:order val="0"/>
          <c:tx>
            <c:strRef>
              <c:f>Occupation!$A$76</c:f>
              <c:strCache>
                <c:ptCount val="1"/>
                <c:pt idx="0">
                  <c:v>All Occupations†</c:v>
                </c:pt>
              </c:strCache>
            </c:strRef>
          </c:tx>
          <c:spPr>
            <a:ln w="19050">
              <a:noFill/>
            </a:ln>
          </c:spPr>
          <c:marker>
            <c:symbol val="square"/>
            <c:size val="7"/>
            <c:spPr>
              <a:ln>
                <a:solidFill>
                  <a:schemeClr val="tx1"/>
                </a:solidFill>
              </a:ln>
            </c:spPr>
          </c:marker>
          <c:errBars>
            <c:errDir val="x"/>
            <c:errBarType val="both"/>
            <c:errValType val="cust"/>
            <c:noEndCap val="0"/>
            <c:plus>
              <c:numRef>
                <c:f>Occupation!$I$76</c:f>
                <c:numCache>
                  <c:formatCode>General</c:formatCode>
                  <c:ptCount val="1"/>
                  <c:pt idx="0">
                    <c:v>2.2826694033707406E-2</c:v>
                  </c:pt>
                </c:numCache>
              </c:numRef>
            </c:plus>
            <c:minus>
              <c:numRef>
                <c:f>Occupation!$I$76</c:f>
                <c:numCache>
                  <c:formatCode>General</c:formatCode>
                  <c:ptCount val="1"/>
                  <c:pt idx="0">
                    <c:v>2.2826694033707406E-2</c:v>
                  </c:pt>
                </c:numCache>
              </c:numRef>
            </c:minus>
          </c:errBars>
          <c:errBars>
            <c:errDir val="y"/>
            <c:errBarType val="both"/>
            <c:errValType val="stdErr"/>
            <c:noEndCap val="0"/>
          </c:errBars>
          <c:xVal>
            <c:numRef>
              <c:f>Occupation!$F$76</c:f>
              <c:numCache>
                <c:formatCode>General</c:formatCode>
                <c:ptCount val="1"/>
                <c:pt idx="0">
                  <c:v>1.1859188070262645</c:v>
                </c:pt>
              </c:numCache>
            </c:numRef>
          </c:xVal>
          <c:yVal>
            <c:numRef>
              <c:f>Occupation!$H$76</c:f>
              <c:numCache>
                <c:formatCode>General</c:formatCode>
                <c:ptCount val="1"/>
                <c:pt idx="0">
                  <c:v>23</c:v>
                </c:pt>
              </c:numCache>
            </c:numRef>
          </c:yVal>
          <c:smooth val="0"/>
          <c:extLst>
            <c:ext xmlns:c16="http://schemas.microsoft.com/office/drawing/2014/chart" uri="{C3380CC4-5D6E-409C-BE32-E72D297353CC}">
              <c16:uniqueId val="{00000000-3782-4DFF-BDDE-28575C52DF1D}"/>
            </c:ext>
          </c:extLst>
        </c:ser>
        <c:ser>
          <c:idx val="0"/>
          <c:order val="1"/>
          <c:tx>
            <c:strRef>
              <c:f>Occupation!$A$77</c:f>
              <c:strCache>
                <c:ptCount val="1"/>
                <c:pt idx="0">
                  <c:v>Architecture and Engineering</c:v>
                </c:pt>
              </c:strCache>
            </c:strRef>
          </c:tx>
          <c:spPr>
            <a:ln w="19050">
              <a:noFill/>
            </a:ln>
          </c:spPr>
          <c:marker>
            <c:symbol val="square"/>
            <c:size val="7"/>
            <c:spPr>
              <a:ln>
                <a:solidFill>
                  <a:schemeClr val="tx1"/>
                </a:solidFill>
              </a:ln>
            </c:spPr>
          </c:marker>
          <c:errBars>
            <c:errDir val="x"/>
            <c:errBarType val="both"/>
            <c:errValType val="cust"/>
            <c:noEndCap val="0"/>
            <c:plus>
              <c:numRef>
                <c:f>Occupation!$J$77</c:f>
                <c:numCache>
                  <c:formatCode>General</c:formatCode>
                  <c:ptCount val="1"/>
                  <c:pt idx="0">
                    <c:v>6.9307005556355605E-2</c:v>
                  </c:pt>
                </c:numCache>
              </c:numRef>
            </c:plus>
            <c:minus>
              <c:numRef>
                <c:f>Occupation!$J$77</c:f>
                <c:numCache>
                  <c:formatCode>General</c:formatCode>
                  <c:ptCount val="1"/>
                  <c:pt idx="0">
                    <c:v>6.9307005556355605E-2</c:v>
                  </c:pt>
                </c:numCache>
              </c:numRef>
            </c:minus>
          </c:errBars>
          <c:errBars>
            <c:errDir val="y"/>
            <c:errBarType val="both"/>
            <c:errValType val="stdErr"/>
            <c:noEndCap val="0"/>
          </c:errBars>
          <c:xVal>
            <c:numRef>
              <c:f>Occupation!$F$77</c:f>
              <c:numCache>
                <c:formatCode>General</c:formatCode>
                <c:ptCount val="1"/>
                <c:pt idx="0">
                  <c:v>1.0500491592927725</c:v>
                </c:pt>
              </c:numCache>
            </c:numRef>
          </c:xVal>
          <c:yVal>
            <c:numRef>
              <c:f>Occupation!$H$77</c:f>
              <c:numCache>
                <c:formatCode>General</c:formatCode>
                <c:ptCount val="1"/>
                <c:pt idx="0">
                  <c:v>22</c:v>
                </c:pt>
              </c:numCache>
            </c:numRef>
          </c:yVal>
          <c:smooth val="0"/>
          <c:extLst>
            <c:ext xmlns:c16="http://schemas.microsoft.com/office/drawing/2014/chart" uri="{C3380CC4-5D6E-409C-BE32-E72D297353CC}">
              <c16:uniqueId val="{00000001-3782-4DFF-BDDE-28575C52DF1D}"/>
            </c:ext>
          </c:extLst>
        </c:ser>
        <c:ser>
          <c:idx val="1"/>
          <c:order val="2"/>
          <c:tx>
            <c:strRef>
              <c:f>Occupation!$A$78</c:f>
              <c:strCache>
                <c:ptCount val="1"/>
                <c:pt idx="0">
                  <c:v>Arts, Design, Entertainment, Sports and Media</c:v>
                </c:pt>
              </c:strCache>
            </c:strRef>
          </c:tx>
          <c:spPr>
            <a:ln w="19050">
              <a:noFill/>
            </a:ln>
          </c:spPr>
          <c:marker>
            <c:symbol val="square"/>
            <c:size val="7"/>
            <c:spPr>
              <a:ln>
                <a:solidFill>
                  <a:schemeClr val="tx1"/>
                </a:solidFill>
              </a:ln>
            </c:spPr>
          </c:marker>
          <c:errBars>
            <c:errDir val="x"/>
            <c:errBarType val="both"/>
            <c:errValType val="cust"/>
            <c:noEndCap val="0"/>
            <c:plus>
              <c:numRef>
                <c:f>Occupation!$I$78</c:f>
                <c:numCache>
                  <c:formatCode>General</c:formatCode>
                  <c:ptCount val="1"/>
                  <c:pt idx="0">
                    <c:v>5.0630068637820047E-2</c:v>
                  </c:pt>
                </c:numCache>
              </c:numRef>
            </c:plus>
            <c:minus>
              <c:numRef>
                <c:f>Occupation!$I$78</c:f>
                <c:numCache>
                  <c:formatCode>General</c:formatCode>
                  <c:ptCount val="1"/>
                  <c:pt idx="0">
                    <c:v>5.0630068637820047E-2</c:v>
                  </c:pt>
                </c:numCache>
              </c:numRef>
            </c:minus>
          </c:errBars>
          <c:errBars>
            <c:errDir val="y"/>
            <c:errBarType val="both"/>
            <c:errValType val="stdErr"/>
            <c:noEndCap val="0"/>
          </c:errBars>
          <c:xVal>
            <c:numRef>
              <c:f>Occupation!$F$78</c:f>
              <c:numCache>
                <c:formatCode>General</c:formatCode>
                <c:ptCount val="1"/>
                <c:pt idx="0">
                  <c:v>1.2297786045154464</c:v>
                </c:pt>
              </c:numCache>
            </c:numRef>
          </c:xVal>
          <c:yVal>
            <c:numRef>
              <c:f>Occupation!$H$78</c:f>
              <c:numCache>
                <c:formatCode>General</c:formatCode>
                <c:ptCount val="1"/>
                <c:pt idx="0">
                  <c:v>21</c:v>
                </c:pt>
              </c:numCache>
            </c:numRef>
          </c:yVal>
          <c:smooth val="0"/>
          <c:extLst>
            <c:ext xmlns:c16="http://schemas.microsoft.com/office/drawing/2014/chart" uri="{C3380CC4-5D6E-409C-BE32-E72D297353CC}">
              <c16:uniqueId val="{00000002-3782-4DFF-BDDE-28575C52DF1D}"/>
            </c:ext>
          </c:extLst>
        </c:ser>
        <c:ser>
          <c:idx val="2"/>
          <c:order val="3"/>
          <c:tx>
            <c:strRef>
              <c:f>Occupation!$A$79</c:f>
              <c:strCache>
                <c:ptCount val="1"/>
                <c:pt idx="0">
                  <c:v>Building and Grounds Cleaning and Maintenance</c:v>
                </c:pt>
              </c:strCache>
            </c:strRef>
          </c:tx>
          <c:spPr>
            <a:ln w="19050">
              <a:noFill/>
            </a:ln>
          </c:spPr>
          <c:marker>
            <c:symbol val="square"/>
            <c:size val="7"/>
            <c:spPr>
              <a:ln>
                <a:solidFill>
                  <a:schemeClr val="tx1"/>
                </a:solidFill>
              </a:ln>
            </c:spPr>
          </c:marker>
          <c:errBars>
            <c:errDir val="x"/>
            <c:errBarType val="both"/>
            <c:errValType val="cust"/>
            <c:noEndCap val="0"/>
            <c:plus>
              <c:numRef>
                <c:f>Occupation!$J$79</c:f>
                <c:numCache>
                  <c:formatCode>General</c:formatCode>
                  <c:ptCount val="1"/>
                  <c:pt idx="0">
                    <c:v>7.120999526659455E-3</c:v>
                  </c:pt>
                </c:numCache>
              </c:numRef>
            </c:plus>
            <c:minus>
              <c:numRef>
                <c:f>Occupation!$J$79</c:f>
                <c:numCache>
                  <c:formatCode>General</c:formatCode>
                  <c:ptCount val="1"/>
                  <c:pt idx="0">
                    <c:v>7.120999526659455E-3</c:v>
                  </c:pt>
                </c:numCache>
              </c:numRef>
            </c:minus>
          </c:errBars>
          <c:errBars>
            <c:errDir val="y"/>
            <c:errBarType val="both"/>
            <c:errValType val="stdErr"/>
            <c:noEndCap val="0"/>
          </c:errBars>
          <c:xVal>
            <c:numRef>
              <c:f>Occupation!$F$79</c:f>
              <c:numCache>
                <c:formatCode>General</c:formatCode>
                <c:ptCount val="1"/>
                <c:pt idx="0">
                  <c:v>1.5274461181916397</c:v>
                </c:pt>
              </c:numCache>
            </c:numRef>
          </c:xVal>
          <c:yVal>
            <c:numRef>
              <c:f>Occupation!$H$79</c:f>
              <c:numCache>
                <c:formatCode>General</c:formatCode>
                <c:ptCount val="1"/>
                <c:pt idx="0">
                  <c:v>20</c:v>
                </c:pt>
              </c:numCache>
            </c:numRef>
          </c:yVal>
          <c:smooth val="0"/>
          <c:extLst>
            <c:ext xmlns:c16="http://schemas.microsoft.com/office/drawing/2014/chart" uri="{C3380CC4-5D6E-409C-BE32-E72D297353CC}">
              <c16:uniqueId val="{00000003-3782-4DFF-BDDE-28575C52DF1D}"/>
            </c:ext>
          </c:extLst>
        </c:ser>
        <c:ser>
          <c:idx val="3"/>
          <c:order val="4"/>
          <c:tx>
            <c:strRef>
              <c:f>Occupation!$A$80</c:f>
              <c:strCache>
                <c:ptCount val="1"/>
                <c:pt idx="0">
                  <c:v>Business and Financial Operations</c:v>
                </c:pt>
              </c:strCache>
            </c:strRef>
          </c:tx>
          <c:spPr>
            <a:ln w="19050">
              <a:noFill/>
            </a:ln>
          </c:spPr>
          <c:marker>
            <c:symbol val="square"/>
            <c:size val="7"/>
            <c:spPr>
              <a:ln>
                <a:solidFill>
                  <a:schemeClr val="tx1"/>
                </a:solidFill>
              </a:ln>
            </c:spPr>
          </c:marker>
          <c:errBars>
            <c:errDir val="x"/>
            <c:errBarType val="both"/>
            <c:errValType val="cust"/>
            <c:noEndCap val="0"/>
            <c:plus>
              <c:numRef>
                <c:f>Occupation!$J$80</c:f>
                <c:numCache>
                  <c:formatCode>General</c:formatCode>
                  <c:ptCount val="1"/>
                  <c:pt idx="0">
                    <c:v>4.0472390963591565E-2</c:v>
                  </c:pt>
                </c:numCache>
              </c:numRef>
            </c:plus>
            <c:minus>
              <c:numRef>
                <c:f>Occupation!$J$80</c:f>
                <c:numCache>
                  <c:formatCode>General</c:formatCode>
                  <c:ptCount val="1"/>
                  <c:pt idx="0">
                    <c:v>4.0472390963591565E-2</c:v>
                  </c:pt>
                </c:numCache>
              </c:numRef>
            </c:minus>
          </c:errBars>
          <c:errBars>
            <c:errDir val="y"/>
            <c:errBarType val="both"/>
            <c:errValType val="stdErr"/>
            <c:noEndCap val="0"/>
          </c:errBars>
          <c:xVal>
            <c:numRef>
              <c:f>Occupation!$F$80</c:f>
              <c:numCache>
                <c:formatCode>General</c:formatCode>
                <c:ptCount val="1"/>
                <c:pt idx="0">
                  <c:v>0.86969625437916898</c:v>
                </c:pt>
              </c:numCache>
            </c:numRef>
          </c:xVal>
          <c:yVal>
            <c:numRef>
              <c:f>Occupation!$H$80</c:f>
              <c:numCache>
                <c:formatCode>General</c:formatCode>
                <c:ptCount val="1"/>
                <c:pt idx="0">
                  <c:v>19</c:v>
                </c:pt>
              </c:numCache>
            </c:numRef>
          </c:yVal>
          <c:smooth val="0"/>
          <c:extLst>
            <c:ext xmlns:c16="http://schemas.microsoft.com/office/drawing/2014/chart" uri="{C3380CC4-5D6E-409C-BE32-E72D297353CC}">
              <c16:uniqueId val="{00000004-3782-4DFF-BDDE-28575C52DF1D}"/>
            </c:ext>
          </c:extLst>
        </c:ser>
        <c:ser>
          <c:idx val="4"/>
          <c:order val="5"/>
          <c:tx>
            <c:strRef>
              <c:f>Occupation!$A$81</c:f>
              <c:strCache>
                <c:ptCount val="1"/>
                <c:pt idx="0">
                  <c:v>Community and Social Services</c:v>
                </c:pt>
              </c:strCache>
            </c:strRef>
          </c:tx>
          <c:spPr>
            <a:ln w="19050">
              <a:noFill/>
            </a:ln>
          </c:spPr>
          <c:marker>
            <c:symbol val="square"/>
            <c:size val="7"/>
            <c:spPr>
              <a:ln>
                <a:solidFill>
                  <a:schemeClr val="tx1"/>
                </a:solidFill>
              </a:ln>
            </c:spPr>
          </c:marker>
          <c:errBars>
            <c:errDir val="x"/>
            <c:errBarType val="both"/>
            <c:errValType val="cust"/>
            <c:noEndCap val="0"/>
            <c:plus>
              <c:numRef>
                <c:f>Occupation!$I$81</c:f>
                <c:numCache>
                  <c:formatCode>General</c:formatCode>
                  <c:ptCount val="1"/>
                  <c:pt idx="0">
                    <c:v>0.19385775884947343</c:v>
                  </c:pt>
                </c:numCache>
              </c:numRef>
            </c:plus>
            <c:minus>
              <c:numRef>
                <c:f>Occupation!$I$81</c:f>
                <c:numCache>
                  <c:formatCode>General</c:formatCode>
                  <c:ptCount val="1"/>
                  <c:pt idx="0">
                    <c:v>0.19385775884947343</c:v>
                  </c:pt>
                </c:numCache>
              </c:numRef>
            </c:minus>
          </c:errBars>
          <c:errBars>
            <c:errDir val="y"/>
            <c:errBarType val="both"/>
            <c:errValType val="stdErr"/>
            <c:noEndCap val="0"/>
          </c:errBars>
          <c:xVal>
            <c:numRef>
              <c:f>Occupation!$F$81</c:f>
              <c:numCache>
                <c:formatCode>General</c:formatCode>
                <c:ptCount val="1"/>
                <c:pt idx="0">
                  <c:v>1.3982490003341823</c:v>
                </c:pt>
              </c:numCache>
            </c:numRef>
          </c:xVal>
          <c:yVal>
            <c:numRef>
              <c:f>Occupation!$H$81</c:f>
              <c:numCache>
                <c:formatCode>General</c:formatCode>
                <c:ptCount val="1"/>
                <c:pt idx="0">
                  <c:v>18</c:v>
                </c:pt>
              </c:numCache>
            </c:numRef>
          </c:yVal>
          <c:smooth val="0"/>
          <c:extLst>
            <c:ext xmlns:c16="http://schemas.microsoft.com/office/drawing/2014/chart" uri="{C3380CC4-5D6E-409C-BE32-E72D297353CC}">
              <c16:uniqueId val="{00000005-3782-4DFF-BDDE-28575C52DF1D}"/>
            </c:ext>
          </c:extLst>
        </c:ser>
        <c:ser>
          <c:idx val="5"/>
          <c:order val="6"/>
          <c:tx>
            <c:strRef>
              <c:f>Occupation!$A$82</c:f>
              <c:strCache>
                <c:ptCount val="1"/>
                <c:pt idx="0">
                  <c:v>Computer and Mathematical</c:v>
                </c:pt>
              </c:strCache>
            </c:strRef>
          </c:tx>
          <c:spPr>
            <a:ln w="19050">
              <a:noFill/>
            </a:ln>
          </c:spPr>
          <c:marker>
            <c:symbol val="square"/>
            <c:size val="7"/>
            <c:spPr>
              <a:ln>
                <a:solidFill>
                  <a:schemeClr val="tx1"/>
                </a:solidFill>
              </a:ln>
            </c:spPr>
          </c:marker>
          <c:errBars>
            <c:errDir val="x"/>
            <c:errBarType val="both"/>
            <c:errValType val="cust"/>
            <c:noEndCap val="0"/>
            <c:plus>
              <c:numRef>
                <c:f>Occupation!$I$82</c:f>
                <c:numCache>
                  <c:formatCode>General</c:formatCode>
                  <c:ptCount val="1"/>
                  <c:pt idx="0">
                    <c:v>0.10994699588883883</c:v>
                  </c:pt>
                </c:numCache>
              </c:numRef>
            </c:plus>
            <c:minus>
              <c:numRef>
                <c:f>Occupation!$I$82</c:f>
                <c:numCache>
                  <c:formatCode>General</c:formatCode>
                  <c:ptCount val="1"/>
                  <c:pt idx="0">
                    <c:v>0.10994699588883883</c:v>
                  </c:pt>
                </c:numCache>
              </c:numRef>
            </c:minus>
          </c:errBars>
          <c:errBars>
            <c:errDir val="y"/>
            <c:errBarType val="both"/>
            <c:errValType val="stdErr"/>
            <c:noEndCap val="0"/>
          </c:errBars>
          <c:xVal>
            <c:numRef>
              <c:f>Occupation!$F$82</c:f>
              <c:numCache>
                <c:formatCode>General</c:formatCode>
                <c:ptCount val="1"/>
                <c:pt idx="0">
                  <c:v>1.2618864731154797</c:v>
                </c:pt>
              </c:numCache>
            </c:numRef>
          </c:xVal>
          <c:yVal>
            <c:numRef>
              <c:f>Occupation!$H$82</c:f>
              <c:numCache>
                <c:formatCode>General</c:formatCode>
                <c:ptCount val="1"/>
                <c:pt idx="0">
                  <c:v>17</c:v>
                </c:pt>
              </c:numCache>
            </c:numRef>
          </c:yVal>
          <c:smooth val="0"/>
          <c:extLst>
            <c:ext xmlns:c16="http://schemas.microsoft.com/office/drawing/2014/chart" uri="{C3380CC4-5D6E-409C-BE32-E72D297353CC}">
              <c16:uniqueId val="{00000006-3782-4DFF-BDDE-28575C52DF1D}"/>
            </c:ext>
          </c:extLst>
        </c:ser>
        <c:ser>
          <c:idx val="6"/>
          <c:order val="7"/>
          <c:tx>
            <c:strRef>
              <c:f>Occupation!$A$83</c:f>
              <c:strCache>
                <c:ptCount val="1"/>
                <c:pt idx="0">
                  <c:v>Construction and Extraction</c:v>
                </c:pt>
              </c:strCache>
            </c:strRef>
          </c:tx>
          <c:spPr>
            <a:ln w="19050">
              <a:noFill/>
            </a:ln>
          </c:spPr>
          <c:marker>
            <c:symbol val="square"/>
            <c:size val="7"/>
            <c:spPr>
              <a:ln>
                <a:solidFill>
                  <a:schemeClr val="tx1"/>
                </a:solidFill>
              </a:ln>
            </c:spPr>
          </c:marker>
          <c:errBars>
            <c:errDir val="x"/>
            <c:errBarType val="both"/>
            <c:errValType val="cust"/>
            <c:noEndCap val="0"/>
            <c:plus>
              <c:numRef>
                <c:f>Occupation!$J$83</c:f>
                <c:numCache>
                  <c:formatCode>General</c:formatCode>
                  <c:ptCount val="1"/>
                  <c:pt idx="0">
                    <c:v>1.4154746516340966E-2</c:v>
                  </c:pt>
                </c:numCache>
              </c:numRef>
            </c:plus>
            <c:minus>
              <c:numRef>
                <c:f>Occupation!$J$83</c:f>
                <c:numCache>
                  <c:formatCode>General</c:formatCode>
                  <c:ptCount val="1"/>
                  <c:pt idx="0">
                    <c:v>1.4154746516340966E-2</c:v>
                  </c:pt>
                </c:numCache>
              </c:numRef>
            </c:minus>
          </c:errBars>
          <c:errBars>
            <c:errDir val="y"/>
            <c:errBarType val="both"/>
            <c:errValType val="stdErr"/>
            <c:noEndCap val="0"/>
          </c:errBars>
          <c:xVal>
            <c:numRef>
              <c:f>Occupation!$F$83</c:f>
              <c:numCache>
                <c:formatCode>General</c:formatCode>
                <c:ptCount val="1"/>
                <c:pt idx="0">
                  <c:v>1.1394134054114149</c:v>
                </c:pt>
              </c:numCache>
            </c:numRef>
          </c:xVal>
          <c:yVal>
            <c:numRef>
              <c:f>Occupation!$H$83</c:f>
              <c:numCache>
                <c:formatCode>General</c:formatCode>
                <c:ptCount val="1"/>
                <c:pt idx="0">
                  <c:v>16</c:v>
                </c:pt>
              </c:numCache>
            </c:numRef>
          </c:yVal>
          <c:smooth val="0"/>
          <c:extLst>
            <c:ext xmlns:c16="http://schemas.microsoft.com/office/drawing/2014/chart" uri="{C3380CC4-5D6E-409C-BE32-E72D297353CC}">
              <c16:uniqueId val="{00000007-3782-4DFF-BDDE-28575C52DF1D}"/>
            </c:ext>
          </c:extLst>
        </c:ser>
        <c:ser>
          <c:idx val="7"/>
          <c:order val="8"/>
          <c:tx>
            <c:strRef>
              <c:f>Occupation!$A$84</c:f>
              <c:strCache>
                <c:ptCount val="1"/>
                <c:pt idx="0">
                  <c:v>Education, Training, and Library</c:v>
                </c:pt>
              </c:strCache>
            </c:strRef>
          </c:tx>
          <c:spPr>
            <a:ln w="19050">
              <a:noFill/>
            </a:ln>
          </c:spPr>
          <c:marker>
            <c:symbol val="square"/>
            <c:size val="7"/>
            <c:spPr>
              <a:ln>
                <a:solidFill>
                  <a:schemeClr val="tx1"/>
                </a:solidFill>
              </a:ln>
            </c:spPr>
          </c:marker>
          <c:errBars>
            <c:errDir val="x"/>
            <c:errBarType val="both"/>
            <c:errValType val="cust"/>
            <c:noEndCap val="0"/>
            <c:plus>
              <c:numRef>
                <c:f>Occupation!$J$84</c:f>
                <c:numCache>
                  <c:formatCode>General</c:formatCode>
                  <c:ptCount val="1"/>
                  <c:pt idx="0">
                    <c:v>9.3554341910036976E-2</c:v>
                  </c:pt>
                </c:numCache>
              </c:numRef>
            </c:plus>
            <c:minus>
              <c:numRef>
                <c:f>Occupation!$J$84</c:f>
                <c:numCache>
                  <c:formatCode>General</c:formatCode>
                  <c:ptCount val="1"/>
                  <c:pt idx="0">
                    <c:v>9.3554341910036976E-2</c:v>
                  </c:pt>
                </c:numCache>
              </c:numRef>
            </c:minus>
          </c:errBars>
          <c:errBars>
            <c:errDir val="y"/>
            <c:errBarType val="both"/>
            <c:errValType val="stdErr"/>
            <c:noEndCap val="0"/>
          </c:errBars>
          <c:xVal>
            <c:numRef>
              <c:f>Occupation!$F$84</c:f>
              <c:numCache>
                <c:formatCode>General</c:formatCode>
                <c:ptCount val="1"/>
                <c:pt idx="0">
                  <c:v>0.84622124170462587</c:v>
                </c:pt>
              </c:numCache>
            </c:numRef>
          </c:xVal>
          <c:yVal>
            <c:numRef>
              <c:f>Occupation!$H$84</c:f>
              <c:numCache>
                <c:formatCode>General</c:formatCode>
                <c:ptCount val="1"/>
                <c:pt idx="0">
                  <c:v>15</c:v>
                </c:pt>
              </c:numCache>
            </c:numRef>
          </c:yVal>
          <c:smooth val="0"/>
          <c:extLst>
            <c:ext xmlns:c16="http://schemas.microsoft.com/office/drawing/2014/chart" uri="{C3380CC4-5D6E-409C-BE32-E72D297353CC}">
              <c16:uniqueId val="{00000008-3782-4DFF-BDDE-28575C52DF1D}"/>
            </c:ext>
          </c:extLst>
        </c:ser>
        <c:ser>
          <c:idx val="8"/>
          <c:order val="9"/>
          <c:tx>
            <c:strRef>
              <c:f>Occupation!$A$85</c:f>
              <c:strCache>
                <c:ptCount val="1"/>
                <c:pt idx="0">
                  <c:v>Farming, Fishing, and Forestry</c:v>
                </c:pt>
              </c:strCache>
            </c:strRef>
          </c:tx>
          <c:spPr>
            <a:ln w="19050">
              <a:noFill/>
            </a:ln>
          </c:spPr>
          <c:marker>
            <c:symbol val="square"/>
            <c:size val="7"/>
            <c:spPr>
              <a:ln>
                <a:solidFill>
                  <a:schemeClr val="tx1"/>
                </a:solidFill>
              </a:ln>
            </c:spPr>
          </c:marker>
          <c:errBars>
            <c:errDir val="x"/>
            <c:errBarType val="both"/>
            <c:errValType val="cust"/>
            <c:noEndCap val="0"/>
            <c:plus>
              <c:numRef>
                <c:f>Occupation!$I$85</c:f>
                <c:numCache>
                  <c:formatCode>General</c:formatCode>
                  <c:ptCount val="1"/>
                  <c:pt idx="0">
                    <c:v>3.8800436456552623E-2</c:v>
                  </c:pt>
                </c:numCache>
              </c:numRef>
            </c:plus>
            <c:minus>
              <c:numRef>
                <c:f>Occupation!$I$85</c:f>
                <c:numCache>
                  <c:formatCode>General</c:formatCode>
                  <c:ptCount val="1"/>
                  <c:pt idx="0">
                    <c:v>3.8800436456552623E-2</c:v>
                  </c:pt>
                </c:numCache>
              </c:numRef>
            </c:minus>
          </c:errBars>
          <c:errBars>
            <c:errDir val="y"/>
            <c:errBarType val="both"/>
            <c:errValType val="stdErr"/>
            <c:noEndCap val="0"/>
          </c:errBars>
          <c:xVal>
            <c:numRef>
              <c:f>Occupation!$F$85</c:f>
              <c:numCache>
                <c:formatCode>General</c:formatCode>
                <c:ptCount val="1"/>
                <c:pt idx="0">
                  <c:v>1.3771382916494272</c:v>
                </c:pt>
              </c:numCache>
            </c:numRef>
          </c:xVal>
          <c:yVal>
            <c:numRef>
              <c:f>Occupation!$H$85</c:f>
              <c:numCache>
                <c:formatCode>General</c:formatCode>
                <c:ptCount val="1"/>
                <c:pt idx="0">
                  <c:v>14</c:v>
                </c:pt>
              </c:numCache>
            </c:numRef>
          </c:yVal>
          <c:smooth val="0"/>
          <c:extLst>
            <c:ext xmlns:c16="http://schemas.microsoft.com/office/drawing/2014/chart" uri="{C3380CC4-5D6E-409C-BE32-E72D297353CC}">
              <c16:uniqueId val="{00000009-3782-4DFF-BDDE-28575C52DF1D}"/>
            </c:ext>
          </c:extLst>
        </c:ser>
        <c:ser>
          <c:idx val="9"/>
          <c:order val="10"/>
          <c:tx>
            <c:strRef>
              <c:f>Occupation!$A$86</c:f>
              <c:strCache>
                <c:ptCount val="1"/>
                <c:pt idx="0">
                  <c:v>Food Preparation and Serving Related</c:v>
                </c:pt>
              </c:strCache>
            </c:strRef>
          </c:tx>
          <c:spPr>
            <a:ln w="19050">
              <a:noFill/>
            </a:ln>
          </c:spPr>
          <c:marker>
            <c:symbol val="square"/>
            <c:size val="7"/>
            <c:spPr>
              <a:ln>
                <a:solidFill>
                  <a:schemeClr val="tx1"/>
                </a:solidFill>
              </a:ln>
            </c:spPr>
          </c:marker>
          <c:errBars>
            <c:errDir val="x"/>
            <c:errBarType val="both"/>
            <c:errValType val="cust"/>
            <c:noEndCap val="0"/>
            <c:plus>
              <c:numRef>
                <c:f>Occupation!$I$86</c:f>
                <c:numCache>
                  <c:formatCode>General</c:formatCode>
                  <c:ptCount val="1"/>
                  <c:pt idx="0">
                    <c:v>9.4524355381323089E-2</c:v>
                  </c:pt>
                </c:numCache>
              </c:numRef>
            </c:plus>
            <c:minus>
              <c:numRef>
                <c:f>Occupation!$I$86</c:f>
                <c:numCache>
                  <c:formatCode>General</c:formatCode>
                  <c:ptCount val="1"/>
                  <c:pt idx="0">
                    <c:v>9.4524355381323089E-2</c:v>
                  </c:pt>
                </c:numCache>
              </c:numRef>
            </c:minus>
          </c:errBars>
          <c:errBars>
            <c:errDir val="y"/>
            <c:errBarType val="both"/>
            <c:errValType val="stdErr"/>
            <c:noEndCap val="0"/>
          </c:errBars>
          <c:xVal>
            <c:numRef>
              <c:f>Occupation!$F$86</c:f>
              <c:numCache>
                <c:formatCode>General</c:formatCode>
                <c:ptCount val="1"/>
                <c:pt idx="0">
                  <c:v>1.5897118225359841</c:v>
                </c:pt>
              </c:numCache>
            </c:numRef>
          </c:xVal>
          <c:yVal>
            <c:numRef>
              <c:f>Occupation!$H$86</c:f>
              <c:numCache>
                <c:formatCode>General</c:formatCode>
                <c:ptCount val="1"/>
                <c:pt idx="0">
                  <c:v>13</c:v>
                </c:pt>
              </c:numCache>
            </c:numRef>
          </c:yVal>
          <c:smooth val="0"/>
          <c:extLst>
            <c:ext xmlns:c16="http://schemas.microsoft.com/office/drawing/2014/chart" uri="{C3380CC4-5D6E-409C-BE32-E72D297353CC}">
              <c16:uniqueId val="{0000000A-3782-4DFF-BDDE-28575C52DF1D}"/>
            </c:ext>
          </c:extLst>
        </c:ser>
        <c:ser>
          <c:idx val="10"/>
          <c:order val="11"/>
          <c:tx>
            <c:strRef>
              <c:f>Occupation!$A$87</c:f>
              <c:strCache>
                <c:ptCount val="1"/>
                <c:pt idx="0">
                  <c:v>Healthcare Practitioner and Technical</c:v>
                </c:pt>
              </c:strCache>
            </c:strRef>
          </c:tx>
          <c:spPr>
            <a:ln w="19050">
              <a:noFill/>
            </a:ln>
          </c:spPr>
          <c:marker>
            <c:symbol val="square"/>
            <c:size val="7"/>
            <c:spPr>
              <a:ln>
                <a:solidFill>
                  <a:schemeClr val="tx1"/>
                </a:solidFill>
              </a:ln>
            </c:spPr>
          </c:marker>
          <c:errBars>
            <c:errDir val="x"/>
            <c:errBarType val="both"/>
            <c:errValType val="cust"/>
            <c:noEndCap val="0"/>
            <c:plus>
              <c:numRef>
                <c:f>Occupation!$I$87</c:f>
                <c:numCache>
                  <c:formatCode>General</c:formatCode>
                  <c:ptCount val="1"/>
                  <c:pt idx="0">
                    <c:v>3.1941837189201516E-2</c:v>
                  </c:pt>
                </c:numCache>
              </c:numRef>
            </c:plus>
            <c:minus>
              <c:numRef>
                <c:f>Occupation!$I$87</c:f>
                <c:numCache>
                  <c:formatCode>General</c:formatCode>
                  <c:ptCount val="1"/>
                  <c:pt idx="0">
                    <c:v>3.1941837189201516E-2</c:v>
                  </c:pt>
                </c:numCache>
              </c:numRef>
            </c:minus>
          </c:errBars>
          <c:errBars>
            <c:errDir val="y"/>
            <c:errBarType val="both"/>
            <c:errValType val="stdErr"/>
            <c:noEndCap val="0"/>
          </c:errBars>
          <c:xVal>
            <c:numRef>
              <c:f>Occupation!$F$87</c:f>
              <c:numCache>
                <c:formatCode>General</c:formatCode>
                <c:ptCount val="1"/>
                <c:pt idx="0">
                  <c:v>1.1337070176552677</c:v>
                </c:pt>
              </c:numCache>
            </c:numRef>
          </c:xVal>
          <c:yVal>
            <c:numRef>
              <c:f>Occupation!$H$87</c:f>
              <c:numCache>
                <c:formatCode>General</c:formatCode>
                <c:ptCount val="1"/>
                <c:pt idx="0">
                  <c:v>12</c:v>
                </c:pt>
              </c:numCache>
            </c:numRef>
          </c:yVal>
          <c:smooth val="0"/>
          <c:extLst>
            <c:ext xmlns:c16="http://schemas.microsoft.com/office/drawing/2014/chart" uri="{C3380CC4-5D6E-409C-BE32-E72D297353CC}">
              <c16:uniqueId val="{0000000B-3782-4DFF-BDDE-28575C52DF1D}"/>
            </c:ext>
          </c:extLst>
        </c:ser>
        <c:ser>
          <c:idx val="11"/>
          <c:order val="12"/>
          <c:tx>
            <c:strRef>
              <c:f>Occupation!$A$88</c:f>
              <c:strCache>
                <c:ptCount val="1"/>
                <c:pt idx="0">
                  <c:v>Healthcare Support</c:v>
                </c:pt>
              </c:strCache>
            </c:strRef>
          </c:tx>
          <c:spPr>
            <a:ln w="19050">
              <a:noFill/>
            </a:ln>
          </c:spPr>
          <c:marker>
            <c:symbol val="square"/>
            <c:size val="7"/>
            <c:spPr>
              <a:ln>
                <a:solidFill>
                  <a:schemeClr val="tx1"/>
                </a:solidFill>
              </a:ln>
            </c:spPr>
          </c:marker>
          <c:errBars>
            <c:errDir val="x"/>
            <c:errBarType val="both"/>
            <c:errValType val="cust"/>
            <c:noEndCap val="0"/>
            <c:plus>
              <c:numRef>
                <c:f>Occupation!$I$88</c:f>
                <c:numCache>
                  <c:formatCode>General</c:formatCode>
                  <c:ptCount val="1"/>
                  <c:pt idx="0">
                    <c:v>0.2301625533776499</c:v>
                  </c:pt>
                </c:numCache>
              </c:numRef>
            </c:plus>
            <c:minus>
              <c:numRef>
                <c:f>Occupation!$I$88</c:f>
                <c:numCache>
                  <c:formatCode>General</c:formatCode>
                  <c:ptCount val="1"/>
                  <c:pt idx="0">
                    <c:v>0.2301625533776499</c:v>
                  </c:pt>
                </c:numCache>
              </c:numRef>
            </c:minus>
          </c:errBars>
          <c:errBars>
            <c:errDir val="y"/>
            <c:errBarType val="both"/>
            <c:errValType val="stdErr"/>
            <c:noEndCap val="0"/>
          </c:errBars>
          <c:xVal>
            <c:numRef>
              <c:f>Occupation!$F$88</c:f>
              <c:numCache>
                <c:formatCode>General</c:formatCode>
                <c:ptCount val="1"/>
                <c:pt idx="0">
                  <c:v>1.5327472027421272</c:v>
                </c:pt>
              </c:numCache>
            </c:numRef>
          </c:xVal>
          <c:yVal>
            <c:numRef>
              <c:f>Occupation!$H$88</c:f>
              <c:numCache>
                <c:formatCode>General</c:formatCode>
                <c:ptCount val="1"/>
                <c:pt idx="0">
                  <c:v>11</c:v>
                </c:pt>
              </c:numCache>
            </c:numRef>
          </c:yVal>
          <c:smooth val="0"/>
          <c:extLst>
            <c:ext xmlns:c16="http://schemas.microsoft.com/office/drawing/2014/chart" uri="{C3380CC4-5D6E-409C-BE32-E72D297353CC}">
              <c16:uniqueId val="{0000000C-3782-4DFF-BDDE-28575C52DF1D}"/>
            </c:ext>
          </c:extLst>
        </c:ser>
        <c:ser>
          <c:idx val="12"/>
          <c:order val="13"/>
          <c:tx>
            <c:strRef>
              <c:f>Occupation!$A$89</c:f>
              <c:strCache>
                <c:ptCount val="1"/>
                <c:pt idx="0">
                  <c:v>Installation, Maintenance, and Repair</c:v>
                </c:pt>
              </c:strCache>
            </c:strRef>
          </c:tx>
          <c:spPr>
            <a:ln w="19050">
              <a:noFill/>
            </a:ln>
          </c:spPr>
          <c:marker>
            <c:symbol val="square"/>
            <c:size val="7"/>
            <c:spPr>
              <a:ln>
                <a:solidFill>
                  <a:schemeClr val="tx1"/>
                </a:solidFill>
              </a:ln>
            </c:spPr>
          </c:marker>
          <c:errBars>
            <c:errDir val="x"/>
            <c:errBarType val="both"/>
            <c:errValType val="cust"/>
            <c:noEndCap val="0"/>
            <c:plus>
              <c:numRef>
                <c:f>Occupation!$I$89</c:f>
                <c:numCache>
                  <c:formatCode>General</c:formatCode>
                  <c:ptCount val="1"/>
                  <c:pt idx="0">
                    <c:v>3.7228133612916769E-2</c:v>
                  </c:pt>
                </c:numCache>
              </c:numRef>
            </c:plus>
            <c:minus>
              <c:numRef>
                <c:f>Occupation!$I$89</c:f>
                <c:numCache>
                  <c:formatCode>General</c:formatCode>
                  <c:ptCount val="1"/>
                  <c:pt idx="0">
                    <c:v>3.7228133612916769E-2</c:v>
                  </c:pt>
                </c:numCache>
              </c:numRef>
            </c:minus>
          </c:errBars>
          <c:errBars>
            <c:errDir val="y"/>
            <c:errBarType val="both"/>
            <c:errValType val="stdErr"/>
            <c:noEndCap val="0"/>
          </c:errBars>
          <c:xVal>
            <c:numRef>
              <c:f>Occupation!$F$89</c:f>
              <c:numCache>
                <c:formatCode>General</c:formatCode>
                <c:ptCount val="1"/>
                <c:pt idx="0">
                  <c:v>1.0606693078573677</c:v>
                </c:pt>
              </c:numCache>
            </c:numRef>
          </c:xVal>
          <c:yVal>
            <c:numRef>
              <c:f>Occupation!$H$89</c:f>
              <c:numCache>
                <c:formatCode>General</c:formatCode>
                <c:ptCount val="1"/>
                <c:pt idx="0">
                  <c:v>10</c:v>
                </c:pt>
              </c:numCache>
            </c:numRef>
          </c:yVal>
          <c:smooth val="0"/>
          <c:extLst>
            <c:ext xmlns:c16="http://schemas.microsoft.com/office/drawing/2014/chart" uri="{C3380CC4-5D6E-409C-BE32-E72D297353CC}">
              <c16:uniqueId val="{0000000D-3782-4DFF-BDDE-28575C52DF1D}"/>
            </c:ext>
          </c:extLst>
        </c:ser>
        <c:ser>
          <c:idx val="13"/>
          <c:order val="14"/>
          <c:tx>
            <c:strRef>
              <c:f>Occupation!$A$90</c:f>
              <c:strCache>
                <c:ptCount val="1"/>
                <c:pt idx="0">
                  <c:v>Legal</c:v>
                </c:pt>
              </c:strCache>
            </c:strRef>
          </c:tx>
          <c:spPr>
            <a:ln w="19050">
              <a:noFill/>
            </a:ln>
          </c:spPr>
          <c:marker>
            <c:symbol val="square"/>
            <c:size val="7"/>
            <c:spPr>
              <a:ln>
                <a:solidFill>
                  <a:schemeClr val="tx1"/>
                </a:solidFill>
              </a:ln>
            </c:spPr>
          </c:marker>
          <c:errBars>
            <c:errDir val="x"/>
            <c:errBarType val="both"/>
            <c:errValType val="cust"/>
            <c:noEndCap val="0"/>
            <c:plus>
              <c:numRef>
                <c:f>Occupation!$J$90</c:f>
                <c:numCache>
                  <c:formatCode>General</c:formatCode>
                  <c:ptCount val="1"/>
                  <c:pt idx="0">
                    <c:v>0.30136064471402735</c:v>
                  </c:pt>
                </c:numCache>
              </c:numRef>
            </c:plus>
            <c:minus>
              <c:numRef>
                <c:f>Occupation!$J$90</c:f>
                <c:numCache>
                  <c:formatCode>General</c:formatCode>
                  <c:ptCount val="1"/>
                  <c:pt idx="0">
                    <c:v>0.30136064471402735</c:v>
                  </c:pt>
                </c:numCache>
              </c:numRef>
            </c:minus>
          </c:errBars>
          <c:errBars>
            <c:errDir val="y"/>
            <c:errBarType val="both"/>
            <c:errValType val="stdErr"/>
            <c:noEndCap val="0"/>
          </c:errBars>
          <c:xVal>
            <c:numRef>
              <c:f>Occupation!$F$90</c:f>
              <c:numCache>
                <c:formatCode>General</c:formatCode>
                <c:ptCount val="1"/>
                <c:pt idx="0">
                  <c:v>1.6448384205923319</c:v>
                </c:pt>
              </c:numCache>
            </c:numRef>
          </c:xVal>
          <c:yVal>
            <c:numRef>
              <c:f>Occupation!$H$90</c:f>
              <c:numCache>
                <c:formatCode>General</c:formatCode>
                <c:ptCount val="1"/>
                <c:pt idx="0">
                  <c:v>9</c:v>
                </c:pt>
              </c:numCache>
            </c:numRef>
          </c:yVal>
          <c:smooth val="0"/>
          <c:extLst>
            <c:ext xmlns:c16="http://schemas.microsoft.com/office/drawing/2014/chart" uri="{C3380CC4-5D6E-409C-BE32-E72D297353CC}">
              <c16:uniqueId val="{0000000E-3782-4DFF-BDDE-28575C52DF1D}"/>
            </c:ext>
          </c:extLst>
        </c:ser>
        <c:ser>
          <c:idx val="14"/>
          <c:order val="15"/>
          <c:tx>
            <c:strRef>
              <c:f>Occupation!$A$91</c:f>
              <c:strCache>
                <c:ptCount val="1"/>
                <c:pt idx="0">
                  <c:v>Life, Physical and Social Science</c:v>
                </c:pt>
              </c:strCache>
            </c:strRef>
          </c:tx>
          <c:spPr>
            <a:ln w="19050">
              <a:noFill/>
            </a:ln>
          </c:spPr>
          <c:marker>
            <c:symbol val="square"/>
            <c:size val="7"/>
            <c:spPr>
              <a:ln>
                <a:solidFill>
                  <a:schemeClr val="tx1"/>
                </a:solidFill>
              </a:ln>
            </c:spPr>
          </c:marker>
          <c:errBars>
            <c:errDir val="x"/>
            <c:errBarType val="both"/>
            <c:errValType val="cust"/>
            <c:noEndCap val="0"/>
            <c:plus>
              <c:numRef>
                <c:f>Occupation!$I$91</c:f>
                <c:numCache>
                  <c:formatCode>General</c:formatCode>
                  <c:ptCount val="1"/>
                  <c:pt idx="0">
                    <c:v>7.8627892091797991E-2</c:v>
                  </c:pt>
                </c:numCache>
              </c:numRef>
            </c:plus>
            <c:minus>
              <c:numRef>
                <c:f>Occupation!$I$91</c:f>
                <c:numCache>
                  <c:formatCode>General</c:formatCode>
                  <c:ptCount val="1"/>
                  <c:pt idx="0">
                    <c:v>7.8627892091797991E-2</c:v>
                  </c:pt>
                </c:numCache>
              </c:numRef>
            </c:minus>
          </c:errBars>
          <c:errBars>
            <c:errDir val="y"/>
            <c:errBarType val="both"/>
            <c:errValType val="stdErr"/>
            <c:noEndCap val="0"/>
          </c:errBars>
          <c:xVal>
            <c:numRef>
              <c:f>Occupation!$F$91</c:f>
              <c:numCache>
                <c:formatCode>General</c:formatCode>
                <c:ptCount val="1"/>
                <c:pt idx="0">
                  <c:v>1.2174204032378686</c:v>
                </c:pt>
              </c:numCache>
            </c:numRef>
          </c:xVal>
          <c:yVal>
            <c:numRef>
              <c:f>Occupation!$H$91</c:f>
              <c:numCache>
                <c:formatCode>General</c:formatCode>
                <c:ptCount val="1"/>
                <c:pt idx="0">
                  <c:v>8</c:v>
                </c:pt>
              </c:numCache>
            </c:numRef>
          </c:yVal>
          <c:smooth val="0"/>
          <c:extLst>
            <c:ext xmlns:c16="http://schemas.microsoft.com/office/drawing/2014/chart" uri="{C3380CC4-5D6E-409C-BE32-E72D297353CC}">
              <c16:uniqueId val="{0000000F-3782-4DFF-BDDE-28575C52DF1D}"/>
            </c:ext>
          </c:extLst>
        </c:ser>
        <c:ser>
          <c:idx val="15"/>
          <c:order val="16"/>
          <c:tx>
            <c:strRef>
              <c:f>Occupation!$A$92</c:f>
              <c:strCache>
                <c:ptCount val="1"/>
                <c:pt idx="0">
                  <c:v>Management</c:v>
                </c:pt>
              </c:strCache>
            </c:strRef>
          </c:tx>
          <c:spPr>
            <a:ln w="19050">
              <a:noFill/>
            </a:ln>
          </c:spPr>
          <c:marker>
            <c:symbol val="square"/>
            <c:size val="7"/>
            <c:spPr>
              <a:ln>
                <a:solidFill>
                  <a:schemeClr val="tx1"/>
                </a:solidFill>
              </a:ln>
            </c:spPr>
          </c:marker>
          <c:errBars>
            <c:errDir val="x"/>
            <c:errBarType val="both"/>
            <c:errValType val="cust"/>
            <c:noEndCap val="0"/>
            <c:plus>
              <c:numRef>
                <c:f>Occupation!$I$92</c:f>
                <c:numCache>
                  <c:formatCode>General</c:formatCode>
                  <c:ptCount val="1"/>
                  <c:pt idx="0">
                    <c:v>3.831031706106347E-2</c:v>
                  </c:pt>
                </c:numCache>
              </c:numRef>
            </c:plus>
            <c:minus>
              <c:numRef>
                <c:f>Occupation!$I$92</c:f>
                <c:numCache>
                  <c:formatCode>General</c:formatCode>
                  <c:ptCount val="1"/>
                  <c:pt idx="0">
                    <c:v>3.831031706106347E-2</c:v>
                  </c:pt>
                </c:numCache>
              </c:numRef>
            </c:minus>
          </c:errBars>
          <c:errBars>
            <c:errDir val="y"/>
            <c:errBarType val="both"/>
            <c:errValType val="stdErr"/>
            <c:noEndCap val="0"/>
          </c:errBars>
          <c:xVal>
            <c:numRef>
              <c:f>Occupation!$F$92</c:f>
              <c:numCache>
                <c:formatCode>General</c:formatCode>
                <c:ptCount val="1"/>
                <c:pt idx="0">
                  <c:v>1.3256818042105429</c:v>
                </c:pt>
              </c:numCache>
            </c:numRef>
          </c:xVal>
          <c:yVal>
            <c:numRef>
              <c:f>Occupation!$H$92</c:f>
              <c:numCache>
                <c:formatCode>General</c:formatCode>
                <c:ptCount val="1"/>
                <c:pt idx="0">
                  <c:v>7</c:v>
                </c:pt>
              </c:numCache>
            </c:numRef>
          </c:yVal>
          <c:smooth val="0"/>
          <c:extLst>
            <c:ext xmlns:c16="http://schemas.microsoft.com/office/drawing/2014/chart" uri="{C3380CC4-5D6E-409C-BE32-E72D297353CC}">
              <c16:uniqueId val="{00000010-3782-4DFF-BDDE-28575C52DF1D}"/>
            </c:ext>
          </c:extLst>
        </c:ser>
        <c:ser>
          <c:idx val="16"/>
          <c:order val="17"/>
          <c:tx>
            <c:strRef>
              <c:f>Occupation!$A$93</c:f>
              <c:strCache>
                <c:ptCount val="1"/>
                <c:pt idx="0">
                  <c:v>Office and Administrative Support</c:v>
                </c:pt>
              </c:strCache>
            </c:strRef>
          </c:tx>
          <c:spPr>
            <a:ln w="19050">
              <a:noFill/>
            </a:ln>
          </c:spPr>
          <c:marker>
            <c:symbol val="square"/>
            <c:size val="7"/>
            <c:spPr>
              <a:ln>
                <a:solidFill>
                  <a:schemeClr val="tx1"/>
                </a:solidFill>
              </a:ln>
            </c:spPr>
          </c:marker>
          <c:errBars>
            <c:errDir val="x"/>
            <c:errBarType val="both"/>
            <c:errValType val="cust"/>
            <c:noEndCap val="0"/>
            <c:plus>
              <c:numRef>
                <c:f>Occupation!$J$93</c:f>
                <c:numCache>
                  <c:formatCode>General</c:formatCode>
                  <c:ptCount val="1"/>
                  <c:pt idx="0">
                    <c:v>7.4652938461137186E-2</c:v>
                  </c:pt>
                </c:numCache>
              </c:numRef>
            </c:plus>
            <c:minus>
              <c:numRef>
                <c:f>Occupation!$J$93</c:f>
                <c:numCache>
                  <c:formatCode>General</c:formatCode>
                  <c:ptCount val="1"/>
                  <c:pt idx="0">
                    <c:v>7.4652938461137186E-2</c:v>
                  </c:pt>
                </c:numCache>
              </c:numRef>
            </c:minus>
          </c:errBars>
          <c:errBars>
            <c:errDir val="y"/>
            <c:errBarType val="both"/>
            <c:errValType val="stdErr"/>
            <c:noEndCap val="0"/>
          </c:errBars>
          <c:xVal>
            <c:numRef>
              <c:f>Occupation!$F$93</c:f>
              <c:numCache>
                <c:formatCode>General</c:formatCode>
                <c:ptCount val="1"/>
                <c:pt idx="0">
                  <c:v>0.9317239673076545</c:v>
                </c:pt>
              </c:numCache>
            </c:numRef>
          </c:xVal>
          <c:yVal>
            <c:numRef>
              <c:f>Occupation!$H$93</c:f>
              <c:numCache>
                <c:formatCode>General</c:formatCode>
                <c:ptCount val="1"/>
                <c:pt idx="0">
                  <c:v>6</c:v>
                </c:pt>
              </c:numCache>
            </c:numRef>
          </c:yVal>
          <c:smooth val="0"/>
          <c:extLst>
            <c:ext xmlns:c16="http://schemas.microsoft.com/office/drawing/2014/chart" uri="{C3380CC4-5D6E-409C-BE32-E72D297353CC}">
              <c16:uniqueId val="{00000011-3782-4DFF-BDDE-28575C52DF1D}"/>
            </c:ext>
          </c:extLst>
        </c:ser>
        <c:ser>
          <c:idx val="17"/>
          <c:order val="18"/>
          <c:tx>
            <c:strRef>
              <c:f>Occupation!$A$94</c:f>
              <c:strCache>
                <c:ptCount val="1"/>
                <c:pt idx="0">
                  <c:v>Personal Care and Service</c:v>
                </c:pt>
              </c:strCache>
            </c:strRef>
          </c:tx>
          <c:spPr>
            <a:ln w="19050">
              <a:noFill/>
            </a:ln>
          </c:spPr>
          <c:marker>
            <c:symbol val="square"/>
            <c:size val="7"/>
            <c:spPr>
              <a:ln>
                <a:solidFill>
                  <a:schemeClr val="tx1"/>
                </a:solidFill>
              </a:ln>
            </c:spPr>
          </c:marker>
          <c:errBars>
            <c:errDir val="x"/>
            <c:errBarType val="both"/>
            <c:errValType val="cust"/>
            <c:noEndCap val="0"/>
            <c:plus>
              <c:numRef>
                <c:f>Occupation!$J$94</c:f>
                <c:numCache>
                  <c:formatCode>General</c:formatCode>
                  <c:ptCount val="1"/>
                  <c:pt idx="0">
                    <c:v>3.4901602146795163E-2</c:v>
                  </c:pt>
                </c:numCache>
              </c:numRef>
            </c:plus>
            <c:minus>
              <c:numRef>
                <c:f>Occupation!$J$94</c:f>
                <c:numCache>
                  <c:formatCode>General</c:formatCode>
                  <c:ptCount val="1"/>
                  <c:pt idx="0">
                    <c:v>3.4901602146795163E-2</c:v>
                  </c:pt>
                </c:numCache>
              </c:numRef>
            </c:minus>
          </c:errBars>
          <c:errBars>
            <c:errDir val="y"/>
            <c:errBarType val="both"/>
            <c:errValType val="stdErr"/>
            <c:noEndCap val="0"/>
          </c:errBars>
          <c:xVal>
            <c:numRef>
              <c:f>Occupation!$F$94</c:f>
              <c:numCache>
                <c:formatCode>General</c:formatCode>
                <c:ptCount val="1"/>
                <c:pt idx="0">
                  <c:v>1.2736726136415921</c:v>
                </c:pt>
              </c:numCache>
            </c:numRef>
          </c:xVal>
          <c:yVal>
            <c:numRef>
              <c:f>Occupation!$H$94</c:f>
              <c:numCache>
                <c:formatCode>General</c:formatCode>
                <c:ptCount val="1"/>
                <c:pt idx="0">
                  <c:v>5</c:v>
                </c:pt>
              </c:numCache>
            </c:numRef>
          </c:yVal>
          <c:smooth val="0"/>
          <c:extLst>
            <c:ext xmlns:c16="http://schemas.microsoft.com/office/drawing/2014/chart" uri="{C3380CC4-5D6E-409C-BE32-E72D297353CC}">
              <c16:uniqueId val="{00000012-3782-4DFF-BDDE-28575C52DF1D}"/>
            </c:ext>
          </c:extLst>
        </c:ser>
        <c:ser>
          <c:idx val="18"/>
          <c:order val="19"/>
          <c:tx>
            <c:strRef>
              <c:f>Occupation!$A$95</c:f>
              <c:strCache>
                <c:ptCount val="1"/>
                <c:pt idx="0">
                  <c:v>Production</c:v>
                </c:pt>
              </c:strCache>
            </c:strRef>
          </c:tx>
          <c:spPr>
            <a:ln w="19050">
              <a:noFill/>
            </a:ln>
          </c:spPr>
          <c:marker>
            <c:symbol val="square"/>
            <c:size val="7"/>
            <c:spPr>
              <a:ln>
                <a:solidFill>
                  <a:schemeClr val="tx1"/>
                </a:solidFill>
              </a:ln>
            </c:spPr>
          </c:marker>
          <c:errBars>
            <c:errDir val="x"/>
            <c:errBarType val="both"/>
            <c:errValType val="cust"/>
            <c:noEndCap val="0"/>
            <c:plus>
              <c:numRef>
                <c:f>Occupation!$J$95</c:f>
                <c:numCache>
                  <c:formatCode>General</c:formatCode>
                  <c:ptCount val="1"/>
                  <c:pt idx="0">
                    <c:v>0.12995617558359673</c:v>
                  </c:pt>
                </c:numCache>
              </c:numRef>
            </c:plus>
            <c:minus>
              <c:numRef>
                <c:f>Occupation!$J$95</c:f>
                <c:numCache>
                  <c:formatCode>General</c:formatCode>
                  <c:ptCount val="1"/>
                  <c:pt idx="0">
                    <c:v>0.12995617558359673</c:v>
                  </c:pt>
                </c:numCache>
              </c:numRef>
            </c:minus>
          </c:errBars>
          <c:errBars>
            <c:errDir val="y"/>
            <c:errBarType val="both"/>
            <c:errValType val="stdErr"/>
            <c:noEndCap val="0"/>
          </c:errBars>
          <c:xVal>
            <c:numRef>
              <c:f>Occupation!$F$95</c:f>
              <c:numCache>
                <c:formatCode>General</c:formatCode>
                <c:ptCount val="1"/>
                <c:pt idx="0">
                  <c:v>1.1291904835743194</c:v>
                </c:pt>
              </c:numCache>
            </c:numRef>
          </c:xVal>
          <c:yVal>
            <c:numRef>
              <c:f>Occupation!$H$95</c:f>
              <c:numCache>
                <c:formatCode>General</c:formatCode>
                <c:ptCount val="1"/>
                <c:pt idx="0">
                  <c:v>4</c:v>
                </c:pt>
              </c:numCache>
            </c:numRef>
          </c:yVal>
          <c:smooth val="0"/>
          <c:extLst>
            <c:ext xmlns:c16="http://schemas.microsoft.com/office/drawing/2014/chart" uri="{C3380CC4-5D6E-409C-BE32-E72D297353CC}">
              <c16:uniqueId val="{00000013-3782-4DFF-BDDE-28575C52DF1D}"/>
            </c:ext>
          </c:extLst>
        </c:ser>
        <c:ser>
          <c:idx val="19"/>
          <c:order val="20"/>
          <c:tx>
            <c:strRef>
              <c:f>Occupation!$A$96</c:f>
              <c:strCache>
                <c:ptCount val="1"/>
                <c:pt idx="0">
                  <c:v>Protective Service</c:v>
                </c:pt>
              </c:strCache>
            </c:strRef>
          </c:tx>
          <c:spPr>
            <a:ln w="19050">
              <a:noFill/>
            </a:ln>
          </c:spPr>
          <c:marker>
            <c:symbol val="square"/>
            <c:size val="7"/>
            <c:spPr>
              <a:ln>
                <a:solidFill>
                  <a:schemeClr val="tx1"/>
                </a:solidFill>
              </a:ln>
            </c:spPr>
          </c:marker>
          <c:errBars>
            <c:errDir val="x"/>
            <c:errBarType val="both"/>
            <c:errValType val="cust"/>
            <c:noEndCap val="0"/>
            <c:plus>
              <c:numRef>
                <c:f>Occupation!$I$96</c:f>
                <c:numCache>
                  <c:formatCode>General</c:formatCode>
                  <c:ptCount val="1"/>
                  <c:pt idx="0">
                    <c:v>7.0885757587206166E-2</c:v>
                  </c:pt>
                </c:numCache>
              </c:numRef>
            </c:plus>
            <c:minus>
              <c:numRef>
                <c:f>Occupation!$I$96</c:f>
                <c:numCache>
                  <c:formatCode>General</c:formatCode>
                  <c:ptCount val="1"/>
                  <c:pt idx="0">
                    <c:v>7.0885757587206166E-2</c:v>
                  </c:pt>
                </c:numCache>
              </c:numRef>
            </c:minus>
          </c:errBars>
          <c:errBars>
            <c:errDir val="y"/>
            <c:errBarType val="both"/>
            <c:errValType val="stdErr"/>
            <c:noEndCap val="0"/>
          </c:errBars>
          <c:xVal>
            <c:numRef>
              <c:f>Occupation!$F$96</c:f>
              <c:numCache>
                <c:formatCode>General</c:formatCode>
                <c:ptCount val="1"/>
                <c:pt idx="0">
                  <c:v>1.3104012301139047</c:v>
                </c:pt>
              </c:numCache>
            </c:numRef>
          </c:xVal>
          <c:yVal>
            <c:numRef>
              <c:f>Occupation!$H$96</c:f>
              <c:numCache>
                <c:formatCode>General</c:formatCode>
                <c:ptCount val="1"/>
                <c:pt idx="0">
                  <c:v>3</c:v>
                </c:pt>
              </c:numCache>
            </c:numRef>
          </c:yVal>
          <c:smooth val="0"/>
          <c:extLst>
            <c:ext xmlns:c16="http://schemas.microsoft.com/office/drawing/2014/chart" uri="{C3380CC4-5D6E-409C-BE32-E72D297353CC}">
              <c16:uniqueId val="{00000014-3782-4DFF-BDDE-28575C52DF1D}"/>
            </c:ext>
          </c:extLst>
        </c:ser>
        <c:ser>
          <c:idx val="21"/>
          <c:order val="21"/>
          <c:tx>
            <c:strRef>
              <c:f>Occupation!$A$97</c:f>
              <c:strCache>
                <c:ptCount val="1"/>
                <c:pt idx="0">
                  <c:v>Sales and Related </c:v>
                </c:pt>
              </c:strCache>
            </c:strRef>
          </c:tx>
          <c:spPr>
            <a:ln w="19050">
              <a:noFill/>
            </a:ln>
          </c:spPr>
          <c:marker>
            <c:symbol val="square"/>
            <c:size val="7"/>
            <c:spPr>
              <a:ln>
                <a:solidFill>
                  <a:schemeClr val="tx1"/>
                </a:solidFill>
              </a:ln>
            </c:spPr>
          </c:marker>
          <c:errBars>
            <c:errDir val="x"/>
            <c:errBarType val="both"/>
            <c:errValType val="cust"/>
            <c:noEndCap val="0"/>
            <c:plus>
              <c:numRef>
                <c:f>Occupation!$I$97</c:f>
                <c:numCache>
                  <c:formatCode>General</c:formatCode>
                  <c:ptCount val="1"/>
                  <c:pt idx="0">
                    <c:v>7.5617549875894419E-2</c:v>
                  </c:pt>
                </c:numCache>
              </c:numRef>
            </c:plus>
            <c:minus>
              <c:numRef>
                <c:f>Occupation!$I$97</c:f>
                <c:numCache>
                  <c:formatCode>General</c:formatCode>
                  <c:ptCount val="1"/>
                  <c:pt idx="0">
                    <c:v>7.5617549875894419E-2</c:v>
                  </c:pt>
                </c:numCache>
              </c:numRef>
            </c:minus>
          </c:errBars>
          <c:errBars>
            <c:errDir val="y"/>
            <c:errBarType val="both"/>
            <c:errValType val="stdErr"/>
            <c:noEndCap val="0"/>
          </c:errBars>
          <c:xVal>
            <c:numRef>
              <c:f>Occupation!$F$97</c:f>
              <c:numCache>
                <c:formatCode>General</c:formatCode>
                <c:ptCount val="1"/>
                <c:pt idx="0">
                  <c:v>1.244213203155027</c:v>
                </c:pt>
              </c:numCache>
            </c:numRef>
          </c:xVal>
          <c:yVal>
            <c:numRef>
              <c:f>Occupation!$H$97</c:f>
              <c:numCache>
                <c:formatCode>General</c:formatCode>
                <c:ptCount val="1"/>
                <c:pt idx="0">
                  <c:v>2</c:v>
                </c:pt>
              </c:numCache>
            </c:numRef>
          </c:yVal>
          <c:smooth val="0"/>
          <c:extLst>
            <c:ext xmlns:c16="http://schemas.microsoft.com/office/drawing/2014/chart" uri="{C3380CC4-5D6E-409C-BE32-E72D297353CC}">
              <c16:uniqueId val="{00000015-3782-4DFF-BDDE-28575C52DF1D}"/>
            </c:ext>
          </c:extLst>
        </c:ser>
        <c:ser>
          <c:idx val="22"/>
          <c:order val="22"/>
          <c:tx>
            <c:strRef>
              <c:f>Occupation!$A$98</c:f>
              <c:strCache>
                <c:ptCount val="1"/>
                <c:pt idx="0">
                  <c:v>Transportation and Material Moving </c:v>
                </c:pt>
              </c:strCache>
            </c:strRef>
          </c:tx>
          <c:spPr>
            <a:ln w="19050">
              <a:noFill/>
            </a:ln>
          </c:spPr>
          <c:marker>
            <c:symbol val="square"/>
            <c:size val="7"/>
            <c:spPr>
              <a:ln>
                <a:solidFill>
                  <a:schemeClr val="tx1"/>
                </a:solidFill>
              </a:ln>
            </c:spPr>
          </c:marker>
          <c:errBars>
            <c:errDir val="x"/>
            <c:errBarType val="both"/>
            <c:errValType val="cust"/>
            <c:noEndCap val="0"/>
            <c:plus>
              <c:numRef>
                <c:f>Occupation!$I$98</c:f>
                <c:numCache>
                  <c:formatCode>General</c:formatCode>
                  <c:ptCount val="1"/>
                  <c:pt idx="0">
                    <c:v>0.18413749749725006</c:v>
                  </c:pt>
                </c:numCache>
              </c:numRef>
            </c:plus>
            <c:minus>
              <c:numRef>
                <c:f>Occupation!$I$98</c:f>
                <c:numCache>
                  <c:formatCode>General</c:formatCode>
                  <c:ptCount val="1"/>
                  <c:pt idx="0">
                    <c:v>0.18413749749725006</c:v>
                  </c:pt>
                </c:numCache>
              </c:numRef>
            </c:minus>
          </c:errBars>
          <c:errBars>
            <c:errDir val="y"/>
            <c:errBarType val="both"/>
            <c:errValType val="stdErr"/>
            <c:noEndCap val="0"/>
          </c:errBars>
          <c:xVal>
            <c:numRef>
              <c:f>Occupation!$F$98</c:f>
              <c:numCache>
                <c:formatCode>General</c:formatCode>
                <c:ptCount val="1"/>
                <c:pt idx="0">
                  <c:v>1.5114573311076729</c:v>
                </c:pt>
              </c:numCache>
            </c:numRef>
          </c:xVal>
          <c:yVal>
            <c:numRef>
              <c:f>Occupation!$H$98</c:f>
              <c:numCache>
                <c:formatCode>General</c:formatCode>
                <c:ptCount val="1"/>
                <c:pt idx="0">
                  <c:v>1</c:v>
                </c:pt>
              </c:numCache>
            </c:numRef>
          </c:yVal>
          <c:smooth val="0"/>
          <c:extLst>
            <c:ext xmlns:c16="http://schemas.microsoft.com/office/drawing/2014/chart" uri="{C3380CC4-5D6E-409C-BE32-E72D297353CC}">
              <c16:uniqueId val="{00000016-3782-4DFF-BDDE-28575C52DF1D}"/>
            </c:ext>
          </c:extLst>
        </c:ser>
        <c:dLbls>
          <c:showLegendKey val="0"/>
          <c:showVal val="0"/>
          <c:showCatName val="0"/>
          <c:showSerName val="0"/>
          <c:showPercent val="0"/>
          <c:showBubbleSize val="0"/>
        </c:dLbls>
        <c:axId val="310787536"/>
        <c:axId val="310427080"/>
      </c:scatterChart>
      <c:valAx>
        <c:axId val="310787536"/>
        <c:scaling>
          <c:orientation val="minMax"/>
          <c:max val="2"/>
          <c:min val="0.5"/>
        </c:scaling>
        <c:delete val="0"/>
        <c:axPos val="b"/>
        <c:title>
          <c:tx>
            <c:rich>
              <a:bodyPr/>
              <a:lstStyle/>
              <a:p>
                <a:pPr>
                  <a:defRPr sz="900"/>
                </a:pPr>
                <a:r>
                  <a:rPr lang="en-US" sz="900" b="1" i="0" baseline="0">
                    <a:effectLst/>
                  </a:rPr>
                  <a:t>2018-2019 / 2020 Rate Ratio (CI)</a:t>
                </a:r>
                <a:r>
                  <a:rPr lang="en-US" sz="900" b="1" i="0" baseline="30000">
                    <a:effectLst/>
                  </a:rPr>
                  <a:t>‡</a:t>
                </a:r>
                <a:endParaRPr lang="en-US" sz="900" b="1" i="0" baseline="0">
                  <a:effectLst/>
                </a:endParaRPr>
              </a:p>
            </c:rich>
          </c:tx>
          <c:layout>
            <c:manualLayout>
              <c:xMode val="edge"/>
              <c:yMode val="edge"/>
              <c:x val="0.49877617381160688"/>
              <c:y val="0.94178833895763026"/>
            </c:manualLayout>
          </c:layout>
          <c:overlay val="0"/>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0427080"/>
        <c:crosses val="autoZero"/>
        <c:crossBetween val="midCat"/>
        <c:majorUnit val="0.5"/>
      </c:valAx>
      <c:valAx>
        <c:axId val="310427080"/>
        <c:scaling>
          <c:orientation val="minMax"/>
        </c:scaling>
        <c:delete val="0"/>
        <c:axPos val="l"/>
        <c:numFmt formatCode="General" sourceLinked="1"/>
        <c:majorTickMark val="none"/>
        <c:minorTickMark val="none"/>
        <c:tickLblPos val="none"/>
        <c:spPr>
          <a:solidFill>
            <a:schemeClr val="tx1"/>
          </a:solid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787536"/>
        <c:crosses val="autoZero"/>
        <c:crossBetween val="midCat"/>
      </c:valAx>
      <c:spPr>
        <a:noFill/>
        <a:ln>
          <a:noFill/>
        </a:ln>
        <a:effectLst/>
      </c:spPr>
    </c:plotArea>
    <c:legend>
      <c:legendPos val="r"/>
      <c:layout>
        <c:manualLayout>
          <c:xMode val="edge"/>
          <c:yMode val="edge"/>
          <c:x val="4.7666134756411856E-3"/>
          <c:y val="0.10352343457067867"/>
          <c:w val="0.31831904345290174"/>
          <c:h val="0.78429940007499055"/>
        </c:manualLayout>
      </c:layout>
      <c:overlay val="0"/>
      <c:txPr>
        <a:bodyPr/>
        <a:lstStyle/>
        <a:p>
          <a:pPr>
            <a:defRPr sz="800"/>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041570077767594E-2"/>
          <c:y val="3.1409371415704407E-2"/>
          <c:w val="0.93095842992223243"/>
          <c:h val="0.75009210979994789"/>
        </c:manualLayout>
      </c:layout>
      <c:barChart>
        <c:barDir val="col"/>
        <c:grouping val="clustered"/>
        <c:varyColors val="0"/>
        <c:ser>
          <c:idx val="5"/>
          <c:order val="0"/>
          <c:tx>
            <c:strRef>
              <c:f>'Figure - race&amp;ethnicity'!$J$22</c:f>
              <c:strCache>
                <c:ptCount val="1"/>
                <c:pt idx="0">
                  <c:v>2016</c:v>
                </c:pt>
              </c:strCache>
            </c:strRef>
          </c:tx>
          <c:spPr>
            <a:solidFill>
              <a:srgbClr val="002060"/>
            </a:solidFill>
            <a:ln>
              <a:solidFill>
                <a:sysClr val="windowText" lastClr="000000"/>
              </a:solidFill>
            </a:ln>
          </c:spPr>
          <c:invertIfNegative val="0"/>
          <c:errBars>
            <c:errBarType val="both"/>
            <c:errValType val="cust"/>
            <c:noEndCap val="0"/>
            <c:plus>
              <c:numRef>
                <c:f>'Figure - race&amp;ethnicity'!$P$22:$P$25</c:f>
                <c:numCache>
                  <c:formatCode>General</c:formatCode>
                  <c:ptCount val="4"/>
                  <c:pt idx="0">
                    <c:v>2.2813676838277721</c:v>
                  </c:pt>
                  <c:pt idx="1">
                    <c:v>2.7821521812824792</c:v>
                  </c:pt>
                  <c:pt idx="2">
                    <c:v>7.6400924147169729</c:v>
                  </c:pt>
                  <c:pt idx="3">
                    <c:v>6.601092505260457</c:v>
                  </c:pt>
                </c:numCache>
              </c:numRef>
            </c:plus>
            <c:minus>
              <c:numRef>
                <c:f>'Figure - race&amp;ethnicity'!$P$22:$P$25</c:f>
                <c:numCache>
                  <c:formatCode>General</c:formatCode>
                  <c:ptCount val="4"/>
                  <c:pt idx="0">
                    <c:v>2.2813676838277721</c:v>
                  </c:pt>
                  <c:pt idx="1">
                    <c:v>2.7821521812824792</c:v>
                  </c:pt>
                  <c:pt idx="2">
                    <c:v>7.6400924147169729</c:v>
                  </c:pt>
                  <c:pt idx="3">
                    <c:v>6.601092505260457</c:v>
                  </c:pt>
                </c:numCache>
              </c:numRef>
            </c:minus>
          </c:errBars>
          <c:cat>
            <c:strRef>
              <c:f>'Figure - race&amp;ethnicity'!$K$38:$K$41</c:f>
              <c:strCache>
                <c:ptCount val="4"/>
                <c:pt idx="0">
                  <c:v>All workers                                     (n=8,433)</c:v>
                </c:pt>
                <c:pt idx="1">
                  <c:v>White, non-Hispanic                        (n=6,690)</c:v>
                </c:pt>
                <c:pt idx="2">
                  <c:v>Hispanic                                 (n=835)</c:v>
                </c:pt>
                <c:pt idx="3">
                  <c:v>Black, non-Hispanic                                   (n=444)</c:v>
                </c:pt>
              </c:strCache>
            </c:strRef>
          </c:cat>
          <c:val>
            <c:numRef>
              <c:f>'Figure - race&amp;ethnicity'!$N$22:$N$25</c:f>
              <c:numCache>
                <c:formatCode>General</c:formatCode>
                <c:ptCount val="4"/>
                <c:pt idx="0">
                  <c:v>48.286936069050597</c:v>
                </c:pt>
                <c:pt idx="1">
                  <c:v>54.032990328877816</c:v>
                </c:pt>
                <c:pt idx="2">
                  <c:v>52.151770392361946</c:v>
                </c:pt>
                <c:pt idx="3">
                  <c:v>25.869364095953419</c:v>
                </c:pt>
              </c:numCache>
            </c:numRef>
          </c:val>
          <c:extLst>
            <c:ext xmlns:c16="http://schemas.microsoft.com/office/drawing/2014/chart" uri="{C3380CC4-5D6E-409C-BE32-E72D297353CC}">
              <c16:uniqueId val="{00000000-A9FF-46ED-BBBC-C1E5AD33BB38}"/>
            </c:ext>
          </c:extLst>
        </c:ser>
        <c:ser>
          <c:idx val="6"/>
          <c:order val="1"/>
          <c:tx>
            <c:strRef>
              <c:f>'Figure - race&amp;ethnicity'!$J$26</c:f>
              <c:strCache>
                <c:ptCount val="1"/>
                <c:pt idx="0">
                  <c:v>2017</c:v>
                </c:pt>
              </c:strCache>
            </c:strRef>
          </c:tx>
          <c:spPr>
            <a:solidFill>
              <a:srgbClr val="00B0F0"/>
            </a:solidFill>
            <a:ln>
              <a:solidFill>
                <a:sysClr val="windowText" lastClr="000000"/>
              </a:solidFill>
            </a:ln>
          </c:spPr>
          <c:invertIfNegative val="0"/>
          <c:errBars>
            <c:errBarType val="both"/>
            <c:errValType val="cust"/>
            <c:noEndCap val="0"/>
            <c:plus>
              <c:numRef>
                <c:f>'Figure - race&amp;ethnicity'!$P$26:$P$29</c:f>
                <c:numCache>
                  <c:formatCode>General</c:formatCode>
                  <c:ptCount val="4"/>
                  <c:pt idx="0">
                    <c:v>2.2048152961363541</c:v>
                  </c:pt>
                  <c:pt idx="1">
                    <c:v>2.6908610366764192</c:v>
                  </c:pt>
                  <c:pt idx="2">
                    <c:v>7.1951734967054648</c:v>
                  </c:pt>
                  <c:pt idx="3">
                    <c:v>7.3521985573718309</c:v>
                  </c:pt>
                </c:numCache>
              </c:numRef>
            </c:plus>
            <c:minus>
              <c:numRef>
                <c:f>'Figure - race&amp;ethnicity'!$P$26:$P$29</c:f>
                <c:numCache>
                  <c:formatCode>General</c:formatCode>
                  <c:ptCount val="4"/>
                  <c:pt idx="0">
                    <c:v>2.2048152961363541</c:v>
                  </c:pt>
                  <c:pt idx="1">
                    <c:v>2.6908610366764192</c:v>
                  </c:pt>
                  <c:pt idx="2">
                    <c:v>7.1951734967054648</c:v>
                  </c:pt>
                  <c:pt idx="3">
                    <c:v>7.3521985573718309</c:v>
                  </c:pt>
                </c:numCache>
              </c:numRef>
            </c:minus>
          </c:errBars>
          <c:cat>
            <c:strRef>
              <c:f>'Figure - race&amp;ethnicity'!$K$38:$K$41</c:f>
              <c:strCache>
                <c:ptCount val="4"/>
                <c:pt idx="0">
                  <c:v>All workers                                     (n=8,433)</c:v>
                </c:pt>
                <c:pt idx="1">
                  <c:v>White, non-Hispanic                        (n=6,690)</c:v>
                </c:pt>
                <c:pt idx="2">
                  <c:v>Hispanic                                 (n=835)</c:v>
                </c:pt>
                <c:pt idx="3">
                  <c:v>Black, non-Hispanic                                   (n=444)</c:v>
                </c:pt>
              </c:strCache>
            </c:strRef>
          </c:cat>
          <c:val>
            <c:numRef>
              <c:f>'Figure - race&amp;ethnicity'!$N$26:$N$29</c:f>
              <c:numCache>
                <c:formatCode>General</c:formatCode>
                <c:ptCount val="4"/>
                <c:pt idx="0">
                  <c:v>45.45788589931454</c:v>
                </c:pt>
                <c:pt idx="1">
                  <c:v>49.992742380913782</c:v>
                </c:pt>
                <c:pt idx="2">
                  <c:v>50.200264155400681</c:v>
                </c:pt>
                <c:pt idx="3">
                  <c:v>34.583633397211337</c:v>
                </c:pt>
              </c:numCache>
            </c:numRef>
          </c:val>
          <c:extLst>
            <c:ext xmlns:c16="http://schemas.microsoft.com/office/drawing/2014/chart" uri="{C3380CC4-5D6E-409C-BE32-E72D297353CC}">
              <c16:uniqueId val="{00000001-A9FF-46ED-BBBC-C1E5AD33BB38}"/>
            </c:ext>
          </c:extLst>
        </c:ser>
        <c:ser>
          <c:idx val="7"/>
          <c:order val="2"/>
          <c:tx>
            <c:strRef>
              <c:f>'Figure - race&amp;ethnicity'!$J$30</c:f>
              <c:strCache>
                <c:ptCount val="1"/>
                <c:pt idx="0">
                  <c:v>2018</c:v>
                </c:pt>
              </c:strCache>
            </c:strRef>
          </c:tx>
          <c:spPr>
            <a:solidFill>
              <a:schemeClr val="accent5">
                <a:lumMod val="20000"/>
                <a:lumOff val="80000"/>
              </a:schemeClr>
            </a:solidFill>
            <a:ln>
              <a:solidFill>
                <a:schemeClr val="tx1"/>
              </a:solidFill>
            </a:ln>
          </c:spPr>
          <c:invertIfNegative val="0"/>
          <c:errBars>
            <c:errBarType val="both"/>
            <c:errValType val="cust"/>
            <c:noEndCap val="0"/>
            <c:plus>
              <c:numRef>
                <c:f>'Figure - race&amp;ethnicity'!$P$30:$P$33</c:f>
                <c:numCache>
                  <c:formatCode>General</c:formatCode>
                  <c:ptCount val="4"/>
                  <c:pt idx="0">
                    <c:v>2.2150567194359931</c:v>
                  </c:pt>
                  <c:pt idx="1">
                    <c:v>2.715131843085365</c:v>
                  </c:pt>
                  <c:pt idx="2">
                    <c:v>6.1449962937837332</c:v>
                  </c:pt>
                  <c:pt idx="3">
                    <c:v>6.3931550168365847</c:v>
                  </c:pt>
                </c:numCache>
              </c:numRef>
            </c:plus>
            <c:minus>
              <c:numRef>
                <c:f>'Figure - race&amp;ethnicity'!$P$30:$P$33</c:f>
                <c:numCache>
                  <c:formatCode>General</c:formatCode>
                  <c:ptCount val="4"/>
                  <c:pt idx="0">
                    <c:v>2.2150567194359931</c:v>
                  </c:pt>
                  <c:pt idx="1">
                    <c:v>2.715131843085365</c:v>
                  </c:pt>
                  <c:pt idx="2">
                    <c:v>6.1449962937837332</c:v>
                  </c:pt>
                  <c:pt idx="3">
                    <c:v>6.3931550168365847</c:v>
                  </c:pt>
                </c:numCache>
              </c:numRef>
            </c:minus>
          </c:errBars>
          <c:cat>
            <c:strRef>
              <c:f>'Figure - race&amp;ethnicity'!$K$38:$K$41</c:f>
              <c:strCache>
                <c:ptCount val="4"/>
                <c:pt idx="0">
                  <c:v>All workers                                     (n=8,433)</c:v>
                </c:pt>
                <c:pt idx="1">
                  <c:v>White, non-Hispanic                        (n=6,690)</c:v>
                </c:pt>
                <c:pt idx="2">
                  <c:v>Hispanic                                 (n=835)</c:v>
                </c:pt>
                <c:pt idx="3">
                  <c:v>Black, non-Hispanic                                   (n=444)</c:v>
                </c:pt>
              </c:strCache>
            </c:strRef>
          </c:cat>
          <c:val>
            <c:numRef>
              <c:f>'Figure - race&amp;ethnicity'!$N$30:$N$33</c:f>
              <c:numCache>
                <c:formatCode>General</c:formatCode>
                <c:ptCount val="4"/>
                <c:pt idx="0">
                  <c:v>46.349150187504634</c:v>
                </c:pt>
                <c:pt idx="1">
                  <c:v>50.80377617480427</c:v>
                </c:pt>
                <c:pt idx="2">
                  <c:v>38.141380821070541</c:v>
                </c:pt>
                <c:pt idx="3">
                  <c:v>26.297583454369644</c:v>
                </c:pt>
              </c:numCache>
            </c:numRef>
          </c:val>
          <c:extLst>
            <c:ext xmlns:c16="http://schemas.microsoft.com/office/drawing/2014/chart" uri="{C3380CC4-5D6E-409C-BE32-E72D297353CC}">
              <c16:uniqueId val="{00000002-A9FF-46ED-BBBC-C1E5AD33BB38}"/>
            </c:ext>
          </c:extLst>
        </c:ser>
        <c:ser>
          <c:idx val="8"/>
          <c:order val="3"/>
          <c:tx>
            <c:strRef>
              <c:f>'Figure - race&amp;ethnicity'!$J$34</c:f>
              <c:strCache>
                <c:ptCount val="1"/>
                <c:pt idx="0">
                  <c:v>2019</c:v>
                </c:pt>
              </c:strCache>
            </c:strRef>
          </c:tx>
          <c:spPr>
            <a:solidFill>
              <a:schemeClr val="tx2">
                <a:lumMod val="60000"/>
                <a:lumOff val="40000"/>
              </a:schemeClr>
            </a:solidFill>
            <a:ln>
              <a:solidFill>
                <a:schemeClr val="tx1"/>
              </a:solidFill>
            </a:ln>
          </c:spPr>
          <c:invertIfNegative val="0"/>
          <c:errBars>
            <c:errBarType val="both"/>
            <c:errValType val="cust"/>
            <c:noEndCap val="0"/>
            <c:plus>
              <c:numRef>
                <c:f>'Figure - race&amp;ethnicity'!$P$34:$P$37</c:f>
                <c:numCache>
                  <c:formatCode>General</c:formatCode>
                  <c:ptCount val="4"/>
                  <c:pt idx="0">
                    <c:v>2.1579368437346798</c:v>
                  </c:pt>
                  <c:pt idx="1">
                    <c:v>2.644681730882867</c:v>
                  </c:pt>
                  <c:pt idx="2">
                    <c:v>5.9552918634323175</c:v>
                  </c:pt>
                  <c:pt idx="3">
                    <c:v>7.3190011607000898</c:v>
                  </c:pt>
                </c:numCache>
              </c:numRef>
            </c:plus>
            <c:minus>
              <c:numRef>
                <c:f>'Figure - race&amp;ethnicity'!$P$34:$P$37</c:f>
                <c:numCache>
                  <c:formatCode>General</c:formatCode>
                  <c:ptCount val="4"/>
                  <c:pt idx="0">
                    <c:v>2.1579368437346798</c:v>
                  </c:pt>
                  <c:pt idx="1">
                    <c:v>2.644681730882867</c:v>
                  </c:pt>
                  <c:pt idx="2">
                    <c:v>5.9552918634323175</c:v>
                  </c:pt>
                  <c:pt idx="3">
                    <c:v>7.3190011607000898</c:v>
                  </c:pt>
                </c:numCache>
              </c:numRef>
            </c:minus>
          </c:errBars>
          <c:cat>
            <c:strRef>
              <c:f>'Figure - race&amp;ethnicity'!$K$38:$K$41</c:f>
              <c:strCache>
                <c:ptCount val="4"/>
                <c:pt idx="0">
                  <c:v>All workers                                     (n=8,433)</c:v>
                </c:pt>
                <c:pt idx="1">
                  <c:v>White, non-Hispanic                        (n=6,690)</c:v>
                </c:pt>
                <c:pt idx="2">
                  <c:v>Hispanic                                 (n=835)</c:v>
                </c:pt>
                <c:pt idx="3">
                  <c:v>Black, non-Hispanic                                   (n=444)</c:v>
                </c:pt>
              </c:strCache>
            </c:strRef>
          </c:cat>
          <c:val>
            <c:numRef>
              <c:f>'Figure - race&amp;ethnicity'!$N$34:$N$37</c:f>
              <c:numCache>
                <c:formatCode>General</c:formatCode>
                <c:ptCount val="4"/>
                <c:pt idx="0">
                  <c:v>44.871178385761382</c:v>
                </c:pt>
                <c:pt idx="1">
                  <c:v>48.650691775413435</c:v>
                </c:pt>
                <c:pt idx="2">
                  <c:v>37.705728822357045</c:v>
                </c:pt>
                <c:pt idx="3">
                  <c:v>35.817037230252943</c:v>
                </c:pt>
              </c:numCache>
            </c:numRef>
          </c:val>
          <c:extLst>
            <c:ext xmlns:c16="http://schemas.microsoft.com/office/drawing/2014/chart" uri="{C3380CC4-5D6E-409C-BE32-E72D297353CC}">
              <c16:uniqueId val="{00000003-A9FF-46ED-BBBC-C1E5AD33BB38}"/>
            </c:ext>
          </c:extLst>
        </c:ser>
        <c:ser>
          <c:idx val="9"/>
          <c:order val="4"/>
          <c:tx>
            <c:strRef>
              <c:f>'Figure - race&amp;ethnicity'!$J$38</c:f>
              <c:strCache>
                <c:ptCount val="1"/>
                <c:pt idx="0">
                  <c:v>2020</c:v>
                </c:pt>
              </c:strCache>
            </c:strRef>
          </c:tx>
          <c:spPr>
            <a:solidFill>
              <a:schemeClr val="accent5">
                <a:lumMod val="75000"/>
              </a:schemeClr>
            </a:solidFill>
            <a:ln>
              <a:solidFill>
                <a:schemeClr val="tx1"/>
              </a:solidFill>
            </a:ln>
          </c:spPr>
          <c:invertIfNegative val="0"/>
          <c:dPt>
            <c:idx val="0"/>
            <c:invertIfNegative val="0"/>
            <c:bubble3D val="0"/>
            <c:extLst>
              <c:ext xmlns:c16="http://schemas.microsoft.com/office/drawing/2014/chart" uri="{C3380CC4-5D6E-409C-BE32-E72D297353CC}">
                <c16:uniqueId val="{00000005-A9FF-46ED-BBBC-C1E5AD33BB38}"/>
              </c:ext>
            </c:extLst>
          </c:dPt>
          <c:dPt>
            <c:idx val="1"/>
            <c:invertIfNegative val="0"/>
            <c:bubble3D val="0"/>
            <c:extLst>
              <c:ext xmlns:c16="http://schemas.microsoft.com/office/drawing/2014/chart" uri="{C3380CC4-5D6E-409C-BE32-E72D297353CC}">
                <c16:uniqueId val="{00000007-A9FF-46ED-BBBC-C1E5AD33BB38}"/>
              </c:ext>
            </c:extLst>
          </c:dPt>
          <c:dPt>
            <c:idx val="2"/>
            <c:invertIfNegative val="0"/>
            <c:bubble3D val="0"/>
            <c:extLst>
              <c:ext xmlns:c16="http://schemas.microsoft.com/office/drawing/2014/chart" uri="{C3380CC4-5D6E-409C-BE32-E72D297353CC}">
                <c16:uniqueId val="{00000009-A9FF-46ED-BBBC-C1E5AD33BB38}"/>
              </c:ext>
            </c:extLst>
          </c:dPt>
          <c:dPt>
            <c:idx val="3"/>
            <c:invertIfNegative val="0"/>
            <c:bubble3D val="0"/>
            <c:extLst>
              <c:ext xmlns:c16="http://schemas.microsoft.com/office/drawing/2014/chart" uri="{C3380CC4-5D6E-409C-BE32-E72D297353CC}">
                <c16:uniqueId val="{0000000B-A9FF-46ED-BBBC-C1E5AD33BB38}"/>
              </c:ext>
            </c:extLst>
          </c:dPt>
          <c:errBars>
            <c:errBarType val="both"/>
            <c:errValType val="cust"/>
            <c:noEndCap val="0"/>
            <c:plus>
              <c:numRef>
                <c:f>'Figure - race&amp;ethnicity'!$P$38:$P$41</c:f>
                <c:numCache>
                  <c:formatCode>General</c:formatCode>
                  <c:ptCount val="4"/>
                  <c:pt idx="0">
                    <c:v>2.3349785439537656</c:v>
                  </c:pt>
                  <c:pt idx="1">
                    <c:v>2.7959954778974105</c:v>
                  </c:pt>
                  <c:pt idx="2">
                    <c:v>6.7039460819353618</c:v>
                  </c:pt>
                  <c:pt idx="3">
                    <c:v>10.822605039770021</c:v>
                  </c:pt>
                </c:numCache>
              </c:numRef>
            </c:plus>
            <c:minus>
              <c:numRef>
                <c:f>'Figure - race&amp;ethnicity'!$P$38:$P$41</c:f>
                <c:numCache>
                  <c:formatCode>General</c:formatCode>
                  <c:ptCount val="4"/>
                  <c:pt idx="0">
                    <c:v>2.3349785439537656</c:v>
                  </c:pt>
                  <c:pt idx="1">
                    <c:v>2.7959954778974105</c:v>
                  </c:pt>
                  <c:pt idx="2">
                    <c:v>6.7039460819353618</c:v>
                  </c:pt>
                  <c:pt idx="3">
                    <c:v>10.822605039770021</c:v>
                  </c:pt>
                </c:numCache>
              </c:numRef>
            </c:minus>
          </c:errBars>
          <c:cat>
            <c:strRef>
              <c:f>'Figure - race&amp;ethnicity'!$K$38:$K$41</c:f>
              <c:strCache>
                <c:ptCount val="4"/>
                <c:pt idx="0">
                  <c:v>All workers                                     (n=8,433)</c:v>
                </c:pt>
                <c:pt idx="1">
                  <c:v>White, non-Hispanic                        (n=6,690)</c:v>
                </c:pt>
                <c:pt idx="2">
                  <c:v>Hispanic                                 (n=835)</c:v>
                </c:pt>
                <c:pt idx="3">
                  <c:v>Black, non-Hispanic                                   (n=444)</c:v>
                </c:pt>
              </c:strCache>
            </c:strRef>
          </c:cat>
          <c:val>
            <c:numRef>
              <c:f>'Figure - race&amp;ethnicity'!$N$38:$N$41</c:f>
              <c:numCache>
                <c:formatCode>General</c:formatCode>
                <c:ptCount val="4"/>
                <c:pt idx="0">
                  <c:v>49.636560872551271</c:v>
                </c:pt>
                <c:pt idx="1">
                  <c:v>50.837273889215567</c:v>
                </c:pt>
                <c:pt idx="2">
                  <c:v>44.201059237359694</c:v>
                </c:pt>
                <c:pt idx="3">
                  <c:v>66.030373972027135</c:v>
                </c:pt>
              </c:numCache>
            </c:numRef>
          </c:val>
          <c:extLst>
            <c:ext xmlns:c16="http://schemas.microsoft.com/office/drawing/2014/chart" uri="{C3380CC4-5D6E-409C-BE32-E72D297353CC}">
              <c16:uniqueId val="{0000000C-A9FF-46ED-BBBC-C1E5AD33BB38}"/>
            </c:ext>
          </c:extLst>
        </c:ser>
        <c:dLbls>
          <c:showLegendKey val="0"/>
          <c:showVal val="0"/>
          <c:showCatName val="0"/>
          <c:showSerName val="0"/>
          <c:showPercent val="0"/>
          <c:showBubbleSize val="0"/>
        </c:dLbls>
        <c:gapWidth val="150"/>
        <c:axId val="102733312"/>
        <c:axId val="102735232"/>
      </c:barChart>
      <c:catAx>
        <c:axId val="102733312"/>
        <c:scaling>
          <c:orientation val="minMax"/>
        </c:scaling>
        <c:delete val="0"/>
        <c:axPos val="b"/>
        <c:title>
          <c:tx>
            <c:rich>
              <a:bodyPr/>
              <a:lstStyle/>
              <a:p>
                <a:pPr>
                  <a:defRPr b="0">
                    <a:solidFill>
                      <a:schemeClr val="tx1"/>
                    </a:solidFill>
                  </a:defRPr>
                </a:pPr>
                <a:r>
                  <a:rPr lang="en-US" b="0">
                    <a:solidFill>
                      <a:schemeClr val="tx1"/>
                    </a:solidFill>
                  </a:rPr>
                  <a:t>Racial/Ethnic Categories</a:t>
                </a:r>
              </a:p>
            </c:rich>
          </c:tx>
          <c:overlay val="0"/>
        </c:title>
        <c:numFmt formatCode="General" sourceLinked="0"/>
        <c:majorTickMark val="out"/>
        <c:minorTickMark val="none"/>
        <c:tickLblPos val="nextTo"/>
        <c:spPr>
          <a:ln>
            <a:solidFill>
              <a:schemeClr val="tx1"/>
            </a:solidFill>
          </a:ln>
        </c:spPr>
        <c:txPr>
          <a:bodyPr/>
          <a:lstStyle/>
          <a:p>
            <a:pPr>
              <a:defRPr>
                <a:solidFill>
                  <a:schemeClr val="tx1"/>
                </a:solidFill>
              </a:defRPr>
            </a:pPr>
            <a:endParaRPr lang="en-US"/>
          </a:p>
        </c:txPr>
        <c:crossAx val="102735232"/>
        <c:crosses val="autoZero"/>
        <c:auto val="1"/>
        <c:lblAlgn val="ctr"/>
        <c:lblOffset val="100"/>
        <c:noMultiLvlLbl val="0"/>
      </c:catAx>
      <c:valAx>
        <c:axId val="102735232"/>
        <c:scaling>
          <c:orientation val="minMax"/>
        </c:scaling>
        <c:delete val="0"/>
        <c:axPos val="l"/>
        <c:majorGridlines>
          <c:spPr>
            <a:ln>
              <a:solidFill>
                <a:schemeClr val="bg1">
                  <a:lumMod val="95000"/>
                </a:schemeClr>
              </a:solidFill>
            </a:ln>
          </c:spPr>
        </c:majorGridlines>
        <c:title>
          <c:tx>
            <c:rich>
              <a:bodyPr rot="-5400000" vert="horz"/>
              <a:lstStyle/>
              <a:p>
                <a:pPr>
                  <a:defRPr sz="900" b="0">
                    <a:solidFill>
                      <a:sysClr val="windowText" lastClr="000000"/>
                    </a:solidFill>
                  </a:defRPr>
                </a:pPr>
                <a:r>
                  <a:rPr lang="en-US" sz="900" b="0">
                    <a:solidFill>
                      <a:sysClr val="windowText" lastClr="000000"/>
                    </a:solidFill>
                  </a:rPr>
                  <a:t>Opioid-related overdose deaths per 100,000 workers</a:t>
                </a:r>
              </a:p>
            </c:rich>
          </c:tx>
          <c:overlay val="0"/>
        </c:title>
        <c:numFmt formatCode="General" sourceLinked="1"/>
        <c:majorTickMark val="out"/>
        <c:minorTickMark val="none"/>
        <c:tickLblPos val="nextTo"/>
        <c:spPr>
          <a:ln>
            <a:solidFill>
              <a:schemeClr val="tx1"/>
            </a:solidFill>
          </a:ln>
        </c:spPr>
        <c:txPr>
          <a:bodyPr/>
          <a:lstStyle/>
          <a:p>
            <a:pPr>
              <a:defRPr sz="900">
                <a:solidFill>
                  <a:schemeClr val="tx1"/>
                </a:solidFill>
              </a:defRPr>
            </a:pPr>
            <a:endParaRPr lang="en-US"/>
          </a:p>
        </c:txPr>
        <c:crossAx val="102733312"/>
        <c:crosses val="autoZero"/>
        <c:crossBetween val="between"/>
      </c:valAx>
    </c:plotArea>
    <c:legend>
      <c:legendPos val="r"/>
      <c:layout>
        <c:manualLayout>
          <c:xMode val="edge"/>
          <c:yMode val="edge"/>
          <c:x val="0.63327617381160672"/>
          <c:y val="2.7634065849007482E-2"/>
          <c:w val="0.364455078663312"/>
          <c:h val="0.12162358238435578"/>
        </c:manualLayout>
      </c:layout>
      <c:overlay val="0"/>
      <c:txPr>
        <a:bodyPr/>
        <a:lstStyle/>
        <a:p>
          <a:pPr>
            <a:defRPr sz="1000"/>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4984687201049"/>
          <c:y val="5.4669603524229074E-2"/>
          <c:w val="0.8880939638822164"/>
          <c:h val="0.82020569565368207"/>
        </c:manualLayout>
      </c:layout>
      <c:barChart>
        <c:barDir val="col"/>
        <c:grouping val="clustered"/>
        <c:varyColors val="0"/>
        <c:ser>
          <c:idx val="1"/>
          <c:order val="0"/>
          <c:tx>
            <c:strRef>
              <c:f>'Paid Sick leave CCIS-occ'!$O$30</c:f>
              <c:strCache>
                <c:ptCount val="1"/>
                <c:pt idx="0">
                  <c:v>Industry</c:v>
                </c:pt>
              </c:strCache>
            </c:strRef>
          </c:tx>
          <c:spPr>
            <a:solidFill>
              <a:srgbClr val="002060"/>
            </a:solidFill>
            <a:ln>
              <a:solidFill>
                <a:schemeClr val="tx1"/>
              </a:solidFill>
            </a:ln>
            <a:effectLst/>
          </c:spPr>
          <c:invertIfNegative val="0"/>
          <c:errBars>
            <c:errBarType val="both"/>
            <c:errValType val="cust"/>
            <c:noEndCap val="0"/>
            <c:plus>
              <c:numRef>
                <c:f>('Paid Sick leave CCIS-occ'!$L$53,'Paid Sick leave CCIS-occ'!$I$53)</c:f>
                <c:numCache>
                  <c:formatCode>General</c:formatCode>
                  <c:ptCount val="2"/>
                  <c:pt idx="0">
                    <c:v>1.8496717449560953</c:v>
                  </c:pt>
                  <c:pt idx="1">
                    <c:v>5.5253661844242759</c:v>
                  </c:pt>
                </c:numCache>
              </c:numRef>
            </c:plus>
            <c:minus>
              <c:numRef>
                <c:f>('Paid Sick leave CCIS-occ'!$L$53,'Paid Sick leave CCIS-occ'!$I$53)</c:f>
                <c:numCache>
                  <c:formatCode>General</c:formatCode>
                  <c:ptCount val="2"/>
                  <c:pt idx="0">
                    <c:v>1.8496717449560953</c:v>
                  </c:pt>
                  <c:pt idx="1">
                    <c:v>5.5253661844242759</c:v>
                  </c:pt>
                </c:numCache>
              </c:numRef>
            </c:minus>
            <c:spPr>
              <a:noFill/>
              <a:ln w="9525" cap="flat" cmpd="sng" algn="ctr">
                <a:solidFill>
                  <a:schemeClr val="tx1">
                    <a:lumMod val="65000"/>
                    <a:lumOff val="35000"/>
                  </a:schemeClr>
                </a:solidFill>
                <a:round/>
              </a:ln>
              <a:effectLst/>
            </c:spPr>
          </c:errBars>
          <c:val>
            <c:numRef>
              <c:f>('Paid Sick leave CCIS-occ'!$L$52,'Paid Sick leave CCIS-occ'!$I$52)</c:f>
              <c:numCache>
                <c:formatCode>General</c:formatCode>
                <c:ptCount val="2"/>
                <c:pt idx="0">
                  <c:v>19.929941340730949</c:v>
                </c:pt>
                <c:pt idx="1">
                  <c:v>98.506032183477757</c:v>
                </c:pt>
              </c:numCache>
            </c:numRef>
          </c:val>
          <c:extLst>
            <c:ext xmlns:c16="http://schemas.microsoft.com/office/drawing/2014/chart" uri="{C3380CC4-5D6E-409C-BE32-E72D297353CC}">
              <c16:uniqueId val="{00000000-B8A4-4FC7-A283-81FE5E76B3BC}"/>
            </c:ext>
          </c:extLst>
        </c:ser>
        <c:ser>
          <c:idx val="0"/>
          <c:order val="1"/>
          <c:tx>
            <c:strRef>
              <c:f>'Paid Sick leave CCIS-occ'!$H$1</c:f>
              <c:strCache>
                <c:ptCount val="1"/>
                <c:pt idx="0">
                  <c:v>Occupation</c:v>
                </c:pt>
              </c:strCache>
            </c:strRef>
          </c:tx>
          <c:spPr>
            <a:solidFill>
              <a:srgbClr val="00B0F0"/>
            </a:solidFill>
            <a:ln>
              <a:solidFill>
                <a:schemeClr val="tx1"/>
              </a:solidFill>
            </a:ln>
            <a:effectLst/>
          </c:spPr>
          <c:invertIfNegative val="0"/>
          <c:errBars>
            <c:errBarType val="both"/>
            <c:errValType val="cust"/>
            <c:noEndCap val="0"/>
            <c:plus>
              <c:numRef>
                <c:f>('Paid Sick leave CCIS-occ'!$E$24,'Paid Sick leave CCIS-occ'!$B$24)</c:f>
                <c:numCache>
                  <c:formatCode>General</c:formatCode>
                  <c:ptCount val="2"/>
                  <c:pt idx="0">
                    <c:v>2.4995728419121575</c:v>
                  </c:pt>
                  <c:pt idx="1">
                    <c:v>4.9918351294690124</c:v>
                  </c:pt>
                </c:numCache>
              </c:numRef>
            </c:plus>
            <c:minus>
              <c:numRef>
                <c:f>('Paid Sick leave CCIS-occ'!$E$24,'Paid Sick leave CCIS-occ'!$B$24)</c:f>
                <c:numCache>
                  <c:formatCode>General</c:formatCode>
                  <c:ptCount val="2"/>
                  <c:pt idx="0">
                    <c:v>2.4995728419121575</c:v>
                  </c:pt>
                  <c:pt idx="1">
                    <c:v>4.9918351294690124</c:v>
                  </c:pt>
                </c:numCache>
              </c:numRef>
            </c:minus>
            <c:spPr>
              <a:noFill/>
              <a:ln w="9525" cap="flat" cmpd="sng" algn="ctr">
                <a:solidFill>
                  <a:schemeClr val="tx1">
                    <a:lumMod val="65000"/>
                    <a:lumOff val="35000"/>
                  </a:schemeClr>
                </a:solidFill>
                <a:round/>
              </a:ln>
              <a:effectLst/>
            </c:spPr>
          </c:errBars>
          <c:cat>
            <c:strRef>
              <c:f>('Paid Sick leave CCIS-occ'!$E$21,'Paid Sick leave CCIS-occ'!$B$21)</c:f>
              <c:strCache>
                <c:ptCount val="2"/>
                <c:pt idx="0">
                  <c:v>High</c:v>
                </c:pt>
                <c:pt idx="1">
                  <c:v>Low</c:v>
                </c:pt>
              </c:strCache>
            </c:strRef>
          </c:cat>
          <c:val>
            <c:numRef>
              <c:f>('Paid Sick leave CCIS-occ'!$E$23,'Paid Sick leave CCIS-occ'!$B$23)</c:f>
              <c:numCache>
                <c:formatCode>General</c:formatCode>
                <c:ptCount val="2"/>
                <c:pt idx="0">
                  <c:v>25.759641082334255</c:v>
                </c:pt>
                <c:pt idx="1">
                  <c:v>91.225759936177525</c:v>
                </c:pt>
              </c:numCache>
            </c:numRef>
          </c:val>
          <c:extLst>
            <c:ext xmlns:c16="http://schemas.microsoft.com/office/drawing/2014/chart" uri="{C3380CC4-5D6E-409C-BE32-E72D297353CC}">
              <c16:uniqueId val="{00000001-B8A4-4FC7-A283-81FE5E76B3BC}"/>
            </c:ext>
          </c:extLst>
        </c:ser>
        <c:dLbls>
          <c:showLegendKey val="0"/>
          <c:showVal val="0"/>
          <c:showCatName val="0"/>
          <c:showSerName val="0"/>
          <c:showPercent val="0"/>
          <c:showBubbleSize val="0"/>
        </c:dLbls>
        <c:gapWidth val="217"/>
        <c:overlap val="-7"/>
        <c:axId val="1931336736"/>
        <c:axId val="1931332992"/>
      </c:barChart>
      <c:catAx>
        <c:axId val="19313367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Percent of</a:t>
                </a:r>
                <a:r>
                  <a:rPr lang="en-US" baseline="0">
                    <a:solidFill>
                      <a:sysClr val="windowText" lastClr="000000"/>
                    </a:solidFill>
                  </a:rPr>
                  <a:t> workers with paid sick leave</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1332992"/>
        <c:crosses val="autoZero"/>
        <c:auto val="1"/>
        <c:lblAlgn val="ctr"/>
        <c:lblOffset val="100"/>
        <c:noMultiLvlLbl val="0"/>
      </c:catAx>
      <c:valAx>
        <c:axId val="1931332992"/>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900">
                    <a:solidFill>
                      <a:sysClr val="windowText" lastClr="000000"/>
                    </a:solidFill>
                  </a:rPr>
                  <a:t>Opioid-related overdose deaths per 100,000 workers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931336736"/>
        <c:crosses val="autoZero"/>
        <c:crossBetween val="between"/>
      </c:valAx>
      <c:spPr>
        <a:noFill/>
        <a:ln>
          <a:noFill/>
        </a:ln>
        <a:effectLst/>
      </c:spPr>
    </c:plotArea>
    <c:legend>
      <c:legendPos val="r"/>
      <c:layout>
        <c:manualLayout>
          <c:xMode val="edge"/>
          <c:yMode val="edge"/>
          <c:x val="0.89003636110831497"/>
          <c:y val="0.13361164105588122"/>
          <c:w val="0.10628480140433104"/>
          <c:h val="0.1090318776232266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0.60313</cdr:x>
      <cdr:y>0.07713</cdr:y>
    </cdr:from>
    <cdr:to>
      <cdr:x>0.60313</cdr:x>
      <cdr:y>0.92553</cdr:y>
    </cdr:to>
    <cdr:cxnSp macro="">
      <cdr:nvCxnSpPr>
        <cdr:cNvPr id="4" name="Straight Connector 3">
          <a:extLst xmlns:a="http://schemas.openxmlformats.org/drawingml/2006/main">
            <a:ext uri="{FF2B5EF4-FFF2-40B4-BE49-F238E27FC236}">
              <a16:creationId xmlns:a16="http://schemas.microsoft.com/office/drawing/2014/main" id="{F23CA9E3-65A7-4676-BFDC-45C69A6633F2}"/>
            </a:ext>
          </a:extLst>
        </cdr:cNvPr>
        <cdr:cNvCxnSpPr/>
      </cdr:nvCxnSpPr>
      <cdr:spPr>
        <a:xfrm xmlns:a="http://schemas.openxmlformats.org/drawingml/2006/main" flipV="1">
          <a:off x="4136266" y="387350"/>
          <a:ext cx="0" cy="4260862"/>
        </a:xfrm>
        <a:prstGeom xmlns:a="http://schemas.openxmlformats.org/drawingml/2006/main" prst="line">
          <a:avLst/>
        </a:prstGeom>
        <a:ln xmlns:a="http://schemas.openxmlformats.org/drawingml/2006/main" w="1587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0.50185</cdr:x>
      <cdr:y>0.07024</cdr:y>
    </cdr:from>
    <cdr:to>
      <cdr:x>0.50395</cdr:x>
      <cdr:y>0.90355</cdr:y>
    </cdr:to>
    <cdr:cxnSp macro="">
      <cdr:nvCxnSpPr>
        <cdr:cNvPr id="4" name="Straight Connector 3">
          <a:extLst xmlns:a="http://schemas.openxmlformats.org/drawingml/2006/main">
            <a:ext uri="{FF2B5EF4-FFF2-40B4-BE49-F238E27FC236}">
              <a16:creationId xmlns:a16="http://schemas.microsoft.com/office/drawing/2014/main" id="{F23CA9E3-65A7-4676-BFDC-45C69A6633F2}"/>
            </a:ext>
          </a:extLst>
        </cdr:cNvPr>
        <cdr:cNvCxnSpPr/>
      </cdr:nvCxnSpPr>
      <cdr:spPr>
        <a:xfrm xmlns:a="http://schemas.openxmlformats.org/drawingml/2006/main" flipH="1" flipV="1">
          <a:off x="3441700" y="374650"/>
          <a:ext cx="14389" cy="4444887"/>
        </a:xfrm>
        <a:prstGeom xmlns:a="http://schemas.openxmlformats.org/drawingml/2006/main" prst="line">
          <a:avLst/>
        </a:prstGeom>
        <a:ln xmlns:a="http://schemas.openxmlformats.org/drawingml/2006/main" w="1587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2" ma:contentTypeDescription="Create a new document." ma:contentTypeScope="" ma:versionID="8e65712df8a19b4a7f9ef7c133cc78b0">
  <xsd:schema xmlns:xsd="http://www.w3.org/2001/XMLSchema" xmlns:xs="http://www.w3.org/2001/XMLSchema" xmlns:p="http://schemas.microsoft.com/office/2006/metadata/properties" xmlns:ns2="c5e887a9-3264-4a11-98fe-00f96354db3e" targetNamespace="http://schemas.microsoft.com/office/2006/metadata/properties" ma:root="true" ma:fieldsID="0a048a12d3081c40358317f3c8a5f21c" ns2:_="">
    <xsd:import namespace="c5e887a9-3264-4a11-98fe-00f96354db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CC399-5D56-45AB-8287-9A73191A2419}">
  <ds:schemaRefs>
    <ds:schemaRef ds:uri="http://schemas.microsoft.com/sharepoint/v3/contenttype/forms"/>
  </ds:schemaRefs>
</ds:datastoreItem>
</file>

<file path=customXml/itemProps2.xml><?xml version="1.0" encoding="utf-8"?>
<ds:datastoreItem xmlns:ds="http://schemas.openxmlformats.org/officeDocument/2006/customXml" ds:itemID="{89E50C8D-39A5-43FE-AD48-1A68E89C5F8C}">
  <ds:schemaRefs>
    <ds:schemaRef ds:uri="http://schemas.openxmlformats.org/officeDocument/2006/bibliography"/>
  </ds:schemaRefs>
</ds:datastoreItem>
</file>

<file path=customXml/itemProps3.xml><?xml version="1.0" encoding="utf-8"?>
<ds:datastoreItem xmlns:ds="http://schemas.openxmlformats.org/officeDocument/2006/customXml" ds:itemID="{472F9D2F-E13A-45FE-881B-9AB496460B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4BDA1-97D8-4A83-8F31-CC04BE0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3576</Words>
  <Characters>21460</Characters>
  <Application>Microsoft Office Word</Application>
  <DocSecurity>4</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Sparer-Fine, Emily (DPH)</cp:lastModifiedBy>
  <cp:revision>2</cp:revision>
  <cp:lastPrinted>2016-12-13T07:48:00Z</cp:lastPrinted>
  <dcterms:created xsi:type="dcterms:W3CDTF">2022-08-25T16:25:00Z</dcterms:created>
  <dcterms:modified xsi:type="dcterms:W3CDTF">2022-08-25T16:25:00Z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