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15107A" w14:textId="64D2D4E5" w:rsidR="00A90B00" w:rsidRDefault="00653529">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56192" behindDoc="1" locked="0" layoutInCell="1" allowOverlap="1" wp14:anchorId="6A62F205" wp14:editId="27A7B42B">
            <wp:simplePos x="0" y="0"/>
            <wp:positionH relativeFrom="page">
              <wp:posOffset>2357755</wp:posOffset>
            </wp:positionH>
            <wp:positionV relativeFrom="page">
              <wp:posOffset>229235</wp:posOffset>
            </wp:positionV>
            <wp:extent cx="3056890" cy="2001520"/>
            <wp:effectExtent l="0" t="0" r="0" b="0"/>
            <wp:wrapNone/>
            <wp:docPr id="2" name="Picture 4" descr="Banner - Opioid Task 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Banner - Opioid Task For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6890" cy="2001520"/>
                    </a:xfrm>
                    <a:prstGeom prst="rect">
                      <a:avLst/>
                    </a:prstGeom>
                    <a:noFill/>
                  </pic:spPr>
                </pic:pic>
              </a:graphicData>
            </a:graphic>
            <wp14:sizeRelH relativeFrom="page">
              <wp14:pctWidth>0</wp14:pctWidth>
            </wp14:sizeRelH>
            <wp14:sizeRelV relativeFrom="page">
              <wp14:pctHeight>0</wp14:pctHeight>
            </wp14:sizeRelV>
          </wp:anchor>
        </w:drawing>
      </w:r>
    </w:p>
    <w:p w14:paraId="3425F1B6" w14:textId="77777777" w:rsidR="00A90B00" w:rsidRDefault="00A90B00">
      <w:pPr>
        <w:spacing w:line="200" w:lineRule="exact"/>
        <w:rPr>
          <w:rFonts w:ascii="Times New Roman" w:eastAsia="Times New Roman" w:hAnsi="Times New Roman"/>
          <w:sz w:val="24"/>
        </w:rPr>
      </w:pPr>
    </w:p>
    <w:p w14:paraId="2EB6A158" w14:textId="77777777" w:rsidR="00A90B00" w:rsidRDefault="00A90B00">
      <w:pPr>
        <w:spacing w:line="200" w:lineRule="exact"/>
        <w:rPr>
          <w:rFonts w:ascii="Times New Roman" w:eastAsia="Times New Roman" w:hAnsi="Times New Roman"/>
          <w:sz w:val="24"/>
        </w:rPr>
      </w:pPr>
    </w:p>
    <w:p w14:paraId="2F5878B9" w14:textId="77777777" w:rsidR="00A90B00" w:rsidRDefault="00A90B00">
      <w:pPr>
        <w:spacing w:line="294" w:lineRule="exact"/>
        <w:rPr>
          <w:rFonts w:ascii="Times New Roman" w:eastAsia="Times New Roman" w:hAnsi="Times New Roman"/>
          <w:sz w:val="24"/>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040"/>
        <w:gridCol w:w="4500"/>
        <w:gridCol w:w="3100"/>
      </w:tblGrid>
      <w:tr w:rsidR="00A90B00" w14:paraId="311C5D32" w14:textId="77777777">
        <w:trPr>
          <w:trHeight w:val="249"/>
        </w:trPr>
        <w:tc>
          <w:tcPr>
            <w:tcW w:w="3040" w:type="dxa"/>
            <w:vAlign w:val="bottom"/>
          </w:tcPr>
          <w:p w14:paraId="701C1D2F" w14:textId="77777777" w:rsidR="00A90B00" w:rsidRDefault="00504EB3" w:rsidP="00504EB3">
            <w:pPr>
              <w:spacing w:line="0" w:lineRule="atLeast"/>
              <w:ind w:left="160"/>
              <w:rPr>
                <w:color w:val="17365D"/>
                <w:sz w:val="18"/>
              </w:rPr>
            </w:pPr>
            <w:r>
              <w:rPr>
                <w:color w:val="17365D"/>
                <w:sz w:val="18"/>
              </w:rPr>
              <w:t xml:space="preserve">Lori M. Streeter </w:t>
            </w:r>
          </w:p>
        </w:tc>
        <w:tc>
          <w:tcPr>
            <w:tcW w:w="4500" w:type="dxa"/>
            <w:vAlign w:val="bottom"/>
          </w:tcPr>
          <w:p w14:paraId="019874F6" w14:textId="77777777" w:rsidR="00A90B00" w:rsidRDefault="00A90B00">
            <w:pPr>
              <w:spacing w:line="0" w:lineRule="atLeast"/>
              <w:ind w:left="110"/>
              <w:jc w:val="center"/>
              <w:rPr>
                <w:color w:val="17365D"/>
                <w:w w:val="99"/>
                <w:sz w:val="18"/>
              </w:rPr>
            </w:pPr>
            <w:r>
              <w:rPr>
                <w:color w:val="17365D"/>
                <w:w w:val="99"/>
                <w:sz w:val="18"/>
              </w:rPr>
              <w:t>John F. Merrigan</w:t>
            </w:r>
          </w:p>
        </w:tc>
        <w:tc>
          <w:tcPr>
            <w:tcW w:w="3100" w:type="dxa"/>
            <w:vAlign w:val="bottom"/>
          </w:tcPr>
          <w:p w14:paraId="50CBAF99" w14:textId="77777777" w:rsidR="00A90B00" w:rsidRDefault="00A90B00">
            <w:pPr>
              <w:spacing w:line="0" w:lineRule="atLeast"/>
              <w:jc w:val="right"/>
              <w:rPr>
                <w:color w:val="17365D"/>
                <w:sz w:val="18"/>
              </w:rPr>
            </w:pPr>
            <w:r>
              <w:rPr>
                <w:color w:val="17365D"/>
                <w:sz w:val="18"/>
              </w:rPr>
              <w:t>David E. Sullivan</w:t>
            </w:r>
          </w:p>
        </w:tc>
      </w:tr>
      <w:tr w:rsidR="00A90B00" w14:paraId="3236A48C" w14:textId="77777777">
        <w:trPr>
          <w:trHeight w:val="221"/>
        </w:trPr>
        <w:tc>
          <w:tcPr>
            <w:tcW w:w="3040" w:type="dxa"/>
            <w:vAlign w:val="bottom"/>
          </w:tcPr>
          <w:p w14:paraId="28301996" w14:textId="77777777" w:rsidR="00A90B00" w:rsidRDefault="00A90B00">
            <w:pPr>
              <w:spacing w:line="0" w:lineRule="atLeast"/>
              <w:ind w:left="160"/>
              <w:rPr>
                <w:color w:val="17365D"/>
                <w:sz w:val="18"/>
              </w:rPr>
            </w:pPr>
            <w:r>
              <w:rPr>
                <w:color w:val="17365D"/>
                <w:sz w:val="18"/>
              </w:rPr>
              <w:t>Franklin County Sheriff</w:t>
            </w:r>
          </w:p>
        </w:tc>
        <w:tc>
          <w:tcPr>
            <w:tcW w:w="4500" w:type="dxa"/>
            <w:vAlign w:val="bottom"/>
          </w:tcPr>
          <w:p w14:paraId="585261D6" w14:textId="77777777" w:rsidR="00A90B00" w:rsidRDefault="00A90B00">
            <w:pPr>
              <w:spacing w:line="0" w:lineRule="atLeast"/>
              <w:ind w:left="130"/>
              <w:jc w:val="center"/>
              <w:rPr>
                <w:color w:val="17365D"/>
                <w:sz w:val="18"/>
              </w:rPr>
            </w:pPr>
            <w:r>
              <w:rPr>
                <w:color w:val="17365D"/>
                <w:sz w:val="18"/>
              </w:rPr>
              <w:t>Franklin County Register of Probate</w:t>
            </w:r>
          </w:p>
        </w:tc>
        <w:tc>
          <w:tcPr>
            <w:tcW w:w="3100" w:type="dxa"/>
            <w:vAlign w:val="bottom"/>
          </w:tcPr>
          <w:p w14:paraId="6B80407B" w14:textId="77777777" w:rsidR="00A90B00" w:rsidRDefault="00A90B00">
            <w:pPr>
              <w:spacing w:line="0" w:lineRule="atLeast"/>
              <w:jc w:val="right"/>
              <w:rPr>
                <w:color w:val="17365D"/>
                <w:sz w:val="18"/>
              </w:rPr>
            </w:pPr>
            <w:r>
              <w:rPr>
                <w:color w:val="17365D"/>
                <w:sz w:val="18"/>
              </w:rPr>
              <w:t>Northwestern District Attorney</w:t>
            </w:r>
          </w:p>
        </w:tc>
      </w:tr>
      <w:tr w:rsidR="00A90B00" w14:paraId="25CEA24E" w14:textId="77777777">
        <w:trPr>
          <w:trHeight w:val="277"/>
        </w:trPr>
        <w:tc>
          <w:tcPr>
            <w:tcW w:w="3040" w:type="dxa"/>
            <w:vAlign w:val="bottom"/>
          </w:tcPr>
          <w:p w14:paraId="75535E0E" w14:textId="77777777" w:rsidR="00A90B00" w:rsidRDefault="00B97793">
            <w:pPr>
              <w:spacing w:line="0" w:lineRule="atLeast"/>
              <w:ind w:left="160"/>
              <w:rPr>
                <w:color w:val="17365D"/>
                <w:sz w:val="18"/>
              </w:rPr>
            </w:pPr>
            <w:r>
              <w:rPr>
                <w:color w:val="17365D"/>
                <w:sz w:val="18"/>
              </w:rPr>
              <w:t>C</w:t>
            </w:r>
            <w:r w:rsidR="00A90B00">
              <w:rPr>
                <w:color w:val="17365D"/>
                <w:sz w:val="18"/>
              </w:rPr>
              <w:t>o-Chair</w:t>
            </w:r>
          </w:p>
        </w:tc>
        <w:tc>
          <w:tcPr>
            <w:tcW w:w="4500" w:type="dxa"/>
            <w:vAlign w:val="bottom"/>
          </w:tcPr>
          <w:p w14:paraId="1A4C3F11" w14:textId="77777777" w:rsidR="00A90B00" w:rsidRDefault="00A90B00">
            <w:pPr>
              <w:spacing w:line="0" w:lineRule="atLeast"/>
              <w:ind w:left="110"/>
              <w:jc w:val="center"/>
              <w:rPr>
                <w:color w:val="17365D"/>
                <w:w w:val="98"/>
                <w:sz w:val="18"/>
              </w:rPr>
            </w:pPr>
            <w:r>
              <w:rPr>
                <w:color w:val="17365D"/>
                <w:w w:val="98"/>
                <w:sz w:val="18"/>
              </w:rPr>
              <w:t>Co-Chair</w:t>
            </w:r>
          </w:p>
        </w:tc>
        <w:tc>
          <w:tcPr>
            <w:tcW w:w="3100" w:type="dxa"/>
            <w:vAlign w:val="bottom"/>
          </w:tcPr>
          <w:p w14:paraId="7A1C2BF0" w14:textId="77777777" w:rsidR="00A90B00" w:rsidRDefault="00A90B00">
            <w:pPr>
              <w:spacing w:line="0" w:lineRule="atLeast"/>
              <w:jc w:val="right"/>
              <w:rPr>
                <w:color w:val="17365D"/>
                <w:sz w:val="18"/>
              </w:rPr>
            </w:pPr>
            <w:r>
              <w:rPr>
                <w:color w:val="17365D"/>
                <w:sz w:val="18"/>
              </w:rPr>
              <w:t>Co-Chair</w:t>
            </w:r>
          </w:p>
        </w:tc>
      </w:tr>
      <w:tr w:rsidR="00A90B00" w14:paraId="1F7DCD6B" w14:textId="77777777">
        <w:trPr>
          <w:trHeight w:val="71"/>
        </w:trPr>
        <w:tc>
          <w:tcPr>
            <w:tcW w:w="3040" w:type="dxa"/>
            <w:vAlign w:val="bottom"/>
          </w:tcPr>
          <w:p w14:paraId="03355797" w14:textId="77777777" w:rsidR="00A90B00" w:rsidRDefault="00A90B00">
            <w:pPr>
              <w:spacing w:line="0" w:lineRule="atLeast"/>
              <w:rPr>
                <w:rFonts w:ascii="Times New Roman" w:eastAsia="Times New Roman" w:hAnsi="Times New Roman"/>
                <w:sz w:val="6"/>
              </w:rPr>
            </w:pPr>
          </w:p>
        </w:tc>
        <w:tc>
          <w:tcPr>
            <w:tcW w:w="4500" w:type="dxa"/>
            <w:vAlign w:val="bottom"/>
          </w:tcPr>
          <w:p w14:paraId="306DF9BF" w14:textId="77777777" w:rsidR="00A90B00" w:rsidRDefault="00A90B00">
            <w:pPr>
              <w:spacing w:line="0" w:lineRule="atLeast"/>
              <w:rPr>
                <w:rFonts w:ascii="Times New Roman" w:eastAsia="Times New Roman" w:hAnsi="Times New Roman"/>
                <w:sz w:val="6"/>
              </w:rPr>
            </w:pPr>
          </w:p>
        </w:tc>
        <w:tc>
          <w:tcPr>
            <w:tcW w:w="3100" w:type="dxa"/>
            <w:vAlign w:val="bottom"/>
          </w:tcPr>
          <w:p w14:paraId="0612EF95" w14:textId="77777777" w:rsidR="00A90B00" w:rsidRDefault="00A90B00">
            <w:pPr>
              <w:spacing w:line="0" w:lineRule="atLeast"/>
              <w:rPr>
                <w:rFonts w:ascii="Times New Roman" w:eastAsia="Times New Roman" w:hAnsi="Times New Roman"/>
                <w:sz w:val="6"/>
              </w:rPr>
            </w:pPr>
          </w:p>
        </w:tc>
      </w:tr>
    </w:tbl>
    <w:p w14:paraId="383E54BE" w14:textId="77777777" w:rsidR="00A834B2" w:rsidRPr="008846F9" w:rsidRDefault="000C56E1" w:rsidP="001F7119">
      <w:pPr>
        <w:rPr>
          <w:rFonts w:cs="Calibri"/>
          <w:sz w:val="22"/>
          <w:szCs w:val="22"/>
        </w:rPr>
      </w:pPr>
      <w:r>
        <w:rPr>
          <w:rFonts w:cs="Calibri"/>
          <w:sz w:val="22"/>
          <w:szCs w:val="22"/>
        </w:rPr>
        <w:t>May 21, 2026</w:t>
      </w:r>
      <w:r w:rsidR="00504EB3">
        <w:rPr>
          <w:rFonts w:cs="Calibri"/>
          <w:sz w:val="22"/>
          <w:szCs w:val="22"/>
        </w:rPr>
        <w:t xml:space="preserve"> </w:t>
      </w:r>
      <w:r w:rsidR="00367834">
        <w:rPr>
          <w:rFonts w:cs="Calibri"/>
          <w:sz w:val="22"/>
          <w:szCs w:val="22"/>
        </w:rPr>
        <w:t xml:space="preserve"> </w:t>
      </w:r>
    </w:p>
    <w:p w14:paraId="4A45D2D1" w14:textId="77777777" w:rsidR="00E85641" w:rsidRPr="00E85641" w:rsidRDefault="00E85641" w:rsidP="0022793E">
      <w:pPr>
        <w:rPr>
          <w:rFonts w:cs="Calibri"/>
          <w:sz w:val="10"/>
          <w:szCs w:val="10"/>
        </w:rPr>
      </w:pPr>
    </w:p>
    <w:p w14:paraId="73B574F0" w14:textId="77777777" w:rsidR="000035FF" w:rsidRDefault="000035FF" w:rsidP="00504EB3">
      <w:pPr>
        <w:rPr>
          <w:rFonts w:cs="Calibri"/>
          <w:sz w:val="22"/>
          <w:szCs w:val="22"/>
        </w:rPr>
      </w:pPr>
      <w:r>
        <w:rPr>
          <w:rFonts w:cs="Calibri"/>
          <w:sz w:val="22"/>
          <w:szCs w:val="22"/>
        </w:rPr>
        <w:t>William Anderson</w:t>
      </w:r>
    </w:p>
    <w:p w14:paraId="1354134D" w14:textId="77777777" w:rsidR="000035FF" w:rsidRDefault="000035FF" w:rsidP="00504EB3">
      <w:pPr>
        <w:rPr>
          <w:rFonts w:cs="Calibri"/>
          <w:sz w:val="22"/>
          <w:szCs w:val="22"/>
        </w:rPr>
      </w:pPr>
      <w:r>
        <w:rPr>
          <w:rFonts w:cs="Calibri"/>
          <w:sz w:val="22"/>
          <w:szCs w:val="22"/>
        </w:rPr>
        <w:t xml:space="preserve">Office of the General Counsel </w:t>
      </w:r>
    </w:p>
    <w:p w14:paraId="1B752B0B" w14:textId="77777777" w:rsidR="000C56E1" w:rsidRDefault="000C56E1" w:rsidP="00504EB3">
      <w:pPr>
        <w:rPr>
          <w:rFonts w:cs="Calibri"/>
          <w:sz w:val="22"/>
          <w:szCs w:val="22"/>
        </w:rPr>
      </w:pPr>
      <w:r>
        <w:rPr>
          <w:rFonts w:cs="Calibri"/>
          <w:sz w:val="22"/>
          <w:szCs w:val="22"/>
        </w:rPr>
        <w:t xml:space="preserve">Massachusetts Department of Public Health </w:t>
      </w:r>
    </w:p>
    <w:p w14:paraId="79011611" w14:textId="77777777" w:rsidR="000C56E1" w:rsidRDefault="00AC182F" w:rsidP="000C56E1">
      <w:pPr>
        <w:rPr>
          <w:rFonts w:cs="Calibri"/>
          <w:sz w:val="22"/>
          <w:szCs w:val="22"/>
        </w:rPr>
      </w:pPr>
      <w:r>
        <w:rPr>
          <w:rFonts w:cs="Calibri"/>
          <w:sz w:val="22"/>
          <w:szCs w:val="22"/>
        </w:rPr>
        <w:t>250 Washington Street</w:t>
      </w:r>
    </w:p>
    <w:p w14:paraId="39B8788C" w14:textId="77777777" w:rsidR="000C56E1" w:rsidRDefault="000C56E1" w:rsidP="000C56E1">
      <w:pPr>
        <w:rPr>
          <w:rFonts w:cs="Calibri"/>
          <w:sz w:val="22"/>
          <w:szCs w:val="22"/>
        </w:rPr>
      </w:pPr>
      <w:r>
        <w:rPr>
          <w:rFonts w:cs="Calibri"/>
          <w:sz w:val="22"/>
          <w:szCs w:val="22"/>
        </w:rPr>
        <w:t>Boston, MA 02108</w:t>
      </w:r>
    </w:p>
    <w:p w14:paraId="74F55BC3" w14:textId="77777777" w:rsidR="000C56E1" w:rsidRPr="000035FF" w:rsidRDefault="000C56E1" w:rsidP="000C56E1">
      <w:pPr>
        <w:rPr>
          <w:rFonts w:cs="Calibri"/>
          <w:sz w:val="10"/>
          <w:szCs w:val="10"/>
        </w:rPr>
      </w:pPr>
    </w:p>
    <w:p w14:paraId="03CE3DEE" w14:textId="77777777" w:rsidR="00504EB3" w:rsidRPr="000035FF" w:rsidRDefault="000C56E1" w:rsidP="00504EB3">
      <w:pPr>
        <w:rPr>
          <w:rFonts w:cs="Calibri"/>
          <w:i/>
          <w:sz w:val="22"/>
          <w:szCs w:val="22"/>
        </w:rPr>
      </w:pPr>
      <w:r>
        <w:rPr>
          <w:rFonts w:cs="Calibri"/>
          <w:sz w:val="22"/>
          <w:szCs w:val="22"/>
        </w:rPr>
        <w:t xml:space="preserve">RE: DPH Regulation </w:t>
      </w:r>
      <w:r w:rsidRPr="000C56E1">
        <w:rPr>
          <w:rFonts w:cs="Calibri"/>
          <w:sz w:val="22"/>
          <w:szCs w:val="22"/>
        </w:rPr>
        <w:t>105 CMR 272.000</w:t>
      </w:r>
      <w:r>
        <w:rPr>
          <w:rFonts w:cs="Calibri"/>
          <w:sz w:val="22"/>
          <w:szCs w:val="22"/>
        </w:rPr>
        <w:t xml:space="preserve"> </w:t>
      </w:r>
      <w:r w:rsidR="000035FF" w:rsidRPr="000035FF">
        <w:rPr>
          <w:rFonts w:cs="Calibri"/>
          <w:i/>
          <w:sz w:val="22"/>
          <w:szCs w:val="22"/>
        </w:rPr>
        <w:t xml:space="preserve">Standards Regulating the Care of Infants Identified as Being Affected by Prenatal Substance Exposure </w:t>
      </w:r>
    </w:p>
    <w:p w14:paraId="1A2A9121" w14:textId="77777777" w:rsidR="000035FF" w:rsidRPr="00DC59C4" w:rsidRDefault="000035FF" w:rsidP="00504EB3">
      <w:pPr>
        <w:rPr>
          <w:sz w:val="10"/>
          <w:szCs w:val="10"/>
        </w:rPr>
      </w:pPr>
    </w:p>
    <w:p w14:paraId="6E0E6545" w14:textId="77777777" w:rsidR="00E2736B" w:rsidRDefault="00504EB3" w:rsidP="000035FF">
      <w:pPr>
        <w:jc w:val="both"/>
        <w:rPr>
          <w:rFonts w:cs="Calibri"/>
          <w:sz w:val="22"/>
          <w:szCs w:val="22"/>
        </w:rPr>
      </w:pPr>
      <w:r w:rsidRPr="00DC59C4">
        <w:rPr>
          <w:rFonts w:cs="Calibri"/>
          <w:sz w:val="22"/>
          <w:szCs w:val="22"/>
        </w:rPr>
        <w:t xml:space="preserve">Dear </w:t>
      </w:r>
      <w:r w:rsidR="000035FF">
        <w:rPr>
          <w:rFonts w:cs="Calibri"/>
          <w:sz w:val="22"/>
          <w:szCs w:val="22"/>
        </w:rPr>
        <w:t xml:space="preserve">Mr. Anderson, </w:t>
      </w:r>
    </w:p>
    <w:p w14:paraId="394FF071" w14:textId="77777777" w:rsidR="000035FF" w:rsidRPr="00E2736B" w:rsidRDefault="000035FF" w:rsidP="000035FF">
      <w:pPr>
        <w:jc w:val="both"/>
        <w:rPr>
          <w:rFonts w:cs="Calibri"/>
          <w:sz w:val="10"/>
          <w:szCs w:val="10"/>
        </w:rPr>
      </w:pPr>
    </w:p>
    <w:p w14:paraId="4AC7F9F0" w14:textId="77777777" w:rsidR="00367834" w:rsidRDefault="00367834" w:rsidP="00367834">
      <w:pPr>
        <w:rPr>
          <w:rFonts w:cs="Calibri"/>
          <w:color w:val="000000"/>
          <w:sz w:val="22"/>
          <w:szCs w:val="22"/>
        </w:rPr>
      </w:pPr>
      <w:r w:rsidRPr="00367834">
        <w:rPr>
          <w:sz w:val="22"/>
          <w:szCs w:val="22"/>
        </w:rPr>
        <w:t>The Opioid Task Force of Franklin County and the North Quabbin Region</w:t>
      </w:r>
      <w:r>
        <w:rPr>
          <w:sz w:val="22"/>
          <w:szCs w:val="22"/>
        </w:rPr>
        <w:t xml:space="preserve"> (Opioid Task Force)</w:t>
      </w:r>
      <w:r w:rsidR="0020613E">
        <w:rPr>
          <w:sz w:val="22"/>
          <w:szCs w:val="22"/>
        </w:rPr>
        <w:t xml:space="preserve"> </w:t>
      </w:r>
      <w:r w:rsidR="000C56E1">
        <w:rPr>
          <w:sz w:val="22"/>
          <w:szCs w:val="22"/>
        </w:rPr>
        <w:t xml:space="preserve">would like to comment on proposed DPH Regulation 105 CMR 272.000 </w:t>
      </w:r>
      <w:r w:rsidR="000035FF" w:rsidRPr="000035FF">
        <w:rPr>
          <w:rFonts w:cs="Calibri"/>
          <w:i/>
          <w:sz w:val="22"/>
          <w:szCs w:val="22"/>
        </w:rPr>
        <w:t>Standards Regulating the Care of Infants Identified as Being Affected by Prenatal Substanc</w:t>
      </w:r>
      <w:r w:rsidR="000035FF">
        <w:rPr>
          <w:rFonts w:cs="Calibri"/>
          <w:i/>
          <w:sz w:val="22"/>
          <w:szCs w:val="22"/>
        </w:rPr>
        <w:t>e Exposure</w:t>
      </w:r>
      <w:r w:rsidR="000C56E1">
        <w:rPr>
          <w:sz w:val="22"/>
          <w:szCs w:val="22"/>
        </w:rPr>
        <w:t xml:space="preserve">, in its role to </w:t>
      </w:r>
      <w:r w:rsidR="00F113B3" w:rsidRPr="00F113B3">
        <w:rPr>
          <w:rFonts w:cs="Calibri"/>
          <w:color w:val="000000"/>
          <w:sz w:val="22"/>
          <w:szCs w:val="22"/>
        </w:rPr>
        <w:t>help reduce opioid and heroin addiction, prevent overdose deaths, and improve the quality of life in our community</w:t>
      </w:r>
      <w:r w:rsidR="000C56E1">
        <w:rPr>
          <w:rFonts w:cs="Calibri"/>
          <w:color w:val="000000"/>
          <w:sz w:val="22"/>
          <w:szCs w:val="22"/>
        </w:rPr>
        <w:t xml:space="preserve"> across 30 communities in our rural region.</w:t>
      </w:r>
    </w:p>
    <w:p w14:paraId="74CC52B0" w14:textId="77777777" w:rsidR="000C56E1" w:rsidRPr="000C56E1" w:rsidRDefault="000C56E1" w:rsidP="00367834">
      <w:pPr>
        <w:rPr>
          <w:rFonts w:cs="Calibri"/>
          <w:color w:val="000000"/>
          <w:sz w:val="10"/>
          <w:szCs w:val="10"/>
        </w:rPr>
      </w:pPr>
    </w:p>
    <w:p w14:paraId="5D8D165B" w14:textId="77777777" w:rsidR="000C56E1" w:rsidRPr="009349BE" w:rsidRDefault="000C56E1" w:rsidP="000C56E1">
      <w:pPr>
        <w:rPr>
          <w:rFonts w:eastAsia="Times New Roman" w:cs="Calibri"/>
          <w:sz w:val="24"/>
          <w:szCs w:val="24"/>
        </w:rPr>
      </w:pPr>
      <w:r w:rsidRPr="009349BE">
        <w:rPr>
          <w:rFonts w:eastAsia="Times New Roman" w:cs="Calibri"/>
          <w:color w:val="000000"/>
          <w:sz w:val="22"/>
          <w:szCs w:val="22"/>
        </w:rPr>
        <w:t>The long-awaited and hard-won legislative change that occurred last March, finally divorcing prenatal substance exposure from automatic child welfare reporting, was an impactful change in the care of people with perinatal substance use and their children.  </w:t>
      </w:r>
    </w:p>
    <w:p w14:paraId="089F9AF8" w14:textId="77777777" w:rsidR="000C56E1" w:rsidRPr="009349BE" w:rsidRDefault="000C56E1" w:rsidP="000C56E1">
      <w:pPr>
        <w:rPr>
          <w:rFonts w:eastAsia="Times New Roman" w:cs="Calibri"/>
          <w:sz w:val="10"/>
          <w:szCs w:val="10"/>
        </w:rPr>
      </w:pPr>
    </w:p>
    <w:p w14:paraId="6E08E3DF" w14:textId="77777777" w:rsidR="000C56E1" w:rsidRPr="009349BE" w:rsidRDefault="000C56E1" w:rsidP="000C56E1">
      <w:pPr>
        <w:shd w:val="clear" w:color="auto" w:fill="FFFFFF"/>
        <w:rPr>
          <w:rFonts w:eastAsia="Times New Roman" w:cs="Calibri"/>
          <w:sz w:val="24"/>
          <w:szCs w:val="24"/>
        </w:rPr>
      </w:pPr>
      <w:r w:rsidRPr="009349BE">
        <w:rPr>
          <w:rFonts w:eastAsia="Times New Roman" w:cs="Calibri"/>
          <w:color w:val="000000"/>
          <w:sz w:val="22"/>
          <w:szCs w:val="22"/>
        </w:rPr>
        <w:t>In anticipation of this change and in the year since, a group, first facilitated by the EDC (Education Development Collaborative) and then turned over to DPH has been working on what has been referred to as IPSE (infants prenatally substance exposed) and has resulted, as expected, in the promulgation of new DPH regulations and the establishment of standards across the practice of Family Care Planning (formerly Plan of Safe Care). All of this is to 1) remain compliant with CAPTA (Child Abuse Prevention and Treatment Act) and 2) establish best practices. </w:t>
      </w:r>
    </w:p>
    <w:p w14:paraId="661AE2A9" w14:textId="77777777" w:rsidR="000C56E1" w:rsidRPr="009349BE" w:rsidRDefault="000C56E1" w:rsidP="000C56E1">
      <w:pPr>
        <w:shd w:val="clear" w:color="auto" w:fill="FFFFFF"/>
        <w:rPr>
          <w:rFonts w:eastAsia="Times New Roman" w:cs="Calibri"/>
          <w:sz w:val="10"/>
          <w:szCs w:val="10"/>
        </w:rPr>
      </w:pPr>
    </w:p>
    <w:p w14:paraId="307668F4" w14:textId="77777777" w:rsidR="000C56E1" w:rsidRPr="009349BE" w:rsidRDefault="000C56E1" w:rsidP="000C56E1">
      <w:pPr>
        <w:shd w:val="clear" w:color="auto" w:fill="FFFFFF"/>
        <w:rPr>
          <w:rFonts w:eastAsia="Times New Roman" w:cs="Calibri"/>
          <w:sz w:val="24"/>
          <w:szCs w:val="24"/>
        </w:rPr>
      </w:pPr>
      <w:r w:rsidRPr="009349BE">
        <w:rPr>
          <w:rFonts w:eastAsia="Times New Roman" w:cs="Calibri"/>
          <w:color w:val="000000"/>
          <w:sz w:val="22"/>
          <w:szCs w:val="22"/>
        </w:rPr>
        <w:t xml:space="preserve">We </w:t>
      </w:r>
      <w:r w:rsidR="000035FF" w:rsidRPr="009349BE">
        <w:rPr>
          <w:rFonts w:eastAsia="Times New Roman" w:cs="Calibri"/>
          <w:color w:val="000000"/>
          <w:sz w:val="22"/>
          <w:szCs w:val="22"/>
        </w:rPr>
        <w:t xml:space="preserve">understood </w:t>
      </w:r>
      <w:r w:rsidRPr="009349BE">
        <w:rPr>
          <w:rFonts w:eastAsia="Times New Roman" w:cs="Calibri"/>
          <w:color w:val="000000"/>
          <w:sz w:val="22"/>
          <w:szCs w:val="22"/>
        </w:rPr>
        <w:t>that this work would produce a dual reporting system, like most of our state neighbors, where a DCF report could be filed where there is serious concern of risk due to abuse or neglect, and de-identified information for public health purposes would also be entered into a database in order to track infants born substance-exposed. In both cases, it would be incumbent upon the dyad's multidisciplinary providers to offer, complete, and follow up on Family Care Planning to ensure access to any desired/necessary services. </w:t>
      </w:r>
    </w:p>
    <w:p w14:paraId="49A52046" w14:textId="77777777" w:rsidR="000C56E1" w:rsidRPr="009349BE" w:rsidRDefault="000C56E1" w:rsidP="000C56E1">
      <w:pPr>
        <w:rPr>
          <w:rFonts w:eastAsia="Times New Roman" w:cs="Calibri"/>
          <w:sz w:val="10"/>
          <w:szCs w:val="10"/>
        </w:rPr>
      </w:pPr>
    </w:p>
    <w:p w14:paraId="5ED3E9C8" w14:textId="77777777" w:rsidR="000C56E1" w:rsidRPr="009349BE" w:rsidRDefault="000C56E1" w:rsidP="000C56E1">
      <w:pPr>
        <w:rPr>
          <w:rFonts w:eastAsia="Times New Roman" w:cs="Calibri"/>
          <w:color w:val="000000"/>
          <w:sz w:val="22"/>
          <w:szCs w:val="22"/>
        </w:rPr>
      </w:pPr>
      <w:r w:rsidRPr="009349BE">
        <w:rPr>
          <w:rFonts w:eastAsia="Times New Roman" w:cs="Calibri"/>
          <w:color w:val="000000"/>
          <w:sz w:val="22"/>
          <w:szCs w:val="22"/>
        </w:rPr>
        <w:t xml:space="preserve">However, </w:t>
      </w:r>
      <w:r w:rsidR="000035FF" w:rsidRPr="009349BE">
        <w:rPr>
          <w:rFonts w:eastAsia="Times New Roman" w:cs="Calibri"/>
          <w:color w:val="000000"/>
          <w:sz w:val="22"/>
          <w:szCs w:val="22"/>
        </w:rPr>
        <w:t xml:space="preserve">through our collaborative work with the Moms Do Care/EMPOWER Program, </w:t>
      </w:r>
      <w:r w:rsidRPr="009349BE">
        <w:rPr>
          <w:rFonts w:eastAsia="Times New Roman" w:cs="Calibri"/>
          <w:color w:val="000000"/>
          <w:sz w:val="22"/>
          <w:szCs w:val="22"/>
        </w:rPr>
        <w:t>we have recently learned that the p</w:t>
      </w:r>
      <w:r w:rsidR="000035FF" w:rsidRPr="009349BE">
        <w:rPr>
          <w:rFonts w:eastAsia="Times New Roman" w:cs="Calibri"/>
          <w:color w:val="000000"/>
          <w:sz w:val="22"/>
          <w:szCs w:val="22"/>
        </w:rPr>
        <w:t>roposed regulation will include:</w:t>
      </w:r>
    </w:p>
    <w:p w14:paraId="02BC7B05" w14:textId="77777777" w:rsidR="000035FF" w:rsidRPr="009349BE" w:rsidRDefault="000035FF" w:rsidP="000C56E1">
      <w:pPr>
        <w:rPr>
          <w:rFonts w:eastAsia="Times New Roman" w:cs="Calibri"/>
          <w:sz w:val="10"/>
          <w:szCs w:val="10"/>
        </w:rPr>
      </w:pPr>
    </w:p>
    <w:p w14:paraId="13C82EBC" w14:textId="77777777" w:rsidR="000C56E1" w:rsidRPr="009349BE" w:rsidRDefault="000C56E1" w:rsidP="000C56E1">
      <w:pPr>
        <w:rPr>
          <w:rFonts w:eastAsia="Times New Roman" w:cs="Calibri"/>
          <w:sz w:val="24"/>
          <w:szCs w:val="24"/>
        </w:rPr>
      </w:pPr>
      <w:r w:rsidRPr="009349BE">
        <w:rPr>
          <w:rFonts w:eastAsia="Times New Roman" w:cs="Calibri"/>
          <w:color w:val="000000"/>
          <w:sz w:val="22"/>
          <w:szCs w:val="22"/>
        </w:rPr>
        <w:t>1) Identifying the families, </w:t>
      </w:r>
    </w:p>
    <w:p w14:paraId="01B59375" w14:textId="77777777" w:rsidR="000C56E1" w:rsidRPr="009349BE" w:rsidRDefault="000C56E1" w:rsidP="000C56E1">
      <w:pPr>
        <w:rPr>
          <w:rFonts w:eastAsia="Times New Roman" w:cs="Calibri"/>
          <w:sz w:val="24"/>
          <w:szCs w:val="24"/>
        </w:rPr>
      </w:pPr>
      <w:r w:rsidRPr="009349BE">
        <w:rPr>
          <w:rFonts w:eastAsia="Times New Roman" w:cs="Calibri"/>
          <w:color w:val="000000"/>
          <w:sz w:val="22"/>
          <w:szCs w:val="22"/>
        </w:rPr>
        <w:t>2) Including cannabis in the reporting, and </w:t>
      </w:r>
    </w:p>
    <w:p w14:paraId="2DE6999D" w14:textId="77777777" w:rsidR="000C56E1" w:rsidRPr="009349BE" w:rsidRDefault="000C56E1" w:rsidP="000C56E1">
      <w:pPr>
        <w:rPr>
          <w:rFonts w:eastAsia="Times New Roman" w:cs="Calibri"/>
          <w:sz w:val="24"/>
          <w:szCs w:val="24"/>
        </w:rPr>
      </w:pPr>
      <w:r w:rsidRPr="009349BE">
        <w:rPr>
          <w:rFonts w:eastAsia="Times New Roman" w:cs="Calibri"/>
          <w:color w:val="000000"/>
          <w:sz w:val="22"/>
          <w:szCs w:val="22"/>
        </w:rPr>
        <w:t>3) Making the attending clinician at the time of birth responsible for the FCP and reporting process. </w:t>
      </w:r>
    </w:p>
    <w:p w14:paraId="029FF907" w14:textId="77777777" w:rsidR="000C56E1" w:rsidRPr="009349BE" w:rsidRDefault="000C56E1" w:rsidP="000C56E1">
      <w:pPr>
        <w:rPr>
          <w:rFonts w:eastAsia="Times New Roman" w:cs="Calibri"/>
          <w:sz w:val="10"/>
          <w:szCs w:val="10"/>
        </w:rPr>
      </w:pPr>
    </w:p>
    <w:p w14:paraId="4E21359E" w14:textId="77777777" w:rsidR="000C56E1" w:rsidRPr="009349BE" w:rsidRDefault="000C56E1" w:rsidP="000C56E1">
      <w:pPr>
        <w:rPr>
          <w:rFonts w:eastAsia="Times New Roman" w:cs="Calibri"/>
          <w:sz w:val="24"/>
          <w:szCs w:val="24"/>
        </w:rPr>
      </w:pPr>
      <w:r w:rsidRPr="009349BE">
        <w:rPr>
          <w:rFonts w:eastAsia="Times New Roman" w:cs="Calibri"/>
          <w:color w:val="000000"/>
          <w:sz w:val="22"/>
          <w:szCs w:val="22"/>
        </w:rPr>
        <w:t>This is very concerning.</w:t>
      </w:r>
    </w:p>
    <w:p w14:paraId="6B12D174" w14:textId="77777777" w:rsidR="000C56E1" w:rsidRPr="009349BE" w:rsidRDefault="000C56E1" w:rsidP="000C56E1">
      <w:pPr>
        <w:rPr>
          <w:rFonts w:eastAsia="Times New Roman" w:cs="Calibri"/>
          <w:sz w:val="10"/>
          <w:szCs w:val="10"/>
        </w:rPr>
      </w:pPr>
    </w:p>
    <w:p w14:paraId="4BFA44ED" w14:textId="77777777" w:rsidR="000C56E1" w:rsidRPr="009349BE" w:rsidRDefault="000C56E1" w:rsidP="000C56E1">
      <w:pPr>
        <w:rPr>
          <w:rFonts w:eastAsia="Times New Roman" w:cs="Calibri"/>
          <w:sz w:val="24"/>
          <w:szCs w:val="24"/>
        </w:rPr>
      </w:pPr>
      <w:r w:rsidRPr="009349BE">
        <w:rPr>
          <w:rFonts w:eastAsia="Times New Roman" w:cs="Calibri"/>
          <w:color w:val="000000"/>
          <w:sz w:val="22"/>
          <w:szCs w:val="22"/>
        </w:rPr>
        <w:t xml:space="preserve">First, identifying families will undo much of the success </w:t>
      </w:r>
      <w:r w:rsidR="000035FF" w:rsidRPr="009349BE">
        <w:rPr>
          <w:rFonts w:eastAsia="Times New Roman" w:cs="Calibri"/>
          <w:color w:val="000000"/>
          <w:sz w:val="22"/>
          <w:szCs w:val="22"/>
        </w:rPr>
        <w:t xml:space="preserve">that has been </w:t>
      </w:r>
      <w:r w:rsidRPr="009349BE">
        <w:rPr>
          <w:rFonts w:eastAsia="Times New Roman" w:cs="Calibri"/>
          <w:color w:val="000000"/>
          <w:sz w:val="22"/>
          <w:szCs w:val="22"/>
        </w:rPr>
        <w:t>achieved</w:t>
      </w:r>
      <w:r w:rsidR="000035FF" w:rsidRPr="009349BE">
        <w:rPr>
          <w:rFonts w:eastAsia="Times New Roman" w:cs="Calibri"/>
          <w:color w:val="000000"/>
          <w:sz w:val="22"/>
          <w:szCs w:val="22"/>
        </w:rPr>
        <w:t xml:space="preserve"> (following the hard work of DPH)</w:t>
      </w:r>
      <w:r w:rsidRPr="009349BE">
        <w:rPr>
          <w:rFonts w:eastAsia="Times New Roman" w:cs="Calibri"/>
          <w:color w:val="000000"/>
          <w:sz w:val="22"/>
          <w:szCs w:val="22"/>
        </w:rPr>
        <w:t xml:space="preserve"> in creating a new safe environment for families who are surveilled, traumatized, and punished because of their experience with substance use disorder, causing families to withhold socially and clinically relevant information from their </w:t>
      </w:r>
      <w:r w:rsidR="000035FF" w:rsidRPr="009349BE">
        <w:rPr>
          <w:rFonts w:eastAsia="Times New Roman" w:cs="Calibri"/>
          <w:color w:val="000000"/>
          <w:sz w:val="22"/>
          <w:szCs w:val="22"/>
        </w:rPr>
        <w:t xml:space="preserve">medical and other </w:t>
      </w:r>
      <w:r w:rsidRPr="009349BE">
        <w:rPr>
          <w:rFonts w:eastAsia="Times New Roman" w:cs="Calibri"/>
          <w:color w:val="000000"/>
          <w:sz w:val="22"/>
          <w:szCs w:val="22"/>
        </w:rPr>
        <w:t>providers. </w:t>
      </w:r>
    </w:p>
    <w:p w14:paraId="5B33269E" w14:textId="77777777" w:rsidR="000C56E1" w:rsidRPr="009349BE" w:rsidRDefault="000C56E1" w:rsidP="000C56E1">
      <w:pPr>
        <w:rPr>
          <w:rFonts w:eastAsia="Times New Roman" w:cs="Calibri"/>
          <w:sz w:val="10"/>
          <w:szCs w:val="10"/>
        </w:rPr>
      </w:pPr>
    </w:p>
    <w:p w14:paraId="545D522A" w14:textId="77777777" w:rsidR="000035FF" w:rsidRPr="009349BE" w:rsidRDefault="000035FF" w:rsidP="000C56E1">
      <w:pPr>
        <w:rPr>
          <w:rFonts w:eastAsia="Times New Roman" w:cs="Calibri"/>
          <w:color w:val="000000"/>
          <w:sz w:val="22"/>
          <w:szCs w:val="22"/>
        </w:rPr>
      </w:pPr>
    </w:p>
    <w:p w14:paraId="1B25FC23" w14:textId="77777777" w:rsidR="000035FF" w:rsidRPr="009349BE" w:rsidRDefault="000035FF" w:rsidP="000C56E1">
      <w:pPr>
        <w:rPr>
          <w:rFonts w:eastAsia="Times New Roman" w:cs="Calibri"/>
          <w:color w:val="000000"/>
          <w:sz w:val="22"/>
          <w:szCs w:val="22"/>
        </w:rPr>
      </w:pPr>
    </w:p>
    <w:p w14:paraId="1B468D41" w14:textId="77777777" w:rsidR="000035FF" w:rsidRPr="009349BE" w:rsidRDefault="000035FF" w:rsidP="000C56E1">
      <w:pPr>
        <w:rPr>
          <w:rFonts w:eastAsia="Times New Roman" w:cs="Calibri"/>
          <w:color w:val="000000"/>
          <w:sz w:val="22"/>
          <w:szCs w:val="22"/>
        </w:rPr>
      </w:pPr>
    </w:p>
    <w:p w14:paraId="7CA5B57A" w14:textId="77777777" w:rsidR="000C56E1" w:rsidRPr="009349BE" w:rsidRDefault="000035FF" w:rsidP="000C56E1">
      <w:pPr>
        <w:rPr>
          <w:rFonts w:eastAsia="Times New Roman" w:cs="Calibri"/>
          <w:sz w:val="24"/>
          <w:szCs w:val="24"/>
        </w:rPr>
      </w:pPr>
      <w:r w:rsidRPr="009349BE">
        <w:rPr>
          <w:rFonts w:eastAsia="Times New Roman" w:cs="Calibri"/>
          <w:color w:val="000000"/>
          <w:sz w:val="22"/>
          <w:szCs w:val="22"/>
        </w:rPr>
        <w:lastRenderedPageBreak/>
        <w:t>It is important to note that</w:t>
      </w:r>
      <w:r w:rsidR="000C56E1" w:rsidRPr="009349BE">
        <w:rPr>
          <w:rFonts w:eastAsia="Times New Roman" w:cs="Calibri"/>
          <w:color w:val="000000"/>
          <w:sz w:val="22"/>
          <w:szCs w:val="22"/>
        </w:rPr>
        <w:t xml:space="preserve"> current practice</w:t>
      </w:r>
      <w:r w:rsidRPr="009349BE">
        <w:rPr>
          <w:rFonts w:eastAsia="Times New Roman" w:cs="Calibri"/>
          <w:color w:val="000000"/>
          <w:sz w:val="22"/>
          <w:szCs w:val="22"/>
        </w:rPr>
        <w:t>s in our rural region include</w:t>
      </w:r>
      <w:r w:rsidR="000C56E1" w:rsidRPr="009349BE">
        <w:rPr>
          <w:rFonts w:eastAsia="Times New Roman" w:cs="Calibri"/>
          <w:color w:val="000000"/>
          <w:sz w:val="22"/>
          <w:szCs w:val="22"/>
        </w:rPr>
        <w:t xml:space="preserve"> universal comprehensive verbal health screening in the prenatal period and upon admission to labor and delivery. Pregnant people using cannabis or other drugs, experiencing intimate partner violence, food insecurity, lack of essential basic needs, or concerned about perinatal mood are in discussions with their providers, building trust, care, and treatment plans, working on family care plans, creating safety, and reducing risk together. To be advised that they will now be subject to statewide record-keeping w</w:t>
      </w:r>
      <w:r w:rsidRPr="009349BE">
        <w:rPr>
          <w:rFonts w:eastAsia="Times New Roman" w:cs="Calibri"/>
          <w:color w:val="000000"/>
          <w:sz w:val="22"/>
          <w:szCs w:val="22"/>
        </w:rPr>
        <w:t>ill set back the achievements our community providers</w:t>
      </w:r>
      <w:r w:rsidR="000C56E1" w:rsidRPr="009349BE">
        <w:rPr>
          <w:rFonts w:eastAsia="Times New Roman" w:cs="Calibri"/>
          <w:color w:val="000000"/>
          <w:sz w:val="22"/>
          <w:szCs w:val="22"/>
        </w:rPr>
        <w:t xml:space="preserve"> have made in the last year, reintroducing the trauma of automatic filing that </w:t>
      </w:r>
      <w:r w:rsidRPr="009349BE">
        <w:rPr>
          <w:rFonts w:eastAsia="Times New Roman" w:cs="Calibri"/>
          <w:color w:val="000000"/>
          <w:sz w:val="22"/>
          <w:szCs w:val="22"/>
        </w:rPr>
        <w:t xml:space="preserve">they </w:t>
      </w:r>
      <w:r w:rsidR="000C56E1" w:rsidRPr="009349BE">
        <w:rPr>
          <w:rFonts w:eastAsia="Times New Roman" w:cs="Calibri"/>
          <w:color w:val="000000"/>
          <w:sz w:val="22"/>
          <w:szCs w:val="22"/>
        </w:rPr>
        <w:t>addressed.</w:t>
      </w:r>
    </w:p>
    <w:p w14:paraId="7C2FF25E" w14:textId="77777777" w:rsidR="000035FF" w:rsidRPr="009349BE" w:rsidRDefault="000035FF" w:rsidP="000C56E1">
      <w:pPr>
        <w:rPr>
          <w:rFonts w:eastAsia="Times New Roman" w:cs="Calibri"/>
          <w:color w:val="000000"/>
          <w:sz w:val="10"/>
          <w:szCs w:val="10"/>
        </w:rPr>
      </w:pPr>
    </w:p>
    <w:p w14:paraId="5671F376" w14:textId="77777777" w:rsidR="000C56E1" w:rsidRPr="009349BE" w:rsidRDefault="000C56E1" w:rsidP="000C56E1">
      <w:pPr>
        <w:rPr>
          <w:rFonts w:eastAsia="Times New Roman" w:cs="Calibri"/>
          <w:sz w:val="24"/>
          <w:szCs w:val="24"/>
        </w:rPr>
      </w:pPr>
      <w:r w:rsidRPr="009349BE">
        <w:rPr>
          <w:rFonts w:eastAsia="Times New Roman" w:cs="Calibri"/>
          <w:color w:val="000000"/>
          <w:sz w:val="22"/>
          <w:szCs w:val="22"/>
        </w:rPr>
        <w:t xml:space="preserve">Second, no insight has been offered into the goal of including cannabis in this part of the regulation. It will </w:t>
      </w:r>
      <w:r w:rsidR="00E81FC7" w:rsidRPr="009349BE">
        <w:rPr>
          <w:rFonts w:eastAsia="Times New Roman" w:cs="Calibri"/>
          <w:color w:val="000000"/>
          <w:sz w:val="22"/>
          <w:szCs w:val="22"/>
        </w:rPr>
        <w:t xml:space="preserve">significantly </w:t>
      </w:r>
      <w:r w:rsidRPr="009349BE">
        <w:rPr>
          <w:rFonts w:eastAsia="Times New Roman" w:cs="Calibri"/>
          <w:color w:val="000000"/>
          <w:sz w:val="22"/>
          <w:szCs w:val="22"/>
        </w:rPr>
        <w:t>increase the volume of families impacted by the r</w:t>
      </w:r>
      <w:r w:rsidR="00E81FC7" w:rsidRPr="009349BE">
        <w:rPr>
          <w:rFonts w:eastAsia="Times New Roman" w:cs="Calibri"/>
          <w:color w:val="000000"/>
          <w:sz w:val="22"/>
          <w:szCs w:val="22"/>
        </w:rPr>
        <w:t>egulation</w:t>
      </w:r>
      <w:r w:rsidRPr="009349BE">
        <w:rPr>
          <w:rFonts w:eastAsia="Times New Roman" w:cs="Calibri"/>
          <w:color w:val="000000"/>
          <w:sz w:val="22"/>
          <w:szCs w:val="22"/>
        </w:rPr>
        <w:t>. Many people utilizing cannabis do so with a prescription</w:t>
      </w:r>
      <w:r w:rsidR="000035FF" w:rsidRPr="009349BE">
        <w:rPr>
          <w:rFonts w:eastAsia="Times New Roman" w:cs="Calibri"/>
          <w:color w:val="000000"/>
          <w:sz w:val="22"/>
          <w:szCs w:val="22"/>
        </w:rPr>
        <w:t>,</w:t>
      </w:r>
      <w:r w:rsidRPr="009349BE">
        <w:rPr>
          <w:rFonts w:eastAsia="Times New Roman" w:cs="Calibri"/>
          <w:color w:val="000000"/>
          <w:sz w:val="22"/>
          <w:szCs w:val="22"/>
        </w:rPr>
        <w:t xml:space="preserve"> and so this would be the only non-MOUD prescription medication included in the regulation, where others have a much more well-defined clinical significance to infant outcomes. As a result, the inclusion of cannabis appears to serve the function of surveilling and alienating along lines of class and race. There is no internal coherence in the regulation between infants exposed to substances, infants impacted by substance exposure, and/or families impacted by substance use disorder. </w:t>
      </w:r>
    </w:p>
    <w:p w14:paraId="6C95E4AF" w14:textId="77777777" w:rsidR="000C56E1" w:rsidRPr="009349BE" w:rsidRDefault="000C56E1" w:rsidP="000C56E1">
      <w:pPr>
        <w:rPr>
          <w:rFonts w:eastAsia="Times New Roman" w:cs="Calibri"/>
          <w:sz w:val="12"/>
          <w:szCs w:val="12"/>
        </w:rPr>
      </w:pPr>
    </w:p>
    <w:p w14:paraId="4D730037" w14:textId="77777777" w:rsidR="000C56E1" w:rsidRPr="009349BE" w:rsidRDefault="000C56E1" w:rsidP="000C56E1">
      <w:pPr>
        <w:rPr>
          <w:rFonts w:eastAsia="Times New Roman" w:cs="Calibri"/>
          <w:sz w:val="24"/>
          <w:szCs w:val="24"/>
        </w:rPr>
      </w:pPr>
      <w:r w:rsidRPr="009349BE">
        <w:rPr>
          <w:rFonts w:eastAsia="Times New Roman" w:cs="Calibri"/>
          <w:color w:val="000000"/>
          <w:sz w:val="22"/>
          <w:szCs w:val="22"/>
        </w:rPr>
        <w:t xml:space="preserve">Third, </w:t>
      </w:r>
      <w:r w:rsidR="00E81FC7" w:rsidRPr="009349BE">
        <w:rPr>
          <w:rFonts w:eastAsia="Times New Roman" w:cs="Calibri"/>
          <w:color w:val="000000"/>
          <w:sz w:val="22"/>
          <w:szCs w:val="22"/>
        </w:rPr>
        <w:t xml:space="preserve">it is unclear </w:t>
      </w:r>
      <w:r w:rsidRPr="009349BE">
        <w:rPr>
          <w:rFonts w:eastAsia="Times New Roman" w:cs="Calibri"/>
          <w:color w:val="000000"/>
          <w:sz w:val="22"/>
          <w:szCs w:val="22"/>
        </w:rPr>
        <w:t>why DPH is proposing a system with identification rather than a de-identified database. There is some mention that it is designed to hold providers accountable</w:t>
      </w:r>
      <w:r w:rsidR="00E81FC7" w:rsidRPr="009349BE">
        <w:rPr>
          <w:rFonts w:eastAsia="Times New Roman" w:cs="Calibri"/>
          <w:color w:val="000000"/>
          <w:sz w:val="22"/>
          <w:szCs w:val="22"/>
        </w:rPr>
        <w:t xml:space="preserve"> for offering family care plans. While we understand that goal, we are concerned </w:t>
      </w:r>
      <w:r w:rsidR="00D32CD5" w:rsidRPr="009349BE">
        <w:rPr>
          <w:rFonts w:eastAsia="Times New Roman" w:cs="Calibri"/>
          <w:color w:val="000000"/>
          <w:sz w:val="22"/>
          <w:szCs w:val="22"/>
        </w:rPr>
        <w:t>that vulnerable families will be negatively impacted</w:t>
      </w:r>
      <w:r w:rsidRPr="009349BE">
        <w:rPr>
          <w:rFonts w:eastAsia="Times New Roman" w:cs="Calibri"/>
          <w:color w:val="000000"/>
          <w:sz w:val="22"/>
          <w:szCs w:val="22"/>
        </w:rPr>
        <w:t xml:space="preserve"> </w:t>
      </w:r>
      <w:r w:rsidR="00E81FC7" w:rsidRPr="009349BE">
        <w:rPr>
          <w:rFonts w:eastAsia="Times New Roman" w:cs="Calibri"/>
          <w:color w:val="000000"/>
          <w:sz w:val="22"/>
          <w:szCs w:val="22"/>
        </w:rPr>
        <w:t xml:space="preserve">when </w:t>
      </w:r>
      <w:r w:rsidRPr="009349BE">
        <w:rPr>
          <w:rFonts w:eastAsia="Times New Roman" w:cs="Calibri"/>
          <w:color w:val="000000"/>
          <w:sz w:val="22"/>
          <w:szCs w:val="22"/>
        </w:rPr>
        <w:t>the technology exists to maintain a system for de-identified tracking. We have excellent systems for de-identified data management at our disposal. </w:t>
      </w:r>
    </w:p>
    <w:p w14:paraId="4FDC1486" w14:textId="77777777" w:rsidR="000C56E1" w:rsidRPr="009349BE" w:rsidRDefault="000C56E1" w:rsidP="000C56E1">
      <w:pPr>
        <w:rPr>
          <w:rFonts w:eastAsia="Times New Roman" w:cs="Calibri"/>
          <w:sz w:val="12"/>
          <w:szCs w:val="12"/>
        </w:rPr>
      </w:pPr>
    </w:p>
    <w:p w14:paraId="490C2AA7" w14:textId="77777777" w:rsidR="000C56E1" w:rsidRPr="009349BE" w:rsidRDefault="000C56E1" w:rsidP="000C56E1">
      <w:pPr>
        <w:rPr>
          <w:rFonts w:eastAsia="Times New Roman" w:cs="Calibri"/>
          <w:color w:val="000000"/>
          <w:sz w:val="22"/>
          <w:szCs w:val="22"/>
        </w:rPr>
      </w:pPr>
      <w:r w:rsidRPr="009349BE">
        <w:rPr>
          <w:rFonts w:eastAsia="Times New Roman" w:cs="Calibri"/>
          <w:color w:val="000000"/>
          <w:sz w:val="22"/>
          <w:szCs w:val="22"/>
        </w:rPr>
        <w:t>Lastly, there is no mechanism for billing/time for providers to complete Family Care Plans (FCP). The most successful use of F</w:t>
      </w:r>
      <w:r w:rsidR="000035FF" w:rsidRPr="009349BE">
        <w:rPr>
          <w:rFonts w:eastAsia="Times New Roman" w:cs="Calibri"/>
          <w:color w:val="000000"/>
          <w:sz w:val="22"/>
          <w:szCs w:val="22"/>
        </w:rPr>
        <w:t xml:space="preserve">CP occurs in hospitals </w:t>
      </w:r>
      <w:r w:rsidR="00E81FC7" w:rsidRPr="009349BE">
        <w:rPr>
          <w:rFonts w:eastAsia="Times New Roman" w:cs="Calibri"/>
          <w:color w:val="000000"/>
          <w:sz w:val="22"/>
          <w:szCs w:val="22"/>
        </w:rPr>
        <w:t>such as Baystate Franklin Medical Center</w:t>
      </w:r>
      <w:r w:rsidRPr="009349BE">
        <w:rPr>
          <w:rFonts w:eastAsia="Times New Roman" w:cs="Calibri"/>
          <w:color w:val="000000"/>
          <w:sz w:val="22"/>
          <w:szCs w:val="22"/>
        </w:rPr>
        <w:t xml:space="preserve"> through Moms Do Care</w:t>
      </w:r>
      <w:r w:rsidR="00E81FC7" w:rsidRPr="009349BE">
        <w:rPr>
          <w:rFonts w:eastAsia="Times New Roman" w:cs="Calibri"/>
          <w:color w:val="000000"/>
          <w:sz w:val="22"/>
          <w:szCs w:val="22"/>
        </w:rPr>
        <w:t>/EMPOWER</w:t>
      </w:r>
      <w:r w:rsidRPr="009349BE">
        <w:rPr>
          <w:rFonts w:eastAsia="Times New Roman" w:cs="Calibri"/>
          <w:color w:val="000000"/>
          <w:sz w:val="22"/>
          <w:szCs w:val="22"/>
        </w:rPr>
        <w:t xml:space="preserve"> and similar grant-funded programs. Any regulation that requires changes in patient care must be accompanied by measures that support sensible implementation. </w:t>
      </w:r>
    </w:p>
    <w:p w14:paraId="72CD1791" w14:textId="77777777" w:rsidR="000035FF" w:rsidRPr="009349BE" w:rsidRDefault="000035FF" w:rsidP="000C56E1">
      <w:pPr>
        <w:rPr>
          <w:rFonts w:eastAsia="Times New Roman" w:cs="Calibri"/>
          <w:color w:val="000000"/>
          <w:sz w:val="10"/>
          <w:szCs w:val="10"/>
        </w:rPr>
      </w:pPr>
    </w:p>
    <w:p w14:paraId="410DF9C8" w14:textId="77777777" w:rsidR="000035FF" w:rsidRPr="009349BE" w:rsidRDefault="000035FF" w:rsidP="000C56E1">
      <w:pPr>
        <w:rPr>
          <w:rFonts w:eastAsia="Times New Roman" w:cs="Calibri"/>
          <w:color w:val="000000"/>
          <w:sz w:val="22"/>
          <w:szCs w:val="22"/>
        </w:rPr>
      </w:pPr>
      <w:r w:rsidRPr="009349BE">
        <w:rPr>
          <w:rFonts w:eastAsia="Times New Roman" w:cs="Calibri"/>
          <w:color w:val="000000"/>
          <w:sz w:val="22"/>
          <w:szCs w:val="22"/>
        </w:rPr>
        <w:t>We hope you will take these considerations under advisement as you contempl</w:t>
      </w:r>
      <w:r w:rsidR="00E81FC7" w:rsidRPr="009349BE">
        <w:rPr>
          <w:rFonts w:eastAsia="Times New Roman" w:cs="Calibri"/>
          <w:color w:val="000000"/>
          <w:sz w:val="22"/>
          <w:szCs w:val="22"/>
        </w:rPr>
        <w:t xml:space="preserve">ate a change to this regulation to keep family wellness at the center of this work. </w:t>
      </w:r>
    </w:p>
    <w:p w14:paraId="50343AE8" w14:textId="77777777" w:rsidR="00E81FC7" w:rsidRPr="009349BE" w:rsidRDefault="00E81FC7" w:rsidP="000C56E1">
      <w:pPr>
        <w:rPr>
          <w:rFonts w:eastAsia="Times New Roman" w:cs="Calibri"/>
          <w:color w:val="000000"/>
          <w:sz w:val="10"/>
          <w:szCs w:val="10"/>
        </w:rPr>
      </w:pPr>
    </w:p>
    <w:p w14:paraId="7EC4BA88" w14:textId="77777777" w:rsidR="00E81FC7" w:rsidRPr="009349BE" w:rsidRDefault="00E81FC7" w:rsidP="000C56E1">
      <w:pPr>
        <w:rPr>
          <w:rFonts w:eastAsia="Times New Roman" w:cs="Calibri"/>
          <w:sz w:val="24"/>
          <w:szCs w:val="24"/>
        </w:rPr>
      </w:pPr>
      <w:r w:rsidRPr="009349BE">
        <w:rPr>
          <w:rFonts w:eastAsia="Times New Roman" w:cs="Calibri"/>
          <w:color w:val="000000"/>
          <w:sz w:val="22"/>
          <w:szCs w:val="22"/>
        </w:rPr>
        <w:t>Thank you for your attention to the above and for all DPH does to support our communities.</w:t>
      </w:r>
    </w:p>
    <w:p w14:paraId="5C34F4F5" w14:textId="77777777" w:rsidR="000C56E1" w:rsidRPr="000035FF" w:rsidRDefault="000C56E1" w:rsidP="00367834">
      <w:pPr>
        <w:rPr>
          <w:rFonts w:cs="Calibri"/>
          <w:color w:val="000000"/>
          <w:sz w:val="10"/>
          <w:szCs w:val="10"/>
        </w:rPr>
      </w:pPr>
    </w:p>
    <w:p w14:paraId="76A63716" w14:textId="77777777" w:rsidR="00E52CD5" w:rsidRDefault="00A90B00" w:rsidP="00E52CD5">
      <w:pPr>
        <w:tabs>
          <w:tab w:val="left" w:pos="9430"/>
        </w:tabs>
        <w:rPr>
          <w:rFonts w:eastAsia="Times New Roman" w:cs="Calibri"/>
          <w:sz w:val="22"/>
          <w:szCs w:val="22"/>
        </w:rPr>
      </w:pPr>
      <w:r w:rsidRPr="00E549DF">
        <w:rPr>
          <w:rFonts w:eastAsia="Times New Roman" w:cs="Calibri"/>
          <w:sz w:val="22"/>
          <w:szCs w:val="22"/>
        </w:rPr>
        <w:t>Sincerely,</w:t>
      </w:r>
    </w:p>
    <w:p w14:paraId="619C5042" w14:textId="77777777" w:rsidR="00A90B00" w:rsidRPr="00E549DF" w:rsidRDefault="00E52CD5" w:rsidP="00E52CD5">
      <w:pPr>
        <w:tabs>
          <w:tab w:val="left" w:pos="9430"/>
        </w:tabs>
        <w:rPr>
          <w:rFonts w:eastAsia="Times New Roman" w:cs="Calibri"/>
          <w:sz w:val="22"/>
          <w:szCs w:val="22"/>
        </w:rPr>
      </w:pPr>
      <w:r>
        <w:rPr>
          <w:rFonts w:eastAsia="Times New Roman" w:cs="Calibri"/>
          <w:sz w:val="22"/>
          <w:szCs w:val="22"/>
        </w:rPr>
        <w:tab/>
      </w:r>
    </w:p>
    <w:p w14:paraId="44BFEB30" w14:textId="6761B050" w:rsidR="00A90B00" w:rsidRDefault="00A90B00">
      <w:pPr>
        <w:spacing w:line="20" w:lineRule="exact"/>
        <w:rPr>
          <w:rFonts w:ascii="Times New Roman" w:eastAsia="Times New Roman" w:hAnsi="Times New Roman"/>
          <w:sz w:val="24"/>
        </w:rPr>
      </w:pPr>
    </w:p>
    <w:p w14:paraId="11AE69E8" w14:textId="77777777" w:rsidR="00A90B00" w:rsidRDefault="00A90B00">
      <w:pPr>
        <w:spacing w:line="20" w:lineRule="exact"/>
        <w:rPr>
          <w:rFonts w:ascii="Times New Roman" w:eastAsia="Times New Roman" w:hAnsi="Times New Roman"/>
          <w:sz w:val="24"/>
        </w:rPr>
        <w:sectPr w:rsidR="00A90B00">
          <w:headerReference w:type="even" r:id="rId9"/>
          <w:headerReference w:type="default" r:id="rId10"/>
          <w:footerReference w:type="even" r:id="rId11"/>
          <w:footerReference w:type="default" r:id="rId12"/>
          <w:headerReference w:type="first" r:id="rId13"/>
          <w:footerReference w:type="first" r:id="rId14"/>
          <w:pgSz w:w="12240" w:h="15840"/>
          <w:pgMar w:top="1440" w:right="720" w:bottom="25" w:left="720" w:header="0" w:footer="0" w:gutter="0"/>
          <w:cols w:space="0" w:equalWidth="0">
            <w:col w:w="10800"/>
          </w:cols>
          <w:docGrid w:linePitch="360"/>
        </w:sectPr>
      </w:pPr>
    </w:p>
    <w:p w14:paraId="6B21981C" w14:textId="77777777" w:rsidR="00A90B00" w:rsidRDefault="00A90B00">
      <w:pPr>
        <w:spacing w:line="200" w:lineRule="exact"/>
        <w:rPr>
          <w:rFonts w:ascii="Times New Roman" w:eastAsia="Times New Roman" w:hAnsi="Times New Roman"/>
          <w:sz w:val="24"/>
        </w:rPr>
      </w:pPr>
    </w:p>
    <w:p w14:paraId="02D5582C" w14:textId="77777777" w:rsidR="00A90B00" w:rsidRDefault="00A90B00">
      <w:pPr>
        <w:spacing w:line="200" w:lineRule="exact"/>
        <w:rPr>
          <w:rFonts w:ascii="Times New Roman" w:eastAsia="Times New Roman" w:hAnsi="Times New Roman"/>
          <w:sz w:val="24"/>
        </w:rPr>
      </w:pPr>
    </w:p>
    <w:p w14:paraId="4DA435F9" w14:textId="67B794A2" w:rsidR="00A90B00" w:rsidRDefault="00A90B00">
      <w:pPr>
        <w:spacing w:line="200" w:lineRule="exact"/>
        <w:rPr>
          <w:rFonts w:ascii="Times New Roman" w:eastAsia="Times New Roman" w:hAnsi="Times New Roman"/>
          <w:sz w:val="24"/>
        </w:rPr>
      </w:pPr>
    </w:p>
    <w:p w14:paraId="2FB76ED2" w14:textId="77777777" w:rsidR="00E52CD5" w:rsidRPr="00E52CD5" w:rsidRDefault="00E52CD5">
      <w:pPr>
        <w:spacing w:line="0" w:lineRule="atLeast"/>
        <w:rPr>
          <w:rFonts w:eastAsia="Times New Roman" w:cs="Calibri"/>
          <w:sz w:val="10"/>
          <w:szCs w:val="10"/>
        </w:rPr>
      </w:pPr>
    </w:p>
    <w:p w14:paraId="2B234535" w14:textId="77777777" w:rsidR="00A90B00" w:rsidRPr="00276CD3" w:rsidRDefault="00A90B00">
      <w:pPr>
        <w:spacing w:line="0" w:lineRule="atLeast"/>
        <w:rPr>
          <w:rFonts w:eastAsia="Times New Roman" w:cs="Calibri"/>
          <w:sz w:val="23"/>
        </w:rPr>
      </w:pPr>
      <w:r w:rsidRPr="00276CD3">
        <w:rPr>
          <w:rFonts w:eastAsia="Times New Roman" w:cs="Calibri"/>
          <w:sz w:val="23"/>
        </w:rPr>
        <w:t>John F. Merrigan</w:t>
      </w:r>
    </w:p>
    <w:p w14:paraId="0322D0B5" w14:textId="77777777" w:rsidR="00A90B00" w:rsidRPr="00276CD3" w:rsidRDefault="00A90B00">
      <w:pPr>
        <w:spacing w:line="0" w:lineRule="atLeast"/>
        <w:rPr>
          <w:rFonts w:eastAsia="Times New Roman" w:cs="Calibri"/>
          <w:sz w:val="22"/>
        </w:rPr>
      </w:pPr>
      <w:r w:rsidRPr="00276CD3">
        <w:rPr>
          <w:rFonts w:eastAsia="Times New Roman" w:cs="Calibri"/>
          <w:sz w:val="22"/>
        </w:rPr>
        <w:t>Franklin County Register of Probate</w:t>
      </w:r>
    </w:p>
    <w:p w14:paraId="69AD6A0C" w14:textId="77777777" w:rsidR="00A90B00" w:rsidRPr="00276CD3" w:rsidRDefault="00A90B00">
      <w:pPr>
        <w:spacing w:line="200" w:lineRule="exact"/>
        <w:rPr>
          <w:rFonts w:eastAsia="Times New Roman" w:cs="Calibri"/>
          <w:sz w:val="24"/>
        </w:rPr>
      </w:pPr>
      <w:r w:rsidRPr="00276CD3">
        <w:rPr>
          <w:rFonts w:eastAsia="Times New Roman" w:cs="Calibri"/>
          <w:sz w:val="22"/>
        </w:rPr>
        <w:br w:type="column"/>
      </w:r>
    </w:p>
    <w:p w14:paraId="3CCA3457" w14:textId="77777777" w:rsidR="00A90B00" w:rsidRPr="00276CD3" w:rsidRDefault="00A90B00">
      <w:pPr>
        <w:spacing w:line="200" w:lineRule="exact"/>
        <w:rPr>
          <w:rFonts w:eastAsia="Times New Roman" w:cs="Calibri"/>
          <w:sz w:val="24"/>
        </w:rPr>
      </w:pPr>
    </w:p>
    <w:p w14:paraId="3446C041" w14:textId="77777777" w:rsidR="00A90B00" w:rsidRPr="00276CD3" w:rsidRDefault="00A90B00">
      <w:pPr>
        <w:spacing w:line="200" w:lineRule="exact"/>
        <w:rPr>
          <w:rFonts w:eastAsia="Times New Roman" w:cs="Calibri"/>
          <w:sz w:val="24"/>
        </w:rPr>
      </w:pPr>
    </w:p>
    <w:p w14:paraId="194A3E81" w14:textId="08CE01D7" w:rsidR="00A90B00" w:rsidRPr="00276CD3" w:rsidRDefault="00A90B00">
      <w:pPr>
        <w:spacing w:line="200" w:lineRule="exact"/>
        <w:rPr>
          <w:rFonts w:eastAsia="Times New Roman" w:cs="Calibri"/>
          <w:sz w:val="24"/>
        </w:rPr>
      </w:pPr>
    </w:p>
    <w:p w14:paraId="504C99E1" w14:textId="77777777" w:rsidR="00A90B00" w:rsidRPr="00276CD3" w:rsidRDefault="00504EB3" w:rsidP="00504EB3">
      <w:pPr>
        <w:rPr>
          <w:rFonts w:eastAsia="Times New Roman" w:cs="Calibri"/>
          <w:sz w:val="23"/>
        </w:rPr>
      </w:pPr>
      <w:r>
        <w:rPr>
          <w:rFonts w:eastAsia="Times New Roman" w:cs="Calibri"/>
          <w:sz w:val="23"/>
        </w:rPr>
        <w:t>Lori M. Streeter</w:t>
      </w:r>
      <w:r w:rsidR="00A90B00" w:rsidRPr="00276CD3">
        <w:rPr>
          <w:rFonts w:eastAsia="Times New Roman" w:cs="Calibri"/>
          <w:sz w:val="23"/>
        </w:rPr>
        <w:t xml:space="preserve"> Franklin County Sheriff</w:t>
      </w:r>
    </w:p>
    <w:p w14:paraId="25B81D5D" w14:textId="77777777" w:rsidR="00A90B00" w:rsidRPr="00276CD3" w:rsidRDefault="00A90B00">
      <w:pPr>
        <w:spacing w:line="200" w:lineRule="exact"/>
        <w:rPr>
          <w:rFonts w:eastAsia="Times New Roman" w:cs="Calibri"/>
          <w:sz w:val="24"/>
        </w:rPr>
      </w:pPr>
      <w:r w:rsidRPr="00276CD3">
        <w:rPr>
          <w:rFonts w:eastAsia="Times New Roman" w:cs="Calibri"/>
          <w:sz w:val="23"/>
        </w:rPr>
        <w:br w:type="column"/>
      </w:r>
    </w:p>
    <w:p w14:paraId="234B3D59" w14:textId="77777777" w:rsidR="00A90B00" w:rsidRPr="00276CD3" w:rsidRDefault="00A90B00">
      <w:pPr>
        <w:spacing w:line="200" w:lineRule="exact"/>
        <w:rPr>
          <w:rFonts w:eastAsia="Times New Roman" w:cs="Calibri"/>
          <w:sz w:val="24"/>
        </w:rPr>
      </w:pPr>
    </w:p>
    <w:p w14:paraId="187D3A87" w14:textId="622959AA" w:rsidR="00A90B00" w:rsidRPr="00276CD3" w:rsidRDefault="00A90B00">
      <w:pPr>
        <w:spacing w:line="200" w:lineRule="exact"/>
        <w:rPr>
          <w:rFonts w:eastAsia="Times New Roman" w:cs="Calibri"/>
          <w:sz w:val="24"/>
        </w:rPr>
      </w:pPr>
    </w:p>
    <w:p w14:paraId="173B138E" w14:textId="77777777" w:rsidR="00A90B00" w:rsidRPr="00276CD3" w:rsidRDefault="00A90B00">
      <w:pPr>
        <w:spacing w:line="200" w:lineRule="exact"/>
        <w:rPr>
          <w:rFonts w:eastAsia="Times New Roman" w:cs="Calibri"/>
          <w:sz w:val="24"/>
        </w:rPr>
      </w:pPr>
    </w:p>
    <w:p w14:paraId="5069DF24" w14:textId="77777777" w:rsidR="00A45EF9" w:rsidRDefault="00A90B00" w:rsidP="00ED3EE2">
      <w:pPr>
        <w:ind w:right="-270"/>
        <w:rPr>
          <w:rFonts w:eastAsia="Times New Roman" w:cs="Calibri"/>
          <w:sz w:val="23"/>
        </w:rPr>
      </w:pPr>
      <w:r w:rsidRPr="00276CD3">
        <w:rPr>
          <w:rFonts w:eastAsia="Times New Roman" w:cs="Calibri"/>
          <w:sz w:val="23"/>
        </w:rPr>
        <w:t xml:space="preserve">David E. Sullivan </w:t>
      </w:r>
    </w:p>
    <w:p w14:paraId="08A23688" w14:textId="77777777" w:rsidR="00A90B00" w:rsidRDefault="00A90B00" w:rsidP="00ED3EE2">
      <w:pPr>
        <w:ind w:right="-270"/>
        <w:rPr>
          <w:rFonts w:ascii="Times New Roman" w:eastAsia="Times New Roman" w:hAnsi="Times New Roman"/>
          <w:sz w:val="23"/>
        </w:rPr>
      </w:pPr>
      <w:r w:rsidRPr="00276CD3">
        <w:rPr>
          <w:rFonts w:eastAsia="Times New Roman" w:cs="Calibri"/>
          <w:sz w:val="23"/>
        </w:rPr>
        <w:t xml:space="preserve">Northwestern District </w:t>
      </w:r>
      <w:r w:rsidR="00276CD3" w:rsidRPr="00276CD3">
        <w:rPr>
          <w:rFonts w:eastAsia="Times New Roman" w:cs="Calibri"/>
          <w:sz w:val="23"/>
        </w:rPr>
        <w:t>A</w:t>
      </w:r>
      <w:r w:rsidRPr="00276CD3">
        <w:rPr>
          <w:rFonts w:eastAsia="Times New Roman" w:cs="Calibri"/>
          <w:sz w:val="23"/>
        </w:rPr>
        <w:t>ttorney</w:t>
      </w:r>
    </w:p>
    <w:p w14:paraId="5212B9B3" w14:textId="77777777" w:rsidR="00A90B00" w:rsidRDefault="00A90B00">
      <w:pPr>
        <w:spacing w:line="280" w:lineRule="auto"/>
        <w:ind w:right="1440"/>
        <w:rPr>
          <w:rFonts w:ascii="Times New Roman" w:eastAsia="Times New Roman" w:hAnsi="Times New Roman"/>
          <w:sz w:val="23"/>
        </w:rPr>
        <w:sectPr w:rsidR="00A90B00">
          <w:type w:val="continuous"/>
          <w:pgSz w:w="12240" w:h="15840"/>
          <w:pgMar w:top="1440" w:right="720" w:bottom="25" w:left="720" w:header="0" w:footer="0" w:gutter="0"/>
          <w:cols w:num="3" w:space="0" w:equalWidth="0">
            <w:col w:w="3340" w:space="260"/>
            <w:col w:w="2220" w:space="660"/>
            <w:col w:w="4320"/>
          </w:cols>
          <w:docGrid w:linePitch="360"/>
        </w:sectPr>
      </w:pPr>
    </w:p>
    <w:p w14:paraId="336AEE01" w14:textId="77777777" w:rsidR="00A90B00" w:rsidRDefault="00A90B00">
      <w:pPr>
        <w:spacing w:line="23" w:lineRule="exact"/>
        <w:rPr>
          <w:rFonts w:ascii="Times New Roman" w:eastAsia="Times New Roman" w:hAnsi="Times New Roman"/>
          <w:sz w:val="24"/>
        </w:rPr>
      </w:pPr>
    </w:p>
    <w:p w14:paraId="28397E5F" w14:textId="77777777" w:rsidR="00C313BC" w:rsidRDefault="00C313BC" w:rsidP="00C313BC">
      <w:pPr>
        <w:spacing w:line="0" w:lineRule="atLeast"/>
        <w:jc w:val="center"/>
        <w:rPr>
          <w:color w:val="17365D"/>
          <w:sz w:val="16"/>
          <w:szCs w:val="16"/>
        </w:rPr>
      </w:pPr>
      <w:r w:rsidRPr="00276CD3">
        <w:rPr>
          <w:rFonts w:eastAsia="Times New Roman" w:cs="Calibri"/>
          <w:sz w:val="22"/>
          <w:szCs w:val="22"/>
        </w:rPr>
        <w:t>Co-Chairs, Opioid Task Force of Franklin County and the North Quabbin Region</w:t>
      </w:r>
    </w:p>
    <w:p w14:paraId="40B1CC77" w14:textId="77777777" w:rsidR="000035FF" w:rsidRDefault="000035FF" w:rsidP="00ED3EE2">
      <w:pPr>
        <w:spacing w:line="0" w:lineRule="atLeast"/>
        <w:ind w:left="3300"/>
        <w:rPr>
          <w:color w:val="17365D"/>
          <w:sz w:val="16"/>
          <w:szCs w:val="16"/>
        </w:rPr>
      </w:pPr>
    </w:p>
    <w:p w14:paraId="7FFDD5C8" w14:textId="77777777" w:rsidR="000035FF" w:rsidRDefault="000035FF" w:rsidP="00ED3EE2">
      <w:pPr>
        <w:spacing w:line="0" w:lineRule="atLeast"/>
        <w:ind w:left="3300"/>
        <w:rPr>
          <w:color w:val="17365D"/>
          <w:sz w:val="16"/>
          <w:szCs w:val="16"/>
        </w:rPr>
      </w:pPr>
    </w:p>
    <w:p w14:paraId="47FF50B8" w14:textId="77777777" w:rsidR="000035FF" w:rsidRDefault="000035FF" w:rsidP="00ED3EE2">
      <w:pPr>
        <w:spacing w:line="0" w:lineRule="atLeast"/>
        <w:ind w:left="3300"/>
        <w:rPr>
          <w:color w:val="17365D"/>
          <w:sz w:val="16"/>
          <w:szCs w:val="16"/>
        </w:rPr>
      </w:pPr>
    </w:p>
    <w:p w14:paraId="28C86E73" w14:textId="77777777" w:rsidR="000035FF" w:rsidRDefault="000035FF" w:rsidP="00ED3EE2">
      <w:pPr>
        <w:spacing w:line="0" w:lineRule="atLeast"/>
        <w:ind w:left="3300"/>
        <w:rPr>
          <w:color w:val="17365D"/>
          <w:sz w:val="16"/>
          <w:szCs w:val="16"/>
        </w:rPr>
      </w:pPr>
    </w:p>
    <w:p w14:paraId="2C41EFD2" w14:textId="77777777" w:rsidR="000035FF" w:rsidRDefault="000035FF" w:rsidP="00ED3EE2">
      <w:pPr>
        <w:spacing w:line="0" w:lineRule="atLeast"/>
        <w:ind w:left="3300"/>
        <w:rPr>
          <w:color w:val="17365D"/>
          <w:sz w:val="16"/>
          <w:szCs w:val="16"/>
        </w:rPr>
      </w:pPr>
    </w:p>
    <w:p w14:paraId="789A0E0C" w14:textId="77777777" w:rsidR="000035FF" w:rsidRDefault="000035FF" w:rsidP="00ED3EE2">
      <w:pPr>
        <w:spacing w:line="0" w:lineRule="atLeast"/>
        <w:ind w:left="3300"/>
        <w:rPr>
          <w:color w:val="17365D"/>
          <w:sz w:val="16"/>
          <w:szCs w:val="16"/>
        </w:rPr>
      </w:pPr>
    </w:p>
    <w:p w14:paraId="4919DC7E" w14:textId="77777777" w:rsidR="000035FF" w:rsidRDefault="000035FF" w:rsidP="00ED3EE2">
      <w:pPr>
        <w:spacing w:line="0" w:lineRule="atLeast"/>
        <w:ind w:left="3300"/>
        <w:rPr>
          <w:color w:val="17365D"/>
          <w:sz w:val="16"/>
          <w:szCs w:val="16"/>
        </w:rPr>
      </w:pPr>
    </w:p>
    <w:p w14:paraId="002CAA9D" w14:textId="77777777" w:rsidR="000035FF" w:rsidRDefault="000035FF" w:rsidP="00ED3EE2">
      <w:pPr>
        <w:spacing w:line="0" w:lineRule="atLeast"/>
        <w:ind w:left="3300"/>
        <w:rPr>
          <w:color w:val="17365D"/>
          <w:sz w:val="16"/>
          <w:szCs w:val="16"/>
        </w:rPr>
      </w:pPr>
    </w:p>
    <w:p w14:paraId="4C99FE89" w14:textId="77777777" w:rsidR="000035FF" w:rsidRDefault="000035FF" w:rsidP="00ED3EE2">
      <w:pPr>
        <w:spacing w:line="0" w:lineRule="atLeast"/>
        <w:ind w:left="3300"/>
        <w:rPr>
          <w:color w:val="17365D"/>
          <w:sz w:val="16"/>
          <w:szCs w:val="16"/>
        </w:rPr>
      </w:pPr>
    </w:p>
    <w:p w14:paraId="4AC69BC5" w14:textId="77777777" w:rsidR="000035FF" w:rsidRDefault="000035FF" w:rsidP="00ED3EE2">
      <w:pPr>
        <w:spacing w:line="0" w:lineRule="atLeast"/>
        <w:ind w:left="3300"/>
        <w:rPr>
          <w:color w:val="17365D"/>
          <w:sz w:val="16"/>
          <w:szCs w:val="16"/>
        </w:rPr>
      </w:pPr>
    </w:p>
    <w:p w14:paraId="4052C02A" w14:textId="77777777" w:rsidR="000035FF" w:rsidRDefault="000035FF" w:rsidP="00ED3EE2">
      <w:pPr>
        <w:spacing w:line="0" w:lineRule="atLeast"/>
        <w:ind w:left="3300"/>
        <w:rPr>
          <w:color w:val="17365D"/>
          <w:sz w:val="16"/>
          <w:szCs w:val="16"/>
        </w:rPr>
      </w:pPr>
    </w:p>
    <w:p w14:paraId="41A2DECE" w14:textId="77777777" w:rsidR="000035FF" w:rsidRDefault="000035FF" w:rsidP="00ED3EE2">
      <w:pPr>
        <w:spacing w:line="0" w:lineRule="atLeast"/>
        <w:ind w:left="3300"/>
        <w:rPr>
          <w:color w:val="17365D"/>
          <w:sz w:val="16"/>
          <w:szCs w:val="16"/>
        </w:rPr>
      </w:pPr>
    </w:p>
    <w:p w14:paraId="204A4C9F" w14:textId="77777777" w:rsidR="000035FF" w:rsidRDefault="000035FF" w:rsidP="00ED3EE2">
      <w:pPr>
        <w:spacing w:line="0" w:lineRule="atLeast"/>
        <w:ind w:left="3300"/>
        <w:rPr>
          <w:color w:val="17365D"/>
          <w:sz w:val="16"/>
          <w:szCs w:val="16"/>
        </w:rPr>
      </w:pPr>
    </w:p>
    <w:p w14:paraId="5D6A23B0" w14:textId="77777777" w:rsidR="000035FF" w:rsidRDefault="000035FF" w:rsidP="00ED3EE2">
      <w:pPr>
        <w:spacing w:line="0" w:lineRule="atLeast"/>
        <w:ind w:left="3300"/>
        <w:rPr>
          <w:color w:val="17365D"/>
          <w:sz w:val="16"/>
          <w:szCs w:val="16"/>
        </w:rPr>
      </w:pPr>
    </w:p>
    <w:p w14:paraId="4BE7EC0E" w14:textId="77777777" w:rsidR="000035FF" w:rsidRDefault="000035FF" w:rsidP="00ED3EE2">
      <w:pPr>
        <w:spacing w:line="0" w:lineRule="atLeast"/>
        <w:ind w:left="3300"/>
        <w:rPr>
          <w:color w:val="17365D"/>
          <w:sz w:val="16"/>
          <w:szCs w:val="16"/>
        </w:rPr>
      </w:pPr>
    </w:p>
    <w:p w14:paraId="1B57BC1D" w14:textId="77777777" w:rsidR="000035FF" w:rsidRDefault="000035FF" w:rsidP="00ED3EE2">
      <w:pPr>
        <w:spacing w:line="0" w:lineRule="atLeast"/>
        <w:ind w:left="3300"/>
        <w:rPr>
          <w:color w:val="17365D"/>
          <w:sz w:val="16"/>
          <w:szCs w:val="16"/>
        </w:rPr>
      </w:pPr>
    </w:p>
    <w:p w14:paraId="0FD87503" w14:textId="77777777" w:rsidR="000035FF" w:rsidRDefault="000035FF" w:rsidP="00ED3EE2">
      <w:pPr>
        <w:spacing w:line="0" w:lineRule="atLeast"/>
        <w:ind w:left="3300"/>
        <w:rPr>
          <w:color w:val="17365D"/>
          <w:sz w:val="16"/>
          <w:szCs w:val="16"/>
        </w:rPr>
      </w:pPr>
    </w:p>
    <w:p w14:paraId="7E0DAAB6" w14:textId="77777777" w:rsidR="00A90B00" w:rsidRPr="00ED3EE2" w:rsidRDefault="00A90B00" w:rsidP="00ED3EE2">
      <w:pPr>
        <w:spacing w:line="0" w:lineRule="atLeast"/>
        <w:ind w:left="3300"/>
        <w:rPr>
          <w:color w:val="17365D"/>
          <w:sz w:val="16"/>
          <w:szCs w:val="16"/>
        </w:rPr>
      </w:pPr>
      <w:r w:rsidRPr="00ED3EE2">
        <w:rPr>
          <w:color w:val="17365D"/>
          <w:sz w:val="16"/>
          <w:szCs w:val="16"/>
        </w:rPr>
        <w:t>Administered by the Franklin County Sheriff’s Office</w:t>
      </w:r>
    </w:p>
    <w:p w14:paraId="6D5AF1EA" w14:textId="77777777" w:rsidR="00A90B00" w:rsidRPr="00ED3EE2" w:rsidRDefault="00A90B00" w:rsidP="00ED3EE2">
      <w:pPr>
        <w:spacing w:line="13" w:lineRule="exact"/>
        <w:jc w:val="center"/>
        <w:rPr>
          <w:rFonts w:ascii="Times New Roman" w:eastAsia="Times New Roman" w:hAnsi="Times New Roman"/>
          <w:sz w:val="16"/>
          <w:szCs w:val="16"/>
        </w:rPr>
      </w:pPr>
    </w:p>
    <w:p w14:paraId="54FF8A21" w14:textId="77777777" w:rsidR="00E52CD5" w:rsidRPr="00ED3EE2" w:rsidRDefault="00A90B00" w:rsidP="00ED3EE2">
      <w:pPr>
        <w:spacing w:line="0" w:lineRule="atLeast"/>
        <w:jc w:val="center"/>
        <w:rPr>
          <w:color w:val="244061"/>
          <w:sz w:val="16"/>
          <w:szCs w:val="16"/>
        </w:rPr>
      </w:pPr>
      <w:r w:rsidRPr="00ED3EE2">
        <w:rPr>
          <w:color w:val="17365D"/>
          <w:sz w:val="16"/>
          <w:szCs w:val="16"/>
        </w:rPr>
        <w:t xml:space="preserve">43 Hope Street, Room 1705, Greenfield, MA 01301 </w:t>
      </w:r>
      <w:r w:rsidRPr="00ED3EE2">
        <w:rPr>
          <w:rFonts w:ascii="Arial" w:eastAsia="Arial" w:hAnsi="Arial"/>
          <w:color w:val="17365D"/>
          <w:sz w:val="16"/>
          <w:szCs w:val="16"/>
        </w:rPr>
        <w:t>•</w:t>
      </w:r>
      <w:r w:rsidRPr="00ED3EE2">
        <w:rPr>
          <w:color w:val="17365D"/>
          <w:sz w:val="16"/>
          <w:szCs w:val="16"/>
        </w:rPr>
        <w:t xml:space="preserve"> 413.775.7474 </w:t>
      </w:r>
      <w:r w:rsidRPr="00ED3EE2">
        <w:rPr>
          <w:rFonts w:ascii="Arial" w:eastAsia="Arial" w:hAnsi="Arial"/>
          <w:color w:val="17365D"/>
          <w:sz w:val="16"/>
          <w:szCs w:val="16"/>
        </w:rPr>
        <w:t>•</w:t>
      </w:r>
      <w:r w:rsidRPr="00ED3EE2">
        <w:rPr>
          <w:color w:val="17365D"/>
          <w:sz w:val="16"/>
          <w:szCs w:val="16"/>
        </w:rPr>
        <w:t xml:space="preserve"> </w:t>
      </w:r>
      <w:r w:rsidR="007371F4" w:rsidRPr="00ED3EE2">
        <w:rPr>
          <w:color w:val="17365D"/>
          <w:sz w:val="16"/>
          <w:szCs w:val="16"/>
        </w:rPr>
        <w:t>info@opioidtaskforce.org •</w:t>
      </w:r>
      <w:r w:rsidRPr="00ED3EE2">
        <w:rPr>
          <w:color w:val="17365D"/>
          <w:sz w:val="16"/>
          <w:szCs w:val="16"/>
        </w:rPr>
        <w:t xml:space="preserve"> </w:t>
      </w:r>
      <w:hyperlink r:id="rId15" w:history="1">
        <w:r w:rsidR="00E52CD5" w:rsidRPr="008F7584">
          <w:rPr>
            <w:rStyle w:val="Hyperlink"/>
            <w:sz w:val="16"/>
            <w:szCs w:val="16"/>
          </w:rPr>
          <w:t>www.opioidtaskforce.org</w:t>
        </w:r>
      </w:hyperlink>
    </w:p>
    <w:sectPr w:rsidR="00E52CD5" w:rsidRPr="00ED3EE2" w:rsidSect="001F7119">
      <w:type w:val="continuous"/>
      <w:pgSz w:w="12240" w:h="15840"/>
      <w:pgMar w:top="1440" w:right="720" w:bottom="25" w:left="720" w:header="0" w:footer="0" w:gutter="0"/>
      <w:cols w:space="0" w:equalWidth="0">
        <w:col w:w="108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E74C7" w14:textId="77777777" w:rsidR="00CE6818" w:rsidRDefault="00CE6818" w:rsidP="00B6185B">
      <w:r>
        <w:separator/>
      </w:r>
    </w:p>
  </w:endnote>
  <w:endnote w:type="continuationSeparator" w:id="0">
    <w:p w14:paraId="68C7BA56" w14:textId="77777777" w:rsidR="00CE6818" w:rsidRDefault="00CE6818" w:rsidP="00B6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16DF" w14:textId="77777777" w:rsidR="000035FF" w:rsidRDefault="00003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F008" w14:textId="77777777" w:rsidR="000035FF" w:rsidRDefault="00003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6C40" w14:textId="77777777" w:rsidR="000035FF" w:rsidRDefault="00003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6704" w14:textId="77777777" w:rsidR="00CE6818" w:rsidRDefault="00CE6818" w:rsidP="00B6185B">
      <w:r>
        <w:separator/>
      </w:r>
    </w:p>
  </w:footnote>
  <w:footnote w:type="continuationSeparator" w:id="0">
    <w:p w14:paraId="121A98EE" w14:textId="77777777" w:rsidR="00CE6818" w:rsidRDefault="00CE6818" w:rsidP="00B61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122B" w14:textId="77777777" w:rsidR="000035FF" w:rsidRDefault="000035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B5FA" w14:textId="77777777" w:rsidR="000035FF" w:rsidRDefault="000035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603B" w14:textId="77777777" w:rsidR="000035FF" w:rsidRDefault="00003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0243F89"/>
    <w:multiLevelType w:val="hybridMultilevel"/>
    <w:tmpl w:val="8BF0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EA2DDD"/>
    <w:multiLevelType w:val="hybridMultilevel"/>
    <w:tmpl w:val="78AC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525190">
    <w:abstractNumId w:val="0"/>
  </w:num>
  <w:num w:numId="2" w16cid:durableId="838542793">
    <w:abstractNumId w:val="1"/>
  </w:num>
  <w:num w:numId="3" w16cid:durableId="1348747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linkToQuery/>
    <w:dataType w:val="native"/>
    <w:connectString w:val="Provider=Microsoft.ACE.OLEDB.12.0;User ID=Admin;Data Source=&quot;C:\Users\Deb McLaughlin\Desktop\Deb's Files\2024.11.12 Town Officials Contact List.xlsx&quot;;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Data$` "/>
    <w:activeRecord w:val="0"/>
    <w:odso>
      <w:udl w:val="Provider=Microsoft.ACE.OLEDB.12.0;User ID=Admin;Data Source=&quot;C:\Users\Deb McLaughlin\Desktop\Deb's Files\2024.11.12 Town Officials Contact List.xlsx&quot;;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Data$"/>
      <w:src r:id="rId1"/>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Address"/>
        <w:mappedName w:val="Address 1"/>
        <w:column w:val="2"/>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EmailAddress"/>
        <w:mappedName w:val="E-mail Address"/>
        <w:column w:val="0"/>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DE6"/>
    <w:rsid w:val="000035FF"/>
    <w:rsid w:val="0007588A"/>
    <w:rsid w:val="00080F02"/>
    <w:rsid w:val="000C56E1"/>
    <w:rsid w:val="00131DE6"/>
    <w:rsid w:val="00161F11"/>
    <w:rsid w:val="00176FEB"/>
    <w:rsid w:val="00195267"/>
    <w:rsid w:val="001A4C66"/>
    <w:rsid w:val="001A52EC"/>
    <w:rsid w:val="001F7119"/>
    <w:rsid w:val="0020613E"/>
    <w:rsid w:val="0022793E"/>
    <w:rsid w:val="00276CD3"/>
    <w:rsid w:val="002A3D7A"/>
    <w:rsid w:val="002E09CD"/>
    <w:rsid w:val="00344221"/>
    <w:rsid w:val="00346FAC"/>
    <w:rsid w:val="00367834"/>
    <w:rsid w:val="00372720"/>
    <w:rsid w:val="0037670B"/>
    <w:rsid w:val="00381616"/>
    <w:rsid w:val="00392196"/>
    <w:rsid w:val="003E5316"/>
    <w:rsid w:val="00434800"/>
    <w:rsid w:val="0046513F"/>
    <w:rsid w:val="0046564D"/>
    <w:rsid w:val="004D537A"/>
    <w:rsid w:val="00504EB3"/>
    <w:rsid w:val="00523A9E"/>
    <w:rsid w:val="005404B9"/>
    <w:rsid w:val="00572C39"/>
    <w:rsid w:val="005C6AEF"/>
    <w:rsid w:val="0061190D"/>
    <w:rsid w:val="00650B5E"/>
    <w:rsid w:val="00653529"/>
    <w:rsid w:val="00674AE2"/>
    <w:rsid w:val="007371F4"/>
    <w:rsid w:val="008846F9"/>
    <w:rsid w:val="009349BE"/>
    <w:rsid w:val="009C41B5"/>
    <w:rsid w:val="00A45EF9"/>
    <w:rsid w:val="00A834B2"/>
    <w:rsid w:val="00A90B00"/>
    <w:rsid w:val="00AC182F"/>
    <w:rsid w:val="00AD745B"/>
    <w:rsid w:val="00AF1B2E"/>
    <w:rsid w:val="00B0459F"/>
    <w:rsid w:val="00B136FF"/>
    <w:rsid w:val="00B21598"/>
    <w:rsid w:val="00B6185B"/>
    <w:rsid w:val="00B97793"/>
    <w:rsid w:val="00C313BC"/>
    <w:rsid w:val="00C754CD"/>
    <w:rsid w:val="00CB63D3"/>
    <w:rsid w:val="00CD0044"/>
    <w:rsid w:val="00CD1F7A"/>
    <w:rsid w:val="00CE6818"/>
    <w:rsid w:val="00D0068F"/>
    <w:rsid w:val="00D02ED7"/>
    <w:rsid w:val="00D32CD5"/>
    <w:rsid w:val="00D80AC5"/>
    <w:rsid w:val="00D93A5C"/>
    <w:rsid w:val="00E2736B"/>
    <w:rsid w:val="00E3365D"/>
    <w:rsid w:val="00E52CD5"/>
    <w:rsid w:val="00E549DF"/>
    <w:rsid w:val="00E81FC7"/>
    <w:rsid w:val="00E85641"/>
    <w:rsid w:val="00EB3260"/>
    <w:rsid w:val="00ED3EE2"/>
    <w:rsid w:val="00EE2764"/>
    <w:rsid w:val="00EF6D90"/>
    <w:rsid w:val="00F113B3"/>
    <w:rsid w:val="00F12C46"/>
    <w:rsid w:val="00F14FDF"/>
    <w:rsid w:val="00F8575F"/>
    <w:rsid w:val="00F906B6"/>
    <w:rsid w:val="00F9686D"/>
    <w:rsid w:val="00F9731F"/>
    <w:rsid w:val="00FE3DF4"/>
    <w:rsid w:val="00FE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0365D"/>
  <w15:chartTrackingRefBased/>
  <w15:docId w15:val="{97BDED6D-AE48-45CF-ACE8-3D22376C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Title">
    <w:name w:val="Title"/>
    <w:basedOn w:val="Normal"/>
    <w:link w:val="TitleChar"/>
    <w:qFormat/>
    <w:rsid w:val="001F7119"/>
    <w:pPr>
      <w:spacing w:after="240"/>
      <w:jc w:val="center"/>
    </w:pPr>
    <w:rPr>
      <w:rFonts w:ascii="Arial" w:eastAsia="Times New Roman" w:hAnsi="Arial" w:cs="Times New Roman"/>
      <w:b/>
      <w:bCs/>
      <w:sz w:val="36"/>
    </w:rPr>
  </w:style>
  <w:style w:type="character" w:customStyle="1" w:styleId="TitleChar">
    <w:name w:val="Title Char"/>
    <w:link w:val="Title"/>
    <w:rsid w:val="001F7119"/>
    <w:rPr>
      <w:rFonts w:ascii="Arial" w:eastAsia="Times New Roman" w:hAnsi="Arial" w:cs="Times New Roman"/>
      <w:b/>
      <w:bCs/>
      <w:sz w:val="36"/>
    </w:rPr>
  </w:style>
  <w:style w:type="paragraph" w:styleId="NormalWeb">
    <w:name w:val="Normal (Web)"/>
    <w:basedOn w:val="Normal"/>
    <w:uiPriority w:val="99"/>
    <w:unhideWhenUsed/>
    <w:rsid w:val="00E2736B"/>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6185B"/>
    <w:pPr>
      <w:tabs>
        <w:tab w:val="center" w:pos="4680"/>
        <w:tab w:val="right" w:pos="9360"/>
      </w:tabs>
    </w:pPr>
  </w:style>
  <w:style w:type="character" w:customStyle="1" w:styleId="HeaderChar">
    <w:name w:val="Header Char"/>
    <w:basedOn w:val="DefaultParagraphFont"/>
    <w:link w:val="Header"/>
    <w:uiPriority w:val="99"/>
    <w:rsid w:val="00B6185B"/>
  </w:style>
  <w:style w:type="paragraph" w:styleId="Footer">
    <w:name w:val="footer"/>
    <w:basedOn w:val="Normal"/>
    <w:link w:val="FooterChar"/>
    <w:uiPriority w:val="99"/>
    <w:unhideWhenUsed/>
    <w:rsid w:val="00B6185B"/>
    <w:pPr>
      <w:tabs>
        <w:tab w:val="center" w:pos="4680"/>
        <w:tab w:val="right" w:pos="9360"/>
      </w:tabs>
    </w:pPr>
  </w:style>
  <w:style w:type="character" w:customStyle="1" w:styleId="FooterChar">
    <w:name w:val="Footer Char"/>
    <w:basedOn w:val="DefaultParagraphFont"/>
    <w:link w:val="Footer"/>
    <w:uiPriority w:val="99"/>
    <w:rsid w:val="00B6185B"/>
  </w:style>
  <w:style w:type="character" w:styleId="Hyperlink">
    <w:name w:val="Hyperlink"/>
    <w:uiPriority w:val="99"/>
    <w:unhideWhenUsed/>
    <w:rsid w:val="00B977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97623">
      <w:bodyDiv w:val="1"/>
      <w:marLeft w:val="0"/>
      <w:marRight w:val="0"/>
      <w:marTop w:val="0"/>
      <w:marBottom w:val="0"/>
      <w:divBdr>
        <w:top w:val="none" w:sz="0" w:space="0" w:color="auto"/>
        <w:left w:val="none" w:sz="0" w:space="0" w:color="auto"/>
        <w:bottom w:val="none" w:sz="0" w:space="0" w:color="auto"/>
        <w:right w:val="none" w:sz="0" w:space="0" w:color="auto"/>
      </w:divBdr>
    </w:div>
    <w:div w:id="555167437">
      <w:bodyDiv w:val="1"/>
      <w:marLeft w:val="0"/>
      <w:marRight w:val="0"/>
      <w:marTop w:val="0"/>
      <w:marBottom w:val="0"/>
      <w:divBdr>
        <w:top w:val="none" w:sz="0" w:space="0" w:color="auto"/>
        <w:left w:val="none" w:sz="0" w:space="0" w:color="auto"/>
        <w:bottom w:val="none" w:sz="0" w:space="0" w:color="auto"/>
        <w:right w:val="none" w:sz="0" w:space="0" w:color="auto"/>
      </w:divBdr>
    </w:div>
    <w:div w:id="133060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opioidtaskforce.or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mailMergeSource" Target="file:///C:\Users\Deb%20McLaughlin\Desktop\Deb's%20Files\2024.11.12%20Town%20Officials%20Contact%20Lis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814D3-8109-4414-AB4D-727D3BBC1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6060</CharactersWithSpaces>
  <SharedDoc>false</SharedDoc>
  <HLinks>
    <vt:vector size="6" baseType="variant">
      <vt:variant>
        <vt:i4>3801201</vt:i4>
      </vt:variant>
      <vt:variant>
        <vt:i4>9</vt:i4>
      </vt:variant>
      <vt:variant>
        <vt:i4>0</vt:i4>
      </vt:variant>
      <vt:variant>
        <vt:i4>5</vt:i4>
      </vt:variant>
      <vt:variant>
        <vt:lpwstr>http://www.opioidtaskforce.org/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McLaughlin</dc:creator>
  <cp:keywords/>
  <cp:lastModifiedBy>Anderson, William (DPH)</cp:lastModifiedBy>
  <cp:revision>2</cp:revision>
  <cp:lastPrinted>2025-03-10T01:50:00Z</cp:lastPrinted>
  <dcterms:created xsi:type="dcterms:W3CDTF">2026-05-26T14:22:00Z</dcterms:created>
  <dcterms:modified xsi:type="dcterms:W3CDTF">2026-05-26T14:22:00Z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48ff81f6019a2a78ebff4ce8ea2763b7ab74776a1e3cf697ad29b4f123a9235e</vt:lpwstr>
  </property>
</Properties>
</file>