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F7EF590" w14:textId="77777777" w:rsidR="006C6238" w:rsidRDefault="006C6238" w:rsidP="006C6238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3EF337BF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C7458C">
        <w:t>September 20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9CA00F8" w14:textId="060711FB" w:rsidR="006C6238" w:rsidRDefault="0065621F" w:rsidP="006C6238">
      <w:pPr>
        <w:jc w:val="center"/>
      </w:pPr>
      <w:hyperlink r:id="rId9" w:history="1">
        <w:r w:rsidR="00C7458C" w:rsidRPr="00B70DBA">
          <w:rPr>
            <w:rStyle w:val="Hyperlink"/>
          </w:rPr>
          <w:t>https://eohhs.webex.com/eohhs/j.php?MTID=m0e25bc3be29d4ce7af24e1ce620057de</w:t>
        </w:r>
      </w:hyperlink>
      <w:r w:rsidR="00C7458C">
        <w:t xml:space="preserve"> </w:t>
      </w:r>
    </w:p>
    <w:p w14:paraId="1373818E" w14:textId="77777777" w:rsidR="006C6238" w:rsidRDefault="006C6238" w:rsidP="006C6238">
      <w:pPr>
        <w:jc w:val="center"/>
      </w:pPr>
      <w:r>
        <w:t xml:space="preserve">Meeting number: </w:t>
      </w:r>
      <w:r w:rsidRPr="006C6238">
        <w:t>2539 956 7613</w:t>
      </w:r>
    </w:p>
    <w:p w14:paraId="0A6D793E" w14:textId="22E5572D" w:rsidR="006C6238" w:rsidRDefault="006C6238" w:rsidP="006C6238">
      <w:pPr>
        <w:jc w:val="center"/>
      </w:pPr>
      <w:r>
        <w:t xml:space="preserve">Password: </w:t>
      </w:r>
      <w:r w:rsidRPr="006C6238">
        <w:t>9v2FhpZBFX5</w:t>
      </w:r>
    </w:p>
    <w:p w14:paraId="7DB9A7AC" w14:textId="77777777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0F964E30" w:rsidR="006C6238" w:rsidRDefault="006C6238" w:rsidP="006C6238">
      <w:pPr>
        <w:jc w:val="center"/>
      </w:pPr>
      <w:r>
        <w:t xml:space="preserve">Access code: </w:t>
      </w:r>
      <w:r w:rsidRPr="006C6238">
        <w:t>2539 956 7613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06900189" w14:textId="25D3860F" w:rsidR="006C6238" w:rsidRDefault="00DA6BD0" w:rsidP="006C6238">
      <w:pPr>
        <w:pStyle w:val="Default"/>
        <w:numPr>
          <w:ilvl w:val="0"/>
          <w:numId w:val="2"/>
        </w:numPr>
        <w:ind w:left="1440"/>
      </w:pPr>
      <w:r>
        <w:t>T</w:t>
      </w:r>
      <w:r w:rsidR="006C6238">
        <w:t>eleconference</w:t>
      </w:r>
      <w:r w:rsidR="006C6238" w:rsidRPr="00992029">
        <w:t xml:space="preserve"> </w:t>
      </w:r>
      <w:r w:rsidR="008C27C9">
        <w:t>p</w:t>
      </w:r>
      <w:r w:rsidR="006C6238" w:rsidRPr="00992029">
        <w:t>rocedure</w:t>
      </w:r>
      <w:r w:rsidR="006C6238">
        <w:t>s</w:t>
      </w:r>
      <w:r w:rsidR="006C6238" w:rsidRPr="00992029">
        <w:t xml:space="preserve"> </w:t>
      </w:r>
    </w:p>
    <w:p w14:paraId="5D9798B2" w14:textId="0C5BA5B6" w:rsidR="006C6238" w:rsidRPr="00C07DD9" w:rsidRDefault="006C6238" w:rsidP="006C6238">
      <w:pPr>
        <w:pStyle w:val="Default"/>
        <w:numPr>
          <w:ilvl w:val="1"/>
          <w:numId w:val="2"/>
        </w:numPr>
      </w:pPr>
      <w:r w:rsidRPr="00C07DD9">
        <w:t xml:space="preserve">Roll </w:t>
      </w:r>
      <w:r w:rsidR="008C27C9">
        <w:t>c</w:t>
      </w:r>
      <w:r w:rsidRPr="00C07DD9">
        <w:t xml:space="preserve">all </w:t>
      </w:r>
      <w:r w:rsidR="008C27C9">
        <w:t>v</w:t>
      </w:r>
      <w:r w:rsidRPr="00C07DD9">
        <w:t xml:space="preserve">ote for </w:t>
      </w:r>
      <w:proofErr w:type="gramStart"/>
      <w:r w:rsidR="008C27C9">
        <w:t>a</w:t>
      </w:r>
      <w:r w:rsidRPr="00C07DD9">
        <w:t>ttendance</w:t>
      </w:r>
      <w:proofErr w:type="gramEnd"/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Business: </w:t>
      </w:r>
    </w:p>
    <w:p w14:paraId="1CCB4E0D" w14:textId="2164C0D0" w:rsidR="006C6238" w:rsidRPr="006C6238" w:rsidRDefault="00C7458C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August 16</w:t>
      </w:r>
      <w:r w:rsidR="006C6238">
        <w:rPr>
          <w:snapToGrid w:val="0"/>
        </w:rPr>
        <w:t xml:space="preserve">, </w:t>
      </w:r>
      <w:proofErr w:type="gramStart"/>
      <w:r w:rsidR="006C6238">
        <w:rPr>
          <w:snapToGrid w:val="0"/>
        </w:rPr>
        <w:t>2023</w:t>
      </w:r>
      <w:proofErr w:type="gramEnd"/>
      <w:r w:rsidR="006C6238">
        <w:rPr>
          <w:snapToGrid w:val="0"/>
        </w:rPr>
        <w:t xml:space="preserve"> </w:t>
      </w:r>
      <w:r w:rsidR="008C27C9">
        <w:rPr>
          <w:snapToGrid w:val="0"/>
        </w:rPr>
        <w:t>p</w:t>
      </w:r>
      <w:r w:rsidR="006C6238">
        <w:rPr>
          <w:snapToGrid w:val="0"/>
        </w:rPr>
        <w:t xml:space="preserve">ublic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</w:p>
    <w:p w14:paraId="2B788F53" w14:textId="13AE5E5A" w:rsidR="006C6238" w:rsidRPr="00C7458C" w:rsidRDefault="00C7458C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August 16,</w:t>
      </w:r>
      <w:r w:rsidR="006C6238">
        <w:rPr>
          <w:snapToGrid w:val="0"/>
        </w:rPr>
        <w:t xml:space="preserve"> </w:t>
      </w:r>
      <w:proofErr w:type="gramStart"/>
      <w:r w:rsidR="006C6238">
        <w:rPr>
          <w:snapToGrid w:val="0"/>
        </w:rPr>
        <w:t>2023</w:t>
      </w:r>
      <w:proofErr w:type="gramEnd"/>
      <w:r w:rsidR="006C6238">
        <w:rPr>
          <w:snapToGrid w:val="0"/>
        </w:rPr>
        <w:t xml:space="preserve"> </w:t>
      </w:r>
      <w:r w:rsidR="008C27C9">
        <w:rPr>
          <w:snapToGrid w:val="0"/>
        </w:rPr>
        <w:t>e</w:t>
      </w:r>
      <w:r w:rsidR="006C6238">
        <w:rPr>
          <w:snapToGrid w:val="0"/>
        </w:rPr>
        <w:t xml:space="preserve">xecutive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</w:p>
    <w:p w14:paraId="23664C82" w14:textId="17BF4CAB" w:rsidR="00C7458C" w:rsidRPr="00F87C01" w:rsidRDefault="00C7458C" w:rsidP="00C7458C">
      <w:pPr>
        <w:pStyle w:val="ListParagraph"/>
        <w:numPr>
          <w:ilvl w:val="0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 xml:space="preserve">Prosecutorial Discretion &amp; Alford Plea policies presentation </w:t>
      </w:r>
    </w:p>
    <w:p w14:paraId="336DA87A" w14:textId="21E35AED" w:rsidR="00C7458C" w:rsidRPr="00F87C01" w:rsidRDefault="00C7458C" w:rsidP="00C7458C">
      <w:pPr>
        <w:pStyle w:val="ListParagraph"/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on Delegation of Authority re: Drafting Orders to Show Cause and Consent Agreements to board Counsel and the Prosecution Unit – VOTE</w:t>
      </w:r>
    </w:p>
    <w:p w14:paraId="40EB305C" w14:textId="0F634201" w:rsidR="00C7458C" w:rsidRPr="00F87C01" w:rsidRDefault="00C7458C" w:rsidP="00C7458C">
      <w:pPr>
        <w:pStyle w:val="ListParagraph"/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re: Standard Consent Agreement Terms - VOTE</w:t>
      </w:r>
    </w:p>
    <w:p w14:paraId="3E7DFF59" w14:textId="77777777" w:rsidR="006C6238" w:rsidRDefault="006C6238" w:rsidP="006C6238">
      <w:pPr>
        <w:rPr>
          <w:snapToGrid w:val="0"/>
        </w:rPr>
      </w:pPr>
    </w:p>
    <w:p w14:paraId="1D1406E2" w14:textId="0132B75D" w:rsidR="0065621F" w:rsidRPr="0065621F" w:rsidRDefault="0065621F" w:rsidP="0065621F">
      <w:pPr>
        <w:ind w:left="720"/>
        <w:rPr>
          <w:b/>
          <w:bCs/>
          <w:snapToGrid w:val="0"/>
          <w:u w:val="single"/>
        </w:rPr>
      </w:pPr>
      <w:r w:rsidRPr="0065621F">
        <w:rPr>
          <w:b/>
          <w:bCs/>
          <w:snapToGrid w:val="0"/>
          <w:u w:val="single"/>
        </w:rPr>
        <w:t>Correspondence:</w:t>
      </w:r>
    </w:p>
    <w:p w14:paraId="52672793" w14:textId="3A8041E7" w:rsidR="0065621F" w:rsidRPr="0065621F" w:rsidRDefault="0065621F" w:rsidP="0065621F">
      <w:pPr>
        <w:pStyle w:val="ListParagraph"/>
        <w:numPr>
          <w:ilvl w:val="0"/>
          <w:numId w:val="4"/>
        </w:numPr>
        <w:rPr>
          <w:snapToGrid w:val="0"/>
        </w:rPr>
      </w:pPr>
      <w:r w:rsidRPr="0065621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NBEO </w:t>
      </w:r>
      <w:r w:rsidRPr="0065621F">
        <w:rPr>
          <w:rFonts w:ascii="Times New Roman" w:eastAsia="Times New Roman" w:hAnsi="Times New Roman"/>
          <w:color w:val="000000"/>
          <w:sz w:val="24"/>
          <w:szCs w:val="24"/>
        </w:rPr>
        <w:t>Part III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Patient Encounter and Performance Skills (</w:t>
      </w:r>
      <w:r w:rsidRPr="0065621F">
        <w:rPr>
          <w:rFonts w:ascii="Times New Roman" w:eastAsia="Times New Roman" w:hAnsi="Times New Roman"/>
          <w:color w:val="000000"/>
          <w:sz w:val="24"/>
          <w:szCs w:val="24"/>
        </w:rPr>
        <w:t>PEPS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65621F">
        <w:rPr>
          <w:rFonts w:ascii="Times New Roman" w:eastAsia="Times New Roman" w:hAnsi="Times New Roman"/>
          <w:color w:val="000000"/>
          <w:sz w:val="24"/>
          <w:szCs w:val="24"/>
        </w:rPr>
        <w:t xml:space="preserve"> Examination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a restructuring of NBEO Part III</w:t>
      </w:r>
    </w:p>
    <w:p w14:paraId="233579FF" w14:textId="77777777" w:rsidR="0065621F" w:rsidRPr="0065621F" w:rsidRDefault="0065621F" w:rsidP="0065621F">
      <w:pPr>
        <w:pStyle w:val="ListParagraph"/>
        <w:ind w:left="1440"/>
        <w:rPr>
          <w:snapToGrid w:val="0"/>
        </w:rPr>
      </w:pPr>
    </w:p>
    <w:p w14:paraId="53EB25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Discussion:</w:t>
      </w:r>
    </w:p>
    <w:p w14:paraId="06D1014D" w14:textId="65145A96" w:rsidR="00083F89" w:rsidRDefault="00083F89" w:rsidP="008C27C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ARBO Board Liaison </w:t>
      </w:r>
    </w:p>
    <w:p w14:paraId="68105D9A" w14:textId="247195BC" w:rsidR="006C6238" w:rsidRPr="00C7458C" w:rsidRDefault="008C27C9" w:rsidP="008C27C9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8C27C9">
        <w:rPr>
          <w:rFonts w:ascii="Times New Roman" w:hAnsi="Times New Roman"/>
          <w:color w:val="000000"/>
          <w:sz w:val="24"/>
          <w:szCs w:val="24"/>
        </w:rPr>
        <w:t>rescriber training course requirement pursuant to M.G.L. c. 94C, s. 18(e)</w:t>
      </w:r>
    </w:p>
    <w:p w14:paraId="4886C368" w14:textId="25A45116" w:rsidR="00C7458C" w:rsidRPr="0085541F" w:rsidRDefault="00C7458C" w:rsidP="008C27C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5541F">
        <w:rPr>
          <w:rFonts w:ascii="Times New Roman" w:hAnsi="Times New Roman"/>
          <w:color w:val="000000"/>
          <w:sz w:val="24"/>
          <w:szCs w:val="24"/>
        </w:rPr>
        <w:t>Telepractice Policy</w:t>
      </w:r>
    </w:p>
    <w:p w14:paraId="2BC77769" w14:textId="17862D92" w:rsidR="00042670" w:rsidRPr="0085541F" w:rsidRDefault="00042670" w:rsidP="0004267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5541F">
        <w:rPr>
          <w:rFonts w:ascii="Times New Roman" w:hAnsi="Times New Roman"/>
          <w:sz w:val="24"/>
          <w:szCs w:val="24"/>
        </w:rPr>
        <w:t>Policy on Summary Suspensions Conducted by Boards of Registration Formerly Under the Supervision of the Division of Occupational Licensure</w:t>
      </w:r>
      <w:r w:rsidR="00083F89">
        <w:rPr>
          <w:rFonts w:ascii="Times New Roman" w:hAnsi="Times New Roman"/>
          <w:sz w:val="24"/>
          <w:szCs w:val="24"/>
        </w:rPr>
        <w:t xml:space="preserve"> – VOTE </w:t>
      </w:r>
    </w:p>
    <w:p w14:paraId="4837A30B" w14:textId="77777777" w:rsidR="000163F6" w:rsidRDefault="000163F6" w:rsidP="006C6238">
      <w:pPr>
        <w:pStyle w:val="ListParagraph"/>
        <w:ind w:left="1440"/>
      </w:pPr>
    </w:p>
    <w:p w14:paraId="56E3CE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Open session for topics not reasonably anticipated 48 hours in advance of meeting:</w:t>
      </w:r>
    </w:p>
    <w:p w14:paraId="4317448A" w14:textId="77777777" w:rsidR="00594CF1" w:rsidRDefault="00594CF1" w:rsidP="00594CF1">
      <w:pPr>
        <w:pStyle w:val="Default"/>
        <w:ind w:left="720"/>
        <w:rPr>
          <w:b/>
          <w:bCs/>
          <w:u w:val="single"/>
        </w:rPr>
      </w:pPr>
    </w:p>
    <w:p w14:paraId="504F3A09" w14:textId="7378A106" w:rsidR="00594CF1" w:rsidRDefault="00594CF1" w:rsidP="00594CF1">
      <w:pPr>
        <w:pStyle w:val="Default"/>
        <w:ind w:left="720"/>
        <w:rPr>
          <w:b/>
          <w:bCs/>
          <w:u w:val="single"/>
        </w:rPr>
      </w:pPr>
      <w:r w:rsidRPr="00D87ACF">
        <w:rPr>
          <w:b/>
          <w:bCs/>
          <w:u w:val="single"/>
        </w:rPr>
        <w:t>Executive Session, if necessary, pursuant to G.L. c. 30A, s. 21(a)</w:t>
      </w:r>
      <w:r>
        <w:rPr>
          <w:b/>
          <w:bCs/>
          <w:u w:val="single"/>
        </w:rPr>
        <w:t>(1) to discuss an individual’s health rather than professional competence and s. 21(a)(7)</w:t>
      </w:r>
      <w:r w:rsidRPr="00D87ACF">
        <w:rPr>
          <w:b/>
          <w:bCs/>
          <w:u w:val="single"/>
        </w:rPr>
        <w:t xml:space="preserve"> to maintain confidentiality of highly personal data to comply with </w:t>
      </w:r>
      <w:r>
        <w:rPr>
          <w:b/>
          <w:bCs/>
          <w:u w:val="single"/>
        </w:rPr>
        <w:t xml:space="preserve">G.L. c. 4, s. 7 para. 26(c) and </w:t>
      </w:r>
      <w:r w:rsidRPr="00D87ACF">
        <w:rPr>
          <w:b/>
          <w:bCs/>
          <w:u w:val="single"/>
        </w:rPr>
        <w:t>G.L. c. 214, s. 1B</w:t>
      </w:r>
      <w:r>
        <w:rPr>
          <w:b/>
          <w:bCs/>
          <w:u w:val="single"/>
        </w:rPr>
        <w:t>:</w:t>
      </w:r>
    </w:p>
    <w:p w14:paraId="75C65C43" w14:textId="77777777" w:rsidR="00C37D03" w:rsidRDefault="00C37D03" w:rsidP="00594CF1">
      <w:pPr>
        <w:pStyle w:val="Default"/>
        <w:ind w:left="720"/>
        <w:rPr>
          <w:b/>
          <w:bCs/>
          <w:u w:val="single"/>
        </w:rPr>
      </w:pPr>
    </w:p>
    <w:p w14:paraId="0AB63B17" w14:textId="77777777" w:rsidR="00594CF1" w:rsidRPr="00D87ACF" w:rsidRDefault="00594CF1" w:rsidP="00594CF1">
      <w:pPr>
        <w:pStyle w:val="Default"/>
        <w:ind w:left="1440"/>
      </w:pPr>
    </w:p>
    <w:p w14:paraId="557A8B37" w14:textId="57E19173" w:rsidR="00033154" w:rsidRPr="009908FF" w:rsidRDefault="006C6238" w:rsidP="006C6238">
      <w:pPr>
        <w:pStyle w:val="Default"/>
        <w:ind w:left="720"/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  <w:r w:rsidRPr="00DE7A19">
        <w:rPr>
          <w:b/>
          <w:snapToGrid w:val="0"/>
        </w:rPr>
        <w:t xml:space="preserve">Investigative Matters and Settlement Offers- [Closed Session Pursuant to M.G.L. c. 112, </w:t>
      </w:r>
      <w:r w:rsidRPr="00DE7A19">
        <w:rPr>
          <w:b/>
          <w:bCs/>
          <w:iCs/>
          <w:lang w:val="en" w:eastAsia="x-none"/>
        </w:rPr>
        <w:t>§</w:t>
      </w:r>
      <w:r w:rsidRPr="00DE7A19">
        <w:rPr>
          <w:b/>
          <w:snapToGrid w:val="0"/>
        </w:rPr>
        <w:t xml:space="preserve"> 65C]: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4B3F74"/>
    <w:multiLevelType w:val="hybridMultilevel"/>
    <w:tmpl w:val="47527B9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5"/>
  </w:num>
  <w:num w:numId="2" w16cid:durableId="899903228">
    <w:abstractNumId w:val="2"/>
  </w:num>
  <w:num w:numId="3" w16cid:durableId="442698639">
    <w:abstractNumId w:val="1"/>
  </w:num>
  <w:num w:numId="4" w16cid:durableId="645551812">
    <w:abstractNumId w:val="0"/>
  </w:num>
  <w:num w:numId="5" w16cid:durableId="1039816875">
    <w:abstractNumId w:val="0"/>
  </w:num>
  <w:num w:numId="6" w16cid:durableId="378357790">
    <w:abstractNumId w:val="4"/>
  </w:num>
  <w:num w:numId="7" w16cid:durableId="174896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D74"/>
    <w:rsid w:val="000163F6"/>
    <w:rsid w:val="00033154"/>
    <w:rsid w:val="00042048"/>
    <w:rsid w:val="00042670"/>
    <w:rsid w:val="000537DA"/>
    <w:rsid w:val="00083F89"/>
    <w:rsid w:val="000A1DE1"/>
    <w:rsid w:val="000B7D96"/>
    <w:rsid w:val="000F315B"/>
    <w:rsid w:val="001125C0"/>
    <w:rsid w:val="0015268B"/>
    <w:rsid w:val="0016280E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7674C"/>
    <w:rsid w:val="00385812"/>
    <w:rsid w:val="00390B93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94CF1"/>
    <w:rsid w:val="0065621F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5541F"/>
    <w:rsid w:val="008C27C9"/>
    <w:rsid w:val="00922E08"/>
    <w:rsid w:val="009525A9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37D03"/>
    <w:rsid w:val="00C46D29"/>
    <w:rsid w:val="00C7458C"/>
    <w:rsid w:val="00CC1778"/>
    <w:rsid w:val="00CE575B"/>
    <w:rsid w:val="00CF3DE8"/>
    <w:rsid w:val="00D0493F"/>
    <w:rsid w:val="00D56F91"/>
    <w:rsid w:val="00D8671C"/>
    <w:rsid w:val="00D91390"/>
    <w:rsid w:val="00DA57C3"/>
    <w:rsid w:val="00DA6BD0"/>
    <w:rsid w:val="00DC3855"/>
    <w:rsid w:val="00E242A8"/>
    <w:rsid w:val="00E274B8"/>
    <w:rsid w:val="00E72707"/>
    <w:rsid w:val="00F0586E"/>
    <w:rsid w:val="00F43932"/>
    <w:rsid w:val="00F87C0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0e25bc3be29d4ce7af24e1ce620057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47</TotalTime>
  <Pages>2</Pages>
  <Words>279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7</cp:revision>
  <cp:lastPrinted>2023-06-06T21:06:00Z</cp:lastPrinted>
  <dcterms:created xsi:type="dcterms:W3CDTF">2023-08-17T15:03:00Z</dcterms:created>
  <dcterms:modified xsi:type="dcterms:W3CDTF">2023-09-07T19:57:00Z</dcterms:modified>
</cp:coreProperties>
</file>