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EFB7" w14:textId="77777777" w:rsidR="00316E70" w:rsidRPr="005210A2" w:rsidRDefault="00316E70" w:rsidP="00316E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0A3D010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>Rhonda Willinger,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DDA5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</w:t>
      </w:r>
      <w:r w:rsidRPr="001B3E54">
        <w:rPr>
          <w:rFonts w:ascii="Times New Roman" w:hAnsi="Times New Roman" w:cs="Times New Roman"/>
          <w:sz w:val="24"/>
          <w:szCs w:val="24"/>
        </w:rPr>
        <w:t>, OD</w:t>
      </w:r>
      <w:r w:rsidRPr="006A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9DB39" w14:textId="194BD2F4" w:rsidR="000E3526" w:rsidRDefault="009469BF" w:rsidP="56E2D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>Julie Hiura, OD</w:t>
      </w:r>
    </w:p>
    <w:p w14:paraId="247AEA67" w14:textId="77777777" w:rsidR="000E3526" w:rsidRDefault="000E3526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Sewell</w:t>
      </w:r>
    </w:p>
    <w:p w14:paraId="7482DEA1" w14:textId="77777777" w:rsidR="005B31F9" w:rsidRDefault="005B31F9" w:rsidP="00316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625EA" w14:textId="433777B5" w:rsidR="000E3526" w:rsidRDefault="00316E70" w:rsidP="00316E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6E2DE07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70338768" w14:textId="174C9A30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Phone/Video:</w:t>
      </w:r>
      <w:r w:rsidRPr="3E85B2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DE84D1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 xml:space="preserve">Jaqueline Petrillo, Board Counsel </w:t>
      </w:r>
    </w:p>
    <w:p w14:paraId="0A99E5EC" w14:textId="59DCDCC8" w:rsidR="00316E70" w:rsidRDefault="000E3526" w:rsidP="00316E70">
      <w:pPr>
        <w:spacing w:after="0"/>
        <w:ind w:right="-576"/>
      </w:pPr>
      <w:r>
        <w:rPr>
          <w:rFonts w:ascii="Times New Roman" w:eastAsia="Times New Roman" w:hAnsi="Times New Roman" w:cs="Times New Roman"/>
          <w:sz w:val="24"/>
          <w:szCs w:val="24"/>
        </w:rPr>
        <w:t>Thomas Burke</w:t>
      </w:r>
      <w:r w:rsidR="00316E70" w:rsidRPr="56E2DE07">
        <w:rPr>
          <w:rFonts w:ascii="Times New Roman" w:eastAsia="Times New Roman" w:hAnsi="Times New Roman" w:cs="Times New Roman"/>
          <w:sz w:val="24"/>
          <w:szCs w:val="24"/>
        </w:rPr>
        <w:t xml:space="preserve">, Executive Director </w:t>
      </w:r>
    </w:p>
    <w:p w14:paraId="6D2FDE2C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>Margaret McKenna, Board Staff</w:t>
      </w:r>
    </w:p>
    <w:p w14:paraId="30658E29" w14:textId="5F062CDE" w:rsidR="00316E70" w:rsidRDefault="00316E70" w:rsidP="56E2DE07">
      <w:pPr>
        <w:spacing w:after="0"/>
        <w:ind w:right="-576"/>
      </w:pPr>
      <w:r w:rsidRPr="56E2DE07">
        <w:rPr>
          <w:rFonts w:ascii="Times New Roman" w:eastAsia="Times New Roman" w:hAnsi="Times New Roman" w:cs="Times New Roman"/>
          <w:sz w:val="24"/>
          <w:szCs w:val="24"/>
        </w:rPr>
        <w:t>Isaac Badner, Board Intern</w:t>
      </w:r>
    </w:p>
    <w:p w14:paraId="7CCFFF76" w14:textId="77777777" w:rsidR="007C775D" w:rsidRDefault="007C775D" w:rsidP="005B31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BDBF0E" w14:textId="77777777" w:rsidR="005B31F9" w:rsidRDefault="005B31F9" w:rsidP="005B31F9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5B31F9" w:rsidSect="007C775D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DA07314" w14:textId="15CB62D7" w:rsidR="56E2DE07" w:rsidRDefault="006E1A25" w:rsidP="56E2D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9469BF">
        <w:rPr>
          <w:rFonts w:ascii="Times New Roman" w:hAnsi="Times New Roman" w:cs="Times New Roman"/>
          <w:sz w:val="24"/>
          <w:szCs w:val="24"/>
        </w:rPr>
        <w:br/>
      </w:r>
    </w:p>
    <w:p w14:paraId="78443D7C" w14:textId="13A33272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 w:rsidR="001E1349">
        <w:rPr>
          <w:rFonts w:ascii="Times New Roman" w:hAnsi="Times New Roman" w:cs="Times New Roman"/>
          <w:sz w:val="24"/>
          <w:szCs w:val="24"/>
        </w:rPr>
        <w:t>3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Sabree </w:t>
      </w:r>
    </w:p>
    <w:p w14:paraId="6CF7C4FE" w14:textId="77777777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235B" w14:textId="77777777" w:rsidR="00316E70" w:rsidRDefault="00316E70" w:rsidP="00316E70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4252473B" w14:textId="77777777" w:rsidR="00316E70" w:rsidRPr="00992029" w:rsidRDefault="00316E70" w:rsidP="00316E70">
      <w:pPr>
        <w:pStyle w:val="Default"/>
        <w:rPr>
          <w:b/>
          <w:bCs/>
          <w:u w:val="single"/>
        </w:rPr>
      </w:pPr>
    </w:p>
    <w:p w14:paraId="69836EEF" w14:textId="77777777" w:rsidR="00316E70" w:rsidRDefault="00316E70" w:rsidP="00316E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7243B21E" w14:textId="77777777" w:rsidR="00316E70" w:rsidRDefault="00316E70" w:rsidP="00316E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152D4C" w14:textId="7FF9EB00" w:rsidR="00316E70" w:rsidRPr="004B3038" w:rsidRDefault="00316E70" w:rsidP="00316E7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chair Dr. Sabree established a quorum via calling attendance: Everett Sabree, </w:t>
      </w:r>
      <w:r w:rsidR="009469BF">
        <w:rPr>
          <w:rFonts w:ascii="Times New Roman" w:hAnsi="Times New Roman" w:cs="Times New Roman"/>
          <w:sz w:val="24"/>
          <w:szCs w:val="24"/>
        </w:rPr>
        <w:t>Julie Hiura</w:t>
      </w:r>
      <w:r w:rsidR="007C775D">
        <w:rPr>
          <w:rFonts w:ascii="Times New Roman" w:hAnsi="Times New Roman" w:cs="Times New Roman"/>
          <w:sz w:val="24"/>
          <w:szCs w:val="24"/>
        </w:rPr>
        <w:t xml:space="preserve">, </w:t>
      </w:r>
      <w:r w:rsidR="000E3526">
        <w:rPr>
          <w:rFonts w:ascii="Times New Roman" w:hAnsi="Times New Roman" w:cs="Times New Roman"/>
          <w:sz w:val="24"/>
          <w:szCs w:val="24"/>
        </w:rPr>
        <w:t>Jeanette Sewell</w:t>
      </w:r>
      <w:r w:rsidR="006113AF">
        <w:rPr>
          <w:rFonts w:ascii="Times New Roman" w:hAnsi="Times New Roman" w:cs="Times New Roman"/>
          <w:sz w:val="24"/>
          <w:szCs w:val="24"/>
        </w:rPr>
        <w:t>,</w:t>
      </w:r>
      <w:r w:rsidR="000E3526">
        <w:rPr>
          <w:rFonts w:ascii="Times New Roman" w:hAnsi="Times New Roman" w:cs="Times New Roman"/>
          <w:sz w:val="24"/>
          <w:szCs w:val="24"/>
        </w:rPr>
        <w:t xml:space="preserve"> </w:t>
      </w:r>
      <w:r w:rsidR="007C775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Rhonda Willinger</w:t>
      </w:r>
      <w:r w:rsidRPr="004B3038">
        <w:rPr>
          <w:rFonts w:ascii="Times New Roman" w:hAnsi="Times New Roman" w:cs="Times New Roman"/>
          <w:sz w:val="24"/>
          <w:szCs w:val="24"/>
        </w:rPr>
        <w:t>. All members participated remotely via Webex by Cisco.</w:t>
      </w:r>
    </w:p>
    <w:p w14:paraId="097794F4" w14:textId="77777777" w:rsidR="00316E70" w:rsidRDefault="00316E70" w:rsidP="00316E7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4B9A0E09" w14:textId="77777777" w:rsidR="00316E70" w:rsidRPr="00323B01" w:rsidRDefault="00316E70" w:rsidP="00316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70194E5A" w14:textId="77777777" w:rsidR="00316E70" w:rsidRPr="003A7F9A" w:rsidRDefault="00316E70" w:rsidP="00316E70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79C1F931" w14:textId="3280D0C2" w:rsidR="000E3526" w:rsidRPr="000E3526" w:rsidRDefault="00316E70" w:rsidP="000E3526">
      <w:pPr>
        <w:pStyle w:val="Default"/>
        <w:numPr>
          <w:ilvl w:val="0"/>
          <w:numId w:val="4"/>
        </w:numPr>
        <w:tabs>
          <w:tab w:val="left" w:pos="5532"/>
        </w:tabs>
        <w:spacing w:after="120"/>
        <w:rPr>
          <w:b/>
          <w:bCs/>
        </w:rPr>
      </w:pPr>
      <w:r>
        <w:t xml:space="preserve">Review of </w:t>
      </w:r>
      <w:r w:rsidR="00BB51B2">
        <w:t>General</w:t>
      </w:r>
      <w:r>
        <w:t xml:space="preserve"> Session Agenda: </w:t>
      </w:r>
      <w:r w:rsidR="00960380">
        <w:t>December 18</w:t>
      </w:r>
      <w:r>
        <w:t xml:space="preserve">, 2024 </w:t>
      </w:r>
      <w:bookmarkStart w:id="3" w:name="_Hlk102931914"/>
      <w:bookmarkEnd w:id="2"/>
    </w:p>
    <w:p w14:paraId="4F737F60" w14:textId="1A88E7B8" w:rsidR="00316E70" w:rsidRPr="000E3526" w:rsidRDefault="000E3526" w:rsidP="000E3526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 xml:space="preserve">Dr. </w:t>
      </w:r>
      <w:r w:rsidR="001E1349">
        <w:rPr>
          <w:b/>
          <w:bCs/>
        </w:rPr>
        <w:t>Sewell</w:t>
      </w:r>
      <w:r w:rsidRPr="000E3526">
        <w:rPr>
          <w:b/>
          <w:bCs/>
        </w:rPr>
        <w:t xml:space="preserve"> moved to accept the general session agenda for November 20, 2024. Dr. Willinger seconded. The motion passed on a roll call vote: Dr. Willinger – “yes”; Dr. Sabree – “yes”; Dr. Sewell – “yes”; Dr. Hiura – “yes”.</w:t>
      </w:r>
    </w:p>
    <w:p w14:paraId="19B78712" w14:textId="77777777" w:rsidR="005B31F9" w:rsidRDefault="005B31F9" w:rsidP="005B31F9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37E56" w14:textId="35353B15" w:rsidR="005B31F9" w:rsidRDefault="005B31F9" w:rsidP="005B31F9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Sabree left the meeting at 10:05 AM.</w:t>
      </w:r>
    </w:p>
    <w:p w14:paraId="65EF739D" w14:textId="77777777" w:rsidR="005B31F9" w:rsidRPr="005B31F9" w:rsidRDefault="005B31F9" w:rsidP="005B31F9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B54AA" w14:textId="7FDB4373" w:rsidR="000E3526" w:rsidRPr="000E3526" w:rsidRDefault="00316E70" w:rsidP="000E3526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Review of </w:t>
      </w:r>
      <w:r w:rsidR="00BB51B2">
        <w:rPr>
          <w:rFonts w:ascii="Times New Roman" w:hAnsi="Times New Roman" w:cs="Times New Roman"/>
          <w:sz w:val="24"/>
          <w:szCs w:val="24"/>
        </w:rPr>
        <w:t>General</w:t>
      </w:r>
      <w:r w:rsidRPr="3E85B28E">
        <w:rPr>
          <w:rFonts w:ascii="Times New Roman" w:hAnsi="Times New Roman" w:cs="Times New Roman"/>
          <w:sz w:val="24"/>
          <w:szCs w:val="24"/>
        </w:rPr>
        <w:t xml:space="preserve"> Session Minutes: </w:t>
      </w:r>
      <w:bookmarkEnd w:id="3"/>
      <w:r w:rsidR="005D4A9E">
        <w:rPr>
          <w:rFonts w:ascii="Times New Roman" w:hAnsi="Times New Roman" w:cs="Times New Roman"/>
          <w:sz w:val="24"/>
          <w:szCs w:val="24"/>
        </w:rPr>
        <w:t>November 20</w:t>
      </w:r>
      <w:r w:rsidR="00A25CC7">
        <w:rPr>
          <w:rFonts w:ascii="Times New Roman" w:hAnsi="Times New Roman" w:cs="Times New Roman"/>
          <w:sz w:val="24"/>
          <w:szCs w:val="24"/>
        </w:rPr>
        <w:t>, 2024</w:t>
      </w:r>
    </w:p>
    <w:p w14:paraId="6E642286" w14:textId="77777777" w:rsidR="00D14FBD" w:rsidRDefault="00D14FBD" w:rsidP="000E352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AE3C4" w14:textId="27046359" w:rsidR="000E3526" w:rsidRDefault="000E3526" w:rsidP="000E352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5D4A9E">
        <w:rPr>
          <w:rFonts w:ascii="Times New Roman" w:hAnsi="Times New Roman" w:cs="Times New Roman"/>
          <w:b/>
          <w:bCs/>
          <w:sz w:val="24"/>
          <w:szCs w:val="24"/>
        </w:rPr>
        <w:t>Hiura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 general session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for September 18, 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 written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. Dr. </w:t>
      </w:r>
      <w:r w:rsidR="005D4A9E">
        <w:rPr>
          <w:rFonts w:ascii="Times New Roman" w:hAnsi="Times New Roman" w:cs="Times New Roman"/>
          <w:b/>
          <w:bCs/>
          <w:sz w:val="24"/>
          <w:szCs w:val="24"/>
        </w:rPr>
        <w:t>Sewell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 seconded. The motion passed on a roll call vote: Dr. Willinger – “yes”; Dr. Sabree – “</w:t>
      </w:r>
      <w:r w:rsidR="005B31F9"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”; Dr. Sewell – “yes”; Dr. Hiura –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D4A9E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B73E1DF" w14:textId="77777777" w:rsidR="00A659BA" w:rsidRPr="005D4A9E" w:rsidRDefault="00A659BA" w:rsidP="005D4A9E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ED2C8" w14:textId="54291261" w:rsidR="000F2B89" w:rsidRPr="00770631" w:rsidRDefault="00F14862" w:rsidP="00316E70">
      <w:pPr>
        <w:pStyle w:val="Default"/>
        <w:spacing w:line="480" w:lineRule="auto"/>
        <w:rPr>
          <w:b/>
          <w:bCs/>
          <w:color w:val="000000" w:themeColor="text1"/>
          <w:u w:val="single"/>
        </w:rPr>
      </w:pPr>
      <w:r w:rsidRPr="00770631">
        <w:rPr>
          <w:b/>
          <w:bCs/>
          <w:color w:val="000000" w:themeColor="text1"/>
          <w:u w:val="single"/>
        </w:rPr>
        <w:t>Correspondence</w:t>
      </w:r>
    </w:p>
    <w:p w14:paraId="1E41E20D" w14:textId="4D7A0352" w:rsidR="00F14862" w:rsidRPr="00770631" w:rsidRDefault="000F2B89" w:rsidP="00F14862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2B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Recent accreditation actions and decisions of the Accreditation Council on Optometric Education (ACOE)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Read and Filed </w:t>
      </w:r>
    </w:p>
    <w:p w14:paraId="520A92ED" w14:textId="77777777" w:rsidR="003E3F6B" w:rsidRDefault="003E3F6B" w:rsidP="003E3F6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napToGrid w:val="0"/>
          <w:sz w:val="24"/>
          <w:szCs w:val="24"/>
        </w:rPr>
      </w:pPr>
    </w:p>
    <w:p w14:paraId="0030B8A4" w14:textId="5A1AE82F" w:rsidR="005B31F9" w:rsidRPr="005B31F9" w:rsidRDefault="005B31F9" w:rsidP="003E3F6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5B31F9">
        <w:rPr>
          <w:rFonts w:ascii="Times New Roman" w:hAnsi="Times New Roman"/>
          <w:b/>
          <w:bCs/>
          <w:snapToGrid w:val="0"/>
          <w:sz w:val="24"/>
          <w:szCs w:val="24"/>
        </w:rPr>
        <w:t>Dr. Sabree returned to the meeting at 10:21 AM.</w:t>
      </w:r>
    </w:p>
    <w:p w14:paraId="1AB252C9" w14:textId="77777777" w:rsidR="005B31F9" w:rsidRDefault="005B31F9" w:rsidP="003E3F6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napToGrid w:val="0"/>
          <w:sz w:val="24"/>
          <w:szCs w:val="24"/>
        </w:rPr>
      </w:pPr>
    </w:p>
    <w:p w14:paraId="032376D6" w14:textId="5D0F6DDD" w:rsidR="00F14862" w:rsidRPr="00F14862" w:rsidRDefault="00F14862" w:rsidP="00F14862">
      <w:pPr>
        <w:spacing w:after="0" w:line="240" w:lineRule="auto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  <w:r w:rsidRPr="00F14862"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>Discussion</w:t>
      </w:r>
    </w:p>
    <w:p w14:paraId="09032687" w14:textId="176E28F6" w:rsidR="00F14862" w:rsidRDefault="00F14862" w:rsidP="00F14862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Y. Lu Application – VOTE</w:t>
      </w:r>
    </w:p>
    <w:p w14:paraId="0C282FE5" w14:textId="77777777" w:rsidR="004A73E1" w:rsidRDefault="004A73E1" w:rsidP="004A73E1">
      <w:pPr>
        <w:pStyle w:val="Default"/>
        <w:ind w:left="360"/>
        <w:rPr>
          <w:color w:val="000000" w:themeColor="text1"/>
        </w:rPr>
      </w:pPr>
    </w:p>
    <w:p w14:paraId="27CBCC7F" w14:textId="274E5C7A" w:rsidR="00770631" w:rsidRDefault="00B17DC6" w:rsidP="004A73E1">
      <w:pPr>
        <w:pStyle w:val="Default"/>
        <w:spacing w:line="276" w:lineRule="auto"/>
        <w:ind w:left="360"/>
        <w:rPr>
          <w:b/>
          <w:bCs/>
        </w:rPr>
      </w:pPr>
      <w:r>
        <w:rPr>
          <w:color w:val="000000" w:themeColor="text1"/>
        </w:rPr>
        <w:t xml:space="preserve">At the November 20, 2024, meeting the board moved to accept Dr. Lu’s </w:t>
      </w:r>
      <w:proofErr w:type="spellStart"/>
      <w:r>
        <w:rPr>
          <w:color w:val="000000" w:themeColor="text1"/>
        </w:rPr>
        <w:t>appliciaotn</w:t>
      </w:r>
      <w:proofErr w:type="spellEnd"/>
      <w:r>
        <w:rPr>
          <w:color w:val="000000" w:themeColor="text1"/>
        </w:rPr>
        <w:t xml:space="preserve"> contingent on a DPH administered translation of the verification statement. </w:t>
      </w:r>
      <w:r w:rsidR="00770631">
        <w:rPr>
          <w:color w:val="000000" w:themeColor="text1"/>
        </w:rPr>
        <w:t xml:space="preserve">The </w:t>
      </w:r>
      <w:r w:rsidR="00DE6065">
        <w:rPr>
          <w:color w:val="000000" w:themeColor="text1"/>
        </w:rPr>
        <w:t>B</w:t>
      </w:r>
      <w:r w:rsidR="00770631">
        <w:rPr>
          <w:color w:val="000000" w:themeColor="text1"/>
        </w:rPr>
        <w:t xml:space="preserve">oard </w:t>
      </w:r>
      <w:r w:rsidR="000F2B89">
        <w:rPr>
          <w:color w:val="000000" w:themeColor="text1"/>
        </w:rPr>
        <w:t>reviewed the DPH administered translation of the verification statement.</w:t>
      </w:r>
      <w:r>
        <w:rPr>
          <w:color w:val="000000" w:themeColor="text1"/>
        </w:rPr>
        <w:t xml:space="preserve"> After discussion the board agreed the translation was satisfactory.</w:t>
      </w:r>
      <w:r w:rsidR="000F2B89">
        <w:rPr>
          <w:color w:val="000000" w:themeColor="text1"/>
        </w:rPr>
        <w:t xml:space="preserve"> </w:t>
      </w:r>
      <w:r w:rsidRPr="005B31F9">
        <w:rPr>
          <w:color w:val="000000" w:themeColor="text1"/>
        </w:rPr>
        <w:t>No vote was taken.</w:t>
      </w:r>
    </w:p>
    <w:p w14:paraId="1F7EB323" w14:textId="77777777" w:rsidR="00770631" w:rsidRDefault="00770631" w:rsidP="00770631">
      <w:pPr>
        <w:pStyle w:val="Default"/>
        <w:ind w:left="360"/>
        <w:rPr>
          <w:color w:val="000000" w:themeColor="text1"/>
        </w:rPr>
      </w:pPr>
    </w:p>
    <w:p w14:paraId="7B69CB30" w14:textId="77777777" w:rsidR="00B17DC6" w:rsidRDefault="00B17DC6" w:rsidP="00F14862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Review of staff processing procedures for glaucoma certification </w:t>
      </w:r>
    </w:p>
    <w:p w14:paraId="6F3D5B3D" w14:textId="40838F04" w:rsidR="00B17DC6" w:rsidRDefault="00B17DC6" w:rsidP="00B17DC6">
      <w:pPr>
        <w:pStyle w:val="Default"/>
        <w:ind w:left="360"/>
        <w:rPr>
          <w:color w:val="000000" w:themeColor="text1"/>
        </w:rPr>
      </w:pPr>
    </w:p>
    <w:p w14:paraId="6863ABF9" w14:textId="1DF3E2B8" w:rsidR="00B17DC6" w:rsidRDefault="00B17DC6" w:rsidP="00B17DC6">
      <w:pPr>
        <w:pStyle w:val="Default"/>
        <w:ind w:left="360"/>
        <w:rPr>
          <w:color w:val="000000" w:themeColor="text1"/>
        </w:rPr>
      </w:pPr>
      <w:r>
        <w:rPr>
          <w:color w:val="000000" w:themeColor="text1"/>
        </w:rPr>
        <w:t>The Board reviewed the current procedure for approving applicants and licensees for TPA+GC certification. Applicants and licensees who apply for certification by dual licensure, reciprocity, or completion of a post-graduate residenc</w:t>
      </w:r>
      <w:r w:rsidR="005B31F9">
        <w:rPr>
          <w:color w:val="000000" w:themeColor="text1"/>
        </w:rPr>
        <w:t>y</w:t>
      </w:r>
      <w:r>
        <w:rPr>
          <w:color w:val="000000" w:themeColor="text1"/>
        </w:rPr>
        <w:t xml:space="preserve"> in ocular eye disease </w:t>
      </w:r>
      <w:r w:rsidR="005B31F9">
        <w:rPr>
          <w:color w:val="000000" w:themeColor="text1"/>
        </w:rPr>
        <w:t xml:space="preserve">after June 30, 2011 </w:t>
      </w:r>
      <w:r>
        <w:rPr>
          <w:color w:val="000000" w:themeColor="text1"/>
        </w:rPr>
        <w:t xml:space="preserve">are </w:t>
      </w:r>
      <w:r w:rsidR="005B31F9">
        <w:rPr>
          <w:color w:val="000000" w:themeColor="text1"/>
        </w:rPr>
        <w:t xml:space="preserve">currently </w:t>
      </w:r>
      <w:r>
        <w:rPr>
          <w:color w:val="000000" w:themeColor="text1"/>
        </w:rPr>
        <w:t xml:space="preserve">reviewed by a Board member. After discussion, the Board </w:t>
      </w:r>
      <w:r w:rsidR="005B31F9">
        <w:rPr>
          <w:color w:val="000000" w:themeColor="text1"/>
        </w:rPr>
        <w:t>directed counsel to draft a sta</w:t>
      </w:r>
      <w:r>
        <w:rPr>
          <w:color w:val="000000" w:themeColor="text1"/>
        </w:rPr>
        <w:t xml:space="preserve">ff action policy to delegate </w:t>
      </w:r>
      <w:r w:rsidR="005B31F9">
        <w:rPr>
          <w:color w:val="000000" w:themeColor="text1"/>
        </w:rPr>
        <w:t>review</w:t>
      </w:r>
      <w:r>
        <w:rPr>
          <w:color w:val="000000" w:themeColor="text1"/>
        </w:rPr>
        <w:t xml:space="preserve"> to board staff. The </w:t>
      </w:r>
      <w:r w:rsidR="005B31F9">
        <w:rPr>
          <w:color w:val="000000" w:themeColor="text1"/>
        </w:rPr>
        <w:t>B</w:t>
      </w:r>
      <w:r>
        <w:rPr>
          <w:color w:val="000000" w:themeColor="text1"/>
        </w:rPr>
        <w:t>oard</w:t>
      </w:r>
      <w:r w:rsidR="005B31F9">
        <w:rPr>
          <w:color w:val="000000" w:themeColor="text1"/>
        </w:rPr>
        <w:t xml:space="preserve"> instructed staff to continue sending applications to the Board for review</w:t>
      </w:r>
      <w:r w:rsidR="00C006EE">
        <w:rPr>
          <w:color w:val="000000" w:themeColor="text1"/>
        </w:rPr>
        <w:t>.</w:t>
      </w:r>
      <w:r w:rsidR="005B31F9">
        <w:rPr>
          <w:color w:val="000000" w:themeColor="text1"/>
        </w:rPr>
        <w:t xml:space="preserve"> </w:t>
      </w:r>
    </w:p>
    <w:p w14:paraId="06DE5305" w14:textId="77777777" w:rsidR="00B17DC6" w:rsidRDefault="00B17DC6" w:rsidP="00B17DC6">
      <w:pPr>
        <w:pStyle w:val="Default"/>
        <w:ind w:left="360"/>
        <w:rPr>
          <w:color w:val="000000" w:themeColor="text1"/>
        </w:rPr>
      </w:pPr>
    </w:p>
    <w:p w14:paraId="5546294A" w14:textId="77777777" w:rsidR="00B17DC6" w:rsidRDefault="00B17DC6" w:rsidP="00F14862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Optometry criminal history and attestation questions – VOTE </w:t>
      </w:r>
    </w:p>
    <w:p w14:paraId="643ED145" w14:textId="77777777" w:rsidR="00B17DC6" w:rsidRDefault="00B17DC6" w:rsidP="00B17DC6">
      <w:pPr>
        <w:pStyle w:val="Default"/>
        <w:ind w:left="360"/>
        <w:rPr>
          <w:color w:val="000000" w:themeColor="text1"/>
        </w:rPr>
      </w:pPr>
    </w:p>
    <w:p w14:paraId="684CBF99" w14:textId="3CD15FBE" w:rsidR="00B17DC6" w:rsidRDefault="00403C21" w:rsidP="00B17DC6">
      <w:pPr>
        <w:pStyle w:val="Default"/>
        <w:ind w:left="360"/>
        <w:rPr>
          <w:color w:val="000000" w:themeColor="text1"/>
        </w:rPr>
      </w:pPr>
      <w:r>
        <w:rPr>
          <w:color w:val="000000" w:themeColor="text1"/>
        </w:rPr>
        <w:t xml:space="preserve">The Board reviewed </w:t>
      </w:r>
      <w:r w:rsidR="00527342">
        <w:rPr>
          <w:color w:val="000000" w:themeColor="text1"/>
        </w:rPr>
        <w:t>one</w:t>
      </w:r>
      <w:r>
        <w:rPr>
          <w:color w:val="000000" w:themeColor="text1"/>
        </w:rPr>
        <w:t xml:space="preserve"> attestation </w:t>
      </w:r>
      <w:r w:rsidR="00C006EE">
        <w:rPr>
          <w:color w:val="000000" w:themeColor="text1"/>
        </w:rPr>
        <w:t>statement</w:t>
      </w:r>
      <w:r w:rsidR="00527342">
        <w:rPr>
          <w:color w:val="000000" w:themeColor="text1"/>
        </w:rPr>
        <w:t xml:space="preserve"> that appears</w:t>
      </w:r>
      <w:r w:rsidR="00C006E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initial and renewal applications. Board counsel </w:t>
      </w:r>
      <w:r w:rsidR="00C006EE">
        <w:rPr>
          <w:color w:val="000000" w:themeColor="text1"/>
        </w:rPr>
        <w:t xml:space="preserve">read the statement to the Board: </w:t>
      </w:r>
      <w:r>
        <w:rPr>
          <w:color w:val="000000" w:themeColor="text1"/>
        </w:rPr>
        <w:t>“</w:t>
      </w:r>
      <w:r w:rsidRPr="00403C21">
        <w:rPr>
          <w:color w:val="000000" w:themeColor="text1"/>
        </w:rPr>
        <w:t>I am aware that under Massachusetts law, optometrists can only work in licensed or licensed exempt facilities</w:t>
      </w:r>
      <w:r w:rsidR="00C006EE">
        <w:rPr>
          <w:color w:val="000000" w:themeColor="text1"/>
        </w:rPr>
        <w:t>.</w:t>
      </w:r>
      <w:r>
        <w:rPr>
          <w:color w:val="000000" w:themeColor="text1"/>
        </w:rPr>
        <w:t>”</w:t>
      </w:r>
      <w:r w:rsidR="00C006EE">
        <w:rPr>
          <w:color w:val="000000" w:themeColor="text1"/>
        </w:rPr>
        <w:t xml:space="preserve"> Board counsel noted that</w:t>
      </w:r>
      <w:r>
        <w:rPr>
          <w:color w:val="000000" w:themeColor="text1"/>
        </w:rPr>
        <w:t xml:space="preserve"> there is no </w:t>
      </w:r>
      <w:r w:rsidR="00C006EE">
        <w:rPr>
          <w:color w:val="000000" w:themeColor="text1"/>
        </w:rPr>
        <w:t xml:space="preserve">regulatory </w:t>
      </w:r>
      <w:r>
        <w:rPr>
          <w:color w:val="000000" w:themeColor="text1"/>
        </w:rPr>
        <w:t xml:space="preserve">requirement </w:t>
      </w:r>
      <w:r w:rsidR="00C006EE">
        <w:rPr>
          <w:color w:val="000000" w:themeColor="text1"/>
        </w:rPr>
        <w:t xml:space="preserve">to license optometry </w:t>
      </w:r>
      <w:r>
        <w:rPr>
          <w:color w:val="000000" w:themeColor="text1"/>
        </w:rPr>
        <w:t>facilit</w:t>
      </w:r>
      <w:r w:rsidR="00C006EE">
        <w:rPr>
          <w:color w:val="000000" w:themeColor="text1"/>
        </w:rPr>
        <w:t xml:space="preserve">ies or offices </w:t>
      </w:r>
      <w:r w:rsidR="00527342">
        <w:rPr>
          <w:color w:val="000000" w:themeColor="text1"/>
        </w:rPr>
        <w:t xml:space="preserve">in Massachusetts </w:t>
      </w:r>
      <w:r w:rsidR="00C006EE">
        <w:rPr>
          <w:color w:val="000000" w:themeColor="text1"/>
        </w:rPr>
        <w:t>and advised that the question be removed.</w:t>
      </w:r>
      <w:r>
        <w:rPr>
          <w:color w:val="000000" w:themeColor="text1"/>
        </w:rPr>
        <w:t xml:space="preserve"> </w:t>
      </w:r>
      <w:r w:rsidR="00527342" w:rsidRPr="00527342">
        <w:rPr>
          <w:b/>
          <w:bCs/>
          <w:color w:val="000000" w:themeColor="text1"/>
        </w:rPr>
        <w:t xml:space="preserve">After discussion, </w:t>
      </w:r>
      <w:r w:rsidRPr="00403C21">
        <w:rPr>
          <w:b/>
          <w:bCs/>
          <w:color w:val="000000" w:themeColor="text1"/>
        </w:rPr>
        <w:t xml:space="preserve">Dr. Hiura motioned to remove the question from the criminal history and attestation questions on the </w:t>
      </w:r>
      <w:r w:rsidR="00BC6A5D" w:rsidRPr="00403C21">
        <w:rPr>
          <w:b/>
          <w:bCs/>
          <w:color w:val="000000" w:themeColor="text1"/>
        </w:rPr>
        <w:t>application</w:t>
      </w:r>
      <w:r w:rsidR="00BC6A5D">
        <w:rPr>
          <w:b/>
          <w:bCs/>
          <w:color w:val="000000" w:themeColor="text1"/>
        </w:rPr>
        <w:t>.</w:t>
      </w:r>
      <w:r w:rsidR="00BC6A5D" w:rsidRPr="00403C21">
        <w:rPr>
          <w:b/>
          <w:bCs/>
          <w:color w:val="000000" w:themeColor="text1"/>
        </w:rPr>
        <w:t xml:space="preserve"> Dr.</w:t>
      </w:r>
      <w:r w:rsidRPr="00403C21">
        <w:rPr>
          <w:b/>
          <w:bCs/>
          <w:color w:val="000000" w:themeColor="text1"/>
        </w:rPr>
        <w:t xml:space="preserve"> Willinger seconded. </w:t>
      </w:r>
      <w:r w:rsidRPr="00403C21">
        <w:rPr>
          <w:b/>
          <w:bCs/>
        </w:rPr>
        <w:t>The motion passed on a roll call vote: Dr. Willinger – “yes”; Dr. Sabree – “yes”; Dr. Sewell – “yes”; Dr. Hiura – “yes”.</w:t>
      </w:r>
    </w:p>
    <w:p w14:paraId="24A3B625" w14:textId="77777777" w:rsidR="00403C21" w:rsidRDefault="00403C21" w:rsidP="00B17DC6">
      <w:pPr>
        <w:pStyle w:val="Default"/>
        <w:ind w:left="360"/>
        <w:rPr>
          <w:color w:val="000000" w:themeColor="text1"/>
        </w:rPr>
      </w:pPr>
    </w:p>
    <w:p w14:paraId="144819E3" w14:textId="77777777" w:rsidR="00403C21" w:rsidRDefault="00403C21" w:rsidP="00B17DC6">
      <w:pPr>
        <w:pStyle w:val="Default"/>
        <w:ind w:left="360"/>
        <w:rPr>
          <w:color w:val="000000" w:themeColor="text1"/>
        </w:rPr>
      </w:pPr>
    </w:p>
    <w:p w14:paraId="0551E981" w14:textId="211BBAD9" w:rsidR="00F14862" w:rsidRDefault="00B17DC6" w:rsidP="00F14862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Review proposed recommendations for URAMP requirement sand practice restrictions for optometry – VOTE  </w:t>
      </w:r>
    </w:p>
    <w:p w14:paraId="6594C362" w14:textId="77777777" w:rsidR="00BC6A5D" w:rsidRDefault="00BC6A5D" w:rsidP="00BC6A5D">
      <w:pPr>
        <w:pStyle w:val="Default"/>
        <w:ind w:firstLine="360"/>
        <w:rPr>
          <w:color w:val="000000" w:themeColor="text1"/>
        </w:rPr>
      </w:pPr>
    </w:p>
    <w:p w14:paraId="7436C95E" w14:textId="77A5258B" w:rsidR="56E2DE07" w:rsidRDefault="00BC6A5D" w:rsidP="00BC6A5D">
      <w:pPr>
        <w:pStyle w:val="Default"/>
        <w:ind w:left="360"/>
        <w:rPr>
          <w:color w:val="000000" w:themeColor="text1"/>
        </w:rPr>
      </w:pPr>
      <w:r>
        <w:rPr>
          <w:color w:val="000000" w:themeColor="text1"/>
        </w:rPr>
        <w:t>The Board reviewed</w:t>
      </w:r>
      <w:r w:rsidR="00BB7560">
        <w:rPr>
          <w:color w:val="000000" w:themeColor="text1"/>
        </w:rPr>
        <w:t xml:space="preserve"> </w:t>
      </w:r>
      <w:r w:rsidR="007F49E4">
        <w:rPr>
          <w:color w:val="000000" w:themeColor="text1"/>
        </w:rPr>
        <w:t>the</w:t>
      </w:r>
      <w:r w:rsidR="00BB7560">
        <w:rPr>
          <w:color w:val="000000" w:themeColor="text1"/>
        </w:rPr>
        <w:t xml:space="preserve"> recommendations discussed at the November 20, 2024 meeting. The draft provides </w:t>
      </w:r>
      <w:r>
        <w:rPr>
          <w:color w:val="000000" w:themeColor="text1"/>
        </w:rPr>
        <w:t xml:space="preserve">URAMP </w:t>
      </w:r>
      <w:r w:rsidR="00BB7560">
        <w:rPr>
          <w:color w:val="000000" w:themeColor="text1"/>
        </w:rPr>
        <w:t xml:space="preserve">specific work restrictions and conditions </w:t>
      </w:r>
      <w:r w:rsidR="007F49E4">
        <w:rPr>
          <w:color w:val="000000" w:themeColor="text1"/>
        </w:rPr>
        <w:t xml:space="preserve">for </w:t>
      </w:r>
      <w:r w:rsidR="003628E7">
        <w:rPr>
          <w:color w:val="000000" w:themeColor="text1"/>
        </w:rPr>
        <w:t>return-to-work</w:t>
      </w:r>
      <w:r w:rsidR="007F49E4">
        <w:rPr>
          <w:color w:val="000000" w:themeColor="text1"/>
        </w:rPr>
        <w:t xml:space="preserve"> conditions and supervision requirements. </w:t>
      </w:r>
      <w:r w:rsidR="007F49E4" w:rsidRPr="007F49E4">
        <w:rPr>
          <w:b/>
          <w:bCs/>
          <w:color w:val="000000" w:themeColor="text1"/>
        </w:rPr>
        <w:t xml:space="preserve">After discussion, </w:t>
      </w:r>
      <w:r w:rsidRPr="007F49E4">
        <w:rPr>
          <w:b/>
          <w:bCs/>
          <w:color w:val="000000" w:themeColor="text1"/>
        </w:rPr>
        <w:t xml:space="preserve">Dr. Hiura </w:t>
      </w:r>
      <w:r w:rsidR="007F49E4" w:rsidRPr="007F49E4">
        <w:rPr>
          <w:b/>
          <w:bCs/>
          <w:color w:val="000000" w:themeColor="text1"/>
        </w:rPr>
        <w:t>moved to approve the recommendations and send</w:t>
      </w:r>
      <w:r w:rsidRPr="007F49E4">
        <w:rPr>
          <w:b/>
          <w:bCs/>
          <w:color w:val="000000" w:themeColor="text1"/>
        </w:rPr>
        <w:t xml:space="preserve"> to URAMP. Dr. Sewell </w:t>
      </w:r>
      <w:r w:rsidR="003628E7">
        <w:rPr>
          <w:b/>
          <w:bCs/>
          <w:color w:val="000000" w:themeColor="text1"/>
        </w:rPr>
        <w:t>s</w:t>
      </w:r>
      <w:r w:rsidRPr="007F49E4">
        <w:rPr>
          <w:b/>
          <w:bCs/>
          <w:color w:val="000000" w:themeColor="text1"/>
        </w:rPr>
        <w:t>econded</w:t>
      </w:r>
      <w:r>
        <w:rPr>
          <w:color w:val="000000" w:themeColor="text1"/>
        </w:rPr>
        <w:t xml:space="preserve">. </w:t>
      </w:r>
      <w:r w:rsidRPr="00403C21">
        <w:rPr>
          <w:b/>
          <w:bCs/>
        </w:rPr>
        <w:t xml:space="preserve">The motion passed on </w:t>
      </w:r>
      <w:r w:rsidRPr="00403C21">
        <w:rPr>
          <w:b/>
          <w:bCs/>
        </w:rPr>
        <w:lastRenderedPageBreak/>
        <w:t>a roll call vote: Dr. Willinger – “yes”; Dr. Sabree – “yes”; Dr. Sewell – “yes”; Dr. Hiura – “yes”.</w:t>
      </w:r>
    </w:p>
    <w:p w14:paraId="74B0B236" w14:textId="77777777" w:rsidR="00F31E08" w:rsidRDefault="00F31E08" w:rsidP="00F31E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ADB9F3" w14:textId="5DF0A9D8" w:rsidR="00316E70" w:rsidRPr="00CC6238" w:rsidRDefault="00316E70" w:rsidP="00316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6EC38780" w14:textId="40E174C3" w:rsidR="00316E70" w:rsidRDefault="00316E70" w:rsidP="00316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BC6A5D">
        <w:rPr>
          <w:rFonts w:ascii="Times New Roman" w:hAnsi="Times New Roman" w:cs="Times New Roman"/>
          <w:b/>
          <w:bCs/>
          <w:sz w:val="24"/>
          <w:szCs w:val="24"/>
        </w:rPr>
        <w:t xml:space="preserve">0:45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a.m., Dr. 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Sewell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Willinger</w:t>
      </w:r>
      <w:r w:rsidR="00533C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The motion passed by roll call vote: </w:t>
      </w:r>
      <w:r w:rsidR="00533CCC" w:rsidRPr="00FE5C4E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533CCC" w:rsidRPr="00FE5C4E">
        <w:rPr>
          <w:rFonts w:ascii="Times New Roman" w:hAnsi="Times New Roman" w:cs="Times New Roman"/>
          <w:b/>
          <w:bCs/>
          <w:sz w:val="24"/>
          <w:szCs w:val="24"/>
        </w:rPr>
        <w:t>”; Dr. Hiura – “yes”.</w:t>
      </w:r>
    </w:p>
    <w:p w14:paraId="476BB1C4" w14:textId="1921AE95" w:rsidR="00145C6F" w:rsidRPr="00145C6F" w:rsidRDefault="00145C6F" w:rsidP="00316E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5C6F">
        <w:rPr>
          <w:rFonts w:ascii="Times New Roman" w:hAnsi="Times New Roman" w:cs="Times New Roman"/>
          <w:b/>
          <w:bCs/>
          <w:sz w:val="24"/>
          <w:szCs w:val="24"/>
          <w:u w:val="single"/>
        </w:rPr>
        <w:t>65C Meeting Session:</w:t>
      </w:r>
    </w:p>
    <w:p w14:paraId="797CA4D9" w14:textId="65DCA5B3" w:rsidR="00145C6F" w:rsidRDefault="00145C6F" w:rsidP="00145C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960380">
        <w:rPr>
          <w:rFonts w:ascii="Times New Roman" w:hAnsi="Times New Roman" w:cs="Times New Roman"/>
          <w:b/>
          <w:bCs/>
          <w:sz w:val="24"/>
          <w:szCs w:val="24"/>
        </w:rPr>
        <w:t>10:45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a.m., Dr. </w:t>
      </w:r>
      <w:r>
        <w:rPr>
          <w:rFonts w:ascii="Times New Roman" w:hAnsi="Times New Roman" w:cs="Times New Roman"/>
          <w:b/>
          <w:bCs/>
          <w:sz w:val="24"/>
          <w:szCs w:val="24"/>
        </w:rPr>
        <w:t>Hiura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moved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145C6F">
        <w:rPr>
          <w:rFonts w:ascii="Times New Roman" w:hAnsi="Times New Roman" w:cs="Times New Roman"/>
          <w:b/>
          <w:bCs/>
          <w:sz w:val="24"/>
          <w:szCs w:val="24"/>
        </w:rPr>
        <w:t>enter into closed session to conduct investigatory conferences pursuant to G.L. c. 112, §65C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. Dr. </w:t>
      </w:r>
      <w:r w:rsidR="00BC6A5D">
        <w:rPr>
          <w:rFonts w:ascii="Times New Roman" w:hAnsi="Times New Roman" w:cs="Times New Roman"/>
          <w:b/>
          <w:bCs/>
          <w:sz w:val="24"/>
          <w:szCs w:val="24"/>
        </w:rPr>
        <w:t>Sewell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The motion passed by roll call vote: 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</w:t>
      </w:r>
      <w:r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>”; Dr. Hiura – “yes”.</w:t>
      </w:r>
    </w:p>
    <w:p w14:paraId="5E322CBD" w14:textId="77777777" w:rsidR="00316E70" w:rsidRPr="00790FE2" w:rsidRDefault="00316E70" w:rsidP="00316E70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5EB3696" w14:textId="77777777" w:rsidR="00316E70" w:rsidRDefault="00316E70" w:rsidP="00316E70">
      <w:pPr>
        <w:spacing w:after="0"/>
        <w:rPr>
          <w:noProof/>
        </w:rPr>
      </w:pPr>
    </w:p>
    <w:p w14:paraId="6B99EFDB" w14:textId="41285815" w:rsidR="00316E70" w:rsidRPr="00790FE2" w:rsidRDefault="0071523B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58">
        <w:rPr>
          <w:noProof/>
        </w:rPr>
        <w:drawing>
          <wp:inline distT="0" distB="0" distL="0" distR="0" wp14:anchorId="5ACBAC25" wp14:editId="10EF2342">
            <wp:extent cx="1568450" cy="444500"/>
            <wp:effectExtent l="0" t="0" r="0" b="0"/>
            <wp:docPr id="1646691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9CD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F3EC4C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Burke, Executive Director</w:t>
      </w:r>
    </w:p>
    <w:p w14:paraId="00BCE87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DFFCE" w14:textId="77777777" w:rsidR="00316E70" w:rsidRPr="00960380" w:rsidRDefault="00316E70" w:rsidP="00316E70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Documents used in the public session meeting:</w:t>
      </w:r>
    </w:p>
    <w:p w14:paraId="01BB69FE" w14:textId="2075CABD" w:rsidR="00316E70" w:rsidRPr="0096038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 xml:space="preserve">Agenda for </w:t>
      </w:r>
      <w:r w:rsidR="00960380" w:rsidRPr="00960380">
        <w:rPr>
          <w:rFonts w:ascii="Times New Roman" w:hAnsi="Times New Roman" w:cs="Times New Roman"/>
          <w:sz w:val="24"/>
          <w:szCs w:val="24"/>
        </w:rPr>
        <w:t>December 18,</w:t>
      </w:r>
      <w:r w:rsidRPr="00960380">
        <w:rPr>
          <w:rFonts w:ascii="Times New Roman" w:hAnsi="Times New Roman" w:cs="Times New Roman"/>
          <w:sz w:val="24"/>
          <w:szCs w:val="24"/>
        </w:rPr>
        <w:t xml:space="preserve"> 2024 </w:t>
      </w:r>
      <w:r w:rsidR="00C44560" w:rsidRPr="00960380">
        <w:rPr>
          <w:rFonts w:ascii="Times New Roman" w:hAnsi="Times New Roman" w:cs="Times New Roman"/>
          <w:sz w:val="24"/>
          <w:szCs w:val="24"/>
        </w:rPr>
        <w:t>B</w:t>
      </w:r>
      <w:r w:rsidRPr="00960380">
        <w:rPr>
          <w:rFonts w:ascii="Times New Roman" w:hAnsi="Times New Roman" w:cs="Times New Roman"/>
          <w:sz w:val="24"/>
          <w:szCs w:val="24"/>
        </w:rPr>
        <w:t>oard meeting</w:t>
      </w:r>
    </w:p>
    <w:p w14:paraId="0DDDE049" w14:textId="7E644315" w:rsidR="00316E70" w:rsidRPr="0096038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 xml:space="preserve">Public session minutes for </w:t>
      </w:r>
      <w:r w:rsidR="00960380" w:rsidRPr="00960380">
        <w:rPr>
          <w:rFonts w:ascii="Times New Roman" w:hAnsi="Times New Roman" w:cs="Times New Roman"/>
          <w:sz w:val="24"/>
          <w:szCs w:val="24"/>
        </w:rPr>
        <w:t>November 20</w:t>
      </w:r>
      <w:r w:rsidRPr="00960380">
        <w:rPr>
          <w:rFonts w:ascii="Times New Roman" w:hAnsi="Times New Roman" w:cs="Times New Roman"/>
          <w:sz w:val="24"/>
          <w:szCs w:val="24"/>
        </w:rPr>
        <w:t xml:space="preserve">, 2024 </w:t>
      </w:r>
    </w:p>
    <w:p w14:paraId="0585575C" w14:textId="7AB37282" w:rsidR="00960380" w:rsidRPr="00960380" w:rsidRDefault="0096038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Recent Accreditation Actions and Decisions ACOE 2024</w:t>
      </w:r>
    </w:p>
    <w:p w14:paraId="4475B263" w14:textId="4F3DD7BC" w:rsidR="00960380" w:rsidRPr="00960380" w:rsidRDefault="0096038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Y. Lu Reactivation Application</w:t>
      </w:r>
    </w:p>
    <w:p w14:paraId="58E7508B" w14:textId="34BC5A36" w:rsidR="0050297E" w:rsidRPr="00960380" w:rsidRDefault="00960380" w:rsidP="009603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Glaucoma Certification Application Review Procedures</w:t>
      </w:r>
    </w:p>
    <w:p w14:paraId="5B1FE21E" w14:textId="5A609A43" w:rsidR="00960380" w:rsidRPr="00960380" w:rsidRDefault="00960380" w:rsidP="009603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Optometry Criminal History Attestation Questions</w:t>
      </w:r>
    </w:p>
    <w:p w14:paraId="27732C98" w14:textId="0A53125B" w:rsidR="00960380" w:rsidRPr="00960380" w:rsidRDefault="00960380" w:rsidP="009603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O</w:t>
      </w:r>
      <w:r w:rsidR="00F31E08">
        <w:rPr>
          <w:rFonts w:ascii="Times New Roman" w:hAnsi="Times New Roman" w:cs="Times New Roman"/>
          <w:sz w:val="24"/>
          <w:szCs w:val="24"/>
        </w:rPr>
        <w:t>ptometry Board</w:t>
      </w:r>
      <w:r w:rsidRPr="00960380">
        <w:rPr>
          <w:rFonts w:ascii="Times New Roman" w:hAnsi="Times New Roman" w:cs="Times New Roman"/>
          <w:sz w:val="24"/>
          <w:szCs w:val="24"/>
        </w:rPr>
        <w:t xml:space="preserve"> Recommendations for URAMP</w:t>
      </w:r>
    </w:p>
    <w:sectPr w:rsidR="00960380" w:rsidRPr="00960380" w:rsidSect="00316E70">
      <w:headerReference w:type="even" r:id="rId17"/>
      <w:head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4073" w14:textId="77777777" w:rsidR="00322641" w:rsidRDefault="00322641" w:rsidP="00316E70">
      <w:pPr>
        <w:spacing w:after="0" w:line="240" w:lineRule="auto"/>
      </w:pPr>
      <w:r>
        <w:separator/>
      </w:r>
    </w:p>
  </w:endnote>
  <w:endnote w:type="continuationSeparator" w:id="0">
    <w:p w14:paraId="10D3432E" w14:textId="77777777" w:rsidR="00322641" w:rsidRDefault="00322641" w:rsidP="00316E70">
      <w:pPr>
        <w:spacing w:after="0" w:line="240" w:lineRule="auto"/>
      </w:pPr>
      <w:r>
        <w:continuationSeparator/>
      </w:r>
    </w:p>
  </w:endnote>
  <w:endnote w:type="continuationNotice" w:id="1">
    <w:p w14:paraId="05B9CEDF" w14:textId="77777777" w:rsidR="00322641" w:rsidRDefault="00322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49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E2D72" w14:textId="77777777" w:rsidR="00316E70" w:rsidRDefault="00316E70" w:rsidP="00316E7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12C8864" w14:textId="77777777" w:rsidR="00316E70" w:rsidRDefault="00316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ED96E23" w14:paraId="742160F5" w14:textId="77777777" w:rsidTr="5ED96E23">
      <w:trPr>
        <w:trHeight w:val="300"/>
      </w:trPr>
      <w:tc>
        <w:tcPr>
          <w:tcW w:w="1440" w:type="dxa"/>
        </w:tcPr>
        <w:p w14:paraId="6358876F" w14:textId="420BD0AB" w:rsidR="5ED96E23" w:rsidRDefault="5ED96E23" w:rsidP="5ED96E23">
          <w:pPr>
            <w:pStyle w:val="Header"/>
            <w:ind w:left="-115"/>
          </w:pPr>
        </w:p>
      </w:tc>
      <w:tc>
        <w:tcPr>
          <w:tcW w:w="1440" w:type="dxa"/>
        </w:tcPr>
        <w:p w14:paraId="1530C53E" w14:textId="3402C1D2" w:rsidR="5ED96E23" w:rsidRDefault="5ED96E23" w:rsidP="5ED96E23">
          <w:pPr>
            <w:pStyle w:val="Header"/>
            <w:jc w:val="center"/>
          </w:pPr>
        </w:p>
      </w:tc>
      <w:tc>
        <w:tcPr>
          <w:tcW w:w="1440" w:type="dxa"/>
        </w:tcPr>
        <w:p w14:paraId="14360BB8" w14:textId="71425F3D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218A2876" w14:textId="396B51E6" w:rsidR="0018459C" w:rsidRDefault="00184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D96E23" w14:paraId="0FF7C386" w14:textId="77777777" w:rsidTr="5ED96E23">
      <w:trPr>
        <w:trHeight w:val="300"/>
      </w:trPr>
      <w:tc>
        <w:tcPr>
          <w:tcW w:w="3120" w:type="dxa"/>
        </w:tcPr>
        <w:p w14:paraId="6249925C" w14:textId="1A519AF0" w:rsidR="5ED96E23" w:rsidRDefault="5ED96E23" w:rsidP="5ED96E23">
          <w:pPr>
            <w:pStyle w:val="Header"/>
            <w:ind w:left="-115"/>
          </w:pPr>
        </w:p>
      </w:tc>
      <w:tc>
        <w:tcPr>
          <w:tcW w:w="3120" w:type="dxa"/>
        </w:tcPr>
        <w:p w14:paraId="645D5FE6" w14:textId="5F69DF6F" w:rsidR="5ED96E23" w:rsidRDefault="5ED96E23" w:rsidP="5ED96E23">
          <w:pPr>
            <w:pStyle w:val="Header"/>
            <w:jc w:val="center"/>
          </w:pPr>
        </w:p>
      </w:tc>
      <w:tc>
        <w:tcPr>
          <w:tcW w:w="3120" w:type="dxa"/>
        </w:tcPr>
        <w:p w14:paraId="440E6CD0" w14:textId="07647D80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0AC3479" w14:textId="08F52366" w:rsidR="0018459C" w:rsidRDefault="0018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DF15" w14:textId="77777777" w:rsidR="00322641" w:rsidRDefault="00322641" w:rsidP="00316E70">
      <w:pPr>
        <w:spacing w:after="0" w:line="240" w:lineRule="auto"/>
      </w:pPr>
      <w:r>
        <w:separator/>
      </w:r>
    </w:p>
  </w:footnote>
  <w:footnote w:type="continuationSeparator" w:id="0">
    <w:p w14:paraId="5FAB2C1B" w14:textId="77777777" w:rsidR="00322641" w:rsidRDefault="00322641" w:rsidP="00316E70">
      <w:pPr>
        <w:spacing w:after="0" w:line="240" w:lineRule="auto"/>
      </w:pPr>
      <w:r>
        <w:continuationSeparator/>
      </w:r>
    </w:p>
  </w:footnote>
  <w:footnote w:type="continuationNotice" w:id="1">
    <w:p w14:paraId="45A0D286" w14:textId="77777777" w:rsidR="00322641" w:rsidRDefault="00322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150B" w14:textId="3E878B26" w:rsidR="00C7799C" w:rsidRDefault="00C77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4BD4" w14:textId="70F202A0" w:rsidR="00EE7BD1" w:rsidRPr="00CF7A06" w:rsidRDefault="00EE7BD1">
    <w:pPr>
      <w:spacing w:after="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9843" w14:textId="193FC57A" w:rsidR="5ED96E23" w:rsidRDefault="0132B6FB" w:rsidP="0132B6F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132B6FB">
      <w:rPr>
        <w:rFonts w:ascii="Times New Roman" w:hAnsi="Times New Roman" w:cs="Times New Roman"/>
        <w:b/>
        <w:bCs/>
        <w:sz w:val="24"/>
        <w:szCs w:val="24"/>
      </w:rPr>
      <w:t>Board of Registration of Optometry</w:t>
    </w:r>
  </w:p>
  <w:p w14:paraId="1A50084F" w14:textId="472193AD" w:rsidR="5ED96E23" w:rsidRDefault="00BB51B2" w:rsidP="0132B6FB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General </w:t>
    </w:r>
    <w:r w:rsidR="0132B6FB" w:rsidRPr="0132B6FB">
      <w:rPr>
        <w:rFonts w:ascii="Times New Roman" w:hAnsi="Times New Roman" w:cs="Times New Roman"/>
      </w:rPr>
      <w:t>Session Minutes</w:t>
    </w:r>
  </w:p>
  <w:p w14:paraId="23405356" w14:textId="77777777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>Meeting Held by Phone/Video Conference</w:t>
    </w:r>
  </w:p>
  <w:p w14:paraId="4D34C9FD" w14:textId="59ACB086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 xml:space="preserve">DATE: </w:t>
    </w:r>
    <w:r w:rsidR="001E1349">
      <w:rPr>
        <w:rFonts w:ascii="Times New Roman" w:hAnsi="Times New Roman" w:cs="Times New Roman"/>
        <w:sz w:val="20"/>
        <w:szCs w:val="20"/>
      </w:rPr>
      <w:t>December 18</w:t>
    </w:r>
    <w:r w:rsidRPr="0132B6FB">
      <w:rPr>
        <w:rFonts w:ascii="Times New Roman" w:hAnsi="Times New Roman" w:cs="Times New Roman"/>
        <w:sz w:val="20"/>
        <w:szCs w:val="20"/>
      </w:rPr>
      <w:t>, 2024   TIME: 10:00am</w:t>
    </w:r>
  </w:p>
  <w:p w14:paraId="5ED9D44A" w14:textId="77777777" w:rsidR="5ED96E23" w:rsidRDefault="5ED96E23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667161EB" w14:textId="77777777" w:rsidR="5ED96E23" w:rsidRDefault="0132B6FB" w:rsidP="0132B6FB">
    <w:pPr>
      <w:tabs>
        <w:tab w:val="left" w:pos="360"/>
      </w:tabs>
      <w:spacing w:after="120"/>
      <w:ind w:right="576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/>
        <w:b/>
        <w:bCs/>
      </w:rPr>
      <w:t>A public meeting of the Massachusetts Board of Registration in Optometry (“the Board”) was held via Videoconference and Conference Call pursuant to section 40 of chapter 2 of the acts of 2023, signed into law on March 29, 2023.</w:t>
    </w:r>
  </w:p>
  <w:p w14:paraId="757A663D" w14:textId="7F7848C6" w:rsidR="0018459C" w:rsidRDefault="001845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FD10" w14:textId="48677733" w:rsidR="00740E7B" w:rsidRDefault="00740E7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D583" w14:textId="4454B2FF" w:rsidR="00740E7B" w:rsidRDefault="00740E7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ED96E23" w14:paraId="27914CDC" w14:textId="77777777" w:rsidTr="3D782276">
      <w:trPr>
        <w:trHeight w:val="300"/>
      </w:trPr>
      <w:tc>
        <w:tcPr>
          <w:tcW w:w="345" w:type="dxa"/>
        </w:tcPr>
        <w:p w14:paraId="6D424874" w14:textId="0E36688A" w:rsidR="5ED96E23" w:rsidRDefault="5ED96E23" w:rsidP="5ED96E23">
          <w:pPr>
            <w:pStyle w:val="Header"/>
            <w:ind w:left="-115"/>
          </w:pPr>
        </w:p>
      </w:tc>
      <w:tc>
        <w:tcPr>
          <w:tcW w:w="8670" w:type="dxa"/>
        </w:tcPr>
        <w:p w14:paraId="3C3D1DF5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463CFEC0">
            <w:rPr>
              <w:rFonts w:ascii="Times New Roman" w:hAnsi="Times New Roman" w:cs="Times New Roman"/>
              <w:b/>
              <w:bCs/>
              <w:sz w:val="24"/>
              <w:szCs w:val="24"/>
            </w:rPr>
            <w:t>Board of Registration of Optometry</w:t>
          </w:r>
        </w:p>
        <w:p w14:paraId="12D69406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463CFEC0">
            <w:rPr>
              <w:rFonts w:ascii="Times New Roman" w:hAnsi="Times New Roman" w:cs="Times New Roman"/>
            </w:rPr>
            <w:t>Public Session Minutes</w:t>
          </w:r>
        </w:p>
        <w:p w14:paraId="7164B99E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>Meeting Held by Phone/Video Conference</w:t>
          </w:r>
        </w:p>
        <w:p w14:paraId="0888095A" w14:textId="327F7421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>DATE: September 18, 2024   TIME: 10:00am</w:t>
          </w:r>
        </w:p>
        <w:p w14:paraId="3E51A8EF" w14:textId="77777777" w:rsidR="5ED96E23" w:rsidRDefault="5ED96E23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01068B7" w14:textId="77777777" w:rsidR="5ED96E23" w:rsidRDefault="463CFEC0" w:rsidP="463CFEC0">
          <w:pPr>
            <w:tabs>
              <w:tab w:val="left" w:pos="360"/>
            </w:tabs>
            <w:spacing w:after="120"/>
            <w:ind w:right="5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/>
              <w:b/>
              <w:bCs/>
            </w:rPr>
            <w:t>A public meeting of the Massachusetts Board of Registration in Optometry (“the Board”) was held via Videoconference and Conference Call pursuant to section 40 of chapter 2 of the acts of 2023, signed into law on March 29, 2023.</w:t>
          </w:r>
        </w:p>
        <w:p w14:paraId="0E1EBA04" w14:textId="615FEF06" w:rsidR="5ED96E23" w:rsidRDefault="5ED96E23" w:rsidP="5ED96E23">
          <w:pPr>
            <w:pStyle w:val="Header"/>
            <w:jc w:val="center"/>
          </w:pPr>
        </w:p>
      </w:tc>
      <w:tc>
        <w:tcPr>
          <w:tcW w:w="345" w:type="dxa"/>
        </w:tcPr>
        <w:p w14:paraId="0A49480C" w14:textId="4A169EA6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618F04B" w14:textId="0F5B9B74" w:rsidR="0018459C" w:rsidRDefault="0018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462"/>
    <w:multiLevelType w:val="hybridMultilevel"/>
    <w:tmpl w:val="1550FF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50A87"/>
    <w:multiLevelType w:val="hybridMultilevel"/>
    <w:tmpl w:val="7F78A82E"/>
    <w:lvl w:ilvl="0" w:tplc="9BE08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459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10A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F43E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CE73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78CA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F4E4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36B0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BC3A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70A77"/>
    <w:multiLevelType w:val="hybridMultilevel"/>
    <w:tmpl w:val="621A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698B"/>
    <w:multiLevelType w:val="hybridMultilevel"/>
    <w:tmpl w:val="95CE6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642799">
    <w:abstractNumId w:val="0"/>
  </w:num>
  <w:num w:numId="2" w16cid:durableId="930166107">
    <w:abstractNumId w:val="2"/>
  </w:num>
  <w:num w:numId="3" w16cid:durableId="2022076253">
    <w:abstractNumId w:val="4"/>
  </w:num>
  <w:num w:numId="4" w16cid:durableId="2103142670">
    <w:abstractNumId w:val="3"/>
  </w:num>
  <w:num w:numId="5" w16cid:durableId="2039507069">
    <w:abstractNumId w:val="5"/>
  </w:num>
  <w:num w:numId="6" w16cid:durableId="69392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0"/>
    <w:rsid w:val="000164D1"/>
    <w:rsid w:val="00035160"/>
    <w:rsid w:val="0005563D"/>
    <w:rsid w:val="0006371D"/>
    <w:rsid w:val="00080FA6"/>
    <w:rsid w:val="000A241B"/>
    <w:rsid w:val="000D0453"/>
    <w:rsid w:val="000E3526"/>
    <w:rsid w:val="000E5923"/>
    <w:rsid w:val="000F2B89"/>
    <w:rsid w:val="000F4C7F"/>
    <w:rsid w:val="00101507"/>
    <w:rsid w:val="00125711"/>
    <w:rsid w:val="00131933"/>
    <w:rsid w:val="00143FF1"/>
    <w:rsid w:val="00145C6F"/>
    <w:rsid w:val="00157CA7"/>
    <w:rsid w:val="00165DEC"/>
    <w:rsid w:val="0018459C"/>
    <w:rsid w:val="001857F7"/>
    <w:rsid w:val="001946BF"/>
    <w:rsid w:val="00196D4B"/>
    <w:rsid w:val="001B3A00"/>
    <w:rsid w:val="001D2444"/>
    <w:rsid w:val="001E1349"/>
    <w:rsid w:val="00210871"/>
    <w:rsid w:val="002111FD"/>
    <w:rsid w:val="002161CE"/>
    <w:rsid w:val="00221B87"/>
    <w:rsid w:val="00245003"/>
    <w:rsid w:val="00251436"/>
    <w:rsid w:val="00254D9B"/>
    <w:rsid w:val="002669B6"/>
    <w:rsid w:val="00281013"/>
    <w:rsid w:val="002B7CBB"/>
    <w:rsid w:val="002C0B28"/>
    <w:rsid w:val="002C66E1"/>
    <w:rsid w:val="002D1B61"/>
    <w:rsid w:val="002F1D0B"/>
    <w:rsid w:val="003071D3"/>
    <w:rsid w:val="00316E70"/>
    <w:rsid w:val="00322641"/>
    <w:rsid w:val="003628E7"/>
    <w:rsid w:val="00365186"/>
    <w:rsid w:val="003E0E12"/>
    <w:rsid w:val="003E3F6B"/>
    <w:rsid w:val="003E6E28"/>
    <w:rsid w:val="00403C21"/>
    <w:rsid w:val="00403E37"/>
    <w:rsid w:val="00420FDC"/>
    <w:rsid w:val="00430D68"/>
    <w:rsid w:val="00431E15"/>
    <w:rsid w:val="004472A0"/>
    <w:rsid w:val="00451F88"/>
    <w:rsid w:val="00466355"/>
    <w:rsid w:val="0047517D"/>
    <w:rsid w:val="00491EAF"/>
    <w:rsid w:val="004A0B9D"/>
    <w:rsid w:val="004A73E1"/>
    <w:rsid w:val="004E214E"/>
    <w:rsid w:val="004F3B55"/>
    <w:rsid w:val="004F6E7D"/>
    <w:rsid w:val="0050297E"/>
    <w:rsid w:val="00506414"/>
    <w:rsid w:val="00527342"/>
    <w:rsid w:val="00533ABF"/>
    <w:rsid w:val="00533CCC"/>
    <w:rsid w:val="00562113"/>
    <w:rsid w:val="005739BB"/>
    <w:rsid w:val="00580F67"/>
    <w:rsid w:val="005B31F9"/>
    <w:rsid w:val="005D4A9E"/>
    <w:rsid w:val="005F2311"/>
    <w:rsid w:val="00605CD7"/>
    <w:rsid w:val="006113AF"/>
    <w:rsid w:val="00681129"/>
    <w:rsid w:val="00683B86"/>
    <w:rsid w:val="006B3CD8"/>
    <w:rsid w:val="006E1A25"/>
    <w:rsid w:val="00711C3A"/>
    <w:rsid w:val="007126CD"/>
    <w:rsid w:val="00712B14"/>
    <w:rsid w:val="0071523B"/>
    <w:rsid w:val="00740E7B"/>
    <w:rsid w:val="00744242"/>
    <w:rsid w:val="00751709"/>
    <w:rsid w:val="0076101D"/>
    <w:rsid w:val="00770631"/>
    <w:rsid w:val="00797B2D"/>
    <w:rsid w:val="007A75CC"/>
    <w:rsid w:val="007C775D"/>
    <w:rsid w:val="007D4083"/>
    <w:rsid w:val="007E7420"/>
    <w:rsid w:val="007F49E4"/>
    <w:rsid w:val="007F6DB9"/>
    <w:rsid w:val="00816B12"/>
    <w:rsid w:val="0082625E"/>
    <w:rsid w:val="008322D1"/>
    <w:rsid w:val="00840BFB"/>
    <w:rsid w:val="008716DC"/>
    <w:rsid w:val="008754FF"/>
    <w:rsid w:val="008907A8"/>
    <w:rsid w:val="008A4B9F"/>
    <w:rsid w:val="008C6B37"/>
    <w:rsid w:val="008D659A"/>
    <w:rsid w:val="008E0EF5"/>
    <w:rsid w:val="00916848"/>
    <w:rsid w:val="0092500D"/>
    <w:rsid w:val="00941DA5"/>
    <w:rsid w:val="0094207E"/>
    <w:rsid w:val="009469BF"/>
    <w:rsid w:val="00947C62"/>
    <w:rsid w:val="00960380"/>
    <w:rsid w:val="0096550B"/>
    <w:rsid w:val="009A0C04"/>
    <w:rsid w:val="009A2BB1"/>
    <w:rsid w:val="00A11EE5"/>
    <w:rsid w:val="00A175A6"/>
    <w:rsid w:val="00A22C70"/>
    <w:rsid w:val="00A25CC7"/>
    <w:rsid w:val="00A42573"/>
    <w:rsid w:val="00A44A56"/>
    <w:rsid w:val="00A45FC0"/>
    <w:rsid w:val="00A659BA"/>
    <w:rsid w:val="00A73375"/>
    <w:rsid w:val="00AB329E"/>
    <w:rsid w:val="00AC0D3D"/>
    <w:rsid w:val="00B15419"/>
    <w:rsid w:val="00B17DC6"/>
    <w:rsid w:val="00B75130"/>
    <w:rsid w:val="00BA5356"/>
    <w:rsid w:val="00BB51B2"/>
    <w:rsid w:val="00BB7560"/>
    <w:rsid w:val="00BC6A5D"/>
    <w:rsid w:val="00BD5AA7"/>
    <w:rsid w:val="00C006EE"/>
    <w:rsid w:val="00C20BBB"/>
    <w:rsid w:val="00C26BA0"/>
    <w:rsid w:val="00C44560"/>
    <w:rsid w:val="00C6254F"/>
    <w:rsid w:val="00C677CB"/>
    <w:rsid w:val="00C7799C"/>
    <w:rsid w:val="00CF71DE"/>
    <w:rsid w:val="00D14FBD"/>
    <w:rsid w:val="00D31724"/>
    <w:rsid w:val="00D35688"/>
    <w:rsid w:val="00D46A08"/>
    <w:rsid w:val="00D470DC"/>
    <w:rsid w:val="00D63168"/>
    <w:rsid w:val="00D85931"/>
    <w:rsid w:val="00D85B85"/>
    <w:rsid w:val="00D85C94"/>
    <w:rsid w:val="00D9581C"/>
    <w:rsid w:val="00DB3154"/>
    <w:rsid w:val="00DE6065"/>
    <w:rsid w:val="00E01C2B"/>
    <w:rsid w:val="00E061CB"/>
    <w:rsid w:val="00E146FC"/>
    <w:rsid w:val="00E461D8"/>
    <w:rsid w:val="00E46400"/>
    <w:rsid w:val="00EA3C13"/>
    <w:rsid w:val="00EA6057"/>
    <w:rsid w:val="00EA6534"/>
    <w:rsid w:val="00EC7A90"/>
    <w:rsid w:val="00EE7BD1"/>
    <w:rsid w:val="00EF36AB"/>
    <w:rsid w:val="00F14862"/>
    <w:rsid w:val="00F31E08"/>
    <w:rsid w:val="00F4062B"/>
    <w:rsid w:val="00F47F23"/>
    <w:rsid w:val="00F66343"/>
    <w:rsid w:val="00F7278A"/>
    <w:rsid w:val="00FE5900"/>
    <w:rsid w:val="00FE5C4E"/>
    <w:rsid w:val="00FE6158"/>
    <w:rsid w:val="0132B6FB"/>
    <w:rsid w:val="02714C78"/>
    <w:rsid w:val="02C62610"/>
    <w:rsid w:val="066B46EB"/>
    <w:rsid w:val="08747057"/>
    <w:rsid w:val="1339EAB2"/>
    <w:rsid w:val="15BCE54A"/>
    <w:rsid w:val="1EA04530"/>
    <w:rsid w:val="245AD5D7"/>
    <w:rsid w:val="26A95455"/>
    <w:rsid w:val="29D4F1E2"/>
    <w:rsid w:val="2AC216A2"/>
    <w:rsid w:val="2D7867AD"/>
    <w:rsid w:val="2F851C4D"/>
    <w:rsid w:val="31F4A9AF"/>
    <w:rsid w:val="3557F679"/>
    <w:rsid w:val="3D217394"/>
    <w:rsid w:val="3D782276"/>
    <w:rsid w:val="441FDC8E"/>
    <w:rsid w:val="463CFEC0"/>
    <w:rsid w:val="4A579958"/>
    <w:rsid w:val="4E74425A"/>
    <w:rsid w:val="4EDACA19"/>
    <w:rsid w:val="525106EA"/>
    <w:rsid w:val="55116FE1"/>
    <w:rsid w:val="55DF23FB"/>
    <w:rsid w:val="56E2DE07"/>
    <w:rsid w:val="5ED96E23"/>
    <w:rsid w:val="5F4C75F7"/>
    <w:rsid w:val="62D05413"/>
    <w:rsid w:val="66BAF5EF"/>
    <w:rsid w:val="73176244"/>
    <w:rsid w:val="7A41F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4934927"/>
  <w15:chartTrackingRefBased/>
  <w15:docId w15:val="{7385A501-0042-46EA-993F-59A05626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70"/>
    <w:rPr>
      <w:kern w:val="0"/>
      <w:sz w:val="22"/>
      <w:szCs w:val="22"/>
      <w14:ligatures w14:val="none"/>
    </w:rPr>
  </w:style>
  <w:style w:type="paragraph" w:customStyle="1" w:styleId="Default">
    <w:name w:val="Default"/>
    <w:rsid w:val="00316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7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84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DEB5BA4FDF499B446443652934DC" ma:contentTypeVersion="13" ma:contentTypeDescription="Create a new document." ma:contentTypeScope="" ma:versionID="bea850f6373eb2fece19628d27e732c2">
  <xsd:schema xmlns:xsd="http://www.w3.org/2001/XMLSchema" xmlns:xs="http://www.w3.org/2001/XMLSchema" xmlns:p="http://schemas.microsoft.com/office/2006/metadata/properties" xmlns:ns3="45806f1e-b98c-4f15-820d-c88c8a996118" xmlns:ns4="3856546e-027c-49da-a7a9-c6055683b007" targetNamespace="http://schemas.microsoft.com/office/2006/metadata/properties" ma:root="true" ma:fieldsID="182f278f0e979dacd73e5b62984f6946" ns3:_="" ns4:_="">
    <xsd:import namespace="45806f1e-b98c-4f15-820d-c88c8a996118"/>
    <xsd:import namespace="3856546e-027c-49da-a7a9-c6055683b0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6f1e-b98c-4f15-820d-c88c8a9961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546e-027c-49da-a7a9-c6055683b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06f1e-b98c-4f15-820d-c88c8a996118" xsi:nil="true"/>
  </documentManagement>
</p:properties>
</file>

<file path=customXml/itemProps1.xml><?xml version="1.0" encoding="utf-8"?>
<ds:datastoreItem xmlns:ds="http://schemas.openxmlformats.org/officeDocument/2006/customXml" ds:itemID="{FB9C1AA8-BC64-4F44-8878-5242EEDAE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67128-E0B4-475F-A963-04FD10FA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F4164-3008-4CBD-96DC-0A249ABF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6f1e-b98c-4f15-820d-c88c8a996118"/>
    <ds:schemaRef ds:uri="3856546e-027c-49da-a7a9-c6055683b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73166-AC73-4C58-9A5C-FDCCE2FBEE0C}">
  <ds:schemaRefs>
    <ds:schemaRef ds:uri="http://schemas.microsoft.com/office/2006/metadata/properties"/>
    <ds:schemaRef ds:uri="http://schemas.microsoft.com/office/infopath/2007/PartnerControls"/>
    <ds:schemaRef ds:uri="45806f1e-b98c-4f15-820d-c88c8a9961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Badner, Isaac (DPH)</dc:creator>
  <cp:keywords/>
  <dc:description/>
  <cp:lastModifiedBy>Burke, Thomas F (DPH)</cp:lastModifiedBy>
  <cp:revision>2</cp:revision>
  <dcterms:created xsi:type="dcterms:W3CDTF">2025-01-15T21:21:00Z</dcterms:created>
  <dcterms:modified xsi:type="dcterms:W3CDTF">2025-01-15T21:21:00Z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0x010100D943DEB5BA4FDF499B446443652934DC</vt:lpwstr>
  </property>
</Properties>
</file>