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EF53" w14:textId="2F7426EC" w:rsidR="00435164" w:rsidRDefault="00435164">
      <w:pPr>
        <w:pStyle w:val="BodyText"/>
        <w:spacing w:line="20" w:lineRule="exact"/>
        <w:ind w:left="111"/>
        <w:rPr>
          <w:rFonts w:ascii="Times New Roman"/>
          <w:sz w:val="2"/>
        </w:rPr>
      </w:pPr>
    </w:p>
    <w:p w14:paraId="24AF42AF" w14:textId="77777777" w:rsidR="00435164" w:rsidRDefault="00435164">
      <w:pPr>
        <w:pStyle w:val="BodyText"/>
        <w:rPr>
          <w:rFonts w:ascii="Times New Roman"/>
          <w:sz w:val="21"/>
        </w:rPr>
      </w:pPr>
    </w:p>
    <w:p w14:paraId="2F9BA50D" w14:textId="34532670" w:rsidR="00435164" w:rsidRDefault="00FA1879" w:rsidP="006743BC">
      <w:pPr>
        <w:pStyle w:val="Heading1"/>
      </w:pPr>
      <w:r>
        <w:t xml:space="preserve">MassHealth </w:t>
      </w:r>
      <w:r w:rsidR="004B3AC9">
        <w:t>Standing Order for</w:t>
      </w:r>
      <w:r w:rsidR="00D0493D">
        <w:t xml:space="preserve"> </w:t>
      </w:r>
      <w:r w:rsidR="00D0493D" w:rsidRPr="006743BC">
        <w:t>Prescribing</w:t>
      </w:r>
      <w:r w:rsidR="00D0493D">
        <w:t xml:space="preserve"> and</w:t>
      </w:r>
      <w:r w:rsidR="004B3AC9">
        <w:t xml:space="preserve"> Dispensing Over-the-counter </w:t>
      </w:r>
      <w:r w:rsidR="00B65ADD">
        <w:t xml:space="preserve">Oral </w:t>
      </w:r>
      <w:r w:rsidR="00B6448A">
        <w:t>Hormonal Contraceptives</w:t>
      </w:r>
    </w:p>
    <w:p w14:paraId="04E57551" w14:textId="5CA2E506" w:rsidR="00821D10" w:rsidRDefault="004B3AC9" w:rsidP="00821D10">
      <w:pPr>
        <w:pStyle w:val="BodyText"/>
        <w:spacing w:before="216"/>
        <w:ind w:left="140" w:right="528"/>
        <w:jc w:val="both"/>
      </w:pPr>
      <w:r>
        <w:t xml:space="preserve">This </w:t>
      </w:r>
      <w:r w:rsidR="00FA1879">
        <w:t xml:space="preserve">MassHealth </w:t>
      </w:r>
      <w:r>
        <w:t>standing order is issued pursuant to M.G.L.</w:t>
      </w:r>
      <w:r w:rsidR="00FA1879">
        <w:t xml:space="preserve"> c. 118E, § 83</w:t>
      </w:r>
      <w:r w:rsidR="007D3E77">
        <w:t>,</w:t>
      </w:r>
      <w:r w:rsidR="00FA1879">
        <w:t xml:space="preserve"> which provides that </w:t>
      </w:r>
      <w:r w:rsidR="00FA1879" w:rsidRPr="00FA1879">
        <w:t xml:space="preserve">a </w:t>
      </w:r>
      <w:r w:rsidR="00FA1879">
        <w:t xml:space="preserve">qualified </w:t>
      </w:r>
      <w:r w:rsidR="00FA1879" w:rsidRPr="00FA1879">
        <w:t xml:space="preserve">practitioner designated by the assistant secretary for </w:t>
      </w:r>
      <w:r w:rsidR="00FA1879">
        <w:t>MassHealth</w:t>
      </w:r>
      <w:r w:rsidR="00FA1879" w:rsidRPr="00FA1879">
        <w:t xml:space="preserve"> may issue a standing order that may be used for a licensed pharmacist to dispense an </w:t>
      </w:r>
      <w:r w:rsidR="00FA1879">
        <w:t>over-the counter (</w:t>
      </w:r>
      <w:r w:rsidR="00FA1879" w:rsidRPr="00FA1879">
        <w:t>OTC</w:t>
      </w:r>
      <w:r w:rsidR="00FA1879">
        <w:t>)</w:t>
      </w:r>
      <w:r w:rsidR="00FA1879" w:rsidRPr="00FA1879">
        <w:t xml:space="preserve"> oral contraceptive to a MassHealth member or</w:t>
      </w:r>
      <w:r w:rsidR="00FA1879">
        <w:t xml:space="preserve"> Health Safety Net (</w:t>
      </w:r>
      <w:r w:rsidR="00FA1879" w:rsidRPr="00FA1879">
        <w:t>HSN</w:t>
      </w:r>
      <w:r w:rsidR="00FA1879">
        <w:t>)</w:t>
      </w:r>
      <w:r w:rsidR="00FA1879" w:rsidRPr="00FA1879">
        <w:t xml:space="preserve"> patient.</w:t>
      </w:r>
      <w:r w:rsidR="00FA1879">
        <w:t xml:space="preserve"> </w:t>
      </w:r>
      <w:r w:rsidR="00821D10">
        <w:t xml:space="preserve">This </w:t>
      </w:r>
      <w:r w:rsidR="00FA1879">
        <w:t xml:space="preserve">MassHealth </w:t>
      </w:r>
      <w:r w:rsidR="00821D10">
        <w:t>standing order authorizes licensed pharmacists to dispense over-the-counter oral hormonal contraceptives to any MassHealth member or HSN patient</w:t>
      </w:r>
      <w:r w:rsidR="002E11E3">
        <w:t xml:space="preserve"> who </w:t>
      </w:r>
      <w:r w:rsidR="00975542">
        <w:t>states that they are</w:t>
      </w:r>
      <w:r w:rsidR="00821D10">
        <w:t xml:space="preserve"> of reproductive potential and age</w:t>
      </w:r>
      <w:r w:rsidR="00316641">
        <w:t>.</w:t>
      </w:r>
    </w:p>
    <w:p w14:paraId="10B8AE6C" w14:textId="703901F3" w:rsidR="00F17494" w:rsidRDefault="00FA1879" w:rsidP="00F17494">
      <w:pPr>
        <w:pStyle w:val="BodyText"/>
        <w:spacing w:before="216"/>
        <w:ind w:left="140" w:right="528"/>
        <w:jc w:val="both"/>
      </w:pPr>
      <w:r>
        <w:t xml:space="preserve">M.G.L. c. 118E, § 83 </w:t>
      </w:r>
      <w:r w:rsidR="00F17494">
        <w:t xml:space="preserve">protects the </w:t>
      </w:r>
      <w:r>
        <w:t xml:space="preserve">practitioner </w:t>
      </w:r>
      <w:r w:rsidR="00F17494">
        <w:t xml:space="preserve">signing </w:t>
      </w:r>
      <w:r w:rsidR="005E549C">
        <w:t>this standing</w:t>
      </w:r>
      <w:r w:rsidR="00F17494">
        <w:t xml:space="preserve"> order, and all practitioners prescribing or dispensing OTC </w:t>
      </w:r>
      <w:r w:rsidR="00B65ADD">
        <w:t>oral hormonal contraceptives</w:t>
      </w:r>
      <w:r w:rsidR="00F17494">
        <w:t xml:space="preserve"> </w:t>
      </w:r>
      <w:r>
        <w:t>in good faith</w:t>
      </w:r>
      <w:r w:rsidR="42C22082">
        <w:t>,</w:t>
      </w:r>
      <w:r>
        <w:t xml:space="preserve"> </w:t>
      </w:r>
      <w:r w:rsidR="00F17494">
        <w:t>from criminal or civil liability or any professional disciplinary action</w:t>
      </w:r>
      <w:r>
        <w:t xml:space="preserve"> e</w:t>
      </w:r>
      <w:r w:rsidRPr="00FA1879">
        <w:t>xcept for gross negligence or willful misconduct</w:t>
      </w:r>
      <w:r w:rsidR="00F17494">
        <w:t>.</w:t>
      </w:r>
    </w:p>
    <w:p w14:paraId="6743162B" w14:textId="37BA5F5D" w:rsidR="008F5A91" w:rsidRDefault="008F5A91" w:rsidP="006743BC">
      <w:pPr>
        <w:pStyle w:val="Heading2"/>
      </w:pPr>
      <w:r>
        <w:t xml:space="preserve">For </w:t>
      </w:r>
      <w:r w:rsidR="006743BC">
        <w:t>O</w:t>
      </w:r>
      <w:r>
        <w:t xml:space="preserve">ral </w:t>
      </w:r>
      <w:r w:rsidR="006743BC" w:rsidRPr="006743BC">
        <w:t>A</w:t>
      </w:r>
      <w:r w:rsidRPr="006743BC">
        <w:t>dministration</w:t>
      </w:r>
    </w:p>
    <w:p w14:paraId="508239E0" w14:textId="77777777" w:rsidR="00251F9A" w:rsidRDefault="00251F9A" w:rsidP="00251F9A">
      <w:pPr>
        <w:pStyle w:val="BodyText"/>
        <w:numPr>
          <w:ilvl w:val="0"/>
          <w:numId w:val="1"/>
        </w:numPr>
        <w:spacing w:before="216"/>
        <w:ind w:right="528"/>
        <w:jc w:val="both"/>
      </w:pPr>
      <w:proofErr w:type="spellStart"/>
      <w:r>
        <w:rPr>
          <w:b/>
          <w:bCs/>
        </w:rPr>
        <w:t>Norgestrel</w:t>
      </w:r>
      <w:proofErr w:type="spellEnd"/>
      <w:r>
        <w:rPr>
          <w:b/>
          <w:bCs/>
        </w:rPr>
        <w:t xml:space="preserve"> 0.075 mg tablet</w:t>
      </w:r>
    </w:p>
    <w:p w14:paraId="2EF31640" w14:textId="208BAF13" w:rsidR="00251F9A" w:rsidRDefault="00251F9A" w:rsidP="00251F9A">
      <w:pPr>
        <w:pStyle w:val="BodyText"/>
        <w:spacing w:before="216"/>
        <w:ind w:left="864" w:right="533"/>
        <w:contextualSpacing/>
        <w:jc w:val="both"/>
      </w:pPr>
      <w:r>
        <w:t>Dispense</w:t>
      </w:r>
      <w:r w:rsidR="00AA5E35">
        <w:t xml:space="preserve"> </w:t>
      </w:r>
      <w:r>
        <w:t>up to 365</w:t>
      </w:r>
      <w:r w:rsidR="00A912C6">
        <w:t>-</w:t>
      </w:r>
      <w:r>
        <w:t>day supply</w:t>
      </w:r>
    </w:p>
    <w:p w14:paraId="02F56F9A" w14:textId="0BC7656F" w:rsidR="00251F9A" w:rsidRDefault="00251F9A" w:rsidP="00251F9A">
      <w:pPr>
        <w:pStyle w:val="BodyText"/>
        <w:spacing w:before="216"/>
        <w:ind w:left="864" w:right="533"/>
        <w:contextualSpacing/>
        <w:jc w:val="both"/>
      </w:pPr>
      <w:r>
        <w:t>Directions for use: Take one tablet by mouth at the same time every day</w:t>
      </w:r>
      <w:r w:rsidR="000828D5">
        <w:t xml:space="preserve"> </w:t>
      </w:r>
      <w:r w:rsidR="000828D5" w:rsidRPr="000828D5">
        <w:t xml:space="preserve">and no later than </w:t>
      </w:r>
      <w:r w:rsidR="007D3E77">
        <w:t>three</w:t>
      </w:r>
      <w:r w:rsidR="000828D5" w:rsidRPr="000828D5">
        <w:t xml:space="preserve"> hours following the time of the previous day’s dose</w:t>
      </w:r>
      <w:r>
        <w:t>. Administration is continuous, with no interruption between pill packs.</w:t>
      </w:r>
    </w:p>
    <w:p w14:paraId="236EFA68" w14:textId="7B8B1149" w:rsidR="008C7523" w:rsidRPr="00A72250" w:rsidRDefault="00A72250" w:rsidP="006743BC">
      <w:pPr>
        <w:pStyle w:val="Heading2"/>
      </w:pPr>
      <w:r>
        <w:t>Prescribing and Dispensing Protocol</w:t>
      </w:r>
    </w:p>
    <w:p w14:paraId="34C8ED7C" w14:textId="2123260B" w:rsidR="00251F9A" w:rsidRDefault="00251F9A">
      <w:pPr>
        <w:pStyle w:val="BodyText"/>
        <w:spacing w:before="216"/>
        <w:ind w:left="140" w:right="528"/>
        <w:jc w:val="both"/>
      </w:pPr>
      <w:r>
        <w:t>Pharmacists must follow the following protocol for dispensing OTC oral hormonal contraceptives</w:t>
      </w:r>
      <w:r w:rsidR="00FA1879">
        <w:t xml:space="preserve"> to MassHealth members and HSN patients</w:t>
      </w:r>
      <w:r w:rsidR="007D3E77">
        <w:t>.</w:t>
      </w:r>
    </w:p>
    <w:p w14:paraId="7F93E6B4" w14:textId="0B62590B" w:rsidR="00251F9A" w:rsidRDefault="0082587A" w:rsidP="00251F9A">
      <w:pPr>
        <w:pStyle w:val="BodyText"/>
        <w:numPr>
          <w:ilvl w:val="0"/>
          <w:numId w:val="4"/>
        </w:numPr>
        <w:spacing w:before="216"/>
        <w:ind w:right="533"/>
        <w:contextualSpacing/>
        <w:jc w:val="both"/>
      </w:pPr>
      <w:r>
        <w:t xml:space="preserve">Patient states they are </w:t>
      </w:r>
      <w:r w:rsidR="00251F9A">
        <w:t>of reproductive potential and age</w:t>
      </w:r>
    </w:p>
    <w:p w14:paraId="680688DD" w14:textId="2B8F99C3" w:rsidR="00251F9A" w:rsidRDefault="00251F9A" w:rsidP="00251F9A">
      <w:pPr>
        <w:pStyle w:val="BodyText"/>
        <w:numPr>
          <w:ilvl w:val="0"/>
          <w:numId w:val="4"/>
        </w:numPr>
        <w:spacing w:before="216"/>
        <w:ind w:right="533"/>
        <w:contextualSpacing/>
        <w:jc w:val="both"/>
      </w:pPr>
      <w:r>
        <w:t xml:space="preserve">Confirm selected OTC product is covered by </w:t>
      </w:r>
      <w:r w:rsidR="00FA1879">
        <w:t xml:space="preserve">MassHealth </w:t>
      </w:r>
      <w:r>
        <w:t>standing order as listed above</w:t>
      </w:r>
    </w:p>
    <w:p w14:paraId="27D41686" w14:textId="77777777" w:rsidR="00901722" w:rsidRDefault="00901722" w:rsidP="00901722">
      <w:pPr>
        <w:pStyle w:val="BodyText"/>
        <w:numPr>
          <w:ilvl w:val="0"/>
          <w:numId w:val="4"/>
        </w:numPr>
        <w:spacing w:before="216"/>
        <w:ind w:right="533"/>
        <w:contextualSpacing/>
        <w:jc w:val="both"/>
      </w:pPr>
      <w:r>
        <w:t>Review patient profile for drug-drug interactions</w:t>
      </w:r>
    </w:p>
    <w:p w14:paraId="5DBD81B1" w14:textId="7A983A33" w:rsidR="00251F9A" w:rsidRDefault="008F7789" w:rsidP="00251F9A">
      <w:pPr>
        <w:pStyle w:val="BodyText"/>
        <w:numPr>
          <w:ilvl w:val="0"/>
          <w:numId w:val="4"/>
        </w:numPr>
        <w:spacing w:before="216"/>
        <w:ind w:right="533"/>
        <w:contextualSpacing/>
        <w:jc w:val="both"/>
      </w:pPr>
      <w:r>
        <w:t xml:space="preserve">Counsel </w:t>
      </w:r>
      <w:r w:rsidR="00901722">
        <w:t xml:space="preserve">patient </w:t>
      </w:r>
      <w:r>
        <w:t xml:space="preserve">on </w:t>
      </w:r>
      <w:r w:rsidR="00251F9A">
        <w:t>the following</w:t>
      </w:r>
      <w:r w:rsidR="00CD0920">
        <w:t xml:space="preserve"> contraindications</w:t>
      </w:r>
      <w:r w:rsidR="007D3E77">
        <w:t>.</w:t>
      </w:r>
    </w:p>
    <w:p w14:paraId="4A25435C" w14:textId="77777777" w:rsidR="00251F9A" w:rsidRDefault="00251F9A" w:rsidP="00251F9A">
      <w:pPr>
        <w:pStyle w:val="BodyText"/>
        <w:numPr>
          <w:ilvl w:val="1"/>
          <w:numId w:val="4"/>
        </w:numPr>
        <w:spacing w:before="216"/>
        <w:ind w:right="533"/>
        <w:contextualSpacing/>
        <w:jc w:val="both"/>
      </w:pPr>
      <w:r>
        <w:t>Known or suspected pregnancy</w:t>
      </w:r>
    </w:p>
    <w:p w14:paraId="1295F505" w14:textId="77777777" w:rsidR="00251F9A" w:rsidRDefault="00251F9A" w:rsidP="00251F9A">
      <w:pPr>
        <w:pStyle w:val="BodyText"/>
        <w:numPr>
          <w:ilvl w:val="1"/>
          <w:numId w:val="4"/>
        </w:numPr>
        <w:spacing w:before="216"/>
        <w:ind w:right="533"/>
        <w:contextualSpacing/>
        <w:jc w:val="both"/>
      </w:pPr>
      <w:r>
        <w:t>Known or suspected breast cancer or other progestin-sensitive cancer now or in the past</w:t>
      </w:r>
    </w:p>
    <w:p w14:paraId="1DE57711" w14:textId="77777777" w:rsidR="00251F9A" w:rsidRDefault="00251F9A" w:rsidP="00251F9A">
      <w:pPr>
        <w:pStyle w:val="BodyText"/>
        <w:numPr>
          <w:ilvl w:val="1"/>
          <w:numId w:val="4"/>
        </w:numPr>
        <w:spacing w:before="216"/>
        <w:ind w:right="533"/>
        <w:contextualSpacing/>
        <w:jc w:val="both"/>
      </w:pPr>
      <w:r>
        <w:t>Undiagnosed abnormal uterine bleeding</w:t>
      </w:r>
    </w:p>
    <w:p w14:paraId="07158E23" w14:textId="77777777" w:rsidR="00251F9A" w:rsidRDefault="00251F9A" w:rsidP="00251F9A">
      <w:pPr>
        <w:pStyle w:val="BodyText"/>
        <w:numPr>
          <w:ilvl w:val="1"/>
          <w:numId w:val="4"/>
        </w:numPr>
        <w:spacing w:before="216"/>
        <w:ind w:right="533"/>
        <w:contextualSpacing/>
        <w:jc w:val="both"/>
      </w:pPr>
      <w:r>
        <w:t>Hypersensitivity/allergy to any component of the product</w:t>
      </w:r>
    </w:p>
    <w:p w14:paraId="60FA88B7" w14:textId="77777777" w:rsidR="00251F9A" w:rsidRDefault="00251F9A" w:rsidP="00251F9A">
      <w:pPr>
        <w:pStyle w:val="BodyText"/>
        <w:numPr>
          <w:ilvl w:val="1"/>
          <w:numId w:val="4"/>
        </w:numPr>
        <w:spacing w:before="216"/>
        <w:ind w:right="533"/>
        <w:contextualSpacing/>
        <w:jc w:val="both"/>
      </w:pPr>
      <w:r>
        <w:t>Benign or malignant liver tumors</w:t>
      </w:r>
    </w:p>
    <w:p w14:paraId="065BB092" w14:textId="77777777" w:rsidR="00251F9A" w:rsidRDefault="00251F9A" w:rsidP="00251F9A">
      <w:pPr>
        <w:pStyle w:val="BodyText"/>
        <w:numPr>
          <w:ilvl w:val="1"/>
          <w:numId w:val="4"/>
        </w:numPr>
        <w:spacing w:before="216"/>
        <w:ind w:right="533"/>
        <w:contextualSpacing/>
        <w:jc w:val="both"/>
      </w:pPr>
      <w:r>
        <w:t>Acute liver disease</w:t>
      </w:r>
    </w:p>
    <w:p w14:paraId="3FEC6695" w14:textId="61ED21BB" w:rsidR="004E6CCD" w:rsidRDefault="004E6CCD" w:rsidP="00CD0920">
      <w:pPr>
        <w:pStyle w:val="BodyText"/>
        <w:numPr>
          <w:ilvl w:val="0"/>
          <w:numId w:val="4"/>
        </w:numPr>
        <w:spacing w:before="216"/>
        <w:ind w:right="533"/>
        <w:contextualSpacing/>
        <w:jc w:val="both"/>
      </w:pPr>
      <w:r>
        <w:t>Counsel patient on proper use/administration</w:t>
      </w:r>
      <w:r w:rsidR="007D3E77">
        <w:t>,</w:t>
      </w:r>
      <w:r>
        <w:t xml:space="preserve"> including the following</w:t>
      </w:r>
      <w:r w:rsidR="007D3E77">
        <w:t>.</w:t>
      </w:r>
    </w:p>
    <w:p w14:paraId="29F17348" w14:textId="3FF1B165" w:rsidR="004E6CCD" w:rsidRDefault="00AD631C" w:rsidP="004E6CCD">
      <w:pPr>
        <w:pStyle w:val="BodyText"/>
        <w:numPr>
          <w:ilvl w:val="1"/>
          <w:numId w:val="4"/>
        </w:numPr>
        <w:spacing w:before="216"/>
        <w:ind w:right="533"/>
        <w:contextualSpacing/>
        <w:jc w:val="both"/>
      </w:pPr>
      <w:r>
        <w:t xml:space="preserve">OTC oral hormonal contraceptives should not be used for </w:t>
      </w:r>
      <w:r w:rsidR="003E4702">
        <w:t>emergency contracepti</w:t>
      </w:r>
      <w:r w:rsidR="00445E6D">
        <w:t>on</w:t>
      </w:r>
      <w:r w:rsidR="003E4702">
        <w:t xml:space="preserve"> and should not be taken to try and prevent pregnancy after unprotected sex</w:t>
      </w:r>
      <w:r w:rsidR="003C3A4C">
        <w:t>.</w:t>
      </w:r>
    </w:p>
    <w:p w14:paraId="7F48BEFA" w14:textId="6133F280" w:rsidR="003E4702" w:rsidRDefault="003E4702" w:rsidP="004E6CCD">
      <w:pPr>
        <w:pStyle w:val="BodyText"/>
        <w:numPr>
          <w:ilvl w:val="1"/>
          <w:numId w:val="4"/>
        </w:numPr>
        <w:spacing w:before="216"/>
        <w:ind w:right="533"/>
        <w:contextualSpacing/>
        <w:jc w:val="both"/>
      </w:pPr>
      <w:r>
        <w:t>OTC oral hormonal contraceptives do not protect against HIV/AIDS or other sexually transmitted infections</w:t>
      </w:r>
      <w:r w:rsidR="007D3E77">
        <w:t>. B</w:t>
      </w:r>
      <w:r w:rsidR="00D40FF5">
        <w:t xml:space="preserve">arrier methods such as condoms </w:t>
      </w:r>
      <w:r w:rsidR="007D3E77">
        <w:t xml:space="preserve">should be used </w:t>
      </w:r>
      <w:r w:rsidR="00D40FF5">
        <w:t>for protection</w:t>
      </w:r>
      <w:r w:rsidR="000E7F21">
        <w:t>.</w:t>
      </w:r>
    </w:p>
    <w:p w14:paraId="2840E309" w14:textId="03CCD76F" w:rsidR="00D40FF5" w:rsidRDefault="00F463BD" w:rsidP="004E6CCD">
      <w:pPr>
        <w:pStyle w:val="BodyText"/>
        <w:numPr>
          <w:ilvl w:val="1"/>
          <w:numId w:val="4"/>
        </w:numPr>
        <w:spacing w:before="216"/>
        <w:ind w:right="533"/>
        <w:contextualSpacing/>
        <w:jc w:val="both"/>
      </w:pPr>
      <w:r>
        <w:t>A condom or other barrier method should be used during the first 48 hours after starting OTC oral hormonal contraceptives</w:t>
      </w:r>
      <w:r w:rsidR="000E7F21">
        <w:t>.</w:t>
      </w:r>
    </w:p>
    <w:p w14:paraId="575D90C3" w14:textId="57FBF3B3" w:rsidR="00F463BD" w:rsidRDefault="008E07FA" w:rsidP="004E6CCD">
      <w:pPr>
        <w:pStyle w:val="BodyText"/>
        <w:numPr>
          <w:ilvl w:val="1"/>
          <w:numId w:val="4"/>
        </w:numPr>
        <w:spacing w:before="216"/>
        <w:ind w:right="533"/>
        <w:contextualSpacing/>
        <w:jc w:val="both"/>
      </w:pPr>
      <w:r>
        <w:t>Remind individuals o</w:t>
      </w:r>
      <w:r w:rsidR="00AD5D29">
        <w:t>f</w:t>
      </w:r>
      <w:r>
        <w:t xml:space="preserve"> the importance of taking their OTC oral hormonal contraceptive at the same time every day and no later than </w:t>
      </w:r>
      <w:r w:rsidR="007D3E77">
        <w:t>three</w:t>
      </w:r>
      <w:r>
        <w:t xml:space="preserve"> hours following the time of the previous </w:t>
      </w:r>
      <w:r w:rsidR="000E7F21">
        <w:t>day’s dose.</w:t>
      </w:r>
    </w:p>
    <w:p w14:paraId="6F18391B" w14:textId="252C68AD" w:rsidR="000E7F21" w:rsidRDefault="00CF7BCB" w:rsidP="004E6CCD">
      <w:pPr>
        <w:pStyle w:val="BodyText"/>
        <w:numPr>
          <w:ilvl w:val="1"/>
          <w:numId w:val="4"/>
        </w:numPr>
        <w:spacing w:before="216"/>
        <w:ind w:right="533"/>
        <w:contextualSpacing/>
        <w:jc w:val="both"/>
      </w:pPr>
      <w:r>
        <w:t xml:space="preserve">Individuals should review the </w:t>
      </w:r>
      <w:r w:rsidR="00AD3648">
        <w:t>patient instructions provided with the OTC oral hormonal contraceptive</w:t>
      </w:r>
    </w:p>
    <w:p w14:paraId="7CBD9D55" w14:textId="3CA80F0D" w:rsidR="00AD3648" w:rsidRDefault="005B3BDF" w:rsidP="00AD3648">
      <w:pPr>
        <w:pStyle w:val="BodyText"/>
        <w:numPr>
          <w:ilvl w:val="0"/>
          <w:numId w:val="4"/>
        </w:numPr>
        <w:spacing w:before="216"/>
        <w:ind w:right="533"/>
        <w:contextualSpacing/>
        <w:jc w:val="both"/>
      </w:pPr>
      <w:r>
        <w:t xml:space="preserve">Counsel patient that side effects may include changes in menstrual periods (bleeding), </w:t>
      </w:r>
      <w:r w:rsidR="00BE147D">
        <w:t>headaches, dizziness, nausea, increased appetite, abdominal pain, cramps, or bloating.</w:t>
      </w:r>
    </w:p>
    <w:p w14:paraId="01845752" w14:textId="66C45A74" w:rsidR="00BE147D" w:rsidRDefault="00BE147D" w:rsidP="00AD3648">
      <w:pPr>
        <w:pStyle w:val="BodyText"/>
        <w:numPr>
          <w:ilvl w:val="0"/>
          <w:numId w:val="4"/>
        </w:numPr>
        <w:spacing w:before="216"/>
        <w:ind w:right="533"/>
        <w:contextualSpacing/>
        <w:jc w:val="both"/>
      </w:pPr>
      <w:r>
        <w:t>Advise the patient to follow up and consult with their primary care physician or obstet</w:t>
      </w:r>
      <w:r w:rsidR="005C426E">
        <w:t>rician/gynecologist.</w:t>
      </w:r>
    </w:p>
    <w:p w14:paraId="3666FA37" w14:textId="5B53605A" w:rsidR="00BA5A32" w:rsidRDefault="00BA5A32" w:rsidP="00D1476B">
      <w:pPr>
        <w:pStyle w:val="BodyText"/>
        <w:spacing w:before="216"/>
        <w:ind w:right="533"/>
        <w:contextualSpacing/>
        <w:jc w:val="both"/>
      </w:pPr>
    </w:p>
    <w:p w14:paraId="61D550B6" w14:textId="37395184" w:rsidR="00A21B71" w:rsidRDefault="00A21B71" w:rsidP="00251F9A">
      <w:pPr>
        <w:pStyle w:val="BodyText"/>
        <w:spacing w:before="216"/>
        <w:ind w:right="533"/>
        <w:contextualSpacing/>
        <w:jc w:val="both"/>
      </w:pPr>
    </w:p>
    <w:p w14:paraId="6AB60E2D" w14:textId="26C263FB" w:rsidR="00D87AFA" w:rsidRDefault="00553B87" w:rsidP="00553B87">
      <w:pPr>
        <w:pStyle w:val="BodyText"/>
        <w:spacing w:before="216"/>
        <w:ind w:right="533"/>
        <w:contextualSpacing/>
        <w:jc w:val="both"/>
      </w:pPr>
      <w:r>
        <w:t>Records of dispensing must be maintained in the patient profile of the pharmacy dispensing system.</w:t>
      </w:r>
    </w:p>
    <w:p w14:paraId="5107EE03" w14:textId="2CF8FB89" w:rsidR="00F17494" w:rsidRDefault="00A2211E">
      <w:pPr>
        <w:pStyle w:val="BodyText"/>
        <w:spacing w:before="216"/>
        <w:ind w:left="140" w:right="528"/>
        <w:jc w:val="both"/>
      </w:pPr>
      <w:r w:rsidRPr="00A2211E">
        <w:rPr>
          <w:noProof/>
        </w:rPr>
        <w:drawing>
          <wp:anchor distT="0" distB="0" distL="114300" distR="114300" simplePos="0" relativeHeight="251658240" behindDoc="0" locked="0" layoutInCell="1" allowOverlap="1" wp14:anchorId="4DDC6058" wp14:editId="0C35B494">
            <wp:simplePos x="0" y="0"/>
            <wp:positionH relativeFrom="column">
              <wp:posOffset>395025</wp:posOffset>
            </wp:positionH>
            <wp:positionV relativeFrom="paragraph">
              <wp:posOffset>128242</wp:posOffset>
            </wp:positionV>
            <wp:extent cx="978011" cy="711160"/>
            <wp:effectExtent l="0" t="0" r="0" b="0"/>
            <wp:wrapNone/>
            <wp:docPr id="569711848" name="Picture 2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11848" name="Picture 2" descr="A pair of glass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29" cy="71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8EC82" w14:textId="7265337D" w:rsidR="00A2211E" w:rsidRPr="00A2211E" w:rsidRDefault="00A2211E" w:rsidP="00A2211E">
      <w:pPr>
        <w:pStyle w:val="BodyText"/>
        <w:pBdr>
          <w:bottom w:val="single" w:sz="12" w:space="1" w:color="auto"/>
        </w:pBdr>
        <w:spacing w:before="216"/>
        <w:ind w:left="140" w:right="528"/>
        <w:jc w:val="both"/>
      </w:pPr>
    </w:p>
    <w:p w14:paraId="7FF99B47" w14:textId="205D37F3" w:rsidR="00B1274D" w:rsidRPr="00F21027" w:rsidRDefault="00A2211E">
      <w:pPr>
        <w:pStyle w:val="BodyText"/>
        <w:pBdr>
          <w:bottom w:val="single" w:sz="12" w:space="1" w:color="auto"/>
        </w:pBdr>
        <w:spacing w:before="216"/>
        <w:ind w:left="140" w:right="528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1027">
        <w:rPr>
          <w:sz w:val="20"/>
          <w:szCs w:val="20"/>
        </w:rPr>
        <w:t>January 27, 2025</w:t>
      </w:r>
    </w:p>
    <w:p w14:paraId="5C4285DF" w14:textId="6E03B068" w:rsidR="00D1476B" w:rsidRPr="00D1476B" w:rsidRDefault="00D1476B">
      <w:pPr>
        <w:pStyle w:val="BodyText"/>
        <w:spacing w:after="1"/>
        <w:rPr>
          <w:b/>
          <w:bCs/>
        </w:rPr>
      </w:pPr>
      <w:r>
        <w:t xml:space="preserve">   </w:t>
      </w:r>
      <w:r>
        <w:rPr>
          <w:b/>
          <w:bCs/>
        </w:rPr>
        <w:t>Physician Signature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</w:t>
      </w:r>
    </w:p>
    <w:p w14:paraId="0B9EBE05" w14:textId="77777777" w:rsidR="00435164" w:rsidRDefault="00435164">
      <w:pPr>
        <w:pStyle w:val="BodyText"/>
        <w:spacing w:before="1"/>
      </w:pPr>
    </w:p>
    <w:p w14:paraId="37853CD5" w14:textId="77777777" w:rsidR="00435164" w:rsidRDefault="00435164">
      <w:pPr>
        <w:jc w:val="both"/>
      </w:pPr>
    </w:p>
    <w:p w14:paraId="401003F4" w14:textId="4EAF6F9D" w:rsidR="00D1476B" w:rsidRPr="00F21027" w:rsidRDefault="00A2211E" w:rsidP="00D1476B">
      <w:pPr>
        <w:pStyle w:val="BodyText"/>
        <w:pBdr>
          <w:bottom w:val="single" w:sz="12" w:space="1" w:color="auto"/>
        </w:pBdr>
        <w:spacing w:before="216"/>
        <w:ind w:left="140" w:right="528"/>
        <w:jc w:val="both"/>
        <w:rPr>
          <w:sz w:val="20"/>
          <w:szCs w:val="20"/>
        </w:rPr>
      </w:pPr>
      <w:r w:rsidRPr="00F21027">
        <w:rPr>
          <w:sz w:val="20"/>
          <w:szCs w:val="20"/>
        </w:rPr>
        <w:t>Viveka Prakash-Zawisza, MD, MS, MBA, FACOG</w:t>
      </w:r>
      <w:r w:rsidR="0094022A">
        <w:rPr>
          <w:sz w:val="20"/>
          <w:szCs w:val="20"/>
        </w:rPr>
        <w:t xml:space="preserve">                     MA </w:t>
      </w:r>
      <w:r w:rsidR="0094022A" w:rsidRPr="00F21027">
        <w:rPr>
          <w:sz w:val="20"/>
          <w:szCs w:val="20"/>
        </w:rPr>
        <w:t>250333</w:t>
      </w:r>
    </w:p>
    <w:p w14:paraId="082057E5" w14:textId="77777777" w:rsidR="00D1476B" w:rsidRDefault="00D1476B" w:rsidP="00D1476B">
      <w:pPr>
        <w:pStyle w:val="BodyText"/>
        <w:spacing w:after="1"/>
        <w:rPr>
          <w:b/>
          <w:bCs/>
        </w:rPr>
      </w:pPr>
      <w:r>
        <w:t xml:space="preserve">   </w:t>
      </w:r>
      <w:r>
        <w:rPr>
          <w:b/>
          <w:bCs/>
        </w:rPr>
        <w:t>Physician’s Name and MA License No.</w:t>
      </w:r>
    </w:p>
    <w:p w14:paraId="22A59B72" w14:textId="77777777" w:rsidR="00D1476B" w:rsidRDefault="00D1476B" w:rsidP="00D1476B">
      <w:pPr>
        <w:pStyle w:val="BodyText"/>
        <w:spacing w:after="1"/>
        <w:rPr>
          <w:b/>
          <w:bCs/>
        </w:rPr>
      </w:pPr>
    </w:p>
    <w:p w14:paraId="028459B0" w14:textId="77777777" w:rsidR="00D1476B" w:rsidRDefault="00D1476B" w:rsidP="00D1476B">
      <w:pPr>
        <w:pStyle w:val="BodyText"/>
        <w:spacing w:after="1"/>
        <w:rPr>
          <w:b/>
          <w:bCs/>
        </w:rPr>
      </w:pPr>
    </w:p>
    <w:p w14:paraId="0406EC20" w14:textId="4EA6915C" w:rsidR="00D1476B" w:rsidRPr="00E86843" w:rsidRDefault="00D1476B" w:rsidP="00E86843">
      <w:pPr>
        <w:pStyle w:val="BodyText"/>
        <w:spacing w:after="1"/>
        <w:rPr>
          <w:b/>
          <w:bCs/>
        </w:rPr>
        <w:sectPr w:rsidR="00D1476B" w:rsidRPr="00E86843" w:rsidSect="00E74243">
          <w:headerReference w:type="default" r:id="rId9"/>
          <w:type w:val="continuous"/>
          <w:pgSz w:w="12240" w:h="15800"/>
          <w:pgMar w:top="1000" w:right="580" w:bottom="280" w:left="580" w:header="720" w:footer="720" w:gutter="0"/>
          <w:cols w:space="720"/>
          <w:docGrid w:linePitch="299"/>
        </w:sectPr>
      </w:pPr>
    </w:p>
    <w:p w14:paraId="22192690" w14:textId="6C71ACCB" w:rsidR="001728CB" w:rsidRDefault="00B91EC8" w:rsidP="00E86843">
      <w:pPr>
        <w:pStyle w:val="BodyText"/>
        <w:rPr>
          <w:noProof/>
        </w:rPr>
      </w:pPr>
      <w:r>
        <w:rPr>
          <w:noProof/>
        </w:rPr>
        <w:lastRenderedPageBreak/>
        <w:drawing>
          <wp:inline distT="0" distB="0" distL="0" distR="0" wp14:anchorId="797580AE" wp14:editId="00527702">
            <wp:extent cx="6510500" cy="7913077"/>
            <wp:effectExtent l="0" t="0" r="5080" b="0"/>
            <wp:docPr id="1202019682" name="Picture 1" descr="This flow chart describes the process a pharmacist must follow before dispensing over-the-counter oral hormonal contraceptives to MassHealth members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19682" name="Picture 1" descr="This flow chart describes the process a pharmacist must follow before dispensing over-the-counter oral hormonal contraceptives to MassHealth members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3626" cy="792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74868" w14:textId="77777777" w:rsidR="00CE7F45" w:rsidRDefault="00CE7F45" w:rsidP="00CE7F45"/>
    <w:p w14:paraId="5C165CA7" w14:textId="77777777" w:rsidR="00CE7F45" w:rsidRDefault="00CE7F45" w:rsidP="00CE7F45"/>
    <w:p w14:paraId="0B99DD85" w14:textId="77777777" w:rsidR="00CE7F45" w:rsidRDefault="00CE7F45" w:rsidP="00CE7F45"/>
    <w:p w14:paraId="42BE4120" w14:textId="560CC142" w:rsidR="00CE7F45" w:rsidRDefault="00B65740" w:rsidP="00CE7F45">
      <w:r>
        <w:t>Reference</w:t>
      </w:r>
    </w:p>
    <w:p w14:paraId="544FD235" w14:textId="77777777" w:rsidR="00B65740" w:rsidRPr="00CE7F45" w:rsidRDefault="00B65740" w:rsidP="00CE7F45"/>
    <w:p w14:paraId="01C60ADD" w14:textId="20037669" w:rsidR="00CE7F45" w:rsidRPr="00CE7F45" w:rsidRDefault="00CE7F45" w:rsidP="00CE7F45">
      <w:pPr>
        <w:numPr>
          <w:ilvl w:val="0"/>
          <w:numId w:val="5"/>
        </w:numPr>
      </w:pPr>
      <w:proofErr w:type="spellStart"/>
      <w:r w:rsidRPr="00CE7F45">
        <w:t>Opill</w:t>
      </w:r>
      <w:proofErr w:type="spellEnd"/>
      <w:r w:rsidRPr="00CE7F45">
        <w:t xml:space="preserve">® [consumer information leaflet on the internet]. Allegan (MI): Perrigo; 2023. [cited 2025 Jan 24]. Available from: </w:t>
      </w:r>
      <w:hyperlink r:id="rId11" w:history="1">
        <w:r w:rsidRPr="00CE7F45">
          <w:rPr>
            <w:rStyle w:val="Hyperlink"/>
          </w:rPr>
          <w:t>https://cdn.shopify.com/s/files/1/0753/6653/1352/files/Consumer_Information_Leaflet.pdf?v=1709218835</w:t>
        </w:r>
      </w:hyperlink>
    </w:p>
    <w:sectPr w:rsidR="00CE7F45" w:rsidRPr="00CE7F45">
      <w:pgSz w:w="12240" w:h="15800"/>
      <w:pgMar w:top="100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D1B1" w14:textId="77777777" w:rsidR="00F83719" w:rsidRDefault="00F83719" w:rsidP="00B51250">
      <w:r>
        <w:separator/>
      </w:r>
    </w:p>
  </w:endnote>
  <w:endnote w:type="continuationSeparator" w:id="0">
    <w:p w14:paraId="34B79541" w14:textId="77777777" w:rsidR="00F83719" w:rsidRDefault="00F83719" w:rsidP="00B51250">
      <w:r>
        <w:continuationSeparator/>
      </w:r>
    </w:p>
  </w:endnote>
  <w:endnote w:type="continuationNotice" w:id="1">
    <w:p w14:paraId="65B10280" w14:textId="77777777" w:rsidR="00F83719" w:rsidRDefault="00F83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9C1F" w14:textId="77777777" w:rsidR="00F83719" w:rsidRDefault="00F83719" w:rsidP="00B51250">
      <w:r>
        <w:separator/>
      </w:r>
    </w:p>
  </w:footnote>
  <w:footnote w:type="continuationSeparator" w:id="0">
    <w:p w14:paraId="02019DAE" w14:textId="77777777" w:rsidR="00F83719" w:rsidRDefault="00F83719" w:rsidP="00B51250">
      <w:r>
        <w:continuationSeparator/>
      </w:r>
    </w:p>
  </w:footnote>
  <w:footnote w:type="continuationNotice" w:id="1">
    <w:p w14:paraId="1EFF996F" w14:textId="77777777" w:rsidR="00F83719" w:rsidRDefault="00F83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9354" w14:textId="3161ABE1" w:rsidR="00D57F51" w:rsidRDefault="00E74243" w:rsidP="00691545">
    <w:pPr>
      <w:pStyle w:val="Header"/>
      <w:jc w:val="center"/>
    </w:pPr>
    <w:r>
      <w:rPr>
        <w:noProof/>
        <w:color w:val="1F497D" w:themeColor="text2"/>
      </w:rPr>
      <w:drawing>
        <wp:anchor distT="0" distB="0" distL="114300" distR="114300" simplePos="0" relativeHeight="251657216" behindDoc="0" locked="0" layoutInCell="1" allowOverlap="1" wp14:anchorId="13583706" wp14:editId="6A37C7CD">
          <wp:simplePos x="0" y="0"/>
          <wp:positionH relativeFrom="column">
            <wp:posOffset>3086100</wp:posOffset>
          </wp:positionH>
          <wp:positionV relativeFrom="paragraph">
            <wp:posOffset>-342900</wp:posOffset>
          </wp:positionV>
          <wp:extent cx="1174115" cy="621665"/>
          <wp:effectExtent l="0" t="0" r="6985" b="6985"/>
          <wp:wrapNone/>
          <wp:docPr id="1539920733" name="Picture 1539920733" descr="MassHealth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920733" name="Picture 1539920733" descr="MassHealth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5188"/>
    <w:multiLevelType w:val="hybridMultilevel"/>
    <w:tmpl w:val="2F6E0E64"/>
    <w:lvl w:ilvl="0" w:tplc="0409000F">
      <w:start w:val="1"/>
      <w:numFmt w:val="decimal"/>
      <w:lvlText w:val="%1."/>
      <w:lvlJc w:val="left"/>
      <w:pPr>
        <w:ind w:left="831" w:hanging="360"/>
      </w:p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44193196"/>
    <w:multiLevelType w:val="hybridMultilevel"/>
    <w:tmpl w:val="1060AED6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5FE52621"/>
    <w:multiLevelType w:val="hybridMultilevel"/>
    <w:tmpl w:val="EE14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00BD7"/>
    <w:multiLevelType w:val="multilevel"/>
    <w:tmpl w:val="C0C2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264280"/>
    <w:multiLevelType w:val="hybridMultilevel"/>
    <w:tmpl w:val="E8406FA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724912510">
    <w:abstractNumId w:val="4"/>
  </w:num>
  <w:num w:numId="2" w16cid:durableId="614022602">
    <w:abstractNumId w:val="0"/>
  </w:num>
  <w:num w:numId="3" w16cid:durableId="1856117113">
    <w:abstractNumId w:val="2"/>
  </w:num>
  <w:num w:numId="4" w16cid:durableId="887689481">
    <w:abstractNumId w:val="1"/>
  </w:num>
  <w:num w:numId="5" w16cid:durableId="193424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64"/>
    <w:rsid w:val="000059BC"/>
    <w:rsid w:val="000219A2"/>
    <w:rsid w:val="00036671"/>
    <w:rsid w:val="00040A9A"/>
    <w:rsid w:val="000416B6"/>
    <w:rsid w:val="00047051"/>
    <w:rsid w:val="00072A90"/>
    <w:rsid w:val="000828D5"/>
    <w:rsid w:val="000C6EF9"/>
    <w:rsid w:val="000E2040"/>
    <w:rsid w:val="000E7F21"/>
    <w:rsid w:val="00100065"/>
    <w:rsid w:val="001021A2"/>
    <w:rsid w:val="00105F0F"/>
    <w:rsid w:val="001427CE"/>
    <w:rsid w:val="0014288C"/>
    <w:rsid w:val="00143BA2"/>
    <w:rsid w:val="0016107A"/>
    <w:rsid w:val="00167E3F"/>
    <w:rsid w:val="001728CB"/>
    <w:rsid w:val="001770F7"/>
    <w:rsid w:val="0017782E"/>
    <w:rsid w:val="00181E5D"/>
    <w:rsid w:val="001B2341"/>
    <w:rsid w:val="001B40CA"/>
    <w:rsid w:val="001C0544"/>
    <w:rsid w:val="001C24F5"/>
    <w:rsid w:val="001D60C5"/>
    <w:rsid w:val="001E7452"/>
    <w:rsid w:val="001F21A7"/>
    <w:rsid w:val="00213136"/>
    <w:rsid w:val="00225625"/>
    <w:rsid w:val="00251F9A"/>
    <w:rsid w:val="00262F2B"/>
    <w:rsid w:val="002640D8"/>
    <w:rsid w:val="00264DEF"/>
    <w:rsid w:val="00275E2F"/>
    <w:rsid w:val="0028244E"/>
    <w:rsid w:val="00282682"/>
    <w:rsid w:val="002E0F56"/>
    <w:rsid w:val="002E11E3"/>
    <w:rsid w:val="002F011C"/>
    <w:rsid w:val="003030E3"/>
    <w:rsid w:val="00313137"/>
    <w:rsid w:val="00316641"/>
    <w:rsid w:val="00324E65"/>
    <w:rsid w:val="003268F3"/>
    <w:rsid w:val="00350D64"/>
    <w:rsid w:val="003922EE"/>
    <w:rsid w:val="003976F5"/>
    <w:rsid w:val="003A2564"/>
    <w:rsid w:val="003B6ED2"/>
    <w:rsid w:val="003C3A4C"/>
    <w:rsid w:val="003D5AF0"/>
    <w:rsid w:val="003E4702"/>
    <w:rsid w:val="003F0717"/>
    <w:rsid w:val="00407A3D"/>
    <w:rsid w:val="00416502"/>
    <w:rsid w:val="00435164"/>
    <w:rsid w:val="004401F8"/>
    <w:rsid w:val="004433D9"/>
    <w:rsid w:val="00445E6D"/>
    <w:rsid w:val="0045114A"/>
    <w:rsid w:val="004856BB"/>
    <w:rsid w:val="004A13ED"/>
    <w:rsid w:val="004B3AC9"/>
    <w:rsid w:val="004E6CCD"/>
    <w:rsid w:val="004F66FE"/>
    <w:rsid w:val="005033A5"/>
    <w:rsid w:val="0050601B"/>
    <w:rsid w:val="005370C3"/>
    <w:rsid w:val="00545EC6"/>
    <w:rsid w:val="00553B87"/>
    <w:rsid w:val="0055545B"/>
    <w:rsid w:val="00576E11"/>
    <w:rsid w:val="005B1B72"/>
    <w:rsid w:val="005B3BDF"/>
    <w:rsid w:val="005C426E"/>
    <w:rsid w:val="005E549C"/>
    <w:rsid w:val="005E6638"/>
    <w:rsid w:val="005F4E7D"/>
    <w:rsid w:val="006251A6"/>
    <w:rsid w:val="00632BF5"/>
    <w:rsid w:val="00665D31"/>
    <w:rsid w:val="0067146A"/>
    <w:rsid w:val="006743BC"/>
    <w:rsid w:val="00681C6F"/>
    <w:rsid w:val="00691545"/>
    <w:rsid w:val="00694D2D"/>
    <w:rsid w:val="006A7BE1"/>
    <w:rsid w:val="006B1A66"/>
    <w:rsid w:val="006C3439"/>
    <w:rsid w:val="006E102D"/>
    <w:rsid w:val="006E6268"/>
    <w:rsid w:val="00700DB4"/>
    <w:rsid w:val="00707160"/>
    <w:rsid w:val="007134E6"/>
    <w:rsid w:val="00714AFD"/>
    <w:rsid w:val="00737154"/>
    <w:rsid w:val="00762654"/>
    <w:rsid w:val="00775B02"/>
    <w:rsid w:val="00786EB9"/>
    <w:rsid w:val="007B54F6"/>
    <w:rsid w:val="007C7B36"/>
    <w:rsid w:val="007D28C5"/>
    <w:rsid w:val="007D3E77"/>
    <w:rsid w:val="007D6578"/>
    <w:rsid w:val="007F10A5"/>
    <w:rsid w:val="00821D10"/>
    <w:rsid w:val="0082587A"/>
    <w:rsid w:val="00851D33"/>
    <w:rsid w:val="00885DC3"/>
    <w:rsid w:val="00894B14"/>
    <w:rsid w:val="008B08EF"/>
    <w:rsid w:val="008C5156"/>
    <w:rsid w:val="008C7523"/>
    <w:rsid w:val="008E07FA"/>
    <w:rsid w:val="008F2F54"/>
    <w:rsid w:val="008F3861"/>
    <w:rsid w:val="008F5A91"/>
    <w:rsid w:val="008F7789"/>
    <w:rsid w:val="0090098E"/>
    <w:rsid w:val="00901722"/>
    <w:rsid w:val="00902E25"/>
    <w:rsid w:val="00911AE2"/>
    <w:rsid w:val="0094022A"/>
    <w:rsid w:val="00962008"/>
    <w:rsid w:val="0096762C"/>
    <w:rsid w:val="00974588"/>
    <w:rsid w:val="00975542"/>
    <w:rsid w:val="009916DF"/>
    <w:rsid w:val="00994AB4"/>
    <w:rsid w:val="009D7C2A"/>
    <w:rsid w:val="009F7C51"/>
    <w:rsid w:val="00A15C0A"/>
    <w:rsid w:val="00A21B71"/>
    <w:rsid w:val="00A2211E"/>
    <w:rsid w:val="00A30B0E"/>
    <w:rsid w:val="00A60409"/>
    <w:rsid w:val="00A72250"/>
    <w:rsid w:val="00A74FEF"/>
    <w:rsid w:val="00A912C6"/>
    <w:rsid w:val="00AA5E35"/>
    <w:rsid w:val="00AD3185"/>
    <w:rsid w:val="00AD349F"/>
    <w:rsid w:val="00AD3648"/>
    <w:rsid w:val="00AD5D29"/>
    <w:rsid w:val="00AD631C"/>
    <w:rsid w:val="00B11E1F"/>
    <w:rsid w:val="00B1274D"/>
    <w:rsid w:val="00B217CA"/>
    <w:rsid w:val="00B23FDA"/>
    <w:rsid w:val="00B245AA"/>
    <w:rsid w:val="00B508FA"/>
    <w:rsid w:val="00B51250"/>
    <w:rsid w:val="00B6266E"/>
    <w:rsid w:val="00B6448A"/>
    <w:rsid w:val="00B64506"/>
    <w:rsid w:val="00B65740"/>
    <w:rsid w:val="00B65ADD"/>
    <w:rsid w:val="00B91EC8"/>
    <w:rsid w:val="00B93199"/>
    <w:rsid w:val="00BA5A32"/>
    <w:rsid w:val="00BA7632"/>
    <w:rsid w:val="00BD6E41"/>
    <w:rsid w:val="00BE147D"/>
    <w:rsid w:val="00BF095C"/>
    <w:rsid w:val="00BF4120"/>
    <w:rsid w:val="00BF6BD9"/>
    <w:rsid w:val="00C073F5"/>
    <w:rsid w:val="00C62083"/>
    <w:rsid w:val="00C64C5D"/>
    <w:rsid w:val="00C81065"/>
    <w:rsid w:val="00C859B6"/>
    <w:rsid w:val="00CA6903"/>
    <w:rsid w:val="00CB14C9"/>
    <w:rsid w:val="00CB5DC8"/>
    <w:rsid w:val="00CB728F"/>
    <w:rsid w:val="00CC1047"/>
    <w:rsid w:val="00CD0920"/>
    <w:rsid w:val="00CD7B48"/>
    <w:rsid w:val="00CE7F45"/>
    <w:rsid w:val="00CF7BCB"/>
    <w:rsid w:val="00D03C78"/>
    <w:rsid w:val="00D0493D"/>
    <w:rsid w:val="00D1476B"/>
    <w:rsid w:val="00D40FF5"/>
    <w:rsid w:val="00D54394"/>
    <w:rsid w:val="00D57F51"/>
    <w:rsid w:val="00D71923"/>
    <w:rsid w:val="00D74172"/>
    <w:rsid w:val="00D81766"/>
    <w:rsid w:val="00D87AFA"/>
    <w:rsid w:val="00DA3695"/>
    <w:rsid w:val="00DB2859"/>
    <w:rsid w:val="00DC3C10"/>
    <w:rsid w:val="00DF1B90"/>
    <w:rsid w:val="00E015EC"/>
    <w:rsid w:val="00E10013"/>
    <w:rsid w:val="00E2539A"/>
    <w:rsid w:val="00E32364"/>
    <w:rsid w:val="00E33FD2"/>
    <w:rsid w:val="00E501D6"/>
    <w:rsid w:val="00E714CD"/>
    <w:rsid w:val="00E74243"/>
    <w:rsid w:val="00E86843"/>
    <w:rsid w:val="00E92945"/>
    <w:rsid w:val="00EB51EA"/>
    <w:rsid w:val="00ED3ACC"/>
    <w:rsid w:val="00ED7E30"/>
    <w:rsid w:val="00F17494"/>
    <w:rsid w:val="00F21027"/>
    <w:rsid w:val="00F463BD"/>
    <w:rsid w:val="00F72237"/>
    <w:rsid w:val="00F744BC"/>
    <w:rsid w:val="00F83719"/>
    <w:rsid w:val="00F9344F"/>
    <w:rsid w:val="00F94000"/>
    <w:rsid w:val="00FA1879"/>
    <w:rsid w:val="00FB2594"/>
    <w:rsid w:val="00FC0261"/>
    <w:rsid w:val="00FD223F"/>
    <w:rsid w:val="00FD66A8"/>
    <w:rsid w:val="00FE50B8"/>
    <w:rsid w:val="00FE5C6C"/>
    <w:rsid w:val="42C22082"/>
    <w:rsid w:val="5223C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6AE2E"/>
  <w15:docId w15:val="{CDD63415-0E21-47CD-9699-51B1C7FE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Title"/>
    <w:next w:val="Normal"/>
    <w:link w:val="Heading1Char"/>
    <w:uiPriority w:val="9"/>
    <w:qFormat/>
    <w:rsid w:val="006743BC"/>
    <w:pPr>
      <w:outlineLvl w:val="0"/>
    </w:p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6743BC"/>
    <w:pPr>
      <w:spacing w:before="216"/>
      <w:ind w:left="140" w:right="52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017" w:right="2008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CommentReference">
    <w:name w:val="annotation reference"/>
    <w:basedOn w:val="DefaultParagraphFont"/>
    <w:uiPriority w:val="99"/>
    <w:semiHidden/>
    <w:unhideWhenUsed/>
    <w:rsid w:val="008F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A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A91"/>
    <w:rPr>
      <w:rFonts w:ascii="Carlito" w:eastAsia="Carlito" w:hAnsi="Carlito" w:cs="Carli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A91"/>
    <w:rPr>
      <w:rFonts w:ascii="Carlito" w:eastAsia="Carlito" w:hAnsi="Carlito" w:cs="Carli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28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8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1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250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B51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250"/>
    <w:rPr>
      <w:rFonts w:ascii="Carlito" w:eastAsia="Carlito" w:hAnsi="Carlito" w:cs="Carlito"/>
    </w:rPr>
  </w:style>
  <w:style w:type="paragraph" w:styleId="Revision">
    <w:name w:val="Revision"/>
    <w:hidden/>
    <w:uiPriority w:val="99"/>
    <w:semiHidden/>
    <w:rsid w:val="00FA1879"/>
    <w:pPr>
      <w:widowControl/>
      <w:autoSpaceDE/>
      <w:autoSpaceDN/>
    </w:pPr>
    <w:rPr>
      <w:rFonts w:ascii="Carlito" w:eastAsia="Carlito" w:hAnsi="Carlito" w:cs="Carlito"/>
    </w:rPr>
  </w:style>
  <w:style w:type="character" w:customStyle="1" w:styleId="Heading1Char">
    <w:name w:val="Heading 1 Char"/>
    <w:basedOn w:val="DefaultParagraphFont"/>
    <w:link w:val="Heading1"/>
    <w:uiPriority w:val="9"/>
    <w:rsid w:val="006743BC"/>
    <w:rPr>
      <w:rFonts w:ascii="Carlito" w:eastAsia="Carlito" w:hAnsi="Carlito" w:cs="Carlito"/>
      <w:b/>
      <w:bCs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6743BC"/>
    <w:rPr>
      <w:rFonts w:ascii="Carlito" w:eastAsia="Carlito" w:hAnsi="Carlito" w:cs="Carlito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dn.shopify.com/s/files/1/0753/6653/1352/files/Consumer_Information_Leaflet.pdf?v=1709218835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B70F8-7347-4452-805B-ACB711CC97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PrenatalVitaminProtocols</vt:lpstr>
    </vt:vector>
  </TitlesOfParts>
  <Company>Hewlett-Packard Company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PrenatalVitaminProtocols</dc:title>
  <dc:subject/>
  <dc:creator>Little, Susan H</dc:creator>
  <cp:keywords/>
  <cp:lastModifiedBy>DeLeo, Dan (EHS)</cp:lastModifiedBy>
  <cp:revision>4</cp:revision>
  <cp:lastPrinted>2025-01-24T19:51:00Z</cp:lastPrinted>
  <dcterms:created xsi:type="dcterms:W3CDTF">2025-01-24T19:48:00Z</dcterms:created>
  <dcterms:modified xsi:type="dcterms:W3CDTF">2025-01-24T19:52:00Z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NO_DOC_ID</vt:lpwstr>
  </property>
  <property fmtid="{D5CDD505-2E9C-101B-9397-08002B2CF9AE}" pid="4" name="CUS_DocIDReference">
    <vt:lpwstr>noDocID</vt:lpwstr>
  </property>
  <property fmtid="{D5CDD505-2E9C-101B-9397-08002B2CF9AE}" pid="5" name="ContentTypeId">
    <vt:lpwstr>0x0101000700D711EBA8AD49BF73E0CCE5A8B053</vt:lpwstr>
  </property>
  <property fmtid="{D5CDD505-2E9C-101B-9397-08002B2CF9AE}" pid="6" name="Created">
    <vt:filetime>2023-08-14T00:00:00Z</vt:filetime>
  </property>
  <property fmtid="{D5CDD505-2E9C-101B-9397-08002B2CF9AE}" pid="7" name="Creator">
    <vt:lpwstr>Nuance PDF Create</vt:lpwstr>
  </property>
  <property fmtid="{D5CDD505-2E9C-101B-9397-08002B2CF9AE}" pid="8" name="LastSaved">
    <vt:filetime>2024-08-21T00:00:00Z</vt:filetime>
  </property>
  <property fmtid="{D5CDD505-2E9C-101B-9397-08002B2CF9AE}" pid="9" name="MSIP_Label_9493d16e-b3ba-4e3d-a98a-fa1db5feb7f3_ActionId">
    <vt:lpwstr>baf73c2a-021a-402c-9977-06839ce850dd</vt:lpwstr>
  </property>
  <property fmtid="{D5CDD505-2E9C-101B-9397-08002B2CF9AE}" pid="10" name="MSIP_Label_9493d16e-b3ba-4e3d-a98a-fa1db5feb7f3_ContentBits">
    <vt:lpwstr>0</vt:lpwstr>
  </property>
  <property fmtid="{D5CDD505-2E9C-101B-9397-08002B2CF9AE}" pid="11" name="MSIP_Label_9493d16e-b3ba-4e3d-a98a-fa1db5feb7f3_Enabled">
    <vt:lpwstr>true</vt:lpwstr>
  </property>
  <property fmtid="{D5CDD505-2E9C-101B-9397-08002B2CF9AE}" pid="12" name="MSIP_Label_9493d16e-b3ba-4e3d-a98a-fa1db5feb7f3_Method">
    <vt:lpwstr>Standard</vt:lpwstr>
  </property>
  <property fmtid="{D5CDD505-2E9C-101B-9397-08002B2CF9AE}" pid="13" name="MSIP_Label_9493d16e-b3ba-4e3d-a98a-fa1db5feb7f3_Name">
    <vt:lpwstr>Sensitive Information</vt:lpwstr>
  </property>
  <property fmtid="{D5CDD505-2E9C-101B-9397-08002B2CF9AE}" pid="14" name="MSIP_Label_9493d16e-b3ba-4e3d-a98a-fa1db5feb7f3_SetDate">
    <vt:lpwstr>2023-08-11T19:15:39Z</vt:lpwstr>
  </property>
  <property fmtid="{D5CDD505-2E9C-101B-9397-08002B2CF9AE}" pid="15" name="MSIP_Label_9493d16e-b3ba-4e3d-a98a-fa1db5feb7f3_SiteId">
    <vt:lpwstr>3f632ad1-e016-4e72-9244-253cc40a9711</vt:lpwstr>
  </property>
  <property fmtid="{D5CDD505-2E9C-101B-9397-08002B2CF9AE}" pid="16" name="Producer">
    <vt:lpwstr>3-Heights(TM) PDF Security Shell 4.8.25.2 (http://www.pdf-tools.com)</vt:lpwstr>
  </property>
</Properties>
</file>