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264"/>
        <w:rPr>
          <w:sz w:val="20"/>
        </w:rPr>
      </w:pPr>
      <w:r>
        <w:rPr>
          <w:sz w:val="20"/>
        </w:rPr>
        <w:drawing>
          <wp:inline distT="0" distB="0" distL="0" distR="0">
            <wp:extent cx="901127" cy="1064418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1127" cy="1064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rPr>
          <w:sz w:val="18"/>
        </w:rPr>
      </w:pPr>
    </w:p>
    <w:p>
      <w:pPr>
        <w:spacing w:before="104"/>
        <w:ind w:left="90" w:right="22" w:firstLine="0"/>
        <w:jc w:val="center"/>
        <w:rPr>
          <w:rFonts w:ascii="Arial"/>
          <w:sz w:val="16"/>
        </w:rPr>
      </w:pPr>
      <w:r>
        <w:rPr>
          <w:rFonts w:ascii="Arial"/>
          <w:spacing w:val="-1"/>
          <w:w w:val="105"/>
          <w:sz w:val="16"/>
        </w:rPr>
        <w:t>CHARLES</w:t>
      </w:r>
      <w:r>
        <w:rPr>
          <w:rFonts w:ascii="Arial"/>
          <w:spacing w:val="-11"/>
          <w:w w:val="105"/>
          <w:sz w:val="16"/>
        </w:rPr>
        <w:t> </w:t>
      </w:r>
      <w:r>
        <w:rPr>
          <w:rFonts w:ascii="Arial"/>
          <w:spacing w:val="-1"/>
          <w:w w:val="105"/>
          <w:sz w:val="16"/>
        </w:rPr>
        <w:t>D.</w:t>
      </w:r>
      <w:r>
        <w:rPr>
          <w:rFonts w:ascii="Arial"/>
          <w:spacing w:val="-8"/>
          <w:w w:val="105"/>
          <w:sz w:val="16"/>
        </w:rPr>
        <w:t> </w:t>
      </w:r>
      <w:r>
        <w:rPr>
          <w:rFonts w:ascii="Arial"/>
          <w:w w:val="105"/>
          <w:sz w:val="16"/>
        </w:rPr>
        <w:t>BAKER</w:t>
      </w:r>
    </w:p>
    <w:p>
      <w:pPr>
        <w:spacing w:before="2"/>
        <w:ind w:left="85" w:right="22" w:firstLine="0"/>
        <w:jc w:val="center"/>
        <w:rPr>
          <w:rFonts w:ascii="Arial"/>
          <w:sz w:val="14"/>
        </w:rPr>
      </w:pPr>
      <w:r>
        <w:rPr>
          <w:rFonts w:ascii="Arial"/>
          <w:w w:val="110"/>
          <w:sz w:val="14"/>
        </w:rPr>
        <w:t>Governor</w:t>
      </w:r>
    </w:p>
    <w:p>
      <w:pPr>
        <w:spacing w:before="121"/>
        <w:ind w:left="88" w:right="22" w:firstLine="0"/>
        <w:jc w:val="center"/>
        <w:rPr>
          <w:rFonts w:ascii="Arial"/>
          <w:sz w:val="16"/>
        </w:rPr>
      </w:pPr>
      <w:r>
        <w:rPr>
          <w:rFonts w:ascii="Arial"/>
          <w:sz w:val="16"/>
        </w:rPr>
        <w:t>KARYN</w:t>
      </w:r>
      <w:r>
        <w:rPr>
          <w:rFonts w:ascii="Arial"/>
          <w:spacing w:val="16"/>
          <w:sz w:val="16"/>
        </w:rPr>
        <w:t> </w:t>
      </w:r>
      <w:r>
        <w:rPr>
          <w:rFonts w:ascii="Arial"/>
          <w:sz w:val="16"/>
        </w:rPr>
        <w:t>E.</w:t>
      </w:r>
      <w:r>
        <w:rPr>
          <w:rFonts w:ascii="Arial"/>
          <w:spacing w:val="16"/>
          <w:sz w:val="16"/>
        </w:rPr>
        <w:t> </w:t>
      </w:r>
      <w:r>
        <w:rPr>
          <w:rFonts w:ascii="Arial"/>
          <w:sz w:val="16"/>
        </w:rPr>
        <w:t>POLITO</w:t>
      </w:r>
    </w:p>
    <w:p>
      <w:pPr>
        <w:spacing w:before="2"/>
        <w:ind w:left="87" w:right="22" w:firstLine="0"/>
        <w:jc w:val="center"/>
        <w:rPr>
          <w:rFonts w:ascii="Arial"/>
          <w:sz w:val="14"/>
        </w:rPr>
      </w:pPr>
      <w:r>
        <w:rPr>
          <w:rFonts w:ascii="Arial"/>
          <w:w w:val="110"/>
          <w:sz w:val="14"/>
        </w:rPr>
        <w:t>Lieutenant</w:t>
      </w:r>
      <w:r>
        <w:rPr>
          <w:rFonts w:ascii="Arial"/>
          <w:spacing w:val="-8"/>
          <w:w w:val="110"/>
          <w:sz w:val="14"/>
        </w:rPr>
        <w:t> </w:t>
      </w:r>
      <w:r>
        <w:rPr>
          <w:rFonts w:ascii="Arial"/>
          <w:w w:val="110"/>
          <w:sz w:val="14"/>
        </w:rPr>
        <w:t>Governor</w:t>
      </w:r>
    </w:p>
    <w:p>
      <w:pPr>
        <w:pStyle w:val="Title"/>
      </w:pPr>
      <w:r>
        <w:rPr/>
        <w:br w:type="column"/>
      </w:r>
      <w:r>
        <w:rPr/>
        <w:t>The</w:t>
      </w:r>
      <w:r>
        <w:rPr>
          <w:spacing w:val="-4"/>
        </w:rPr>
        <w:t> </w:t>
      </w:r>
      <w:r>
        <w:rPr/>
        <w:t>Commonwealth</w:t>
      </w:r>
      <w:r>
        <w:rPr>
          <w:spacing w:val="-1"/>
        </w:rPr>
        <w:t> </w:t>
      </w:r>
      <w:r>
        <w:rPr/>
        <w:t>of Massachusetts</w:t>
      </w:r>
    </w:p>
    <w:p>
      <w:pPr>
        <w:spacing w:before="0"/>
        <w:ind w:left="400" w:right="20" w:firstLine="0"/>
        <w:jc w:val="center"/>
        <w:rPr>
          <w:rFonts w:ascii="Arial"/>
          <w:sz w:val="28"/>
        </w:rPr>
      </w:pPr>
      <w:r>
        <w:rPr>
          <w:rFonts w:ascii="Arial"/>
          <w:sz w:val="28"/>
        </w:rPr>
        <w:t>Executive</w:t>
      </w:r>
      <w:r>
        <w:rPr>
          <w:rFonts w:ascii="Arial"/>
          <w:spacing w:val="-4"/>
          <w:sz w:val="28"/>
        </w:rPr>
        <w:t> </w:t>
      </w:r>
      <w:r>
        <w:rPr>
          <w:rFonts w:ascii="Arial"/>
          <w:sz w:val="28"/>
        </w:rPr>
        <w:t>Office</w:t>
      </w:r>
      <w:r>
        <w:rPr>
          <w:rFonts w:ascii="Arial"/>
          <w:spacing w:val="-4"/>
          <w:sz w:val="28"/>
        </w:rPr>
        <w:t> </w:t>
      </w:r>
      <w:r>
        <w:rPr>
          <w:rFonts w:ascii="Arial"/>
          <w:sz w:val="28"/>
        </w:rPr>
        <w:t>of</w:t>
      </w:r>
      <w:r>
        <w:rPr>
          <w:rFonts w:ascii="Arial"/>
          <w:spacing w:val="-5"/>
          <w:sz w:val="28"/>
        </w:rPr>
        <w:t> </w:t>
      </w:r>
      <w:r>
        <w:rPr>
          <w:rFonts w:ascii="Arial"/>
          <w:sz w:val="28"/>
        </w:rPr>
        <w:t>Health</w:t>
      </w:r>
      <w:r>
        <w:rPr>
          <w:rFonts w:ascii="Arial"/>
          <w:spacing w:val="-1"/>
          <w:sz w:val="28"/>
        </w:rPr>
        <w:t> </w:t>
      </w:r>
      <w:r>
        <w:rPr>
          <w:rFonts w:ascii="Arial"/>
          <w:sz w:val="28"/>
        </w:rPr>
        <w:t>and</w:t>
      </w:r>
      <w:r>
        <w:rPr>
          <w:rFonts w:ascii="Arial"/>
          <w:spacing w:val="-3"/>
          <w:sz w:val="28"/>
        </w:rPr>
        <w:t> </w:t>
      </w:r>
      <w:r>
        <w:rPr>
          <w:rFonts w:ascii="Arial"/>
          <w:sz w:val="28"/>
        </w:rPr>
        <w:t>Human</w:t>
      </w:r>
      <w:r>
        <w:rPr>
          <w:rFonts w:ascii="Arial"/>
          <w:spacing w:val="-6"/>
          <w:sz w:val="28"/>
        </w:rPr>
        <w:t> </w:t>
      </w:r>
      <w:r>
        <w:rPr>
          <w:rFonts w:ascii="Arial"/>
          <w:sz w:val="28"/>
        </w:rPr>
        <w:t>Services</w:t>
      </w:r>
      <w:r>
        <w:rPr>
          <w:rFonts w:ascii="Arial"/>
          <w:spacing w:val="-75"/>
          <w:sz w:val="28"/>
        </w:rPr>
        <w:t> </w:t>
      </w:r>
      <w:r>
        <w:rPr>
          <w:rFonts w:ascii="Arial"/>
          <w:sz w:val="28"/>
        </w:rPr>
        <w:t>Department</w:t>
      </w:r>
      <w:r>
        <w:rPr>
          <w:rFonts w:ascii="Arial"/>
          <w:spacing w:val="-2"/>
          <w:sz w:val="28"/>
        </w:rPr>
        <w:t> </w:t>
      </w:r>
      <w:r>
        <w:rPr>
          <w:rFonts w:ascii="Arial"/>
          <w:sz w:val="28"/>
        </w:rPr>
        <w:t>of</w:t>
      </w:r>
      <w:r>
        <w:rPr>
          <w:rFonts w:ascii="Arial"/>
          <w:spacing w:val="1"/>
          <w:sz w:val="28"/>
        </w:rPr>
        <w:t> </w:t>
      </w:r>
      <w:r>
        <w:rPr>
          <w:rFonts w:ascii="Arial"/>
          <w:sz w:val="28"/>
        </w:rPr>
        <w:t>Public</w:t>
      </w:r>
      <w:r>
        <w:rPr>
          <w:rFonts w:ascii="Arial"/>
          <w:spacing w:val="-1"/>
          <w:sz w:val="28"/>
        </w:rPr>
        <w:t> </w:t>
      </w:r>
      <w:r>
        <w:rPr>
          <w:rFonts w:ascii="Arial"/>
          <w:sz w:val="28"/>
        </w:rPr>
        <w:t>Health</w:t>
      </w:r>
    </w:p>
    <w:p>
      <w:pPr>
        <w:spacing w:before="2"/>
        <w:ind w:left="400" w:right="14" w:firstLine="0"/>
        <w:jc w:val="center"/>
        <w:rPr>
          <w:rFonts w:ascii="Arial"/>
          <w:sz w:val="28"/>
        </w:rPr>
      </w:pPr>
      <w:r>
        <w:rPr>
          <w:rFonts w:ascii="Arial"/>
          <w:sz w:val="28"/>
        </w:rPr>
        <w:t>250</w:t>
      </w:r>
      <w:r>
        <w:rPr>
          <w:rFonts w:ascii="Arial"/>
          <w:spacing w:val="-3"/>
          <w:sz w:val="28"/>
        </w:rPr>
        <w:t> </w:t>
      </w:r>
      <w:r>
        <w:rPr>
          <w:rFonts w:ascii="Arial"/>
          <w:sz w:val="28"/>
        </w:rPr>
        <w:t>Washington</w:t>
      </w:r>
      <w:r>
        <w:rPr>
          <w:rFonts w:ascii="Arial"/>
          <w:spacing w:val="-2"/>
          <w:sz w:val="28"/>
        </w:rPr>
        <w:t> </w:t>
      </w:r>
      <w:r>
        <w:rPr>
          <w:rFonts w:ascii="Arial"/>
          <w:sz w:val="28"/>
        </w:rPr>
        <w:t>Street,</w:t>
      </w:r>
      <w:r>
        <w:rPr>
          <w:rFonts w:ascii="Arial"/>
          <w:spacing w:val="1"/>
          <w:sz w:val="28"/>
        </w:rPr>
        <w:t> </w:t>
      </w:r>
      <w:r>
        <w:rPr>
          <w:rFonts w:ascii="Arial"/>
          <w:sz w:val="28"/>
        </w:rPr>
        <w:t>Boston,</w:t>
      </w:r>
      <w:r>
        <w:rPr>
          <w:rFonts w:ascii="Arial"/>
          <w:spacing w:val="-4"/>
          <w:sz w:val="28"/>
        </w:rPr>
        <w:t> </w:t>
      </w:r>
      <w:r>
        <w:rPr>
          <w:rFonts w:ascii="Arial"/>
          <w:sz w:val="28"/>
        </w:rPr>
        <w:t>MA</w:t>
      </w:r>
      <w:r>
        <w:rPr>
          <w:rFonts w:ascii="Arial"/>
          <w:spacing w:val="-2"/>
          <w:sz w:val="28"/>
        </w:rPr>
        <w:t> </w:t>
      </w:r>
      <w:r>
        <w:rPr>
          <w:rFonts w:ascii="Arial"/>
          <w:sz w:val="28"/>
        </w:rPr>
        <w:t>02108-4619</w:t>
      </w:r>
    </w:p>
    <w:p>
      <w:pPr>
        <w:pStyle w:val="BodyText"/>
        <w:rPr>
          <w:rFonts w:ascii="Arial"/>
          <w:sz w:val="30"/>
        </w:rPr>
      </w:pPr>
    </w:p>
    <w:p>
      <w:pPr>
        <w:pStyle w:val="BodyText"/>
        <w:rPr>
          <w:rFonts w:ascii="Arial"/>
          <w:sz w:val="30"/>
        </w:rPr>
      </w:pPr>
    </w:p>
    <w:p>
      <w:pPr>
        <w:pStyle w:val="BodyText"/>
        <w:rPr>
          <w:rFonts w:ascii="Arial"/>
          <w:sz w:val="30"/>
        </w:rPr>
      </w:pPr>
    </w:p>
    <w:p>
      <w:pPr>
        <w:pStyle w:val="BodyText"/>
        <w:rPr>
          <w:rFonts w:ascii="Arial"/>
          <w:sz w:val="30"/>
        </w:rPr>
      </w:pPr>
    </w:p>
    <w:p>
      <w:pPr>
        <w:pStyle w:val="BodyText"/>
        <w:rPr>
          <w:rFonts w:ascii="Arial"/>
          <w:sz w:val="30"/>
        </w:rPr>
      </w:pPr>
    </w:p>
    <w:p>
      <w:pPr>
        <w:spacing w:before="207"/>
        <w:ind w:left="93" w:right="159" w:firstLine="0"/>
        <w:jc w:val="center"/>
        <w:rPr>
          <w:b/>
          <w:sz w:val="24"/>
        </w:rPr>
      </w:pPr>
      <w:r>
        <w:rPr>
          <w:b/>
          <w:sz w:val="24"/>
        </w:rPr>
        <w:t>ORDER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COMMISSIONER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PUBLIC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HEALTH</w:t>
      </w:r>
    </w:p>
    <w:p>
      <w:pPr>
        <w:spacing w:before="0"/>
        <w:ind w:left="93" w:right="158" w:firstLine="0"/>
        <w:jc w:val="center"/>
        <w:rPr>
          <w:b/>
          <w:sz w:val="24"/>
        </w:rPr>
      </w:pPr>
      <w:r>
        <w:rPr>
          <w:b/>
          <w:sz w:val="24"/>
        </w:rPr>
        <w:t>COVID-19 Public Health Emergency Order No. 2022-13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Issued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April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29,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2022</w:t>
      </w:r>
    </w:p>
    <w:p>
      <w:pPr>
        <w:spacing w:line="240" w:lineRule="auto" w:before="0"/>
        <w:rPr>
          <w:b/>
          <w:sz w:val="18"/>
        </w:rPr>
      </w:pPr>
      <w:r>
        <w:rPr/>
        <w:br w:type="column"/>
      </w:r>
      <w:r>
        <w:rPr>
          <w:b/>
          <w:sz w:val="18"/>
        </w:rPr>
      </w: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spacing w:before="125"/>
        <w:ind w:left="98" w:right="96" w:firstLine="0"/>
        <w:jc w:val="center"/>
        <w:rPr>
          <w:rFonts w:ascii="Arial"/>
          <w:sz w:val="16"/>
        </w:rPr>
      </w:pPr>
      <w:r>
        <w:rPr>
          <w:rFonts w:ascii="Arial"/>
          <w:sz w:val="16"/>
        </w:rPr>
        <w:t>MARYLOU</w:t>
      </w:r>
      <w:r>
        <w:rPr>
          <w:rFonts w:ascii="Arial"/>
          <w:spacing w:val="4"/>
          <w:sz w:val="16"/>
        </w:rPr>
        <w:t> </w:t>
      </w:r>
      <w:r>
        <w:rPr>
          <w:rFonts w:ascii="Arial"/>
          <w:sz w:val="16"/>
        </w:rPr>
        <w:t>SUDDERS</w:t>
      </w:r>
    </w:p>
    <w:p>
      <w:pPr>
        <w:spacing w:before="3"/>
        <w:ind w:left="97" w:right="98" w:firstLine="0"/>
        <w:jc w:val="center"/>
        <w:rPr>
          <w:rFonts w:ascii="Arial"/>
          <w:sz w:val="14"/>
        </w:rPr>
      </w:pPr>
      <w:r>
        <w:rPr>
          <w:rFonts w:ascii="Arial"/>
          <w:w w:val="115"/>
          <w:sz w:val="14"/>
        </w:rPr>
        <w:t>Secretary</w:t>
      </w:r>
    </w:p>
    <w:p>
      <w:pPr>
        <w:spacing w:before="120"/>
        <w:ind w:left="98" w:right="98" w:firstLine="0"/>
        <w:jc w:val="center"/>
        <w:rPr>
          <w:rFonts w:ascii="Arial"/>
          <w:sz w:val="16"/>
        </w:rPr>
      </w:pPr>
      <w:r>
        <w:rPr>
          <w:rFonts w:ascii="Arial"/>
          <w:sz w:val="16"/>
        </w:rPr>
        <w:t>MARGRET</w:t>
      </w:r>
      <w:r>
        <w:rPr>
          <w:rFonts w:ascii="Arial"/>
          <w:spacing w:val="6"/>
          <w:sz w:val="16"/>
        </w:rPr>
        <w:t> </w:t>
      </w:r>
      <w:r>
        <w:rPr>
          <w:rFonts w:ascii="Arial"/>
          <w:sz w:val="16"/>
        </w:rPr>
        <w:t>R.</w:t>
      </w:r>
      <w:r>
        <w:rPr>
          <w:rFonts w:ascii="Arial"/>
          <w:spacing w:val="3"/>
          <w:sz w:val="16"/>
        </w:rPr>
        <w:t> </w:t>
      </w:r>
      <w:r>
        <w:rPr>
          <w:rFonts w:ascii="Arial"/>
          <w:sz w:val="16"/>
        </w:rPr>
        <w:t>COOKE</w:t>
      </w:r>
    </w:p>
    <w:p>
      <w:pPr>
        <w:spacing w:before="3"/>
        <w:ind w:left="98" w:right="98" w:firstLine="0"/>
        <w:jc w:val="center"/>
        <w:rPr>
          <w:rFonts w:ascii="Arial"/>
          <w:sz w:val="14"/>
        </w:rPr>
      </w:pPr>
      <w:r>
        <w:rPr>
          <w:rFonts w:ascii="Arial"/>
          <w:w w:val="110"/>
          <w:sz w:val="14"/>
        </w:rPr>
        <w:t>Commissioner</w:t>
      </w:r>
    </w:p>
    <w:p>
      <w:pPr>
        <w:pStyle w:val="BodyText"/>
        <w:spacing w:before="11"/>
        <w:rPr>
          <w:rFonts w:ascii="Arial"/>
          <w:sz w:val="13"/>
        </w:rPr>
      </w:pPr>
    </w:p>
    <w:p>
      <w:pPr>
        <w:spacing w:before="0"/>
        <w:ind w:left="98" w:right="98" w:firstLine="0"/>
        <w:jc w:val="center"/>
        <w:rPr>
          <w:rFonts w:ascii="Arial"/>
          <w:b/>
          <w:sz w:val="14"/>
        </w:rPr>
      </w:pPr>
      <w:r>
        <w:rPr>
          <w:rFonts w:ascii="Arial"/>
          <w:b/>
          <w:sz w:val="14"/>
        </w:rPr>
        <w:t>Tel:</w:t>
      </w:r>
      <w:r>
        <w:rPr>
          <w:rFonts w:ascii="Arial"/>
          <w:b/>
          <w:spacing w:val="-6"/>
          <w:sz w:val="14"/>
        </w:rPr>
        <w:t> </w:t>
      </w:r>
      <w:r>
        <w:rPr>
          <w:rFonts w:ascii="Arial"/>
          <w:b/>
          <w:sz w:val="14"/>
        </w:rPr>
        <w:t>617-624-6000</w:t>
      </w:r>
    </w:p>
    <w:p>
      <w:pPr>
        <w:spacing w:before="0"/>
        <w:ind w:left="97" w:right="98" w:firstLine="0"/>
        <w:jc w:val="center"/>
        <w:rPr>
          <w:rFonts w:ascii="Arial"/>
          <w:b/>
          <w:sz w:val="14"/>
        </w:rPr>
      </w:pPr>
      <w:hyperlink r:id="rId6">
        <w:r>
          <w:rPr>
            <w:rFonts w:ascii="Arial"/>
            <w:b/>
            <w:sz w:val="14"/>
          </w:rPr>
          <w:t>www.mass.gov/dph</w:t>
        </w:r>
      </w:hyperlink>
    </w:p>
    <w:p>
      <w:pPr>
        <w:spacing w:after="0"/>
        <w:jc w:val="center"/>
        <w:rPr>
          <w:rFonts w:ascii="Arial"/>
          <w:sz w:val="14"/>
        </w:rPr>
        <w:sectPr>
          <w:type w:val="continuous"/>
          <w:pgSz w:w="12240" w:h="15840"/>
          <w:pgMar w:top="560" w:bottom="280" w:left="700" w:right="680"/>
          <w:cols w:num="3" w:equalWidth="0">
            <w:col w:w="1750" w:space="415"/>
            <w:col w:w="6580" w:space="243"/>
            <w:col w:w="1872"/>
          </w:cols>
        </w:sectPr>
      </w:pPr>
    </w:p>
    <w:p>
      <w:pPr>
        <w:pStyle w:val="BodyText"/>
        <w:rPr>
          <w:rFonts w:ascii="Arial"/>
          <w:b/>
          <w:sz w:val="20"/>
        </w:rPr>
      </w:pPr>
      <w:r>
        <w:rPr/>
        <w:pict>
          <v:rect style="position:absolute;margin-left:459.75pt;margin-top:114.5pt;width:142.85pt;height:89.45pt;mso-position-horizontal-relative:page;mso-position-vertical-relative:page;z-index:-15771648" id="docshape1" filled="true" fillcolor="#ffffff" stroked="false">
            <v:fill type="solid"/>
            <w10:wrap type="none"/>
          </v:rect>
        </w:pict>
      </w:r>
    </w:p>
    <w:p>
      <w:pPr>
        <w:pStyle w:val="BodyText"/>
        <w:spacing w:before="3"/>
        <w:rPr>
          <w:rFonts w:ascii="Arial"/>
          <w:b/>
          <w:sz w:val="20"/>
        </w:rPr>
      </w:pPr>
    </w:p>
    <w:p>
      <w:pPr>
        <w:pStyle w:val="BodyText"/>
        <w:spacing w:before="90"/>
        <w:ind w:left="380" w:right="469"/>
      </w:pPr>
      <w:r>
        <w:rPr/>
        <w:t>On May 28, 2021, pursuant to Section 2A of Chapter 17 of the General Laws, Governor Baker declared</w:t>
      </w:r>
      <w:r>
        <w:rPr>
          <w:spacing w:val="-57"/>
        </w:rPr>
        <w:t> </w:t>
      </w:r>
      <w:r>
        <w:rPr/>
        <w:t>that an emergency exists that is detrimental to the public health in the Commonwealth due to the</w:t>
      </w:r>
      <w:r>
        <w:rPr>
          <w:spacing w:val="1"/>
        </w:rPr>
        <w:t> </w:t>
      </w:r>
      <w:r>
        <w:rPr/>
        <w:t>continuing threat of COVID-19, and authorized the Commissioner with the approval of the Public</w:t>
      </w:r>
      <w:r>
        <w:rPr>
          <w:spacing w:val="1"/>
        </w:rPr>
        <w:t> </w:t>
      </w:r>
      <w:r>
        <w:rPr/>
        <w:t>Health Council to adopt measures to facilitate COVID-19 testing and vaccination, to mandate special</w:t>
      </w:r>
      <w:r>
        <w:rPr>
          <w:spacing w:val="1"/>
        </w:rPr>
        <w:t> </w:t>
      </w:r>
      <w:r>
        <w:rPr/>
        <w:t>measures to protect higher risk populations or to effectuate continued surveillance of COVID-19, and to</w:t>
      </w:r>
      <w:r>
        <w:rPr>
          <w:spacing w:val="-57"/>
        </w:rPr>
        <w:t> </w:t>
      </w:r>
      <w:r>
        <w:rPr/>
        <w:t>respond</w:t>
      </w:r>
      <w:r>
        <w:rPr>
          <w:spacing w:val="-1"/>
        </w:rPr>
        <w:t> </w:t>
      </w:r>
      <w:r>
        <w:rPr/>
        <w:t>as necessary to outbreaks of the</w:t>
      </w:r>
      <w:r>
        <w:rPr>
          <w:spacing w:val="-1"/>
        </w:rPr>
        <w:t> </w:t>
      </w:r>
      <w:r>
        <w:rPr/>
        <w:t>virus</w:t>
      </w:r>
      <w:r>
        <w:rPr>
          <w:spacing w:val="1"/>
        </w:rPr>
        <w:t> </w:t>
      </w:r>
      <w:r>
        <w:rPr/>
        <w:t>as they may</w:t>
      </w:r>
      <w:r>
        <w:rPr>
          <w:spacing w:val="2"/>
        </w:rPr>
        <w:t> </w:t>
      </w:r>
      <w:r>
        <w:rPr/>
        <w:t>arise.</w:t>
      </w:r>
    </w:p>
    <w:p>
      <w:pPr>
        <w:pStyle w:val="BodyText"/>
      </w:pPr>
    </w:p>
    <w:p>
      <w:pPr>
        <w:pStyle w:val="BodyText"/>
        <w:ind w:left="380" w:right="569"/>
      </w:pPr>
      <w:r>
        <w:rPr/>
        <w:t>Consistent with the Governor’s May 28, 2021 declaration, on June 9, 2021, the Public Health Council</w:t>
      </w:r>
      <w:r>
        <w:rPr>
          <w:spacing w:val="1"/>
        </w:rPr>
        <w:t> </w:t>
      </w:r>
      <w:r>
        <w:rPr/>
        <w:t>approved and authorized the Commissioner of Public Health to take such actions, incur such liabilities,</w:t>
      </w:r>
      <w:r>
        <w:rPr>
          <w:spacing w:val="-57"/>
        </w:rPr>
        <w:t> </w:t>
      </w:r>
      <w:r>
        <w:rPr/>
        <w:t>and establish such rules, requirements and procedures which are necessary to prepare for, respond to,</w:t>
      </w:r>
      <w:r>
        <w:rPr>
          <w:spacing w:val="1"/>
        </w:rPr>
        <w:t> </w:t>
      </w:r>
      <w:r>
        <w:rPr/>
        <w:t>and mitigate the spread of COVID-19 in order to protect the health and welfare of the people of the</w:t>
      </w:r>
      <w:r>
        <w:rPr>
          <w:spacing w:val="1"/>
        </w:rPr>
        <w:t> </w:t>
      </w:r>
      <w:r>
        <w:rPr/>
        <w:t>Commonwealth. Accordingly, having received that authorization from the Council, and with the</w:t>
      </w:r>
      <w:r>
        <w:rPr>
          <w:spacing w:val="1"/>
        </w:rPr>
        <w:t> </w:t>
      </w:r>
      <w:r>
        <w:rPr/>
        <w:t>approval of the</w:t>
      </w:r>
      <w:r>
        <w:rPr>
          <w:spacing w:val="2"/>
        </w:rPr>
        <w:t> </w:t>
      </w:r>
      <w:r>
        <w:rPr/>
        <w:t>Governor, I</w:t>
      </w:r>
      <w:r>
        <w:rPr>
          <w:spacing w:val="-4"/>
        </w:rPr>
        <w:t> </w:t>
      </w:r>
      <w:r>
        <w:rPr/>
        <w:t>issue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following</w:t>
      </w:r>
      <w:r>
        <w:rPr>
          <w:spacing w:val="-1"/>
        </w:rPr>
        <w:t> </w:t>
      </w:r>
      <w:r>
        <w:rPr/>
        <w:t>Order:</w:t>
      </w:r>
    </w:p>
    <w:p>
      <w:pPr>
        <w:pStyle w:val="BodyText"/>
      </w:pPr>
    </w:p>
    <w:p>
      <w:pPr>
        <w:pStyle w:val="BodyText"/>
        <w:spacing w:before="1"/>
        <w:ind w:left="380" w:right="907"/>
      </w:pPr>
      <w:r>
        <w:rPr/>
        <w:t>In response to the continuing shortage of licensed health care personnel and unlicensed Medication</w:t>
      </w:r>
      <w:r>
        <w:rPr>
          <w:spacing w:val="-57"/>
        </w:rPr>
        <w:t> </w:t>
      </w:r>
      <w:r>
        <w:rPr/>
        <w:t>Administration Program (MAP) staff certified to administer medications to individuals in MAP</w:t>
      </w:r>
      <w:r>
        <w:rPr>
          <w:spacing w:val="1"/>
        </w:rPr>
        <w:t> </w:t>
      </w:r>
      <w:r>
        <w:rPr/>
        <w:t>Registered Community Programs, and to avoid unnecessary emergency department visits,</w:t>
      </w:r>
      <w:r>
        <w:rPr>
          <w:spacing w:val="1"/>
        </w:rPr>
        <w:t> </w:t>
      </w:r>
      <w:r>
        <w:rPr/>
        <w:t>notwithstanding the provisions of G.L. c. 94C, § 7 and 105 CMR 700.003(F)(2), unlicensed staff of</w:t>
      </w:r>
      <w:r>
        <w:rPr>
          <w:spacing w:val="-58"/>
        </w:rPr>
        <w:t> </w:t>
      </w:r>
      <w:r>
        <w:rPr/>
        <w:t>MAP Community programs who are not MAP Certified may possess and administer prepackaged</w:t>
      </w:r>
      <w:r>
        <w:rPr>
          <w:spacing w:val="1"/>
        </w:rPr>
        <w:t> </w:t>
      </w:r>
      <w:r>
        <w:rPr/>
        <w:t>medications to individuals in MAP Registered Community Programs , as outlined in Department</w:t>
      </w:r>
      <w:r>
        <w:rPr>
          <w:spacing w:val="1"/>
        </w:rPr>
        <w:t> </w:t>
      </w:r>
      <w:r>
        <w:rPr/>
        <w:t>guidance.</w:t>
      </w:r>
    </w:p>
    <w:p>
      <w:pPr>
        <w:pStyle w:val="BodyText"/>
        <w:spacing w:before="9"/>
        <w:rPr>
          <w:sz w:val="23"/>
        </w:rPr>
      </w:pPr>
    </w:p>
    <w:p>
      <w:pPr>
        <w:pStyle w:val="BodyText"/>
        <w:ind w:left="380" w:right="429"/>
      </w:pPr>
      <w:r>
        <w:rPr/>
        <w:t>This Order extends and supersedes the expiration date specified in COVID-19 Public Health Emergency</w:t>
      </w:r>
      <w:r>
        <w:rPr>
          <w:spacing w:val="-58"/>
        </w:rPr>
        <w:t> </w:t>
      </w:r>
      <w:r>
        <w:rPr/>
        <w:t>Order</w:t>
      </w:r>
      <w:r>
        <w:rPr>
          <w:spacing w:val="-2"/>
        </w:rPr>
        <w:t> </w:t>
      </w:r>
      <w:r>
        <w:rPr/>
        <w:t>2022-07, issued January 18, 2022.</w:t>
      </w:r>
    </w:p>
    <w:p>
      <w:pPr>
        <w:pStyle w:val="BodyText"/>
      </w:pPr>
    </w:p>
    <w:p>
      <w:pPr>
        <w:pStyle w:val="BodyText"/>
        <w:spacing w:before="1"/>
        <w:ind w:left="380"/>
      </w:pPr>
      <w:r>
        <w:rPr/>
        <w:t>All</w:t>
      </w:r>
      <w:r>
        <w:rPr>
          <w:spacing w:val="-1"/>
        </w:rPr>
        <w:t> </w:t>
      </w:r>
      <w:r>
        <w:rPr/>
        <w:t>applicable</w:t>
      </w:r>
      <w:r>
        <w:rPr>
          <w:spacing w:val="-1"/>
        </w:rPr>
        <w:t> </w:t>
      </w:r>
      <w:r>
        <w:rPr/>
        <w:t>statute, regulations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guidance</w:t>
      </w:r>
      <w:r>
        <w:rPr>
          <w:spacing w:val="-1"/>
        </w:rPr>
        <w:t> </w:t>
      </w:r>
      <w:r>
        <w:rPr/>
        <w:t>not</w:t>
      </w:r>
      <w:r>
        <w:rPr>
          <w:spacing w:val="-1"/>
        </w:rPr>
        <w:t> </w:t>
      </w:r>
      <w:r>
        <w:rPr/>
        <w:t>inconsistent</w:t>
      </w:r>
      <w:r>
        <w:rPr>
          <w:spacing w:val="-1"/>
        </w:rPr>
        <w:t> </w:t>
      </w:r>
      <w:r>
        <w:rPr/>
        <w:t>with this</w:t>
      </w:r>
      <w:r>
        <w:rPr>
          <w:spacing w:val="-4"/>
        </w:rPr>
        <w:t> </w:t>
      </w:r>
      <w:r>
        <w:rPr/>
        <w:t>Order remain in</w:t>
      </w:r>
      <w:r>
        <w:rPr>
          <w:spacing w:val="-1"/>
        </w:rPr>
        <w:t> </w:t>
      </w:r>
      <w:r>
        <w:rPr/>
        <w:t>effect.</w:t>
      </w:r>
    </w:p>
    <w:p>
      <w:pPr>
        <w:spacing w:after="0"/>
        <w:sectPr>
          <w:type w:val="continuous"/>
          <w:pgSz w:w="12240" w:h="15840"/>
          <w:pgMar w:top="560" w:bottom="280" w:left="700" w:right="680"/>
        </w:sectPr>
      </w:pPr>
    </w:p>
    <w:p>
      <w:pPr>
        <w:pStyle w:val="BodyText"/>
        <w:spacing w:before="79"/>
        <w:ind w:left="380" w:right="1236"/>
      </w:pPr>
      <w:r>
        <w:rPr/>
        <w:t>This Order shall be effective immediately and shall remain in effect until June 30, 2022, or until</w:t>
      </w:r>
      <w:r>
        <w:rPr>
          <w:spacing w:val="-57"/>
        </w:rPr>
        <w:t> </w:t>
      </w:r>
      <w:r>
        <w:rPr/>
        <w:t>rescinded</w:t>
      </w:r>
      <w:r>
        <w:rPr>
          <w:spacing w:val="-1"/>
        </w:rPr>
        <w:t> </w:t>
      </w:r>
      <w:r>
        <w:rPr/>
        <w:t>by me,</w:t>
      </w:r>
      <w:r>
        <w:rPr>
          <w:spacing w:val="2"/>
        </w:rPr>
        <w:t> </w:t>
      </w:r>
      <w:r>
        <w:rPr/>
        <w:t>whichever shall happen</w:t>
      </w:r>
      <w:r>
        <w:rPr>
          <w:spacing w:val="2"/>
        </w:rPr>
        <w:t> </w:t>
      </w:r>
      <w:r>
        <w:rPr/>
        <w:t>first.</w:t>
      </w:r>
    </w:p>
    <w:p>
      <w:pPr>
        <w:pStyle w:val="BodyText"/>
      </w:pPr>
    </w:p>
    <w:p>
      <w:pPr>
        <w:pStyle w:val="BodyText"/>
        <w:ind w:left="4521"/>
      </w:pPr>
      <w:r>
        <w:rPr/>
        <w:t>IT</w:t>
      </w:r>
      <w:r>
        <w:rPr>
          <w:spacing w:val="-2"/>
        </w:rPr>
        <w:t> </w:t>
      </w:r>
      <w:r>
        <w:rPr/>
        <w:t>IS</w:t>
      </w:r>
      <w:r>
        <w:rPr>
          <w:spacing w:val="-3"/>
        </w:rPr>
        <w:t> </w:t>
      </w:r>
      <w:r>
        <w:rPr/>
        <w:t>SO</w:t>
      </w:r>
      <w:r>
        <w:rPr>
          <w:spacing w:val="-2"/>
        </w:rPr>
        <w:t> </w:t>
      </w:r>
      <w:r>
        <w:rPr/>
        <w:t>ORDERED.</w:t>
      </w:r>
    </w:p>
    <w:p>
      <w:pPr>
        <w:pStyle w:val="BodyText"/>
        <w:spacing w:before="3"/>
        <w:rPr>
          <w:sz w:val="23"/>
        </w:rPr>
      </w:pPr>
      <w:r>
        <w:rPr/>
        <w:drawing>
          <wp:anchor distT="0" distB="0" distL="0" distR="0" allowOverlap="1" layoutInCell="1" locked="0" behindDoc="0" simplePos="0" relativeHeight="1">
            <wp:simplePos x="0" y="0"/>
            <wp:positionH relativeFrom="page">
              <wp:posOffset>3314700</wp:posOffset>
            </wp:positionH>
            <wp:positionV relativeFrom="paragraph">
              <wp:posOffset>185101</wp:posOffset>
            </wp:positionV>
            <wp:extent cx="2065860" cy="374903"/>
            <wp:effectExtent l="0" t="0" r="0" b="0"/>
            <wp:wrapTopAndBottom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5860" cy="3749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ind w:left="4521"/>
      </w:pPr>
      <w:r>
        <w:rPr/>
        <w:t>Margret</w:t>
      </w:r>
      <w:r>
        <w:rPr>
          <w:spacing w:val="-2"/>
        </w:rPr>
        <w:t> </w:t>
      </w:r>
      <w:r>
        <w:rPr/>
        <w:t>Cooke</w:t>
      </w:r>
    </w:p>
    <w:p>
      <w:pPr>
        <w:pStyle w:val="BodyText"/>
        <w:ind w:left="4521" w:right="586"/>
      </w:pPr>
      <w:r>
        <w:rPr/>
        <w:t>Commissioner, Massachusetts Department of Public Health</w:t>
      </w:r>
      <w:r>
        <w:rPr>
          <w:spacing w:val="-57"/>
        </w:rPr>
        <w:t> </w:t>
      </w:r>
      <w:r>
        <w:rPr/>
        <w:t>April 29, 2022</w:t>
      </w:r>
    </w:p>
    <w:sectPr>
      <w:pgSz w:w="12240" w:h="15840"/>
      <w:pgMar w:top="1360" w:bottom="280" w:left="700" w:right="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48" w:line="414" w:lineRule="exact"/>
      <w:ind w:left="400" w:right="22"/>
      <w:jc w:val="center"/>
    </w:pPr>
    <w:rPr>
      <w:rFonts w:ascii="Arial" w:hAnsi="Arial" w:eastAsia="Arial" w:cs="Arial"/>
      <w:sz w:val="36"/>
      <w:szCs w:val="36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://www.mass.gov/dph" TargetMode="External"/><Relationship Id="rId7" Type="http://schemas.openxmlformats.org/officeDocument/2006/relationships/image" Target="media/image2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Kyle Marshall</dc:creator>
  <dcterms:created xsi:type="dcterms:W3CDTF">2022-05-04T13:59:48Z</dcterms:created>
  <dcterms:modified xsi:type="dcterms:W3CDTF">2022-05-04T13:59:48Z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2022-05-04T00:00:00Z</vt:filetime>
  </property>
</Properties>
</file>