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drawings/drawing2.xml" ContentType="application/vnd.openxmlformats-officedocument.drawingml.chartshapes+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36E" w:rsidRPr="00037990" w:rsidRDefault="0075136E" w:rsidP="0075136E">
      <w:r w:rsidRPr="00037990">
        <w:rPr>
          <w:noProof/>
        </w:rPr>
        <mc:AlternateContent>
          <mc:Choice Requires="wps">
            <w:drawing>
              <wp:anchor distT="0" distB="0" distL="114300" distR="114300" simplePos="0" relativeHeight="251685888" behindDoc="0" locked="0" layoutInCell="1" allowOverlap="1" wp14:anchorId="20F1E6F1" wp14:editId="7B357DE5">
                <wp:simplePos x="0" y="0"/>
                <wp:positionH relativeFrom="column">
                  <wp:posOffset>1317625</wp:posOffset>
                </wp:positionH>
                <wp:positionV relativeFrom="paragraph">
                  <wp:posOffset>-81915</wp:posOffset>
                </wp:positionV>
                <wp:extent cx="5489575" cy="965200"/>
                <wp:effectExtent l="0" t="0" r="0" b="6350"/>
                <wp:wrapNone/>
                <wp:docPr id="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9575" cy="965200"/>
                        </a:xfrm>
                        <a:prstGeom prst="rect">
                          <a:avLst/>
                        </a:prstGeom>
                        <a:noFill/>
                        <a:ln>
                          <a:noFill/>
                        </a:ln>
                        <a:effectLst/>
                      </wps:spPr>
                      <wps:txbx>
                        <w:txbxContent>
                          <w:p w:rsidR="004A7980" w:rsidRPr="0010536F" w:rsidRDefault="004A7980" w:rsidP="0075136E">
                            <w:pPr>
                              <w:jc w:val="center"/>
                              <w:rPr>
                                <w:b/>
                                <w:color w:val="1F497D" w:themeColor="text2"/>
                                <w:sz w:val="48"/>
                                <w:szCs w:val="52"/>
                              </w:rPr>
                            </w:pPr>
                            <w:r w:rsidRPr="0010536F">
                              <w:rPr>
                                <w:b/>
                                <w:color w:val="1F497D" w:themeColor="text2"/>
                                <w:sz w:val="48"/>
                                <w:szCs w:val="52"/>
                              </w:rPr>
                              <w:t xml:space="preserve">Data Brief: </w:t>
                            </w:r>
                            <w:r w:rsidRPr="0010536F">
                              <w:rPr>
                                <w:b/>
                                <w:color w:val="1F497D" w:themeColor="text2"/>
                                <w:sz w:val="48"/>
                                <w:szCs w:val="52"/>
                              </w:rPr>
                              <w:br/>
                            </w:r>
                            <w:r>
                              <w:rPr>
                                <w:b/>
                                <w:color w:val="1F497D" w:themeColor="text2"/>
                                <w:sz w:val="48"/>
                                <w:szCs w:val="52"/>
                              </w:rPr>
                              <w:t>Oropharyngeal</w:t>
                            </w:r>
                            <w:r w:rsidRPr="0010536F">
                              <w:rPr>
                                <w:b/>
                                <w:color w:val="1F497D" w:themeColor="text2"/>
                                <w:sz w:val="48"/>
                                <w:szCs w:val="52"/>
                              </w:rPr>
                              <w:t xml:space="preserve"> Cancer in Massachusetts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0F1E6F1" id="_x0000_t202" coordsize="21600,21600" o:spt="202" path="m,l,21600r21600,l21600,xe">
                <v:stroke joinstyle="miter"/>
                <v:path gradientshapeok="t" o:connecttype="rect"/>
              </v:shapetype>
              <v:shape id="Text Box 1" o:spid="_x0000_s1026" type="#_x0000_t202" style="position:absolute;margin-left:103.75pt;margin-top:-6.45pt;width:432.25pt;height: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rWNAIAAHAEAAAOAAAAZHJzL2Uyb0RvYy54bWysVEuP2jAQvlfqf7B8LyEIliUirOiuqCqh&#10;3ZWg2rNxbBI19ri2IaG/vmMnPLrtqerFGc98ntc3k/lDq2pyFNZVoHOaDoaUCM2hqPQ+p9+2q0/3&#10;lDjPdMFq0CKnJ+How+Ljh3ljMjGCEupCWIJOtMsak9PSe5MlieOlUMwNwAiNRglWMY9Xu08Kyxr0&#10;rupkNBzeJQ3YwljgwjnUPnVGuoj+pRTcv0jphCd1TjE3H08bz104k8WcZXvLTFnxPg32D1koVmkM&#10;enH1xDwjB1v94UpV3IID6QccVAJSVlzEGrCadPiumk3JjIi1YHOcubTJ/T+3/Pn4aklV5HQ0pUQz&#10;hRxtRevJZ2hJGtrTGJchamMQ51tUI82xVGfWwL87hCQ3mO6BQ3RoRyutCl8slOBDZOB06XqIwlE5&#10;Gd/PJtMJJRxts7sJ0hriJtfXxjr/RYAiQcipRVZjBuy4dr6DniEhmIZVVdeoZ1mtf1Ogz04j4mj0&#10;r0P2XcJB8u2uxbdB3EFxwqotdGPjDF9VmMGaOf/KLM4J1oOz71/wkDU0OYVeoqQE+/Nv+oBH+tBK&#10;SYNzl1P348CsoKT+qpHYWToeh0GNl/FkOsKLvbXsbi36oB4BRzvFLTM8igHv67MoLag3XJFliIom&#10;pjnGzqk/i4++2wZcMS6WywjC0TTMr/XG8DPZob/b9o1Z05Pgkb5nOE8oy95x0WG75i8PHmQVibp2&#10;tZ8aHOtIdb+CYW9u7xF1/VEsfgEAAP//AwBQSwMEFAAGAAgAAAAhAFy+39HgAAAADAEAAA8AAABk&#10;cnMvZG93bnJldi54bWxMj01PwzAMhu9I/IfISNy2pIUx2jWdEIgriPEh7ZY1XlvROFWTreXfzzuN&#10;my0/ev28xXpynTjiEFpPGpK5AoFUedtSreHr83X2CCJEQ9Z0nlDDHwZYl9dXhcmtH+kDj5tYCw6h&#10;kBsNTYx9LmWoGnQmzH2PxLe9H5yJvA61tIMZOdx1MlXqQTrTEn9oTI/PDVa/m4PT8P223/7cq/f6&#10;xS360U9Kksuk1rc309MKRMQpXmA467M6lOy08weyQXQaUrVcMKphlqQZiDOhlinX2/F0lyUgy0L+&#10;L1GeAAAA//8DAFBLAQItABQABgAIAAAAIQC2gziS/gAAAOEBAAATAAAAAAAAAAAAAAAAAAAAAABb&#10;Q29udGVudF9UeXBlc10ueG1sUEsBAi0AFAAGAAgAAAAhADj9If/WAAAAlAEAAAsAAAAAAAAAAAAA&#10;AAAALwEAAF9yZWxzLy5yZWxzUEsBAi0AFAAGAAgAAAAhABiCOtY0AgAAcAQAAA4AAAAAAAAAAAAA&#10;AAAALgIAAGRycy9lMm9Eb2MueG1sUEsBAi0AFAAGAAgAAAAhAFy+39HgAAAADAEAAA8AAAAAAAAA&#10;AAAAAAAAjgQAAGRycy9kb3ducmV2LnhtbFBLBQYAAAAABAAEAPMAAACbBQAAAAA=&#10;" filled="f" stroked="f">
                <v:textbox>
                  <w:txbxContent>
                    <w:p w:rsidR="004A7980" w:rsidRPr="0010536F" w:rsidRDefault="004A7980" w:rsidP="0075136E">
                      <w:pPr>
                        <w:jc w:val="center"/>
                        <w:rPr>
                          <w:b/>
                          <w:color w:val="1F497D" w:themeColor="text2"/>
                          <w:sz w:val="48"/>
                          <w:szCs w:val="52"/>
                        </w:rPr>
                      </w:pPr>
                      <w:r w:rsidRPr="0010536F">
                        <w:rPr>
                          <w:b/>
                          <w:color w:val="1F497D" w:themeColor="text2"/>
                          <w:sz w:val="48"/>
                          <w:szCs w:val="52"/>
                        </w:rPr>
                        <w:t xml:space="preserve">Data Brief: </w:t>
                      </w:r>
                      <w:r w:rsidRPr="0010536F">
                        <w:rPr>
                          <w:b/>
                          <w:color w:val="1F497D" w:themeColor="text2"/>
                          <w:sz w:val="48"/>
                          <w:szCs w:val="52"/>
                        </w:rPr>
                        <w:br/>
                      </w:r>
                      <w:r>
                        <w:rPr>
                          <w:b/>
                          <w:color w:val="1F497D" w:themeColor="text2"/>
                          <w:sz w:val="48"/>
                          <w:szCs w:val="52"/>
                        </w:rPr>
                        <w:t>Oropharyngeal</w:t>
                      </w:r>
                      <w:r w:rsidRPr="0010536F">
                        <w:rPr>
                          <w:b/>
                          <w:color w:val="1F497D" w:themeColor="text2"/>
                          <w:sz w:val="48"/>
                          <w:szCs w:val="52"/>
                        </w:rPr>
                        <w:t xml:space="preserve"> Cancer in Massachusetts</w:t>
                      </w:r>
                    </w:p>
                  </w:txbxContent>
                </v:textbox>
              </v:shape>
            </w:pict>
          </mc:Fallback>
        </mc:AlternateContent>
      </w:r>
      <w:r w:rsidRPr="00037990">
        <w:rPr>
          <w:noProof/>
        </w:rPr>
        <mc:AlternateContent>
          <mc:Choice Requires="wps">
            <w:drawing>
              <wp:anchor distT="0" distB="0" distL="114300" distR="114300" simplePos="0" relativeHeight="251683840" behindDoc="1" locked="0" layoutInCell="1" allowOverlap="1" wp14:anchorId="4E2BABEF" wp14:editId="7C6FBF52">
                <wp:simplePos x="0" y="0"/>
                <wp:positionH relativeFrom="column">
                  <wp:posOffset>38100</wp:posOffset>
                </wp:positionH>
                <wp:positionV relativeFrom="paragraph">
                  <wp:posOffset>883920</wp:posOffset>
                </wp:positionV>
                <wp:extent cx="6772275" cy="266700"/>
                <wp:effectExtent l="0" t="0" r="28575" b="19050"/>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266700"/>
                        </a:xfrm>
                        <a:prstGeom prst="rect">
                          <a:avLst/>
                        </a:prstGeom>
                        <a:solidFill>
                          <a:srgbClr val="FFFFFF"/>
                        </a:solidFill>
                        <a:ln w="12700">
                          <a:solidFill>
                            <a:srgbClr val="000000"/>
                          </a:solidFill>
                          <a:miter lim="800000"/>
                          <a:headEnd/>
                          <a:tailEnd/>
                        </a:ln>
                      </wps:spPr>
                      <wps:txbx>
                        <w:txbxContent>
                          <w:p w:rsidR="004A7980" w:rsidRPr="00573EED" w:rsidRDefault="004A7980" w:rsidP="0075136E">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Pr>
                                <w:rFonts w:ascii="Calibri" w:hAnsi="Calibri"/>
                                <w:caps/>
                                <w:sz w:val="18"/>
                                <w:szCs w:val="16"/>
                              </w:rPr>
                              <w:t>MARCH, 2018</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BABEF" id="Text Box 4" o:spid="_x0000_s1027" type="#_x0000_t202" style="position:absolute;margin-left:3pt;margin-top:69.6pt;width:533.25pt;height:2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rxnJwIAAFEEAAAOAAAAZHJzL2Uyb0RvYy54bWysVFGP0zAMfkfiP0R5Z+2qsR3VutOxYwjp&#10;OJDu+AFpmrYRSRySbO3x63HSbTcdiAdEHyLbcT7bn+2ur0etyEE4L8FUdD7LKRGGQyNNV9Fvj7s3&#10;V5T4wEzDFBhR0Sfh6fXm9av1YEtRQA+qEY4giPHlYCvah2DLLPO8F5r5GVhh8LIFp1lA1XVZ49iA&#10;6FplRZ4vswFcYx1w4T1ab6dLukn4bSt4+NK2XgSiKoq5hXS6dNbxzDZrVnaO2V7yYxrsH7LQTBoM&#10;eoa6ZYGRvZO/QWnJHXhow4yDzqBtJRepBqxmnr+o5qFnVqRakBxvzzT5/wfL7w9fHZFNRYslJYZp&#10;7NGjGAN5DyNZRHoG60v0erDoF0Y0Y5tTqd7eAf/uiYFtz0wnbpyDoReswfTm8WV28XTC8RGkHj5D&#10;g2HYPkACGlunI3fIBkF0bNPTuTUxFY7G5WpVFKu3lHC8K5bLVZ56l7Hy9No6Hz4K0CQKFXXY+oTO&#10;Dnc+xGxYeXKJwTwo2eykUklxXb1VjhwYjskufamAF27KkAFrK2Lwv2Pk6fsThpYBB15JXdGrsxMr&#10;I28fTJPGMTCpJhlzVuZIZORuYjGM9ZhalliOJNfQPCGzDqb5xn1EoQf3k5IBZ7ui/seeOUGJ+mSw&#10;O+/mi0VchqSg4C6t9cnKDEeIigZKJnEbpsXZWye7HiNMc2DgBjvZykTyczbHtHFuE/fHHYuLcakn&#10;r+c/weYXAAAA//8DAFBLAwQUAAYACAAAACEANEROaNsAAAAKAQAADwAAAGRycy9kb3ducmV2Lnht&#10;bEyPQU/DMAyF70j8h8hI3Fi6IrZSmk4DaZzZGHevMW0hcaom28q/xzvBzfZ7ev5etZq8UycaYx/Y&#10;wHyWgSJugu25NbB/39wVoGJCtugCk4EfirCqr68qLG0485ZOu9QqCeFYooEupaHUOjYdeYyzMBCL&#10;9hlGj0nWsdV2xLOEe6fzLFtojz3Lhw4Heumo+d4dvYGPZvtMPVrLy/i2fm20+9oXG2Nub6b1E6hE&#10;U/ozwwVf0KEWpkM4so3KGVhIkyTn+8cc1EXPlvkDqINMxTwHXVf6f4X6FwAA//8DAFBLAQItABQA&#10;BgAIAAAAIQC2gziS/gAAAOEBAAATAAAAAAAAAAAAAAAAAAAAAABbQ29udGVudF9UeXBlc10ueG1s&#10;UEsBAi0AFAAGAAgAAAAhADj9If/WAAAAlAEAAAsAAAAAAAAAAAAAAAAALwEAAF9yZWxzLy5yZWxz&#10;UEsBAi0AFAAGAAgAAAAhAAISvGcnAgAAUQQAAA4AAAAAAAAAAAAAAAAALgIAAGRycy9lMm9Eb2Mu&#10;eG1sUEsBAi0AFAAGAAgAAAAhADRETmjbAAAACgEAAA8AAAAAAAAAAAAAAAAAgQQAAGRycy9kb3du&#10;cmV2LnhtbFBLBQYAAAAABAAEAPMAAACJBQAAAAA=&#10;" strokeweight="1pt">
                <v:textbox inset=",0,,0">
                  <w:txbxContent>
                    <w:p w:rsidR="004A7980" w:rsidRPr="00573EED" w:rsidRDefault="004A7980" w:rsidP="0075136E">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Pr>
                          <w:rFonts w:ascii="Calibri" w:hAnsi="Calibri"/>
                          <w:caps/>
                          <w:sz w:val="18"/>
                          <w:szCs w:val="16"/>
                        </w:rPr>
                        <w:t>MARCH, 2018</w:t>
                      </w:r>
                    </w:p>
                  </w:txbxContent>
                </v:textbox>
              </v:shape>
            </w:pict>
          </mc:Fallback>
        </mc:AlternateContent>
      </w:r>
      <w:r w:rsidRPr="00037990">
        <w:rPr>
          <w:noProof/>
        </w:rPr>
        <mc:AlternateContent>
          <mc:Choice Requires="wps">
            <w:drawing>
              <wp:anchor distT="0" distB="274320" distL="114300" distR="114300" simplePos="0" relativeHeight="251684864" behindDoc="1" locked="0" layoutInCell="1" allowOverlap="1" wp14:anchorId="660BA246" wp14:editId="675D5070">
                <wp:simplePos x="0" y="0"/>
                <wp:positionH relativeFrom="column">
                  <wp:posOffset>35560</wp:posOffset>
                </wp:positionH>
                <wp:positionV relativeFrom="paragraph">
                  <wp:posOffset>-132715</wp:posOffset>
                </wp:positionV>
                <wp:extent cx="6772275" cy="1016000"/>
                <wp:effectExtent l="0" t="0" r="28575"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10160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D4D65" id="Rectangle 11" o:spid="_x0000_s1026" style="position:absolute;margin-left:2.8pt;margin-top:-10.45pt;width:533.25pt;height:80pt;z-index:-251631616;visibility:visible;mso-wrap-style:square;mso-width-percent:0;mso-height-percent:0;mso-wrap-distance-left:9pt;mso-wrap-distance-top:0;mso-wrap-distance-right:9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5MqIQIAAEAEAAAOAAAAZHJzL2Uyb0RvYy54bWysU9tuEzEQfUfiHyy/k70oTcoqm6pKCUIq&#10;UFH4AMfrzVrYHjN2silfz6w3SVOQeED4wfJ4xsdnzswsbg7WsL3CoMHVvJjknCknodFuW/NvX9dv&#10;rjkLUbhGGHCq5k8q8Jvl61eL3leqhA5Mo5ARiAtV72vexeirLAuyU1aECXjlyNkCWhHJxG3WoOgJ&#10;3ZqszPNZ1gM2HkGqEOj2bnTyZcJvWyXj57YNKjJTc+IW045p3wx7tlyIaovCd1oeaYh/YGGFdvTp&#10;GepORMF2qP+AsloiBGjjRILNoG21VCkHyqbIf8vmsRNepVxInODPMoX/Bys/7R+Q6YZqV3DmhKUa&#10;fSHVhNsaxeiOBOp9qCju0T/gkGLw9yC/B+Zg1VGYukWEvlOiIVopPnvxYDACPWWb/iM0BC92EZJW&#10;hxbtAEgqsEMqydO5JOoQmaTL2XxelvMrziT5iryY5XkqWiaq03OPIb5XYNlwqDkS+wQv9vchEn0K&#10;PYUk+mB0s9bGJAO3m5VBthfUH+u0hozpSbgMM4719H05p8//jkH0nhm+wLA6UqcbbWt+fQ4S1SDc&#10;O9ekPoxCm/FMBIwjHifxxiJsoHkiIRHGNqaxo0MH+JOznlq45uHHTqDizHxwVIy3xXQ69Hwyplfz&#10;kgy89GwuPcJJgqp55Gw8ruI4JzuPetvRT0XK3cEtFbDVSdqB38jqSJbaNMl3HKlhDi7tFPU8+Mtf&#10;AAAA//8DAFBLAwQUAAYACAAAACEA130faeMAAAAKAQAADwAAAGRycy9kb3ducmV2LnhtbEyPUUvD&#10;MBSF3wX/Q7iCL7IlrdittelQQXxwCJtjw7esuaZlzU1psq3+e7MnfTuXczjnu+VitB074eBbRxKS&#10;qQCGVDvdkpGw+XydzIH5oEirzhFK+EEPi+r6qlSFdmda4WkdDIsl5AsloQmhLzj3dYNW+anrkaL3&#10;7QarQjwHw/WgzrHcdjwVIuNWtRQXGtXjS4P1YX20Ep4P29XHzMzfhz7Ll293X7tsNDspb2/Gp0dg&#10;AcfwF4YLfkSHKjLt3ZG0Z52EhywGJUxSkQO7+GKWJsD2Ud3nCfCq5P9fqH4BAAD//wMAUEsBAi0A&#10;FAAGAAgAAAAhALaDOJL+AAAA4QEAABMAAAAAAAAAAAAAAAAAAAAAAFtDb250ZW50X1R5cGVzXS54&#10;bWxQSwECLQAUAAYACAAAACEAOP0h/9YAAACUAQAACwAAAAAAAAAAAAAAAAAvAQAAX3JlbHMvLnJl&#10;bHNQSwECLQAUAAYACAAAACEASE+TKiECAABABAAADgAAAAAAAAAAAAAAAAAuAgAAZHJzL2Uyb0Rv&#10;Yy54bWxQSwECLQAUAAYACAAAACEA130faeMAAAAKAQAADwAAAAAAAAAAAAAAAAB7BAAAZHJzL2Rv&#10;d25yZXYueG1sUEsFBgAAAAAEAAQA8wAAAIsFAAAAAA==&#10;" strokeweight="1pt"/>
            </w:pict>
          </mc:Fallback>
        </mc:AlternateContent>
      </w:r>
      <w:r w:rsidRPr="00037990">
        <w:t xml:space="preserve">      </w:t>
      </w:r>
      <w:r w:rsidRPr="00037990">
        <w:rPr>
          <w:noProof/>
        </w:rPr>
        <w:drawing>
          <wp:inline distT="0" distB="0" distL="0" distR="0" wp14:anchorId="01E3BFF1" wp14:editId="19473F91">
            <wp:extent cx="838200" cy="846107"/>
            <wp:effectExtent l="0" t="0" r="0" b="0"/>
            <wp:docPr id="29" name="Picture 29" descr="DPH-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819" cy="848751"/>
                    </a:xfrm>
                    <a:prstGeom prst="rect">
                      <a:avLst/>
                    </a:prstGeom>
                    <a:noFill/>
                    <a:ln>
                      <a:noFill/>
                    </a:ln>
                  </pic:spPr>
                </pic:pic>
              </a:graphicData>
            </a:graphic>
          </wp:inline>
        </w:drawing>
      </w:r>
    </w:p>
    <w:p w:rsidR="0075136E" w:rsidRPr="0010536F" w:rsidRDefault="0075136E" w:rsidP="0075136E">
      <w:pPr>
        <w:jc w:val="center"/>
        <w:rPr>
          <w:rFonts w:ascii="Times New Roman" w:hAnsi="Times New Roman" w:cs="Times New Roman"/>
          <w:b/>
          <w:sz w:val="10"/>
        </w:rPr>
      </w:pPr>
    </w:p>
    <w:p w:rsidR="0075136E" w:rsidRPr="0010536F" w:rsidRDefault="0075136E" w:rsidP="0075136E">
      <w:pPr>
        <w:jc w:val="center"/>
        <w:rPr>
          <w:rFonts w:ascii="Times New Roman" w:hAnsi="Times New Roman" w:cs="Times New Roman"/>
          <w:b/>
          <w:sz w:val="12"/>
        </w:rPr>
        <w:sectPr w:rsidR="0075136E" w:rsidRPr="0010536F" w:rsidSect="00A02173">
          <w:headerReference w:type="default" r:id="rId9"/>
          <w:footerReference w:type="default" r:id="rId10"/>
          <w:pgSz w:w="12240" w:h="15840"/>
          <w:pgMar w:top="864" w:right="864" w:bottom="864" w:left="864" w:header="720" w:footer="720" w:gutter="0"/>
          <w:cols w:space="720"/>
          <w:docGrid w:linePitch="360"/>
        </w:sectPr>
      </w:pPr>
    </w:p>
    <w:p w:rsidR="00A73B4F" w:rsidRDefault="00A73B4F" w:rsidP="0075136E">
      <w:pPr>
        <w:spacing w:after="0" w:line="240" w:lineRule="auto"/>
        <w:rPr>
          <w:rFonts w:ascii="Times New Roman" w:hAnsi="Times New Roman" w:cs="Times New Roman"/>
          <w:b/>
          <w:color w:val="1F497D" w:themeColor="text2"/>
          <w:sz w:val="28"/>
        </w:rPr>
      </w:pPr>
    </w:p>
    <w:p w:rsidR="0075136E" w:rsidRPr="00BF7F32" w:rsidRDefault="0075136E" w:rsidP="0075136E">
      <w:pPr>
        <w:spacing w:after="0" w:line="240" w:lineRule="auto"/>
        <w:rPr>
          <w:rFonts w:ascii="Times New Roman" w:hAnsi="Times New Roman" w:cs="Times New Roman"/>
          <w:b/>
          <w:color w:val="1F497D" w:themeColor="text2"/>
          <w:sz w:val="28"/>
        </w:rPr>
      </w:pPr>
      <w:r w:rsidRPr="00BF7F32">
        <w:rPr>
          <w:rFonts w:ascii="Times New Roman" w:hAnsi="Times New Roman" w:cs="Times New Roman"/>
          <w:b/>
          <w:color w:val="1F497D" w:themeColor="text2"/>
          <w:sz w:val="28"/>
        </w:rPr>
        <w:t>PURPOSE</w:t>
      </w:r>
    </w:p>
    <w:p w:rsidR="00553017" w:rsidRDefault="00553017" w:rsidP="008358B2">
      <w:pPr>
        <w:spacing w:after="0" w:line="240" w:lineRule="auto"/>
        <w:ind w:firstLine="360"/>
        <w:rPr>
          <w:rFonts w:ascii="Times New Roman" w:hAnsi="Times New Roman" w:cs="Times New Roman"/>
          <w:sz w:val="24"/>
        </w:rPr>
      </w:pPr>
      <w:r w:rsidRPr="002B4414">
        <w:rPr>
          <w:rFonts w:ascii="Times New Roman" w:hAnsi="Times New Roman" w:cs="Times New Roman"/>
          <w:sz w:val="24"/>
        </w:rPr>
        <w:t>The purpose of this report is to present the e</w:t>
      </w:r>
      <w:r>
        <w:rPr>
          <w:rFonts w:ascii="Times New Roman" w:hAnsi="Times New Roman" w:cs="Times New Roman"/>
          <w:sz w:val="24"/>
        </w:rPr>
        <w:t xml:space="preserve">pidemiology of </w:t>
      </w:r>
      <w:r w:rsidR="002F7319">
        <w:rPr>
          <w:rFonts w:ascii="Times New Roman" w:hAnsi="Times New Roman" w:cs="Times New Roman"/>
          <w:sz w:val="24"/>
        </w:rPr>
        <w:t>oropharyngeal</w:t>
      </w:r>
      <w:r>
        <w:rPr>
          <w:rFonts w:ascii="Times New Roman" w:hAnsi="Times New Roman" w:cs="Times New Roman"/>
          <w:sz w:val="24"/>
        </w:rPr>
        <w:t xml:space="preserve"> cancer</w:t>
      </w:r>
      <w:r w:rsidRPr="002B4414">
        <w:rPr>
          <w:rFonts w:ascii="Times New Roman" w:hAnsi="Times New Roman" w:cs="Times New Roman"/>
          <w:sz w:val="24"/>
        </w:rPr>
        <w:t xml:space="preserve"> in Massachusetts from 2004 to 2014. </w:t>
      </w:r>
      <w:r w:rsidR="00A73B4F">
        <w:rPr>
          <w:rFonts w:ascii="Times New Roman" w:hAnsi="Times New Roman" w:cs="Times New Roman"/>
          <w:sz w:val="24"/>
        </w:rPr>
        <w:t xml:space="preserve">Oropharyngeal cancers include cancers that occur on the base of the tongue, tonsils, soft palate, and other oropharynx. </w:t>
      </w:r>
      <w:r w:rsidRPr="002B4414">
        <w:rPr>
          <w:rFonts w:ascii="Times New Roman" w:hAnsi="Times New Roman" w:cs="Times New Roman"/>
          <w:sz w:val="24"/>
        </w:rPr>
        <w:t xml:space="preserve">This report </w:t>
      </w:r>
      <w:r>
        <w:rPr>
          <w:rFonts w:ascii="Times New Roman" w:hAnsi="Times New Roman" w:cs="Times New Roman"/>
          <w:sz w:val="24"/>
        </w:rPr>
        <w:t>describes</w:t>
      </w:r>
      <w:r w:rsidRPr="002B4414">
        <w:rPr>
          <w:rFonts w:ascii="Times New Roman" w:hAnsi="Times New Roman" w:cs="Times New Roman"/>
          <w:sz w:val="24"/>
        </w:rPr>
        <w:t xml:space="preserve"> the</w:t>
      </w:r>
      <w:r>
        <w:rPr>
          <w:rFonts w:ascii="Times New Roman" w:hAnsi="Times New Roman" w:cs="Times New Roman"/>
          <w:sz w:val="24"/>
        </w:rPr>
        <w:t xml:space="preserve"> incidence, mortality, </w:t>
      </w:r>
      <w:r w:rsidRPr="002B4414">
        <w:rPr>
          <w:rFonts w:ascii="Times New Roman" w:hAnsi="Times New Roman" w:cs="Times New Roman"/>
          <w:sz w:val="24"/>
        </w:rPr>
        <w:t>trends</w:t>
      </w:r>
      <w:r>
        <w:rPr>
          <w:rFonts w:ascii="Times New Roman" w:hAnsi="Times New Roman" w:cs="Times New Roman"/>
          <w:sz w:val="24"/>
        </w:rPr>
        <w:t xml:space="preserve"> </w:t>
      </w:r>
      <w:r w:rsidR="00BF7F32">
        <w:rPr>
          <w:rFonts w:ascii="Times New Roman" w:hAnsi="Times New Roman" w:cs="Times New Roman"/>
          <w:sz w:val="24"/>
        </w:rPr>
        <w:t>over time</w:t>
      </w:r>
      <w:r>
        <w:rPr>
          <w:rFonts w:ascii="Times New Roman" w:hAnsi="Times New Roman" w:cs="Times New Roman"/>
          <w:sz w:val="24"/>
        </w:rPr>
        <w:t>,</w:t>
      </w:r>
      <w:r w:rsidRPr="002B4414">
        <w:rPr>
          <w:rFonts w:ascii="Times New Roman" w:hAnsi="Times New Roman" w:cs="Times New Roman"/>
          <w:sz w:val="24"/>
        </w:rPr>
        <w:t xml:space="preserve"> </w:t>
      </w:r>
      <w:r w:rsidR="00674BDB">
        <w:rPr>
          <w:rFonts w:ascii="Times New Roman" w:hAnsi="Times New Roman" w:cs="Times New Roman"/>
          <w:sz w:val="24"/>
        </w:rPr>
        <w:t xml:space="preserve">percentage of cancers attributable to </w:t>
      </w:r>
      <w:r w:rsidR="00A73B4F">
        <w:rPr>
          <w:rFonts w:ascii="Times New Roman" w:hAnsi="Times New Roman" w:cs="Times New Roman"/>
          <w:sz w:val="24"/>
        </w:rPr>
        <w:t>human papillomavirus (</w:t>
      </w:r>
      <w:r w:rsidR="00674BDB">
        <w:rPr>
          <w:rFonts w:ascii="Times New Roman" w:hAnsi="Times New Roman" w:cs="Times New Roman"/>
          <w:sz w:val="24"/>
        </w:rPr>
        <w:t>HPV</w:t>
      </w:r>
      <w:r w:rsidR="00A73B4F">
        <w:rPr>
          <w:rFonts w:ascii="Times New Roman" w:hAnsi="Times New Roman" w:cs="Times New Roman"/>
          <w:sz w:val="24"/>
        </w:rPr>
        <w:t>)</w:t>
      </w:r>
      <w:r w:rsidR="00674BDB">
        <w:rPr>
          <w:rFonts w:ascii="Times New Roman" w:hAnsi="Times New Roman" w:cs="Times New Roman"/>
          <w:sz w:val="24"/>
        </w:rPr>
        <w:t xml:space="preserve"> infection</w:t>
      </w:r>
      <w:r w:rsidR="00E63410">
        <w:rPr>
          <w:rFonts w:ascii="Times New Roman" w:hAnsi="Times New Roman" w:cs="Times New Roman"/>
          <w:sz w:val="24"/>
        </w:rPr>
        <w:t xml:space="preserve">, </w:t>
      </w:r>
      <w:r w:rsidR="0024783A">
        <w:rPr>
          <w:rFonts w:ascii="Times New Roman" w:hAnsi="Times New Roman" w:cs="Times New Roman"/>
          <w:sz w:val="24"/>
        </w:rPr>
        <w:t xml:space="preserve">and </w:t>
      </w:r>
      <w:r w:rsidR="00E63410">
        <w:rPr>
          <w:rFonts w:ascii="Times New Roman" w:hAnsi="Times New Roman" w:cs="Times New Roman"/>
          <w:sz w:val="24"/>
        </w:rPr>
        <w:t>risk factors for oropharyngeal cancer,</w:t>
      </w:r>
      <w:r w:rsidR="00674BDB">
        <w:rPr>
          <w:rFonts w:ascii="Times New Roman" w:hAnsi="Times New Roman" w:cs="Times New Roman"/>
          <w:sz w:val="24"/>
        </w:rPr>
        <w:t xml:space="preserve"> </w:t>
      </w:r>
      <w:r w:rsidRPr="002B4414">
        <w:rPr>
          <w:rFonts w:ascii="Times New Roman" w:hAnsi="Times New Roman" w:cs="Times New Roman"/>
          <w:sz w:val="24"/>
        </w:rPr>
        <w:t>and compares the findings</w:t>
      </w:r>
      <w:r w:rsidR="00A73B4F">
        <w:rPr>
          <w:rFonts w:ascii="Times New Roman" w:hAnsi="Times New Roman" w:cs="Times New Roman"/>
          <w:sz w:val="24"/>
        </w:rPr>
        <w:t xml:space="preserve"> from Massachusetts</w:t>
      </w:r>
      <w:r w:rsidRPr="002B4414">
        <w:rPr>
          <w:rFonts w:ascii="Times New Roman" w:hAnsi="Times New Roman" w:cs="Times New Roman"/>
          <w:sz w:val="24"/>
        </w:rPr>
        <w:t xml:space="preserve"> to national data</w:t>
      </w:r>
      <w:r w:rsidR="00A73B4F">
        <w:rPr>
          <w:rFonts w:ascii="Times New Roman" w:hAnsi="Times New Roman" w:cs="Times New Roman"/>
          <w:sz w:val="24"/>
        </w:rPr>
        <w:t xml:space="preserve"> on oropharyngeal cancer</w:t>
      </w:r>
      <w:r w:rsidRPr="002B4414">
        <w:rPr>
          <w:rFonts w:ascii="Times New Roman" w:hAnsi="Times New Roman" w:cs="Times New Roman"/>
          <w:sz w:val="24"/>
        </w:rPr>
        <w:t>.</w:t>
      </w:r>
      <w:r w:rsidR="00A73B4F" w:rsidRPr="00A73B4F">
        <w:rPr>
          <w:rFonts w:ascii="Times New Roman" w:hAnsi="Times New Roman" w:cs="Times New Roman"/>
          <w:sz w:val="24"/>
        </w:rPr>
        <w:t xml:space="preserve"> </w:t>
      </w:r>
      <w:r w:rsidR="00A73B4F">
        <w:rPr>
          <w:rFonts w:ascii="Times New Roman" w:hAnsi="Times New Roman" w:cs="Times New Roman"/>
          <w:sz w:val="24"/>
        </w:rPr>
        <w:t xml:space="preserve">Data are from the Massachusetts Cancer Registry and Massachusetts Registry of Viral Records and Statistics. </w:t>
      </w:r>
      <w:r w:rsidRPr="002B4414">
        <w:rPr>
          <w:rFonts w:ascii="Times New Roman" w:hAnsi="Times New Roman" w:cs="Times New Roman"/>
          <w:sz w:val="24"/>
        </w:rPr>
        <w:t xml:space="preserve"> </w:t>
      </w:r>
      <w:r w:rsidR="002F7319">
        <w:rPr>
          <w:rFonts w:ascii="Times New Roman" w:hAnsi="Times New Roman" w:cs="Times New Roman"/>
          <w:sz w:val="24"/>
        </w:rPr>
        <w:t>R</w:t>
      </w:r>
      <w:r w:rsidR="007F7BA9">
        <w:rPr>
          <w:rFonts w:ascii="Times New Roman" w:hAnsi="Times New Roman" w:cs="Times New Roman"/>
          <w:sz w:val="24"/>
        </w:rPr>
        <w:t xml:space="preserve">ates of </w:t>
      </w:r>
      <w:r w:rsidR="00DC3C58">
        <w:rPr>
          <w:rFonts w:ascii="Times New Roman" w:hAnsi="Times New Roman" w:cs="Times New Roman"/>
          <w:sz w:val="24"/>
        </w:rPr>
        <w:t>HPV</w:t>
      </w:r>
      <w:r w:rsidR="002F7319">
        <w:rPr>
          <w:rFonts w:ascii="Times New Roman" w:hAnsi="Times New Roman" w:cs="Times New Roman"/>
          <w:sz w:val="24"/>
        </w:rPr>
        <w:t xml:space="preserve"> </w:t>
      </w:r>
      <w:r w:rsidR="007F7BA9">
        <w:rPr>
          <w:rFonts w:ascii="Times New Roman" w:hAnsi="Times New Roman" w:cs="Times New Roman"/>
          <w:sz w:val="24"/>
        </w:rPr>
        <w:t xml:space="preserve">vaccination </w:t>
      </w:r>
      <w:r w:rsidR="0024783A">
        <w:rPr>
          <w:rFonts w:ascii="Times New Roman" w:hAnsi="Times New Roman" w:cs="Times New Roman"/>
          <w:sz w:val="24"/>
        </w:rPr>
        <w:t xml:space="preserve">in Massachusetts </w:t>
      </w:r>
      <w:r w:rsidR="007F7BA9">
        <w:rPr>
          <w:rFonts w:ascii="Times New Roman" w:hAnsi="Times New Roman" w:cs="Times New Roman"/>
          <w:sz w:val="24"/>
        </w:rPr>
        <w:t xml:space="preserve">are examined. </w:t>
      </w:r>
      <w:r w:rsidR="00A73B4F">
        <w:rPr>
          <w:rFonts w:ascii="Times New Roman" w:hAnsi="Times New Roman" w:cs="Times New Roman"/>
          <w:sz w:val="24"/>
        </w:rPr>
        <w:t xml:space="preserve">A quick summary of risk factors not related to HPV infection are examined. </w:t>
      </w:r>
    </w:p>
    <w:p w:rsidR="00505331" w:rsidRDefault="00505331" w:rsidP="008358B2">
      <w:pPr>
        <w:spacing w:after="0" w:line="240" w:lineRule="auto"/>
        <w:ind w:firstLine="360"/>
        <w:rPr>
          <w:rFonts w:ascii="Times New Roman" w:hAnsi="Times New Roman" w:cs="Times New Roman"/>
          <w:sz w:val="24"/>
        </w:rPr>
      </w:pPr>
    </w:p>
    <w:p w:rsidR="00505331" w:rsidRDefault="00505331" w:rsidP="008358B2">
      <w:pPr>
        <w:spacing w:after="0" w:line="240" w:lineRule="auto"/>
        <w:ind w:firstLine="360"/>
        <w:rPr>
          <w:rFonts w:ascii="Times New Roman" w:hAnsi="Times New Roman" w:cs="Times New Roman"/>
          <w:sz w:val="24"/>
        </w:rPr>
      </w:pPr>
    </w:p>
    <w:p w:rsidR="00A73B4F" w:rsidRPr="002B4414" w:rsidRDefault="00A73B4F" w:rsidP="008358B2">
      <w:pPr>
        <w:spacing w:after="0" w:line="240" w:lineRule="auto"/>
        <w:ind w:firstLine="360"/>
        <w:rPr>
          <w:rFonts w:ascii="Times New Roman" w:hAnsi="Times New Roman" w:cs="Times New Roman"/>
          <w:sz w:val="24"/>
        </w:rPr>
      </w:pPr>
    </w:p>
    <w:p w:rsidR="00091D52" w:rsidRDefault="00091D52" w:rsidP="00553017">
      <w:pPr>
        <w:spacing w:after="0" w:line="240" w:lineRule="auto"/>
        <w:rPr>
          <w:rFonts w:ascii="Times New Roman" w:hAnsi="Times New Roman" w:cs="Times New Roman"/>
          <w:noProof/>
          <w:color w:val="1F497D" w:themeColor="text2"/>
          <w:sz w:val="28"/>
        </w:rPr>
      </w:pPr>
    </w:p>
    <w:p w:rsidR="00705F99" w:rsidRDefault="00705F99" w:rsidP="00553017">
      <w:pPr>
        <w:spacing w:after="0" w:line="240" w:lineRule="auto"/>
        <w:rPr>
          <w:rFonts w:ascii="Times New Roman" w:hAnsi="Times New Roman" w:cs="Times New Roman"/>
          <w:noProof/>
          <w:color w:val="1F497D" w:themeColor="text2"/>
          <w:sz w:val="28"/>
        </w:rPr>
      </w:pPr>
    </w:p>
    <w:p w:rsidR="00705F99" w:rsidRDefault="00705F99" w:rsidP="00553017">
      <w:pPr>
        <w:spacing w:after="0" w:line="240" w:lineRule="auto"/>
        <w:rPr>
          <w:rFonts w:ascii="Times New Roman" w:hAnsi="Times New Roman" w:cs="Times New Roman"/>
          <w:noProof/>
          <w:color w:val="1F497D" w:themeColor="text2"/>
          <w:sz w:val="28"/>
        </w:rPr>
      </w:pPr>
    </w:p>
    <w:p w:rsidR="00705F99" w:rsidRDefault="00705F99" w:rsidP="00553017">
      <w:pPr>
        <w:spacing w:after="0" w:line="240" w:lineRule="auto"/>
        <w:rPr>
          <w:rFonts w:ascii="Times New Roman" w:hAnsi="Times New Roman" w:cs="Times New Roman"/>
          <w:noProof/>
          <w:color w:val="1F497D" w:themeColor="text2"/>
          <w:sz w:val="28"/>
        </w:rPr>
      </w:pPr>
    </w:p>
    <w:p w:rsidR="00705F99" w:rsidRDefault="00705F99" w:rsidP="00553017">
      <w:pPr>
        <w:spacing w:after="0" w:line="240" w:lineRule="auto"/>
        <w:rPr>
          <w:rFonts w:ascii="Times New Roman" w:hAnsi="Times New Roman" w:cs="Times New Roman"/>
          <w:noProof/>
          <w:color w:val="1F497D" w:themeColor="text2"/>
          <w:sz w:val="28"/>
        </w:rPr>
      </w:pPr>
    </w:p>
    <w:p w:rsidR="00705F99" w:rsidRDefault="00705F99" w:rsidP="00553017">
      <w:pPr>
        <w:spacing w:after="0" w:line="240" w:lineRule="auto"/>
        <w:rPr>
          <w:rFonts w:ascii="Times New Roman" w:hAnsi="Times New Roman" w:cs="Times New Roman"/>
          <w:noProof/>
          <w:color w:val="1F497D" w:themeColor="text2"/>
          <w:sz w:val="28"/>
        </w:rPr>
      </w:pPr>
    </w:p>
    <w:p w:rsidR="00705F99" w:rsidRDefault="00705F99" w:rsidP="00553017">
      <w:pPr>
        <w:spacing w:after="0" w:line="240" w:lineRule="auto"/>
        <w:rPr>
          <w:rFonts w:ascii="Times New Roman" w:hAnsi="Times New Roman" w:cs="Times New Roman"/>
          <w:noProof/>
          <w:color w:val="1F497D" w:themeColor="text2"/>
          <w:sz w:val="28"/>
        </w:rPr>
      </w:pPr>
    </w:p>
    <w:p w:rsidR="00705F99" w:rsidRDefault="00705F99" w:rsidP="00553017">
      <w:pPr>
        <w:spacing w:after="0" w:line="240" w:lineRule="auto"/>
        <w:rPr>
          <w:rFonts w:ascii="Times New Roman" w:hAnsi="Times New Roman" w:cs="Times New Roman"/>
          <w:noProof/>
          <w:color w:val="1F497D" w:themeColor="text2"/>
          <w:sz w:val="28"/>
        </w:rPr>
      </w:pPr>
    </w:p>
    <w:p w:rsidR="00705F99" w:rsidRDefault="00705F99" w:rsidP="00553017">
      <w:pPr>
        <w:spacing w:after="0" w:line="240" w:lineRule="auto"/>
        <w:rPr>
          <w:rFonts w:ascii="Times New Roman" w:hAnsi="Times New Roman" w:cs="Times New Roman"/>
          <w:noProof/>
          <w:color w:val="1F497D" w:themeColor="text2"/>
          <w:sz w:val="28"/>
        </w:rPr>
      </w:pPr>
    </w:p>
    <w:p w:rsidR="00705F99" w:rsidRDefault="00705F99" w:rsidP="00553017">
      <w:pPr>
        <w:spacing w:after="0" w:line="240" w:lineRule="auto"/>
        <w:rPr>
          <w:rFonts w:ascii="Times New Roman" w:hAnsi="Times New Roman" w:cs="Times New Roman"/>
          <w:noProof/>
          <w:color w:val="1F497D" w:themeColor="text2"/>
          <w:sz w:val="28"/>
        </w:rPr>
      </w:pPr>
    </w:p>
    <w:p w:rsidR="00705F99" w:rsidRDefault="00705F99" w:rsidP="00553017">
      <w:pPr>
        <w:spacing w:after="0" w:line="240" w:lineRule="auto"/>
        <w:rPr>
          <w:rFonts w:ascii="Times New Roman" w:hAnsi="Times New Roman" w:cs="Times New Roman"/>
          <w:noProof/>
          <w:color w:val="1F497D" w:themeColor="text2"/>
          <w:sz w:val="28"/>
        </w:rPr>
      </w:pPr>
    </w:p>
    <w:p w:rsidR="00705F99" w:rsidRDefault="00705F99" w:rsidP="00553017">
      <w:pPr>
        <w:spacing w:after="0" w:line="240" w:lineRule="auto"/>
        <w:rPr>
          <w:rFonts w:ascii="Times New Roman" w:hAnsi="Times New Roman" w:cs="Times New Roman"/>
          <w:noProof/>
          <w:color w:val="1F497D" w:themeColor="text2"/>
          <w:sz w:val="28"/>
        </w:rPr>
      </w:pPr>
    </w:p>
    <w:p w:rsidR="00705F99" w:rsidRDefault="00705F99" w:rsidP="00553017">
      <w:pPr>
        <w:spacing w:after="0" w:line="240" w:lineRule="auto"/>
        <w:rPr>
          <w:rFonts w:ascii="Times New Roman" w:hAnsi="Times New Roman" w:cs="Times New Roman"/>
          <w:noProof/>
          <w:color w:val="1F497D" w:themeColor="text2"/>
          <w:sz w:val="28"/>
        </w:rPr>
      </w:pPr>
    </w:p>
    <w:p w:rsidR="00705F99" w:rsidRDefault="00705F99" w:rsidP="00553017">
      <w:pPr>
        <w:spacing w:after="0" w:line="240" w:lineRule="auto"/>
        <w:rPr>
          <w:rFonts w:ascii="Times New Roman" w:hAnsi="Times New Roman" w:cs="Times New Roman"/>
          <w:noProof/>
          <w:color w:val="1F497D" w:themeColor="text2"/>
          <w:sz w:val="28"/>
        </w:rPr>
      </w:pPr>
    </w:p>
    <w:p w:rsidR="00705F99" w:rsidRPr="00A73B4F" w:rsidRDefault="00705F99" w:rsidP="00553017">
      <w:pPr>
        <w:spacing w:after="0" w:line="240" w:lineRule="auto"/>
        <w:rPr>
          <w:rFonts w:ascii="Times New Roman" w:hAnsi="Times New Roman" w:cs="Times New Roman"/>
          <w:color w:val="1F497D" w:themeColor="text2"/>
          <w:sz w:val="24"/>
        </w:rPr>
      </w:pPr>
    </w:p>
    <w:p w:rsidR="00A73B4F" w:rsidRPr="00A73B4F" w:rsidRDefault="00A73B4F" w:rsidP="00553017">
      <w:pPr>
        <w:spacing w:after="0" w:line="240" w:lineRule="auto"/>
        <w:rPr>
          <w:rFonts w:ascii="Times New Roman" w:hAnsi="Times New Roman" w:cs="Times New Roman"/>
          <w:color w:val="1F497D" w:themeColor="text2"/>
          <w:sz w:val="28"/>
        </w:rPr>
      </w:pPr>
    </w:p>
    <w:p w:rsidR="00A73B4F" w:rsidRDefault="00A73B4F" w:rsidP="00553017">
      <w:pPr>
        <w:spacing w:after="0" w:line="240" w:lineRule="auto"/>
        <w:rPr>
          <w:rFonts w:ascii="Times New Roman" w:hAnsi="Times New Roman" w:cs="Times New Roman"/>
          <w:b/>
          <w:color w:val="1F497D" w:themeColor="text2"/>
          <w:sz w:val="28"/>
        </w:rPr>
      </w:pPr>
    </w:p>
    <w:p w:rsidR="00A73B4F" w:rsidRDefault="00A73B4F" w:rsidP="00553017">
      <w:pPr>
        <w:spacing w:after="0" w:line="240" w:lineRule="auto"/>
        <w:rPr>
          <w:rFonts w:ascii="Times New Roman" w:hAnsi="Times New Roman" w:cs="Times New Roman"/>
          <w:b/>
          <w:color w:val="1F497D" w:themeColor="text2"/>
          <w:sz w:val="28"/>
        </w:rPr>
      </w:pPr>
    </w:p>
    <w:p w:rsidR="00A73B4F" w:rsidRDefault="00A73B4F" w:rsidP="00553017">
      <w:pPr>
        <w:spacing w:after="0" w:line="240" w:lineRule="auto"/>
        <w:rPr>
          <w:rFonts w:ascii="Times New Roman" w:hAnsi="Times New Roman" w:cs="Times New Roman"/>
          <w:b/>
          <w:color w:val="1F497D" w:themeColor="text2"/>
          <w:sz w:val="28"/>
        </w:rPr>
      </w:pPr>
    </w:p>
    <w:p w:rsidR="00E17B36" w:rsidRPr="00A73B4F" w:rsidRDefault="00A73B4F" w:rsidP="00553017">
      <w:pPr>
        <w:spacing w:after="0" w:line="240" w:lineRule="auto"/>
        <w:rPr>
          <w:rFonts w:ascii="Times New Roman" w:hAnsi="Times New Roman" w:cs="Times New Roman"/>
          <w:b/>
          <w:color w:val="1F497D" w:themeColor="text2"/>
          <w:sz w:val="28"/>
        </w:rPr>
      </w:pPr>
      <w:r w:rsidRPr="00A73B4F">
        <w:rPr>
          <w:rFonts w:ascii="Times New Roman" w:hAnsi="Times New Roman" w:cs="Times New Roman"/>
          <w:b/>
          <w:color w:val="1F497D" w:themeColor="text2"/>
          <w:sz w:val="28"/>
        </w:rPr>
        <w:t>KEY FINDINGS</w:t>
      </w:r>
    </w:p>
    <w:p w:rsidR="00A73B4F" w:rsidRPr="00AD3E68" w:rsidRDefault="00A73B4F" w:rsidP="00A73B4F">
      <w:pPr>
        <w:pStyle w:val="ListParagraph"/>
        <w:numPr>
          <w:ilvl w:val="0"/>
          <w:numId w:val="5"/>
        </w:numPr>
        <w:spacing w:after="0" w:line="240" w:lineRule="auto"/>
        <w:ind w:left="180" w:hanging="180"/>
        <w:rPr>
          <w:rFonts w:ascii="Times New Roman" w:hAnsi="Times New Roman" w:cs="Times New Roman"/>
          <w:b/>
          <w:color w:val="1F497D" w:themeColor="text2"/>
          <w:sz w:val="24"/>
        </w:rPr>
      </w:pPr>
      <w:r>
        <w:rPr>
          <w:rFonts w:ascii="Times New Roman" w:hAnsi="Times New Roman" w:cs="Times New Roman"/>
          <w:sz w:val="24"/>
        </w:rPr>
        <w:t xml:space="preserve">In Massachusetts from 2004-2014, oropharyngeal cancer was the most common HPV-associated cancer among </w:t>
      </w:r>
      <w:r w:rsidR="00DC3C58">
        <w:rPr>
          <w:rFonts w:ascii="Times New Roman" w:hAnsi="Times New Roman" w:cs="Times New Roman"/>
          <w:sz w:val="24"/>
        </w:rPr>
        <w:t>males</w:t>
      </w:r>
      <w:r>
        <w:rPr>
          <w:rFonts w:ascii="Times New Roman" w:hAnsi="Times New Roman" w:cs="Times New Roman"/>
          <w:sz w:val="24"/>
        </w:rPr>
        <w:t xml:space="preserve"> and the third most common HPV-associated cancer among </w:t>
      </w:r>
      <w:r w:rsidR="00DC3C58">
        <w:rPr>
          <w:rFonts w:ascii="Times New Roman" w:hAnsi="Times New Roman" w:cs="Times New Roman"/>
          <w:sz w:val="24"/>
        </w:rPr>
        <w:t>females</w:t>
      </w:r>
      <w:r>
        <w:rPr>
          <w:rFonts w:ascii="Times New Roman" w:hAnsi="Times New Roman" w:cs="Times New Roman"/>
          <w:sz w:val="24"/>
        </w:rPr>
        <w:t xml:space="preserve">. </w:t>
      </w:r>
    </w:p>
    <w:p w:rsidR="00A73B4F" w:rsidRPr="00AD3E68" w:rsidRDefault="00A73B4F" w:rsidP="00A73B4F">
      <w:pPr>
        <w:pStyle w:val="ListParagraph"/>
        <w:spacing w:after="0" w:line="240" w:lineRule="auto"/>
        <w:ind w:left="180"/>
        <w:rPr>
          <w:rFonts w:ascii="Times New Roman" w:hAnsi="Times New Roman" w:cs="Times New Roman"/>
          <w:b/>
          <w:color w:val="1F497D" w:themeColor="text2"/>
          <w:sz w:val="24"/>
        </w:rPr>
      </w:pPr>
    </w:p>
    <w:p w:rsidR="00A73B4F" w:rsidRPr="0090233B" w:rsidRDefault="00A73B4F" w:rsidP="00A73B4F">
      <w:pPr>
        <w:pStyle w:val="ListParagraph"/>
        <w:numPr>
          <w:ilvl w:val="0"/>
          <w:numId w:val="5"/>
        </w:numPr>
        <w:spacing w:after="0" w:line="240" w:lineRule="auto"/>
        <w:ind w:left="180" w:hanging="180"/>
        <w:rPr>
          <w:rFonts w:ascii="Times New Roman" w:hAnsi="Times New Roman" w:cs="Times New Roman"/>
          <w:b/>
          <w:color w:val="1F497D" w:themeColor="text2"/>
          <w:sz w:val="24"/>
        </w:rPr>
      </w:pPr>
      <w:r>
        <w:rPr>
          <w:rFonts w:ascii="Times New Roman" w:hAnsi="Times New Roman" w:cs="Times New Roman"/>
          <w:sz w:val="24"/>
        </w:rPr>
        <w:t xml:space="preserve">Oropharyngeal cancer was the most common cause of death from an HPV-associated cancer for </w:t>
      </w:r>
      <w:r w:rsidR="00DC3C58">
        <w:rPr>
          <w:rFonts w:ascii="Times New Roman" w:hAnsi="Times New Roman" w:cs="Times New Roman"/>
          <w:sz w:val="24"/>
        </w:rPr>
        <w:t>males</w:t>
      </w:r>
      <w:r>
        <w:rPr>
          <w:rFonts w:ascii="Times New Roman" w:hAnsi="Times New Roman" w:cs="Times New Roman"/>
          <w:sz w:val="24"/>
        </w:rPr>
        <w:t xml:space="preserve"> and second most common cause of death from an HPV-associated cancer for </w:t>
      </w:r>
      <w:r w:rsidR="00DC3C58">
        <w:rPr>
          <w:rFonts w:ascii="Times New Roman" w:hAnsi="Times New Roman" w:cs="Times New Roman"/>
          <w:sz w:val="24"/>
        </w:rPr>
        <w:t>females</w:t>
      </w:r>
      <w:r>
        <w:rPr>
          <w:rFonts w:ascii="Times New Roman" w:hAnsi="Times New Roman" w:cs="Times New Roman"/>
          <w:sz w:val="24"/>
        </w:rPr>
        <w:t xml:space="preserve"> from 2008-2014 in Massachusetts. </w:t>
      </w:r>
    </w:p>
    <w:p w:rsidR="00A73B4F" w:rsidRPr="00B6199B" w:rsidRDefault="00A73B4F" w:rsidP="00A73B4F">
      <w:pPr>
        <w:pStyle w:val="ListParagraph"/>
        <w:spacing w:after="0" w:line="240" w:lineRule="auto"/>
        <w:ind w:left="180"/>
        <w:rPr>
          <w:rFonts w:ascii="Times New Roman" w:hAnsi="Times New Roman" w:cs="Times New Roman"/>
          <w:b/>
          <w:color w:val="1F497D" w:themeColor="text2"/>
          <w:sz w:val="24"/>
        </w:rPr>
      </w:pPr>
    </w:p>
    <w:p w:rsidR="00A73B4F" w:rsidRPr="00AD3E68" w:rsidRDefault="00A73B4F" w:rsidP="00A73B4F">
      <w:pPr>
        <w:pStyle w:val="ListParagraph"/>
        <w:numPr>
          <w:ilvl w:val="0"/>
          <w:numId w:val="5"/>
        </w:numPr>
        <w:spacing w:after="0" w:line="240" w:lineRule="auto"/>
        <w:ind w:left="180" w:hanging="180"/>
        <w:rPr>
          <w:rFonts w:ascii="Times New Roman" w:hAnsi="Times New Roman" w:cs="Times New Roman"/>
          <w:b/>
          <w:color w:val="1F497D" w:themeColor="text2"/>
          <w:sz w:val="24"/>
        </w:rPr>
      </w:pPr>
      <w:r>
        <w:rPr>
          <w:rFonts w:ascii="Times New Roman" w:hAnsi="Times New Roman" w:cs="Times New Roman"/>
          <w:sz w:val="24"/>
        </w:rPr>
        <w:t xml:space="preserve">The incidence rate of oropharyngeal cancer among </w:t>
      </w:r>
      <w:r w:rsidR="00DC3C58">
        <w:rPr>
          <w:rFonts w:ascii="Times New Roman" w:hAnsi="Times New Roman" w:cs="Times New Roman"/>
          <w:sz w:val="24"/>
        </w:rPr>
        <w:t>males</w:t>
      </w:r>
      <w:r>
        <w:rPr>
          <w:rFonts w:ascii="Times New Roman" w:hAnsi="Times New Roman" w:cs="Times New Roman"/>
          <w:sz w:val="24"/>
        </w:rPr>
        <w:t xml:space="preserve"> in Massachusetts has been increasing by 2.8% each year from 2004-2014</w:t>
      </w:r>
      <w:r w:rsidR="00505331">
        <w:rPr>
          <w:rFonts w:ascii="Times New Roman" w:hAnsi="Times New Roman" w:cs="Times New Roman"/>
          <w:sz w:val="24"/>
        </w:rPr>
        <w:t xml:space="preserve"> with statistical significance. </w:t>
      </w:r>
    </w:p>
    <w:p w:rsidR="00A73B4F" w:rsidRPr="00AD3E68" w:rsidRDefault="00A73B4F" w:rsidP="00A73B4F">
      <w:pPr>
        <w:pStyle w:val="ListParagraph"/>
        <w:rPr>
          <w:rFonts w:ascii="Times New Roman" w:hAnsi="Times New Roman" w:cs="Times New Roman"/>
          <w:sz w:val="24"/>
        </w:rPr>
      </w:pPr>
    </w:p>
    <w:p w:rsidR="00A73B4F" w:rsidRPr="00AD3E68" w:rsidRDefault="00A73B4F" w:rsidP="00A73B4F">
      <w:pPr>
        <w:pStyle w:val="ListParagraph"/>
        <w:numPr>
          <w:ilvl w:val="0"/>
          <w:numId w:val="5"/>
        </w:numPr>
        <w:spacing w:after="0" w:line="240" w:lineRule="auto"/>
        <w:ind w:left="180" w:hanging="180"/>
        <w:rPr>
          <w:rFonts w:ascii="Times New Roman" w:hAnsi="Times New Roman" w:cs="Times New Roman"/>
          <w:b/>
          <w:color w:val="1F497D" w:themeColor="text2"/>
          <w:sz w:val="24"/>
        </w:rPr>
      </w:pPr>
      <w:r w:rsidRPr="00AD3E68">
        <w:rPr>
          <w:rFonts w:ascii="Times New Roman" w:hAnsi="Times New Roman" w:cs="Times New Roman"/>
          <w:sz w:val="24"/>
        </w:rPr>
        <w:t>The age-adjusted incidence rate of oropharyngeal cancer was 4.1 times higher among Massachusetts males than among females</w:t>
      </w:r>
      <w:r>
        <w:rPr>
          <w:rFonts w:ascii="Times New Roman" w:hAnsi="Times New Roman" w:cs="Times New Roman"/>
          <w:sz w:val="24"/>
        </w:rPr>
        <w:t>.</w:t>
      </w:r>
    </w:p>
    <w:p w:rsidR="00A73B4F" w:rsidRPr="00AD3E68" w:rsidRDefault="00A73B4F" w:rsidP="00A73B4F">
      <w:pPr>
        <w:pStyle w:val="ListParagraph"/>
        <w:rPr>
          <w:rFonts w:ascii="Times New Roman" w:hAnsi="Times New Roman" w:cs="Times New Roman"/>
          <w:b/>
          <w:color w:val="1F497D" w:themeColor="text2"/>
          <w:sz w:val="24"/>
        </w:rPr>
      </w:pPr>
    </w:p>
    <w:p w:rsidR="00A73B4F" w:rsidRPr="0090233B" w:rsidRDefault="00A73B4F" w:rsidP="00A73B4F">
      <w:pPr>
        <w:pStyle w:val="ListParagraph"/>
        <w:numPr>
          <w:ilvl w:val="0"/>
          <w:numId w:val="5"/>
        </w:numPr>
        <w:spacing w:after="0" w:line="240" w:lineRule="auto"/>
        <w:ind w:left="180" w:hanging="180"/>
        <w:rPr>
          <w:rFonts w:ascii="Times New Roman" w:hAnsi="Times New Roman" w:cs="Times New Roman"/>
          <w:sz w:val="24"/>
        </w:rPr>
      </w:pPr>
      <w:r w:rsidRPr="0090233B">
        <w:rPr>
          <w:rFonts w:ascii="Times New Roman" w:hAnsi="Times New Roman" w:cs="Times New Roman"/>
          <w:sz w:val="24"/>
        </w:rPr>
        <w:t>The inci</w:t>
      </w:r>
      <w:r>
        <w:rPr>
          <w:rFonts w:ascii="Times New Roman" w:hAnsi="Times New Roman" w:cs="Times New Roman"/>
          <w:sz w:val="24"/>
        </w:rPr>
        <w:t>dence rate of oropharyngeal cancer is higher in</w:t>
      </w:r>
      <w:r w:rsidRPr="0090233B">
        <w:rPr>
          <w:rFonts w:ascii="Times New Roman" w:hAnsi="Times New Roman" w:cs="Times New Roman"/>
          <w:sz w:val="24"/>
        </w:rPr>
        <w:t xml:space="preserve"> Massachusetts </w:t>
      </w:r>
      <w:r>
        <w:rPr>
          <w:rFonts w:ascii="Times New Roman" w:hAnsi="Times New Roman" w:cs="Times New Roman"/>
          <w:sz w:val="24"/>
        </w:rPr>
        <w:t>than</w:t>
      </w:r>
      <w:r w:rsidRPr="0090233B">
        <w:rPr>
          <w:rFonts w:ascii="Times New Roman" w:hAnsi="Times New Roman" w:cs="Times New Roman"/>
          <w:sz w:val="24"/>
        </w:rPr>
        <w:t xml:space="preserve"> </w:t>
      </w:r>
      <w:r>
        <w:rPr>
          <w:rFonts w:ascii="Times New Roman" w:hAnsi="Times New Roman" w:cs="Times New Roman"/>
          <w:sz w:val="24"/>
        </w:rPr>
        <w:t>the United States</w:t>
      </w:r>
      <w:r w:rsidRPr="0090233B">
        <w:rPr>
          <w:rFonts w:ascii="Times New Roman" w:hAnsi="Times New Roman" w:cs="Times New Roman"/>
          <w:sz w:val="24"/>
        </w:rPr>
        <w:t xml:space="preserve">. </w:t>
      </w:r>
    </w:p>
    <w:p w:rsidR="00A73B4F" w:rsidRDefault="00A73B4F" w:rsidP="00553017">
      <w:pPr>
        <w:spacing w:after="0" w:line="240" w:lineRule="auto"/>
        <w:rPr>
          <w:rFonts w:ascii="Times New Roman" w:hAnsi="Times New Roman" w:cs="Times New Roman"/>
          <w:b/>
          <w:sz w:val="24"/>
        </w:rPr>
      </w:pPr>
    </w:p>
    <w:p w:rsidR="00A73B4F" w:rsidRDefault="00A73B4F" w:rsidP="00553017">
      <w:pPr>
        <w:spacing w:after="0" w:line="240" w:lineRule="auto"/>
        <w:rPr>
          <w:rFonts w:ascii="Times New Roman" w:hAnsi="Times New Roman" w:cs="Times New Roman"/>
          <w:b/>
          <w:sz w:val="24"/>
        </w:rPr>
      </w:pPr>
    </w:p>
    <w:p w:rsidR="00A73B4F" w:rsidRDefault="00A73B4F" w:rsidP="00553017">
      <w:pPr>
        <w:spacing w:after="0" w:line="240" w:lineRule="auto"/>
        <w:rPr>
          <w:rFonts w:ascii="Times New Roman" w:hAnsi="Times New Roman" w:cs="Times New Roman"/>
          <w:b/>
          <w:sz w:val="24"/>
        </w:rPr>
      </w:pPr>
    </w:p>
    <w:p w:rsidR="00A73B4F" w:rsidRDefault="00A73B4F" w:rsidP="00553017">
      <w:pPr>
        <w:spacing w:after="0" w:line="240" w:lineRule="auto"/>
        <w:rPr>
          <w:rFonts w:ascii="Times New Roman" w:hAnsi="Times New Roman" w:cs="Times New Roman"/>
          <w:b/>
          <w:sz w:val="24"/>
        </w:rPr>
      </w:pPr>
    </w:p>
    <w:p w:rsidR="00A73B4F" w:rsidRDefault="00A73B4F" w:rsidP="00553017">
      <w:pPr>
        <w:spacing w:after="0" w:line="240" w:lineRule="auto"/>
        <w:rPr>
          <w:rFonts w:ascii="Times New Roman" w:hAnsi="Times New Roman" w:cs="Times New Roman"/>
          <w:b/>
          <w:sz w:val="24"/>
        </w:rPr>
      </w:pPr>
    </w:p>
    <w:p w:rsidR="00A73B4F" w:rsidRDefault="00A73B4F" w:rsidP="00553017">
      <w:pPr>
        <w:spacing w:after="0" w:line="240" w:lineRule="auto"/>
        <w:rPr>
          <w:rFonts w:ascii="Times New Roman" w:hAnsi="Times New Roman" w:cs="Times New Roman"/>
          <w:b/>
          <w:sz w:val="24"/>
        </w:rPr>
      </w:pPr>
    </w:p>
    <w:p w:rsidR="00A73B4F" w:rsidRDefault="00A73B4F" w:rsidP="00553017">
      <w:pPr>
        <w:spacing w:after="0" w:line="240" w:lineRule="auto"/>
        <w:rPr>
          <w:rFonts w:ascii="Times New Roman" w:hAnsi="Times New Roman" w:cs="Times New Roman"/>
          <w:b/>
          <w:sz w:val="24"/>
        </w:rPr>
      </w:pPr>
    </w:p>
    <w:p w:rsidR="00A73B4F" w:rsidRDefault="00A73B4F" w:rsidP="00553017">
      <w:pPr>
        <w:spacing w:after="0" w:line="240" w:lineRule="auto"/>
        <w:rPr>
          <w:rFonts w:ascii="Times New Roman" w:hAnsi="Times New Roman" w:cs="Times New Roman"/>
          <w:b/>
          <w:sz w:val="24"/>
        </w:rPr>
      </w:pPr>
    </w:p>
    <w:p w:rsidR="00A73B4F" w:rsidRDefault="00A73B4F" w:rsidP="00553017">
      <w:pPr>
        <w:spacing w:after="0" w:line="240" w:lineRule="auto"/>
        <w:rPr>
          <w:rFonts w:ascii="Times New Roman" w:hAnsi="Times New Roman" w:cs="Times New Roman"/>
          <w:b/>
          <w:sz w:val="24"/>
        </w:rPr>
      </w:pPr>
    </w:p>
    <w:p w:rsidR="00A73B4F" w:rsidRDefault="00A73B4F" w:rsidP="00553017">
      <w:pPr>
        <w:spacing w:after="0" w:line="240" w:lineRule="auto"/>
        <w:rPr>
          <w:rFonts w:ascii="Times New Roman" w:hAnsi="Times New Roman" w:cs="Times New Roman"/>
          <w:b/>
          <w:sz w:val="24"/>
        </w:rPr>
      </w:pPr>
    </w:p>
    <w:p w:rsidR="00A73B4F" w:rsidRDefault="00A73B4F" w:rsidP="00553017">
      <w:pPr>
        <w:spacing w:after="0" w:line="240" w:lineRule="auto"/>
        <w:rPr>
          <w:rFonts w:ascii="Times New Roman" w:hAnsi="Times New Roman" w:cs="Times New Roman"/>
          <w:b/>
          <w:sz w:val="24"/>
        </w:rPr>
      </w:pPr>
    </w:p>
    <w:p w:rsidR="00A73B4F" w:rsidRDefault="00A73B4F" w:rsidP="00553017">
      <w:pPr>
        <w:spacing w:after="0" w:line="240" w:lineRule="auto"/>
        <w:rPr>
          <w:rFonts w:ascii="Times New Roman" w:hAnsi="Times New Roman" w:cs="Times New Roman"/>
          <w:b/>
          <w:sz w:val="24"/>
        </w:rPr>
      </w:pPr>
    </w:p>
    <w:p w:rsidR="00A73B4F" w:rsidRDefault="00A73B4F" w:rsidP="00553017">
      <w:pPr>
        <w:spacing w:after="0" w:line="240" w:lineRule="auto"/>
        <w:rPr>
          <w:rFonts w:ascii="Times New Roman" w:hAnsi="Times New Roman" w:cs="Times New Roman"/>
          <w:b/>
          <w:sz w:val="24"/>
        </w:rPr>
      </w:pPr>
    </w:p>
    <w:p w:rsidR="00A73B4F" w:rsidRDefault="00A73B4F" w:rsidP="00553017">
      <w:pPr>
        <w:spacing w:after="0" w:line="240" w:lineRule="auto"/>
        <w:rPr>
          <w:rFonts w:ascii="Times New Roman" w:hAnsi="Times New Roman" w:cs="Times New Roman"/>
          <w:b/>
          <w:sz w:val="24"/>
        </w:rPr>
      </w:pPr>
    </w:p>
    <w:p w:rsidR="00A73B4F" w:rsidRDefault="00A73B4F" w:rsidP="00553017">
      <w:pPr>
        <w:spacing w:after="0" w:line="240" w:lineRule="auto"/>
        <w:rPr>
          <w:rFonts w:ascii="Times New Roman" w:hAnsi="Times New Roman" w:cs="Times New Roman"/>
          <w:b/>
          <w:sz w:val="24"/>
        </w:rPr>
      </w:pPr>
    </w:p>
    <w:p w:rsidR="00A73B4F" w:rsidRDefault="00A73B4F" w:rsidP="00553017">
      <w:pPr>
        <w:spacing w:after="0" w:line="240" w:lineRule="auto"/>
        <w:rPr>
          <w:rFonts w:ascii="Times New Roman" w:hAnsi="Times New Roman" w:cs="Times New Roman"/>
          <w:b/>
          <w:sz w:val="24"/>
        </w:rPr>
      </w:pPr>
    </w:p>
    <w:p w:rsidR="00A73B4F" w:rsidRDefault="00A73B4F" w:rsidP="00553017">
      <w:pPr>
        <w:spacing w:after="0" w:line="240" w:lineRule="auto"/>
        <w:rPr>
          <w:rFonts w:ascii="Times New Roman" w:hAnsi="Times New Roman" w:cs="Times New Roman"/>
          <w:b/>
          <w:sz w:val="24"/>
        </w:rPr>
      </w:pPr>
    </w:p>
    <w:p w:rsidR="00A73B4F" w:rsidRDefault="00A73B4F" w:rsidP="00553017">
      <w:pPr>
        <w:spacing w:after="0" w:line="240" w:lineRule="auto"/>
        <w:rPr>
          <w:rFonts w:ascii="Times New Roman" w:hAnsi="Times New Roman" w:cs="Times New Roman"/>
          <w:b/>
          <w:sz w:val="24"/>
        </w:rPr>
      </w:pPr>
    </w:p>
    <w:p w:rsidR="00A73B4F" w:rsidRDefault="00A73B4F" w:rsidP="00553017">
      <w:pPr>
        <w:spacing w:after="0" w:line="240" w:lineRule="auto"/>
        <w:rPr>
          <w:rFonts w:ascii="Times New Roman" w:hAnsi="Times New Roman" w:cs="Times New Roman"/>
          <w:b/>
          <w:sz w:val="24"/>
        </w:rPr>
        <w:sectPr w:rsidR="00A73B4F" w:rsidSect="00091D52">
          <w:headerReference w:type="default" r:id="rId11"/>
          <w:footerReference w:type="default" r:id="rId12"/>
          <w:type w:val="continuous"/>
          <w:pgSz w:w="12240" w:h="15840"/>
          <w:pgMar w:top="864" w:right="864" w:bottom="864" w:left="864" w:header="720" w:footer="720" w:gutter="0"/>
          <w:cols w:num="2" w:space="288"/>
          <w:docGrid w:linePitch="360"/>
        </w:sectPr>
      </w:pPr>
    </w:p>
    <w:tbl>
      <w:tblPr>
        <w:tblStyle w:val="TableGrid"/>
        <w:tblW w:w="10800" w:type="dxa"/>
        <w:jc w:val="center"/>
        <w:tblLayout w:type="fixed"/>
        <w:tblLook w:val="04A0" w:firstRow="1" w:lastRow="0" w:firstColumn="1" w:lastColumn="0" w:noHBand="0" w:noVBand="1"/>
      </w:tblPr>
      <w:tblGrid>
        <w:gridCol w:w="2250"/>
        <w:gridCol w:w="1134"/>
        <w:gridCol w:w="1926"/>
        <w:gridCol w:w="2430"/>
        <w:gridCol w:w="1134"/>
        <w:gridCol w:w="1926"/>
      </w:tblGrid>
      <w:tr w:rsidR="005B519D" w:rsidTr="00505331">
        <w:trPr>
          <w:trHeight w:val="504"/>
          <w:jc w:val="center"/>
        </w:trPr>
        <w:tc>
          <w:tcPr>
            <w:tcW w:w="10800" w:type="dxa"/>
            <w:gridSpan w:val="6"/>
            <w:tcBorders>
              <w:top w:val="nil"/>
              <w:left w:val="nil"/>
              <w:right w:val="nil"/>
            </w:tcBorders>
            <w:vAlign w:val="center"/>
          </w:tcPr>
          <w:p w:rsidR="005B519D" w:rsidRPr="00902D3A" w:rsidRDefault="00E63410" w:rsidP="00902D3A">
            <w:pPr>
              <w:rPr>
                <w:rFonts w:ascii="Times New Roman" w:hAnsi="Times New Roman" w:cs="Times New Roman"/>
                <w:b/>
                <w:color w:val="1F497D" w:themeColor="text2"/>
                <w:sz w:val="24"/>
              </w:rPr>
            </w:pPr>
            <w:r>
              <w:rPr>
                <w:rFonts w:ascii="Times New Roman" w:hAnsi="Times New Roman" w:cs="Times New Roman"/>
                <w:b/>
                <w:color w:val="1F497D" w:themeColor="text2"/>
                <w:sz w:val="24"/>
              </w:rPr>
              <w:lastRenderedPageBreak/>
              <w:t>OROPHARYNGEAL</w:t>
            </w:r>
            <w:r w:rsidR="005B519D" w:rsidRPr="00902D3A">
              <w:rPr>
                <w:rFonts w:ascii="Times New Roman" w:hAnsi="Times New Roman" w:cs="Times New Roman"/>
                <w:b/>
                <w:color w:val="1F497D" w:themeColor="text2"/>
                <w:sz w:val="24"/>
              </w:rPr>
              <w:t xml:space="preserve"> CANCER COMPARED WITH OTHER HPV-ASSOCIATED CANCERS</w:t>
            </w:r>
          </w:p>
        </w:tc>
      </w:tr>
      <w:tr w:rsidR="005B519D" w:rsidTr="00091D52">
        <w:trPr>
          <w:trHeight w:val="90"/>
          <w:jc w:val="center"/>
        </w:trPr>
        <w:tc>
          <w:tcPr>
            <w:tcW w:w="10800" w:type="dxa"/>
            <w:gridSpan w:val="6"/>
            <w:tcBorders>
              <w:bottom w:val="single" w:sz="4" w:space="0" w:color="auto"/>
            </w:tcBorders>
            <w:vAlign w:val="center"/>
          </w:tcPr>
          <w:p w:rsidR="005B519D" w:rsidRPr="00902D3A" w:rsidRDefault="005B519D" w:rsidP="00E63410">
            <w:pPr>
              <w:rPr>
                <w:rFonts w:ascii="Times New Roman" w:hAnsi="Times New Roman" w:cs="Times New Roman"/>
                <w:b/>
                <w:color w:val="1F497D" w:themeColor="text2"/>
                <w:sz w:val="24"/>
              </w:rPr>
            </w:pPr>
            <w:r w:rsidRPr="00902D3A">
              <w:rPr>
                <w:rFonts w:ascii="Times New Roman" w:hAnsi="Times New Roman" w:cs="Times New Roman"/>
                <w:b/>
                <w:color w:val="1F497D" w:themeColor="text2"/>
                <w:sz w:val="24"/>
              </w:rPr>
              <w:t>Table 1. Total cases</w:t>
            </w:r>
            <w:r w:rsidR="00F0698F">
              <w:rPr>
                <w:rFonts w:ascii="Times New Roman" w:hAnsi="Times New Roman" w:cs="Times New Roman"/>
                <w:b/>
                <w:color w:val="1F497D" w:themeColor="text2"/>
                <w:sz w:val="24"/>
              </w:rPr>
              <w:t xml:space="preserve"> and</w:t>
            </w:r>
            <w:r w:rsidRPr="00902D3A">
              <w:rPr>
                <w:rFonts w:ascii="Times New Roman" w:hAnsi="Times New Roman" w:cs="Times New Roman"/>
                <w:b/>
                <w:color w:val="1F497D" w:themeColor="text2"/>
                <w:sz w:val="24"/>
              </w:rPr>
              <w:t xml:space="preserve"> </w:t>
            </w:r>
            <w:r>
              <w:rPr>
                <w:rFonts w:ascii="Times New Roman" w:hAnsi="Times New Roman" w:cs="Times New Roman"/>
                <w:b/>
                <w:color w:val="1F497D" w:themeColor="text2"/>
                <w:sz w:val="24"/>
              </w:rPr>
              <w:t xml:space="preserve">age-adjusted </w:t>
            </w:r>
            <w:r w:rsidRPr="00902D3A">
              <w:rPr>
                <w:rFonts w:ascii="Times New Roman" w:hAnsi="Times New Roman" w:cs="Times New Roman"/>
                <w:b/>
                <w:color w:val="1F497D" w:themeColor="text2"/>
                <w:sz w:val="24"/>
              </w:rPr>
              <w:t>incidence rate</w:t>
            </w:r>
            <w:r w:rsidR="00E63410">
              <w:rPr>
                <w:rFonts w:ascii="Times New Roman" w:hAnsi="Times New Roman" w:cs="Times New Roman"/>
                <w:b/>
                <w:color w:val="1F497D" w:themeColor="text2"/>
                <w:sz w:val="24"/>
              </w:rPr>
              <w:t xml:space="preserve">s^ </w:t>
            </w:r>
            <w:r w:rsidRPr="00902D3A">
              <w:rPr>
                <w:rFonts w:ascii="Times New Roman" w:hAnsi="Times New Roman" w:cs="Times New Roman"/>
                <w:b/>
                <w:color w:val="1F497D" w:themeColor="text2"/>
                <w:sz w:val="24"/>
              </w:rPr>
              <w:t>of the most common HPV-associated c</w:t>
            </w:r>
            <w:r w:rsidR="00E63410">
              <w:rPr>
                <w:rFonts w:ascii="Times New Roman" w:hAnsi="Times New Roman" w:cs="Times New Roman"/>
                <w:b/>
                <w:color w:val="1F497D" w:themeColor="text2"/>
                <w:sz w:val="24"/>
              </w:rPr>
              <w:t>ancers</w:t>
            </w:r>
            <w:r>
              <w:rPr>
                <w:rFonts w:ascii="Times New Roman" w:hAnsi="Times New Roman" w:cs="Times New Roman"/>
                <w:b/>
                <w:color w:val="1F497D" w:themeColor="text2"/>
                <w:sz w:val="24"/>
              </w:rPr>
              <w:t>, Massachusetts</w:t>
            </w:r>
            <w:r w:rsidR="00E63410">
              <w:rPr>
                <w:rFonts w:ascii="Times New Roman" w:hAnsi="Times New Roman" w:cs="Times New Roman"/>
                <w:b/>
                <w:color w:val="1F497D" w:themeColor="text2"/>
                <w:sz w:val="24"/>
              </w:rPr>
              <w:t>, 2004-2014</w:t>
            </w:r>
          </w:p>
        </w:tc>
      </w:tr>
      <w:tr w:rsidR="00E72C9E" w:rsidTr="00F0698F">
        <w:trPr>
          <w:trHeight w:val="197"/>
          <w:jc w:val="center"/>
        </w:trPr>
        <w:tc>
          <w:tcPr>
            <w:tcW w:w="5310" w:type="dxa"/>
            <w:gridSpan w:val="3"/>
            <w:tcBorders>
              <w:bottom w:val="nil"/>
            </w:tcBorders>
            <w:vAlign w:val="center"/>
          </w:tcPr>
          <w:p w:rsidR="00E72C9E" w:rsidRPr="00902D3A" w:rsidRDefault="00E72C9E" w:rsidP="00902D3A">
            <w:pPr>
              <w:jc w:val="center"/>
              <w:rPr>
                <w:rFonts w:ascii="Times New Roman" w:hAnsi="Times New Roman" w:cs="Times New Roman"/>
                <w:b/>
                <w:color w:val="1F497D" w:themeColor="text2"/>
                <w:sz w:val="24"/>
              </w:rPr>
            </w:pPr>
            <w:r>
              <w:rPr>
                <w:rFonts w:ascii="Times New Roman" w:hAnsi="Times New Roman" w:cs="Times New Roman"/>
                <w:b/>
                <w:color w:val="1F497D" w:themeColor="text2"/>
                <w:sz w:val="24"/>
              </w:rPr>
              <w:t>Male</w:t>
            </w:r>
          </w:p>
        </w:tc>
        <w:tc>
          <w:tcPr>
            <w:tcW w:w="5490" w:type="dxa"/>
            <w:gridSpan w:val="3"/>
            <w:tcBorders>
              <w:left w:val="nil"/>
              <w:bottom w:val="nil"/>
            </w:tcBorders>
          </w:tcPr>
          <w:p w:rsidR="00E72C9E" w:rsidRDefault="00E72C9E" w:rsidP="00902D3A">
            <w:pPr>
              <w:jc w:val="center"/>
              <w:rPr>
                <w:rFonts w:ascii="Times New Roman" w:hAnsi="Times New Roman" w:cs="Times New Roman"/>
                <w:b/>
                <w:color w:val="1F497D" w:themeColor="text2"/>
                <w:sz w:val="24"/>
              </w:rPr>
            </w:pPr>
            <w:r>
              <w:rPr>
                <w:rFonts w:ascii="Times New Roman" w:hAnsi="Times New Roman" w:cs="Times New Roman"/>
                <w:b/>
                <w:color w:val="1F497D" w:themeColor="text2"/>
                <w:sz w:val="24"/>
              </w:rPr>
              <w:t>Female</w:t>
            </w:r>
          </w:p>
        </w:tc>
      </w:tr>
      <w:tr w:rsidR="00E72C9E" w:rsidTr="00091D52">
        <w:trPr>
          <w:trHeight w:val="278"/>
          <w:jc w:val="center"/>
        </w:trPr>
        <w:tc>
          <w:tcPr>
            <w:tcW w:w="2250" w:type="dxa"/>
            <w:tcBorders>
              <w:bottom w:val="nil"/>
              <w:right w:val="nil"/>
            </w:tcBorders>
            <w:vAlign w:val="bottom"/>
          </w:tcPr>
          <w:p w:rsidR="00E72C9E" w:rsidRPr="00902D3A" w:rsidRDefault="00E72C9E" w:rsidP="00B43FFF">
            <w:pPr>
              <w:rPr>
                <w:rFonts w:ascii="Times New Roman" w:hAnsi="Times New Roman" w:cs="Times New Roman"/>
                <w:b/>
                <w:color w:val="1F497D" w:themeColor="text2"/>
                <w:sz w:val="24"/>
              </w:rPr>
            </w:pPr>
            <w:r w:rsidRPr="00902D3A">
              <w:rPr>
                <w:rFonts w:ascii="Times New Roman" w:hAnsi="Times New Roman" w:cs="Times New Roman"/>
                <w:b/>
                <w:color w:val="1F497D" w:themeColor="text2"/>
                <w:sz w:val="24"/>
              </w:rPr>
              <w:t>Cancer Site</w:t>
            </w:r>
          </w:p>
        </w:tc>
        <w:tc>
          <w:tcPr>
            <w:tcW w:w="1134" w:type="dxa"/>
            <w:tcBorders>
              <w:left w:val="nil"/>
              <w:bottom w:val="nil"/>
              <w:right w:val="nil"/>
            </w:tcBorders>
            <w:vAlign w:val="bottom"/>
          </w:tcPr>
          <w:p w:rsidR="00E72C9E" w:rsidRPr="00902D3A" w:rsidRDefault="00E72C9E" w:rsidP="00B43FFF">
            <w:pPr>
              <w:jc w:val="center"/>
              <w:rPr>
                <w:rFonts w:ascii="Times New Roman" w:hAnsi="Times New Roman" w:cs="Times New Roman"/>
                <w:b/>
                <w:color w:val="1F497D" w:themeColor="text2"/>
                <w:sz w:val="24"/>
              </w:rPr>
            </w:pPr>
            <w:r w:rsidRPr="00902D3A">
              <w:rPr>
                <w:rFonts w:ascii="Times New Roman" w:hAnsi="Times New Roman" w:cs="Times New Roman"/>
                <w:b/>
                <w:color w:val="1F497D" w:themeColor="text2"/>
                <w:sz w:val="24"/>
              </w:rPr>
              <w:t>Cases</w:t>
            </w:r>
          </w:p>
        </w:tc>
        <w:tc>
          <w:tcPr>
            <w:tcW w:w="1926" w:type="dxa"/>
            <w:tcBorders>
              <w:left w:val="nil"/>
              <w:bottom w:val="nil"/>
            </w:tcBorders>
            <w:vAlign w:val="bottom"/>
          </w:tcPr>
          <w:p w:rsidR="00E72C9E" w:rsidRPr="00902D3A" w:rsidRDefault="00E72C9E" w:rsidP="00B43FFF">
            <w:pPr>
              <w:jc w:val="center"/>
              <w:rPr>
                <w:rFonts w:ascii="Times New Roman" w:hAnsi="Times New Roman" w:cs="Times New Roman"/>
                <w:b/>
                <w:color w:val="1F497D" w:themeColor="text2"/>
                <w:sz w:val="24"/>
              </w:rPr>
            </w:pPr>
            <w:r w:rsidRPr="00902D3A">
              <w:rPr>
                <w:rFonts w:ascii="Times New Roman" w:hAnsi="Times New Roman" w:cs="Times New Roman"/>
                <w:b/>
                <w:color w:val="1F497D" w:themeColor="text2"/>
                <w:sz w:val="24"/>
              </w:rPr>
              <w:t>Incidence Rate</w:t>
            </w:r>
            <w:r w:rsidR="00B43FFF">
              <w:rPr>
                <w:rFonts w:ascii="Times New Roman" w:hAnsi="Times New Roman" w:cs="Times New Roman"/>
                <w:b/>
                <w:color w:val="1F497D" w:themeColor="text2"/>
                <w:sz w:val="24"/>
              </w:rPr>
              <w:t>^</w:t>
            </w:r>
            <w:r w:rsidRPr="00902D3A">
              <w:rPr>
                <w:rFonts w:ascii="Times New Roman" w:hAnsi="Times New Roman" w:cs="Times New Roman"/>
                <w:b/>
                <w:color w:val="1F497D" w:themeColor="text2"/>
                <w:sz w:val="24"/>
              </w:rPr>
              <w:t xml:space="preserve"> </w:t>
            </w:r>
          </w:p>
        </w:tc>
        <w:tc>
          <w:tcPr>
            <w:tcW w:w="2430" w:type="dxa"/>
            <w:tcBorders>
              <w:left w:val="nil"/>
              <w:bottom w:val="nil"/>
              <w:right w:val="nil"/>
            </w:tcBorders>
            <w:vAlign w:val="bottom"/>
          </w:tcPr>
          <w:p w:rsidR="00E72C9E" w:rsidRPr="00902D3A" w:rsidRDefault="00E72C9E" w:rsidP="00B43FFF">
            <w:pPr>
              <w:rPr>
                <w:rFonts w:ascii="Times New Roman" w:hAnsi="Times New Roman" w:cs="Times New Roman"/>
                <w:b/>
                <w:color w:val="1F497D" w:themeColor="text2"/>
                <w:sz w:val="24"/>
              </w:rPr>
            </w:pPr>
            <w:r w:rsidRPr="00902D3A">
              <w:rPr>
                <w:rFonts w:ascii="Times New Roman" w:hAnsi="Times New Roman" w:cs="Times New Roman"/>
                <w:b/>
                <w:color w:val="1F497D" w:themeColor="text2"/>
                <w:sz w:val="24"/>
              </w:rPr>
              <w:t>Cancer Site</w:t>
            </w:r>
          </w:p>
        </w:tc>
        <w:tc>
          <w:tcPr>
            <w:tcW w:w="1134" w:type="dxa"/>
            <w:tcBorders>
              <w:left w:val="nil"/>
              <w:bottom w:val="nil"/>
              <w:right w:val="nil"/>
            </w:tcBorders>
            <w:vAlign w:val="bottom"/>
          </w:tcPr>
          <w:p w:rsidR="00E72C9E" w:rsidRPr="00902D3A" w:rsidRDefault="00E72C9E" w:rsidP="00B43FFF">
            <w:pPr>
              <w:jc w:val="center"/>
              <w:rPr>
                <w:rFonts w:ascii="Times New Roman" w:hAnsi="Times New Roman" w:cs="Times New Roman"/>
                <w:b/>
                <w:color w:val="1F497D" w:themeColor="text2"/>
                <w:sz w:val="24"/>
              </w:rPr>
            </w:pPr>
            <w:r w:rsidRPr="00902D3A">
              <w:rPr>
                <w:rFonts w:ascii="Times New Roman" w:hAnsi="Times New Roman" w:cs="Times New Roman"/>
                <w:b/>
                <w:color w:val="1F497D" w:themeColor="text2"/>
                <w:sz w:val="24"/>
              </w:rPr>
              <w:t>Cases</w:t>
            </w:r>
          </w:p>
        </w:tc>
        <w:tc>
          <w:tcPr>
            <w:tcW w:w="1926" w:type="dxa"/>
            <w:tcBorders>
              <w:left w:val="nil"/>
              <w:bottom w:val="nil"/>
            </w:tcBorders>
            <w:vAlign w:val="bottom"/>
          </w:tcPr>
          <w:p w:rsidR="00E72C9E" w:rsidRPr="00902D3A" w:rsidRDefault="00E72C9E" w:rsidP="00B43FFF">
            <w:pPr>
              <w:jc w:val="center"/>
              <w:rPr>
                <w:rFonts w:ascii="Times New Roman" w:hAnsi="Times New Roman" w:cs="Times New Roman"/>
                <w:b/>
                <w:color w:val="1F497D" w:themeColor="text2"/>
                <w:sz w:val="24"/>
              </w:rPr>
            </w:pPr>
            <w:r w:rsidRPr="00902D3A">
              <w:rPr>
                <w:rFonts w:ascii="Times New Roman" w:hAnsi="Times New Roman" w:cs="Times New Roman"/>
                <w:b/>
                <w:color w:val="1F497D" w:themeColor="text2"/>
                <w:sz w:val="24"/>
              </w:rPr>
              <w:t>Incidence Rate</w:t>
            </w:r>
            <w:r w:rsidR="00B43FFF">
              <w:rPr>
                <w:rFonts w:ascii="Times New Roman" w:hAnsi="Times New Roman" w:cs="Times New Roman"/>
                <w:b/>
                <w:color w:val="1F497D" w:themeColor="text2"/>
                <w:sz w:val="24"/>
              </w:rPr>
              <w:t>^</w:t>
            </w:r>
            <w:r w:rsidRPr="00902D3A">
              <w:rPr>
                <w:rFonts w:ascii="Times New Roman" w:hAnsi="Times New Roman" w:cs="Times New Roman"/>
                <w:b/>
                <w:color w:val="1F497D" w:themeColor="text2"/>
                <w:sz w:val="24"/>
              </w:rPr>
              <w:t xml:space="preserve"> </w:t>
            </w:r>
          </w:p>
        </w:tc>
      </w:tr>
      <w:tr w:rsidR="00E72C9E" w:rsidTr="00091D52">
        <w:trPr>
          <w:trHeight w:val="126"/>
          <w:jc w:val="center"/>
        </w:trPr>
        <w:tc>
          <w:tcPr>
            <w:tcW w:w="2250" w:type="dxa"/>
            <w:tcBorders>
              <w:top w:val="nil"/>
              <w:bottom w:val="nil"/>
              <w:right w:val="nil"/>
            </w:tcBorders>
            <w:vAlign w:val="center"/>
          </w:tcPr>
          <w:p w:rsidR="00E72C9E" w:rsidRPr="008358B2" w:rsidRDefault="00E72C9E" w:rsidP="00091D52">
            <w:pPr>
              <w:rPr>
                <w:rFonts w:ascii="Times New Roman" w:hAnsi="Times New Roman" w:cs="Times New Roman"/>
                <w:sz w:val="24"/>
              </w:rPr>
            </w:pPr>
            <w:r>
              <w:rPr>
                <w:rFonts w:ascii="Times New Roman" w:hAnsi="Times New Roman" w:cs="Times New Roman"/>
                <w:sz w:val="24"/>
              </w:rPr>
              <w:t xml:space="preserve">All HPV-associated </w:t>
            </w:r>
          </w:p>
        </w:tc>
        <w:tc>
          <w:tcPr>
            <w:tcW w:w="1134" w:type="dxa"/>
            <w:tcBorders>
              <w:top w:val="nil"/>
              <w:left w:val="nil"/>
              <w:bottom w:val="nil"/>
              <w:right w:val="nil"/>
            </w:tcBorders>
            <w:vAlign w:val="center"/>
          </w:tcPr>
          <w:p w:rsidR="00E72C9E" w:rsidRDefault="00A62FC9" w:rsidP="00902D3A">
            <w:pPr>
              <w:jc w:val="center"/>
              <w:rPr>
                <w:rFonts w:ascii="Times New Roman" w:hAnsi="Times New Roman" w:cs="Times New Roman"/>
                <w:sz w:val="24"/>
              </w:rPr>
            </w:pPr>
            <w:r>
              <w:rPr>
                <w:rFonts w:ascii="Times New Roman" w:hAnsi="Times New Roman" w:cs="Times New Roman"/>
                <w:sz w:val="24"/>
              </w:rPr>
              <w:t>3</w:t>
            </w:r>
            <w:r w:rsidR="00E72C9E">
              <w:rPr>
                <w:rFonts w:ascii="Times New Roman" w:hAnsi="Times New Roman" w:cs="Times New Roman"/>
                <w:sz w:val="24"/>
              </w:rPr>
              <w:t>,912</w:t>
            </w:r>
          </w:p>
        </w:tc>
        <w:tc>
          <w:tcPr>
            <w:tcW w:w="1926" w:type="dxa"/>
            <w:tcBorders>
              <w:top w:val="nil"/>
              <w:left w:val="nil"/>
              <w:bottom w:val="nil"/>
            </w:tcBorders>
            <w:vAlign w:val="center"/>
          </w:tcPr>
          <w:p w:rsidR="00E72C9E" w:rsidRDefault="00B2256B" w:rsidP="00902D3A">
            <w:pPr>
              <w:jc w:val="center"/>
              <w:rPr>
                <w:rFonts w:ascii="Times New Roman" w:hAnsi="Times New Roman" w:cs="Times New Roman"/>
                <w:sz w:val="24"/>
              </w:rPr>
            </w:pPr>
            <w:r>
              <w:rPr>
                <w:rFonts w:ascii="Times New Roman" w:hAnsi="Times New Roman" w:cs="Times New Roman"/>
                <w:sz w:val="24"/>
              </w:rPr>
              <w:t>9.99</w:t>
            </w:r>
          </w:p>
        </w:tc>
        <w:tc>
          <w:tcPr>
            <w:tcW w:w="2430" w:type="dxa"/>
            <w:tcBorders>
              <w:top w:val="nil"/>
              <w:left w:val="nil"/>
              <w:bottom w:val="nil"/>
              <w:right w:val="nil"/>
            </w:tcBorders>
            <w:vAlign w:val="center"/>
          </w:tcPr>
          <w:p w:rsidR="00E72C9E" w:rsidRDefault="00E72C9E" w:rsidP="00091D52">
            <w:pPr>
              <w:rPr>
                <w:rFonts w:ascii="Times New Roman" w:hAnsi="Times New Roman" w:cs="Times New Roman"/>
                <w:sz w:val="24"/>
              </w:rPr>
            </w:pPr>
            <w:r>
              <w:rPr>
                <w:rFonts w:ascii="Times New Roman" w:hAnsi="Times New Roman" w:cs="Times New Roman"/>
                <w:sz w:val="24"/>
              </w:rPr>
              <w:t xml:space="preserve">All HPV-associated </w:t>
            </w:r>
          </w:p>
        </w:tc>
        <w:tc>
          <w:tcPr>
            <w:tcW w:w="1134" w:type="dxa"/>
            <w:tcBorders>
              <w:top w:val="nil"/>
              <w:left w:val="nil"/>
              <w:bottom w:val="nil"/>
              <w:right w:val="nil"/>
            </w:tcBorders>
            <w:vAlign w:val="center"/>
          </w:tcPr>
          <w:p w:rsidR="00E72C9E" w:rsidRDefault="00E72C9E" w:rsidP="005B519D">
            <w:pPr>
              <w:jc w:val="center"/>
              <w:rPr>
                <w:rFonts w:ascii="Times New Roman" w:hAnsi="Times New Roman" w:cs="Times New Roman"/>
                <w:sz w:val="24"/>
              </w:rPr>
            </w:pPr>
            <w:r>
              <w:rPr>
                <w:rFonts w:ascii="Times New Roman" w:hAnsi="Times New Roman" w:cs="Times New Roman"/>
                <w:sz w:val="24"/>
              </w:rPr>
              <w:t>5,130</w:t>
            </w:r>
          </w:p>
        </w:tc>
        <w:tc>
          <w:tcPr>
            <w:tcW w:w="1926" w:type="dxa"/>
            <w:tcBorders>
              <w:top w:val="nil"/>
              <w:left w:val="nil"/>
              <w:bottom w:val="nil"/>
            </w:tcBorders>
            <w:vAlign w:val="center"/>
          </w:tcPr>
          <w:p w:rsidR="00E72C9E" w:rsidRDefault="00E72C9E" w:rsidP="005B519D">
            <w:pPr>
              <w:jc w:val="center"/>
              <w:rPr>
                <w:rFonts w:ascii="Times New Roman" w:hAnsi="Times New Roman" w:cs="Times New Roman"/>
                <w:sz w:val="24"/>
              </w:rPr>
            </w:pPr>
            <w:r>
              <w:rPr>
                <w:rFonts w:ascii="Times New Roman" w:hAnsi="Times New Roman" w:cs="Times New Roman"/>
                <w:sz w:val="24"/>
              </w:rPr>
              <w:t>11.8</w:t>
            </w:r>
            <w:r w:rsidR="00B2256B">
              <w:rPr>
                <w:rFonts w:ascii="Times New Roman" w:hAnsi="Times New Roman" w:cs="Times New Roman"/>
                <w:sz w:val="24"/>
              </w:rPr>
              <w:t>4</w:t>
            </w:r>
          </w:p>
        </w:tc>
      </w:tr>
      <w:tr w:rsidR="00E72C9E" w:rsidTr="00091D52">
        <w:trPr>
          <w:trHeight w:val="100"/>
          <w:jc w:val="center"/>
        </w:trPr>
        <w:tc>
          <w:tcPr>
            <w:tcW w:w="2250" w:type="dxa"/>
            <w:tcBorders>
              <w:top w:val="nil"/>
              <w:bottom w:val="nil"/>
              <w:right w:val="nil"/>
            </w:tcBorders>
            <w:vAlign w:val="center"/>
          </w:tcPr>
          <w:p w:rsidR="00E72C9E" w:rsidRPr="008358B2" w:rsidRDefault="00E72C9E" w:rsidP="00F0698F">
            <w:pPr>
              <w:ind w:left="252"/>
              <w:rPr>
                <w:rFonts w:ascii="Times New Roman" w:hAnsi="Times New Roman" w:cs="Times New Roman"/>
                <w:sz w:val="24"/>
              </w:rPr>
            </w:pPr>
            <w:r>
              <w:rPr>
                <w:rFonts w:ascii="Times New Roman" w:hAnsi="Times New Roman" w:cs="Times New Roman"/>
                <w:sz w:val="24"/>
              </w:rPr>
              <w:t>Oropharynx*</w:t>
            </w:r>
          </w:p>
        </w:tc>
        <w:tc>
          <w:tcPr>
            <w:tcW w:w="1134" w:type="dxa"/>
            <w:tcBorders>
              <w:top w:val="nil"/>
              <w:left w:val="nil"/>
              <w:bottom w:val="nil"/>
              <w:right w:val="nil"/>
            </w:tcBorders>
            <w:vAlign w:val="center"/>
          </w:tcPr>
          <w:p w:rsidR="00E72C9E" w:rsidRPr="008358B2" w:rsidRDefault="00E72C9E" w:rsidP="00902D3A">
            <w:pPr>
              <w:jc w:val="center"/>
              <w:rPr>
                <w:rFonts w:ascii="Times New Roman" w:hAnsi="Times New Roman" w:cs="Times New Roman"/>
                <w:sz w:val="24"/>
              </w:rPr>
            </w:pPr>
            <w:r>
              <w:rPr>
                <w:rFonts w:ascii="Times New Roman" w:hAnsi="Times New Roman" w:cs="Times New Roman"/>
                <w:sz w:val="24"/>
              </w:rPr>
              <w:t>3,127</w:t>
            </w:r>
          </w:p>
        </w:tc>
        <w:tc>
          <w:tcPr>
            <w:tcW w:w="1926" w:type="dxa"/>
            <w:tcBorders>
              <w:top w:val="nil"/>
              <w:left w:val="nil"/>
              <w:bottom w:val="nil"/>
            </w:tcBorders>
            <w:vAlign w:val="center"/>
          </w:tcPr>
          <w:p w:rsidR="00E72C9E" w:rsidRPr="008358B2" w:rsidRDefault="00B2256B" w:rsidP="00902D3A">
            <w:pPr>
              <w:jc w:val="center"/>
              <w:rPr>
                <w:rFonts w:ascii="Times New Roman" w:hAnsi="Times New Roman" w:cs="Times New Roman"/>
                <w:sz w:val="24"/>
              </w:rPr>
            </w:pPr>
            <w:r>
              <w:rPr>
                <w:rFonts w:ascii="Times New Roman" w:hAnsi="Times New Roman" w:cs="Times New Roman"/>
                <w:sz w:val="24"/>
              </w:rPr>
              <w:t>7.85</w:t>
            </w:r>
          </w:p>
        </w:tc>
        <w:tc>
          <w:tcPr>
            <w:tcW w:w="2430" w:type="dxa"/>
            <w:tcBorders>
              <w:top w:val="nil"/>
              <w:left w:val="nil"/>
              <w:bottom w:val="nil"/>
              <w:right w:val="nil"/>
            </w:tcBorders>
            <w:vAlign w:val="center"/>
          </w:tcPr>
          <w:p w:rsidR="00E72C9E" w:rsidRDefault="00E72C9E" w:rsidP="00F0698F">
            <w:pPr>
              <w:ind w:left="252"/>
              <w:rPr>
                <w:rFonts w:ascii="Times New Roman" w:hAnsi="Times New Roman" w:cs="Times New Roman"/>
                <w:sz w:val="24"/>
              </w:rPr>
            </w:pPr>
            <w:r>
              <w:rPr>
                <w:rFonts w:ascii="Times New Roman" w:hAnsi="Times New Roman" w:cs="Times New Roman"/>
                <w:sz w:val="24"/>
              </w:rPr>
              <w:t>Cervix</w:t>
            </w:r>
          </w:p>
        </w:tc>
        <w:tc>
          <w:tcPr>
            <w:tcW w:w="1134" w:type="dxa"/>
            <w:tcBorders>
              <w:top w:val="nil"/>
              <w:left w:val="nil"/>
              <w:bottom w:val="nil"/>
              <w:right w:val="nil"/>
            </w:tcBorders>
            <w:vAlign w:val="center"/>
          </w:tcPr>
          <w:p w:rsidR="00E72C9E" w:rsidRDefault="00E72C9E" w:rsidP="005B519D">
            <w:pPr>
              <w:jc w:val="center"/>
              <w:rPr>
                <w:rFonts w:ascii="Times New Roman" w:hAnsi="Times New Roman" w:cs="Times New Roman"/>
                <w:sz w:val="24"/>
              </w:rPr>
            </w:pPr>
            <w:r>
              <w:rPr>
                <w:rFonts w:ascii="Times New Roman" w:hAnsi="Times New Roman" w:cs="Times New Roman"/>
                <w:sz w:val="24"/>
              </w:rPr>
              <w:t>2,193</w:t>
            </w:r>
          </w:p>
        </w:tc>
        <w:tc>
          <w:tcPr>
            <w:tcW w:w="1926" w:type="dxa"/>
            <w:tcBorders>
              <w:top w:val="nil"/>
              <w:left w:val="nil"/>
              <w:bottom w:val="nil"/>
            </w:tcBorders>
            <w:vAlign w:val="center"/>
          </w:tcPr>
          <w:p w:rsidR="00E72C9E" w:rsidRDefault="00B2256B" w:rsidP="005B519D">
            <w:pPr>
              <w:jc w:val="center"/>
              <w:rPr>
                <w:rFonts w:ascii="Times New Roman" w:hAnsi="Times New Roman" w:cs="Times New Roman"/>
                <w:sz w:val="24"/>
              </w:rPr>
            </w:pPr>
            <w:r>
              <w:rPr>
                <w:rFonts w:ascii="Times New Roman" w:hAnsi="Times New Roman" w:cs="Times New Roman"/>
                <w:sz w:val="24"/>
              </w:rPr>
              <w:t>5.46</w:t>
            </w:r>
          </w:p>
        </w:tc>
      </w:tr>
      <w:tr w:rsidR="00E72C9E" w:rsidTr="00091D52">
        <w:trPr>
          <w:trHeight w:val="100"/>
          <w:jc w:val="center"/>
        </w:trPr>
        <w:tc>
          <w:tcPr>
            <w:tcW w:w="2250" w:type="dxa"/>
            <w:tcBorders>
              <w:top w:val="nil"/>
              <w:bottom w:val="nil"/>
              <w:right w:val="nil"/>
            </w:tcBorders>
            <w:vAlign w:val="center"/>
          </w:tcPr>
          <w:p w:rsidR="00E72C9E" w:rsidRPr="008358B2" w:rsidRDefault="00064E16" w:rsidP="00F0698F">
            <w:pPr>
              <w:ind w:left="252"/>
              <w:rPr>
                <w:rFonts w:ascii="Times New Roman" w:hAnsi="Times New Roman" w:cs="Times New Roman"/>
                <w:sz w:val="24"/>
              </w:rPr>
            </w:pPr>
            <w:r>
              <w:rPr>
                <w:rFonts w:ascii="Times New Roman" w:hAnsi="Times New Roman" w:cs="Times New Roman"/>
                <w:sz w:val="24"/>
              </w:rPr>
              <w:t>Anus</w:t>
            </w:r>
            <w:r w:rsidR="00E72C9E">
              <w:rPr>
                <w:rFonts w:ascii="Times New Roman" w:hAnsi="Times New Roman" w:cs="Times New Roman"/>
                <w:sz w:val="24"/>
              </w:rPr>
              <w:t>*</w:t>
            </w:r>
          </w:p>
        </w:tc>
        <w:tc>
          <w:tcPr>
            <w:tcW w:w="1134" w:type="dxa"/>
            <w:tcBorders>
              <w:top w:val="nil"/>
              <w:left w:val="nil"/>
              <w:bottom w:val="nil"/>
              <w:right w:val="nil"/>
            </w:tcBorders>
            <w:vAlign w:val="center"/>
          </w:tcPr>
          <w:p w:rsidR="00E72C9E" w:rsidRPr="008358B2" w:rsidRDefault="00E72C9E" w:rsidP="00E72C9E">
            <w:pPr>
              <w:jc w:val="center"/>
              <w:rPr>
                <w:rFonts w:ascii="Times New Roman" w:hAnsi="Times New Roman" w:cs="Times New Roman"/>
                <w:sz w:val="24"/>
              </w:rPr>
            </w:pPr>
            <w:r>
              <w:rPr>
                <w:rFonts w:ascii="Times New Roman" w:hAnsi="Times New Roman" w:cs="Times New Roman"/>
                <w:sz w:val="24"/>
              </w:rPr>
              <w:t>422</w:t>
            </w:r>
          </w:p>
        </w:tc>
        <w:tc>
          <w:tcPr>
            <w:tcW w:w="1926" w:type="dxa"/>
            <w:tcBorders>
              <w:top w:val="nil"/>
              <w:left w:val="nil"/>
              <w:bottom w:val="nil"/>
            </w:tcBorders>
            <w:vAlign w:val="center"/>
          </w:tcPr>
          <w:p w:rsidR="00E72C9E" w:rsidRPr="008358B2" w:rsidRDefault="00B2256B" w:rsidP="00E72C9E">
            <w:pPr>
              <w:jc w:val="center"/>
              <w:rPr>
                <w:rFonts w:ascii="Times New Roman" w:hAnsi="Times New Roman" w:cs="Times New Roman"/>
                <w:sz w:val="24"/>
              </w:rPr>
            </w:pPr>
            <w:r>
              <w:rPr>
                <w:rFonts w:ascii="Times New Roman" w:hAnsi="Times New Roman" w:cs="Times New Roman"/>
                <w:sz w:val="24"/>
              </w:rPr>
              <w:t>1.09</w:t>
            </w:r>
          </w:p>
        </w:tc>
        <w:tc>
          <w:tcPr>
            <w:tcW w:w="2430" w:type="dxa"/>
            <w:tcBorders>
              <w:top w:val="nil"/>
              <w:left w:val="nil"/>
              <w:bottom w:val="nil"/>
              <w:right w:val="nil"/>
            </w:tcBorders>
            <w:vAlign w:val="center"/>
          </w:tcPr>
          <w:p w:rsidR="00E72C9E" w:rsidRDefault="00E72C9E" w:rsidP="00F0698F">
            <w:pPr>
              <w:ind w:left="252"/>
              <w:rPr>
                <w:rFonts w:ascii="Times New Roman" w:hAnsi="Times New Roman" w:cs="Times New Roman"/>
                <w:sz w:val="24"/>
              </w:rPr>
            </w:pPr>
            <w:r>
              <w:rPr>
                <w:rFonts w:ascii="Times New Roman" w:hAnsi="Times New Roman" w:cs="Times New Roman"/>
                <w:sz w:val="24"/>
              </w:rPr>
              <w:t>Vulva*</w:t>
            </w:r>
          </w:p>
        </w:tc>
        <w:tc>
          <w:tcPr>
            <w:tcW w:w="1134" w:type="dxa"/>
            <w:tcBorders>
              <w:top w:val="nil"/>
              <w:left w:val="nil"/>
              <w:bottom w:val="nil"/>
              <w:right w:val="nil"/>
            </w:tcBorders>
            <w:vAlign w:val="center"/>
          </w:tcPr>
          <w:p w:rsidR="00E72C9E" w:rsidRDefault="00E72C9E" w:rsidP="00E72C9E">
            <w:pPr>
              <w:jc w:val="center"/>
              <w:rPr>
                <w:rFonts w:ascii="Times New Roman" w:hAnsi="Times New Roman" w:cs="Times New Roman"/>
                <w:sz w:val="24"/>
              </w:rPr>
            </w:pPr>
            <w:r>
              <w:rPr>
                <w:rFonts w:ascii="Times New Roman" w:hAnsi="Times New Roman" w:cs="Times New Roman"/>
                <w:sz w:val="24"/>
              </w:rPr>
              <w:t>1,046</w:t>
            </w:r>
          </w:p>
        </w:tc>
        <w:tc>
          <w:tcPr>
            <w:tcW w:w="1926" w:type="dxa"/>
            <w:tcBorders>
              <w:top w:val="nil"/>
              <w:left w:val="nil"/>
              <w:bottom w:val="nil"/>
            </w:tcBorders>
            <w:vAlign w:val="center"/>
          </w:tcPr>
          <w:p w:rsidR="00E72C9E" w:rsidRDefault="00E72C9E" w:rsidP="00E72C9E">
            <w:pPr>
              <w:jc w:val="center"/>
              <w:rPr>
                <w:rFonts w:ascii="Times New Roman" w:hAnsi="Times New Roman" w:cs="Times New Roman"/>
                <w:sz w:val="24"/>
              </w:rPr>
            </w:pPr>
            <w:r>
              <w:rPr>
                <w:rFonts w:ascii="Times New Roman" w:hAnsi="Times New Roman" w:cs="Times New Roman"/>
                <w:sz w:val="24"/>
              </w:rPr>
              <w:t>2.2</w:t>
            </w:r>
            <w:r w:rsidR="00B2256B">
              <w:rPr>
                <w:rFonts w:ascii="Times New Roman" w:hAnsi="Times New Roman" w:cs="Times New Roman"/>
                <w:sz w:val="24"/>
              </w:rPr>
              <w:t>4</w:t>
            </w:r>
          </w:p>
        </w:tc>
      </w:tr>
      <w:tr w:rsidR="00E72C9E" w:rsidTr="00091D52">
        <w:trPr>
          <w:trHeight w:val="100"/>
          <w:jc w:val="center"/>
        </w:trPr>
        <w:tc>
          <w:tcPr>
            <w:tcW w:w="2250" w:type="dxa"/>
            <w:tcBorders>
              <w:top w:val="nil"/>
              <w:bottom w:val="single" w:sz="4" w:space="0" w:color="auto"/>
              <w:right w:val="nil"/>
            </w:tcBorders>
            <w:vAlign w:val="center"/>
          </w:tcPr>
          <w:p w:rsidR="00E72C9E" w:rsidRPr="008358B2" w:rsidRDefault="00064E16" w:rsidP="00F0698F">
            <w:pPr>
              <w:ind w:left="252"/>
              <w:rPr>
                <w:rFonts w:ascii="Times New Roman" w:hAnsi="Times New Roman" w:cs="Times New Roman"/>
                <w:sz w:val="24"/>
              </w:rPr>
            </w:pPr>
            <w:r>
              <w:rPr>
                <w:rFonts w:ascii="Times New Roman" w:hAnsi="Times New Roman" w:cs="Times New Roman"/>
                <w:sz w:val="24"/>
              </w:rPr>
              <w:t>Penis</w:t>
            </w:r>
            <w:r w:rsidR="00E72C9E">
              <w:rPr>
                <w:rFonts w:ascii="Times New Roman" w:hAnsi="Times New Roman" w:cs="Times New Roman"/>
                <w:sz w:val="24"/>
              </w:rPr>
              <w:t>*</w:t>
            </w:r>
          </w:p>
        </w:tc>
        <w:tc>
          <w:tcPr>
            <w:tcW w:w="1134" w:type="dxa"/>
            <w:tcBorders>
              <w:top w:val="nil"/>
              <w:left w:val="nil"/>
              <w:bottom w:val="single" w:sz="4" w:space="0" w:color="auto"/>
              <w:right w:val="nil"/>
            </w:tcBorders>
            <w:vAlign w:val="center"/>
          </w:tcPr>
          <w:p w:rsidR="00E72C9E" w:rsidRPr="008358B2" w:rsidRDefault="00E72C9E" w:rsidP="00902D3A">
            <w:pPr>
              <w:jc w:val="center"/>
              <w:rPr>
                <w:rFonts w:ascii="Times New Roman" w:hAnsi="Times New Roman" w:cs="Times New Roman"/>
                <w:sz w:val="24"/>
              </w:rPr>
            </w:pPr>
            <w:r>
              <w:rPr>
                <w:rFonts w:ascii="Times New Roman" w:hAnsi="Times New Roman" w:cs="Times New Roman"/>
                <w:sz w:val="24"/>
              </w:rPr>
              <w:t>328</w:t>
            </w:r>
          </w:p>
        </w:tc>
        <w:tc>
          <w:tcPr>
            <w:tcW w:w="1926" w:type="dxa"/>
            <w:tcBorders>
              <w:top w:val="nil"/>
              <w:left w:val="nil"/>
              <w:bottom w:val="single" w:sz="4" w:space="0" w:color="auto"/>
            </w:tcBorders>
            <w:vAlign w:val="center"/>
          </w:tcPr>
          <w:p w:rsidR="00E72C9E" w:rsidRPr="008358B2" w:rsidRDefault="00B2256B" w:rsidP="00902D3A">
            <w:pPr>
              <w:jc w:val="center"/>
              <w:rPr>
                <w:rFonts w:ascii="Times New Roman" w:hAnsi="Times New Roman" w:cs="Times New Roman"/>
                <w:sz w:val="24"/>
              </w:rPr>
            </w:pPr>
            <w:r>
              <w:rPr>
                <w:rFonts w:ascii="Times New Roman" w:hAnsi="Times New Roman" w:cs="Times New Roman"/>
                <w:sz w:val="24"/>
              </w:rPr>
              <w:t>0.95</w:t>
            </w:r>
          </w:p>
        </w:tc>
        <w:tc>
          <w:tcPr>
            <w:tcW w:w="2430" w:type="dxa"/>
            <w:tcBorders>
              <w:top w:val="nil"/>
              <w:left w:val="nil"/>
              <w:bottom w:val="single" w:sz="4" w:space="0" w:color="auto"/>
              <w:right w:val="nil"/>
            </w:tcBorders>
            <w:vAlign w:val="center"/>
          </w:tcPr>
          <w:p w:rsidR="00E72C9E" w:rsidRDefault="00E72C9E" w:rsidP="00F0698F">
            <w:pPr>
              <w:ind w:left="252"/>
              <w:rPr>
                <w:rFonts w:ascii="Times New Roman" w:hAnsi="Times New Roman" w:cs="Times New Roman"/>
                <w:sz w:val="24"/>
              </w:rPr>
            </w:pPr>
            <w:r>
              <w:rPr>
                <w:rFonts w:ascii="Times New Roman" w:hAnsi="Times New Roman" w:cs="Times New Roman"/>
                <w:sz w:val="24"/>
              </w:rPr>
              <w:t>Oropharynx*</w:t>
            </w:r>
          </w:p>
        </w:tc>
        <w:tc>
          <w:tcPr>
            <w:tcW w:w="1134" w:type="dxa"/>
            <w:tcBorders>
              <w:top w:val="nil"/>
              <w:left w:val="nil"/>
              <w:bottom w:val="single" w:sz="4" w:space="0" w:color="auto"/>
              <w:right w:val="nil"/>
            </w:tcBorders>
            <w:vAlign w:val="center"/>
          </w:tcPr>
          <w:p w:rsidR="00E72C9E" w:rsidRDefault="00E72C9E" w:rsidP="005B519D">
            <w:pPr>
              <w:jc w:val="center"/>
              <w:rPr>
                <w:rFonts w:ascii="Times New Roman" w:hAnsi="Times New Roman" w:cs="Times New Roman"/>
                <w:sz w:val="24"/>
              </w:rPr>
            </w:pPr>
            <w:r>
              <w:rPr>
                <w:rFonts w:ascii="Times New Roman" w:hAnsi="Times New Roman" w:cs="Times New Roman"/>
                <w:sz w:val="24"/>
              </w:rPr>
              <w:t>869</w:t>
            </w:r>
          </w:p>
        </w:tc>
        <w:tc>
          <w:tcPr>
            <w:tcW w:w="1926" w:type="dxa"/>
            <w:tcBorders>
              <w:top w:val="nil"/>
              <w:left w:val="nil"/>
              <w:bottom w:val="single" w:sz="4" w:space="0" w:color="auto"/>
            </w:tcBorders>
            <w:vAlign w:val="center"/>
          </w:tcPr>
          <w:p w:rsidR="00E72C9E" w:rsidRDefault="00E72C9E" w:rsidP="005B519D">
            <w:pPr>
              <w:jc w:val="center"/>
              <w:rPr>
                <w:rFonts w:ascii="Times New Roman" w:hAnsi="Times New Roman" w:cs="Times New Roman"/>
                <w:sz w:val="24"/>
              </w:rPr>
            </w:pPr>
            <w:r>
              <w:rPr>
                <w:rFonts w:ascii="Times New Roman" w:hAnsi="Times New Roman" w:cs="Times New Roman"/>
                <w:sz w:val="24"/>
              </w:rPr>
              <w:t>1.9</w:t>
            </w:r>
            <w:r w:rsidR="00B2256B">
              <w:rPr>
                <w:rFonts w:ascii="Times New Roman" w:hAnsi="Times New Roman" w:cs="Times New Roman"/>
                <w:sz w:val="24"/>
              </w:rPr>
              <w:t>1</w:t>
            </w:r>
          </w:p>
        </w:tc>
      </w:tr>
      <w:tr w:rsidR="00E72C9E" w:rsidTr="00091D52">
        <w:trPr>
          <w:trHeight w:val="90"/>
          <w:jc w:val="center"/>
        </w:trPr>
        <w:tc>
          <w:tcPr>
            <w:tcW w:w="10800" w:type="dxa"/>
            <w:gridSpan w:val="6"/>
            <w:tcBorders>
              <w:top w:val="single" w:sz="4" w:space="0" w:color="auto"/>
            </w:tcBorders>
            <w:vAlign w:val="center"/>
          </w:tcPr>
          <w:p w:rsidR="00E72C9E" w:rsidRDefault="00E72C9E" w:rsidP="002B7B66">
            <w:pPr>
              <w:rPr>
                <w:rFonts w:ascii="Times New Roman" w:hAnsi="Times New Roman" w:cs="Times New Roman"/>
                <w:sz w:val="20"/>
              </w:rPr>
            </w:pPr>
            <w:r>
              <w:rPr>
                <w:rFonts w:ascii="Times New Roman" w:hAnsi="Times New Roman" w:cs="Times New Roman"/>
                <w:sz w:val="20"/>
              </w:rPr>
              <w:t>*These sites are restricted to squamous cell carcinomas</w:t>
            </w:r>
            <w:r w:rsidR="002B7B66">
              <w:rPr>
                <w:rFonts w:ascii="Times New Roman" w:hAnsi="Times New Roman" w:cs="Times New Roman"/>
                <w:sz w:val="20"/>
              </w:rPr>
              <w:t>;</w:t>
            </w:r>
            <w:r>
              <w:rPr>
                <w:rFonts w:ascii="Times New Roman" w:hAnsi="Times New Roman" w:cs="Times New Roman"/>
                <w:sz w:val="20"/>
              </w:rPr>
              <w:t xml:space="preserve"> ^per 100,000 and age-standardized to the 2000 U.S. population</w:t>
            </w:r>
            <w:r w:rsidR="002B7B66">
              <w:rPr>
                <w:rFonts w:ascii="Times New Roman" w:hAnsi="Times New Roman" w:cs="Times New Roman"/>
                <w:sz w:val="20"/>
              </w:rPr>
              <w:t>;</w:t>
            </w:r>
            <w:r>
              <w:rPr>
                <w:rFonts w:ascii="Times New Roman" w:hAnsi="Times New Roman" w:cs="Times New Roman"/>
                <w:sz w:val="20"/>
              </w:rPr>
              <w:t xml:space="preserve"> 1 person did not identify as male or female</w:t>
            </w:r>
            <w:r w:rsidR="002B7B66">
              <w:rPr>
                <w:rFonts w:ascii="Times New Roman" w:hAnsi="Times New Roman" w:cs="Times New Roman"/>
                <w:sz w:val="20"/>
              </w:rPr>
              <w:t>;</w:t>
            </w:r>
            <w:r w:rsidR="00E17B36">
              <w:rPr>
                <w:rFonts w:ascii="Times New Roman" w:hAnsi="Times New Roman" w:cs="Times New Roman"/>
                <w:sz w:val="20"/>
              </w:rPr>
              <w:t xml:space="preserve"> HPV-associated cancer sites include anus, cervix, oropharynx, penis, rectum, vagina, and vulva</w:t>
            </w:r>
            <w:r w:rsidR="002B7B66">
              <w:rPr>
                <w:rFonts w:ascii="Times New Roman" w:hAnsi="Times New Roman" w:cs="Times New Roman"/>
                <w:sz w:val="20"/>
              </w:rPr>
              <w:t>;</w:t>
            </w:r>
            <w:r>
              <w:rPr>
                <w:rFonts w:ascii="Times New Roman" w:hAnsi="Times New Roman" w:cs="Times New Roman"/>
                <w:sz w:val="20"/>
              </w:rPr>
              <w:t xml:space="preserve"> data source: Massachusetts Cancer Regi</w:t>
            </w:r>
            <w:r w:rsidR="00B2256B">
              <w:rPr>
                <w:rFonts w:ascii="Times New Roman" w:hAnsi="Times New Roman" w:cs="Times New Roman"/>
                <w:sz w:val="20"/>
              </w:rPr>
              <w:t xml:space="preserve">stry </w:t>
            </w:r>
          </w:p>
        </w:tc>
      </w:tr>
    </w:tbl>
    <w:p w:rsidR="00085AB3" w:rsidRDefault="00085AB3" w:rsidP="00553017">
      <w:pPr>
        <w:spacing w:after="0" w:line="240" w:lineRule="auto"/>
        <w:rPr>
          <w:rFonts w:ascii="Times New Roman" w:hAnsi="Times New Roman" w:cs="Times New Roman"/>
          <w:b/>
          <w:sz w:val="24"/>
        </w:rPr>
        <w:sectPr w:rsidR="00085AB3" w:rsidSect="00B43FFF">
          <w:type w:val="continuous"/>
          <w:pgSz w:w="12240" w:h="15840"/>
          <w:pgMar w:top="864" w:right="864" w:bottom="864" w:left="864" w:header="720" w:footer="720" w:gutter="0"/>
          <w:cols w:space="720"/>
          <w:docGrid w:linePitch="360"/>
        </w:sectPr>
      </w:pPr>
    </w:p>
    <w:p w:rsidR="00A73B4F" w:rsidRDefault="00A73B4F"/>
    <w:p w:rsidR="00A73B4F" w:rsidRDefault="00A73B4F" w:rsidP="00A73B4F">
      <w:pPr>
        <w:spacing w:after="0" w:line="240" w:lineRule="auto"/>
        <w:rPr>
          <w:rFonts w:ascii="Times New Roman" w:hAnsi="Times New Roman" w:cs="Times New Roman"/>
          <w:b/>
          <w:sz w:val="24"/>
        </w:rPr>
        <w:sectPr w:rsidR="00A73B4F" w:rsidSect="00091D52">
          <w:type w:val="continuous"/>
          <w:pgSz w:w="12240" w:h="15840"/>
          <w:pgMar w:top="864" w:right="864" w:bottom="864" w:left="864" w:header="720" w:footer="720" w:gutter="0"/>
          <w:cols w:space="288"/>
          <w:docGrid w:linePitch="360"/>
        </w:sectPr>
      </w:pPr>
    </w:p>
    <w:p w:rsidR="00A73B4F" w:rsidRDefault="00A73B4F" w:rsidP="00A73B4F">
      <w:pPr>
        <w:spacing w:after="0" w:line="240" w:lineRule="auto"/>
        <w:rPr>
          <w:rFonts w:ascii="Times New Roman" w:hAnsi="Times New Roman" w:cs="Times New Roman"/>
          <w:b/>
          <w:sz w:val="24"/>
        </w:rPr>
      </w:pPr>
      <w:r>
        <w:rPr>
          <w:rFonts w:ascii="Times New Roman" w:hAnsi="Times New Roman" w:cs="Times New Roman"/>
          <w:b/>
          <w:sz w:val="24"/>
        </w:rPr>
        <w:t>New Cases</w:t>
      </w:r>
    </w:p>
    <w:p w:rsidR="00A73B4F" w:rsidRDefault="00A73B4F" w:rsidP="00A73B4F">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From 2004-</w:t>
      </w:r>
      <w:r w:rsidRPr="00FB4794">
        <w:rPr>
          <w:rFonts w:ascii="Times New Roman" w:hAnsi="Times New Roman" w:cs="Times New Roman"/>
          <w:sz w:val="24"/>
        </w:rPr>
        <w:t>2014</w:t>
      </w:r>
      <w:r>
        <w:rPr>
          <w:rFonts w:ascii="Times New Roman" w:hAnsi="Times New Roman" w:cs="Times New Roman"/>
          <w:sz w:val="24"/>
        </w:rPr>
        <w:t xml:space="preserve">, 3,912 males and 5,130 females were diagnosed with a HPV-associated cancer in Massachusetts. Of those, 3,127 males and 869 females were diagnosed with oropharyngeal cancer. </w:t>
      </w:r>
    </w:p>
    <w:p w:rsidR="00A73B4F" w:rsidRDefault="00A73B4F" w:rsidP="00A73B4F">
      <w:pPr>
        <w:pStyle w:val="ListParagraph"/>
        <w:spacing w:after="0" w:line="240" w:lineRule="auto"/>
        <w:ind w:left="180" w:hanging="180"/>
        <w:rPr>
          <w:rFonts w:ascii="Times New Roman" w:hAnsi="Times New Roman" w:cs="Times New Roman"/>
          <w:sz w:val="24"/>
        </w:rPr>
      </w:pPr>
    </w:p>
    <w:p w:rsidR="00A73B4F" w:rsidRDefault="00A73B4F" w:rsidP="00A73B4F">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In Massachusetts, o</w:t>
      </w:r>
      <w:r w:rsidRPr="00A62FC9">
        <w:rPr>
          <w:rFonts w:ascii="Times New Roman" w:hAnsi="Times New Roman" w:cs="Times New Roman"/>
          <w:sz w:val="24"/>
        </w:rPr>
        <w:t>ropharyngeal</w:t>
      </w:r>
      <w:r>
        <w:rPr>
          <w:rFonts w:ascii="Times New Roman" w:hAnsi="Times New Roman" w:cs="Times New Roman"/>
          <w:sz w:val="24"/>
        </w:rPr>
        <w:t xml:space="preserve"> cancer wa</w:t>
      </w:r>
      <w:r w:rsidRPr="00A62FC9">
        <w:rPr>
          <w:rFonts w:ascii="Times New Roman" w:hAnsi="Times New Roman" w:cs="Times New Roman"/>
          <w:sz w:val="24"/>
        </w:rPr>
        <w:t xml:space="preserve">s the most common HPV-associated cancer diagnosed in </w:t>
      </w:r>
      <w:r>
        <w:rPr>
          <w:rFonts w:ascii="Times New Roman" w:hAnsi="Times New Roman" w:cs="Times New Roman"/>
          <w:sz w:val="24"/>
        </w:rPr>
        <w:t>males</w:t>
      </w:r>
      <w:r w:rsidRPr="00A62FC9">
        <w:rPr>
          <w:rFonts w:ascii="Times New Roman" w:hAnsi="Times New Roman" w:cs="Times New Roman"/>
          <w:sz w:val="24"/>
        </w:rPr>
        <w:t xml:space="preserve"> </w:t>
      </w:r>
      <w:r>
        <w:rPr>
          <w:rFonts w:ascii="Times New Roman" w:hAnsi="Times New Roman" w:cs="Times New Roman"/>
          <w:sz w:val="24"/>
        </w:rPr>
        <w:t xml:space="preserve">and the </w:t>
      </w:r>
      <w:r w:rsidRPr="00A62FC9">
        <w:rPr>
          <w:rFonts w:ascii="Times New Roman" w:hAnsi="Times New Roman" w:cs="Times New Roman"/>
          <w:sz w:val="24"/>
        </w:rPr>
        <w:t>third most common HPV-associated cancer diagn</w:t>
      </w:r>
      <w:r>
        <w:rPr>
          <w:rFonts w:ascii="Times New Roman" w:hAnsi="Times New Roman" w:cs="Times New Roman"/>
          <w:sz w:val="24"/>
        </w:rPr>
        <w:t>osed in females.</w:t>
      </w:r>
    </w:p>
    <w:p w:rsidR="00A73B4F" w:rsidRPr="00A62FC9" w:rsidRDefault="00A73B4F" w:rsidP="00A73B4F">
      <w:pPr>
        <w:pStyle w:val="ListParagraph"/>
        <w:rPr>
          <w:rFonts w:ascii="Times New Roman" w:hAnsi="Times New Roman" w:cs="Times New Roman"/>
          <w:sz w:val="24"/>
        </w:rPr>
      </w:pPr>
    </w:p>
    <w:p w:rsidR="00A73B4F" w:rsidRDefault="00A73B4F" w:rsidP="00A73B4F">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 xml:space="preserve">From 2004-2014, 80% of all HPV-associated cancers in males, and 17% of all HPV-associated cancers in females, were oropharyngeal cancers. </w:t>
      </w:r>
    </w:p>
    <w:p w:rsidR="00A73B4F" w:rsidRDefault="00A73B4F" w:rsidP="00A73B4F">
      <w:pPr>
        <w:spacing w:after="0" w:line="240" w:lineRule="auto"/>
        <w:rPr>
          <w:rFonts w:ascii="Times New Roman" w:hAnsi="Times New Roman" w:cs="Times New Roman"/>
          <w:b/>
          <w:sz w:val="24"/>
        </w:rPr>
      </w:pPr>
    </w:p>
    <w:p w:rsidR="00A73B4F" w:rsidRPr="00EA5059" w:rsidRDefault="00A73B4F" w:rsidP="00A73B4F">
      <w:pPr>
        <w:spacing w:after="0" w:line="240" w:lineRule="auto"/>
        <w:rPr>
          <w:rFonts w:ascii="Times New Roman" w:hAnsi="Times New Roman" w:cs="Times New Roman"/>
          <w:b/>
          <w:sz w:val="24"/>
        </w:rPr>
      </w:pPr>
      <w:r>
        <w:rPr>
          <w:rFonts w:ascii="Times New Roman" w:hAnsi="Times New Roman" w:cs="Times New Roman"/>
          <w:b/>
          <w:sz w:val="24"/>
        </w:rPr>
        <w:t>D</w:t>
      </w:r>
      <w:r w:rsidRPr="00EA5059">
        <w:rPr>
          <w:rFonts w:ascii="Times New Roman" w:hAnsi="Times New Roman" w:cs="Times New Roman"/>
          <w:b/>
          <w:sz w:val="24"/>
        </w:rPr>
        <w:t>eaths</w:t>
      </w:r>
    </w:p>
    <w:p w:rsidR="00A73B4F" w:rsidRDefault="00A73B4F" w:rsidP="00A73B4F">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 xml:space="preserve">From 2008-2014, 682 males and 956 females died from a HPV-associated cancer in Massachusetts. Of those, 586 deaths among males and 234 deaths among females were due to oropharyngeal cancer. </w:t>
      </w:r>
    </w:p>
    <w:p w:rsidR="00A73B4F" w:rsidRDefault="00A73B4F" w:rsidP="00A73B4F">
      <w:pPr>
        <w:pStyle w:val="ListParagraph"/>
        <w:spacing w:after="0" w:line="240" w:lineRule="auto"/>
        <w:ind w:left="180"/>
        <w:rPr>
          <w:rFonts w:ascii="Times New Roman" w:hAnsi="Times New Roman" w:cs="Times New Roman"/>
          <w:sz w:val="24"/>
        </w:rPr>
      </w:pPr>
    </w:p>
    <w:p w:rsidR="00A73B4F" w:rsidRDefault="00A73B4F" w:rsidP="00A73B4F">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In Massachusetts, oropharyngeal cancer was the leading cause of death from an HPV-associated cancer in males and the second leading cause of death from an HPV-associated cancer in females.</w:t>
      </w:r>
    </w:p>
    <w:p w:rsidR="00A73B4F" w:rsidRPr="00F0698F" w:rsidRDefault="00A73B4F" w:rsidP="00A73B4F">
      <w:pPr>
        <w:pStyle w:val="ListParagraph"/>
        <w:rPr>
          <w:rFonts w:ascii="Times New Roman" w:hAnsi="Times New Roman" w:cs="Times New Roman"/>
          <w:sz w:val="24"/>
        </w:rPr>
      </w:pPr>
    </w:p>
    <w:p w:rsidR="00A73B4F" w:rsidRDefault="00A73B4F" w:rsidP="00A73B4F">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From 2008-2014, 86% of all HPV-associated cancer deaths in males, and 24% of all HPV-associated cancer deaths in females were due to oropharyngeal cancer.</w:t>
      </w:r>
    </w:p>
    <w:p w:rsidR="00A73B4F" w:rsidRDefault="00A73B4F">
      <w:pPr>
        <w:sectPr w:rsidR="00A73B4F" w:rsidSect="00A73B4F">
          <w:type w:val="continuous"/>
          <w:pgSz w:w="12240" w:h="15840"/>
          <w:pgMar w:top="864" w:right="864" w:bottom="864" w:left="864" w:header="720" w:footer="720" w:gutter="0"/>
          <w:cols w:num="2" w:space="288"/>
          <w:docGrid w:linePitch="360"/>
        </w:sectPr>
      </w:pPr>
    </w:p>
    <w:p w:rsidR="00A73B4F" w:rsidRDefault="00A73B4F"/>
    <w:tbl>
      <w:tblPr>
        <w:tblStyle w:val="TableGrid"/>
        <w:tblW w:w="10890" w:type="dxa"/>
        <w:tblInd w:w="-72" w:type="dxa"/>
        <w:tblLook w:val="04A0" w:firstRow="1" w:lastRow="0" w:firstColumn="1" w:lastColumn="0" w:noHBand="0" w:noVBand="1"/>
      </w:tblPr>
      <w:tblGrid>
        <w:gridCol w:w="2250"/>
        <w:gridCol w:w="1260"/>
        <w:gridCol w:w="1890"/>
        <w:gridCol w:w="2340"/>
        <w:gridCol w:w="1260"/>
        <w:gridCol w:w="1890"/>
      </w:tblGrid>
      <w:tr w:rsidR="00091D52" w:rsidTr="00091D52">
        <w:trPr>
          <w:trHeight w:val="90"/>
        </w:trPr>
        <w:tc>
          <w:tcPr>
            <w:tcW w:w="10890" w:type="dxa"/>
            <w:gridSpan w:val="6"/>
            <w:vAlign w:val="center"/>
          </w:tcPr>
          <w:p w:rsidR="00091D52" w:rsidRDefault="00091D52" w:rsidP="004A1E24">
            <w:r w:rsidRPr="00902D3A">
              <w:rPr>
                <w:rFonts w:ascii="Times New Roman" w:hAnsi="Times New Roman" w:cs="Times New Roman"/>
                <w:b/>
                <w:color w:val="1F497D" w:themeColor="text2"/>
                <w:sz w:val="24"/>
              </w:rPr>
              <w:t>Tabl</w:t>
            </w:r>
            <w:r>
              <w:rPr>
                <w:rFonts w:ascii="Times New Roman" w:hAnsi="Times New Roman" w:cs="Times New Roman"/>
                <w:b/>
                <w:color w:val="1F497D" w:themeColor="text2"/>
                <w:sz w:val="24"/>
              </w:rPr>
              <w:t>e 2</w:t>
            </w:r>
            <w:r w:rsidRPr="00902D3A">
              <w:rPr>
                <w:rFonts w:ascii="Times New Roman" w:hAnsi="Times New Roman" w:cs="Times New Roman"/>
                <w:b/>
                <w:color w:val="1F497D" w:themeColor="text2"/>
                <w:sz w:val="24"/>
              </w:rPr>
              <w:t xml:space="preserve">. Total </w:t>
            </w:r>
            <w:r>
              <w:rPr>
                <w:rFonts w:ascii="Times New Roman" w:hAnsi="Times New Roman" w:cs="Times New Roman"/>
                <w:b/>
                <w:color w:val="1F497D" w:themeColor="text2"/>
                <w:sz w:val="24"/>
              </w:rPr>
              <w:t xml:space="preserve"> </w:t>
            </w:r>
            <w:r w:rsidR="005C3CBE">
              <w:rPr>
                <w:rFonts w:ascii="Times New Roman" w:hAnsi="Times New Roman" w:cs="Times New Roman"/>
                <w:b/>
                <w:color w:val="1F497D" w:themeColor="text2"/>
                <w:sz w:val="24"/>
              </w:rPr>
              <w:t xml:space="preserve">deaths </w:t>
            </w:r>
            <w:r>
              <w:rPr>
                <w:rFonts w:ascii="Times New Roman" w:hAnsi="Times New Roman" w:cs="Times New Roman"/>
                <w:b/>
                <w:color w:val="1F497D" w:themeColor="text2"/>
                <w:sz w:val="24"/>
              </w:rPr>
              <w:t>and</w:t>
            </w:r>
            <w:r w:rsidRPr="00902D3A">
              <w:rPr>
                <w:rFonts w:ascii="Times New Roman" w:hAnsi="Times New Roman" w:cs="Times New Roman"/>
                <w:b/>
                <w:color w:val="1F497D" w:themeColor="text2"/>
                <w:sz w:val="24"/>
              </w:rPr>
              <w:t xml:space="preserve"> </w:t>
            </w:r>
            <w:r>
              <w:rPr>
                <w:rFonts w:ascii="Times New Roman" w:hAnsi="Times New Roman" w:cs="Times New Roman"/>
                <w:b/>
                <w:color w:val="1F497D" w:themeColor="text2"/>
                <w:sz w:val="24"/>
              </w:rPr>
              <w:t>age-adjusted mortality</w:t>
            </w:r>
            <w:r w:rsidRPr="00902D3A">
              <w:rPr>
                <w:rFonts w:ascii="Times New Roman" w:hAnsi="Times New Roman" w:cs="Times New Roman"/>
                <w:b/>
                <w:color w:val="1F497D" w:themeColor="text2"/>
                <w:sz w:val="24"/>
              </w:rPr>
              <w:t xml:space="preserve"> rate</w:t>
            </w:r>
            <w:r>
              <w:rPr>
                <w:rFonts w:ascii="Times New Roman" w:hAnsi="Times New Roman" w:cs="Times New Roman"/>
                <w:b/>
                <w:color w:val="1F497D" w:themeColor="text2"/>
                <w:sz w:val="24"/>
              </w:rPr>
              <w:t xml:space="preserve">s^ </w:t>
            </w:r>
            <w:r w:rsidRPr="00902D3A">
              <w:rPr>
                <w:rFonts w:ascii="Times New Roman" w:hAnsi="Times New Roman" w:cs="Times New Roman"/>
                <w:b/>
                <w:color w:val="1F497D" w:themeColor="text2"/>
                <w:sz w:val="24"/>
              </w:rPr>
              <w:t>of the most common HPV-associated c</w:t>
            </w:r>
            <w:r>
              <w:rPr>
                <w:rFonts w:ascii="Times New Roman" w:hAnsi="Times New Roman" w:cs="Times New Roman"/>
                <w:b/>
                <w:color w:val="1F497D" w:themeColor="text2"/>
                <w:sz w:val="24"/>
              </w:rPr>
              <w:t>ancers, Massachusetts, 2008-2014</w:t>
            </w:r>
          </w:p>
        </w:tc>
      </w:tr>
      <w:tr w:rsidR="00091D52" w:rsidTr="009E5349">
        <w:tc>
          <w:tcPr>
            <w:tcW w:w="5400" w:type="dxa"/>
            <w:gridSpan w:val="3"/>
            <w:tcBorders>
              <w:bottom w:val="single" w:sz="4" w:space="0" w:color="auto"/>
            </w:tcBorders>
            <w:vAlign w:val="center"/>
          </w:tcPr>
          <w:p w:rsidR="00091D52" w:rsidRDefault="00091D52" w:rsidP="009E5349">
            <w:pPr>
              <w:jc w:val="center"/>
            </w:pPr>
            <w:r>
              <w:rPr>
                <w:rFonts w:ascii="Times New Roman" w:hAnsi="Times New Roman" w:cs="Times New Roman"/>
                <w:b/>
                <w:color w:val="1F497D" w:themeColor="text2"/>
                <w:sz w:val="24"/>
              </w:rPr>
              <w:t>Male</w:t>
            </w:r>
          </w:p>
        </w:tc>
        <w:tc>
          <w:tcPr>
            <w:tcW w:w="5490" w:type="dxa"/>
            <w:gridSpan w:val="3"/>
            <w:tcBorders>
              <w:bottom w:val="single" w:sz="4" w:space="0" w:color="auto"/>
            </w:tcBorders>
          </w:tcPr>
          <w:p w:rsidR="00091D52" w:rsidRDefault="00091D52" w:rsidP="009E5349">
            <w:pPr>
              <w:jc w:val="center"/>
            </w:pPr>
            <w:r>
              <w:rPr>
                <w:rFonts w:ascii="Times New Roman" w:hAnsi="Times New Roman" w:cs="Times New Roman"/>
                <w:b/>
                <w:color w:val="1F497D" w:themeColor="text2"/>
                <w:sz w:val="24"/>
              </w:rPr>
              <w:t>Female</w:t>
            </w:r>
          </w:p>
        </w:tc>
      </w:tr>
      <w:tr w:rsidR="00091D52" w:rsidTr="00091D52">
        <w:trPr>
          <w:trHeight w:val="90"/>
        </w:trPr>
        <w:tc>
          <w:tcPr>
            <w:tcW w:w="2250" w:type="dxa"/>
            <w:tcBorders>
              <w:bottom w:val="nil"/>
              <w:right w:val="nil"/>
            </w:tcBorders>
            <w:vAlign w:val="bottom"/>
          </w:tcPr>
          <w:p w:rsidR="00091D52" w:rsidRPr="00902D3A" w:rsidRDefault="00091D52" w:rsidP="009E5349">
            <w:pPr>
              <w:rPr>
                <w:rFonts w:ascii="Times New Roman" w:hAnsi="Times New Roman" w:cs="Times New Roman"/>
                <w:b/>
                <w:color w:val="1F497D" w:themeColor="text2"/>
                <w:sz w:val="24"/>
              </w:rPr>
            </w:pPr>
            <w:r w:rsidRPr="00902D3A">
              <w:rPr>
                <w:rFonts w:ascii="Times New Roman" w:hAnsi="Times New Roman" w:cs="Times New Roman"/>
                <w:b/>
                <w:color w:val="1F497D" w:themeColor="text2"/>
                <w:sz w:val="24"/>
              </w:rPr>
              <w:t>Cancer Site</w:t>
            </w:r>
          </w:p>
        </w:tc>
        <w:tc>
          <w:tcPr>
            <w:tcW w:w="1260" w:type="dxa"/>
            <w:tcBorders>
              <w:left w:val="nil"/>
              <w:bottom w:val="nil"/>
              <w:right w:val="nil"/>
            </w:tcBorders>
            <w:vAlign w:val="bottom"/>
          </w:tcPr>
          <w:p w:rsidR="00091D52" w:rsidRPr="00902D3A" w:rsidRDefault="00091D52" w:rsidP="009E5349">
            <w:pPr>
              <w:jc w:val="center"/>
              <w:rPr>
                <w:rFonts w:ascii="Times New Roman" w:hAnsi="Times New Roman" w:cs="Times New Roman"/>
                <w:b/>
                <w:color w:val="1F497D" w:themeColor="text2"/>
                <w:sz w:val="24"/>
              </w:rPr>
            </w:pPr>
            <w:r>
              <w:rPr>
                <w:rFonts w:ascii="Times New Roman" w:hAnsi="Times New Roman" w:cs="Times New Roman"/>
                <w:b/>
                <w:color w:val="1F497D" w:themeColor="text2"/>
                <w:sz w:val="24"/>
              </w:rPr>
              <w:t>Deaths</w:t>
            </w:r>
          </w:p>
        </w:tc>
        <w:tc>
          <w:tcPr>
            <w:tcW w:w="1890" w:type="dxa"/>
            <w:tcBorders>
              <w:left w:val="nil"/>
              <w:bottom w:val="nil"/>
            </w:tcBorders>
            <w:vAlign w:val="center"/>
          </w:tcPr>
          <w:p w:rsidR="00091D52" w:rsidRPr="00902D3A" w:rsidRDefault="00091D52" w:rsidP="009E5349">
            <w:pPr>
              <w:jc w:val="center"/>
              <w:rPr>
                <w:rFonts w:ascii="Times New Roman" w:hAnsi="Times New Roman" w:cs="Times New Roman"/>
                <w:b/>
                <w:color w:val="1F497D" w:themeColor="text2"/>
                <w:sz w:val="24"/>
              </w:rPr>
            </w:pPr>
            <w:r>
              <w:rPr>
                <w:rFonts w:ascii="Times New Roman" w:hAnsi="Times New Roman" w:cs="Times New Roman"/>
                <w:b/>
                <w:color w:val="1F497D" w:themeColor="text2"/>
                <w:sz w:val="24"/>
              </w:rPr>
              <w:t>Mortality Rate^</w:t>
            </w:r>
          </w:p>
        </w:tc>
        <w:tc>
          <w:tcPr>
            <w:tcW w:w="2340" w:type="dxa"/>
            <w:tcBorders>
              <w:bottom w:val="nil"/>
              <w:right w:val="nil"/>
            </w:tcBorders>
            <w:vAlign w:val="bottom"/>
          </w:tcPr>
          <w:p w:rsidR="00091D52" w:rsidRPr="00902D3A" w:rsidRDefault="00091D52" w:rsidP="009E5349">
            <w:pPr>
              <w:rPr>
                <w:rFonts w:ascii="Times New Roman" w:hAnsi="Times New Roman" w:cs="Times New Roman"/>
                <w:b/>
                <w:color w:val="1F497D" w:themeColor="text2"/>
                <w:sz w:val="24"/>
              </w:rPr>
            </w:pPr>
            <w:r w:rsidRPr="00902D3A">
              <w:rPr>
                <w:rFonts w:ascii="Times New Roman" w:hAnsi="Times New Roman" w:cs="Times New Roman"/>
                <w:b/>
                <w:color w:val="1F497D" w:themeColor="text2"/>
                <w:sz w:val="24"/>
              </w:rPr>
              <w:t>Cancer Site</w:t>
            </w:r>
          </w:p>
        </w:tc>
        <w:tc>
          <w:tcPr>
            <w:tcW w:w="1260" w:type="dxa"/>
            <w:tcBorders>
              <w:left w:val="nil"/>
              <w:bottom w:val="nil"/>
              <w:right w:val="nil"/>
            </w:tcBorders>
            <w:vAlign w:val="bottom"/>
          </w:tcPr>
          <w:p w:rsidR="00091D52" w:rsidRPr="00902D3A" w:rsidRDefault="00091D52" w:rsidP="009E5349">
            <w:pPr>
              <w:jc w:val="center"/>
              <w:rPr>
                <w:rFonts w:ascii="Times New Roman" w:hAnsi="Times New Roman" w:cs="Times New Roman"/>
                <w:b/>
                <w:color w:val="1F497D" w:themeColor="text2"/>
                <w:sz w:val="24"/>
              </w:rPr>
            </w:pPr>
            <w:r>
              <w:rPr>
                <w:rFonts w:ascii="Times New Roman" w:hAnsi="Times New Roman" w:cs="Times New Roman"/>
                <w:b/>
                <w:color w:val="1F497D" w:themeColor="text2"/>
                <w:sz w:val="24"/>
              </w:rPr>
              <w:t>Deaths</w:t>
            </w:r>
          </w:p>
        </w:tc>
        <w:tc>
          <w:tcPr>
            <w:tcW w:w="1890" w:type="dxa"/>
            <w:tcBorders>
              <w:left w:val="nil"/>
              <w:bottom w:val="nil"/>
            </w:tcBorders>
            <w:vAlign w:val="center"/>
          </w:tcPr>
          <w:p w:rsidR="00091D52" w:rsidRDefault="00091D52" w:rsidP="009E5349">
            <w:r>
              <w:rPr>
                <w:rFonts w:ascii="Times New Roman" w:hAnsi="Times New Roman" w:cs="Times New Roman"/>
                <w:b/>
                <w:color w:val="1F497D" w:themeColor="text2"/>
                <w:sz w:val="24"/>
              </w:rPr>
              <w:t>Mortality Rate^</w:t>
            </w:r>
          </w:p>
        </w:tc>
      </w:tr>
      <w:tr w:rsidR="00091D52" w:rsidTr="00091D52">
        <w:trPr>
          <w:trHeight w:val="100"/>
        </w:trPr>
        <w:tc>
          <w:tcPr>
            <w:tcW w:w="2250" w:type="dxa"/>
            <w:tcBorders>
              <w:top w:val="nil"/>
              <w:bottom w:val="nil"/>
              <w:right w:val="nil"/>
            </w:tcBorders>
            <w:vAlign w:val="center"/>
          </w:tcPr>
          <w:p w:rsidR="00091D52" w:rsidRPr="008358B2" w:rsidRDefault="00091D52" w:rsidP="00091D52">
            <w:pPr>
              <w:rPr>
                <w:rFonts w:ascii="Times New Roman" w:hAnsi="Times New Roman" w:cs="Times New Roman"/>
                <w:sz w:val="24"/>
              </w:rPr>
            </w:pPr>
            <w:r>
              <w:rPr>
                <w:rFonts w:ascii="Times New Roman" w:hAnsi="Times New Roman" w:cs="Times New Roman"/>
                <w:sz w:val="24"/>
              </w:rPr>
              <w:t xml:space="preserve">All HPV-associated </w:t>
            </w:r>
          </w:p>
        </w:tc>
        <w:tc>
          <w:tcPr>
            <w:tcW w:w="1260" w:type="dxa"/>
            <w:tcBorders>
              <w:top w:val="nil"/>
              <w:left w:val="nil"/>
              <w:bottom w:val="nil"/>
              <w:right w:val="nil"/>
            </w:tcBorders>
            <w:vAlign w:val="center"/>
          </w:tcPr>
          <w:p w:rsidR="00091D52" w:rsidRDefault="00091D52" w:rsidP="009E5349">
            <w:pPr>
              <w:jc w:val="center"/>
              <w:rPr>
                <w:rFonts w:ascii="Times New Roman" w:hAnsi="Times New Roman" w:cs="Times New Roman"/>
                <w:sz w:val="24"/>
              </w:rPr>
            </w:pPr>
            <w:r>
              <w:rPr>
                <w:rFonts w:ascii="Times New Roman" w:hAnsi="Times New Roman" w:cs="Times New Roman"/>
                <w:sz w:val="24"/>
              </w:rPr>
              <w:t>682</w:t>
            </w:r>
          </w:p>
        </w:tc>
        <w:tc>
          <w:tcPr>
            <w:tcW w:w="1890" w:type="dxa"/>
            <w:tcBorders>
              <w:top w:val="nil"/>
              <w:left w:val="nil"/>
              <w:bottom w:val="nil"/>
            </w:tcBorders>
            <w:vAlign w:val="center"/>
          </w:tcPr>
          <w:p w:rsidR="00091D52" w:rsidRDefault="00091D52" w:rsidP="009E5349">
            <w:pPr>
              <w:jc w:val="center"/>
              <w:rPr>
                <w:rFonts w:ascii="Times New Roman" w:hAnsi="Times New Roman" w:cs="Times New Roman"/>
                <w:sz w:val="24"/>
              </w:rPr>
            </w:pPr>
            <w:r>
              <w:rPr>
                <w:rFonts w:ascii="Times New Roman" w:hAnsi="Times New Roman" w:cs="Times New Roman"/>
                <w:sz w:val="24"/>
              </w:rPr>
              <w:t>2.77</w:t>
            </w:r>
          </w:p>
        </w:tc>
        <w:tc>
          <w:tcPr>
            <w:tcW w:w="2340" w:type="dxa"/>
            <w:tcBorders>
              <w:top w:val="nil"/>
              <w:bottom w:val="nil"/>
              <w:right w:val="nil"/>
            </w:tcBorders>
            <w:vAlign w:val="center"/>
          </w:tcPr>
          <w:p w:rsidR="00091D52" w:rsidRDefault="00091D52" w:rsidP="00091D52">
            <w:pPr>
              <w:rPr>
                <w:rFonts w:ascii="Times New Roman" w:hAnsi="Times New Roman" w:cs="Times New Roman"/>
                <w:sz w:val="24"/>
              </w:rPr>
            </w:pPr>
            <w:r>
              <w:rPr>
                <w:rFonts w:ascii="Times New Roman" w:hAnsi="Times New Roman" w:cs="Times New Roman"/>
                <w:sz w:val="24"/>
              </w:rPr>
              <w:t xml:space="preserve">All HPV-associated </w:t>
            </w:r>
          </w:p>
        </w:tc>
        <w:tc>
          <w:tcPr>
            <w:tcW w:w="1260" w:type="dxa"/>
            <w:tcBorders>
              <w:top w:val="nil"/>
              <w:left w:val="nil"/>
              <w:bottom w:val="nil"/>
              <w:right w:val="nil"/>
            </w:tcBorders>
            <w:vAlign w:val="center"/>
          </w:tcPr>
          <w:p w:rsidR="00091D52" w:rsidRPr="00064E16" w:rsidRDefault="00091D52" w:rsidP="009E5349">
            <w:pPr>
              <w:jc w:val="center"/>
              <w:rPr>
                <w:rFonts w:ascii="Times New Roman" w:hAnsi="Times New Roman" w:cs="Times New Roman"/>
                <w:sz w:val="24"/>
              </w:rPr>
            </w:pPr>
            <w:r>
              <w:rPr>
                <w:rFonts w:ascii="Times New Roman" w:hAnsi="Times New Roman" w:cs="Times New Roman"/>
                <w:sz w:val="24"/>
              </w:rPr>
              <w:t>956</w:t>
            </w:r>
          </w:p>
        </w:tc>
        <w:tc>
          <w:tcPr>
            <w:tcW w:w="1890" w:type="dxa"/>
            <w:tcBorders>
              <w:top w:val="nil"/>
              <w:left w:val="nil"/>
              <w:bottom w:val="nil"/>
            </w:tcBorders>
            <w:vAlign w:val="center"/>
          </w:tcPr>
          <w:p w:rsidR="00091D52" w:rsidRPr="00064E16" w:rsidRDefault="00091D52" w:rsidP="009E5349">
            <w:pPr>
              <w:jc w:val="center"/>
              <w:rPr>
                <w:rFonts w:ascii="Times New Roman" w:hAnsi="Times New Roman" w:cs="Times New Roman"/>
                <w:sz w:val="24"/>
              </w:rPr>
            </w:pPr>
            <w:r>
              <w:rPr>
                <w:rFonts w:ascii="Times New Roman" w:hAnsi="Times New Roman" w:cs="Times New Roman"/>
                <w:sz w:val="24"/>
              </w:rPr>
              <w:t>3.08</w:t>
            </w:r>
          </w:p>
        </w:tc>
      </w:tr>
      <w:tr w:rsidR="00091D52" w:rsidTr="00091D52">
        <w:trPr>
          <w:trHeight w:val="100"/>
        </w:trPr>
        <w:tc>
          <w:tcPr>
            <w:tcW w:w="2250" w:type="dxa"/>
            <w:tcBorders>
              <w:top w:val="nil"/>
              <w:bottom w:val="nil"/>
              <w:right w:val="nil"/>
            </w:tcBorders>
            <w:vAlign w:val="center"/>
          </w:tcPr>
          <w:p w:rsidR="00091D52" w:rsidRPr="008358B2" w:rsidRDefault="00091D52" w:rsidP="009E5349">
            <w:pPr>
              <w:ind w:left="180"/>
              <w:rPr>
                <w:rFonts w:ascii="Times New Roman" w:hAnsi="Times New Roman" w:cs="Times New Roman"/>
                <w:sz w:val="24"/>
              </w:rPr>
            </w:pPr>
            <w:r>
              <w:rPr>
                <w:rFonts w:ascii="Times New Roman" w:hAnsi="Times New Roman" w:cs="Times New Roman"/>
                <w:sz w:val="24"/>
              </w:rPr>
              <w:t>Oropharynx</w:t>
            </w:r>
          </w:p>
        </w:tc>
        <w:tc>
          <w:tcPr>
            <w:tcW w:w="1260" w:type="dxa"/>
            <w:tcBorders>
              <w:top w:val="nil"/>
              <w:left w:val="nil"/>
              <w:bottom w:val="nil"/>
              <w:right w:val="nil"/>
            </w:tcBorders>
            <w:vAlign w:val="center"/>
          </w:tcPr>
          <w:p w:rsidR="00091D52" w:rsidRPr="008358B2" w:rsidRDefault="00091D52" w:rsidP="009E5349">
            <w:pPr>
              <w:jc w:val="center"/>
              <w:rPr>
                <w:rFonts w:ascii="Times New Roman" w:hAnsi="Times New Roman" w:cs="Times New Roman"/>
                <w:sz w:val="24"/>
              </w:rPr>
            </w:pPr>
            <w:r>
              <w:rPr>
                <w:rFonts w:ascii="Times New Roman" w:hAnsi="Times New Roman" w:cs="Times New Roman"/>
                <w:sz w:val="24"/>
              </w:rPr>
              <w:t>586</w:t>
            </w:r>
          </w:p>
        </w:tc>
        <w:tc>
          <w:tcPr>
            <w:tcW w:w="1890" w:type="dxa"/>
            <w:tcBorders>
              <w:top w:val="nil"/>
              <w:left w:val="nil"/>
              <w:bottom w:val="nil"/>
            </w:tcBorders>
            <w:vAlign w:val="center"/>
          </w:tcPr>
          <w:p w:rsidR="00091D52" w:rsidRPr="008358B2" w:rsidRDefault="00091D52" w:rsidP="009E5349">
            <w:pPr>
              <w:jc w:val="center"/>
              <w:rPr>
                <w:rFonts w:ascii="Times New Roman" w:hAnsi="Times New Roman" w:cs="Times New Roman"/>
                <w:sz w:val="24"/>
              </w:rPr>
            </w:pPr>
            <w:r>
              <w:rPr>
                <w:rFonts w:ascii="Times New Roman" w:hAnsi="Times New Roman" w:cs="Times New Roman"/>
                <w:sz w:val="24"/>
              </w:rPr>
              <w:t>2.35</w:t>
            </w:r>
          </w:p>
        </w:tc>
        <w:tc>
          <w:tcPr>
            <w:tcW w:w="2340" w:type="dxa"/>
            <w:tcBorders>
              <w:top w:val="nil"/>
              <w:bottom w:val="nil"/>
              <w:right w:val="nil"/>
            </w:tcBorders>
            <w:vAlign w:val="center"/>
          </w:tcPr>
          <w:p w:rsidR="00091D52" w:rsidRDefault="00091D52" w:rsidP="009E5349">
            <w:pPr>
              <w:rPr>
                <w:rFonts w:ascii="Times New Roman" w:hAnsi="Times New Roman" w:cs="Times New Roman"/>
                <w:sz w:val="24"/>
              </w:rPr>
            </w:pPr>
            <w:r>
              <w:rPr>
                <w:rFonts w:ascii="Times New Roman" w:hAnsi="Times New Roman" w:cs="Times New Roman"/>
                <w:sz w:val="24"/>
              </w:rPr>
              <w:t>Cervix</w:t>
            </w:r>
          </w:p>
        </w:tc>
        <w:tc>
          <w:tcPr>
            <w:tcW w:w="1260" w:type="dxa"/>
            <w:tcBorders>
              <w:top w:val="nil"/>
              <w:left w:val="nil"/>
              <w:bottom w:val="nil"/>
              <w:right w:val="nil"/>
            </w:tcBorders>
            <w:vAlign w:val="center"/>
          </w:tcPr>
          <w:p w:rsidR="00091D52" w:rsidRPr="00064E16" w:rsidRDefault="00091D52" w:rsidP="009E5349">
            <w:pPr>
              <w:jc w:val="center"/>
              <w:rPr>
                <w:rFonts w:ascii="Times New Roman" w:hAnsi="Times New Roman" w:cs="Times New Roman"/>
                <w:sz w:val="24"/>
              </w:rPr>
            </w:pPr>
            <w:r>
              <w:rPr>
                <w:rFonts w:ascii="Times New Roman" w:hAnsi="Times New Roman" w:cs="Times New Roman"/>
                <w:sz w:val="24"/>
              </w:rPr>
              <w:t>374</w:t>
            </w:r>
          </w:p>
        </w:tc>
        <w:tc>
          <w:tcPr>
            <w:tcW w:w="1890" w:type="dxa"/>
            <w:tcBorders>
              <w:top w:val="nil"/>
              <w:left w:val="nil"/>
              <w:bottom w:val="nil"/>
            </w:tcBorders>
            <w:vAlign w:val="center"/>
          </w:tcPr>
          <w:p w:rsidR="00091D52" w:rsidRPr="00064E16" w:rsidRDefault="00091D52" w:rsidP="009E5349">
            <w:pPr>
              <w:jc w:val="center"/>
              <w:rPr>
                <w:rFonts w:ascii="Times New Roman" w:hAnsi="Times New Roman" w:cs="Times New Roman"/>
                <w:sz w:val="24"/>
              </w:rPr>
            </w:pPr>
            <w:r>
              <w:rPr>
                <w:rFonts w:ascii="Times New Roman" w:hAnsi="Times New Roman" w:cs="Times New Roman"/>
                <w:sz w:val="24"/>
              </w:rPr>
              <w:t>1.29</w:t>
            </w:r>
          </w:p>
        </w:tc>
      </w:tr>
      <w:tr w:rsidR="00091D52" w:rsidTr="00091D52">
        <w:trPr>
          <w:trHeight w:val="100"/>
        </w:trPr>
        <w:tc>
          <w:tcPr>
            <w:tcW w:w="2250" w:type="dxa"/>
            <w:tcBorders>
              <w:top w:val="nil"/>
              <w:bottom w:val="nil"/>
              <w:right w:val="nil"/>
            </w:tcBorders>
            <w:vAlign w:val="center"/>
          </w:tcPr>
          <w:p w:rsidR="00091D52" w:rsidRPr="008358B2" w:rsidRDefault="00091D52" w:rsidP="009E5349">
            <w:pPr>
              <w:ind w:left="180"/>
              <w:rPr>
                <w:rFonts w:ascii="Times New Roman" w:hAnsi="Times New Roman" w:cs="Times New Roman"/>
                <w:sz w:val="24"/>
              </w:rPr>
            </w:pPr>
            <w:r>
              <w:rPr>
                <w:rFonts w:ascii="Times New Roman" w:hAnsi="Times New Roman" w:cs="Times New Roman"/>
                <w:sz w:val="24"/>
              </w:rPr>
              <w:t>Penis</w:t>
            </w:r>
          </w:p>
        </w:tc>
        <w:tc>
          <w:tcPr>
            <w:tcW w:w="1260" w:type="dxa"/>
            <w:tcBorders>
              <w:top w:val="nil"/>
              <w:left w:val="nil"/>
              <w:bottom w:val="nil"/>
              <w:right w:val="nil"/>
            </w:tcBorders>
            <w:vAlign w:val="center"/>
          </w:tcPr>
          <w:p w:rsidR="00091D52" w:rsidRPr="008358B2" w:rsidRDefault="00091D52" w:rsidP="009E5349">
            <w:pPr>
              <w:jc w:val="center"/>
              <w:rPr>
                <w:rFonts w:ascii="Times New Roman" w:hAnsi="Times New Roman" w:cs="Times New Roman"/>
                <w:sz w:val="24"/>
              </w:rPr>
            </w:pPr>
            <w:r>
              <w:rPr>
                <w:rFonts w:ascii="Times New Roman" w:hAnsi="Times New Roman" w:cs="Times New Roman"/>
                <w:sz w:val="24"/>
              </w:rPr>
              <w:t>49</w:t>
            </w:r>
          </w:p>
        </w:tc>
        <w:tc>
          <w:tcPr>
            <w:tcW w:w="1890" w:type="dxa"/>
            <w:tcBorders>
              <w:top w:val="nil"/>
              <w:left w:val="nil"/>
              <w:bottom w:val="nil"/>
            </w:tcBorders>
            <w:vAlign w:val="center"/>
          </w:tcPr>
          <w:p w:rsidR="00091D52" w:rsidRPr="008358B2" w:rsidRDefault="00091D52" w:rsidP="009E5349">
            <w:pPr>
              <w:jc w:val="center"/>
              <w:rPr>
                <w:rFonts w:ascii="Times New Roman" w:hAnsi="Times New Roman" w:cs="Times New Roman"/>
                <w:sz w:val="24"/>
              </w:rPr>
            </w:pPr>
            <w:r>
              <w:rPr>
                <w:rFonts w:ascii="Times New Roman" w:hAnsi="Times New Roman" w:cs="Times New Roman"/>
                <w:sz w:val="24"/>
              </w:rPr>
              <w:t>0.23</w:t>
            </w:r>
          </w:p>
        </w:tc>
        <w:tc>
          <w:tcPr>
            <w:tcW w:w="2340" w:type="dxa"/>
            <w:tcBorders>
              <w:top w:val="nil"/>
              <w:bottom w:val="nil"/>
              <w:right w:val="nil"/>
            </w:tcBorders>
            <w:vAlign w:val="center"/>
          </w:tcPr>
          <w:p w:rsidR="00091D52" w:rsidRDefault="00091D52" w:rsidP="009E5349">
            <w:pPr>
              <w:rPr>
                <w:rFonts w:ascii="Times New Roman" w:hAnsi="Times New Roman" w:cs="Times New Roman"/>
                <w:sz w:val="24"/>
              </w:rPr>
            </w:pPr>
            <w:r>
              <w:rPr>
                <w:rFonts w:ascii="Times New Roman" w:hAnsi="Times New Roman" w:cs="Times New Roman"/>
                <w:sz w:val="24"/>
              </w:rPr>
              <w:t>Oropharynx</w:t>
            </w:r>
          </w:p>
        </w:tc>
        <w:tc>
          <w:tcPr>
            <w:tcW w:w="1260" w:type="dxa"/>
            <w:tcBorders>
              <w:top w:val="nil"/>
              <w:left w:val="nil"/>
              <w:bottom w:val="nil"/>
              <w:right w:val="nil"/>
            </w:tcBorders>
            <w:vAlign w:val="center"/>
          </w:tcPr>
          <w:p w:rsidR="00091D52" w:rsidRPr="00064E16" w:rsidRDefault="00091D52" w:rsidP="009E5349">
            <w:pPr>
              <w:jc w:val="center"/>
              <w:rPr>
                <w:rFonts w:ascii="Times New Roman" w:hAnsi="Times New Roman" w:cs="Times New Roman"/>
                <w:sz w:val="24"/>
              </w:rPr>
            </w:pPr>
            <w:r>
              <w:rPr>
                <w:rFonts w:ascii="Times New Roman" w:hAnsi="Times New Roman" w:cs="Times New Roman"/>
                <w:sz w:val="24"/>
              </w:rPr>
              <w:t>234</w:t>
            </w:r>
          </w:p>
        </w:tc>
        <w:tc>
          <w:tcPr>
            <w:tcW w:w="1890" w:type="dxa"/>
            <w:tcBorders>
              <w:top w:val="nil"/>
              <w:left w:val="nil"/>
              <w:bottom w:val="nil"/>
            </w:tcBorders>
            <w:vAlign w:val="center"/>
          </w:tcPr>
          <w:p w:rsidR="00091D52" w:rsidRPr="00064E16" w:rsidRDefault="00091D52" w:rsidP="009E5349">
            <w:pPr>
              <w:jc w:val="center"/>
              <w:rPr>
                <w:rFonts w:ascii="Times New Roman" w:hAnsi="Times New Roman" w:cs="Times New Roman"/>
                <w:sz w:val="24"/>
              </w:rPr>
            </w:pPr>
            <w:r>
              <w:rPr>
                <w:rFonts w:ascii="Times New Roman" w:hAnsi="Times New Roman" w:cs="Times New Roman"/>
                <w:sz w:val="24"/>
              </w:rPr>
              <w:t>0.73</w:t>
            </w:r>
          </w:p>
        </w:tc>
      </w:tr>
      <w:tr w:rsidR="00091D52" w:rsidTr="00091D52">
        <w:trPr>
          <w:trHeight w:val="100"/>
        </w:trPr>
        <w:tc>
          <w:tcPr>
            <w:tcW w:w="2250" w:type="dxa"/>
            <w:tcBorders>
              <w:top w:val="nil"/>
              <w:right w:val="nil"/>
            </w:tcBorders>
            <w:vAlign w:val="center"/>
          </w:tcPr>
          <w:p w:rsidR="00091D52" w:rsidRPr="008358B2" w:rsidRDefault="00091D52" w:rsidP="009E5349">
            <w:pPr>
              <w:ind w:left="180"/>
              <w:rPr>
                <w:rFonts w:ascii="Times New Roman" w:hAnsi="Times New Roman" w:cs="Times New Roman"/>
                <w:sz w:val="24"/>
              </w:rPr>
            </w:pPr>
            <w:r>
              <w:rPr>
                <w:rFonts w:ascii="Times New Roman" w:hAnsi="Times New Roman" w:cs="Times New Roman"/>
                <w:sz w:val="24"/>
              </w:rPr>
              <w:t>Anus</w:t>
            </w:r>
          </w:p>
        </w:tc>
        <w:tc>
          <w:tcPr>
            <w:tcW w:w="1260" w:type="dxa"/>
            <w:tcBorders>
              <w:top w:val="nil"/>
              <w:left w:val="nil"/>
              <w:right w:val="nil"/>
            </w:tcBorders>
            <w:vAlign w:val="center"/>
          </w:tcPr>
          <w:p w:rsidR="00091D52" w:rsidRPr="008358B2" w:rsidRDefault="00091D52" w:rsidP="009E5349">
            <w:pPr>
              <w:jc w:val="center"/>
              <w:rPr>
                <w:rFonts w:ascii="Times New Roman" w:hAnsi="Times New Roman" w:cs="Times New Roman"/>
                <w:sz w:val="24"/>
              </w:rPr>
            </w:pPr>
            <w:r>
              <w:rPr>
                <w:rFonts w:ascii="Times New Roman" w:hAnsi="Times New Roman" w:cs="Times New Roman"/>
                <w:sz w:val="24"/>
              </w:rPr>
              <w:t>47</w:t>
            </w:r>
          </w:p>
        </w:tc>
        <w:tc>
          <w:tcPr>
            <w:tcW w:w="1890" w:type="dxa"/>
            <w:tcBorders>
              <w:top w:val="nil"/>
              <w:left w:val="nil"/>
            </w:tcBorders>
            <w:vAlign w:val="center"/>
          </w:tcPr>
          <w:p w:rsidR="00091D52" w:rsidRPr="008358B2" w:rsidRDefault="00091D52" w:rsidP="009E5349">
            <w:pPr>
              <w:jc w:val="center"/>
              <w:rPr>
                <w:rFonts w:ascii="Times New Roman" w:hAnsi="Times New Roman" w:cs="Times New Roman"/>
                <w:sz w:val="24"/>
              </w:rPr>
            </w:pPr>
            <w:r>
              <w:rPr>
                <w:rFonts w:ascii="Times New Roman" w:hAnsi="Times New Roman" w:cs="Times New Roman"/>
                <w:sz w:val="24"/>
              </w:rPr>
              <w:t>0.19</w:t>
            </w:r>
          </w:p>
        </w:tc>
        <w:tc>
          <w:tcPr>
            <w:tcW w:w="2340" w:type="dxa"/>
            <w:tcBorders>
              <w:top w:val="nil"/>
              <w:right w:val="nil"/>
            </w:tcBorders>
            <w:vAlign w:val="center"/>
          </w:tcPr>
          <w:p w:rsidR="00091D52" w:rsidRDefault="00091D52" w:rsidP="009E5349">
            <w:pPr>
              <w:rPr>
                <w:rFonts w:ascii="Times New Roman" w:hAnsi="Times New Roman" w:cs="Times New Roman"/>
                <w:sz w:val="24"/>
              </w:rPr>
            </w:pPr>
            <w:r>
              <w:rPr>
                <w:rFonts w:ascii="Times New Roman" w:hAnsi="Times New Roman" w:cs="Times New Roman"/>
                <w:sz w:val="24"/>
              </w:rPr>
              <w:t>Vulva</w:t>
            </w:r>
          </w:p>
        </w:tc>
        <w:tc>
          <w:tcPr>
            <w:tcW w:w="1260" w:type="dxa"/>
            <w:tcBorders>
              <w:top w:val="nil"/>
              <w:left w:val="nil"/>
              <w:right w:val="nil"/>
            </w:tcBorders>
            <w:vAlign w:val="center"/>
          </w:tcPr>
          <w:p w:rsidR="00091D52" w:rsidRPr="00064E16" w:rsidRDefault="00091D52" w:rsidP="009E5349">
            <w:pPr>
              <w:jc w:val="center"/>
              <w:rPr>
                <w:rFonts w:ascii="Times New Roman" w:hAnsi="Times New Roman" w:cs="Times New Roman"/>
                <w:sz w:val="24"/>
              </w:rPr>
            </w:pPr>
            <w:r>
              <w:rPr>
                <w:rFonts w:ascii="Times New Roman" w:hAnsi="Times New Roman" w:cs="Times New Roman"/>
                <w:sz w:val="24"/>
              </w:rPr>
              <w:t>221</w:t>
            </w:r>
          </w:p>
        </w:tc>
        <w:tc>
          <w:tcPr>
            <w:tcW w:w="1890" w:type="dxa"/>
            <w:tcBorders>
              <w:top w:val="nil"/>
              <w:left w:val="nil"/>
            </w:tcBorders>
            <w:vAlign w:val="center"/>
          </w:tcPr>
          <w:p w:rsidR="00091D52" w:rsidRPr="00064E16" w:rsidRDefault="00091D52" w:rsidP="009E5349">
            <w:pPr>
              <w:jc w:val="center"/>
              <w:rPr>
                <w:rFonts w:ascii="Times New Roman" w:hAnsi="Times New Roman" w:cs="Times New Roman"/>
                <w:sz w:val="24"/>
              </w:rPr>
            </w:pPr>
            <w:r>
              <w:rPr>
                <w:rFonts w:ascii="Times New Roman" w:hAnsi="Times New Roman" w:cs="Times New Roman"/>
                <w:sz w:val="24"/>
              </w:rPr>
              <w:t>0.67</w:t>
            </w:r>
          </w:p>
        </w:tc>
      </w:tr>
      <w:tr w:rsidR="00091D52" w:rsidTr="00091D52">
        <w:trPr>
          <w:trHeight w:val="90"/>
        </w:trPr>
        <w:tc>
          <w:tcPr>
            <w:tcW w:w="10890" w:type="dxa"/>
            <w:gridSpan w:val="6"/>
            <w:vAlign w:val="center"/>
          </w:tcPr>
          <w:p w:rsidR="00091D52" w:rsidRDefault="00091D52" w:rsidP="002B7B66">
            <w:r>
              <w:rPr>
                <w:rFonts w:ascii="Times New Roman" w:hAnsi="Times New Roman" w:cs="Times New Roman"/>
                <w:sz w:val="20"/>
              </w:rPr>
              <w:t>Cancer sites are not restricted to squamous cell carcinomas</w:t>
            </w:r>
            <w:r w:rsidR="002B7B66">
              <w:rPr>
                <w:rFonts w:ascii="Times New Roman" w:hAnsi="Times New Roman" w:cs="Times New Roman"/>
                <w:sz w:val="20"/>
              </w:rPr>
              <w:t>;</w:t>
            </w:r>
            <w:r>
              <w:rPr>
                <w:rFonts w:ascii="Times New Roman" w:hAnsi="Times New Roman" w:cs="Times New Roman"/>
                <w:sz w:val="20"/>
              </w:rPr>
              <w:t xml:space="preserve"> ^per 100,000 and age-standardized to the 2000 U.S. population</w:t>
            </w:r>
            <w:r w:rsidR="002B7B66">
              <w:rPr>
                <w:rFonts w:ascii="Times New Roman" w:hAnsi="Times New Roman" w:cs="Times New Roman"/>
                <w:sz w:val="20"/>
              </w:rPr>
              <w:t>;</w:t>
            </w:r>
            <w:r>
              <w:rPr>
                <w:rFonts w:ascii="Times New Roman" w:hAnsi="Times New Roman" w:cs="Times New Roman"/>
                <w:sz w:val="20"/>
              </w:rPr>
              <w:t xml:space="preserve"> 1 person did not identify as male or female</w:t>
            </w:r>
            <w:r w:rsidR="002B7B66">
              <w:rPr>
                <w:rFonts w:ascii="Times New Roman" w:hAnsi="Times New Roman" w:cs="Times New Roman"/>
                <w:sz w:val="20"/>
              </w:rPr>
              <w:t>;</w:t>
            </w:r>
            <w:r>
              <w:rPr>
                <w:rFonts w:ascii="Times New Roman" w:hAnsi="Times New Roman" w:cs="Times New Roman"/>
                <w:sz w:val="20"/>
              </w:rPr>
              <w:t xml:space="preserve"> data source: Massachusetts Registry of Vital Records and Statistics</w:t>
            </w:r>
          </w:p>
        </w:tc>
      </w:tr>
    </w:tbl>
    <w:p w:rsidR="00091D52" w:rsidRDefault="00091D52" w:rsidP="00553017">
      <w:pPr>
        <w:spacing w:after="0" w:line="240" w:lineRule="auto"/>
        <w:rPr>
          <w:rFonts w:ascii="Times New Roman" w:hAnsi="Times New Roman" w:cs="Times New Roman"/>
          <w:b/>
          <w:sz w:val="24"/>
        </w:rPr>
      </w:pPr>
    </w:p>
    <w:p w:rsidR="00091D52" w:rsidRDefault="00091D52" w:rsidP="00553017">
      <w:pPr>
        <w:spacing w:after="0" w:line="240" w:lineRule="auto"/>
        <w:rPr>
          <w:rFonts w:ascii="Times New Roman" w:hAnsi="Times New Roman" w:cs="Times New Roman"/>
          <w:b/>
          <w:sz w:val="24"/>
        </w:rPr>
        <w:sectPr w:rsidR="00091D52" w:rsidSect="00091D52">
          <w:type w:val="continuous"/>
          <w:pgSz w:w="12240" w:h="15840"/>
          <w:pgMar w:top="864" w:right="864" w:bottom="864" w:left="864" w:header="720" w:footer="720" w:gutter="0"/>
          <w:cols w:space="288"/>
          <w:docGrid w:linePitch="360"/>
        </w:sectPr>
      </w:pPr>
    </w:p>
    <w:p w:rsidR="00091D52" w:rsidRDefault="00091D52" w:rsidP="00807E2C">
      <w:pPr>
        <w:spacing w:after="0" w:line="240" w:lineRule="auto"/>
        <w:rPr>
          <w:rFonts w:ascii="Times New Roman" w:hAnsi="Times New Roman" w:cs="Times New Roman"/>
          <w:sz w:val="24"/>
        </w:rPr>
      </w:pPr>
    </w:p>
    <w:p w:rsidR="00505331" w:rsidRDefault="00505331" w:rsidP="00807E2C">
      <w:pPr>
        <w:spacing w:after="0" w:line="240" w:lineRule="auto"/>
        <w:rPr>
          <w:rFonts w:ascii="Times New Roman" w:hAnsi="Times New Roman" w:cs="Times New Roman"/>
          <w:sz w:val="24"/>
        </w:rPr>
      </w:pPr>
    </w:p>
    <w:p w:rsidR="00505331" w:rsidRDefault="00505331" w:rsidP="00807E2C">
      <w:pPr>
        <w:spacing w:after="0" w:line="240" w:lineRule="auto"/>
        <w:rPr>
          <w:rFonts w:ascii="Times New Roman" w:hAnsi="Times New Roman" w:cs="Times New Roman"/>
          <w:sz w:val="24"/>
        </w:rPr>
      </w:pPr>
    </w:p>
    <w:p w:rsidR="00505331" w:rsidRDefault="00505331" w:rsidP="00807E2C">
      <w:pPr>
        <w:spacing w:after="0" w:line="240" w:lineRule="auto"/>
        <w:rPr>
          <w:rFonts w:ascii="Times New Roman" w:hAnsi="Times New Roman" w:cs="Times New Roman"/>
          <w:sz w:val="24"/>
        </w:rPr>
      </w:pPr>
    </w:p>
    <w:p w:rsidR="00505331" w:rsidRDefault="00505331" w:rsidP="00807E2C">
      <w:pPr>
        <w:spacing w:after="0" w:line="240" w:lineRule="auto"/>
        <w:rPr>
          <w:rFonts w:ascii="Times New Roman" w:hAnsi="Times New Roman" w:cs="Times New Roman"/>
          <w:sz w:val="24"/>
        </w:rPr>
      </w:pPr>
    </w:p>
    <w:p w:rsidR="00505331" w:rsidRDefault="00505331" w:rsidP="00807E2C">
      <w:pPr>
        <w:spacing w:after="0" w:line="240" w:lineRule="auto"/>
        <w:rPr>
          <w:rFonts w:ascii="Times New Roman" w:hAnsi="Times New Roman" w:cs="Times New Roman"/>
          <w:sz w:val="24"/>
        </w:rPr>
      </w:pPr>
    </w:p>
    <w:p w:rsidR="00505331" w:rsidRDefault="00505331" w:rsidP="00807E2C">
      <w:pPr>
        <w:spacing w:after="0" w:line="240" w:lineRule="auto"/>
        <w:rPr>
          <w:rFonts w:ascii="Times New Roman" w:hAnsi="Times New Roman" w:cs="Times New Roman"/>
          <w:sz w:val="24"/>
        </w:rPr>
      </w:pPr>
    </w:p>
    <w:p w:rsidR="00505331" w:rsidRDefault="00505331" w:rsidP="00807E2C">
      <w:pPr>
        <w:spacing w:after="0" w:line="240" w:lineRule="auto"/>
        <w:rPr>
          <w:rFonts w:ascii="Times New Roman" w:hAnsi="Times New Roman" w:cs="Times New Roman"/>
          <w:sz w:val="24"/>
        </w:rPr>
      </w:pPr>
    </w:p>
    <w:p w:rsidR="00505331" w:rsidRDefault="00505331" w:rsidP="00807E2C">
      <w:pPr>
        <w:spacing w:after="0" w:line="240" w:lineRule="auto"/>
        <w:rPr>
          <w:rFonts w:ascii="Times New Roman" w:hAnsi="Times New Roman" w:cs="Times New Roman"/>
          <w:sz w:val="24"/>
        </w:rPr>
      </w:pPr>
    </w:p>
    <w:p w:rsidR="00505331" w:rsidRDefault="00505331" w:rsidP="00807E2C">
      <w:pPr>
        <w:spacing w:after="0" w:line="240" w:lineRule="auto"/>
        <w:rPr>
          <w:rFonts w:ascii="Times New Roman" w:hAnsi="Times New Roman" w:cs="Times New Roman"/>
          <w:sz w:val="24"/>
        </w:rPr>
      </w:pPr>
    </w:p>
    <w:p w:rsidR="00505331" w:rsidRDefault="00505331" w:rsidP="00807E2C">
      <w:pPr>
        <w:spacing w:after="0" w:line="240" w:lineRule="auto"/>
        <w:rPr>
          <w:rFonts w:ascii="Times New Roman" w:hAnsi="Times New Roman" w:cs="Times New Roman"/>
          <w:sz w:val="24"/>
        </w:rPr>
        <w:sectPr w:rsidR="00505331" w:rsidSect="00091D52">
          <w:type w:val="continuous"/>
          <w:pgSz w:w="12240" w:h="15840"/>
          <w:pgMar w:top="864" w:right="864" w:bottom="864" w:left="864" w:header="720" w:footer="720" w:gutter="0"/>
          <w:cols w:num="2" w:space="288"/>
          <w:docGrid w:linePitch="360"/>
        </w:sectPr>
      </w:pPr>
    </w:p>
    <w:tbl>
      <w:tblPr>
        <w:tblStyle w:val="TableGrid"/>
        <w:tblW w:w="10440" w:type="dxa"/>
        <w:jc w:val="center"/>
        <w:tblLook w:val="04A0" w:firstRow="1" w:lastRow="0" w:firstColumn="1" w:lastColumn="0" w:noHBand="0" w:noVBand="1"/>
      </w:tblPr>
      <w:tblGrid>
        <w:gridCol w:w="1906"/>
        <w:gridCol w:w="736"/>
        <w:gridCol w:w="737"/>
        <w:gridCol w:w="736"/>
        <w:gridCol w:w="737"/>
        <w:gridCol w:w="736"/>
        <w:gridCol w:w="737"/>
        <w:gridCol w:w="736"/>
        <w:gridCol w:w="737"/>
        <w:gridCol w:w="736"/>
        <w:gridCol w:w="737"/>
        <w:gridCol w:w="1169"/>
      </w:tblGrid>
      <w:tr w:rsidR="00B43FFF" w:rsidRPr="00902D3A" w:rsidTr="00505331">
        <w:trPr>
          <w:trHeight w:val="585"/>
          <w:jc w:val="center"/>
        </w:trPr>
        <w:tc>
          <w:tcPr>
            <w:tcW w:w="10440" w:type="dxa"/>
            <w:gridSpan w:val="12"/>
            <w:tcBorders>
              <w:top w:val="nil"/>
              <w:left w:val="nil"/>
              <w:right w:val="nil"/>
            </w:tcBorders>
            <w:vAlign w:val="center"/>
          </w:tcPr>
          <w:p w:rsidR="00B43FFF" w:rsidRPr="00902D3A" w:rsidRDefault="00B43FFF" w:rsidP="00EA5059">
            <w:pPr>
              <w:rPr>
                <w:rFonts w:ascii="Times New Roman" w:hAnsi="Times New Roman" w:cs="Times New Roman"/>
                <w:b/>
                <w:color w:val="1F497D" w:themeColor="text2"/>
                <w:sz w:val="24"/>
              </w:rPr>
            </w:pPr>
            <w:r>
              <w:rPr>
                <w:rFonts w:ascii="Times New Roman" w:hAnsi="Times New Roman" w:cs="Times New Roman"/>
                <w:b/>
                <w:color w:val="1F497D" w:themeColor="text2"/>
                <w:sz w:val="24"/>
              </w:rPr>
              <w:lastRenderedPageBreak/>
              <w:t>OROPHARYNGEAL</w:t>
            </w:r>
            <w:r w:rsidRPr="00902D3A">
              <w:rPr>
                <w:rFonts w:ascii="Times New Roman" w:hAnsi="Times New Roman" w:cs="Times New Roman"/>
                <w:b/>
                <w:color w:val="1F497D" w:themeColor="text2"/>
                <w:sz w:val="24"/>
              </w:rPr>
              <w:t xml:space="preserve"> CANCER </w:t>
            </w:r>
            <w:r>
              <w:rPr>
                <w:rFonts w:ascii="Times New Roman" w:hAnsi="Times New Roman" w:cs="Times New Roman"/>
                <w:b/>
                <w:color w:val="1F497D" w:themeColor="text2"/>
                <w:sz w:val="24"/>
              </w:rPr>
              <w:t>TRENDS</w:t>
            </w:r>
          </w:p>
        </w:tc>
      </w:tr>
      <w:tr w:rsidR="00B43FFF" w:rsidRPr="00902D3A" w:rsidTr="00091D52">
        <w:trPr>
          <w:trHeight w:val="512"/>
          <w:jc w:val="center"/>
        </w:trPr>
        <w:tc>
          <w:tcPr>
            <w:tcW w:w="10440" w:type="dxa"/>
            <w:gridSpan w:val="12"/>
            <w:tcBorders>
              <w:bottom w:val="single" w:sz="4" w:space="0" w:color="auto"/>
            </w:tcBorders>
            <w:vAlign w:val="center"/>
          </w:tcPr>
          <w:p w:rsidR="00B43FFF" w:rsidRDefault="00B43FFF" w:rsidP="00B43FFF">
            <w:pPr>
              <w:rPr>
                <w:rFonts w:ascii="Times New Roman" w:hAnsi="Times New Roman" w:cs="Times New Roman"/>
                <w:b/>
                <w:color w:val="1F497D" w:themeColor="text2"/>
                <w:sz w:val="24"/>
              </w:rPr>
            </w:pPr>
            <w:r>
              <w:rPr>
                <w:rFonts w:ascii="Times New Roman" w:hAnsi="Times New Roman" w:cs="Times New Roman"/>
                <w:b/>
                <w:color w:val="1F497D" w:themeColor="text2"/>
                <w:sz w:val="24"/>
              </w:rPr>
              <w:t>Figure 1. Trends in the incidence (2004-2014) and mortality (2008-2014) rates^ of oropharyngeal cancer, Massachusetts</w:t>
            </w:r>
          </w:p>
        </w:tc>
      </w:tr>
      <w:tr w:rsidR="00B43FFF" w:rsidRPr="00902D3A" w:rsidTr="00091D52">
        <w:trPr>
          <w:trHeight w:val="620"/>
          <w:jc w:val="center"/>
        </w:trPr>
        <w:tc>
          <w:tcPr>
            <w:tcW w:w="10440" w:type="dxa"/>
            <w:gridSpan w:val="12"/>
            <w:tcBorders>
              <w:bottom w:val="single" w:sz="4" w:space="0" w:color="auto"/>
            </w:tcBorders>
            <w:vAlign w:val="center"/>
          </w:tcPr>
          <w:p w:rsidR="00B43FFF" w:rsidRDefault="00B43FFF" w:rsidP="00BC437D">
            <w:pPr>
              <w:jc w:val="center"/>
              <w:rPr>
                <w:noProof/>
              </w:rPr>
            </w:pPr>
            <w:r>
              <w:rPr>
                <w:noProof/>
              </w:rPr>
              <w:drawing>
                <wp:inline distT="0" distB="0" distL="0" distR="0" wp14:anchorId="5D5E6E4D" wp14:editId="0ABA5B8A">
                  <wp:extent cx="4572000" cy="2425700"/>
                  <wp:effectExtent l="0" t="0" r="0" b="0"/>
                  <wp:docPr id="1" name="Chart 1" descr="The incdience rate of oropharyngeal cancer among males increased by 2.82% each year with statistical significance from 2004 to 2014. The incdience rate of oropharyngeal cancer among females increased by 6.62% each year with statistical significance from 2004 to 2012, and then decreased by 13.72% each year without statistical significance from 2012 to 2014. The mortality rate of oropharyngeal cancer among males decreased by 3.01% each year without statistical significance from 2008 to 2014.   The mortality rate of oropharyngeal cancer among females decreased by 1.94% each year without statistical significance from 2008 to 2014.  Rates are per 100,000 and are age-standardized to the 2000 US population. Data are from the Massachusetts Cancer Registry and the Massachusetts Registry of Vital Records and Statistics. " title="Figure 1. Trends in the incidence and mortality rates of oropharyngeal cancer in Massachusetts 2004-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B43FFF" w:rsidRPr="00902D3A" w:rsidTr="00091D52">
        <w:trPr>
          <w:trHeight w:val="90"/>
          <w:jc w:val="center"/>
        </w:trPr>
        <w:tc>
          <w:tcPr>
            <w:tcW w:w="1906" w:type="dxa"/>
            <w:tcBorders>
              <w:bottom w:val="single" w:sz="4" w:space="0" w:color="auto"/>
              <w:right w:val="nil"/>
            </w:tcBorders>
            <w:vAlign w:val="center"/>
          </w:tcPr>
          <w:p w:rsidR="00B43FFF" w:rsidRPr="00BC437D" w:rsidRDefault="00B43FFF" w:rsidP="00BC437D">
            <w:pPr>
              <w:rPr>
                <w:rFonts w:ascii="Times New Roman" w:hAnsi="Times New Roman" w:cs="Times New Roman"/>
                <w:b/>
                <w:color w:val="1F497D" w:themeColor="text2"/>
                <w:sz w:val="20"/>
              </w:rPr>
            </w:pPr>
          </w:p>
        </w:tc>
        <w:tc>
          <w:tcPr>
            <w:tcW w:w="736" w:type="dxa"/>
            <w:tcBorders>
              <w:left w:val="nil"/>
              <w:bottom w:val="single" w:sz="4" w:space="0" w:color="auto"/>
              <w:right w:val="nil"/>
            </w:tcBorders>
            <w:vAlign w:val="center"/>
          </w:tcPr>
          <w:p w:rsidR="00B43FFF" w:rsidRPr="00BC437D" w:rsidRDefault="00B43FFF" w:rsidP="00BC437D">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2004</w:t>
            </w:r>
          </w:p>
        </w:tc>
        <w:tc>
          <w:tcPr>
            <w:tcW w:w="737" w:type="dxa"/>
            <w:tcBorders>
              <w:left w:val="nil"/>
              <w:bottom w:val="single" w:sz="4" w:space="0" w:color="auto"/>
              <w:right w:val="nil"/>
            </w:tcBorders>
            <w:vAlign w:val="center"/>
          </w:tcPr>
          <w:p w:rsidR="00B43FFF" w:rsidRPr="00BC437D" w:rsidRDefault="00B43FFF" w:rsidP="00BC437D">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2005</w:t>
            </w:r>
          </w:p>
        </w:tc>
        <w:tc>
          <w:tcPr>
            <w:tcW w:w="736" w:type="dxa"/>
            <w:tcBorders>
              <w:left w:val="nil"/>
              <w:bottom w:val="single" w:sz="4" w:space="0" w:color="auto"/>
              <w:right w:val="nil"/>
            </w:tcBorders>
            <w:vAlign w:val="center"/>
          </w:tcPr>
          <w:p w:rsidR="00B43FFF" w:rsidRPr="00BC437D" w:rsidRDefault="00B43FFF" w:rsidP="00BC437D">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2006</w:t>
            </w:r>
          </w:p>
        </w:tc>
        <w:tc>
          <w:tcPr>
            <w:tcW w:w="737" w:type="dxa"/>
            <w:tcBorders>
              <w:left w:val="nil"/>
              <w:bottom w:val="single" w:sz="4" w:space="0" w:color="auto"/>
              <w:right w:val="nil"/>
            </w:tcBorders>
            <w:vAlign w:val="center"/>
          </w:tcPr>
          <w:p w:rsidR="00B43FFF" w:rsidRPr="00BC437D" w:rsidRDefault="00B43FFF" w:rsidP="00BC437D">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2007</w:t>
            </w:r>
          </w:p>
        </w:tc>
        <w:tc>
          <w:tcPr>
            <w:tcW w:w="736" w:type="dxa"/>
            <w:tcBorders>
              <w:left w:val="nil"/>
              <w:bottom w:val="single" w:sz="4" w:space="0" w:color="auto"/>
              <w:right w:val="nil"/>
            </w:tcBorders>
            <w:vAlign w:val="center"/>
          </w:tcPr>
          <w:p w:rsidR="00B43FFF" w:rsidRPr="00BC437D" w:rsidRDefault="00B43FFF" w:rsidP="00BC437D">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2008</w:t>
            </w:r>
          </w:p>
        </w:tc>
        <w:tc>
          <w:tcPr>
            <w:tcW w:w="737" w:type="dxa"/>
            <w:tcBorders>
              <w:left w:val="nil"/>
              <w:bottom w:val="single" w:sz="4" w:space="0" w:color="auto"/>
              <w:right w:val="nil"/>
            </w:tcBorders>
            <w:vAlign w:val="center"/>
          </w:tcPr>
          <w:p w:rsidR="00B43FFF" w:rsidRPr="00BC437D" w:rsidRDefault="00B43FFF" w:rsidP="00BC437D">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2009</w:t>
            </w:r>
          </w:p>
        </w:tc>
        <w:tc>
          <w:tcPr>
            <w:tcW w:w="736" w:type="dxa"/>
            <w:tcBorders>
              <w:left w:val="nil"/>
              <w:bottom w:val="single" w:sz="4" w:space="0" w:color="auto"/>
              <w:right w:val="nil"/>
            </w:tcBorders>
            <w:vAlign w:val="center"/>
          </w:tcPr>
          <w:p w:rsidR="00B43FFF" w:rsidRPr="00BC437D" w:rsidRDefault="00B43FFF" w:rsidP="00BC437D">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2010</w:t>
            </w:r>
          </w:p>
        </w:tc>
        <w:tc>
          <w:tcPr>
            <w:tcW w:w="737" w:type="dxa"/>
            <w:tcBorders>
              <w:left w:val="nil"/>
              <w:bottom w:val="single" w:sz="4" w:space="0" w:color="auto"/>
              <w:right w:val="nil"/>
            </w:tcBorders>
            <w:vAlign w:val="center"/>
          </w:tcPr>
          <w:p w:rsidR="00B43FFF" w:rsidRPr="00BC437D" w:rsidRDefault="00B43FFF" w:rsidP="00BC437D">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2011</w:t>
            </w:r>
          </w:p>
        </w:tc>
        <w:tc>
          <w:tcPr>
            <w:tcW w:w="736" w:type="dxa"/>
            <w:tcBorders>
              <w:left w:val="nil"/>
              <w:bottom w:val="single" w:sz="4" w:space="0" w:color="auto"/>
              <w:right w:val="nil"/>
            </w:tcBorders>
            <w:vAlign w:val="center"/>
          </w:tcPr>
          <w:p w:rsidR="00B43FFF" w:rsidRPr="00BC437D" w:rsidRDefault="00B43FFF" w:rsidP="00BC437D">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2012</w:t>
            </w:r>
          </w:p>
        </w:tc>
        <w:tc>
          <w:tcPr>
            <w:tcW w:w="737" w:type="dxa"/>
            <w:tcBorders>
              <w:left w:val="nil"/>
              <w:bottom w:val="single" w:sz="4" w:space="0" w:color="auto"/>
              <w:right w:val="nil"/>
            </w:tcBorders>
            <w:vAlign w:val="center"/>
          </w:tcPr>
          <w:p w:rsidR="00B43FFF" w:rsidRPr="00BC437D" w:rsidRDefault="00B43FFF" w:rsidP="00BC437D">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2013</w:t>
            </w:r>
          </w:p>
        </w:tc>
        <w:tc>
          <w:tcPr>
            <w:tcW w:w="1169" w:type="dxa"/>
            <w:tcBorders>
              <w:left w:val="nil"/>
              <w:bottom w:val="single" w:sz="4" w:space="0" w:color="auto"/>
            </w:tcBorders>
            <w:vAlign w:val="center"/>
          </w:tcPr>
          <w:p w:rsidR="00B43FFF" w:rsidRPr="00BC437D" w:rsidRDefault="00B43FFF" w:rsidP="00BC437D">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2014</w:t>
            </w:r>
          </w:p>
        </w:tc>
      </w:tr>
      <w:tr w:rsidR="00225BBA" w:rsidRPr="008358B2" w:rsidTr="00091D52">
        <w:trPr>
          <w:trHeight w:val="233"/>
          <w:jc w:val="center"/>
        </w:trPr>
        <w:tc>
          <w:tcPr>
            <w:tcW w:w="1906" w:type="dxa"/>
            <w:tcBorders>
              <w:top w:val="single" w:sz="4" w:space="0" w:color="auto"/>
              <w:bottom w:val="nil"/>
              <w:right w:val="nil"/>
            </w:tcBorders>
            <w:vAlign w:val="center"/>
          </w:tcPr>
          <w:p w:rsidR="00225BBA" w:rsidRPr="00BC437D" w:rsidRDefault="00225BBA" w:rsidP="00BC437D">
            <w:pPr>
              <w:rPr>
                <w:rFonts w:ascii="Times New Roman" w:hAnsi="Times New Roman" w:cs="Times New Roman"/>
                <w:sz w:val="20"/>
              </w:rPr>
            </w:pPr>
            <w:r>
              <w:rPr>
                <w:rFonts w:ascii="Times New Roman" w:hAnsi="Times New Roman" w:cs="Times New Roman"/>
                <w:sz w:val="20"/>
              </w:rPr>
              <w:t>Incidence, male</w:t>
            </w:r>
          </w:p>
        </w:tc>
        <w:tc>
          <w:tcPr>
            <w:tcW w:w="736" w:type="dxa"/>
            <w:tcBorders>
              <w:top w:val="single" w:sz="4" w:space="0" w:color="auto"/>
              <w:left w:val="nil"/>
              <w:bottom w:val="nil"/>
              <w:right w:val="nil"/>
            </w:tcBorders>
            <w:vAlign w:val="center"/>
          </w:tcPr>
          <w:p w:rsidR="00225BBA" w:rsidRPr="00BC437D" w:rsidRDefault="00225BBA" w:rsidP="00BC437D">
            <w:pPr>
              <w:tabs>
                <w:tab w:val="left" w:pos="702"/>
              </w:tabs>
              <w:ind w:right="-18" w:hanging="14"/>
              <w:jc w:val="center"/>
              <w:rPr>
                <w:rFonts w:ascii="Times New Roman" w:hAnsi="Times New Roman" w:cs="Times New Roman"/>
                <w:sz w:val="20"/>
              </w:rPr>
            </w:pPr>
            <w:r>
              <w:rPr>
                <w:rFonts w:ascii="Times New Roman" w:hAnsi="Times New Roman" w:cs="Times New Roman"/>
                <w:sz w:val="20"/>
              </w:rPr>
              <w:t>6.60</w:t>
            </w:r>
          </w:p>
        </w:tc>
        <w:tc>
          <w:tcPr>
            <w:tcW w:w="737" w:type="dxa"/>
            <w:tcBorders>
              <w:top w:val="single" w:sz="4" w:space="0" w:color="auto"/>
              <w:left w:val="nil"/>
              <w:bottom w:val="nil"/>
              <w:right w:val="nil"/>
            </w:tcBorders>
            <w:vAlign w:val="center"/>
          </w:tcPr>
          <w:p w:rsidR="00225BBA" w:rsidRPr="00BC437D" w:rsidRDefault="00225BBA" w:rsidP="00BC437D">
            <w:pPr>
              <w:tabs>
                <w:tab w:val="left" w:pos="0"/>
              </w:tabs>
              <w:jc w:val="center"/>
              <w:rPr>
                <w:rFonts w:ascii="Times New Roman" w:hAnsi="Times New Roman" w:cs="Times New Roman"/>
                <w:sz w:val="20"/>
              </w:rPr>
            </w:pPr>
            <w:r>
              <w:rPr>
                <w:rFonts w:ascii="Times New Roman" w:hAnsi="Times New Roman" w:cs="Times New Roman"/>
                <w:sz w:val="20"/>
              </w:rPr>
              <w:t>7.41</w:t>
            </w:r>
          </w:p>
        </w:tc>
        <w:tc>
          <w:tcPr>
            <w:tcW w:w="736" w:type="dxa"/>
            <w:tcBorders>
              <w:top w:val="single" w:sz="4" w:space="0" w:color="auto"/>
              <w:left w:val="nil"/>
              <w:bottom w:val="nil"/>
              <w:right w:val="nil"/>
            </w:tcBorders>
            <w:vAlign w:val="center"/>
          </w:tcPr>
          <w:p w:rsidR="00225BBA" w:rsidRPr="00BC437D" w:rsidRDefault="00225BBA" w:rsidP="00BC437D">
            <w:pPr>
              <w:tabs>
                <w:tab w:val="left" w:pos="0"/>
              </w:tabs>
              <w:jc w:val="center"/>
              <w:rPr>
                <w:rFonts w:ascii="Times New Roman" w:hAnsi="Times New Roman" w:cs="Times New Roman"/>
                <w:sz w:val="20"/>
              </w:rPr>
            </w:pPr>
            <w:r>
              <w:rPr>
                <w:rFonts w:ascii="Times New Roman" w:hAnsi="Times New Roman" w:cs="Times New Roman"/>
                <w:sz w:val="20"/>
              </w:rPr>
              <w:t>6.51</w:t>
            </w:r>
          </w:p>
        </w:tc>
        <w:tc>
          <w:tcPr>
            <w:tcW w:w="737" w:type="dxa"/>
            <w:tcBorders>
              <w:top w:val="single" w:sz="4" w:space="0" w:color="auto"/>
              <w:left w:val="nil"/>
              <w:bottom w:val="nil"/>
              <w:right w:val="nil"/>
            </w:tcBorders>
            <w:vAlign w:val="center"/>
          </w:tcPr>
          <w:p w:rsidR="00225BBA" w:rsidRPr="00BC437D" w:rsidRDefault="00225BBA" w:rsidP="00BC437D">
            <w:pPr>
              <w:tabs>
                <w:tab w:val="left" w:pos="0"/>
              </w:tabs>
              <w:jc w:val="center"/>
              <w:rPr>
                <w:rFonts w:ascii="Times New Roman" w:hAnsi="Times New Roman" w:cs="Times New Roman"/>
                <w:sz w:val="20"/>
              </w:rPr>
            </w:pPr>
            <w:r>
              <w:rPr>
                <w:rFonts w:ascii="Times New Roman" w:hAnsi="Times New Roman" w:cs="Times New Roman"/>
                <w:sz w:val="20"/>
              </w:rPr>
              <w:t>7.42</w:t>
            </w:r>
          </w:p>
        </w:tc>
        <w:tc>
          <w:tcPr>
            <w:tcW w:w="736" w:type="dxa"/>
            <w:tcBorders>
              <w:top w:val="single" w:sz="4" w:space="0" w:color="auto"/>
              <w:left w:val="nil"/>
              <w:bottom w:val="nil"/>
              <w:right w:val="nil"/>
            </w:tcBorders>
            <w:vAlign w:val="center"/>
          </w:tcPr>
          <w:p w:rsidR="00225BBA" w:rsidRPr="00BC437D" w:rsidRDefault="00225BBA" w:rsidP="00BC437D">
            <w:pPr>
              <w:tabs>
                <w:tab w:val="left" w:pos="0"/>
              </w:tabs>
              <w:jc w:val="center"/>
              <w:rPr>
                <w:rFonts w:ascii="Times New Roman" w:hAnsi="Times New Roman" w:cs="Times New Roman"/>
                <w:sz w:val="20"/>
              </w:rPr>
            </w:pPr>
            <w:r>
              <w:rPr>
                <w:rFonts w:ascii="Times New Roman" w:hAnsi="Times New Roman" w:cs="Times New Roman"/>
                <w:sz w:val="20"/>
              </w:rPr>
              <w:t>7.48</w:t>
            </w:r>
          </w:p>
        </w:tc>
        <w:tc>
          <w:tcPr>
            <w:tcW w:w="737" w:type="dxa"/>
            <w:tcBorders>
              <w:top w:val="single" w:sz="4" w:space="0" w:color="auto"/>
              <w:left w:val="nil"/>
              <w:bottom w:val="nil"/>
              <w:right w:val="nil"/>
            </w:tcBorders>
            <w:vAlign w:val="center"/>
          </w:tcPr>
          <w:p w:rsidR="00225BBA" w:rsidRPr="00BC437D" w:rsidRDefault="00225BBA" w:rsidP="00BC437D">
            <w:pPr>
              <w:tabs>
                <w:tab w:val="left" w:pos="0"/>
              </w:tabs>
              <w:jc w:val="center"/>
              <w:rPr>
                <w:rFonts w:ascii="Times New Roman" w:hAnsi="Times New Roman" w:cs="Times New Roman"/>
                <w:sz w:val="20"/>
              </w:rPr>
            </w:pPr>
            <w:r>
              <w:rPr>
                <w:rFonts w:ascii="Times New Roman" w:hAnsi="Times New Roman" w:cs="Times New Roman"/>
                <w:sz w:val="20"/>
              </w:rPr>
              <w:t>8.14</w:t>
            </w:r>
          </w:p>
        </w:tc>
        <w:tc>
          <w:tcPr>
            <w:tcW w:w="736" w:type="dxa"/>
            <w:tcBorders>
              <w:top w:val="single" w:sz="4" w:space="0" w:color="auto"/>
              <w:left w:val="nil"/>
              <w:bottom w:val="nil"/>
              <w:right w:val="nil"/>
            </w:tcBorders>
            <w:vAlign w:val="center"/>
          </w:tcPr>
          <w:p w:rsidR="00225BBA" w:rsidRPr="00BC437D" w:rsidRDefault="00225BBA" w:rsidP="00BC437D">
            <w:pPr>
              <w:tabs>
                <w:tab w:val="left" w:pos="0"/>
              </w:tabs>
              <w:jc w:val="center"/>
              <w:rPr>
                <w:rFonts w:ascii="Times New Roman" w:hAnsi="Times New Roman" w:cs="Times New Roman"/>
                <w:sz w:val="20"/>
              </w:rPr>
            </w:pPr>
            <w:r>
              <w:rPr>
                <w:rFonts w:ascii="Times New Roman" w:hAnsi="Times New Roman" w:cs="Times New Roman"/>
                <w:sz w:val="20"/>
              </w:rPr>
              <w:t>7.90</w:t>
            </w:r>
          </w:p>
        </w:tc>
        <w:tc>
          <w:tcPr>
            <w:tcW w:w="737" w:type="dxa"/>
            <w:tcBorders>
              <w:top w:val="single" w:sz="4" w:space="0" w:color="auto"/>
              <w:left w:val="nil"/>
              <w:bottom w:val="nil"/>
              <w:right w:val="nil"/>
            </w:tcBorders>
            <w:vAlign w:val="center"/>
          </w:tcPr>
          <w:p w:rsidR="00225BBA" w:rsidRPr="00BC437D" w:rsidRDefault="00225BBA" w:rsidP="00BC437D">
            <w:pPr>
              <w:tabs>
                <w:tab w:val="left" w:pos="0"/>
              </w:tabs>
              <w:jc w:val="center"/>
              <w:rPr>
                <w:rFonts w:ascii="Times New Roman" w:hAnsi="Times New Roman" w:cs="Times New Roman"/>
                <w:sz w:val="20"/>
              </w:rPr>
            </w:pPr>
            <w:r>
              <w:rPr>
                <w:rFonts w:ascii="Times New Roman" w:hAnsi="Times New Roman" w:cs="Times New Roman"/>
                <w:sz w:val="20"/>
              </w:rPr>
              <w:t>8.37</w:t>
            </w:r>
          </w:p>
        </w:tc>
        <w:tc>
          <w:tcPr>
            <w:tcW w:w="736" w:type="dxa"/>
            <w:tcBorders>
              <w:top w:val="single" w:sz="4" w:space="0" w:color="auto"/>
              <w:left w:val="nil"/>
              <w:bottom w:val="nil"/>
              <w:right w:val="nil"/>
            </w:tcBorders>
            <w:vAlign w:val="center"/>
          </w:tcPr>
          <w:p w:rsidR="00225BBA" w:rsidRPr="00BC437D" w:rsidRDefault="00225BBA" w:rsidP="001C4DC1">
            <w:pPr>
              <w:tabs>
                <w:tab w:val="left" w:pos="0"/>
              </w:tabs>
              <w:jc w:val="center"/>
              <w:rPr>
                <w:rFonts w:ascii="Times New Roman" w:hAnsi="Times New Roman" w:cs="Times New Roman"/>
                <w:sz w:val="20"/>
              </w:rPr>
            </w:pPr>
            <w:r>
              <w:rPr>
                <w:rFonts w:ascii="Times New Roman" w:hAnsi="Times New Roman" w:cs="Times New Roman"/>
                <w:sz w:val="20"/>
              </w:rPr>
              <w:t>8.96</w:t>
            </w:r>
          </w:p>
        </w:tc>
        <w:tc>
          <w:tcPr>
            <w:tcW w:w="737" w:type="dxa"/>
            <w:tcBorders>
              <w:top w:val="single" w:sz="4" w:space="0" w:color="auto"/>
              <w:left w:val="nil"/>
              <w:bottom w:val="nil"/>
              <w:right w:val="nil"/>
            </w:tcBorders>
            <w:vAlign w:val="center"/>
          </w:tcPr>
          <w:p w:rsidR="00225BBA" w:rsidRPr="00BC437D" w:rsidRDefault="00225BBA" w:rsidP="001C4DC1">
            <w:pPr>
              <w:tabs>
                <w:tab w:val="left" w:pos="0"/>
              </w:tabs>
              <w:jc w:val="center"/>
              <w:rPr>
                <w:rFonts w:ascii="Times New Roman" w:hAnsi="Times New Roman" w:cs="Times New Roman"/>
                <w:sz w:val="20"/>
              </w:rPr>
            </w:pPr>
            <w:r>
              <w:rPr>
                <w:rFonts w:ascii="Times New Roman" w:hAnsi="Times New Roman" w:cs="Times New Roman"/>
                <w:sz w:val="20"/>
              </w:rPr>
              <w:t>8.29</w:t>
            </w:r>
          </w:p>
        </w:tc>
        <w:tc>
          <w:tcPr>
            <w:tcW w:w="1169" w:type="dxa"/>
            <w:tcBorders>
              <w:top w:val="single" w:sz="4" w:space="0" w:color="auto"/>
              <w:left w:val="nil"/>
              <w:bottom w:val="nil"/>
            </w:tcBorders>
            <w:vAlign w:val="center"/>
          </w:tcPr>
          <w:p w:rsidR="00225BBA" w:rsidRPr="00BC437D" w:rsidRDefault="00225BBA" w:rsidP="00BC437D">
            <w:pPr>
              <w:tabs>
                <w:tab w:val="left" w:pos="0"/>
              </w:tabs>
              <w:jc w:val="center"/>
              <w:rPr>
                <w:rFonts w:ascii="Times New Roman" w:hAnsi="Times New Roman" w:cs="Times New Roman"/>
                <w:sz w:val="20"/>
              </w:rPr>
            </w:pPr>
            <w:r>
              <w:rPr>
                <w:rFonts w:ascii="Times New Roman" w:hAnsi="Times New Roman" w:cs="Times New Roman"/>
                <w:sz w:val="20"/>
              </w:rPr>
              <w:t>8.77</w:t>
            </w:r>
          </w:p>
        </w:tc>
      </w:tr>
      <w:tr w:rsidR="00225BBA" w:rsidRPr="008358B2" w:rsidTr="00091D52">
        <w:trPr>
          <w:trHeight w:val="162"/>
          <w:jc w:val="center"/>
        </w:trPr>
        <w:tc>
          <w:tcPr>
            <w:tcW w:w="1906" w:type="dxa"/>
            <w:tcBorders>
              <w:top w:val="nil"/>
              <w:bottom w:val="nil"/>
              <w:right w:val="nil"/>
            </w:tcBorders>
            <w:vAlign w:val="center"/>
          </w:tcPr>
          <w:p w:rsidR="00225BBA" w:rsidRPr="00BC437D" w:rsidRDefault="00225BBA" w:rsidP="00BC437D">
            <w:pPr>
              <w:rPr>
                <w:rFonts w:ascii="Times New Roman" w:hAnsi="Times New Roman" w:cs="Times New Roman"/>
                <w:sz w:val="20"/>
              </w:rPr>
            </w:pPr>
            <w:r>
              <w:rPr>
                <w:rFonts w:ascii="Times New Roman" w:hAnsi="Times New Roman" w:cs="Times New Roman"/>
                <w:sz w:val="20"/>
              </w:rPr>
              <w:t>Incidence, female</w:t>
            </w:r>
          </w:p>
        </w:tc>
        <w:tc>
          <w:tcPr>
            <w:tcW w:w="736" w:type="dxa"/>
            <w:tcBorders>
              <w:top w:val="nil"/>
              <w:left w:val="nil"/>
              <w:bottom w:val="nil"/>
              <w:right w:val="nil"/>
            </w:tcBorders>
            <w:vAlign w:val="center"/>
          </w:tcPr>
          <w:p w:rsidR="00225BBA" w:rsidRPr="00BC437D" w:rsidRDefault="00225BBA" w:rsidP="00BC437D">
            <w:pPr>
              <w:tabs>
                <w:tab w:val="left" w:pos="702"/>
              </w:tabs>
              <w:ind w:right="-18" w:hanging="14"/>
              <w:jc w:val="center"/>
              <w:rPr>
                <w:rFonts w:ascii="Times New Roman" w:hAnsi="Times New Roman" w:cs="Times New Roman"/>
                <w:sz w:val="20"/>
              </w:rPr>
            </w:pPr>
            <w:r>
              <w:rPr>
                <w:rFonts w:ascii="Times New Roman" w:hAnsi="Times New Roman" w:cs="Times New Roman"/>
                <w:sz w:val="20"/>
              </w:rPr>
              <w:t>1.47</w:t>
            </w:r>
          </w:p>
        </w:tc>
        <w:tc>
          <w:tcPr>
            <w:tcW w:w="737" w:type="dxa"/>
            <w:tcBorders>
              <w:top w:val="nil"/>
              <w:left w:val="nil"/>
              <w:bottom w:val="nil"/>
              <w:right w:val="nil"/>
            </w:tcBorders>
            <w:vAlign w:val="center"/>
          </w:tcPr>
          <w:p w:rsidR="00225BBA" w:rsidRPr="00BC437D" w:rsidRDefault="00225BBA" w:rsidP="00BC437D">
            <w:pPr>
              <w:tabs>
                <w:tab w:val="left" w:pos="0"/>
              </w:tabs>
              <w:jc w:val="center"/>
              <w:rPr>
                <w:rFonts w:ascii="Times New Roman" w:hAnsi="Times New Roman" w:cs="Times New Roman"/>
                <w:sz w:val="20"/>
              </w:rPr>
            </w:pPr>
            <w:r>
              <w:rPr>
                <w:rFonts w:ascii="Times New Roman" w:hAnsi="Times New Roman" w:cs="Times New Roman"/>
                <w:sz w:val="20"/>
              </w:rPr>
              <w:t>1.71</w:t>
            </w:r>
          </w:p>
        </w:tc>
        <w:tc>
          <w:tcPr>
            <w:tcW w:w="736" w:type="dxa"/>
            <w:tcBorders>
              <w:top w:val="nil"/>
              <w:left w:val="nil"/>
              <w:bottom w:val="nil"/>
              <w:right w:val="nil"/>
            </w:tcBorders>
            <w:vAlign w:val="center"/>
          </w:tcPr>
          <w:p w:rsidR="00225BBA" w:rsidRPr="00BC437D" w:rsidRDefault="00225BBA" w:rsidP="00BC437D">
            <w:pPr>
              <w:tabs>
                <w:tab w:val="left" w:pos="0"/>
              </w:tabs>
              <w:jc w:val="center"/>
              <w:rPr>
                <w:rFonts w:ascii="Times New Roman" w:hAnsi="Times New Roman" w:cs="Times New Roman"/>
                <w:sz w:val="20"/>
              </w:rPr>
            </w:pPr>
            <w:r>
              <w:rPr>
                <w:rFonts w:ascii="Times New Roman" w:hAnsi="Times New Roman" w:cs="Times New Roman"/>
                <w:sz w:val="20"/>
              </w:rPr>
              <w:t>1.64</w:t>
            </w:r>
          </w:p>
        </w:tc>
        <w:tc>
          <w:tcPr>
            <w:tcW w:w="737" w:type="dxa"/>
            <w:tcBorders>
              <w:top w:val="nil"/>
              <w:left w:val="nil"/>
              <w:bottom w:val="nil"/>
              <w:right w:val="nil"/>
            </w:tcBorders>
            <w:vAlign w:val="center"/>
          </w:tcPr>
          <w:p w:rsidR="00225BBA" w:rsidRPr="00BC437D" w:rsidRDefault="00225BBA" w:rsidP="00BC437D">
            <w:pPr>
              <w:tabs>
                <w:tab w:val="left" w:pos="0"/>
              </w:tabs>
              <w:jc w:val="center"/>
              <w:rPr>
                <w:rFonts w:ascii="Times New Roman" w:hAnsi="Times New Roman" w:cs="Times New Roman"/>
                <w:sz w:val="20"/>
              </w:rPr>
            </w:pPr>
            <w:r>
              <w:rPr>
                <w:rFonts w:ascii="Times New Roman" w:hAnsi="Times New Roman" w:cs="Times New Roman"/>
                <w:sz w:val="20"/>
              </w:rPr>
              <w:t>1.63</w:t>
            </w:r>
          </w:p>
        </w:tc>
        <w:tc>
          <w:tcPr>
            <w:tcW w:w="736" w:type="dxa"/>
            <w:tcBorders>
              <w:top w:val="nil"/>
              <w:left w:val="nil"/>
              <w:bottom w:val="nil"/>
              <w:right w:val="nil"/>
            </w:tcBorders>
            <w:vAlign w:val="center"/>
          </w:tcPr>
          <w:p w:rsidR="00225BBA" w:rsidRPr="00BC437D" w:rsidRDefault="00225BBA" w:rsidP="00BC437D">
            <w:pPr>
              <w:tabs>
                <w:tab w:val="left" w:pos="0"/>
              </w:tabs>
              <w:jc w:val="center"/>
              <w:rPr>
                <w:rFonts w:ascii="Times New Roman" w:hAnsi="Times New Roman" w:cs="Times New Roman"/>
                <w:sz w:val="20"/>
              </w:rPr>
            </w:pPr>
            <w:r>
              <w:rPr>
                <w:rFonts w:ascii="Times New Roman" w:hAnsi="Times New Roman" w:cs="Times New Roman"/>
                <w:sz w:val="20"/>
              </w:rPr>
              <w:t>1.72</w:t>
            </w:r>
          </w:p>
        </w:tc>
        <w:tc>
          <w:tcPr>
            <w:tcW w:w="737" w:type="dxa"/>
            <w:tcBorders>
              <w:top w:val="nil"/>
              <w:left w:val="nil"/>
              <w:bottom w:val="nil"/>
              <w:right w:val="nil"/>
            </w:tcBorders>
            <w:vAlign w:val="center"/>
          </w:tcPr>
          <w:p w:rsidR="00225BBA" w:rsidRPr="00BC437D" w:rsidRDefault="00225BBA" w:rsidP="00BC437D">
            <w:pPr>
              <w:tabs>
                <w:tab w:val="left" w:pos="0"/>
              </w:tabs>
              <w:jc w:val="center"/>
              <w:rPr>
                <w:rFonts w:ascii="Times New Roman" w:hAnsi="Times New Roman" w:cs="Times New Roman"/>
                <w:sz w:val="20"/>
              </w:rPr>
            </w:pPr>
            <w:r>
              <w:rPr>
                <w:rFonts w:ascii="Times New Roman" w:hAnsi="Times New Roman" w:cs="Times New Roman"/>
                <w:sz w:val="20"/>
              </w:rPr>
              <w:t>2.06</w:t>
            </w:r>
          </w:p>
        </w:tc>
        <w:tc>
          <w:tcPr>
            <w:tcW w:w="736" w:type="dxa"/>
            <w:tcBorders>
              <w:top w:val="nil"/>
              <w:left w:val="nil"/>
              <w:bottom w:val="nil"/>
              <w:right w:val="nil"/>
            </w:tcBorders>
            <w:vAlign w:val="center"/>
          </w:tcPr>
          <w:p w:rsidR="00225BBA" w:rsidRPr="00BC437D" w:rsidRDefault="00225BBA" w:rsidP="00BC437D">
            <w:pPr>
              <w:tabs>
                <w:tab w:val="left" w:pos="0"/>
              </w:tabs>
              <w:jc w:val="center"/>
              <w:rPr>
                <w:rFonts w:ascii="Times New Roman" w:hAnsi="Times New Roman" w:cs="Times New Roman"/>
                <w:sz w:val="20"/>
              </w:rPr>
            </w:pPr>
            <w:r>
              <w:rPr>
                <w:rFonts w:ascii="Times New Roman" w:hAnsi="Times New Roman" w:cs="Times New Roman"/>
                <w:sz w:val="20"/>
              </w:rPr>
              <w:t>1.92</w:t>
            </w:r>
          </w:p>
        </w:tc>
        <w:tc>
          <w:tcPr>
            <w:tcW w:w="737" w:type="dxa"/>
            <w:tcBorders>
              <w:top w:val="nil"/>
              <w:left w:val="nil"/>
              <w:bottom w:val="nil"/>
              <w:right w:val="nil"/>
            </w:tcBorders>
            <w:vAlign w:val="center"/>
          </w:tcPr>
          <w:p w:rsidR="00225BBA" w:rsidRPr="00BC437D" w:rsidRDefault="00225BBA" w:rsidP="00BC437D">
            <w:pPr>
              <w:tabs>
                <w:tab w:val="left" w:pos="0"/>
              </w:tabs>
              <w:jc w:val="center"/>
              <w:rPr>
                <w:rFonts w:ascii="Times New Roman" w:hAnsi="Times New Roman" w:cs="Times New Roman"/>
                <w:sz w:val="20"/>
              </w:rPr>
            </w:pPr>
            <w:r>
              <w:rPr>
                <w:rFonts w:ascii="Times New Roman" w:hAnsi="Times New Roman" w:cs="Times New Roman"/>
                <w:sz w:val="20"/>
              </w:rPr>
              <w:t>2.24</w:t>
            </w:r>
          </w:p>
        </w:tc>
        <w:tc>
          <w:tcPr>
            <w:tcW w:w="736" w:type="dxa"/>
            <w:tcBorders>
              <w:top w:val="nil"/>
              <w:left w:val="nil"/>
              <w:bottom w:val="nil"/>
              <w:right w:val="nil"/>
            </w:tcBorders>
            <w:vAlign w:val="center"/>
          </w:tcPr>
          <w:p w:rsidR="00225BBA" w:rsidRPr="00BC437D" w:rsidRDefault="00225BBA" w:rsidP="00BC437D">
            <w:pPr>
              <w:tabs>
                <w:tab w:val="left" w:pos="0"/>
              </w:tabs>
              <w:jc w:val="center"/>
              <w:rPr>
                <w:rFonts w:ascii="Times New Roman" w:hAnsi="Times New Roman" w:cs="Times New Roman"/>
                <w:sz w:val="20"/>
              </w:rPr>
            </w:pPr>
            <w:r>
              <w:rPr>
                <w:rFonts w:ascii="Times New Roman" w:hAnsi="Times New Roman" w:cs="Times New Roman"/>
                <w:sz w:val="20"/>
              </w:rPr>
              <w:t>2.61</w:t>
            </w:r>
          </w:p>
        </w:tc>
        <w:tc>
          <w:tcPr>
            <w:tcW w:w="737" w:type="dxa"/>
            <w:tcBorders>
              <w:top w:val="nil"/>
              <w:left w:val="nil"/>
              <w:bottom w:val="nil"/>
              <w:right w:val="nil"/>
            </w:tcBorders>
            <w:vAlign w:val="center"/>
          </w:tcPr>
          <w:p w:rsidR="00225BBA" w:rsidRPr="00BC437D" w:rsidRDefault="00225BBA" w:rsidP="00BC437D">
            <w:pPr>
              <w:tabs>
                <w:tab w:val="left" w:pos="0"/>
              </w:tabs>
              <w:jc w:val="center"/>
              <w:rPr>
                <w:rFonts w:ascii="Times New Roman" w:hAnsi="Times New Roman" w:cs="Times New Roman"/>
                <w:sz w:val="20"/>
              </w:rPr>
            </w:pPr>
            <w:r>
              <w:rPr>
                <w:rFonts w:ascii="Times New Roman" w:hAnsi="Times New Roman" w:cs="Times New Roman"/>
                <w:sz w:val="20"/>
              </w:rPr>
              <w:t>2.08</w:t>
            </w:r>
          </w:p>
        </w:tc>
        <w:tc>
          <w:tcPr>
            <w:tcW w:w="1169" w:type="dxa"/>
            <w:tcBorders>
              <w:top w:val="nil"/>
              <w:left w:val="nil"/>
              <w:bottom w:val="nil"/>
            </w:tcBorders>
            <w:vAlign w:val="center"/>
          </w:tcPr>
          <w:p w:rsidR="00225BBA" w:rsidRPr="00BC437D" w:rsidRDefault="00225BBA" w:rsidP="00BC437D">
            <w:pPr>
              <w:tabs>
                <w:tab w:val="left" w:pos="0"/>
              </w:tabs>
              <w:jc w:val="center"/>
              <w:rPr>
                <w:rFonts w:ascii="Times New Roman" w:hAnsi="Times New Roman" w:cs="Times New Roman"/>
                <w:sz w:val="20"/>
              </w:rPr>
            </w:pPr>
            <w:r>
              <w:rPr>
                <w:rFonts w:ascii="Times New Roman" w:hAnsi="Times New Roman" w:cs="Times New Roman"/>
                <w:sz w:val="20"/>
              </w:rPr>
              <w:t>1.80</w:t>
            </w:r>
          </w:p>
        </w:tc>
      </w:tr>
      <w:tr w:rsidR="00225BBA" w:rsidRPr="008358B2" w:rsidTr="00091D52">
        <w:trPr>
          <w:trHeight w:val="216"/>
          <w:jc w:val="center"/>
        </w:trPr>
        <w:tc>
          <w:tcPr>
            <w:tcW w:w="1906" w:type="dxa"/>
            <w:tcBorders>
              <w:top w:val="nil"/>
              <w:bottom w:val="nil"/>
              <w:right w:val="nil"/>
            </w:tcBorders>
            <w:vAlign w:val="center"/>
          </w:tcPr>
          <w:p w:rsidR="00225BBA" w:rsidRPr="00BC437D" w:rsidRDefault="00225BBA" w:rsidP="00BC437D">
            <w:pPr>
              <w:rPr>
                <w:rFonts w:ascii="Times New Roman" w:hAnsi="Times New Roman" w:cs="Times New Roman"/>
                <w:sz w:val="20"/>
              </w:rPr>
            </w:pPr>
            <w:r>
              <w:rPr>
                <w:rFonts w:ascii="Times New Roman" w:hAnsi="Times New Roman" w:cs="Times New Roman"/>
                <w:sz w:val="20"/>
              </w:rPr>
              <w:t>Mortality, male</w:t>
            </w:r>
          </w:p>
        </w:tc>
        <w:tc>
          <w:tcPr>
            <w:tcW w:w="736" w:type="dxa"/>
            <w:tcBorders>
              <w:top w:val="nil"/>
              <w:left w:val="nil"/>
              <w:bottom w:val="nil"/>
              <w:right w:val="nil"/>
            </w:tcBorders>
            <w:vAlign w:val="center"/>
          </w:tcPr>
          <w:p w:rsidR="00225BBA" w:rsidRPr="00BC437D" w:rsidRDefault="00225BBA" w:rsidP="00BC437D">
            <w:pPr>
              <w:tabs>
                <w:tab w:val="left" w:pos="702"/>
              </w:tabs>
              <w:ind w:right="-18" w:hanging="14"/>
              <w:jc w:val="center"/>
              <w:rPr>
                <w:rFonts w:ascii="Times New Roman" w:hAnsi="Times New Roman" w:cs="Times New Roman"/>
                <w:sz w:val="20"/>
              </w:rPr>
            </w:pPr>
            <w:r>
              <w:rPr>
                <w:rFonts w:ascii="Times New Roman" w:hAnsi="Times New Roman" w:cs="Times New Roman"/>
                <w:sz w:val="20"/>
              </w:rPr>
              <w:t>-</w:t>
            </w:r>
          </w:p>
        </w:tc>
        <w:tc>
          <w:tcPr>
            <w:tcW w:w="737" w:type="dxa"/>
            <w:tcBorders>
              <w:top w:val="nil"/>
              <w:left w:val="nil"/>
              <w:bottom w:val="nil"/>
              <w:right w:val="nil"/>
            </w:tcBorders>
            <w:vAlign w:val="center"/>
          </w:tcPr>
          <w:p w:rsidR="00225BBA" w:rsidRPr="00BC437D" w:rsidRDefault="00225BBA" w:rsidP="00BC437D">
            <w:pPr>
              <w:tabs>
                <w:tab w:val="left" w:pos="0"/>
              </w:tabs>
              <w:jc w:val="center"/>
              <w:rPr>
                <w:rFonts w:ascii="Times New Roman" w:hAnsi="Times New Roman" w:cs="Times New Roman"/>
                <w:sz w:val="20"/>
              </w:rPr>
            </w:pPr>
            <w:r>
              <w:rPr>
                <w:rFonts w:ascii="Times New Roman" w:hAnsi="Times New Roman" w:cs="Times New Roman"/>
                <w:sz w:val="20"/>
              </w:rPr>
              <w:t>-</w:t>
            </w:r>
          </w:p>
        </w:tc>
        <w:tc>
          <w:tcPr>
            <w:tcW w:w="736" w:type="dxa"/>
            <w:tcBorders>
              <w:top w:val="nil"/>
              <w:left w:val="nil"/>
              <w:bottom w:val="nil"/>
              <w:right w:val="nil"/>
            </w:tcBorders>
            <w:vAlign w:val="center"/>
          </w:tcPr>
          <w:p w:rsidR="00225BBA" w:rsidRPr="00BC437D" w:rsidRDefault="00225BBA" w:rsidP="00BC437D">
            <w:pPr>
              <w:tabs>
                <w:tab w:val="left" w:pos="0"/>
              </w:tabs>
              <w:jc w:val="center"/>
              <w:rPr>
                <w:rFonts w:ascii="Times New Roman" w:hAnsi="Times New Roman" w:cs="Times New Roman"/>
                <w:sz w:val="20"/>
              </w:rPr>
            </w:pPr>
            <w:r>
              <w:rPr>
                <w:rFonts w:ascii="Times New Roman" w:hAnsi="Times New Roman" w:cs="Times New Roman"/>
                <w:sz w:val="20"/>
              </w:rPr>
              <w:t>-</w:t>
            </w:r>
          </w:p>
        </w:tc>
        <w:tc>
          <w:tcPr>
            <w:tcW w:w="737" w:type="dxa"/>
            <w:tcBorders>
              <w:top w:val="nil"/>
              <w:left w:val="nil"/>
              <w:bottom w:val="nil"/>
              <w:right w:val="nil"/>
            </w:tcBorders>
            <w:vAlign w:val="center"/>
          </w:tcPr>
          <w:p w:rsidR="00225BBA" w:rsidRPr="00BC437D" w:rsidRDefault="00225BBA" w:rsidP="00BC437D">
            <w:pPr>
              <w:tabs>
                <w:tab w:val="left" w:pos="0"/>
              </w:tabs>
              <w:jc w:val="center"/>
              <w:rPr>
                <w:rFonts w:ascii="Times New Roman" w:hAnsi="Times New Roman" w:cs="Times New Roman"/>
                <w:sz w:val="20"/>
              </w:rPr>
            </w:pPr>
            <w:r>
              <w:rPr>
                <w:rFonts w:ascii="Times New Roman" w:hAnsi="Times New Roman" w:cs="Times New Roman"/>
                <w:sz w:val="20"/>
              </w:rPr>
              <w:t>-</w:t>
            </w:r>
          </w:p>
        </w:tc>
        <w:tc>
          <w:tcPr>
            <w:tcW w:w="736" w:type="dxa"/>
            <w:tcBorders>
              <w:top w:val="nil"/>
              <w:left w:val="nil"/>
              <w:bottom w:val="nil"/>
              <w:right w:val="nil"/>
            </w:tcBorders>
            <w:vAlign w:val="center"/>
          </w:tcPr>
          <w:p w:rsidR="00225BBA" w:rsidRPr="00BC437D" w:rsidRDefault="00225BBA" w:rsidP="00BC437D">
            <w:pPr>
              <w:tabs>
                <w:tab w:val="left" w:pos="0"/>
              </w:tabs>
              <w:jc w:val="center"/>
              <w:rPr>
                <w:rFonts w:ascii="Times New Roman" w:hAnsi="Times New Roman" w:cs="Times New Roman"/>
                <w:sz w:val="20"/>
              </w:rPr>
            </w:pPr>
            <w:r>
              <w:rPr>
                <w:rFonts w:ascii="Times New Roman" w:hAnsi="Times New Roman" w:cs="Times New Roman"/>
                <w:sz w:val="20"/>
              </w:rPr>
              <w:t>2.59</w:t>
            </w:r>
          </w:p>
        </w:tc>
        <w:tc>
          <w:tcPr>
            <w:tcW w:w="737" w:type="dxa"/>
            <w:tcBorders>
              <w:top w:val="nil"/>
              <w:left w:val="nil"/>
              <w:bottom w:val="nil"/>
              <w:right w:val="nil"/>
            </w:tcBorders>
            <w:vAlign w:val="center"/>
          </w:tcPr>
          <w:p w:rsidR="00225BBA" w:rsidRPr="00BC437D" w:rsidRDefault="00225BBA" w:rsidP="00BC437D">
            <w:pPr>
              <w:tabs>
                <w:tab w:val="left" w:pos="0"/>
              </w:tabs>
              <w:jc w:val="center"/>
              <w:rPr>
                <w:rFonts w:ascii="Times New Roman" w:hAnsi="Times New Roman" w:cs="Times New Roman"/>
                <w:sz w:val="20"/>
              </w:rPr>
            </w:pPr>
            <w:r>
              <w:rPr>
                <w:rFonts w:ascii="Times New Roman" w:hAnsi="Times New Roman" w:cs="Times New Roman"/>
                <w:sz w:val="20"/>
              </w:rPr>
              <w:t>1.99</w:t>
            </w:r>
          </w:p>
        </w:tc>
        <w:tc>
          <w:tcPr>
            <w:tcW w:w="736" w:type="dxa"/>
            <w:tcBorders>
              <w:top w:val="nil"/>
              <w:left w:val="nil"/>
              <w:bottom w:val="nil"/>
              <w:right w:val="nil"/>
            </w:tcBorders>
            <w:vAlign w:val="center"/>
          </w:tcPr>
          <w:p w:rsidR="00225BBA" w:rsidRPr="00BC437D" w:rsidRDefault="00225BBA" w:rsidP="00BC437D">
            <w:pPr>
              <w:tabs>
                <w:tab w:val="left" w:pos="0"/>
              </w:tabs>
              <w:jc w:val="center"/>
              <w:rPr>
                <w:rFonts w:ascii="Times New Roman" w:hAnsi="Times New Roman" w:cs="Times New Roman"/>
                <w:sz w:val="20"/>
              </w:rPr>
            </w:pPr>
            <w:r>
              <w:rPr>
                <w:rFonts w:ascii="Times New Roman" w:hAnsi="Times New Roman" w:cs="Times New Roman"/>
                <w:sz w:val="20"/>
              </w:rPr>
              <w:t>2.81</w:t>
            </w:r>
          </w:p>
        </w:tc>
        <w:tc>
          <w:tcPr>
            <w:tcW w:w="737" w:type="dxa"/>
            <w:tcBorders>
              <w:top w:val="nil"/>
              <w:left w:val="nil"/>
              <w:bottom w:val="nil"/>
              <w:right w:val="nil"/>
            </w:tcBorders>
            <w:vAlign w:val="center"/>
          </w:tcPr>
          <w:p w:rsidR="00225BBA" w:rsidRPr="00BC437D" w:rsidRDefault="00225BBA" w:rsidP="00BC437D">
            <w:pPr>
              <w:tabs>
                <w:tab w:val="left" w:pos="0"/>
              </w:tabs>
              <w:jc w:val="center"/>
              <w:rPr>
                <w:rFonts w:ascii="Times New Roman" w:hAnsi="Times New Roman" w:cs="Times New Roman"/>
                <w:sz w:val="20"/>
              </w:rPr>
            </w:pPr>
            <w:r>
              <w:rPr>
                <w:rFonts w:ascii="Times New Roman" w:hAnsi="Times New Roman" w:cs="Times New Roman"/>
                <w:sz w:val="20"/>
              </w:rPr>
              <w:t>2.55</w:t>
            </w:r>
          </w:p>
        </w:tc>
        <w:tc>
          <w:tcPr>
            <w:tcW w:w="736" w:type="dxa"/>
            <w:tcBorders>
              <w:top w:val="nil"/>
              <w:left w:val="nil"/>
              <w:bottom w:val="nil"/>
              <w:right w:val="nil"/>
            </w:tcBorders>
            <w:vAlign w:val="center"/>
          </w:tcPr>
          <w:p w:rsidR="00225BBA" w:rsidRPr="00BC437D" w:rsidRDefault="00225BBA" w:rsidP="00BC437D">
            <w:pPr>
              <w:tabs>
                <w:tab w:val="left" w:pos="0"/>
              </w:tabs>
              <w:jc w:val="center"/>
              <w:rPr>
                <w:rFonts w:ascii="Times New Roman" w:hAnsi="Times New Roman" w:cs="Times New Roman"/>
                <w:sz w:val="20"/>
              </w:rPr>
            </w:pPr>
            <w:r>
              <w:rPr>
                <w:rFonts w:ascii="Times New Roman" w:hAnsi="Times New Roman" w:cs="Times New Roman"/>
                <w:sz w:val="20"/>
              </w:rPr>
              <w:t>2.46</w:t>
            </w:r>
          </w:p>
        </w:tc>
        <w:tc>
          <w:tcPr>
            <w:tcW w:w="737" w:type="dxa"/>
            <w:tcBorders>
              <w:top w:val="nil"/>
              <w:left w:val="nil"/>
              <w:bottom w:val="nil"/>
              <w:right w:val="nil"/>
            </w:tcBorders>
            <w:vAlign w:val="center"/>
          </w:tcPr>
          <w:p w:rsidR="00225BBA" w:rsidRPr="00BC437D" w:rsidRDefault="00225BBA" w:rsidP="00BC437D">
            <w:pPr>
              <w:tabs>
                <w:tab w:val="left" w:pos="0"/>
              </w:tabs>
              <w:jc w:val="center"/>
              <w:rPr>
                <w:rFonts w:ascii="Times New Roman" w:hAnsi="Times New Roman" w:cs="Times New Roman"/>
                <w:sz w:val="20"/>
              </w:rPr>
            </w:pPr>
            <w:r>
              <w:rPr>
                <w:rFonts w:ascii="Times New Roman" w:hAnsi="Times New Roman" w:cs="Times New Roman"/>
                <w:sz w:val="20"/>
              </w:rPr>
              <w:t>2.08</w:t>
            </w:r>
          </w:p>
        </w:tc>
        <w:tc>
          <w:tcPr>
            <w:tcW w:w="1169" w:type="dxa"/>
            <w:tcBorders>
              <w:top w:val="nil"/>
              <w:left w:val="nil"/>
              <w:bottom w:val="nil"/>
            </w:tcBorders>
            <w:vAlign w:val="center"/>
          </w:tcPr>
          <w:p w:rsidR="00225BBA" w:rsidRPr="00BC437D" w:rsidRDefault="00225BBA" w:rsidP="00BC437D">
            <w:pPr>
              <w:tabs>
                <w:tab w:val="left" w:pos="0"/>
              </w:tabs>
              <w:jc w:val="center"/>
              <w:rPr>
                <w:rFonts w:ascii="Times New Roman" w:hAnsi="Times New Roman" w:cs="Times New Roman"/>
                <w:sz w:val="20"/>
              </w:rPr>
            </w:pPr>
            <w:r>
              <w:rPr>
                <w:rFonts w:ascii="Times New Roman" w:hAnsi="Times New Roman" w:cs="Times New Roman"/>
                <w:sz w:val="20"/>
              </w:rPr>
              <w:t>2.03</w:t>
            </w:r>
          </w:p>
        </w:tc>
      </w:tr>
      <w:tr w:rsidR="00225BBA" w:rsidRPr="008358B2" w:rsidTr="00091D52">
        <w:trPr>
          <w:trHeight w:val="243"/>
          <w:jc w:val="center"/>
        </w:trPr>
        <w:tc>
          <w:tcPr>
            <w:tcW w:w="1906" w:type="dxa"/>
            <w:tcBorders>
              <w:top w:val="nil"/>
              <w:bottom w:val="single" w:sz="4" w:space="0" w:color="auto"/>
              <w:right w:val="nil"/>
            </w:tcBorders>
            <w:vAlign w:val="center"/>
          </w:tcPr>
          <w:p w:rsidR="00225BBA" w:rsidRPr="00BC437D" w:rsidRDefault="00225BBA" w:rsidP="00BC437D">
            <w:pPr>
              <w:rPr>
                <w:rFonts w:ascii="Times New Roman" w:hAnsi="Times New Roman" w:cs="Times New Roman"/>
                <w:sz w:val="20"/>
              </w:rPr>
            </w:pPr>
            <w:r>
              <w:rPr>
                <w:rFonts w:ascii="Times New Roman" w:hAnsi="Times New Roman" w:cs="Times New Roman"/>
                <w:sz w:val="20"/>
              </w:rPr>
              <w:t>Mortality, female</w:t>
            </w:r>
          </w:p>
        </w:tc>
        <w:tc>
          <w:tcPr>
            <w:tcW w:w="736" w:type="dxa"/>
            <w:tcBorders>
              <w:top w:val="nil"/>
              <w:left w:val="nil"/>
              <w:bottom w:val="single" w:sz="4" w:space="0" w:color="auto"/>
              <w:right w:val="nil"/>
            </w:tcBorders>
            <w:vAlign w:val="center"/>
          </w:tcPr>
          <w:p w:rsidR="00225BBA" w:rsidRPr="00BC437D" w:rsidRDefault="00225BBA" w:rsidP="00BC437D">
            <w:pPr>
              <w:tabs>
                <w:tab w:val="left" w:pos="702"/>
              </w:tabs>
              <w:ind w:right="-18" w:hanging="14"/>
              <w:jc w:val="center"/>
              <w:rPr>
                <w:rFonts w:ascii="Times New Roman" w:hAnsi="Times New Roman" w:cs="Times New Roman"/>
                <w:sz w:val="20"/>
              </w:rPr>
            </w:pPr>
            <w:r>
              <w:rPr>
                <w:rFonts w:ascii="Times New Roman" w:hAnsi="Times New Roman" w:cs="Times New Roman"/>
                <w:sz w:val="20"/>
              </w:rPr>
              <w:t>-</w:t>
            </w:r>
          </w:p>
        </w:tc>
        <w:tc>
          <w:tcPr>
            <w:tcW w:w="737" w:type="dxa"/>
            <w:tcBorders>
              <w:top w:val="nil"/>
              <w:left w:val="nil"/>
              <w:bottom w:val="single" w:sz="4" w:space="0" w:color="auto"/>
              <w:right w:val="nil"/>
            </w:tcBorders>
            <w:vAlign w:val="center"/>
          </w:tcPr>
          <w:p w:rsidR="00225BBA" w:rsidRPr="00BC437D" w:rsidRDefault="00225BBA" w:rsidP="00BC437D">
            <w:pPr>
              <w:tabs>
                <w:tab w:val="left" w:pos="0"/>
              </w:tabs>
              <w:jc w:val="center"/>
              <w:rPr>
                <w:rFonts w:ascii="Times New Roman" w:hAnsi="Times New Roman" w:cs="Times New Roman"/>
                <w:sz w:val="20"/>
              </w:rPr>
            </w:pPr>
            <w:r>
              <w:rPr>
                <w:rFonts w:ascii="Times New Roman" w:hAnsi="Times New Roman" w:cs="Times New Roman"/>
                <w:sz w:val="20"/>
              </w:rPr>
              <w:t>-</w:t>
            </w:r>
          </w:p>
        </w:tc>
        <w:tc>
          <w:tcPr>
            <w:tcW w:w="736" w:type="dxa"/>
            <w:tcBorders>
              <w:top w:val="nil"/>
              <w:left w:val="nil"/>
              <w:bottom w:val="single" w:sz="4" w:space="0" w:color="auto"/>
              <w:right w:val="nil"/>
            </w:tcBorders>
            <w:vAlign w:val="center"/>
          </w:tcPr>
          <w:p w:rsidR="00225BBA" w:rsidRPr="00BC437D" w:rsidRDefault="00225BBA" w:rsidP="00BC437D">
            <w:pPr>
              <w:tabs>
                <w:tab w:val="left" w:pos="0"/>
              </w:tabs>
              <w:jc w:val="center"/>
              <w:rPr>
                <w:rFonts w:ascii="Times New Roman" w:hAnsi="Times New Roman" w:cs="Times New Roman"/>
                <w:sz w:val="20"/>
              </w:rPr>
            </w:pPr>
            <w:r>
              <w:rPr>
                <w:rFonts w:ascii="Times New Roman" w:hAnsi="Times New Roman" w:cs="Times New Roman"/>
                <w:sz w:val="20"/>
              </w:rPr>
              <w:t>-</w:t>
            </w:r>
          </w:p>
        </w:tc>
        <w:tc>
          <w:tcPr>
            <w:tcW w:w="737" w:type="dxa"/>
            <w:tcBorders>
              <w:top w:val="nil"/>
              <w:left w:val="nil"/>
              <w:bottom w:val="single" w:sz="4" w:space="0" w:color="auto"/>
              <w:right w:val="nil"/>
            </w:tcBorders>
            <w:vAlign w:val="center"/>
          </w:tcPr>
          <w:p w:rsidR="00225BBA" w:rsidRPr="00BC437D" w:rsidRDefault="00225BBA" w:rsidP="00BC437D">
            <w:pPr>
              <w:tabs>
                <w:tab w:val="left" w:pos="0"/>
              </w:tabs>
              <w:jc w:val="center"/>
              <w:rPr>
                <w:rFonts w:ascii="Times New Roman" w:hAnsi="Times New Roman" w:cs="Times New Roman"/>
                <w:sz w:val="20"/>
              </w:rPr>
            </w:pPr>
            <w:r>
              <w:rPr>
                <w:rFonts w:ascii="Times New Roman" w:hAnsi="Times New Roman" w:cs="Times New Roman"/>
                <w:sz w:val="20"/>
              </w:rPr>
              <w:t>-</w:t>
            </w:r>
          </w:p>
        </w:tc>
        <w:tc>
          <w:tcPr>
            <w:tcW w:w="736" w:type="dxa"/>
            <w:tcBorders>
              <w:top w:val="nil"/>
              <w:left w:val="nil"/>
              <w:bottom w:val="single" w:sz="4" w:space="0" w:color="auto"/>
              <w:right w:val="nil"/>
            </w:tcBorders>
            <w:vAlign w:val="center"/>
          </w:tcPr>
          <w:p w:rsidR="00225BBA" w:rsidRPr="00BC437D" w:rsidRDefault="00225BBA" w:rsidP="00BC437D">
            <w:pPr>
              <w:tabs>
                <w:tab w:val="left" w:pos="0"/>
              </w:tabs>
              <w:jc w:val="center"/>
              <w:rPr>
                <w:rFonts w:ascii="Times New Roman" w:hAnsi="Times New Roman" w:cs="Times New Roman"/>
                <w:sz w:val="20"/>
              </w:rPr>
            </w:pPr>
            <w:r>
              <w:rPr>
                <w:rFonts w:ascii="Times New Roman" w:hAnsi="Times New Roman" w:cs="Times New Roman"/>
                <w:sz w:val="20"/>
              </w:rPr>
              <w:t>0.80</w:t>
            </w:r>
          </w:p>
        </w:tc>
        <w:tc>
          <w:tcPr>
            <w:tcW w:w="737" w:type="dxa"/>
            <w:tcBorders>
              <w:top w:val="nil"/>
              <w:left w:val="nil"/>
              <w:bottom w:val="single" w:sz="4" w:space="0" w:color="auto"/>
              <w:right w:val="nil"/>
            </w:tcBorders>
            <w:vAlign w:val="center"/>
          </w:tcPr>
          <w:p w:rsidR="00225BBA" w:rsidRPr="00BC437D" w:rsidRDefault="00225BBA" w:rsidP="00BC437D">
            <w:pPr>
              <w:tabs>
                <w:tab w:val="left" w:pos="0"/>
              </w:tabs>
              <w:jc w:val="center"/>
              <w:rPr>
                <w:rFonts w:ascii="Times New Roman" w:hAnsi="Times New Roman" w:cs="Times New Roman"/>
                <w:sz w:val="20"/>
              </w:rPr>
            </w:pPr>
            <w:r>
              <w:rPr>
                <w:rFonts w:ascii="Times New Roman" w:hAnsi="Times New Roman" w:cs="Times New Roman"/>
                <w:sz w:val="20"/>
              </w:rPr>
              <w:t>0.70</w:t>
            </w:r>
          </w:p>
        </w:tc>
        <w:tc>
          <w:tcPr>
            <w:tcW w:w="736" w:type="dxa"/>
            <w:tcBorders>
              <w:top w:val="nil"/>
              <w:left w:val="nil"/>
              <w:bottom w:val="single" w:sz="4" w:space="0" w:color="auto"/>
              <w:right w:val="nil"/>
            </w:tcBorders>
            <w:vAlign w:val="center"/>
          </w:tcPr>
          <w:p w:rsidR="00225BBA" w:rsidRPr="00BC437D" w:rsidRDefault="00225BBA" w:rsidP="00BC437D">
            <w:pPr>
              <w:tabs>
                <w:tab w:val="left" w:pos="0"/>
              </w:tabs>
              <w:jc w:val="center"/>
              <w:rPr>
                <w:rFonts w:ascii="Times New Roman" w:hAnsi="Times New Roman" w:cs="Times New Roman"/>
                <w:sz w:val="20"/>
              </w:rPr>
            </w:pPr>
            <w:r>
              <w:rPr>
                <w:rFonts w:ascii="Times New Roman" w:hAnsi="Times New Roman" w:cs="Times New Roman"/>
                <w:sz w:val="20"/>
              </w:rPr>
              <w:t>0.90</w:t>
            </w:r>
          </w:p>
        </w:tc>
        <w:tc>
          <w:tcPr>
            <w:tcW w:w="737" w:type="dxa"/>
            <w:tcBorders>
              <w:top w:val="nil"/>
              <w:left w:val="nil"/>
              <w:bottom w:val="single" w:sz="4" w:space="0" w:color="auto"/>
              <w:right w:val="nil"/>
            </w:tcBorders>
            <w:vAlign w:val="center"/>
          </w:tcPr>
          <w:p w:rsidR="00225BBA" w:rsidRPr="00BC437D" w:rsidRDefault="00225BBA" w:rsidP="00BC437D">
            <w:pPr>
              <w:tabs>
                <w:tab w:val="left" w:pos="0"/>
              </w:tabs>
              <w:jc w:val="center"/>
              <w:rPr>
                <w:rFonts w:ascii="Times New Roman" w:hAnsi="Times New Roman" w:cs="Times New Roman"/>
                <w:sz w:val="20"/>
              </w:rPr>
            </w:pPr>
            <w:r>
              <w:rPr>
                <w:rFonts w:ascii="Times New Roman" w:hAnsi="Times New Roman" w:cs="Times New Roman"/>
                <w:sz w:val="20"/>
              </w:rPr>
              <w:t>0.59</w:t>
            </w:r>
          </w:p>
        </w:tc>
        <w:tc>
          <w:tcPr>
            <w:tcW w:w="736" w:type="dxa"/>
            <w:tcBorders>
              <w:top w:val="nil"/>
              <w:left w:val="nil"/>
              <w:bottom w:val="single" w:sz="4" w:space="0" w:color="auto"/>
              <w:right w:val="nil"/>
            </w:tcBorders>
            <w:vAlign w:val="center"/>
          </w:tcPr>
          <w:p w:rsidR="00225BBA" w:rsidRPr="00BC437D" w:rsidRDefault="00225BBA" w:rsidP="00BC437D">
            <w:pPr>
              <w:tabs>
                <w:tab w:val="left" w:pos="0"/>
              </w:tabs>
              <w:jc w:val="center"/>
              <w:rPr>
                <w:rFonts w:ascii="Times New Roman" w:hAnsi="Times New Roman" w:cs="Times New Roman"/>
                <w:sz w:val="20"/>
              </w:rPr>
            </w:pPr>
            <w:r>
              <w:rPr>
                <w:rFonts w:ascii="Times New Roman" w:hAnsi="Times New Roman" w:cs="Times New Roman"/>
                <w:sz w:val="20"/>
              </w:rPr>
              <w:t>0.64</w:t>
            </w:r>
          </w:p>
        </w:tc>
        <w:tc>
          <w:tcPr>
            <w:tcW w:w="737" w:type="dxa"/>
            <w:tcBorders>
              <w:top w:val="nil"/>
              <w:left w:val="nil"/>
              <w:bottom w:val="single" w:sz="4" w:space="0" w:color="auto"/>
              <w:right w:val="nil"/>
            </w:tcBorders>
            <w:vAlign w:val="center"/>
          </w:tcPr>
          <w:p w:rsidR="00225BBA" w:rsidRPr="00BC437D" w:rsidRDefault="00225BBA" w:rsidP="00BC437D">
            <w:pPr>
              <w:tabs>
                <w:tab w:val="left" w:pos="0"/>
              </w:tabs>
              <w:jc w:val="center"/>
              <w:rPr>
                <w:rFonts w:ascii="Times New Roman" w:hAnsi="Times New Roman" w:cs="Times New Roman"/>
                <w:sz w:val="20"/>
              </w:rPr>
            </w:pPr>
            <w:r>
              <w:rPr>
                <w:rFonts w:ascii="Times New Roman" w:hAnsi="Times New Roman" w:cs="Times New Roman"/>
                <w:sz w:val="20"/>
              </w:rPr>
              <w:t>0.52</w:t>
            </w:r>
          </w:p>
        </w:tc>
        <w:tc>
          <w:tcPr>
            <w:tcW w:w="1169" w:type="dxa"/>
            <w:tcBorders>
              <w:top w:val="nil"/>
              <w:left w:val="nil"/>
              <w:bottom w:val="single" w:sz="4" w:space="0" w:color="auto"/>
            </w:tcBorders>
            <w:vAlign w:val="center"/>
          </w:tcPr>
          <w:p w:rsidR="00225BBA" w:rsidRPr="00BC437D" w:rsidRDefault="00225BBA" w:rsidP="00BC437D">
            <w:pPr>
              <w:tabs>
                <w:tab w:val="left" w:pos="0"/>
              </w:tabs>
              <w:jc w:val="center"/>
              <w:rPr>
                <w:rFonts w:ascii="Times New Roman" w:hAnsi="Times New Roman" w:cs="Times New Roman"/>
                <w:sz w:val="20"/>
              </w:rPr>
            </w:pPr>
            <w:r>
              <w:rPr>
                <w:rFonts w:ascii="Times New Roman" w:hAnsi="Times New Roman" w:cs="Times New Roman"/>
                <w:sz w:val="20"/>
              </w:rPr>
              <w:t>0.99</w:t>
            </w:r>
          </w:p>
        </w:tc>
      </w:tr>
      <w:tr w:rsidR="00225BBA" w:rsidRPr="008358B2" w:rsidTr="00091D52">
        <w:trPr>
          <w:trHeight w:val="260"/>
          <w:jc w:val="center"/>
        </w:trPr>
        <w:tc>
          <w:tcPr>
            <w:tcW w:w="10440" w:type="dxa"/>
            <w:gridSpan w:val="12"/>
            <w:tcBorders>
              <w:top w:val="single" w:sz="4" w:space="0" w:color="auto"/>
            </w:tcBorders>
            <w:vAlign w:val="center"/>
          </w:tcPr>
          <w:p w:rsidR="00225BBA" w:rsidRDefault="00225BBA" w:rsidP="002B7B66">
            <w:pPr>
              <w:rPr>
                <w:rFonts w:ascii="Times New Roman" w:hAnsi="Times New Roman" w:cs="Times New Roman"/>
                <w:sz w:val="20"/>
              </w:rPr>
            </w:pPr>
            <w:r>
              <w:rPr>
                <w:rFonts w:ascii="Times New Roman" w:hAnsi="Times New Roman" w:cs="Times New Roman"/>
                <w:sz w:val="20"/>
              </w:rPr>
              <w:t>^</w:t>
            </w:r>
            <w:r w:rsidR="002B7B66">
              <w:rPr>
                <w:rFonts w:ascii="Times New Roman" w:hAnsi="Times New Roman" w:cs="Times New Roman"/>
                <w:sz w:val="20"/>
              </w:rPr>
              <w:t>per 100,000 and a</w:t>
            </w:r>
            <w:r>
              <w:rPr>
                <w:rFonts w:ascii="Times New Roman" w:hAnsi="Times New Roman" w:cs="Times New Roman"/>
                <w:sz w:val="20"/>
              </w:rPr>
              <w:t>ge-standardized to the 2000 U.S. population</w:t>
            </w:r>
            <w:r w:rsidR="002B7B66">
              <w:rPr>
                <w:rFonts w:ascii="Times New Roman" w:hAnsi="Times New Roman" w:cs="Times New Roman"/>
                <w:sz w:val="20"/>
              </w:rPr>
              <w:t>;</w:t>
            </w:r>
            <w:r>
              <w:rPr>
                <w:rFonts w:ascii="Times New Roman" w:hAnsi="Times New Roman" w:cs="Times New Roman"/>
                <w:sz w:val="20"/>
              </w:rPr>
              <w:t xml:space="preserve"> </w:t>
            </w:r>
            <w:r w:rsidRPr="007F3C84">
              <w:rPr>
                <w:rFonts w:ascii="Times New Roman" w:hAnsi="Times New Roman" w:cs="Times New Roman"/>
                <w:sz w:val="20"/>
              </w:rPr>
              <w:t>*indicates a statistic</w:t>
            </w:r>
            <w:r>
              <w:rPr>
                <w:rFonts w:ascii="Times New Roman" w:hAnsi="Times New Roman" w:cs="Times New Roman"/>
                <w:sz w:val="20"/>
              </w:rPr>
              <w:t>ally significant trend (p&lt;0.05</w:t>
            </w:r>
            <w:r w:rsidR="002B7B66">
              <w:rPr>
                <w:rFonts w:ascii="Times New Roman" w:hAnsi="Times New Roman" w:cs="Times New Roman"/>
                <w:sz w:val="20"/>
              </w:rPr>
              <w:t>);</w:t>
            </w:r>
            <w:r>
              <w:rPr>
                <w:rFonts w:ascii="Times New Roman" w:hAnsi="Times New Roman" w:cs="Times New Roman"/>
                <w:sz w:val="20"/>
              </w:rPr>
              <w:t xml:space="preserve"> </w:t>
            </w:r>
            <w:r w:rsidR="002B7B66">
              <w:rPr>
                <w:rFonts w:ascii="Times New Roman" w:hAnsi="Times New Roman" w:cs="Times New Roman"/>
                <w:sz w:val="20"/>
              </w:rPr>
              <w:t xml:space="preserve">APC = Annual Percent Change; </w:t>
            </w:r>
            <w:r>
              <w:rPr>
                <w:rFonts w:ascii="Times New Roman" w:hAnsi="Times New Roman" w:cs="Times New Roman"/>
                <w:sz w:val="20"/>
              </w:rPr>
              <w:t>Data source: Massachusetts Cancer Registry and Massachusetts Registry of Vital Records and Statistics</w:t>
            </w:r>
          </w:p>
        </w:tc>
      </w:tr>
    </w:tbl>
    <w:p w:rsidR="00225BBA" w:rsidRPr="00895185" w:rsidRDefault="00225BBA" w:rsidP="00895185">
      <w:pPr>
        <w:spacing w:after="0" w:line="240" w:lineRule="auto"/>
        <w:rPr>
          <w:rFonts w:ascii="Times New Roman" w:hAnsi="Times New Roman" w:cs="Times New Roman"/>
          <w:sz w:val="24"/>
        </w:rPr>
        <w:sectPr w:rsidR="00225BBA" w:rsidRPr="00895185" w:rsidSect="00B347BC">
          <w:type w:val="continuous"/>
          <w:pgSz w:w="12240" w:h="15840"/>
          <w:pgMar w:top="864" w:right="864" w:bottom="864" w:left="864" w:header="720" w:footer="720" w:gutter="0"/>
          <w:cols w:space="720"/>
          <w:docGrid w:linePitch="360"/>
        </w:sectPr>
      </w:pPr>
    </w:p>
    <w:p w:rsidR="00505331" w:rsidRDefault="00505331" w:rsidP="00505331">
      <w:pPr>
        <w:pStyle w:val="ListParagraph"/>
        <w:tabs>
          <w:tab w:val="left" w:pos="4230"/>
        </w:tabs>
        <w:spacing w:after="0" w:line="240" w:lineRule="auto"/>
        <w:ind w:left="270"/>
        <w:rPr>
          <w:rFonts w:ascii="Times New Roman" w:hAnsi="Times New Roman" w:cs="Times New Roman"/>
          <w:sz w:val="24"/>
        </w:rPr>
      </w:pPr>
    </w:p>
    <w:p w:rsidR="002B7B66" w:rsidRPr="002B7B66" w:rsidRDefault="002B7B66" w:rsidP="002B7B66">
      <w:pPr>
        <w:tabs>
          <w:tab w:val="left" w:pos="4230"/>
        </w:tabs>
        <w:spacing w:after="120" w:line="240" w:lineRule="auto"/>
        <w:rPr>
          <w:rFonts w:ascii="Times New Roman" w:hAnsi="Times New Roman" w:cs="Times New Roman"/>
          <w:b/>
          <w:sz w:val="24"/>
        </w:rPr>
      </w:pPr>
      <w:r w:rsidRPr="002B7B66">
        <w:rPr>
          <w:rFonts w:ascii="Times New Roman" w:hAnsi="Times New Roman" w:cs="Times New Roman"/>
          <w:b/>
          <w:sz w:val="24"/>
        </w:rPr>
        <w:t>Incidence</w:t>
      </w:r>
    </w:p>
    <w:p w:rsidR="00A62FC9" w:rsidRPr="00895185" w:rsidRDefault="00085845" w:rsidP="00895185">
      <w:pPr>
        <w:pStyle w:val="ListParagraph"/>
        <w:numPr>
          <w:ilvl w:val="0"/>
          <w:numId w:val="7"/>
        </w:numPr>
        <w:tabs>
          <w:tab w:val="left" w:pos="4230"/>
        </w:tabs>
        <w:spacing w:after="0" w:line="240" w:lineRule="auto"/>
        <w:ind w:left="270" w:hanging="270"/>
        <w:rPr>
          <w:rFonts w:ascii="Times New Roman" w:hAnsi="Times New Roman" w:cs="Times New Roman"/>
          <w:sz w:val="24"/>
        </w:rPr>
      </w:pPr>
      <w:r>
        <w:rPr>
          <w:rFonts w:ascii="Times New Roman" w:hAnsi="Times New Roman" w:cs="Times New Roman"/>
          <w:sz w:val="24"/>
        </w:rPr>
        <w:t>Overall, t</w:t>
      </w:r>
      <w:r w:rsidR="00A62FC9" w:rsidRPr="00895185">
        <w:rPr>
          <w:rFonts w:ascii="Times New Roman" w:hAnsi="Times New Roman" w:cs="Times New Roman"/>
          <w:sz w:val="24"/>
        </w:rPr>
        <w:t>he age-adjusted incidence rate of oropharyngeal cancer was 4.7 cases per 100,000. The incidence rate increased by 3.0% annually from 2004-2014</w:t>
      </w:r>
      <w:r w:rsidR="00505331">
        <w:rPr>
          <w:rFonts w:ascii="Times New Roman" w:hAnsi="Times New Roman" w:cs="Times New Roman"/>
          <w:sz w:val="24"/>
        </w:rPr>
        <w:t xml:space="preserve"> with statistical significance</w:t>
      </w:r>
      <w:r w:rsidR="00A62FC9" w:rsidRPr="00895185">
        <w:rPr>
          <w:rFonts w:ascii="Times New Roman" w:hAnsi="Times New Roman" w:cs="Times New Roman"/>
          <w:sz w:val="24"/>
        </w:rPr>
        <w:t xml:space="preserve">. </w:t>
      </w:r>
    </w:p>
    <w:p w:rsidR="00225BBA" w:rsidRDefault="00225BBA" w:rsidP="00225BBA">
      <w:pPr>
        <w:pStyle w:val="ListParagraph"/>
        <w:tabs>
          <w:tab w:val="left" w:pos="4230"/>
        </w:tabs>
        <w:spacing w:after="0" w:line="240" w:lineRule="auto"/>
        <w:ind w:left="180"/>
        <w:rPr>
          <w:rFonts w:ascii="Times New Roman" w:hAnsi="Times New Roman" w:cs="Times New Roman"/>
          <w:sz w:val="24"/>
        </w:rPr>
      </w:pPr>
    </w:p>
    <w:p w:rsidR="00225BBA" w:rsidRDefault="00225BBA" w:rsidP="00225BBA">
      <w:pPr>
        <w:pStyle w:val="ListParagraph"/>
        <w:numPr>
          <w:ilvl w:val="0"/>
          <w:numId w:val="4"/>
        </w:numPr>
        <w:tabs>
          <w:tab w:val="left" w:pos="4230"/>
        </w:tabs>
        <w:spacing w:after="0" w:line="240" w:lineRule="auto"/>
        <w:ind w:left="180" w:hanging="180"/>
        <w:rPr>
          <w:rFonts w:ascii="Times New Roman" w:hAnsi="Times New Roman" w:cs="Times New Roman"/>
          <w:sz w:val="24"/>
        </w:rPr>
      </w:pPr>
      <w:r>
        <w:rPr>
          <w:rFonts w:ascii="Times New Roman" w:hAnsi="Times New Roman" w:cs="Times New Roman"/>
          <w:sz w:val="24"/>
        </w:rPr>
        <w:t>The age-adjusted incidence rate of oropharyngeal cancer was 4.1 time</w:t>
      </w:r>
      <w:r w:rsidR="00565CEB">
        <w:rPr>
          <w:rFonts w:ascii="Times New Roman" w:hAnsi="Times New Roman" w:cs="Times New Roman"/>
          <w:sz w:val="24"/>
        </w:rPr>
        <w:t>s higher among Massachusetts males</w:t>
      </w:r>
      <w:r>
        <w:rPr>
          <w:rFonts w:ascii="Times New Roman" w:hAnsi="Times New Roman" w:cs="Times New Roman"/>
          <w:sz w:val="24"/>
        </w:rPr>
        <w:t xml:space="preserve"> than among </w:t>
      </w:r>
      <w:r w:rsidR="00565CEB">
        <w:rPr>
          <w:rFonts w:ascii="Times New Roman" w:hAnsi="Times New Roman" w:cs="Times New Roman"/>
          <w:sz w:val="24"/>
        </w:rPr>
        <w:t>females</w:t>
      </w:r>
      <w:r>
        <w:rPr>
          <w:rFonts w:ascii="Times New Roman" w:hAnsi="Times New Roman" w:cs="Times New Roman"/>
          <w:sz w:val="24"/>
        </w:rPr>
        <w:t xml:space="preserve"> (7.9 and 1.9 per 100,000 respectively during 2004-2014). </w:t>
      </w:r>
    </w:p>
    <w:p w:rsidR="00A62FC9" w:rsidRPr="00E72C9E" w:rsidRDefault="00A62FC9" w:rsidP="00225BBA">
      <w:pPr>
        <w:pStyle w:val="ListParagraph"/>
        <w:tabs>
          <w:tab w:val="left" w:pos="4230"/>
        </w:tabs>
        <w:rPr>
          <w:rFonts w:ascii="Times New Roman" w:hAnsi="Times New Roman" w:cs="Times New Roman"/>
          <w:sz w:val="24"/>
        </w:rPr>
      </w:pPr>
    </w:p>
    <w:p w:rsidR="00A62FC9" w:rsidRDefault="00565CEB" w:rsidP="00225BBA">
      <w:pPr>
        <w:pStyle w:val="ListParagraph"/>
        <w:numPr>
          <w:ilvl w:val="0"/>
          <w:numId w:val="4"/>
        </w:numPr>
        <w:tabs>
          <w:tab w:val="left" w:pos="4230"/>
        </w:tabs>
        <w:spacing w:after="0" w:line="240" w:lineRule="auto"/>
        <w:ind w:left="180" w:hanging="180"/>
        <w:rPr>
          <w:rFonts w:ascii="Times New Roman" w:hAnsi="Times New Roman" w:cs="Times New Roman"/>
          <w:sz w:val="24"/>
        </w:rPr>
      </w:pPr>
      <w:r>
        <w:rPr>
          <w:rFonts w:ascii="Times New Roman" w:hAnsi="Times New Roman" w:cs="Times New Roman"/>
          <w:sz w:val="24"/>
        </w:rPr>
        <w:t>The incidence rate among males</w:t>
      </w:r>
      <w:r w:rsidR="00A62FC9">
        <w:rPr>
          <w:rFonts w:ascii="Times New Roman" w:hAnsi="Times New Roman" w:cs="Times New Roman"/>
          <w:sz w:val="24"/>
        </w:rPr>
        <w:t xml:space="preserve"> increased by 2.8% annually from 2004-2014</w:t>
      </w:r>
      <w:r w:rsidR="00505331">
        <w:rPr>
          <w:rFonts w:ascii="Times New Roman" w:hAnsi="Times New Roman" w:cs="Times New Roman"/>
          <w:sz w:val="24"/>
        </w:rPr>
        <w:t xml:space="preserve"> with statistical significance</w:t>
      </w:r>
      <w:r w:rsidR="00A62FC9">
        <w:rPr>
          <w:rFonts w:ascii="Times New Roman" w:hAnsi="Times New Roman" w:cs="Times New Roman"/>
          <w:sz w:val="24"/>
        </w:rPr>
        <w:t xml:space="preserve">. </w:t>
      </w:r>
      <w:r w:rsidR="00225BBA">
        <w:rPr>
          <w:rFonts w:ascii="Times New Roman" w:hAnsi="Times New Roman" w:cs="Times New Roman"/>
          <w:sz w:val="24"/>
        </w:rPr>
        <w:t xml:space="preserve">The incidence rate among </w:t>
      </w:r>
      <w:r>
        <w:rPr>
          <w:rFonts w:ascii="Times New Roman" w:hAnsi="Times New Roman" w:cs="Times New Roman"/>
          <w:sz w:val="24"/>
        </w:rPr>
        <w:t>females</w:t>
      </w:r>
      <w:r w:rsidR="00225BBA">
        <w:rPr>
          <w:rFonts w:ascii="Times New Roman" w:hAnsi="Times New Roman" w:cs="Times New Roman"/>
          <w:sz w:val="24"/>
        </w:rPr>
        <w:t xml:space="preserve"> increased by 6.6% annually from 2004-2012</w:t>
      </w:r>
      <w:r w:rsidR="00505331">
        <w:rPr>
          <w:rFonts w:ascii="Times New Roman" w:hAnsi="Times New Roman" w:cs="Times New Roman"/>
          <w:sz w:val="24"/>
        </w:rPr>
        <w:t xml:space="preserve"> with statistical significance</w:t>
      </w:r>
      <w:r w:rsidR="00225BBA">
        <w:rPr>
          <w:rFonts w:ascii="Times New Roman" w:hAnsi="Times New Roman" w:cs="Times New Roman"/>
          <w:sz w:val="24"/>
        </w:rPr>
        <w:t>, but then decreased from 2012-2014 by 13.7%</w:t>
      </w:r>
      <w:r w:rsidR="00505331">
        <w:rPr>
          <w:rFonts w:ascii="Times New Roman" w:hAnsi="Times New Roman" w:cs="Times New Roman"/>
          <w:sz w:val="24"/>
        </w:rPr>
        <w:t xml:space="preserve"> without statistical significance</w:t>
      </w:r>
      <w:r w:rsidR="00225BBA">
        <w:rPr>
          <w:rFonts w:ascii="Times New Roman" w:hAnsi="Times New Roman" w:cs="Times New Roman"/>
          <w:sz w:val="24"/>
        </w:rPr>
        <w:t>.</w:t>
      </w:r>
    </w:p>
    <w:p w:rsidR="00505331" w:rsidRPr="00D2512C" w:rsidRDefault="00505331" w:rsidP="00225BBA">
      <w:pPr>
        <w:pStyle w:val="ListParagraph"/>
        <w:tabs>
          <w:tab w:val="left" w:pos="4230"/>
        </w:tabs>
        <w:rPr>
          <w:rFonts w:ascii="Times New Roman" w:hAnsi="Times New Roman" w:cs="Times New Roman"/>
          <w:sz w:val="24"/>
        </w:rPr>
      </w:pPr>
    </w:p>
    <w:p w:rsidR="00A62FC9" w:rsidRPr="00A62FC9" w:rsidRDefault="00A62FC9" w:rsidP="00225BBA">
      <w:pPr>
        <w:pStyle w:val="ListParagraph"/>
        <w:numPr>
          <w:ilvl w:val="0"/>
          <w:numId w:val="4"/>
        </w:numPr>
        <w:tabs>
          <w:tab w:val="left" w:pos="4230"/>
        </w:tabs>
        <w:spacing w:after="0" w:line="240" w:lineRule="auto"/>
        <w:ind w:left="180" w:hanging="180"/>
        <w:rPr>
          <w:rFonts w:ascii="Times New Roman" w:hAnsi="Times New Roman" w:cs="Times New Roman"/>
          <w:sz w:val="24"/>
        </w:rPr>
      </w:pPr>
      <w:r>
        <w:rPr>
          <w:rFonts w:ascii="Times New Roman" w:hAnsi="Times New Roman" w:cs="Times New Roman"/>
          <w:sz w:val="24"/>
        </w:rPr>
        <w:t>Massachusetts had a higher incidence rate of oropharyngeal cancer than the United States (5.0 vs 4.5</w:t>
      </w:r>
      <w:r w:rsidRPr="002B4414">
        <w:rPr>
          <w:rFonts w:ascii="Times New Roman" w:hAnsi="Times New Roman" w:cs="Times New Roman"/>
          <w:sz w:val="24"/>
        </w:rPr>
        <w:t xml:space="preserve"> per 100,000)</w:t>
      </w:r>
      <w:r>
        <w:rPr>
          <w:rFonts w:ascii="Times New Roman" w:hAnsi="Times New Roman" w:cs="Times New Roman"/>
          <w:sz w:val="24"/>
        </w:rPr>
        <w:t xml:space="preserve"> from 2008-2012</w:t>
      </w:r>
      <w:r w:rsidRPr="002B4414">
        <w:rPr>
          <w:rFonts w:ascii="Times New Roman" w:hAnsi="Times New Roman" w:cs="Times New Roman"/>
          <w:sz w:val="24"/>
        </w:rPr>
        <w:t>.</w:t>
      </w:r>
      <w:r w:rsidR="0088465C">
        <w:rPr>
          <w:rFonts w:ascii="Times New Roman" w:hAnsi="Times New Roman" w:cs="Times New Roman"/>
          <w:sz w:val="24"/>
          <w:vertAlign w:val="superscript"/>
        </w:rPr>
        <w:t>1</w:t>
      </w:r>
    </w:p>
    <w:p w:rsidR="002B7B66" w:rsidRDefault="002B7B66" w:rsidP="002B7B66">
      <w:pPr>
        <w:tabs>
          <w:tab w:val="left" w:pos="4230"/>
        </w:tabs>
        <w:spacing w:after="0" w:line="240" w:lineRule="auto"/>
        <w:rPr>
          <w:rFonts w:ascii="Times New Roman" w:hAnsi="Times New Roman" w:cs="Times New Roman"/>
          <w:sz w:val="24"/>
        </w:rPr>
      </w:pPr>
    </w:p>
    <w:p w:rsidR="002B7B66" w:rsidRPr="002B7B66" w:rsidRDefault="002B7B66" w:rsidP="002B7B66">
      <w:pPr>
        <w:tabs>
          <w:tab w:val="left" w:pos="4230"/>
        </w:tabs>
        <w:spacing w:after="120" w:line="240" w:lineRule="auto"/>
        <w:rPr>
          <w:rFonts w:ascii="Times New Roman" w:hAnsi="Times New Roman" w:cs="Times New Roman"/>
          <w:b/>
          <w:sz w:val="24"/>
        </w:rPr>
      </w:pPr>
      <w:r w:rsidRPr="002B7B66">
        <w:rPr>
          <w:rFonts w:ascii="Times New Roman" w:hAnsi="Times New Roman" w:cs="Times New Roman"/>
          <w:b/>
          <w:sz w:val="24"/>
        </w:rPr>
        <w:t>Mortality</w:t>
      </w:r>
    </w:p>
    <w:p w:rsidR="00A62FC9" w:rsidRDefault="00085845" w:rsidP="00225BBA">
      <w:pPr>
        <w:pStyle w:val="ListParagraph"/>
        <w:numPr>
          <w:ilvl w:val="0"/>
          <w:numId w:val="4"/>
        </w:numPr>
        <w:tabs>
          <w:tab w:val="left" w:pos="4230"/>
        </w:tabs>
        <w:spacing w:after="0" w:line="240" w:lineRule="auto"/>
        <w:ind w:left="180" w:hanging="180"/>
        <w:rPr>
          <w:rFonts w:ascii="Times New Roman" w:hAnsi="Times New Roman" w:cs="Times New Roman"/>
          <w:sz w:val="24"/>
        </w:rPr>
      </w:pPr>
      <w:r>
        <w:rPr>
          <w:rFonts w:ascii="Times New Roman" w:hAnsi="Times New Roman" w:cs="Times New Roman"/>
          <w:sz w:val="24"/>
        </w:rPr>
        <w:t>Overall, t</w:t>
      </w:r>
      <w:r w:rsidR="00A62FC9">
        <w:rPr>
          <w:rFonts w:ascii="Times New Roman" w:hAnsi="Times New Roman" w:cs="Times New Roman"/>
          <w:sz w:val="24"/>
        </w:rPr>
        <w:t>he age-adjusted mortality rate from</w:t>
      </w:r>
      <w:r w:rsidR="00225BBA">
        <w:rPr>
          <w:rFonts w:ascii="Times New Roman" w:hAnsi="Times New Roman" w:cs="Times New Roman"/>
          <w:sz w:val="24"/>
        </w:rPr>
        <w:t xml:space="preserve"> oropharyngeal cancer was 1.5</w:t>
      </w:r>
      <w:r w:rsidR="00A62FC9">
        <w:rPr>
          <w:rFonts w:ascii="Times New Roman" w:hAnsi="Times New Roman" w:cs="Times New Roman"/>
          <w:sz w:val="24"/>
        </w:rPr>
        <w:t xml:space="preserve"> deaths pe</w:t>
      </w:r>
      <w:r w:rsidR="00225BBA">
        <w:rPr>
          <w:rFonts w:ascii="Times New Roman" w:hAnsi="Times New Roman" w:cs="Times New Roman"/>
          <w:sz w:val="24"/>
        </w:rPr>
        <w:t>r 100,000</w:t>
      </w:r>
      <w:r w:rsidR="00A62FC9">
        <w:rPr>
          <w:rFonts w:ascii="Times New Roman" w:hAnsi="Times New Roman" w:cs="Times New Roman"/>
          <w:sz w:val="24"/>
        </w:rPr>
        <w:t xml:space="preserve">. The mortality rate decreased </w:t>
      </w:r>
      <w:r w:rsidR="00225BBA">
        <w:rPr>
          <w:rFonts w:ascii="Times New Roman" w:hAnsi="Times New Roman" w:cs="Times New Roman"/>
          <w:sz w:val="24"/>
        </w:rPr>
        <w:t>annually by 1.9</w:t>
      </w:r>
      <w:r w:rsidR="00A62FC9">
        <w:rPr>
          <w:rFonts w:ascii="Times New Roman" w:hAnsi="Times New Roman" w:cs="Times New Roman"/>
          <w:sz w:val="24"/>
        </w:rPr>
        <w:t xml:space="preserve">% from 2008-2014, </w:t>
      </w:r>
      <w:r w:rsidR="00505331">
        <w:rPr>
          <w:rFonts w:ascii="Times New Roman" w:hAnsi="Times New Roman" w:cs="Times New Roman"/>
          <w:sz w:val="24"/>
        </w:rPr>
        <w:t>without statistical significance</w:t>
      </w:r>
      <w:r w:rsidR="00A62FC9">
        <w:rPr>
          <w:rFonts w:ascii="Times New Roman" w:hAnsi="Times New Roman" w:cs="Times New Roman"/>
          <w:sz w:val="24"/>
        </w:rPr>
        <w:t xml:space="preserve">. </w:t>
      </w:r>
    </w:p>
    <w:p w:rsidR="00225BBA" w:rsidRPr="00225BBA" w:rsidRDefault="00225BBA" w:rsidP="00225BBA">
      <w:pPr>
        <w:pStyle w:val="ListParagraph"/>
        <w:rPr>
          <w:rFonts w:ascii="Times New Roman" w:hAnsi="Times New Roman" w:cs="Times New Roman"/>
          <w:sz w:val="24"/>
        </w:rPr>
      </w:pPr>
    </w:p>
    <w:p w:rsidR="00225BBA" w:rsidRDefault="00225BBA" w:rsidP="00225BBA">
      <w:pPr>
        <w:pStyle w:val="ListParagraph"/>
        <w:numPr>
          <w:ilvl w:val="0"/>
          <w:numId w:val="4"/>
        </w:numPr>
        <w:tabs>
          <w:tab w:val="left" w:pos="4230"/>
        </w:tabs>
        <w:spacing w:after="0" w:line="240" w:lineRule="auto"/>
        <w:ind w:left="180" w:hanging="180"/>
        <w:rPr>
          <w:rFonts w:ascii="Times New Roman" w:hAnsi="Times New Roman" w:cs="Times New Roman"/>
          <w:sz w:val="24"/>
        </w:rPr>
      </w:pPr>
      <w:r>
        <w:rPr>
          <w:rFonts w:ascii="Times New Roman" w:hAnsi="Times New Roman" w:cs="Times New Roman"/>
          <w:sz w:val="24"/>
        </w:rPr>
        <w:t xml:space="preserve">The age-adjusted mortality rate from oropharyngeal cancer was </w:t>
      </w:r>
      <w:r w:rsidR="00655220">
        <w:rPr>
          <w:rFonts w:ascii="Times New Roman" w:hAnsi="Times New Roman" w:cs="Times New Roman"/>
          <w:sz w:val="24"/>
        </w:rPr>
        <w:t>3.2 time</w:t>
      </w:r>
      <w:r w:rsidR="00565CEB">
        <w:rPr>
          <w:rFonts w:ascii="Times New Roman" w:hAnsi="Times New Roman" w:cs="Times New Roman"/>
          <w:sz w:val="24"/>
        </w:rPr>
        <w:t>s higher among Massachusetts males than among females</w:t>
      </w:r>
      <w:r w:rsidR="00655220">
        <w:rPr>
          <w:rFonts w:ascii="Times New Roman" w:hAnsi="Times New Roman" w:cs="Times New Roman"/>
          <w:sz w:val="24"/>
        </w:rPr>
        <w:t xml:space="preserve"> (2.4 and 0.7 per 100,000 respectively during 2008-2014).</w:t>
      </w:r>
    </w:p>
    <w:p w:rsidR="00655220" w:rsidRPr="00655220" w:rsidRDefault="00655220" w:rsidP="00655220">
      <w:pPr>
        <w:pStyle w:val="ListParagraph"/>
        <w:rPr>
          <w:rFonts w:ascii="Times New Roman" w:hAnsi="Times New Roman" w:cs="Times New Roman"/>
          <w:sz w:val="24"/>
        </w:rPr>
      </w:pPr>
    </w:p>
    <w:p w:rsidR="00655220" w:rsidRDefault="00565CEB" w:rsidP="00225BBA">
      <w:pPr>
        <w:pStyle w:val="ListParagraph"/>
        <w:numPr>
          <w:ilvl w:val="0"/>
          <w:numId w:val="4"/>
        </w:numPr>
        <w:tabs>
          <w:tab w:val="left" w:pos="4230"/>
        </w:tabs>
        <w:spacing w:after="0" w:line="240" w:lineRule="auto"/>
        <w:ind w:left="180" w:hanging="180"/>
        <w:rPr>
          <w:rFonts w:ascii="Times New Roman" w:hAnsi="Times New Roman" w:cs="Times New Roman"/>
          <w:sz w:val="24"/>
        </w:rPr>
      </w:pPr>
      <w:r>
        <w:rPr>
          <w:rFonts w:ascii="Times New Roman" w:hAnsi="Times New Roman" w:cs="Times New Roman"/>
          <w:sz w:val="24"/>
        </w:rPr>
        <w:t>The mortality rate among males</w:t>
      </w:r>
      <w:r w:rsidR="00655220">
        <w:rPr>
          <w:rFonts w:ascii="Times New Roman" w:hAnsi="Times New Roman" w:cs="Times New Roman"/>
          <w:sz w:val="24"/>
        </w:rPr>
        <w:t xml:space="preserve"> a</w:t>
      </w:r>
      <w:r>
        <w:rPr>
          <w:rFonts w:ascii="Times New Roman" w:hAnsi="Times New Roman" w:cs="Times New Roman"/>
          <w:sz w:val="24"/>
        </w:rPr>
        <w:t xml:space="preserve">nd females </w:t>
      </w:r>
      <w:r w:rsidR="00655220">
        <w:rPr>
          <w:rFonts w:ascii="Times New Roman" w:hAnsi="Times New Roman" w:cs="Times New Roman"/>
          <w:sz w:val="24"/>
        </w:rPr>
        <w:t>did not change</w:t>
      </w:r>
      <w:r w:rsidR="00505331">
        <w:rPr>
          <w:rFonts w:ascii="Times New Roman" w:hAnsi="Times New Roman" w:cs="Times New Roman"/>
          <w:sz w:val="24"/>
        </w:rPr>
        <w:t xml:space="preserve"> with statistical significance</w:t>
      </w:r>
      <w:r w:rsidR="00655220">
        <w:rPr>
          <w:rFonts w:ascii="Times New Roman" w:hAnsi="Times New Roman" w:cs="Times New Roman"/>
          <w:sz w:val="24"/>
        </w:rPr>
        <w:t xml:space="preserve"> from 2008-2014 in Massachusetts.</w:t>
      </w:r>
    </w:p>
    <w:p w:rsidR="00505331" w:rsidRDefault="00505331" w:rsidP="00505331">
      <w:pPr>
        <w:tabs>
          <w:tab w:val="left" w:pos="4230"/>
        </w:tabs>
        <w:spacing w:after="0" w:line="240" w:lineRule="auto"/>
        <w:rPr>
          <w:rFonts w:ascii="Times New Roman" w:hAnsi="Times New Roman" w:cs="Times New Roman"/>
          <w:sz w:val="24"/>
        </w:rPr>
      </w:pPr>
    </w:p>
    <w:p w:rsidR="00505331" w:rsidRDefault="00505331" w:rsidP="00505331">
      <w:pPr>
        <w:tabs>
          <w:tab w:val="left" w:pos="4230"/>
        </w:tabs>
        <w:spacing w:after="0" w:line="240" w:lineRule="auto"/>
        <w:rPr>
          <w:rFonts w:ascii="Times New Roman" w:hAnsi="Times New Roman" w:cs="Times New Roman"/>
          <w:sz w:val="24"/>
        </w:rPr>
      </w:pPr>
    </w:p>
    <w:p w:rsidR="00505331" w:rsidRDefault="00505331" w:rsidP="00505331">
      <w:pPr>
        <w:tabs>
          <w:tab w:val="left" w:pos="4230"/>
        </w:tabs>
        <w:spacing w:after="0" w:line="240" w:lineRule="auto"/>
        <w:rPr>
          <w:rFonts w:ascii="Times New Roman" w:hAnsi="Times New Roman" w:cs="Times New Roman"/>
          <w:sz w:val="24"/>
        </w:rPr>
      </w:pPr>
    </w:p>
    <w:p w:rsidR="00505331" w:rsidRPr="00505331" w:rsidRDefault="00505331" w:rsidP="00505331">
      <w:pPr>
        <w:tabs>
          <w:tab w:val="left" w:pos="4230"/>
        </w:tabs>
        <w:spacing w:after="0" w:line="240" w:lineRule="auto"/>
        <w:rPr>
          <w:rFonts w:ascii="Times New Roman" w:hAnsi="Times New Roman" w:cs="Times New Roman"/>
          <w:sz w:val="24"/>
        </w:rPr>
      </w:pPr>
    </w:p>
    <w:p w:rsidR="00225BBA" w:rsidRDefault="00225BBA" w:rsidP="00895185">
      <w:pPr>
        <w:spacing w:after="0" w:line="240" w:lineRule="auto"/>
        <w:rPr>
          <w:rFonts w:ascii="Times New Roman" w:hAnsi="Times New Roman" w:cs="Times New Roman"/>
          <w:sz w:val="24"/>
        </w:rPr>
      </w:pPr>
    </w:p>
    <w:p w:rsidR="00895185" w:rsidRDefault="00895185" w:rsidP="00895185">
      <w:pPr>
        <w:spacing w:after="0" w:line="240" w:lineRule="auto"/>
        <w:rPr>
          <w:rFonts w:ascii="Times New Roman" w:hAnsi="Times New Roman" w:cs="Times New Roman"/>
          <w:sz w:val="24"/>
        </w:rPr>
      </w:pPr>
    </w:p>
    <w:p w:rsidR="00505331" w:rsidRDefault="00505331" w:rsidP="00895185">
      <w:pPr>
        <w:spacing w:after="0" w:line="240" w:lineRule="auto"/>
        <w:rPr>
          <w:rFonts w:ascii="Times New Roman" w:hAnsi="Times New Roman" w:cs="Times New Roman"/>
          <w:sz w:val="24"/>
        </w:rPr>
      </w:pPr>
    </w:p>
    <w:p w:rsidR="00505331" w:rsidRPr="00895185" w:rsidRDefault="00505331" w:rsidP="00895185">
      <w:pPr>
        <w:spacing w:after="0" w:line="240" w:lineRule="auto"/>
        <w:rPr>
          <w:rFonts w:ascii="Times New Roman" w:hAnsi="Times New Roman" w:cs="Times New Roman"/>
          <w:sz w:val="24"/>
        </w:rPr>
        <w:sectPr w:rsidR="00505331" w:rsidRPr="00895185" w:rsidSect="00225BBA">
          <w:type w:val="continuous"/>
          <w:pgSz w:w="12240" w:h="15840"/>
          <w:pgMar w:top="864" w:right="864" w:bottom="864" w:left="864" w:header="720" w:footer="720" w:gutter="0"/>
          <w:cols w:num="2" w:space="288"/>
          <w:docGrid w:linePitch="360"/>
        </w:sectPr>
      </w:pPr>
    </w:p>
    <w:tbl>
      <w:tblPr>
        <w:tblStyle w:val="TableGrid"/>
        <w:tblW w:w="10440" w:type="dxa"/>
        <w:jc w:val="center"/>
        <w:tblLook w:val="04A0" w:firstRow="1" w:lastRow="0" w:firstColumn="1" w:lastColumn="0" w:noHBand="0" w:noVBand="1"/>
      </w:tblPr>
      <w:tblGrid>
        <w:gridCol w:w="1906"/>
        <w:gridCol w:w="1422"/>
        <w:gridCol w:w="1422"/>
        <w:gridCol w:w="1423"/>
        <w:gridCol w:w="1422"/>
        <w:gridCol w:w="1422"/>
        <w:gridCol w:w="1423"/>
      </w:tblGrid>
      <w:tr w:rsidR="00B50ED9" w:rsidRPr="00902D3A" w:rsidTr="00505331">
        <w:trPr>
          <w:trHeight w:val="774"/>
          <w:jc w:val="center"/>
        </w:trPr>
        <w:tc>
          <w:tcPr>
            <w:tcW w:w="10440" w:type="dxa"/>
            <w:gridSpan w:val="7"/>
            <w:tcBorders>
              <w:top w:val="nil"/>
              <w:left w:val="nil"/>
              <w:right w:val="nil"/>
            </w:tcBorders>
            <w:vAlign w:val="center"/>
          </w:tcPr>
          <w:p w:rsidR="00B50ED9" w:rsidRPr="00902D3A" w:rsidRDefault="00B50ED9" w:rsidP="0042688C">
            <w:pPr>
              <w:rPr>
                <w:rFonts w:ascii="Times New Roman" w:hAnsi="Times New Roman" w:cs="Times New Roman"/>
                <w:b/>
                <w:color w:val="1F497D" w:themeColor="text2"/>
                <w:sz w:val="24"/>
              </w:rPr>
            </w:pPr>
            <w:r>
              <w:rPr>
                <w:rFonts w:ascii="Times New Roman" w:hAnsi="Times New Roman" w:cs="Times New Roman"/>
                <w:b/>
                <w:color w:val="1F497D" w:themeColor="text2"/>
                <w:sz w:val="24"/>
              </w:rPr>
              <w:lastRenderedPageBreak/>
              <w:t xml:space="preserve">PATTERNS IN </w:t>
            </w:r>
            <w:r w:rsidR="00655220">
              <w:rPr>
                <w:rFonts w:ascii="Times New Roman" w:hAnsi="Times New Roman" w:cs="Times New Roman"/>
                <w:b/>
                <w:color w:val="1F497D" w:themeColor="text2"/>
                <w:sz w:val="24"/>
              </w:rPr>
              <w:t xml:space="preserve">OROPHARYNGEAL </w:t>
            </w:r>
            <w:r w:rsidRPr="00902D3A">
              <w:rPr>
                <w:rFonts w:ascii="Times New Roman" w:hAnsi="Times New Roman" w:cs="Times New Roman"/>
                <w:b/>
                <w:color w:val="1F497D" w:themeColor="text2"/>
                <w:sz w:val="24"/>
              </w:rPr>
              <w:t xml:space="preserve">CANCER </w:t>
            </w:r>
            <w:r>
              <w:rPr>
                <w:rFonts w:ascii="Times New Roman" w:hAnsi="Times New Roman" w:cs="Times New Roman"/>
                <w:b/>
                <w:color w:val="1F497D" w:themeColor="text2"/>
                <w:sz w:val="24"/>
              </w:rPr>
              <w:t xml:space="preserve">INCIDENCE </w:t>
            </w:r>
            <w:r w:rsidR="0042688C">
              <w:rPr>
                <w:rFonts w:ascii="Times New Roman" w:hAnsi="Times New Roman" w:cs="Times New Roman"/>
                <w:b/>
                <w:color w:val="1F497D" w:themeColor="text2"/>
                <w:sz w:val="24"/>
              </w:rPr>
              <w:t xml:space="preserve">AND MORTALITY </w:t>
            </w:r>
            <w:r>
              <w:rPr>
                <w:rFonts w:ascii="Times New Roman" w:hAnsi="Times New Roman" w:cs="Times New Roman"/>
                <w:b/>
                <w:color w:val="1F497D" w:themeColor="text2"/>
                <w:sz w:val="24"/>
              </w:rPr>
              <w:t>BY AGE</w:t>
            </w:r>
          </w:p>
        </w:tc>
      </w:tr>
      <w:tr w:rsidR="00B50ED9" w:rsidRPr="00902D3A" w:rsidTr="00B347BC">
        <w:trPr>
          <w:trHeight w:val="467"/>
          <w:jc w:val="center"/>
        </w:trPr>
        <w:tc>
          <w:tcPr>
            <w:tcW w:w="10440" w:type="dxa"/>
            <w:gridSpan w:val="7"/>
            <w:tcBorders>
              <w:bottom w:val="single" w:sz="4" w:space="0" w:color="auto"/>
            </w:tcBorders>
            <w:vAlign w:val="center"/>
          </w:tcPr>
          <w:p w:rsidR="00B50ED9" w:rsidRDefault="00B50ED9" w:rsidP="00655220">
            <w:pPr>
              <w:rPr>
                <w:rFonts w:ascii="Times New Roman" w:hAnsi="Times New Roman" w:cs="Times New Roman"/>
                <w:b/>
                <w:color w:val="1F497D" w:themeColor="text2"/>
                <w:sz w:val="24"/>
              </w:rPr>
            </w:pPr>
            <w:r>
              <w:rPr>
                <w:rFonts w:ascii="Times New Roman" w:hAnsi="Times New Roman" w:cs="Times New Roman"/>
                <w:b/>
                <w:color w:val="1F497D" w:themeColor="text2"/>
                <w:sz w:val="24"/>
              </w:rPr>
              <w:t>Figure 2. Age-specific incidence</w:t>
            </w:r>
            <w:r w:rsidR="0042688C">
              <w:rPr>
                <w:rFonts w:ascii="Times New Roman" w:hAnsi="Times New Roman" w:cs="Times New Roman"/>
                <w:b/>
                <w:color w:val="1F497D" w:themeColor="text2"/>
                <w:sz w:val="24"/>
              </w:rPr>
              <w:t xml:space="preserve"> (2004-2014) </w:t>
            </w:r>
            <w:r w:rsidR="00746B3D">
              <w:rPr>
                <w:rFonts w:ascii="Times New Roman" w:hAnsi="Times New Roman" w:cs="Times New Roman"/>
                <w:b/>
                <w:color w:val="1F497D" w:themeColor="text2"/>
                <w:sz w:val="24"/>
              </w:rPr>
              <w:t xml:space="preserve"> and mortality</w:t>
            </w:r>
            <w:r>
              <w:rPr>
                <w:rFonts w:ascii="Times New Roman" w:hAnsi="Times New Roman" w:cs="Times New Roman"/>
                <w:b/>
                <w:color w:val="1F497D" w:themeColor="text2"/>
                <w:sz w:val="24"/>
              </w:rPr>
              <w:t xml:space="preserve"> </w:t>
            </w:r>
            <w:r w:rsidR="0042688C">
              <w:rPr>
                <w:rFonts w:ascii="Times New Roman" w:hAnsi="Times New Roman" w:cs="Times New Roman"/>
                <w:b/>
                <w:color w:val="1F497D" w:themeColor="text2"/>
                <w:sz w:val="24"/>
              </w:rPr>
              <w:t xml:space="preserve">(2008-2014) </w:t>
            </w:r>
            <w:r>
              <w:rPr>
                <w:rFonts w:ascii="Times New Roman" w:hAnsi="Times New Roman" w:cs="Times New Roman"/>
                <w:b/>
                <w:color w:val="1F497D" w:themeColor="text2"/>
                <w:sz w:val="24"/>
              </w:rPr>
              <w:t>rates</w:t>
            </w:r>
            <w:r w:rsidR="00746B3D">
              <w:rPr>
                <w:rFonts w:ascii="Times New Roman" w:hAnsi="Times New Roman" w:cs="Times New Roman"/>
                <w:b/>
                <w:color w:val="1F497D" w:themeColor="text2"/>
                <w:sz w:val="24"/>
              </w:rPr>
              <w:t>^</w:t>
            </w:r>
            <w:r>
              <w:rPr>
                <w:rFonts w:ascii="Times New Roman" w:hAnsi="Times New Roman" w:cs="Times New Roman"/>
                <w:b/>
                <w:color w:val="1F497D" w:themeColor="text2"/>
                <w:sz w:val="24"/>
              </w:rPr>
              <w:t xml:space="preserve"> of </w:t>
            </w:r>
            <w:r w:rsidR="00655220">
              <w:rPr>
                <w:rFonts w:ascii="Times New Roman" w:hAnsi="Times New Roman" w:cs="Times New Roman"/>
                <w:b/>
                <w:color w:val="1F497D" w:themeColor="text2"/>
                <w:sz w:val="24"/>
              </w:rPr>
              <w:t xml:space="preserve">oropharyngeal </w:t>
            </w:r>
            <w:r>
              <w:rPr>
                <w:rFonts w:ascii="Times New Roman" w:hAnsi="Times New Roman" w:cs="Times New Roman"/>
                <w:b/>
                <w:color w:val="1F497D" w:themeColor="text2"/>
                <w:sz w:val="24"/>
              </w:rPr>
              <w:t xml:space="preserve">cancer, </w:t>
            </w:r>
            <w:r w:rsidR="00746B3D">
              <w:rPr>
                <w:rFonts w:ascii="Times New Roman" w:hAnsi="Times New Roman" w:cs="Times New Roman"/>
                <w:b/>
                <w:color w:val="1F497D" w:themeColor="text2"/>
                <w:sz w:val="24"/>
              </w:rPr>
              <w:t>Massachusetts</w:t>
            </w:r>
          </w:p>
        </w:tc>
      </w:tr>
      <w:tr w:rsidR="00B50ED9" w:rsidRPr="00902D3A" w:rsidTr="006F39B7">
        <w:trPr>
          <w:trHeight w:val="3905"/>
          <w:jc w:val="center"/>
        </w:trPr>
        <w:tc>
          <w:tcPr>
            <w:tcW w:w="10440" w:type="dxa"/>
            <w:gridSpan w:val="7"/>
            <w:tcBorders>
              <w:bottom w:val="single" w:sz="4" w:space="0" w:color="auto"/>
            </w:tcBorders>
            <w:vAlign w:val="center"/>
          </w:tcPr>
          <w:p w:rsidR="00B50ED9" w:rsidRDefault="00655220" w:rsidP="0090233B">
            <w:pPr>
              <w:jc w:val="center"/>
              <w:rPr>
                <w:noProof/>
              </w:rPr>
            </w:pPr>
            <w:r>
              <w:rPr>
                <w:noProof/>
              </w:rPr>
              <w:drawing>
                <wp:inline distT="0" distB="0" distL="0" distR="0" wp14:anchorId="2A566F43" wp14:editId="50F724AC">
                  <wp:extent cx="4572000" cy="2743200"/>
                  <wp:effectExtent l="0" t="0" r="0" b="0"/>
                  <wp:docPr id="2" name="Chart 2" descr="The incidence rate among males is highest among men in their 60s while the incidence rate among females is highest among women in their 70s. The morality rates for males and females increase wtih age. Data are from the Massachusetts cancer registry and Massachusetts registry of vital records and statistics. " title="Figure 2. Age-specific incidence and mortality rates of oropharyngeal cancer in Massachusetts 2004-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6F39B7" w:rsidRPr="00902D3A" w:rsidTr="006F39B7">
        <w:trPr>
          <w:trHeight w:val="233"/>
          <w:jc w:val="center"/>
        </w:trPr>
        <w:tc>
          <w:tcPr>
            <w:tcW w:w="1906" w:type="dxa"/>
            <w:tcBorders>
              <w:bottom w:val="nil"/>
              <w:right w:val="nil"/>
            </w:tcBorders>
            <w:vAlign w:val="center"/>
          </w:tcPr>
          <w:p w:rsidR="006F39B7" w:rsidRPr="00BC437D" w:rsidRDefault="006F39B7" w:rsidP="0090233B">
            <w:pPr>
              <w:rPr>
                <w:rFonts w:ascii="Times New Roman" w:hAnsi="Times New Roman" w:cs="Times New Roman"/>
                <w:b/>
                <w:color w:val="1F497D" w:themeColor="text2"/>
                <w:sz w:val="20"/>
              </w:rPr>
            </w:pPr>
          </w:p>
        </w:tc>
        <w:tc>
          <w:tcPr>
            <w:tcW w:w="8534" w:type="dxa"/>
            <w:gridSpan w:val="6"/>
            <w:tcBorders>
              <w:left w:val="nil"/>
              <w:bottom w:val="nil"/>
            </w:tcBorders>
            <w:vAlign w:val="center"/>
          </w:tcPr>
          <w:p w:rsidR="006F39B7" w:rsidRDefault="006F39B7" w:rsidP="0090233B">
            <w:pPr>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Age Group (Years)</w:t>
            </w:r>
          </w:p>
        </w:tc>
      </w:tr>
      <w:tr w:rsidR="00565CEB" w:rsidRPr="00902D3A" w:rsidTr="006F39B7">
        <w:trPr>
          <w:trHeight w:val="350"/>
          <w:jc w:val="center"/>
        </w:trPr>
        <w:tc>
          <w:tcPr>
            <w:tcW w:w="1906" w:type="dxa"/>
            <w:tcBorders>
              <w:top w:val="nil"/>
              <w:bottom w:val="single" w:sz="4" w:space="0" w:color="auto"/>
              <w:right w:val="nil"/>
            </w:tcBorders>
            <w:vAlign w:val="center"/>
          </w:tcPr>
          <w:p w:rsidR="00565CEB" w:rsidRPr="00BC437D" w:rsidRDefault="00565CEB" w:rsidP="0090233B">
            <w:pPr>
              <w:rPr>
                <w:rFonts w:ascii="Times New Roman" w:hAnsi="Times New Roman" w:cs="Times New Roman"/>
                <w:b/>
                <w:color w:val="1F497D" w:themeColor="text2"/>
                <w:sz w:val="20"/>
              </w:rPr>
            </w:pPr>
          </w:p>
        </w:tc>
        <w:tc>
          <w:tcPr>
            <w:tcW w:w="1422" w:type="dxa"/>
            <w:tcBorders>
              <w:top w:val="nil"/>
              <w:left w:val="nil"/>
              <w:bottom w:val="single" w:sz="4" w:space="0" w:color="auto"/>
              <w:right w:val="nil"/>
            </w:tcBorders>
            <w:vAlign w:val="center"/>
          </w:tcPr>
          <w:p w:rsidR="00565CEB" w:rsidRPr="00BC437D" w:rsidRDefault="00565CEB" w:rsidP="0090233B">
            <w:pPr>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30-39</w:t>
            </w:r>
          </w:p>
        </w:tc>
        <w:tc>
          <w:tcPr>
            <w:tcW w:w="1422" w:type="dxa"/>
            <w:tcBorders>
              <w:top w:val="nil"/>
              <w:left w:val="nil"/>
              <w:bottom w:val="single" w:sz="4" w:space="0" w:color="auto"/>
              <w:right w:val="nil"/>
            </w:tcBorders>
            <w:vAlign w:val="center"/>
          </w:tcPr>
          <w:p w:rsidR="00565CEB" w:rsidRPr="00BC437D" w:rsidRDefault="00565CEB" w:rsidP="0090233B">
            <w:pPr>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40-49</w:t>
            </w:r>
          </w:p>
        </w:tc>
        <w:tc>
          <w:tcPr>
            <w:tcW w:w="1423" w:type="dxa"/>
            <w:tcBorders>
              <w:top w:val="nil"/>
              <w:left w:val="nil"/>
              <w:bottom w:val="single" w:sz="4" w:space="0" w:color="auto"/>
              <w:right w:val="nil"/>
            </w:tcBorders>
            <w:vAlign w:val="center"/>
          </w:tcPr>
          <w:p w:rsidR="00565CEB" w:rsidRPr="00BC437D" w:rsidRDefault="00565CEB" w:rsidP="0090233B">
            <w:pPr>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50-59</w:t>
            </w:r>
          </w:p>
        </w:tc>
        <w:tc>
          <w:tcPr>
            <w:tcW w:w="1422" w:type="dxa"/>
            <w:tcBorders>
              <w:top w:val="nil"/>
              <w:left w:val="nil"/>
              <w:bottom w:val="single" w:sz="4" w:space="0" w:color="auto"/>
              <w:right w:val="nil"/>
            </w:tcBorders>
            <w:vAlign w:val="center"/>
          </w:tcPr>
          <w:p w:rsidR="00565CEB" w:rsidRPr="00BC437D" w:rsidRDefault="00565CEB" w:rsidP="0090233B">
            <w:pPr>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60-69</w:t>
            </w:r>
          </w:p>
        </w:tc>
        <w:tc>
          <w:tcPr>
            <w:tcW w:w="1422" w:type="dxa"/>
            <w:tcBorders>
              <w:top w:val="nil"/>
              <w:left w:val="nil"/>
              <w:bottom w:val="single" w:sz="4" w:space="0" w:color="auto"/>
              <w:right w:val="nil"/>
            </w:tcBorders>
            <w:vAlign w:val="center"/>
          </w:tcPr>
          <w:p w:rsidR="00565CEB" w:rsidRPr="00BC437D" w:rsidRDefault="00565CEB" w:rsidP="0090233B">
            <w:pPr>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70-79</w:t>
            </w:r>
          </w:p>
        </w:tc>
        <w:tc>
          <w:tcPr>
            <w:tcW w:w="1423" w:type="dxa"/>
            <w:tcBorders>
              <w:top w:val="nil"/>
              <w:left w:val="nil"/>
              <w:bottom w:val="single" w:sz="4" w:space="0" w:color="auto"/>
            </w:tcBorders>
            <w:vAlign w:val="center"/>
          </w:tcPr>
          <w:p w:rsidR="00565CEB" w:rsidRPr="00BC437D" w:rsidRDefault="00565CEB" w:rsidP="0090233B">
            <w:pPr>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80+</w:t>
            </w:r>
          </w:p>
        </w:tc>
      </w:tr>
      <w:tr w:rsidR="00565CEB" w:rsidRPr="008358B2" w:rsidTr="00565CEB">
        <w:trPr>
          <w:trHeight w:val="260"/>
          <w:jc w:val="center"/>
        </w:trPr>
        <w:tc>
          <w:tcPr>
            <w:tcW w:w="1906" w:type="dxa"/>
            <w:tcBorders>
              <w:top w:val="single" w:sz="4" w:space="0" w:color="auto"/>
              <w:bottom w:val="nil"/>
              <w:right w:val="nil"/>
            </w:tcBorders>
            <w:vAlign w:val="center"/>
          </w:tcPr>
          <w:p w:rsidR="00565CEB" w:rsidRPr="00BC437D" w:rsidRDefault="00565CEB" w:rsidP="0090233B">
            <w:pPr>
              <w:rPr>
                <w:rFonts w:ascii="Times New Roman" w:hAnsi="Times New Roman" w:cs="Times New Roman"/>
                <w:sz w:val="20"/>
              </w:rPr>
            </w:pPr>
            <w:r>
              <w:rPr>
                <w:rFonts w:ascii="Times New Roman" w:hAnsi="Times New Roman" w:cs="Times New Roman"/>
                <w:sz w:val="20"/>
              </w:rPr>
              <w:t>Incidence, male</w:t>
            </w:r>
          </w:p>
        </w:tc>
        <w:tc>
          <w:tcPr>
            <w:tcW w:w="1422" w:type="dxa"/>
            <w:tcBorders>
              <w:top w:val="single" w:sz="4" w:space="0" w:color="auto"/>
              <w:left w:val="nil"/>
              <w:bottom w:val="nil"/>
              <w:right w:val="nil"/>
            </w:tcBorders>
            <w:vAlign w:val="center"/>
          </w:tcPr>
          <w:p w:rsidR="00565CEB" w:rsidRPr="00BC437D" w:rsidRDefault="00565CEB" w:rsidP="0090233B">
            <w:pPr>
              <w:tabs>
                <w:tab w:val="left" w:pos="0"/>
              </w:tabs>
              <w:jc w:val="center"/>
              <w:rPr>
                <w:rFonts w:ascii="Times New Roman" w:hAnsi="Times New Roman" w:cs="Times New Roman"/>
                <w:sz w:val="20"/>
              </w:rPr>
            </w:pPr>
            <w:r>
              <w:rPr>
                <w:rFonts w:ascii="Times New Roman" w:hAnsi="Times New Roman" w:cs="Times New Roman"/>
                <w:sz w:val="20"/>
              </w:rPr>
              <w:t>0.71</w:t>
            </w:r>
          </w:p>
        </w:tc>
        <w:tc>
          <w:tcPr>
            <w:tcW w:w="1422" w:type="dxa"/>
            <w:tcBorders>
              <w:top w:val="single" w:sz="4" w:space="0" w:color="auto"/>
              <w:left w:val="nil"/>
              <w:bottom w:val="nil"/>
              <w:right w:val="nil"/>
            </w:tcBorders>
            <w:vAlign w:val="center"/>
          </w:tcPr>
          <w:p w:rsidR="00565CEB" w:rsidRPr="00BC437D" w:rsidRDefault="00565CEB" w:rsidP="0090233B">
            <w:pPr>
              <w:tabs>
                <w:tab w:val="left" w:pos="0"/>
              </w:tabs>
              <w:jc w:val="center"/>
              <w:rPr>
                <w:rFonts w:ascii="Times New Roman" w:hAnsi="Times New Roman" w:cs="Times New Roman"/>
                <w:sz w:val="20"/>
              </w:rPr>
            </w:pPr>
            <w:r>
              <w:rPr>
                <w:rFonts w:ascii="Times New Roman" w:hAnsi="Times New Roman" w:cs="Times New Roman"/>
                <w:sz w:val="20"/>
              </w:rPr>
              <w:t>7.80</w:t>
            </w:r>
          </w:p>
        </w:tc>
        <w:tc>
          <w:tcPr>
            <w:tcW w:w="1423" w:type="dxa"/>
            <w:tcBorders>
              <w:top w:val="single" w:sz="4" w:space="0" w:color="auto"/>
              <w:left w:val="nil"/>
              <w:bottom w:val="nil"/>
              <w:right w:val="nil"/>
            </w:tcBorders>
            <w:vAlign w:val="center"/>
          </w:tcPr>
          <w:p w:rsidR="00565CEB" w:rsidRPr="00BC437D" w:rsidRDefault="00565CEB" w:rsidP="00565CEB">
            <w:pPr>
              <w:tabs>
                <w:tab w:val="left" w:pos="0"/>
              </w:tabs>
              <w:jc w:val="center"/>
              <w:rPr>
                <w:rFonts w:ascii="Times New Roman" w:hAnsi="Times New Roman" w:cs="Times New Roman"/>
                <w:sz w:val="20"/>
              </w:rPr>
            </w:pPr>
            <w:r>
              <w:rPr>
                <w:rFonts w:ascii="Times New Roman" w:hAnsi="Times New Roman" w:cs="Times New Roman"/>
                <w:sz w:val="20"/>
              </w:rPr>
              <w:t>23.18</w:t>
            </w:r>
          </w:p>
        </w:tc>
        <w:tc>
          <w:tcPr>
            <w:tcW w:w="1422" w:type="dxa"/>
            <w:tcBorders>
              <w:top w:val="single" w:sz="4" w:space="0" w:color="auto"/>
              <w:left w:val="nil"/>
              <w:bottom w:val="nil"/>
              <w:right w:val="nil"/>
            </w:tcBorders>
            <w:vAlign w:val="center"/>
          </w:tcPr>
          <w:p w:rsidR="00565CEB" w:rsidRPr="00BC437D" w:rsidRDefault="00565CEB" w:rsidP="0090233B">
            <w:pPr>
              <w:tabs>
                <w:tab w:val="left" w:pos="0"/>
              </w:tabs>
              <w:jc w:val="center"/>
              <w:rPr>
                <w:rFonts w:ascii="Times New Roman" w:hAnsi="Times New Roman" w:cs="Times New Roman"/>
                <w:sz w:val="20"/>
              </w:rPr>
            </w:pPr>
            <w:r>
              <w:rPr>
                <w:rFonts w:ascii="Times New Roman" w:hAnsi="Times New Roman" w:cs="Times New Roman"/>
                <w:sz w:val="20"/>
              </w:rPr>
              <w:t>30.16</w:t>
            </w:r>
          </w:p>
        </w:tc>
        <w:tc>
          <w:tcPr>
            <w:tcW w:w="1422" w:type="dxa"/>
            <w:tcBorders>
              <w:top w:val="single" w:sz="4" w:space="0" w:color="auto"/>
              <w:left w:val="nil"/>
              <w:bottom w:val="nil"/>
              <w:right w:val="nil"/>
            </w:tcBorders>
            <w:vAlign w:val="center"/>
          </w:tcPr>
          <w:p w:rsidR="00565CEB" w:rsidRPr="00BC437D" w:rsidRDefault="00565CEB" w:rsidP="0090233B">
            <w:pPr>
              <w:tabs>
                <w:tab w:val="left" w:pos="0"/>
              </w:tabs>
              <w:jc w:val="center"/>
              <w:rPr>
                <w:rFonts w:ascii="Times New Roman" w:hAnsi="Times New Roman" w:cs="Times New Roman"/>
                <w:sz w:val="20"/>
              </w:rPr>
            </w:pPr>
            <w:r>
              <w:rPr>
                <w:rFonts w:ascii="Times New Roman" w:hAnsi="Times New Roman" w:cs="Times New Roman"/>
                <w:sz w:val="20"/>
              </w:rPr>
              <w:t>24.71</w:t>
            </w:r>
          </w:p>
        </w:tc>
        <w:tc>
          <w:tcPr>
            <w:tcW w:w="1423" w:type="dxa"/>
            <w:tcBorders>
              <w:top w:val="single" w:sz="4" w:space="0" w:color="auto"/>
              <w:left w:val="nil"/>
              <w:bottom w:val="nil"/>
            </w:tcBorders>
            <w:vAlign w:val="center"/>
          </w:tcPr>
          <w:p w:rsidR="00565CEB" w:rsidRPr="00BC437D" w:rsidRDefault="00565CEB" w:rsidP="0090233B">
            <w:pPr>
              <w:tabs>
                <w:tab w:val="left" w:pos="0"/>
              </w:tabs>
              <w:jc w:val="center"/>
              <w:rPr>
                <w:rFonts w:ascii="Times New Roman" w:hAnsi="Times New Roman" w:cs="Times New Roman"/>
                <w:sz w:val="20"/>
              </w:rPr>
            </w:pPr>
            <w:r>
              <w:rPr>
                <w:rFonts w:ascii="Times New Roman" w:hAnsi="Times New Roman" w:cs="Times New Roman"/>
                <w:sz w:val="20"/>
              </w:rPr>
              <w:t>14.57</w:t>
            </w:r>
          </w:p>
        </w:tc>
      </w:tr>
      <w:tr w:rsidR="00565CEB" w:rsidRPr="008358B2" w:rsidTr="00565CEB">
        <w:trPr>
          <w:trHeight w:val="260"/>
          <w:jc w:val="center"/>
        </w:trPr>
        <w:tc>
          <w:tcPr>
            <w:tcW w:w="1906" w:type="dxa"/>
            <w:tcBorders>
              <w:top w:val="nil"/>
              <w:bottom w:val="nil"/>
              <w:right w:val="nil"/>
            </w:tcBorders>
            <w:vAlign w:val="center"/>
          </w:tcPr>
          <w:p w:rsidR="00565CEB" w:rsidRDefault="00565CEB" w:rsidP="0090233B">
            <w:pPr>
              <w:rPr>
                <w:rFonts w:ascii="Times New Roman" w:hAnsi="Times New Roman" w:cs="Times New Roman"/>
                <w:sz w:val="20"/>
              </w:rPr>
            </w:pPr>
            <w:r>
              <w:rPr>
                <w:rFonts w:ascii="Times New Roman" w:hAnsi="Times New Roman" w:cs="Times New Roman"/>
                <w:sz w:val="20"/>
              </w:rPr>
              <w:t>Incidence, female</w:t>
            </w:r>
          </w:p>
        </w:tc>
        <w:tc>
          <w:tcPr>
            <w:tcW w:w="1422" w:type="dxa"/>
            <w:tcBorders>
              <w:top w:val="nil"/>
              <w:left w:val="nil"/>
              <w:bottom w:val="nil"/>
              <w:right w:val="nil"/>
            </w:tcBorders>
            <w:vAlign w:val="center"/>
          </w:tcPr>
          <w:p w:rsidR="00565CEB" w:rsidRPr="00BC437D" w:rsidRDefault="00565CEB" w:rsidP="0090233B">
            <w:pPr>
              <w:tabs>
                <w:tab w:val="left" w:pos="0"/>
              </w:tabs>
              <w:jc w:val="center"/>
              <w:rPr>
                <w:rFonts w:ascii="Times New Roman" w:hAnsi="Times New Roman" w:cs="Times New Roman"/>
                <w:sz w:val="20"/>
              </w:rPr>
            </w:pPr>
            <w:r>
              <w:rPr>
                <w:rFonts w:ascii="Times New Roman" w:hAnsi="Times New Roman" w:cs="Times New Roman"/>
                <w:sz w:val="20"/>
              </w:rPr>
              <w:t>0.31</w:t>
            </w:r>
          </w:p>
        </w:tc>
        <w:tc>
          <w:tcPr>
            <w:tcW w:w="1422" w:type="dxa"/>
            <w:tcBorders>
              <w:top w:val="nil"/>
              <w:left w:val="nil"/>
              <w:bottom w:val="nil"/>
              <w:right w:val="nil"/>
            </w:tcBorders>
            <w:vAlign w:val="center"/>
          </w:tcPr>
          <w:p w:rsidR="00565CEB" w:rsidRPr="00BC437D" w:rsidRDefault="00565CEB" w:rsidP="0090233B">
            <w:pPr>
              <w:tabs>
                <w:tab w:val="left" w:pos="0"/>
              </w:tabs>
              <w:jc w:val="center"/>
              <w:rPr>
                <w:rFonts w:ascii="Times New Roman" w:hAnsi="Times New Roman" w:cs="Times New Roman"/>
                <w:sz w:val="20"/>
              </w:rPr>
            </w:pPr>
            <w:r>
              <w:rPr>
                <w:rFonts w:ascii="Times New Roman" w:hAnsi="Times New Roman" w:cs="Times New Roman"/>
                <w:sz w:val="20"/>
              </w:rPr>
              <w:t>1.25</w:t>
            </w:r>
          </w:p>
        </w:tc>
        <w:tc>
          <w:tcPr>
            <w:tcW w:w="1423" w:type="dxa"/>
            <w:tcBorders>
              <w:top w:val="nil"/>
              <w:left w:val="nil"/>
              <w:bottom w:val="nil"/>
              <w:right w:val="nil"/>
            </w:tcBorders>
            <w:vAlign w:val="center"/>
          </w:tcPr>
          <w:p w:rsidR="00565CEB" w:rsidRPr="00BC437D" w:rsidRDefault="00565CEB" w:rsidP="0090233B">
            <w:pPr>
              <w:tabs>
                <w:tab w:val="left" w:pos="0"/>
              </w:tabs>
              <w:jc w:val="center"/>
              <w:rPr>
                <w:rFonts w:ascii="Times New Roman" w:hAnsi="Times New Roman" w:cs="Times New Roman"/>
                <w:sz w:val="20"/>
              </w:rPr>
            </w:pPr>
            <w:r>
              <w:rPr>
                <w:rFonts w:ascii="Times New Roman" w:hAnsi="Times New Roman" w:cs="Times New Roman"/>
                <w:sz w:val="20"/>
              </w:rPr>
              <w:t>4.79</w:t>
            </w:r>
          </w:p>
        </w:tc>
        <w:tc>
          <w:tcPr>
            <w:tcW w:w="1422" w:type="dxa"/>
            <w:tcBorders>
              <w:top w:val="nil"/>
              <w:left w:val="nil"/>
              <w:bottom w:val="nil"/>
              <w:right w:val="nil"/>
            </w:tcBorders>
            <w:vAlign w:val="center"/>
          </w:tcPr>
          <w:p w:rsidR="00565CEB" w:rsidRPr="00BC437D" w:rsidRDefault="00565CEB" w:rsidP="0090233B">
            <w:pPr>
              <w:tabs>
                <w:tab w:val="left" w:pos="0"/>
              </w:tabs>
              <w:jc w:val="center"/>
              <w:rPr>
                <w:rFonts w:ascii="Times New Roman" w:hAnsi="Times New Roman" w:cs="Times New Roman"/>
                <w:sz w:val="20"/>
              </w:rPr>
            </w:pPr>
            <w:r>
              <w:rPr>
                <w:rFonts w:ascii="Times New Roman" w:hAnsi="Times New Roman" w:cs="Times New Roman"/>
                <w:sz w:val="20"/>
              </w:rPr>
              <w:t>7.18</w:t>
            </w:r>
          </w:p>
        </w:tc>
        <w:tc>
          <w:tcPr>
            <w:tcW w:w="1422" w:type="dxa"/>
            <w:tcBorders>
              <w:top w:val="nil"/>
              <w:left w:val="nil"/>
              <w:bottom w:val="nil"/>
              <w:right w:val="nil"/>
            </w:tcBorders>
            <w:vAlign w:val="center"/>
          </w:tcPr>
          <w:p w:rsidR="00565CEB" w:rsidRPr="00BC437D" w:rsidRDefault="00565CEB" w:rsidP="0090233B">
            <w:pPr>
              <w:tabs>
                <w:tab w:val="left" w:pos="0"/>
              </w:tabs>
              <w:jc w:val="center"/>
              <w:rPr>
                <w:rFonts w:ascii="Times New Roman" w:hAnsi="Times New Roman" w:cs="Times New Roman"/>
                <w:sz w:val="20"/>
              </w:rPr>
            </w:pPr>
            <w:r>
              <w:rPr>
                <w:rFonts w:ascii="Times New Roman" w:hAnsi="Times New Roman" w:cs="Times New Roman"/>
                <w:sz w:val="20"/>
              </w:rPr>
              <w:t>8.24</w:t>
            </w:r>
          </w:p>
        </w:tc>
        <w:tc>
          <w:tcPr>
            <w:tcW w:w="1423" w:type="dxa"/>
            <w:tcBorders>
              <w:top w:val="nil"/>
              <w:left w:val="nil"/>
              <w:bottom w:val="nil"/>
            </w:tcBorders>
            <w:vAlign w:val="center"/>
          </w:tcPr>
          <w:p w:rsidR="00565CEB" w:rsidRPr="00BC437D" w:rsidRDefault="00565CEB" w:rsidP="0090233B">
            <w:pPr>
              <w:tabs>
                <w:tab w:val="left" w:pos="0"/>
              </w:tabs>
              <w:jc w:val="center"/>
              <w:rPr>
                <w:rFonts w:ascii="Times New Roman" w:hAnsi="Times New Roman" w:cs="Times New Roman"/>
                <w:sz w:val="20"/>
              </w:rPr>
            </w:pPr>
            <w:r>
              <w:rPr>
                <w:rFonts w:ascii="Times New Roman" w:hAnsi="Times New Roman" w:cs="Times New Roman"/>
                <w:sz w:val="20"/>
              </w:rPr>
              <w:t>4.44</w:t>
            </w:r>
          </w:p>
        </w:tc>
      </w:tr>
      <w:tr w:rsidR="00565CEB" w:rsidRPr="008358B2" w:rsidTr="00565CEB">
        <w:trPr>
          <w:trHeight w:val="260"/>
          <w:jc w:val="center"/>
        </w:trPr>
        <w:tc>
          <w:tcPr>
            <w:tcW w:w="1906" w:type="dxa"/>
            <w:tcBorders>
              <w:top w:val="nil"/>
              <w:bottom w:val="nil"/>
              <w:right w:val="nil"/>
            </w:tcBorders>
            <w:vAlign w:val="center"/>
          </w:tcPr>
          <w:p w:rsidR="00565CEB" w:rsidRDefault="00565CEB" w:rsidP="0090233B">
            <w:pPr>
              <w:rPr>
                <w:rFonts w:ascii="Times New Roman" w:hAnsi="Times New Roman" w:cs="Times New Roman"/>
                <w:sz w:val="20"/>
              </w:rPr>
            </w:pPr>
            <w:r>
              <w:rPr>
                <w:rFonts w:ascii="Times New Roman" w:hAnsi="Times New Roman" w:cs="Times New Roman"/>
                <w:sz w:val="20"/>
              </w:rPr>
              <w:t>Mortality, male</w:t>
            </w:r>
          </w:p>
        </w:tc>
        <w:tc>
          <w:tcPr>
            <w:tcW w:w="1422" w:type="dxa"/>
            <w:tcBorders>
              <w:top w:val="nil"/>
              <w:left w:val="nil"/>
              <w:bottom w:val="nil"/>
              <w:right w:val="nil"/>
            </w:tcBorders>
            <w:vAlign w:val="center"/>
          </w:tcPr>
          <w:p w:rsidR="00565CEB" w:rsidRPr="00BC437D" w:rsidRDefault="00565CEB" w:rsidP="0090233B">
            <w:pPr>
              <w:tabs>
                <w:tab w:val="left" w:pos="0"/>
              </w:tabs>
              <w:jc w:val="center"/>
              <w:rPr>
                <w:rFonts w:ascii="Times New Roman" w:hAnsi="Times New Roman" w:cs="Times New Roman"/>
                <w:sz w:val="20"/>
              </w:rPr>
            </w:pPr>
            <w:r>
              <w:rPr>
                <w:rFonts w:ascii="Times New Roman" w:hAnsi="Times New Roman" w:cs="Times New Roman"/>
                <w:sz w:val="20"/>
              </w:rPr>
              <w:t>-</w:t>
            </w:r>
          </w:p>
        </w:tc>
        <w:tc>
          <w:tcPr>
            <w:tcW w:w="1422" w:type="dxa"/>
            <w:tcBorders>
              <w:top w:val="nil"/>
              <w:left w:val="nil"/>
              <w:bottom w:val="nil"/>
              <w:right w:val="nil"/>
            </w:tcBorders>
            <w:vAlign w:val="center"/>
          </w:tcPr>
          <w:p w:rsidR="00565CEB" w:rsidRPr="00BC437D" w:rsidRDefault="00565CEB" w:rsidP="0090233B">
            <w:pPr>
              <w:tabs>
                <w:tab w:val="left" w:pos="0"/>
              </w:tabs>
              <w:jc w:val="center"/>
              <w:rPr>
                <w:rFonts w:ascii="Times New Roman" w:hAnsi="Times New Roman" w:cs="Times New Roman"/>
                <w:sz w:val="20"/>
              </w:rPr>
            </w:pPr>
            <w:r>
              <w:rPr>
                <w:rFonts w:ascii="Times New Roman" w:hAnsi="Times New Roman" w:cs="Times New Roman"/>
                <w:sz w:val="20"/>
              </w:rPr>
              <w:t>0.93</w:t>
            </w:r>
          </w:p>
        </w:tc>
        <w:tc>
          <w:tcPr>
            <w:tcW w:w="1423" w:type="dxa"/>
            <w:tcBorders>
              <w:top w:val="nil"/>
              <w:left w:val="nil"/>
              <w:bottom w:val="nil"/>
              <w:right w:val="nil"/>
            </w:tcBorders>
            <w:vAlign w:val="center"/>
          </w:tcPr>
          <w:p w:rsidR="00565CEB" w:rsidRPr="00BC437D" w:rsidRDefault="00565CEB" w:rsidP="0090233B">
            <w:pPr>
              <w:tabs>
                <w:tab w:val="left" w:pos="0"/>
              </w:tabs>
              <w:jc w:val="center"/>
              <w:rPr>
                <w:rFonts w:ascii="Times New Roman" w:hAnsi="Times New Roman" w:cs="Times New Roman"/>
                <w:sz w:val="20"/>
              </w:rPr>
            </w:pPr>
            <w:r>
              <w:rPr>
                <w:rFonts w:ascii="Times New Roman" w:hAnsi="Times New Roman" w:cs="Times New Roman"/>
                <w:sz w:val="20"/>
              </w:rPr>
              <w:t>4.51</w:t>
            </w:r>
          </w:p>
        </w:tc>
        <w:tc>
          <w:tcPr>
            <w:tcW w:w="1422" w:type="dxa"/>
            <w:tcBorders>
              <w:top w:val="nil"/>
              <w:left w:val="nil"/>
              <w:bottom w:val="nil"/>
              <w:right w:val="nil"/>
            </w:tcBorders>
            <w:vAlign w:val="center"/>
          </w:tcPr>
          <w:p w:rsidR="00565CEB" w:rsidRPr="00BC437D" w:rsidRDefault="00565CEB" w:rsidP="0090233B">
            <w:pPr>
              <w:tabs>
                <w:tab w:val="left" w:pos="0"/>
              </w:tabs>
              <w:jc w:val="center"/>
              <w:rPr>
                <w:rFonts w:ascii="Times New Roman" w:hAnsi="Times New Roman" w:cs="Times New Roman"/>
                <w:sz w:val="20"/>
              </w:rPr>
            </w:pPr>
            <w:r>
              <w:rPr>
                <w:rFonts w:ascii="Times New Roman" w:hAnsi="Times New Roman" w:cs="Times New Roman"/>
                <w:sz w:val="20"/>
              </w:rPr>
              <w:t>8.64</w:t>
            </w:r>
          </w:p>
        </w:tc>
        <w:tc>
          <w:tcPr>
            <w:tcW w:w="1422" w:type="dxa"/>
            <w:tcBorders>
              <w:top w:val="nil"/>
              <w:left w:val="nil"/>
              <w:bottom w:val="nil"/>
              <w:right w:val="nil"/>
            </w:tcBorders>
            <w:vAlign w:val="center"/>
          </w:tcPr>
          <w:p w:rsidR="00565CEB" w:rsidRPr="00BC437D" w:rsidRDefault="00565CEB" w:rsidP="0090233B">
            <w:pPr>
              <w:tabs>
                <w:tab w:val="left" w:pos="0"/>
              </w:tabs>
              <w:jc w:val="center"/>
              <w:rPr>
                <w:rFonts w:ascii="Times New Roman" w:hAnsi="Times New Roman" w:cs="Times New Roman"/>
                <w:sz w:val="20"/>
              </w:rPr>
            </w:pPr>
            <w:r>
              <w:rPr>
                <w:rFonts w:ascii="Times New Roman" w:hAnsi="Times New Roman" w:cs="Times New Roman"/>
                <w:sz w:val="20"/>
              </w:rPr>
              <w:t>11.79</w:t>
            </w:r>
          </w:p>
        </w:tc>
        <w:tc>
          <w:tcPr>
            <w:tcW w:w="1423" w:type="dxa"/>
            <w:tcBorders>
              <w:top w:val="nil"/>
              <w:left w:val="nil"/>
              <w:bottom w:val="nil"/>
            </w:tcBorders>
            <w:vAlign w:val="center"/>
          </w:tcPr>
          <w:p w:rsidR="00565CEB" w:rsidRPr="00BC437D" w:rsidRDefault="00565CEB" w:rsidP="0090233B">
            <w:pPr>
              <w:tabs>
                <w:tab w:val="left" w:pos="0"/>
              </w:tabs>
              <w:jc w:val="center"/>
              <w:rPr>
                <w:rFonts w:ascii="Times New Roman" w:hAnsi="Times New Roman" w:cs="Times New Roman"/>
                <w:sz w:val="20"/>
              </w:rPr>
            </w:pPr>
            <w:r>
              <w:rPr>
                <w:rFonts w:ascii="Times New Roman" w:hAnsi="Times New Roman" w:cs="Times New Roman"/>
                <w:sz w:val="20"/>
              </w:rPr>
              <w:t>11.96</w:t>
            </w:r>
          </w:p>
        </w:tc>
      </w:tr>
      <w:tr w:rsidR="00565CEB" w:rsidRPr="008358B2" w:rsidTr="00565CEB">
        <w:trPr>
          <w:trHeight w:val="270"/>
          <w:jc w:val="center"/>
        </w:trPr>
        <w:tc>
          <w:tcPr>
            <w:tcW w:w="1906" w:type="dxa"/>
            <w:tcBorders>
              <w:top w:val="nil"/>
              <w:bottom w:val="nil"/>
              <w:right w:val="nil"/>
            </w:tcBorders>
            <w:vAlign w:val="center"/>
          </w:tcPr>
          <w:p w:rsidR="00565CEB" w:rsidRDefault="00565CEB" w:rsidP="0090233B">
            <w:pPr>
              <w:rPr>
                <w:rFonts w:ascii="Times New Roman" w:hAnsi="Times New Roman" w:cs="Times New Roman"/>
                <w:sz w:val="20"/>
              </w:rPr>
            </w:pPr>
            <w:r>
              <w:rPr>
                <w:rFonts w:ascii="Times New Roman" w:hAnsi="Times New Roman" w:cs="Times New Roman"/>
                <w:sz w:val="20"/>
              </w:rPr>
              <w:t>Mortality, female</w:t>
            </w:r>
          </w:p>
        </w:tc>
        <w:tc>
          <w:tcPr>
            <w:tcW w:w="1422" w:type="dxa"/>
            <w:tcBorders>
              <w:top w:val="nil"/>
              <w:left w:val="nil"/>
              <w:bottom w:val="nil"/>
              <w:right w:val="nil"/>
            </w:tcBorders>
            <w:vAlign w:val="center"/>
          </w:tcPr>
          <w:p w:rsidR="00565CEB" w:rsidRPr="00BC437D" w:rsidRDefault="00565CEB" w:rsidP="0090233B">
            <w:pPr>
              <w:tabs>
                <w:tab w:val="left" w:pos="0"/>
              </w:tabs>
              <w:jc w:val="center"/>
              <w:rPr>
                <w:rFonts w:ascii="Times New Roman" w:hAnsi="Times New Roman" w:cs="Times New Roman"/>
                <w:sz w:val="20"/>
              </w:rPr>
            </w:pPr>
            <w:r>
              <w:rPr>
                <w:rFonts w:ascii="Times New Roman" w:hAnsi="Times New Roman" w:cs="Times New Roman"/>
                <w:sz w:val="20"/>
              </w:rPr>
              <w:t>-</w:t>
            </w:r>
          </w:p>
        </w:tc>
        <w:tc>
          <w:tcPr>
            <w:tcW w:w="1422" w:type="dxa"/>
            <w:tcBorders>
              <w:top w:val="nil"/>
              <w:left w:val="nil"/>
              <w:bottom w:val="nil"/>
              <w:right w:val="nil"/>
            </w:tcBorders>
            <w:vAlign w:val="center"/>
          </w:tcPr>
          <w:p w:rsidR="00565CEB" w:rsidRPr="00BC437D" w:rsidRDefault="00565CEB" w:rsidP="0090233B">
            <w:pPr>
              <w:tabs>
                <w:tab w:val="left" w:pos="0"/>
              </w:tabs>
              <w:jc w:val="center"/>
              <w:rPr>
                <w:rFonts w:ascii="Times New Roman" w:hAnsi="Times New Roman" w:cs="Times New Roman"/>
                <w:sz w:val="20"/>
              </w:rPr>
            </w:pPr>
            <w:r>
              <w:rPr>
                <w:rFonts w:ascii="Times New Roman" w:hAnsi="Times New Roman" w:cs="Times New Roman"/>
                <w:sz w:val="20"/>
              </w:rPr>
              <w:t>-</w:t>
            </w:r>
          </w:p>
        </w:tc>
        <w:tc>
          <w:tcPr>
            <w:tcW w:w="1423" w:type="dxa"/>
            <w:tcBorders>
              <w:top w:val="nil"/>
              <w:left w:val="nil"/>
              <w:bottom w:val="nil"/>
              <w:right w:val="nil"/>
            </w:tcBorders>
            <w:vAlign w:val="center"/>
          </w:tcPr>
          <w:p w:rsidR="00565CEB" w:rsidRPr="00BC437D" w:rsidRDefault="00565CEB" w:rsidP="0090233B">
            <w:pPr>
              <w:tabs>
                <w:tab w:val="left" w:pos="0"/>
              </w:tabs>
              <w:jc w:val="center"/>
              <w:rPr>
                <w:rFonts w:ascii="Times New Roman" w:hAnsi="Times New Roman" w:cs="Times New Roman"/>
                <w:sz w:val="20"/>
              </w:rPr>
            </w:pPr>
            <w:r>
              <w:rPr>
                <w:rFonts w:ascii="Times New Roman" w:hAnsi="Times New Roman" w:cs="Times New Roman"/>
                <w:sz w:val="20"/>
              </w:rPr>
              <w:t>0.94</w:t>
            </w:r>
          </w:p>
        </w:tc>
        <w:tc>
          <w:tcPr>
            <w:tcW w:w="1422" w:type="dxa"/>
            <w:tcBorders>
              <w:top w:val="nil"/>
              <w:left w:val="nil"/>
              <w:bottom w:val="nil"/>
              <w:right w:val="nil"/>
            </w:tcBorders>
            <w:vAlign w:val="center"/>
          </w:tcPr>
          <w:p w:rsidR="00565CEB" w:rsidRPr="00BC437D" w:rsidRDefault="00565CEB" w:rsidP="0090233B">
            <w:pPr>
              <w:tabs>
                <w:tab w:val="left" w:pos="0"/>
              </w:tabs>
              <w:jc w:val="center"/>
              <w:rPr>
                <w:rFonts w:ascii="Times New Roman" w:hAnsi="Times New Roman" w:cs="Times New Roman"/>
                <w:sz w:val="20"/>
              </w:rPr>
            </w:pPr>
            <w:r>
              <w:rPr>
                <w:rFonts w:ascii="Times New Roman" w:hAnsi="Times New Roman" w:cs="Times New Roman"/>
                <w:sz w:val="20"/>
              </w:rPr>
              <w:t>2.08</w:t>
            </w:r>
          </w:p>
        </w:tc>
        <w:tc>
          <w:tcPr>
            <w:tcW w:w="1422" w:type="dxa"/>
            <w:tcBorders>
              <w:top w:val="nil"/>
              <w:left w:val="nil"/>
              <w:bottom w:val="nil"/>
              <w:right w:val="nil"/>
            </w:tcBorders>
            <w:vAlign w:val="center"/>
          </w:tcPr>
          <w:p w:rsidR="00565CEB" w:rsidRPr="00BC437D" w:rsidRDefault="00565CEB" w:rsidP="0090233B">
            <w:pPr>
              <w:tabs>
                <w:tab w:val="left" w:pos="0"/>
              </w:tabs>
              <w:jc w:val="center"/>
              <w:rPr>
                <w:rFonts w:ascii="Times New Roman" w:hAnsi="Times New Roman" w:cs="Times New Roman"/>
                <w:sz w:val="20"/>
              </w:rPr>
            </w:pPr>
            <w:r>
              <w:rPr>
                <w:rFonts w:ascii="Times New Roman" w:hAnsi="Times New Roman" w:cs="Times New Roman"/>
                <w:sz w:val="20"/>
              </w:rPr>
              <w:t>4.30</w:t>
            </w:r>
          </w:p>
        </w:tc>
        <w:tc>
          <w:tcPr>
            <w:tcW w:w="1423" w:type="dxa"/>
            <w:tcBorders>
              <w:top w:val="nil"/>
              <w:left w:val="nil"/>
              <w:bottom w:val="nil"/>
            </w:tcBorders>
            <w:vAlign w:val="center"/>
          </w:tcPr>
          <w:p w:rsidR="00565CEB" w:rsidRPr="00BC437D" w:rsidRDefault="00565CEB" w:rsidP="0090233B">
            <w:pPr>
              <w:tabs>
                <w:tab w:val="left" w:pos="0"/>
              </w:tabs>
              <w:jc w:val="center"/>
              <w:rPr>
                <w:rFonts w:ascii="Times New Roman" w:hAnsi="Times New Roman" w:cs="Times New Roman"/>
                <w:sz w:val="20"/>
              </w:rPr>
            </w:pPr>
            <w:r>
              <w:rPr>
                <w:rFonts w:ascii="Times New Roman" w:hAnsi="Times New Roman" w:cs="Times New Roman"/>
                <w:sz w:val="20"/>
              </w:rPr>
              <w:t>6.38</w:t>
            </w:r>
          </w:p>
        </w:tc>
      </w:tr>
      <w:tr w:rsidR="00B50ED9" w:rsidRPr="008358B2" w:rsidTr="00B347BC">
        <w:trPr>
          <w:trHeight w:val="800"/>
          <w:jc w:val="center"/>
        </w:trPr>
        <w:tc>
          <w:tcPr>
            <w:tcW w:w="10440" w:type="dxa"/>
            <w:gridSpan w:val="7"/>
            <w:tcBorders>
              <w:top w:val="single" w:sz="4" w:space="0" w:color="auto"/>
            </w:tcBorders>
            <w:vAlign w:val="center"/>
          </w:tcPr>
          <w:p w:rsidR="00B50ED9" w:rsidRDefault="007B4A1D" w:rsidP="006F39B7">
            <w:pPr>
              <w:rPr>
                <w:rFonts w:ascii="Times New Roman" w:hAnsi="Times New Roman" w:cs="Times New Roman"/>
                <w:sz w:val="20"/>
              </w:rPr>
            </w:pPr>
            <w:r>
              <w:rPr>
                <w:rFonts w:ascii="Times New Roman" w:hAnsi="Times New Roman" w:cs="Times New Roman"/>
                <w:sz w:val="20"/>
              </w:rPr>
              <w:t>^</w:t>
            </w:r>
            <w:r w:rsidR="006F39B7">
              <w:rPr>
                <w:rFonts w:ascii="Times New Roman" w:hAnsi="Times New Roman" w:cs="Times New Roman"/>
                <w:sz w:val="20"/>
              </w:rPr>
              <w:t>per 100,000;</w:t>
            </w:r>
            <w:r w:rsidR="00B50ED9">
              <w:rPr>
                <w:rFonts w:ascii="Times New Roman" w:hAnsi="Times New Roman" w:cs="Times New Roman"/>
                <w:sz w:val="20"/>
              </w:rPr>
              <w:t xml:space="preserve"> cells with fewer than 10 people not shown</w:t>
            </w:r>
            <w:r w:rsidR="006F39B7">
              <w:rPr>
                <w:rFonts w:ascii="Times New Roman" w:hAnsi="Times New Roman" w:cs="Times New Roman"/>
                <w:sz w:val="20"/>
              </w:rPr>
              <w:t>;</w:t>
            </w:r>
            <w:r w:rsidR="00B50ED9">
              <w:rPr>
                <w:rFonts w:ascii="Times New Roman" w:hAnsi="Times New Roman" w:cs="Times New Roman"/>
                <w:sz w:val="20"/>
              </w:rPr>
              <w:t xml:space="preserve"> Data source: Massachusetts Cancer Registry</w:t>
            </w:r>
            <w:r w:rsidR="00EF1739">
              <w:rPr>
                <w:rFonts w:ascii="Times New Roman" w:hAnsi="Times New Roman" w:cs="Times New Roman"/>
                <w:sz w:val="20"/>
              </w:rPr>
              <w:t xml:space="preserve"> and Massachusetts Registry of Vital Records and Statistics</w:t>
            </w:r>
          </w:p>
        </w:tc>
      </w:tr>
    </w:tbl>
    <w:p w:rsidR="00BC437D" w:rsidRDefault="00BC437D" w:rsidP="00FB4794">
      <w:pPr>
        <w:pStyle w:val="ListParagraph"/>
        <w:spacing w:after="0" w:line="240" w:lineRule="auto"/>
        <w:rPr>
          <w:rFonts w:ascii="Times New Roman" w:hAnsi="Times New Roman" w:cs="Times New Roman"/>
          <w:sz w:val="24"/>
        </w:rPr>
      </w:pPr>
    </w:p>
    <w:p w:rsidR="00EF1739" w:rsidRPr="00895185" w:rsidRDefault="00EF1739" w:rsidP="00895185">
      <w:pPr>
        <w:spacing w:after="0" w:line="240" w:lineRule="auto"/>
        <w:rPr>
          <w:rFonts w:ascii="Times New Roman" w:hAnsi="Times New Roman" w:cs="Times New Roman"/>
          <w:sz w:val="24"/>
        </w:rPr>
        <w:sectPr w:rsidR="00EF1739" w:rsidRPr="00895185" w:rsidSect="00B347BC">
          <w:type w:val="continuous"/>
          <w:pgSz w:w="12240" w:h="15840"/>
          <w:pgMar w:top="864" w:right="864" w:bottom="864" w:left="864" w:header="720" w:footer="720" w:gutter="0"/>
          <w:cols w:space="720"/>
          <w:docGrid w:linePitch="360"/>
        </w:sectPr>
      </w:pPr>
    </w:p>
    <w:p w:rsidR="00EF1739" w:rsidRDefault="00EF1739" w:rsidP="00EF1739">
      <w:pPr>
        <w:spacing w:after="0" w:line="240" w:lineRule="auto"/>
        <w:rPr>
          <w:rFonts w:ascii="Times New Roman" w:hAnsi="Times New Roman" w:cs="Times New Roman"/>
          <w:sz w:val="24"/>
        </w:rPr>
        <w:sectPr w:rsidR="00EF1739" w:rsidSect="00F56380">
          <w:type w:val="continuous"/>
          <w:pgSz w:w="12240" w:h="15840"/>
          <w:pgMar w:top="864" w:right="864" w:bottom="864" w:left="864" w:header="720" w:footer="720" w:gutter="0"/>
          <w:cols w:num="2" w:space="288"/>
          <w:docGrid w:linePitch="360"/>
        </w:sectPr>
      </w:pPr>
    </w:p>
    <w:p w:rsidR="00EA63B6" w:rsidRPr="00EA63B6" w:rsidRDefault="00EA63B6" w:rsidP="00EA63B6">
      <w:pPr>
        <w:spacing w:after="0" w:line="240" w:lineRule="auto"/>
        <w:rPr>
          <w:rFonts w:ascii="Times New Roman" w:hAnsi="Times New Roman" w:cs="Times New Roman"/>
          <w:b/>
          <w:sz w:val="24"/>
        </w:rPr>
      </w:pPr>
      <w:r w:rsidRPr="00EA63B6">
        <w:rPr>
          <w:rFonts w:ascii="Times New Roman" w:hAnsi="Times New Roman" w:cs="Times New Roman"/>
          <w:b/>
          <w:sz w:val="24"/>
        </w:rPr>
        <w:t xml:space="preserve">Incidence by age group </w:t>
      </w:r>
    </w:p>
    <w:p w:rsidR="00EA63B6" w:rsidRPr="00EA63B6" w:rsidRDefault="00EA63B6" w:rsidP="00EA63B6">
      <w:pPr>
        <w:spacing w:after="0" w:line="240" w:lineRule="auto"/>
        <w:rPr>
          <w:rFonts w:ascii="Times New Roman" w:hAnsi="Times New Roman" w:cs="Times New Roman"/>
          <w:sz w:val="24"/>
        </w:rPr>
      </w:pPr>
    </w:p>
    <w:p w:rsidR="00EA63B6" w:rsidRDefault="00505331" w:rsidP="00505331">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Among males, t</w:t>
      </w:r>
      <w:r w:rsidRPr="00FB4794">
        <w:rPr>
          <w:rFonts w:ascii="Times New Roman" w:hAnsi="Times New Roman" w:cs="Times New Roman"/>
          <w:sz w:val="24"/>
        </w:rPr>
        <w:t xml:space="preserve">he highest </w:t>
      </w:r>
      <w:r>
        <w:rPr>
          <w:rFonts w:ascii="Times New Roman" w:hAnsi="Times New Roman" w:cs="Times New Roman"/>
          <w:sz w:val="24"/>
        </w:rPr>
        <w:t xml:space="preserve">age-specific </w:t>
      </w:r>
      <w:r w:rsidRPr="00FB4794">
        <w:rPr>
          <w:rFonts w:ascii="Times New Roman" w:hAnsi="Times New Roman" w:cs="Times New Roman"/>
          <w:sz w:val="24"/>
        </w:rPr>
        <w:t>incidence rates</w:t>
      </w:r>
      <w:r>
        <w:rPr>
          <w:rFonts w:ascii="Times New Roman" w:hAnsi="Times New Roman" w:cs="Times New Roman"/>
          <w:sz w:val="24"/>
        </w:rPr>
        <w:t xml:space="preserve"> from 2004-2014</w:t>
      </w:r>
      <w:r w:rsidRPr="00FB4794">
        <w:rPr>
          <w:rFonts w:ascii="Times New Roman" w:hAnsi="Times New Roman" w:cs="Times New Roman"/>
          <w:sz w:val="24"/>
        </w:rPr>
        <w:t xml:space="preserve"> were among </w:t>
      </w:r>
      <w:r>
        <w:rPr>
          <w:rFonts w:ascii="Times New Roman" w:hAnsi="Times New Roman" w:cs="Times New Roman"/>
          <w:sz w:val="24"/>
        </w:rPr>
        <w:t xml:space="preserve">males </w:t>
      </w:r>
      <w:r w:rsidRPr="00FB4794">
        <w:rPr>
          <w:rFonts w:ascii="Times New Roman" w:hAnsi="Times New Roman" w:cs="Times New Roman"/>
          <w:sz w:val="24"/>
        </w:rPr>
        <w:t>diagnosed in t</w:t>
      </w:r>
      <w:r>
        <w:rPr>
          <w:rFonts w:ascii="Times New Roman" w:hAnsi="Times New Roman" w:cs="Times New Roman"/>
          <w:sz w:val="24"/>
        </w:rPr>
        <w:t>heir 6</w:t>
      </w:r>
      <w:r w:rsidRPr="00FB4794">
        <w:rPr>
          <w:rFonts w:ascii="Times New Roman" w:hAnsi="Times New Roman" w:cs="Times New Roman"/>
          <w:sz w:val="24"/>
        </w:rPr>
        <w:t>0</w:t>
      </w:r>
      <w:r>
        <w:rPr>
          <w:rFonts w:ascii="Times New Roman" w:hAnsi="Times New Roman" w:cs="Times New Roman"/>
          <w:sz w:val="24"/>
        </w:rPr>
        <w:t xml:space="preserve">s (30.2 cases per 100,000 males) and 70s (24.7 cases per 100,000 males). </w:t>
      </w:r>
    </w:p>
    <w:p w:rsidR="00EA63B6" w:rsidRDefault="00EA63B6" w:rsidP="00EA63B6">
      <w:pPr>
        <w:pStyle w:val="ListParagraph"/>
        <w:spacing w:after="0" w:line="240" w:lineRule="auto"/>
        <w:ind w:left="180"/>
        <w:rPr>
          <w:rFonts w:ascii="Times New Roman" w:hAnsi="Times New Roman" w:cs="Times New Roman"/>
          <w:sz w:val="24"/>
        </w:rPr>
      </w:pPr>
    </w:p>
    <w:p w:rsidR="00EA63B6" w:rsidRDefault="00EA63B6" w:rsidP="00EA63B6">
      <w:pPr>
        <w:pStyle w:val="ListParagraph"/>
        <w:numPr>
          <w:ilvl w:val="0"/>
          <w:numId w:val="4"/>
        </w:numPr>
        <w:spacing w:after="0" w:line="240" w:lineRule="auto"/>
        <w:ind w:left="180" w:hanging="180"/>
        <w:rPr>
          <w:rFonts w:ascii="Times New Roman" w:hAnsi="Times New Roman" w:cs="Times New Roman"/>
          <w:sz w:val="24"/>
        </w:rPr>
      </w:pPr>
      <w:r w:rsidRPr="005A61B3">
        <w:rPr>
          <w:rFonts w:ascii="Times New Roman" w:hAnsi="Times New Roman" w:cs="Times New Roman"/>
          <w:sz w:val="24"/>
        </w:rPr>
        <w:t xml:space="preserve">Among females, the highest age-specific incidence rates from 2004-2014 were among females in their 70s (8.2 cases per 100,000 females) and 60s (7.2 cases per 100,000 females). </w:t>
      </w:r>
    </w:p>
    <w:p w:rsidR="00EA63B6" w:rsidRDefault="00EA63B6" w:rsidP="00EA63B6">
      <w:pPr>
        <w:pStyle w:val="ListParagraph"/>
        <w:spacing w:after="0" w:line="240" w:lineRule="auto"/>
        <w:ind w:left="180"/>
        <w:rPr>
          <w:rFonts w:ascii="Times New Roman" w:hAnsi="Times New Roman" w:cs="Times New Roman"/>
          <w:sz w:val="24"/>
        </w:rPr>
      </w:pPr>
    </w:p>
    <w:p w:rsidR="00505331" w:rsidRPr="00FB4794" w:rsidRDefault="00505331" w:rsidP="00505331">
      <w:pPr>
        <w:pStyle w:val="ListParagraph"/>
        <w:ind w:left="180" w:hanging="180"/>
        <w:rPr>
          <w:rFonts w:ascii="Times New Roman" w:hAnsi="Times New Roman" w:cs="Times New Roman"/>
          <w:sz w:val="24"/>
        </w:rPr>
      </w:pPr>
    </w:p>
    <w:p w:rsidR="00EA63B6" w:rsidRPr="00EA63B6" w:rsidRDefault="00EA63B6" w:rsidP="00EA63B6">
      <w:pPr>
        <w:spacing w:after="0" w:line="240" w:lineRule="auto"/>
        <w:rPr>
          <w:rFonts w:ascii="Times New Roman" w:hAnsi="Times New Roman" w:cs="Times New Roman"/>
          <w:b/>
          <w:sz w:val="24"/>
        </w:rPr>
      </w:pPr>
      <w:r w:rsidRPr="00EA63B6">
        <w:rPr>
          <w:rFonts w:ascii="Times New Roman" w:hAnsi="Times New Roman" w:cs="Times New Roman"/>
          <w:b/>
          <w:sz w:val="24"/>
        </w:rPr>
        <w:t xml:space="preserve">Mortality by age group </w:t>
      </w:r>
    </w:p>
    <w:p w:rsidR="00EA63B6" w:rsidRPr="00EA63B6" w:rsidRDefault="00EA63B6" w:rsidP="00EA63B6">
      <w:pPr>
        <w:pStyle w:val="ListParagraph"/>
        <w:rPr>
          <w:rFonts w:ascii="Times New Roman" w:hAnsi="Times New Roman" w:cs="Times New Roman"/>
          <w:sz w:val="24"/>
        </w:rPr>
      </w:pPr>
    </w:p>
    <w:p w:rsidR="00EA63B6" w:rsidRPr="005A61B3" w:rsidRDefault="00EA63B6" w:rsidP="00EA63B6">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Among males, the highest age-specific mortality rates from 2008-2014 were among males in their 80s and older (12.0 deaths per 100,000 males) and 70s (11.8 deaths per 100,000 males).</w:t>
      </w:r>
    </w:p>
    <w:p w:rsidR="00EA63B6" w:rsidRDefault="00EA63B6" w:rsidP="00063A26">
      <w:pPr>
        <w:pStyle w:val="ListParagraph"/>
        <w:spacing w:after="0" w:line="240" w:lineRule="auto"/>
        <w:ind w:left="180"/>
        <w:rPr>
          <w:rFonts w:ascii="Times New Roman" w:hAnsi="Times New Roman" w:cs="Times New Roman"/>
          <w:sz w:val="24"/>
        </w:rPr>
      </w:pPr>
    </w:p>
    <w:p w:rsidR="00505331" w:rsidRDefault="00505331" w:rsidP="00505331">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The</w:t>
      </w:r>
      <w:r w:rsidRPr="005A61B3">
        <w:rPr>
          <w:rFonts w:ascii="Times New Roman" w:hAnsi="Times New Roman" w:cs="Times New Roman"/>
          <w:sz w:val="24"/>
        </w:rPr>
        <w:t xml:space="preserve"> highest age-specific mortality rates from 2008-2014 were among females in their 80s and older (6.4 deaths per 100,000 females) and 70s (4.3 deaths per 100,000 females).</w:t>
      </w:r>
    </w:p>
    <w:p w:rsidR="00505331" w:rsidRDefault="00505331" w:rsidP="00505331">
      <w:pPr>
        <w:pStyle w:val="ListParagraph"/>
        <w:rPr>
          <w:rFonts w:ascii="Times New Roman" w:hAnsi="Times New Roman" w:cs="Times New Roman"/>
          <w:sz w:val="24"/>
        </w:rPr>
      </w:pPr>
    </w:p>
    <w:p w:rsidR="00EA63B6" w:rsidRDefault="00EA63B6" w:rsidP="00505331">
      <w:pPr>
        <w:pStyle w:val="ListParagraph"/>
        <w:rPr>
          <w:rFonts w:ascii="Times New Roman" w:hAnsi="Times New Roman" w:cs="Times New Roman"/>
          <w:sz w:val="24"/>
        </w:rPr>
      </w:pPr>
    </w:p>
    <w:p w:rsidR="00EA63B6" w:rsidRDefault="00EA63B6" w:rsidP="00505331">
      <w:pPr>
        <w:pStyle w:val="ListParagraph"/>
        <w:rPr>
          <w:rFonts w:ascii="Times New Roman" w:hAnsi="Times New Roman" w:cs="Times New Roman"/>
          <w:sz w:val="24"/>
        </w:rPr>
        <w:sectPr w:rsidR="00EA63B6" w:rsidSect="00505331">
          <w:type w:val="continuous"/>
          <w:pgSz w:w="12240" w:h="15840"/>
          <w:pgMar w:top="864" w:right="864" w:bottom="864" w:left="864" w:header="720" w:footer="720" w:gutter="0"/>
          <w:cols w:num="2" w:space="720"/>
          <w:docGrid w:linePitch="360"/>
        </w:sectPr>
      </w:pPr>
    </w:p>
    <w:p w:rsidR="00505331" w:rsidRDefault="00505331" w:rsidP="00505331">
      <w:pPr>
        <w:spacing w:after="0" w:line="240" w:lineRule="auto"/>
        <w:rPr>
          <w:rFonts w:ascii="Times New Roman" w:hAnsi="Times New Roman" w:cs="Times New Roman"/>
          <w:sz w:val="24"/>
        </w:rPr>
      </w:pPr>
    </w:p>
    <w:p w:rsidR="00505331" w:rsidRPr="00505331" w:rsidRDefault="00505331" w:rsidP="00505331">
      <w:pPr>
        <w:spacing w:after="0" w:line="240" w:lineRule="auto"/>
        <w:rPr>
          <w:rFonts w:ascii="Times New Roman" w:hAnsi="Times New Roman" w:cs="Times New Roman"/>
          <w:sz w:val="24"/>
        </w:rPr>
      </w:pPr>
    </w:p>
    <w:p w:rsidR="00746B3D" w:rsidRDefault="00746B3D" w:rsidP="00EF1739">
      <w:pPr>
        <w:spacing w:after="0" w:line="240" w:lineRule="auto"/>
        <w:rPr>
          <w:rFonts w:ascii="Times New Roman" w:hAnsi="Times New Roman" w:cs="Times New Roman"/>
          <w:sz w:val="24"/>
        </w:rPr>
      </w:pPr>
    </w:p>
    <w:tbl>
      <w:tblPr>
        <w:tblStyle w:val="TableGrid"/>
        <w:tblpPr w:leftFromText="180" w:rightFromText="180" w:vertAnchor="page" w:horzAnchor="margin" w:tblpY="1021"/>
        <w:tblW w:w="10440" w:type="dxa"/>
        <w:tblLayout w:type="fixed"/>
        <w:tblLook w:val="04A0" w:firstRow="1" w:lastRow="0" w:firstColumn="1" w:lastColumn="0" w:noHBand="0" w:noVBand="1"/>
      </w:tblPr>
      <w:tblGrid>
        <w:gridCol w:w="918"/>
        <w:gridCol w:w="1170"/>
        <w:gridCol w:w="900"/>
        <w:gridCol w:w="900"/>
        <w:gridCol w:w="882"/>
        <w:gridCol w:w="5670"/>
      </w:tblGrid>
      <w:tr w:rsidR="00B347BC" w:rsidRPr="00902D3A" w:rsidTr="00B347BC">
        <w:trPr>
          <w:trHeight w:val="423"/>
        </w:trPr>
        <w:tc>
          <w:tcPr>
            <w:tcW w:w="10440" w:type="dxa"/>
            <w:gridSpan w:val="6"/>
            <w:tcBorders>
              <w:top w:val="nil"/>
              <w:left w:val="nil"/>
              <w:right w:val="nil"/>
            </w:tcBorders>
            <w:vAlign w:val="center"/>
          </w:tcPr>
          <w:p w:rsidR="00B347BC" w:rsidRPr="00902D3A" w:rsidRDefault="00B347BC" w:rsidP="0042688C">
            <w:pPr>
              <w:rPr>
                <w:rFonts w:ascii="Times New Roman" w:hAnsi="Times New Roman" w:cs="Times New Roman"/>
                <w:b/>
                <w:color w:val="1F497D" w:themeColor="text2"/>
                <w:sz w:val="24"/>
              </w:rPr>
            </w:pPr>
            <w:r>
              <w:rPr>
                <w:rFonts w:ascii="Times New Roman" w:hAnsi="Times New Roman" w:cs="Times New Roman"/>
                <w:b/>
                <w:color w:val="1F497D" w:themeColor="text2"/>
                <w:sz w:val="24"/>
              </w:rPr>
              <w:lastRenderedPageBreak/>
              <w:t xml:space="preserve">PATTERNS IN </w:t>
            </w:r>
            <w:r w:rsidR="000B34A8">
              <w:rPr>
                <w:rFonts w:ascii="Times New Roman" w:hAnsi="Times New Roman" w:cs="Times New Roman"/>
                <w:b/>
                <w:color w:val="1F497D" w:themeColor="text2"/>
                <w:sz w:val="24"/>
              </w:rPr>
              <w:t>OROPHARYNGEAL</w:t>
            </w:r>
            <w:r w:rsidRPr="00902D3A">
              <w:rPr>
                <w:rFonts w:ascii="Times New Roman" w:hAnsi="Times New Roman" w:cs="Times New Roman"/>
                <w:b/>
                <w:color w:val="1F497D" w:themeColor="text2"/>
                <w:sz w:val="24"/>
              </w:rPr>
              <w:t xml:space="preserve"> CANCER </w:t>
            </w:r>
            <w:r w:rsidR="0042688C">
              <w:rPr>
                <w:rFonts w:ascii="Times New Roman" w:hAnsi="Times New Roman" w:cs="Times New Roman"/>
                <w:b/>
                <w:color w:val="1F497D" w:themeColor="text2"/>
                <w:sz w:val="24"/>
              </w:rPr>
              <w:t xml:space="preserve">INCIDENCE AND MORTALITY </w:t>
            </w:r>
            <w:r>
              <w:rPr>
                <w:rFonts w:ascii="Times New Roman" w:hAnsi="Times New Roman" w:cs="Times New Roman"/>
                <w:b/>
                <w:color w:val="1F497D" w:themeColor="text2"/>
                <w:sz w:val="24"/>
              </w:rPr>
              <w:t>BY RACE/ETHNICITY</w:t>
            </w:r>
          </w:p>
        </w:tc>
      </w:tr>
      <w:tr w:rsidR="00B347BC" w:rsidRPr="00902D3A" w:rsidTr="00B347BC">
        <w:trPr>
          <w:trHeight w:val="620"/>
        </w:trPr>
        <w:tc>
          <w:tcPr>
            <w:tcW w:w="10440" w:type="dxa"/>
            <w:gridSpan w:val="6"/>
            <w:tcBorders>
              <w:bottom w:val="single" w:sz="4" w:space="0" w:color="auto"/>
            </w:tcBorders>
            <w:vAlign w:val="center"/>
          </w:tcPr>
          <w:p w:rsidR="00B347BC" w:rsidRPr="002F46C5" w:rsidRDefault="00B347BC" w:rsidP="002F46C5">
            <w:pPr>
              <w:rPr>
                <w:rFonts w:ascii="Times New Roman" w:hAnsi="Times New Roman" w:cs="Times New Roman"/>
                <w:b/>
                <w:color w:val="1F497D" w:themeColor="text2"/>
                <w:sz w:val="24"/>
              </w:rPr>
            </w:pPr>
            <w:r w:rsidRPr="002F46C5">
              <w:rPr>
                <w:rFonts w:ascii="Times New Roman" w:hAnsi="Times New Roman" w:cs="Times New Roman"/>
                <w:b/>
                <w:color w:val="1F497D" w:themeColor="text2"/>
                <w:sz w:val="24"/>
              </w:rPr>
              <w:t xml:space="preserve">Figure 3. Age-adjusted incidence </w:t>
            </w:r>
            <w:r w:rsidR="0042688C" w:rsidRPr="002F46C5">
              <w:rPr>
                <w:rFonts w:ascii="Times New Roman" w:hAnsi="Times New Roman" w:cs="Times New Roman"/>
                <w:b/>
                <w:color w:val="1F497D" w:themeColor="text2"/>
                <w:sz w:val="24"/>
              </w:rPr>
              <w:t xml:space="preserve">(2004-2014) </w:t>
            </w:r>
            <w:r w:rsidRPr="002F46C5">
              <w:rPr>
                <w:rFonts w:ascii="Times New Roman" w:hAnsi="Times New Roman" w:cs="Times New Roman"/>
                <w:b/>
                <w:color w:val="1F497D" w:themeColor="text2"/>
                <w:sz w:val="24"/>
              </w:rPr>
              <w:t xml:space="preserve">and mortality </w:t>
            </w:r>
            <w:r w:rsidR="0042688C" w:rsidRPr="002F46C5">
              <w:rPr>
                <w:rFonts w:ascii="Times New Roman" w:hAnsi="Times New Roman" w:cs="Times New Roman"/>
                <w:b/>
                <w:color w:val="1F497D" w:themeColor="text2"/>
                <w:sz w:val="24"/>
              </w:rPr>
              <w:t xml:space="preserve">(2008-2014) </w:t>
            </w:r>
            <w:r w:rsidRPr="002F46C5">
              <w:rPr>
                <w:rFonts w:ascii="Times New Roman" w:hAnsi="Times New Roman" w:cs="Times New Roman"/>
                <w:b/>
                <w:color w:val="1F497D" w:themeColor="text2"/>
                <w:sz w:val="24"/>
              </w:rPr>
              <w:t xml:space="preserve">rates^ of </w:t>
            </w:r>
            <w:r w:rsidR="000B34A8" w:rsidRPr="002F46C5">
              <w:rPr>
                <w:rFonts w:ascii="Times New Roman" w:hAnsi="Times New Roman" w:cs="Times New Roman"/>
                <w:b/>
                <w:color w:val="1F497D" w:themeColor="text2"/>
                <w:sz w:val="24"/>
              </w:rPr>
              <w:t>oropharyngeal</w:t>
            </w:r>
            <w:r w:rsidRPr="002F46C5">
              <w:rPr>
                <w:rFonts w:ascii="Times New Roman" w:hAnsi="Times New Roman" w:cs="Times New Roman"/>
                <w:b/>
                <w:color w:val="1F497D" w:themeColor="text2"/>
                <w:sz w:val="24"/>
              </w:rPr>
              <w:t xml:space="preserve"> cancer by race/ethnicity, Massachusetts</w:t>
            </w:r>
          </w:p>
        </w:tc>
      </w:tr>
      <w:tr w:rsidR="00B347BC" w:rsidRPr="00902D3A" w:rsidTr="000B34A8">
        <w:trPr>
          <w:trHeight w:val="422"/>
        </w:trPr>
        <w:tc>
          <w:tcPr>
            <w:tcW w:w="4770" w:type="dxa"/>
            <w:gridSpan w:val="5"/>
            <w:tcBorders>
              <w:bottom w:val="single" w:sz="4" w:space="0" w:color="auto"/>
              <w:right w:val="nil"/>
            </w:tcBorders>
            <w:vAlign w:val="bottom"/>
          </w:tcPr>
          <w:p w:rsidR="00B347BC" w:rsidRDefault="00B347BC" w:rsidP="00B347BC">
            <w:pPr>
              <w:jc w:val="center"/>
              <w:rPr>
                <w:rFonts w:ascii="Times New Roman" w:hAnsi="Times New Roman" w:cs="Times New Roman"/>
                <w:b/>
                <w:color w:val="1F497D" w:themeColor="text2"/>
                <w:sz w:val="20"/>
              </w:rPr>
            </w:pPr>
          </w:p>
          <w:p w:rsidR="00B347BC" w:rsidRDefault="00B347BC" w:rsidP="00B347BC">
            <w:pPr>
              <w:jc w:val="center"/>
              <w:rPr>
                <w:rFonts w:ascii="Times New Roman" w:hAnsi="Times New Roman" w:cs="Times New Roman"/>
                <w:b/>
                <w:color w:val="1F497D" w:themeColor="text2"/>
                <w:sz w:val="20"/>
              </w:rPr>
            </w:pPr>
          </w:p>
          <w:p w:rsidR="00B347BC" w:rsidRDefault="00B347BC" w:rsidP="00B347BC">
            <w:pPr>
              <w:jc w:val="center"/>
              <w:rPr>
                <w:rFonts w:ascii="Times New Roman" w:hAnsi="Times New Roman" w:cs="Times New Roman"/>
                <w:b/>
                <w:color w:val="1F497D" w:themeColor="text2"/>
                <w:sz w:val="20"/>
              </w:rPr>
            </w:pPr>
          </w:p>
          <w:p w:rsidR="00B347BC" w:rsidRDefault="00B347BC" w:rsidP="00B347BC">
            <w:pPr>
              <w:jc w:val="center"/>
              <w:rPr>
                <w:rFonts w:ascii="Times New Roman" w:hAnsi="Times New Roman" w:cs="Times New Roman"/>
                <w:b/>
                <w:color w:val="1F497D" w:themeColor="text2"/>
                <w:sz w:val="20"/>
              </w:rPr>
            </w:pPr>
          </w:p>
          <w:p w:rsidR="00B347BC" w:rsidRDefault="00B347BC" w:rsidP="00B347BC">
            <w:pPr>
              <w:jc w:val="center"/>
              <w:rPr>
                <w:rFonts w:ascii="Times New Roman" w:hAnsi="Times New Roman" w:cs="Times New Roman"/>
                <w:b/>
                <w:color w:val="1F497D" w:themeColor="text2"/>
                <w:sz w:val="20"/>
              </w:rPr>
            </w:pPr>
          </w:p>
          <w:p w:rsidR="00B347BC" w:rsidRPr="00746B3D" w:rsidRDefault="00B347BC" w:rsidP="00B347BC">
            <w:pPr>
              <w:jc w:val="center"/>
              <w:rPr>
                <w:rFonts w:ascii="Times New Roman" w:hAnsi="Times New Roman" w:cs="Times New Roman"/>
                <w:b/>
                <w:color w:val="1F497D" w:themeColor="text2"/>
                <w:sz w:val="20"/>
              </w:rPr>
            </w:pPr>
            <w:r w:rsidRPr="00746B3D">
              <w:rPr>
                <w:rFonts w:ascii="Times New Roman" w:hAnsi="Times New Roman" w:cs="Times New Roman"/>
                <w:b/>
                <w:color w:val="1F497D" w:themeColor="text2"/>
                <w:sz w:val="20"/>
              </w:rPr>
              <w:t>Race/ethnicity</w:t>
            </w:r>
          </w:p>
        </w:tc>
        <w:tc>
          <w:tcPr>
            <w:tcW w:w="5670" w:type="dxa"/>
            <w:vMerge w:val="restart"/>
            <w:tcBorders>
              <w:left w:val="nil"/>
            </w:tcBorders>
            <w:vAlign w:val="center"/>
          </w:tcPr>
          <w:p w:rsidR="00B347BC" w:rsidRPr="00902D3A" w:rsidRDefault="000B34A8" w:rsidP="00B347BC">
            <w:pPr>
              <w:ind w:left="-558"/>
              <w:jc w:val="center"/>
              <w:rPr>
                <w:rFonts w:ascii="Times New Roman" w:hAnsi="Times New Roman" w:cs="Times New Roman"/>
                <w:b/>
                <w:color w:val="1F497D" w:themeColor="text2"/>
                <w:sz w:val="24"/>
              </w:rPr>
            </w:pPr>
            <w:r>
              <w:rPr>
                <w:noProof/>
              </w:rPr>
              <w:drawing>
                <wp:anchor distT="0" distB="0" distL="114300" distR="114300" simplePos="0" relativeHeight="251688960" behindDoc="1" locked="0" layoutInCell="1" allowOverlap="1" wp14:anchorId="3446B154" wp14:editId="170DAB00">
                  <wp:simplePos x="0" y="0"/>
                  <wp:positionH relativeFrom="column">
                    <wp:posOffset>-359377</wp:posOffset>
                  </wp:positionH>
                  <wp:positionV relativeFrom="paragraph">
                    <wp:posOffset>234175</wp:posOffset>
                  </wp:positionV>
                  <wp:extent cx="4114800" cy="2743200"/>
                  <wp:effectExtent l="0" t="0" r="0" b="0"/>
                  <wp:wrapNone/>
                  <wp:docPr id="3" name="Chart 3" descr="For males: The incidence rate is highest among non-Hispanic white males followed by Hisapnics, non-Hispanic blacks, and Asians. The mortality rate is highest for non-Hispanic blacks, followed by non-Hispanic whites and Hisapnics. &#10;&#10;For females: The incidence rate is highest among non-Hispanic white females followed by Hisapnics, non-Hispanic blacks, and Asians. The mortality rate is highest for non-Hispanic whites, followed by non-Hispanic blacks.&#10;&#10;Data are not shown when cell size was less than 10. 17 people had an unkonwn race/ethnicity. Data are from the Massachusetts Cancer Registry and Massachusetts Registy of Vital Records and Statistics. " title="Figure 3. Age-adjusted incidence and mortality rates of oropharyngeal cancer by race/ethnicity in Massachusetts 2004-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tc>
      </w:tr>
      <w:tr w:rsidR="00B347BC" w:rsidRPr="00902D3A" w:rsidTr="00085845">
        <w:trPr>
          <w:trHeight w:val="782"/>
        </w:trPr>
        <w:tc>
          <w:tcPr>
            <w:tcW w:w="918" w:type="dxa"/>
            <w:tcBorders>
              <w:bottom w:val="single" w:sz="4" w:space="0" w:color="auto"/>
              <w:right w:val="nil"/>
            </w:tcBorders>
            <w:vAlign w:val="center"/>
          </w:tcPr>
          <w:p w:rsidR="00B347BC" w:rsidRPr="00746B3D" w:rsidRDefault="00B347BC" w:rsidP="00B347BC">
            <w:pPr>
              <w:rPr>
                <w:rFonts w:ascii="Times New Roman" w:hAnsi="Times New Roman" w:cs="Times New Roman"/>
                <w:b/>
                <w:color w:val="1F497D" w:themeColor="text2"/>
                <w:sz w:val="20"/>
              </w:rPr>
            </w:pPr>
          </w:p>
        </w:tc>
        <w:tc>
          <w:tcPr>
            <w:tcW w:w="1170" w:type="dxa"/>
            <w:tcBorders>
              <w:left w:val="nil"/>
              <w:bottom w:val="single" w:sz="4" w:space="0" w:color="auto"/>
              <w:right w:val="nil"/>
            </w:tcBorders>
            <w:vAlign w:val="bottom"/>
          </w:tcPr>
          <w:p w:rsidR="00B347BC" w:rsidRPr="00746B3D" w:rsidRDefault="00B347BC" w:rsidP="00B347BC">
            <w:pPr>
              <w:ind w:left="-112" w:right="-81"/>
              <w:jc w:val="center"/>
              <w:rPr>
                <w:rFonts w:ascii="Times New Roman" w:hAnsi="Times New Roman" w:cs="Times New Roman"/>
                <w:b/>
                <w:color w:val="1F497D" w:themeColor="text2"/>
                <w:sz w:val="20"/>
              </w:rPr>
            </w:pPr>
            <w:r w:rsidRPr="00746B3D">
              <w:rPr>
                <w:rFonts w:ascii="Times New Roman" w:hAnsi="Times New Roman" w:cs="Times New Roman"/>
                <w:b/>
                <w:color w:val="1F497D" w:themeColor="text2"/>
                <w:sz w:val="20"/>
              </w:rPr>
              <w:t>White, non-Hispanic</w:t>
            </w:r>
          </w:p>
        </w:tc>
        <w:tc>
          <w:tcPr>
            <w:tcW w:w="900" w:type="dxa"/>
            <w:tcBorders>
              <w:bottom w:val="single" w:sz="4" w:space="0" w:color="auto"/>
              <w:right w:val="nil"/>
            </w:tcBorders>
            <w:vAlign w:val="bottom"/>
          </w:tcPr>
          <w:p w:rsidR="00B347BC" w:rsidRPr="00746B3D" w:rsidRDefault="00B347BC" w:rsidP="00B347BC">
            <w:pPr>
              <w:ind w:left="-55" w:right="-58"/>
              <w:jc w:val="center"/>
              <w:rPr>
                <w:rFonts w:ascii="Times New Roman" w:hAnsi="Times New Roman" w:cs="Times New Roman"/>
                <w:b/>
                <w:color w:val="1F497D" w:themeColor="text2"/>
                <w:sz w:val="20"/>
              </w:rPr>
            </w:pPr>
            <w:r w:rsidRPr="00746B3D">
              <w:rPr>
                <w:rFonts w:ascii="Times New Roman" w:hAnsi="Times New Roman" w:cs="Times New Roman"/>
                <w:b/>
                <w:color w:val="1F497D" w:themeColor="text2"/>
                <w:sz w:val="20"/>
              </w:rPr>
              <w:t>Black, non-Hispanic</w:t>
            </w:r>
          </w:p>
        </w:tc>
        <w:tc>
          <w:tcPr>
            <w:tcW w:w="900" w:type="dxa"/>
            <w:tcBorders>
              <w:bottom w:val="single" w:sz="4" w:space="0" w:color="auto"/>
              <w:right w:val="nil"/>
            </w:tcBorders>
            <w:vAlign w:val="bottom"/>
          </w:tcPr>
          <w:p w:rsidR="00B347BC" w:rsidRPr="00746B3D" w:rsidRDefault="00B347BC" w:rsidP="00B347BC">
            <w:pPr>
              <w:ind w:left="-78" w:right="-35"/>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Asian, Non-Hispanic</w:t>
            </w:r>
          </w:p>
        </w:tc>
        <w:tc>
          <w:tcPr>
            <w:tcW w:w="882" w:type="dxa"/>
            <w:tcBorders>
              <w:bottom w:val="single" w:sz="4" w:space="0" w:color="auto"/>
              <w:right w:val="single" w:sz="4" w:space="0" w:color="auto"/>
            </w:tcBorders>
            <w:vAlign w:val="bottom"/>
          </w:tcPr>
          <w:p w:rsidR="00B347BC" w:rsidRPr="00746B3D" w:rsidRDefault="00B347BC" w:rsidP="00B347BC">
            <w:pPr>
              <w:tabs>
                <w:tab w:val="left" w:pos="809"/>
              </w:tabs>
              <w:ind w:left="-91" w:right="-102"/>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Hispanic</w:t>
            </w:r>
          </w:p>
        </w:tc>
        <w:tc>
          <w:tcPr>
            <w:tcW w:w="5670" w:type="dxa"/>
            <w:vMerge/>
            <w:tcBorders>
              <w:left w:val="single" w:sz="4" w:space="0" w:color="auto"/>
            </w:tcBorders>
            <w:vAlign w:val="center"/>
          </w:tcPr>
          <w:p w:rsidR="00B347BC" w:rsidRPr="00902D3A" w:rsidRDefault="00B347BC" w:rsidP="00B347BC">
            <w:pPr>
              <w:ind w:left="-558"/>
              <w:jc w:val="center"/>
              <w:rPr>
                <w:rFonts w:ascii="Times New Roman" w:hAnsi="Times New Roman" w:cs="Times New Roman"/>
                <w:b/>
                <w:color w:val="1F497D" w:themeColor="text2"/>
                <w:sz w:val="24"/>
              </w:rPr>
            </w:pPr>
          </w:p>
        </w:tc>
      </w:tr>
      <w:tr w:rsidR="00B347BC" w:rsidRPr="00902D3A" w:rsidTr="00085845">
        <w:trPr>
          <w:trHeight w:val="578"/>
        </w:trPr>
        <w:tc>
          <w:tcPr>
            <w:tcW w:w="918" w:type="dxa"/>
            <w:tcBorders>
              <w:bottom w:val="nil"/>
              <w:right w:val="nil"/>
            </w:tcBorders>
            <w:vAlign w:val="center"/>
          </w:tcPr>
          <w:p w:rsidR="00B347BC" w:rsidRPr="006D78BD" w:rsidRDefault="00B347BC" w:rsidP="00085845">
            <w:pPr>
              <w:ind w:left="-90" w:right="-104"/>
              <w:rPr>
                <w:rFonts w:ascii="Times New Roman" w:hAnsi="Times New Roman" w:cs="Times New Roman"/>
                <w:sz w:val="20"/>
              </w:rPr>
            </w:pPr>
            <w:r w:rsidRPr="006D78BD">
              <w:rPr>
                <w:rFonts w:ascii="Times New Roman" w:hAnsi="Times New Roman" w:cs="Times New Roman"/>
                <w:sz w:val="20"/>
              </w:rPr>
              <w:t>Incidence</w:t>
            </w:r>
            <w:r w:rsidR="0042688C">
              <w:rPr>
                <w:rFonts w:ascii="Times New Roman" w:hAnsi="Times New Roman" w:cs="Times New Roman"/>
                <w:sz w:val="20"/>
              </w:rPr>
              <w:t>, male (APC</w:t>
            </w:r>
            <w:r w:rsidR="000B34A8">
              <w:rPr>
                <w:rFonts w:ascii="Times New Roman" w:hAnsi="Times New Roman" w:cs="Times New Roman"/>
                <w:sz w:val="20"/>
              </w:rPr>
              <w:t>)</w:t>
            </w:r>
          </w:p>
        </w:tc>
        <w:tc>
          <w:tcPr>
            <w:tcW w:w="1170" w:type="dxa"/>
            <w:tcBorders>
              <w:left w:val="nil"/>
              <w:bottom w:val="nil"/>
              <w:right w:val="nil"/>
            </w:tcBorders>
            <w:vAlign w:val="center"/>
          </w:tcPr>
          <w:p w:rsidR="00B347BC" w:rsidRPr="006D78BD" w:rsidRDefault="000B34A8" w:rsidP="000B34A8">
            <w:pPr>
              <w:jc w:val="center"/>
              <w:rPr>
                <w:rFonts w:ascii="Times New Roman" w:hAnsi="Times New Roman" w:cs="Times New Roman"/>
                <w:sz w:val="20"/>
              </w:rPr>
            </w:pPr>
            <w:r>
              <w:rPr>
                <w:rFonts w:ascii="Times New Roman" w:hAnsi="Times New Roman" w:cs="Times New Roman"/>
                <w:sz w:val="20"/>
              </w:rPr>
              <w:t>8.30 (3.2*)</w:t>
            </w:r>
          </w:p>
        </w:tc>
        <w:tc>
          <w:tcPr>
            <w:tcW w:w="900" w:type="dxa"/>
            <w:tcBorders>
              <w:bottom w:val="nil"/>
              <w:right w:val="nil"/>
            </w:tcBorders>
            <w:vAlign w:val="center"/>
          </w:tcPr>
          <w:p w:rsidR="000B34A8" w:rsidRDefault="000B34A8" w:rsidP="00B347BC">
            <w:pPr>
              <w:jc w:val="center"/>
              <w:rPr>
                <w:rFonts w:ascii="Times New Roman" w:hAnsi="Times New Roman" w:cs="Times New Roman"/>
                <w:sz w:val="20"/>
              </w:rPr>
            </w:pPr>
            <w:r>
              <w:rPr>
                <w:rFonts w:ascii="Times New Roman" w:hAnsi="Times New Roman" w:cs="Times New Roman"/>
                <w:sz w:val="20"/>
              </w:rPr>
              <w:t xml:space="preserve">5.54 </w:t>
            </w:r>
          </w:p>
          <w:p w:rsidR="00B347BC" w:rsidRPr="006D78BD" w:rsidRDefault="000B34A8" w:rsidP="00B347BC">
            <w:pPr>
              <w:jc w:val="center"/>
              <w:rPr>
                <w:rFonts w:ascii="Times New Roman" w:hAnsi="Times New Roman" w:cs="Times New Roman"/>
                <w:sz w:val="20"/>
              </w:rPr>
            </w:pPr>
            <w:r>
              <w:rPr>
                <w:rFonts w:ascii="Times New Roman" w:hAnsi="Times New Roman" w:cs="Times New Roman"/>
                <w:sz w:val="20"/>
              </w:rPr>
              <w:t>(-0.75)</w:t>
            </w:r>
          </w:p>
        </w:tc>
        <w:tc>
          <w:tcPr>
            <w:tcW w:w="900" w:type="dxa"/>
            <w:tcBorders>
              <w:bottom w:val="nil"/>
              <w:right w:val="nil"/>
            </w:tcBorders>
            <w:vAlign w:val="center"/>
          </w:tcPr>
          <w:p w:rsidR="00B347BC" w:rsidRDefault="000B34A8" w:rsidP="00B347BC">
            <w:pPr>
              <w:jc w:val="center"/>
              <w:rPr>
                <w:rFonts w:ascii="Times New Roman" w:hAnsi="Times New Roman" w:cs="Times New Roman"/>
                <w:sz w:val="20"/>
              </w:rPr>
            </w:pPr>
            <w:r>
              <w:rPr>
                <w:rFonts w:ascii="Times New Roman" w:hAnsi="Times New Roman" w:cs="Times New Roman"/>
                <w:sz w:val="20"/>
              </w:rPr>
              <w:t>2.47</w:t>
            </w:r>
          </w:p>
          <w:p w:rsidR="000B34A8" w:rsidRPr="006D78BD" w:rsidRDefault="000B34A8" w:rsidP="00B347BC">
            <w:pPr>
              <w:jc w:val="center"/>
              <w:rPr>
                <w:rFonts w:ascii="Times New Roman" w:hAnsi="Times New Roman" w:cs="Times New Roman"/>
                <w:sz w:val="20"/>
              </w:rPr>
            </w:pPr>
            <w:r>
              <w:rPr>
                <w:rFonts w:ascii="Times New Roman" w:hAnsi="Times New Roman" w:cs="Times New Roman"/>
                <w:sz w:val="20"/>
              </w:rPr>
              <w:t>(15.12*)</w:t>
            </w:r>
          </w:p>
        </w:tc>
        <w:tc>
          <w:tcPr>
            <w:tcW w:w="882" w:type="dxa"/>
            <w:tcBorders>
              <w:bottom w:val="nil"/>
              <w:right w:val="single" w:sz="4" w:space="0" w:color="auto"/>
            </w:tcBorders>
            <w:vAlign w:val="center"/>
          </w:tcPr>
          <w:p w:rsidR="00B347BC" w:rsidRDefault="000B34A8" w:rsidP="00B347BC">
            <w:pPr>
              <w:jc w:val="center"/>
              <w:rPr>
                <w:rFonts w:ascii="Times New Roman" w:hAnsi="Times New Roman" w:cs="Times New Roman"/>
                <w:sz w:val="20"/>
              </w:rPr>
            </w:pPr>
            <w:r>
              <w:rPr>
                <w:rFonts w:ascii="Times New Roman" w:hAnsi="Times New Roman" w:cs="Times New Roman"/>
                <w:sz w:val="20"/>
              </w:rPr>
              <w:t>6.47</w:t>
            </w:r>
          </w:p>
          <w:p w:rsidR="000B34A8" w:rsidRPr="006D78BD" w:rsidRDefault="000B34A8" w:rsidP="00B347BC">
            <w:pPr>
              <w:jc w:val="center"/>
              <w:rPr>
                <w:rFonts w:ascii="Times New Roman" w:hAnsi="Times New Roman" w:cs="Times New Roman"/>
                <w:sz w:val="20"/>
              </w:rPr>
            </w:pPr>
            <w:r>
              <w:rPr>
                <w:rFonts w:ascii="Times New Roman" w:hAnsi="Times New Roman" w:cs="Times New Roman"/>
                <w:sz w:val="20"/>
              </w:rPr>
              <w:t>(-3.55)</w:t>
            </w:r>
          </w:p>
        </w:tc>
        <w:tc>
          <w:tcPr>
            <w:tcW w:w="5670" w:type="dxa"/>
            <w:vMerge/>
            <w:tcBorders>
              <w:left w:val="single" w:sz="4" w:space="0" w:color="auto"/>
            </w:tcBorders>
            <w:vAlign w:val="center"/>
          </w:tcPr>
          <w:p w:rsidR="00B347BC" w:rsidRPr="00902D3A" w:rsidRDefault="00B347BC" w:rsidP="00B347BC">
            <w:pPr>
              <w:ind w:left="-558"/>
              <w:jc w:val="center"/>
              <w:rPr>
                <w:rFonts w:ascii="Times New Roman" w:hAnsi="Times New Roman" w:cs="Times New Roman"/>
                <w:b/>
                <w:color w:val="1F497D" w:themeColor="text2"/>
                <w:sz w:val="24"/>
              </w:rPr>
            </w:pPr>
          </w:p>
        </w:tc>
      </w:tr>
      <w:tr w:rsidR="00B347BC" w:rsidRPr="00902D3A" w:rsidTr="00085845">
        <w:trPr>
          <w:trHeight w:val="788"/>
        </w:trPr>
        <w:tc>
          <w:tcPr>
            <w:tcW w:w="918" w:type="dxa"/>
            <w:tcBorders>
              <w:top w:val="nil"/>
              <w:bottom w:val="single" w:sz="4" w:space="0" w:color="auto"/>
              <w:right w:val="nil"/>
            </w:tcBorders>
            <w:vAlign w:val="center"/>
          </w:tcPr>
          <w:p w:rsidR="00B347BC" w:rsidRPr="006D78BD" w:rsidRDefault="00B347BC" w:rsidP="00085845">
            <w:pPr>
              <w:ind w:left="-90" w:right="-104"/>
              <w:rPr>
                <w:rFonts w:ascii="Times New Roman" w:hAnsi="Times New Roman" w:cs="Times New Roman"/>
                <w:sz w:val="20"/>
              </w:rPr>
            </w:pPr>
            <w:r w:rsidRPr="006D78BD">
              <w:rPr>
                <w:rFonts w:ascii="Times New Roman" w:hAnsi="Times New Roman" w:cs="Times New Roman"/>
                <w:sz w:val="20"/>
              </w:rPr>
              <w:t>Incidence</w:t>
            </w:r>
            <w:r w:rsidR="000B34A8">
              <w:rPr>
                <w:rFonts w:ascii="Times New Roman" w:hAnsi="Times New Roman" w:cs="Times New Roman"/>
                <w:sz w:val="20"/>
              </w:rPr>
              <w:t>, female</w:t>
            </w:r>
            <w:r w:rsidRPr="006D78BD">
              <w:rPr>
                <w:rFonts w:ascii="Times New Roman" w:hAnsi="Times New Roman" w:cs="Times New Roman"/>
                <w:sz w:val="20"/>
              </w:rPr>
              <w:t xml:space="preserve"> </w:t>
            </w:r>
            <w:r w:rsidR="0042688C">
              <w:rPr>
                <w:rFonts w:ascii="Times New Roman" w:hAnsi="Times New Roman" w:cs="Times New Roman"/>
                <w:sz w:val="20"/>
              </w:rPr>
              <w:t>(APC</w:t>
            </w:r>
            <w:r w:rsidR="000B34A8">
              <w:rPr>
                <w:rFonts w:ascii="Times New Roman" w:hAnsi="Times New Roman" w:cs="Times New Roman"/>
                <w:sz w:val="20"/>
              </w:rPr>
              <w:t>)</w:t>
            </w:r>
          </w:p>
        </w:tc>
        <w:tc>
          <w:tcPr>
            <w:tcW w:w="1170" w:type="dxa"/>
            <w:tcBorders>
              <w:top w:val="nil"/>
              <w:left w:val="nil"/>
              <w:bottom w:val="single" w:sz="4" w:space="0" w:color="auto"/>
              <w:right w:val="nil"/>
            </w:tcBorders>
            <w:vAlign w:val="center"/>
          </w:tcPr>
          <w:p w:rsidR="00B347BC" w:rsidRDefault="000B34A8" w:rsidP="00085845">
            <w:pPr>
              <w:ind w:left="-180" w:right="-108"/>
              <w:jc w:val="center"/>
              <w:rPr>
                <w:rFonts w:ascii="Times New Roman" w:hAnsi="Times New Roman" w:cs="Times New Roman"/>
                <w:sz w:val="20"/>
              </w:rPr>
            </w:pPr>
            <w:r>
              <w:rPr>
                <w:rFonts w:ascii="Times New Roman" w:hAnsi="Times New Roman" w:cs="Times New Roman"/>
                <w:sz w:val="20"/>
              </w:rPr>
              <w:t>2.03</w:t>
            </w:r>
          </w:p>
          <w:p w:rsidR="000B34A8" w:rsidRDefault="000B34A8" w:rsidP="00085845">
            <w:pPr>
              <w:ind w:left="-108" w:right="-108"/>
              <w:jc w:val="center"/>
              <w:rPr>
                <w:rFonts w:ascii="Times New Roman" w:hAnsi="Times New Roman" w:cs="Times New Roman"/>
                <w:sz w:val="20"/>
              </w:rPr>
            </w:pPr>
            <w:r>
              <w:rPr>
                <w:rFonts w:ascii="Times New Roman" w:hAnsi="Times New Roman" w:cs="Times New Roman"/>
                <w:sz w:val="20"/>
              </w:rPr>
              <w:t>(04-12:</w:t>
            </w:r>
            <w:r w:rsidR="00E93ADA">
              <w:rPr>
                <w:rFonts w:ascii="Times New Roman" w:hAnsi="Times New Roman" w:cs="Times New Roman"/>
                <w:sz w:val="20"/>
              </w:rPr>
              <w:t xml:space="preserve"> </w:t>
            </w:r>
            <w:r>
              <w:rPr>
                <w:rFonts w:ascii="Times New Roman" w:hAnsi="Times New Roman" w:cs="Times New Roman"/>
                <w:sz w:val="20"/>
              </w:rPr>
              <w:t>6.7*</w:t>
            </w:r>
          </w:p>
          <w:p w:rsidR="000B34A8" w:rsidRPr="006D78BD" w:rsidRDefault="000B34A8" w:rsidP="00085845">
            <w:pPr>
              <w:ind w:left="-180" w:right="-108"/>
              <w:jc w:val="center"/>
              <w:rPr>
                <w:rFonts w:ascii="Times New Roman" w:hAnsi="Times New Roman" w:cs="Times New Roman"/>
                <w:sz w:val="20"/>
              </w:rPr>
            </w:pPr>
            <w:r>
              <w:rPr>
                <w:rFonts w:ascii="Times New Roman" w:hAnsi="Times New Roman" w:cs="Times New Roman"/>
                <w:sz w:val="20"/>
              </w:rPr>
              <w:t>12-14:</w:t>
            </w:r>
            <w:r w:rsidR="001C4DC1">
              <w:rPr>
                <w:rFonts w:ascii="Times New Roman" w:hAnsi="Times New Roman" w:cs="Times New Roman"/>
                <w:sz w:val="20"/>
              </w:rPr>
              <w:t>-</w:t>
            </w:r>
            <w:r>
              <w:rPr>
                <w:rFonts w:ascii="Times New Roman" w:hAnsi="Times New Roman" w:cs="Times New Roman"/>
                <w:sz w:val="20"/>
              </w:rPr>
              <w:t>15.0)</w:t>
            </w:r>
          </w:p>
        </w:tc>
        <w:tc>
          <w:tcPr>
            <w:tcW w:w="900" w:type="dxa"/>
            <w:tcBorders>
              <w:top w:val="nil"/>
              <w:bottom w:val="single" w:sz="4" w:space="0" w:color="auto"/>
              <w:right w:val="nil"/>
            </w:tcBorders>
            <w:vAlign w:val="center"/>
          </w:tcPr>
          <w:p w:rsidR="00B347BC" w:rsidRDefault="000B34A8" w:rsidP="00B347BC">
            <w:pPr>
              <w:jc w:val="center"/>
              <w:rPr>
                <w:rFonts w:ascii="Times New Roman" w:hAnsi="Times New Roman" w:cs="Times New Roman"/>
                <w:sz w:val="20"/>
              </w:rPr>
            </w:pPr>
            <w:r>
              <w:rPr>
                <w:rFonts w:ascii="Times New Roman" w:hAnsi="Times New Roman" w:cs="Times New Roman"/>
                <w:sz w:val="20"/>
              </w:rPr>
              <w:t>1.25</w:t>
            </w:r>
          </w:p>
          <w:p w:rsidR="000B34A8" w:rsidRPr="006D78BD" w:rsidRDefault="000B34A8" w:rsidP="00B347BC">
            <w:pPr>
              <w:jc w:val="center"/>
              <w:rPr>
                <w:rFonts w:ascii="Times New Roman" w:hAnsi="Times New Roman" w:cs="Times New Roman"/>
                <w:sz w:val="20"/>
              </w:rPr>
            </w:pPr>
            <w:r>
              <w:rPr>
                <w:rFonts w:ascii="Times New Roman" w:hAnsi="Times New Roman" w:cs="Times New Roman"/>
                <w:sz w:val="20"/>
              </w:rPr>
              <w:t>(-0.37)</w:t>
            </w:r>
          </w:p>
        </w:tc>
        <w:tc>
          <w:tcPr>
            <w:tcW w:w="900" w:type="dxa"/>
            <w:tcBorders>
              <w:top w:val="nil"/>
              <w:bottom w:val="single" w:sz="4" w:space="0" w:color="auto"/>
              <w:right w:val="nil"/>
            </w:tcBorders>
            <w:vAlign w:val="center"/>
          </w:tcPr>
          <w:p w:rsidR="00B347BC" w:rsidRDefault="000B34A8" w:rsidP="00B347BC">
            <w:pPr>
              <w:jc w:val="center"/>
              <w:rPr>
                <w:rFonts w:ascii="Times New Roman" w:hAnsi="Times New Roman" w:cs="Times New Roman"/>
                <w:sz w:val="20"/>
              </w:rPr>
            </w:pPr>
            <w:r>
              <w:rPr>
                <w:rFonts w:ascii="Times New Roman" w:hAnsi="Times New Roman" w:cs="Times New Roman"/>
                <w:sz w:val="20"/>
              </w:rPr>
              <w:t>0.84</w:t>
            </w:r>
          </w:p>
          <w:p w:rsidR="000B34A8" w:rsidRPr="006D78BD" w:rsidRDefault="000B34A8" w:rsidP="00B347BC">
            <w:pPr>
              <w:jc w:val="center"/>
              <w:rPr>
                <w:rFonts w:ascii="Times New Roman" w:hAnsi="Times New Roman" w:cs="Times New Roman"/>
                <w:sz w:val="20"/>
              </w:rPr>
            </w:pPr>
            <w:r>
              <w:rPr>
                <w:rFonts w:ascii="Times New Roman" w:hAnsi="Times New Roman" w:cs="Times New Roman"/>
                <w:sz w:val="20"/>
              </w:rPr>
              <w:t>(-1.23)</w:t>
            </w:r>
          </w:p>
        </w:tc>
        <w:tc>
          <w:tcPr>
            <w:tcW w:w="882" w:type="dxa"/>
            <w:tcBorders>
              <w:top w:val="nil"/>
              <w:bottom w:val="single" w:sz="4" w:space="0" w:color="auto"/>
              <w:right w:val="single" w:sz="4" w:space="0" w:color="auto"/>
            </w:tcBorders>
            <w:vAlign w:val="center"/>
          </w:tcPr>
          <w:p w:rsidR="00B347BC" w:rsidRDefault="000B34A8" w:rsidP="00B347BC">
            <w:pPr>
              <w:jc w:val="center"/>
              <w:rPr>
                <w:rFonts w:ascii="Times New Roman" w:hAnsi="Times New Roman" w:cs="Times New Roman"/>
                <w:sz w:val="20"/>
              </w:rPr>
            </w:pPr>
            <w:r>
              <w:rPr>
                <w:rFonts w:ascii="Times New Roman" w:hAnsi="Times New Roman" w:cs="Times New Roman"/>
                <w:sz w:val="20"/>
              </w:rPr>
              <w:t>1.40</w:t>
            </w:r>
          </w:p>
          <w:p w:rsidR="000B34A8" w:rsidRPr="006D78BD" w:rsidRDefault="000B34A8" w:rsidP="00B347BC">
            <w:pPr>
              <w:jc w:val="center"/>
              <w:rPr>
                <w:rFonts w:ascii="Times New Roman" w:hAnsi="Times New Roman" w:cs="Times New Roman"/>
                <w:sz w:val="20"/>
              </w:rPr>
            </w:pPr>
            <w:r>
              <w:rPr>
                <w:rFonts w:ascii="Times New Roman" w:hAnsi="Times New Roman" w:cs="Times New Roman"/>
                <w:sz w:val="20"/>
              </w:rPr>
              <w:t>(9.37)</w:t>
            </w:r>
          </w:p>
        </w:tc>
        <w:tc>
          <w:tcPr>
            <w:tcW w:w="5670" w:type="dxa"/>
            <w:vMerge/>
            <w:tcBorders>
              <w:left w:val="single" w:sz="4" w:space="0" w:color="auto"/>
            </w:tcBorders>
            <w:vAlign w:val="center"/>
          </w:tcPr>
          <w:p w:rsidR="00B347BC" w:rsidRPr="00902D3A" w:rsidRDefault="00B347BC" w:rsidP="00B347BC">
            <w:pPr>
              <w:ind w:left="-558"/>
              <w:jc w:val="center"/>
              <w:rPr>
                <w:rFonts w:ascii="Times New Roman" w:hAnsi="Times New Roman" w:cs="Times New Roman"/>
                <w:b/>
                <w:color w:val="1F497D" w:themeColor="text2"/>
                <w:sz w:val="24"/>
              </w:rPr>
            </w:pPr>
          </w:p>
        </w:tc>
      </w:tr>
      <w:tr w:rsidR="00B347BC" w:rsidRPr="00902D3A" w:rsidTr="00085845">
        <w:trPr>
          <w:trHeight w:val="578"/>
        </w:trPr>
        <w:tc>
          <w:tcPr>
            <w:tcW w:w="918" w:type="dxa"/>
            <w:tcBorders>
              <w:bottom w:val="nil"/>
              <w:right w:val="nil"/>
            </w:tcBorders>
            <w:vAlign w:val="center"/>
          </w:tcPr>
          <w:p w:rsidR="00B347BC" w:rsidRPr="006D78BD" w:rsidRDefault="0042688C" w:rsidP="00085845">
            <w:pPr>
              <w:ind w:left="-90" w:right="-104"/>
              <w:rPr>
                <w:rFonts w:ascii="Times New Roman" w:hAnsi="Times New Roman" w:cs="Times New Roman"/>
                <w:sz w:val="20"/>
              </w:rPr>
            </w:pPr>
            <w:r>
              <w:rPr>
                <w:rFonts w:ascii="Times New Roman" w:hAnsi="Times New Roman" w:cs="Times New Roman"/>
                <w:sz w:val="20"/>
              </w:rPr>
              <w:t>Mortality, male (APC</w:t>
            </w:r>
            <w:r w:rsidR="000B34A8">
              <w:rPr>
                <w:rFonts w:ascii="Times New Roman" w:hAnsi="Times New Roman" w:cs="Times New Roman"/>
                <w:sz w:val="20"/>
              </w:rPr>
              <w:t>)</w:t>
            </w:r>
          </w:p>
        </w:tc>
        <w:tc>
          <w:tcPr>
            <w:tcW w:w="1170" w:type="dxa"/>
            <w:tcBorders>
              <w:left w:val="nil"/>
              <w:bottom w:val="nil"/>
              <w:right w:val="nil"/>
            </w:tcBorders>
            <w:vAlign w:val="center"/>
          </w:tcPr>
          <w:p w:rsidR="00B347BC" w:rsidRDefault="000B34A8" w:rsidP="00B347BC">
            <w:pPr>
              <w:jc w:val="center"/>
              <w:rPr>
                <w:rFonts w:ascii="Times New Roman" w:hAnsi="Times New Roman" w:cs="Times New Roman"/>
                <w:sz w:val="20"/>
              </w:rPr>
            </w:pPr>
            <w:r>
              <w:rPr>
                <w:rFonts w:ascii="Times New Roman" w:hAnsi="Times New Roman" w:cs="Times New Roman"/>
                <w:sz w:val="20"/>
              </w:rPr>
              <w:t>2.39</w:t>
            </w:r>
          </w:p>
          <w:p w:rsidR="000B34A8" w:rsidRPr="006D78BD" w:rsidRDefault="000B34A8" w:rsidP="00B347BC">
            <w:pPr>
              <w:jc w:val="center"/>
              <w:rPr>
                <w:rFonts w:ascii="Times New Roman" w:hAnsi="Times New Roman" w:cs="Times New Roman"/>
                <w:sz w:val="20"/>
              </w:rPr>
            </w:pPr>
            <w:r>
              <w:rPr>
                <w:rFonts w:ascii="Times New Roman" w:hAnsi="Times New Roman" w:cs="Times New Roman"/>
                <w:sz w:val="20"/>
              </w:rPr>
              <w:t>(-2.77)</w:t>
            </w:r>
          </w:p>
        </w:tc>
        <w:tc>
          <w:tcPr>
            <w:tcW w:w="900" w:type="dxa"/>
            <w:tcBorders>
              <w:bottom w:val="nil"/>
              <w:right w:val="nil"/>
            </w:tcBorders>
            <w:vAlign w:val="center"/>
          </w:tcPr>
          <w:p w:rsidR="00B347BC" w:rsidRDefault="000B34A8" w:rsidP="00B347BC">
            <w:pPr>
              <w:jc w:val="center"/>
              <w:rPr>
                <w:rFonts w:ascii="Times New Roman" w:hAnsi="Times New Roman" w:cs="Times New Roman"/>
                <w:sz w:val="20"/>
              </w:rPr>
            </w:pPr>
            <w:r>
              <w:rPr>
                <w:rFonts w:ascii="Times New Roman" w:hAnsi="Times New Roman" w:cs="Times New Roman"/>
                <w:sz w:val="20"/>
              </w:rPr>
              <w:t xml:space="preserve">3.35 </w:t>
            </w:r>
          </w:p>
          <w:p w:rsidR="000B34A8" w:rsidRPr="006D78BD" w:rsidRDefault="000B34A8" w:rsidP="00B347BC">
            <w:pPr>
              <w:jc w:val="center"/>
              <w:rPr>
                <w:rFonts w:ascii="Times New Roman" w:hAnsi="Times New Roman" w:cs="Times New Roman"/>
                <w:sz w:val="20"/>
              </w:rPr>
            </w:pPr>
            <w:r>
              <w:rPr>
                <w:rFonts w:ascii="Times New Roman" w:hAnsi="Times New Roman" w:cs="Times New Roman"/>
                <w:sz w:val="20"/>
              </w:rPr>
              <w:t>(-14.16)</w:t>
            </w:r>
          </w:p>
        </w:tc>
        <w:tc>
          <w:tcPr>
            <w:tcW w:w="900" w:type="dxa"/>
            <w:tcBorders>
              <w:bottom w:val="nil"/>
              <w:right w:val="nil"/>
            </w:tcBorders>
            <w:vAlign w:val="center"/>
          </w:tcPr>
          <w:p w:rsidR="00B347BC" w:rsidRPr="006D78BD" w:rsidRDefault="000B34A8" w:rsidP="00B347BC">
            <w:pPr>
              <w:jc w:val="center"/>
              <w:rPr>
                <w:rFonts w:ascii="Times New Roman" w:hAnsi="Times New Roman" w:cs="Times New Roman"/>
                <w:sz w:val="20"/>
              </w:rPr>
            </w:pPr>
            <w:r>
              <w:rPr>
                <w:rFonts w:ascii="Times New Roman" w:hAnsi="Times New Roman" w:cs="Times New Roman"/>
                <w:sz w:val="20"/>
              </w:rPr>
              <w:t>-</w:t>
            </w:r>
          </w:p>
        </w:tc>
        <w:tc>
          <w:tcPr>
            <w:tcW w:w="882" w:type="dxa"/>
            <w:tcBorders>
              <w:bottom w:val="nil"/>
              <w:right w:val="single" w:sz="4" w:space="0" w:color="auto"/>
            </w:tcBorders>
            <w:vAlign w:val="center"/>
          </w:tcPr>
          <w:p w:rsidR="00B347BC" w:rsidRDefault="000B34A8" w:rsidP="00B347BC">
            <w:pPr>
              <w:jc w:val="center"/>
              <w:rPr>
                <w:rFonts w:ascii="Times New Roman" w:hAnsi="Times New Roman" w:cs="Times New Roman"/>
                <w:sz w:val="20"/>
              </w:rPr>
            </w:pPr>
            <w:r>
              <w:rPr>
                <w:rFonts w:ascii="Times New Roman" w:hAnsi="Times New Roman" w:cs="Times New Roman"/>
                <w:sz w:val="20"/>
              </w:rPr>
              <w:t>1.96</w:t>
            </w:r>
          </w:p>
          <w:p w:rsidR="000B34A8" w:rsidRPr="006D78BD" w:rsidRDefault="000B34A8" w:rsidP="00B347BC">
            <w:pPr>
              <w:jc w:val="center"/>
              <w:rPr>
                <w:rFonts w:ascii="Times New Roman" w:hAnsi="Times New Roman" w:cs="Times New Roman"/>
                <w:sz w:val="20"/>
              </w:rPr>
            </w:pPr>
            <w:r>
              <w:rPr>
                <w:rFonts w:ascii="Times New Roman" w:hAnsi="Times New Roman" w:cs="Times New Roman"/>
                <w:sz w:val="20"/>
              </w:rPr>
              <w:t>(23.48)</w:t>
            </w:r>
          </w:p>
        </w:tc>
        <w:tc>
          <w:tcPr>
            <w:tcW w:w="5670" w:type="dxa"/>
            <w:vMerge/>
            <w:tcBorders>
              <w:left w:val="single" w:sz="4" w:space="0" w:color="auto"/>
            </w:tcBorders>
            <w:vAlign w:val="center"/>
          </w:tcPr>
          <w:p w:rsidR="00B347BC" w:rsidRPr="00902D3A" w:rsidRDefault="00B347BC" w:rsidP="00B347BC">
            <w:pPr>
              <w:ind w:left="-558"/>
              <w:jc w:val="center"/>
              <w:rPr>
                <w:rFonts w:ascii="Times New Roman" w:hAnsi="Times New Roman" w:cs="Times New Roman"/>
                <w:b/>
                <w:color w:val="1F497D" w:themeColor="text2"/>
                <w:sz w:val="24"/>
              </w:rPr>
            </w:pPr>
          </w:p>
        </w:tc>
      </w:tr>
      <w:tr w:rsidR="00B347BC" w:rsidRPr="00902D3A" w:rsidTr="00085845">
        <w:trPr>
          <w:trHeight w:val="647"/>
        </w:trPr>
        <w:tc>
          <w:tcPr>
            <w:tcW w:w="918" w:type="dxa"/>
            <w:tcBorders>
              <w:top w:val="nil"/>
              <w:right w:val="nil"/>
            </w:tcBorders>
            <w:vAlign w:val="center"/>
          </w:tcPr>
          <w:p w:rsidR="00B347BC" w:rsidRPr="006D78BD" w:rsidRDefault="00B347BC" w:rsidP="00085845">
            <w:pPr>
              <w:ind w:left="-90" w:right="-104"/>
              <w:rPr>
                <w:rFonts w:ascii="Times New Roman" w:hAnsi="Times New Roman" w:cs="Times New Roman"/>
                <w:sz w:val="20"/>
              </w:rPr>
            </w:pPr>
            <w:r w:rsidRPr="006D78BD">
              <w:rPr>
                <w:rFonts w:ascii="Times New Roman" w:hAnsi="Times New Roman" w:cs="Times New Roman"/>
                <w:sz w:val="20"/>
              </w:rPr>
              <w:t>Mortality</w:t>
            </w:r>
            <w:r w:rsidR="000B34A8">
              <w:rPr>
                <w:rFonts w:ascii="Times New Roman" w:hAnsi="Times New Roman" w:cs="Times New Roman"/>
                <w:sz w:val="20"/>
              </w:rPr>
              <w:t>, female</w:t>
            </w:r>
            <w:r w:rsidRPr="006D78BD">
              <w:rPr>
                <w:rFonts w:ascii="Times New Roman" w:hAnsi="Times New Roman" w:cs="Times New Roman"/>
                <w:sz w:val="20"/>
              </w:rPr>
              <w:t xml:space="preserve"> </w:t>
            </w:r>
            <w:r w:rsidR="0042688C">
              <w:rPr>
                <w:rFonts w:ascii="Times New Roman" w:hAnsi="Times New Roman" w:cs="Times New Roman"/>
                <w:sz w:val="20"/>
              </w:rPr>
              <w:t>(APC</w:t>
            </w:r>
            <w:r w:rsidR="000B34A8">
              <w:rPr>
                <w:rFonts w:ascii="Times New Roman" w:hAnsi="Times New Roman" w:cs="Times New Roman"/>
                <w:sz w:val="20"/>
              </w:rPr>
              <w:t>)</w:t>
            </w:r>
          </w:p>
        </w:tc>
        <w:tc>
          <w:tcPr>
            <w:tcW w:w="1170" w:type="dxa"/>
            <w:tcBorders>
              <w:top w:val="nil"/>
              <w:left w:val="nil"/>
              <w:right w:val="nil"/>
            </w:tcBorders>
            <w:vAlign w:val="center"/>
          </w:tcPr>
          <w:p w:rsidR="00B347BC" w:rsidRDefault="000B34A8" w:rsidP="00B347BC">
            <w:pPr>
              <w:jc w:val="center"/>
              <w:rPr>
                <w:rFonts w:ascii="Times New Roman" w:hAnsi="Times New Roman" w:cs="Times New Roman"/>
                <w:sz w:val="20"/>
              </w:rPr>
            </w:pPr>
            <w:r>
              <w:rPr>
                <w:rFonts w:ascii="Times New Roman" w:hAnsi="Times New Roman" w:cs="Times New Roman"/>
                <w:sz w:val="20"/>
              </w:rPr>
              <w:t>0.75</w:t>
            </w:r>
          </w:p>
          <w:p w:rsidR="000B34A8" w:rsidRPr="006D78BD" w:rsidRDefault="000B34A8" w:rsidP="00B347BC">
            <w:pPr>
              <w:jc w:val="center"/>
              <w:rPr>
                <w:rFonts w:ascii="Times New Roman" w:hAnsi="Times New Roman" w:cs="Times New Roman"/>
                <w:sz w:val="20"/>
              </w:rPr>
            </w:pPr>
            <w:r>
              <w:rPr>
                <w:rFonts w:ascii="Times New Roman" w:hAnsi="Times New Roman" w:cs="Times New Roman"/>
                <w:sz w:val="20"/>
              </w:rPr>
              <w:t>(0.33)</w:t>
            </w:r>
          </w:p>
        </w:tc>
        <w:tc>
          <w:tcPr>
            <w:tcW w:w="900" w:type="dxa"/>
            <w:tcBorders>
              <w:top w:val="nil"/>
              <w:right w:val="nil"/>
            </w:tcBorders>
            <w:vAlign w:val="center"/>
          </w:tcPr>
          <w:p w:rsidR="00B347BC" w:rsidRDefault="000B34A8" w:rsidP="00B347BC">
            <w:pPr>
              <w:jc w:val="center"/>
              <w:rPr>
                <w:rFonts w:ascii="Times New Roman" w:hAnsi="Times New Roman" w:cs="Times New Roman"/>
                <w:sz w:val="20"/>
              </w:rPr>
            </w:pPr>
            <w:r>
              <w:rPr>
                <w:rFonts w:ascii="Times New Roman" w:hAnsi="Times New Roman" w:cs="Times New Roman"/>
                <w:sz w:val="20"/>
              </w:rPr>
              <w:t>0.71</w:t>
            </w:r>
          </w:p>
          <w:p w:rsidR="000B34A8" w:rsidRPr="006D78BD" w:rsidRDefault="000B34A8" w:rsidP="00B347BC">
            <w:pPr>
              <w:jc w:val="center"/>
              <w:rPr>
                <w:rFonts w:ascii="Times New Roman" w:hAnsi="Times New Roman" w:cs="Times New Roman"/>
                <w:sz w:val="20"/>
              </w:rPr>
            </w:pPr>
            <w:r>
              <w:rPr>
                <w:rFonts w:ascii="Times New Roman" w:hAnsi="Times New Roman" w:cs="Times New Roman"/>
                <w:sz w:val="20"/>
              </w:rPr>
              <w:t>(3.51)</w:t>
            </w:r>
          </w:p>
        </w:tc>
        <w:tc>
          <w:tcPr>
            <w:tcW w:w="900" w:type="dxa"/>
            <w:tcBorders>
              <w:top w:val="nil"/>
              <w:right w:val="nil"/>
            </w:tcBorders>
            <w:vAlign w:val="center"/>
          </w:tcPr>
          <w:p w:rsidR="00B347BC" w:rsidRPr="006D78BD" w:rsidRDefault="000B34A8" w:rsidP="00B347BC">
            <w:pPr>
              <w:jc w:val="center"/>
              <w:rPr>
                <w:rFonts w:ascii="Times New Roman" w:hAnsi="Times New Roman" w:cs="Times New Roman"/>
                <w:sz w:val="20"/>
              </w:rPr>
            </w:pPr>
            <w:r>
              <w:rPr>
                <w:rFonts w:ascii="Times New Roman" w:hAnsi="Times New Roman" w:cs="Times New Roman"/>
                <w:sz w:val="20"/>
              </w:rPr>
              <w:t>-</w:t>
            </w:r>
          </w:p>
        </w:tc>
        <w:tc>
          <w:tcPr>
            <w:tcW w:w="882" w:type="dxa"/>
            <w:tcBorders>
              <w:top w:val="nil"/>
              <w:right w:val="single" w:sz="4" w:space="0" w:color="auto"/>
            </w:tcBorders>
            <w:vAlign w:val="center"/>
          </w:tcPr>
          <w:p w:rsidR="00B347BC" w:rsidRPr="006D78BD" w:rsidRDefault="000B34A8" w:rsidP="00B347BC">
            <w:pPr>
              <w:jc w:val="center"/>
              <w:rPr>
                <w:rFonts w:ascii="Times New Roman" w:hAnsi="Times New Roman" w:cs="Times New Roman"/>
                <w:sz w:val="20"/>
              </w:rPr>
            </w:pPr>
            <w:r>
              <w:rPr>
                <w:rFonts w:ascii="Times New Roman" w:hAnsi="Times New Roman" w:cs="Times New Roman"/>
                <w:sz w:val="20"/>
              </w:rPr>
              <w:t>-</w:t>
            </w:r>
          </w:p>
        </w:tc>
        <w:tc>
          <w:tcPr>
            <w:tcW w:w="5670" w:type="dxa"/>
            <w:vMerge/>
            <w:tcBorders>
              <w:left w:val="single" w:sz="4" w:space="0" w:color="auto"/>
            </w:tcBorders>
            <w:vAlign w:val="center"/>
          </w:tcPr>
          <w:p w:rsidR="00B347BC" w:rsidRPr="00902D3A" w:rsidRDefault="00B347BC" w:rsidP="00B347BC">
            <w:pPr>
              <w:ind w:left="-558"/>
              <w:jc w:val="center"/>
              <w:rPr>
                <w:rFonts w:ascii="Times New Roman" w:hAnsi="Times New Roman" w:cs="Times New Roman"/>
                <w:b/>
                <w:color w:val="1F497D" w:themeColor="text2"/>
                <w:sz w:val="24"/>
              </w:rPr>
            </w:pPr>
          </w:p>
        </w:tc>
      </w:tr>
      <w:tr w:rsidR="00B347BC" w:rsidRPr="008358B2" w:rsidTr="00B347BC">
        <w:trPr>
          <w:trHeight w:val="800"/>
        </w:trPr>
        <w:tc>
          <w:tcPr>
            <w:tcW w:w="10440" w:type="dxa"/>
            <w:gridSpan w:val="6"/>
            <w:tcBorders>
              <w:top w:val="single" w:sz="4" w:space="0" w:color="auto"/>
            </w:tcBorders>
            <w:vAlign w:val="center"/>
          </w:tcPr>
          <w:p w:rsidR="00B347BC" w:rsidRDefault="00B347BC" w:rsidP="0042688C">
            <w:pPr>
              <w:rPr>
                <w:rFonts w:ascii="Times New Roman" w:hAnsi="Times New Roman" w:cs="Times New Roman"/>
                <w:sz w:val="20"/>
              </w:rPr>
            </w:pPr>
            <w:r>
              <w:rPr>
                <w:rFonts w:ascii="Times New Roman" w:hAnsi="Times New Roman" w:cs="Times New Roman"/>
                <w:sz w:val="20"/>
              </w:rPr>
              <w:t>^</w:t>
            </w:r>
            <w:r w:rsidR="0042688C">
              <w:rPr>
                <w:rFonts w:ascii="Times New Roman" w:hAnsi="Times New Roman" w:cs="Times New Roman"/>
                <w:sz w:val="20"/>
              </w:rPr>
              <w:t>per 100,000 and a</w:t>
            </w:r>
            <w:r>
              <w:rPr>
                <w:rFonts w:ascii="Times New Roman" w:hAnsi="Times New Roman" w:cs="Times New Roman"/>
                <w:sz w:val="20"/>
              </w:rPr>
              <w:t>ge-standardized to the 2000 U.S. population</w:t>
            </w:r>
            <w:r w:rsidR="0042688C">
              <w:rPr>
                <w:rFonts w:ascii="Times New Roman" w:hAnsi="Times New Roman" w:cs="Times New Roman"/>
                <w:sz w:val="20"/>
              </w:rPr>
              <w:t>;</w:t>
            </w:r>
            <w:r>
              <w:rPr>
                <w:rFonts w:ascii="Times New Roman" w:hAnsi="Times New Roman" w:cs="Times New Roman"/>
                <w:sz w:val="20"/>
              </w:rPr>
              <w:t xml:space="preserve"> </w:t>
            </w:r>
            <w:r w:rsidRPr="007F3C84">
              <w:rPr>
                <w:rFonts w:ascii="Times New Roman" w:hAnsi="Times New Roman" w:cs="Times New Roman"/>
                <w:sz w:val="20"/>
              </w:rPr>
              <w:t>*indicates a statistic</w:t>
            </w:r>
            <w:r>
              <w:rPr>
                <w:rFonts w:ascii="Times New Roman" w:hAnsi="Times New Roman" w:cs="Times New Roman"/>
                <w:sz w:val="20"/>
              </w:rPr>
              <w:t>ally significant trend (p&lt;</w:t>
            </w:r>
            <w:r w:rsidR="007B4A1D">
              <w:rPr>
                <w:rFonts w:ascii="Times New Roman" w:hAnsi="Times New Roman" w:cs="Times New Roman"/>
                <w:sz w:val="20"/>
              </w:rPr>
              <w:t>0.05)</w:t>
            </w:r>
            <w:r w:rsidR="0042688C">
              <w:rPr>
                <w:rFonts w:ascii="Times New Roman" w:hAnsi="Times New Roman" w:cs="Times New Roman"/>
                <w:sz w:val="20"/>
              </w:rPr>
              <w:t xml:space="preserve">; APC = </w:t>
            </w:r>
            <w:r w:rsidR="007B4A1D">
              <w:rPr>
                <w:rFonts w:ascii="Times New Roman" w:hAnsi="Times New Roman" w:cs="Times New Roman"/>
                <w:sz w:val="20"/>
              </w:rPr>
              <w:t>Annual Percent Change</w:t>
            </w:r>
            <w:r w:rsidR="0042688C">
              <w:rPr>
                <w:rFonts w:ascii="Times New Roman" w:hAnsi="Times New Roman" w:cs="Times New Roman"/>
                <w:sz w:val="20"/>
              </w:rPr>
              <w:t>;</w:t>
            </w:r>
            <w:r w:rsidR="007B4A1D">
              <w:rPr>
                <w:rFonts w:ascii="Times New Roman" w:hAnsi="Times New Roman" w:cs="Times New Roman"/>
                <w:sz w:val="20"/>
              </w:rPr>
              <w:t xml:space="preserve"> </w:t>
            </w:r>
            <w:r w:rsidR="000B34A8">
              <w:rPr>
                <w:rFonts w:ascii="Times New Roman" w:hAnsi="Times New Roman" w:cs="Times New Roman"/>
                <w:sz w:val="20"/>
              </w:rPr>
              <w:t xml:space="preserve"> cells with fewer than 10 people not shown</w:t>
            </w:r>
            <w:r w:rsidR="0042688C">
              <w:rPr>
                <w:rFonts w:ascii="Times New Roman" w:hAnsi="Times New Roman" w:cs="Times New Roman"/>
                <w:sz w:val="20"/>
              </w:rPr>
              <w:t>;</w:t>
            </w:r>
            <w:r w:rsidR="000B34A8">
              <w:rPr>
                <w:rFonts w:ascii="Times New Roman" w:hAnsi="Times New Roman" w:cs="Times New Roman"/>
                <w:sz w:val="20"/>
              </w:rPr>
              <w:t xml:space="preserve"> 17</w:t>
            </w:r>
            <w:r w:rsidR="00DF4CFA">
              <w:rPr>
                <w:rFonts w:ascii="Times New Roman" w:hAnsi="Times New Roman" w:cs="Times New Roman"/>
                <w:sz w:val="20"/>
              </w:rPr>
              <w:t xml:space="preserve"> cases with unknown race/ethnicity</w:t>
            </w:r>
            <w:r w:rsidR="0042688C">
              <w:rPr>
                <w:rFonts w:ascii="Times New Roman" w:hAnsi="Times New Roman" w:cs="Times New Roman"/>
                <w:sz w:val="20"/>
              </w:rPr>
              <w:t>;</w:t>
            </w:r>
            <w:r w:rsidR="00DF4CFA">
              <w:rPr>
                <w:rFonts w:ascii="Times New Roman" w:hAnsi="Times New Roman" w:cs="Times New Roman"/>
                <w:sz w:val="20"/>
              </w:rPr>
              <w:t xml:space="preserve"> </w:t>
            </w:r>
            <w:r>
              <w:rPr>
                <w:rFonts w:ascii="Times New Roman" w:hAnsi="Times New Roman" w:cs="Times New Roman"/>
                <w:sz w:val="20"/>
              </w:rPr>
              <w:t>Data source: Massachusetts Cancer Registry and Massachusetts Registry of Vital Records and Statistics</w:t>
            </w:r>
          </w:p>
        </w:tc>
      </w:tr>
    </w:tbl>
    <w:p w:rsidR="00FB4794" w:rsidRPr="002B4414" w:rsidRDefault="00FB4794" w:rsidP="00553017">
      <w:pPr>
        <w:spacing w:after="0" w:line="240" w:lineRule="auto"/>
        <w:rPr>
          <w:rFonts w:ascii="Times New Roman" w:hAnsi="Times New Roman" w:cs="Times New Roman"/>
          <w:b/>
          <w:sz w:val="24"/>
        </w:rPr>
      </w:pPr>
    </w:p>
    <w:p w:rsidR="00A278E6" w:rsidRDefault="00A278E6" w:rsidP="00553017">
      <w:pPr>
        <w:pStyle w:val="ListParagraph"/>
        <w:spacing w:after="0" w:line="240" w:lineRule="auto"/>
        <w:rPr>
          <w:rFonts w:ascii="Times New Roman" w:hAnsi="Times New Roman" w:cs="Times New Roman"/>
          <w:sz w:val="24"/>
          <w:u w:val="single"/>
        </w:rPr>
        <w:sectPr w:rsidR="00A278E6" w:rsidSect="00B347BC">
          <w:type w:val="continuous"/>
          <w:pgSz w:w="12240" w:h="15840"/>
          <w:pgMar w:top="864" w:right="864" w:bottom="864" w:left="864" w:header="720" w:footer="720" w:gutter="0"/>
          <w:cols w:space="720"/>
          <w:docGrid w:linePitch="360"/>
        </w:sectPr>
      </w:pPr>
    </w:p>
    <w:p w:rsidR="0042688C" w:rsidRPr="0042688C" w:rsidRDefault="0042688C" w:rsidP="0042688C">
      <w:pPr>
        <w:spacing w:after="0" w:line="240" w:lineRule="auto"/>
        <w:rPr>
          <w:rFonts w:ascii="Times New Roman" w:hAnsi="Times New Roman" w:cs="Times New Roman"/>
          <w:b/>
          <w:sz w:val="24"/>
        </w:rPr>
      </w:pPr>
      <w:r w:rsidRPr="0042688C">
        <w:rPr>
          <w:rFonts w:ascii="Times New Roman" w:hAnsi="Times New Roman" w:cs="Times New Roman"/>
          <w:b/>
          <w:sz w:val="24"/>
        </w:rPr>
        <w:t xml:space="preserve">Incidence by race/ethnicity </w:t>
      </w:r>
    </w:p>
    <w:p w:rsidR="0042688C" w:rsidRPr="0042688C" w:rsidRDefault="0042688C" w:rsidP="0042688C">
      <w:pPr>
        <w:spacing w:after="0" w:line="240" w:lineRule="auto"/>
        <w:rPr>
          <w:rFonts w:ascii="Times New Roman" w:hAnsi="Times New Roman" w:cs="Times New Roman"/>
          <w:sz w:val="24"/>
        </w:rPr>
      </w:pPr>
    </w:p>
    <w:p w:rsidR="0042688C" w:rsidRDefault="0042688C" w:rsidP="001C4DC1">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 xml:space="preserve">Among males and females, non-Hispanic whites had the highest age-adjusted incidence rates of oropharyngeal cancer (8.3 and 2.0 per 100,000 respectively). </w:t>
      </w:r>
    </w:p>
    <w:p w:rsidR="0042688C" w:rsidRDefault="0042688C" w:rsidP="0042688C">
      <w:pPr>
        <w:pStyle w:val="ListParagraph"/>
        <w:spacing w:after="0" w:line="240" w:lineRule="auto"/>
        <w:ind w:left="180"/>
        <w:rPr>
          <w:rFonts w:ascii="Times New Roman" w:hAnsi="Times New Roman" w:cs="Times New Roman"/>
          <w:sz w:val="24"/>
        </w:rPr>
      </w:pPr>
    </w:p>
    <w:p w:rsidR="00EA5059" w:rsidRPr="001C4DC1" w:rsidRDefault="005C5B08" w:rsidP="001C4DC1">
      <w:pPr>
        <w:pStyle w:val="ListParagraph"/>
        <w:numPr>
          <w:ilvl w:val="0"/>
          <w:numId w:val="4"/>
        </w:numPr>
        <w:spacing w:after="0" w:line="240" w:lineRule="auto"/>
        <w:ind w:left="180" w:hanging="180"/>
        <w:rPr>
          <w:rFonts w:ascii="Times New Roman" w:hAnsi="Times New Roman" w:cs="Times New Roman"/>
          <w:sz w:val="24"/>
        </w:rPr>
      </w:pPr>
      <w:r w:rsidRPr="001C4DC1">
        <w:rPr>
          <w:rFonts w:ascii="Times New Roman" w:hAnsi="Times New Roman" w:cs="Times New Roman"/>
          <w:sz w:val="24"/>
        </w:rPr>
        <w:t>The incidence</w:t>
      </w:r>
      <w:r w:rsidR="001C4DC1">
        <w:rPr>
          <w:rFonts w:ascii="Times New Roman" w:hAnsi="Times New Roman" w:cs="Times New Roman"/>
          <w:sz w:val="24"/>
        </w:rPr>
        <w:t xml:space="preserve"> rate of oropharyngeal cancer was 1.5</w:t>
      </w:r>
      <w:r w:rsidRPr="001C4DC1">
        <w:rPr>
          <w:rFonts w:ascii="Times New Roman" w:hAnsi="Times New Roman" w:cs="Times New Roman"/>
          <w:sz w:val="24"/>
        </w:rPr>
        <w:t xml:space="preserve"> times greater among non-Hispanic </w:t>
      </w:r>
      <w:r w:rsidR="001C4DC1">
        <w:rPr>
          <w:rFonts w:ascii="Times New Roman" w:hAnsi="Times New Roman" w:cs="Times New Roman"/>
          <w:sz w:val="24"/>
        </w:rPr>
        <w:t>white males</w:t>
      </w:r>
      <w:r w:rsidRPr="001C4DC1">
        <w:rPr>
          <w:rFonts w:ascii="Times New Roman" w:hAnsi="Times New Roman" w:cs="Times New Roman"/>
          <w:sz w:val="24"/>
        </w:rPr>
        <w:t xml:space="preserve"> than non-Hispanic </w:t>
      </w:r>
      <w:r w:rsidR="001C4DC1">
        <w:rPr>
          <w:rFonts w:ascii="Times New Roman" w:hAnsi="Times New Roman" w:cs="Times New Roman"/>
          <w:sz w:val="24"/>
        </w:rPr>
        <w:t xml:space="preserve">black males, and 1.6 times greater among </w:t>
      </w:r>
      <w:r w:rsidR="001C4DC1" w:rsidRPr="001C4DC1">
        <w:rPr>
          <w:rFonts w:ascii="Times New Roman" w:hAnsi="Times New Roman" w:cs="Times New Roman"/>
          <w:sz w:val="24"/>
        </w:rPr>
        <w:t xml:space="preserve">non-Hispanic </w:t>
      </w:r>
      <w:r w:rsidR="001C4DC1">
        <w:rPr>
          <w:rFonts w:ascii="Times New Roman" w:hAnsi="Times New Roman" w:cs="Times New Roman"/>
          <w:sz w:val="24"/>
        </w:rPr>
        <w:t>white females</w:t>
      </w:r>
      <w:r w:rsidR="001C4DC1" w:rsidRPr="001C4DC1">
        <w:rPr>
          <w:rFonts w:ascii="Times New Roman" w:hAnsi="Times New Roman" w:cs="Times New Roman"/>
          <w:sz w:val="24"/>
        </w:rPr>
        <w:t xml:space="preserve"> than non-Hispanic </w:t>
      </w:r>
      <w:r w:rsidR="001C4DC1">
        <w:rPr>
          <w:rFonts w:ascii="Times New Roman" w:hAnsi="Times New Roman" w:cs="Times New Roman"/>
          <w:sz w:val="24"/>
        </w:rPr>
        <w:t xml:space="preserve">black females. </w:t>
      </w:r>
    </w:p>
    <w:p w:rsidR="00EA5059" w:rsidRPr="00FB4794" w:rsidRDefault="00EA5059" w:rsidP="00EA5059">
      <w:pPr>
        <w:pStyle w:val="ListParagraph"/>
        <w:ind w:left="180" w:hanging="180"/>
        <w:rPr>
          <w:rFonts w:ascii="Times New Roman" w:hAnsi="Times New Roman" w:cs="Times New Roman"/>
          <w:sz w:val="24"/>
        </w:rPr>
      </w:pPr>
    </w:p>
    <w:p w:rsidR="00EA5059" w:rsidRDefault="005C5B08" w:rsidP="00EA5059">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Non-Hispanic w</w:t>
      </w:r>
      <w:r w:rsidR="005A61B3">
        <w:rPr>
          <w:rFonts w:ascii="Times New Roman" w:hAnsi="Times New Roman" w:cs="Times New Roman"/>
          <w:sz w:val="24"/>
        </w:rPr>
        <w:t>hite</w:t>
      </w:r>
      <w:r w:rsidR="001C4DC1">
        <w:rPr>
          <w:rFonts w:ascii="Times New Roman" w:hAnsi="Times New Roman" w:cs="Times New Roman"/>
          <w:sz w:val="24"/>
        </w:rPr>
        <w:t xml:space="preserve"> </w:t>
      </w:r>
      <w:r w:rsidR="00EA5059" w:rsidRPr="00FB4794">
        <w:rPr>
          <w:rFonts w:ascii="Times New Roman" w:hAnsi="Times New Roman" w:cs="Times New Roman"/>
          <w:sz w:val="24"/>
        </w:rPr>
        <w:t xml:space="preserve">and </w:t>
      </w:r>
      <w:r w:rsidR="001C4DC1">
        <w:rPr>
          <w:rFonts w:ascii="Times New Roman" w:hAnsi="Times New Roman" w:cs="Times New Roman"/>
          <w:sz w:val="24"/>
        </w:rPr>
        <w:t>Asian males had in</w:t>
      </w:r>
      <w:r w:rsidR="00EA5059" w:rsidRPr="00FB4794">
        <w:rPr>
          <w:rFonts w:ascii="Times New Roman" w:hAnsi="Times New Roman" w:cs="Times New Roman"/>
          <w:sz w:val="24"/>
        </w:rPr>
        <w:t xml:space="preserve">creases in the </w:t>
      </w:r>
      <w:r w:rsidR="0072171F">
        <w:rPr>
          <w:rFonts w:ascii="Times New Roman" w:hAnsi="Times New Roman" w:cs="Times New Roman"/>
          <w:sz w:val="24"/>
        </w:rPr>
        <w:t xml:space="preserve">age-adjusted </w:t>
      </w:r>
      <w:r w:rsidR="00EA5059" w:rsidRPr="00FB4794">
        <w:rPr>
          <w:rFonts w:ascii="Times New Roman" w:hAnsi="Times New Roman" w:cs="Times New Roman"/>
          <w:sz w:val="24"/>
        </w:rPr>
        <w:t xml:space="preserve">incidence rate of </w:t>
      </w:r>
      <w:r w:rsidR="001C4DC1">
        <w:rPr>
          <w:rFonts w:ascii="Times New Roman" w:hAnsi="Times New Roman" w:cs="Times New Roman"/>
          <w:sz w:val="24"/>
        </w:rPr>
        <w:t xml:space="preserve">oropharyngeal cancer from 2004-2014 </w:t>
      </w:r>
      <w:r w:rsidR="00505331">
        <w:rPr>
          <w:rFonts w:ascii="Times New Roman" w:hAnsi="Times New Roman" w:cs="Times New Roman"/>
          <w:sz w:val="24"/>
        </w:rPr>
        <w:t xml:space="preserve">with statistical significance </w:t>
      </w:r>
      <w:r w:rsidR="001C4DC1">
        <w:rPr>
          <w:rFonts w:ascii="Times New Roman" w:hAnsi="Times New Roman" w:cs="Times New Roman"/>
          <w:sz w:val="24"/>
        </w:rPr>
        <w:t>(3.2% and 15.1</w:t>
      </w:r>
      <w:r w:rsidR="00EA5059" w:rsidRPr="00FB4794">
        <w:rPr>
          <w:rFonts w:ascii="Times New Roman" w:hAnsi="Times New Roman" w:cs="Times New Roman"/>
          <w:sz w:val="24"/>
        </w:rPr>
        <w:t xml:space="preserve">% </w:t>
      </w:r>
      <w:r w:rsidR="00EA5059">
        <w:rPr>
          <w:rFonts w:ascii="Times New Roman" w:hAnsi="Times New Roman" w:cs="Times New Roman"/>
          <w:sz w:val="24"/>
        </w:rPr>
        <w:t>respectively).</w:t>
      </w:r>
      <w:r w:rsidR="0072171F">
        <w:rPr>
          <w:rFonts w:ascii="Times New Roman" w:hAnsi="Times New Roman" w:cs="Times New Roman"/>
          <w:sz w:val="24"/>
        </w:rPr>
        <w:t xml:space="preserve"> </w:t>
      </w:r>
      <w:r w:rsidR="001C4DC1">
        <w:rPr>
          <w:rFonts w:ascii="Times New Roman" w:hAnsi="Times New Roman" w:cs="Times New Roman"/>
          <w:sz w:val="24"/>
        </w:rPr>
        <w:t>Non-Hispanic white females had a</w:t>
      </w:r>
      <w:r w:rsidR="00505331">
        <w:rPr>
          <w:rFonts w:ascii="Times New Roman" w:hAnsi="Times New Roman" w:cs="Times New Roman"/>
          <w:sz w:val="24"/>
        </w:rPr>
        <w:t>n</w:t>
      </w:r>
      <w:r w:rsidR="001C4DC1">
        <w:rPr>
          <w:rFonts w:ascii="Times New Roman" w:hAnsi="Times New Roman" w:cs="Times New Roman"/>
          <w:sz w:val="24"/>
        </w:rPr>
        <w:t xml:space="preserve"> annual increase in the incidence rate from 2004-2012</w:t>
      </w:r>
      <w:r w:rsidR="00505331">
        <w:rPr>
          <w:rFonts w:ascii="Times New Roman" w:hAnsi="Times New Roman" w:cs="Times New Roman"/>
          <w:sz w:val="24"/>
        </w:rPr>
        <w:t xml:space="preserve"> with statistical significance</w:t>
      </w:r>
      <w:r w:rsidR="001C4DC1">
        <w:rPr>
          <w:rFonts w:ascii="Times New Roman" w:hAnsi="Times New Roman" w:cs="Times New Roman"/>
          <w:sz w:val="24"/>
        </w:rPr>
        <w:t xml:space="preserve"> (6.7%), but then saw a non-</w:t>
      </w:r>
      <w:r w:rsidR="00505331">
        <w:rPr>
          <w:rFonts w:ascii="Times New Roman" w:hAnsi="Times New Roman" w:cs="Times New Roman"/>
          <w:sz w:val="24"/>
        </w:rPr>
        <w:t xml:space="preserve">statistically </w:t>
      </w:r>
      <w:r w:rsidR="001C4DC1">
        <w:rPr>
          <w:rFonts w:ascii="Times New Roman" w:hAnsi="Times New Roman" w:cs="Times New Roman"/>
          <w:sz w:val="24"/>
        </w:rPr>
        <w:t xml:space="preserve">significant annual decrease in the incidence rate from 2012-2014. </w:t>
      </w:r>
    </w:p>
    <w:p w:rsidR="0042688C" w:rsidRPr="0042688C" w:rsidRDefault="0042688C" w:rsidP="0042688C">
      <w:pPr>
        <w:pStyle w:val="ListParagraph"/>
        <w:rPr>
          <w:rFonts w:ascii="Times New Roman" w:hAnsi="Times New Roman" w:cs="Times New Roman"/>
          <w:sz w:val="24"/>
        </w:rPr>
      </w:pPr>
    </w:p>
    <w:p w:rsidR="00505331" w:rsidRPr="0042688C" w:rsidRDefault="0042688C" w:rsidP="0042688C">
      <w:pPr>
        <w:rPr>
          <w:rFonts w:ascii="Times New Roman" w:hAnsi="Times New Roman" w:cs="Times New Roman"/>
          <w:b/>
          <w:sz w:val="24"/>
        </w:rPr>
      </w:pPr>
      <w:r w:rsidRPr="0042688C">
        <w:rPr>
          <w:rFonts w:ascii="Times New Roman" w:hAnsi="Times New Roman" w:cs="Times New Roman"/>
          <w:b/>
          <w:sz w:val="24"/>
        </w:rPr>
        <w:t xml:space="preserve">Mortality by race/ethnicity </w:t>
      </w:r>
    </w:p>
    <w:p w:rsidR="0042688C" w:rsidRDefault="005A61B3" w:rsidP="005A61B3">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 xml:space="preserve">Among males, non-Hispanic blacks had the highest age-adjusted mortality rate of oropharyngeal cancer (3.4 deaths per 100,000). </w:t>
      </w:r>
    </w:p>
    <w:p w:rsidR="0042688C" w:rsidRDefault="0042688C" w:rsidP="0042688C">
      <w:pPr>
        <w:pStyle w:val="ListParagraph"/>
        <w:spacing w:after="0" w:line="240" w:lineRule="auto"/>
        <w:ind w:left="180"/>
        <w:rPr>
          <w:rFonts w:ascii="Times New Roman" w:hAnsi="Times New Roman" w:cs="Times New Roman"/>
          <w:sz w:val="24"/>
        </w:rPr>
      </w:pPr>
    </w:p>
    <w:p w:rsidR="005A61B3" w:rsidRDefault="005A61B3" w:rsidP="005A61B3">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 xml:space="preserve">The mortality rate of oropharyngeal cancer was 1.4 times higher among non-Hispanic </w:t>
      </w:r>
      <w:r w:rsidR="00085845">
        <w:rPr>
          <w:rFonts w:ascii="Times New Roman" w:hAnsi="Times New Roman" w:cs="Times New Roman"/>
          <w:sz w:val="24"/>
        </w:rPr>
        <w:t>black</w:t>
      </w:r>
      <w:r>
        <w:rPr>
          <w:rFonts w:ascii="Times New Roman" w:hAnsi="Times New Roman" w:cs="Times New Roman"/>
          <w:sz w:val="24"/>
        </w:rPr>
        <w:t xml:space="preserve"> </w:t>
      </w:r>
      <w:r w:rsidR="00085845">
        <w:rPr>
          <w:rFonts w:ascii="Times New Roman" w:hAnsi="Times New Roman" w:cs="Times New Roman"/>
          <w:sz w:val="24"/>
        </w:rPr>
        <w:t>males than non-Hispanic white</w:t>
      </w:r>
      <w:r>
        <w:rPr>
          <w:rFonts w:ascii="Times New Roman" w:hAnsi="Times New Roman" w:cs="Times New Roman"/>
          <w:sz w:val="24"/>
        </w:rPr>
        <w:t xml:space="preserve"> males. </w:t>
      </w:r>
    </w:p>
    <w:p w:rsidR="005A61B3" w:rsidRPr="0072171F" w:rsidRDefault="005A61B3" w:rsidP="005A61B3">
      <w:pPr>
        <w:pStyle w:val="ListParagraph"/>
        <w:tabs>
          <w:tab w:val="left" w:pos="6570"/>
        </w:tabs>
        <w:rPr>
          <w:rFonts w:ascii="Times New Roman" w:hAnsi="Times New Roman" w:cs="Times New Roman"/>
          <w:sz w:val="24"/>
        </w:rPr>
      </w:pPr>
      <w:r>
        <w:rPr>
          <w:rFonts w:ascii="Times New Roman" w:hAnsi="Times New Roman" w:cs="Times New Roman"/>
          <w:sz w:val="24"/>
        </w:rPr>
        <w:tab/>
      </w:r>
    </w:p>
    <w:p w:rsidR="005A61B3" w:rsidRDefault="005A61B3" w:rsidP="005A61B3">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There were no</w:t>
      </w:r>
      <w:r w:rsidR="00505331">
        <w:rPr>
          <w:rFonts w:ascii="Times New Roman" w:hAnsi="Times New Roman" w:cs="Times New Roman"/>
          <w:sz w:val="24"/>
        </w:rPr>
        <w:t xml:space="preserve"> statistically</w:t>
      </w:r>
      <w:r>
        <w:rPr>
          <w:rFonts w:ascii="Times New Roman" w:hAnsi="Times New Roman" w:cs="Times New Roman"/>
          <w:sz w:val="24"/>
        </w:rPr>
        <w:t xml:space="preserve"> significant changes in the annual mortality rates of oropharyngeal cancer for any race/ethnicity from 2008-2014 in Massachusetts. </w:t>
      </w:r>
    </w:p>
    <w:p w:rsidR="00505331" w:rsidRPr="00505331" w:rsidRDefault="00505331" w:rsidP="00505331">
      <w:pPr>
        <w:pStyle w:val="ListParagraph"/>
        <w:rPr>
          <w:rFonts w:ascii="Times New Roman" w:hAnsi="Times New Roman" w:cs="Times New Roman"/>
          <w:sz w:val="24"/>
        </w:rPr>
      </w:pPr>
    </w:p>
    <w:p w:rsidR="00505331" w:rsidRDefault="00505331" w:rsidP="00505331">
      <w:pPr>
        <w:spacing w:after="0" w:line="240" w:lineRule="auto"/>
        <w:rPr>
          <w:rFonts w:ascii="Times New Roman" w:hAnsi="Times New Roman" w:cs="Times New Roman"/>
          <w:sz w:val="24"/>
        </w:rPr>
      </w:pPr>
    </w:p>
    <w:p w:rsidR="00505331" w:rsidRDefault="00505331" w:rsidP="00505331">
      <w:pPr>
        <w:spacing w:after="0" w:line="240" w:lineRule="auto"/>
        <w:rPr>
          <w:rFonts w:ascii="Times New Roman" w:hAnsi="Times New Roman" w:cs="Times New Roman"/>
          <w:sz w:val="24"/>
        </w:rPr>
      </w:pPr>
    </w:p>
    <w:p w:rsidR="00505331" w:rsidRDefault="00505331" w:rsidP="00505331">
      <w:pPr>
        <w:spacing w:after="0" w:line="240" w:lineRule="auto"/>
        <w:rPr>
          <w:rFonts w:ascii="Times New Roman" w:hAnsi="Times New Roman" w:cs="Times New Roman"/>
          <w:sz w:val="24"/>
        </w:rPr>
      </w:pPr>
    </w:p>
    <w:p w:rsidR="00505331" w:rsidRDefault="00505331" w:rsidP="00505331">
      <w:pPr>
        <w:spacing w:after="0" w:line="240" w:lineRule="auto"/>
        <w:rPr>
          <w:rFonts w:ascii="Times New Roman" w:hAnsi="Times New Roman" w:cs="Times New Roman"/>
          <w:sz w:val="24"/>
        </w:rPr>
      </w:pPr>
    </w:p>
    <w:p w:rsidR="00505331" w:rsidRDefault="00505331" w:rsidP="00505331">
      <w:pPr>
        <w:spacing w:after="0" w:line="240" w:lineRule="auto"/>
        <w:rPr>
          <w:rFonts w:ascii="Times New Roman" w:hAnsi="Times New Roman" w:cs="Times New Roman"/>
          <w:sz w:val="24"/>
        </w:rPr>
        <w:sectPr w:rsidR="00505331" w:rsidSect="00A278E6">
          <w:type w:val="continuous"/>
          <w:pgSz w:w="12240" w:h="15840"/>
          <w:pgMar w:top="864" w:right="864" w:bottom="864" w:left="864" w:header="720" w:footer="720" w:gutter="0"/>
          <w:cols w:num="2" w:space="288"/>
          <w:docGrid w:linePitch="360"/>
        </w:sectPr>
      </w:pPr>
    </w:p>
    <w:tbl>
      <w:tblPr>
        <w:tblStyle w:val="TableGrid"/>
        <w:tblpPr w:leftFromText="180" w:rightFromText="180" w:vertAnchor="page" w:horzAnchor="margin" w:tblpY="842"/>
        <w:tblW w:w="10440" w:type="dxa"/>
        <w:tblLayout w:type="fixed"/>
        <w:tblLook w:val="04A0" w:firstRow="1" w:lastRow="0" w:firstColumn="1" w:lastColumn="0" w:noHBand="0" w:noVBand="1"/>
      </w:tblPr>
      <w:tblGrid>
        <w:gridCol w:w="738"/>
        <w:gridCol w:w="720"/>
        <w:gridCol w:w="810"/>
        <w:gridCol w:w="900"/>
        <w:gridCol w:w="810"/>
        <w:gridCol w:w="6462"/>
      </w:tblGrid>
      <w:tr w:rsidR="00505331" w:rsidRPr="00902D3A" w:rsidTr="00505331">
        <w:trPr>
          <w:trHeight w:val="620"/>
        </w:trPr>
        <w:tc>
          <w:tcPr>
            <w:tcW w:w="10440" w:type="dxa"/>
            <w:gridSpan w:val="6"/>
            <w:tcBorders>
              <w:top w:val="nil"/>
              <w:left w:val="nil"/>
              <w:bottom w:val="single" w:sz="4" w:space="0" w:color="auto"/>
              <w:right w:val="nil"/>
            </w:tcBorders>
            <w:vAlign w:val="center"/>
          </w:tcPr>
          <w:p w:rsidR="00505331" w:rsidRDefault="00505331" w:rsidP="00505331">
            <w:pPr>
              <w:rPr>
                <w:rFonts w:ascii="Times New Roman" w:hAnsi="Times New Roman" w:cs="Times New Roman"/>
                <w:b/>
                <w:color w:val="1F497D" w:themeColor="text2"/>
                <w:sz w:val="24"/>
              </w:rPr>
            </w:pPr>
            <w:r>
              <w:rPr>
                <w:rFonts w:ascii="Times New Roman" w:hAnsi="Times New Roman" w:cs="Times New Roman"/>
                <w:b/>
                <w:color w:val="1F497D" w:themeColor="text2"/>
                <w:sz w:val="24"/>
              </w:rPr>
              <w:lastRenderedPageBreak/>
              <w:t>PATTERNS OF OROPHARYNGEAL CANCER BY STAGE AT DIAGNOSIS</w:t>
            </w:r>
          </w:p>
        </w:tc>
      </w:tr>
      <w:tr w:rsidR="00505331" w:rsidRPr="00902D3A" w:rsidTr="00505331">
        <w:trPr>
          <w:trHeight w:val="620"/>
        </w:trPr>
        <w:tc>
          <w:tcPr>
            <w:tcW w:w="10440" w:type="dxa"/>
            <w:gridSpan w:val="6"/>
            <w:tcBorders>
              <w:bottom w:val="single" w:sz="4" w:space="0" w:color="auto"/>
            </w:tcBorders>
            <w:vAlign w:val="center"/>
          </w:tcPr>
          <w:p w:rsidR="00505331" w:rsidRDefault="00505331" w:rsidP="00D70135">
            <w:pPr>
              <w:rPr>
                <w:rFonts w:ascii="Times New Roman" w:hAnsi="Times New Roman" w:cs="Times New Roman"/>
                <w:b/>
                <w:color w:val="1F497D" w:themeColor="text2"/>
                <w:sz w:val="24"/>
              </w:rPr>
            </w:pPr>
            <w:r>
              <w:rPr>
                <w:rFonts w:ascii="Times New Roman" w:hAnsi="Times New Roman" w:cs="Times New Roman"/>
                <w:b/>
                <w:color w:val="1F497D" w:themeColor="text2"/>
                <w:sz w:val="24"/>
              </w:rPr>
              <w:t xml:space="preserve">Figure 4. </w:t>
            </w:r>
            <w:r w:rsidR="00D70135">
              <w:rPr>
                <w:rFonts w:ascii="Times New Roman" w:hAnsi="Times New Roman" w:cs="Times New Roman"/>
                <w:b/>
                <w:color w:val="1F497D" w:themeColor="text2"/>
                <w:sz w:val="24"/>
              </w:rPr>
              <w:t>Number, percentage distribution, and incidence rate^</w:t>
            </w:r>
            <w:r>
              <w:rPr>
                <w:rFonts w:ascii="Times New Roman" w:hAnsi="Times New Roman" w:cs="Times New Roman"/>
                <w:b/>
                <w:color w:val="1F497D" w:themeColor="text2"/>
                <w:sz w:val="24"/>
              </w:rPr>
              <w:t xml:space="preserve"> of oropharyngeal cancer </w:t>
            </w:r>
            <w:r w:rsidR="00D70135">
              <w:rPr>
                <w:rFonts w:ascii="Times New Roman" w:hAnsi="Times New Roman" w:cs="Times New Roman"/>
                <w:b/>
                <w:color w:val="1F497D" w:themeColor="text2"/>
                <w:sz w:val="24"/>
              </w:rPr>
              <w:t>cases by stage at diagnosis^^</w:t>
            </w:r>
            <w:r>
              <w:rPr>
                <w:rFonts w:ascii="Times New Roman" w:hAnsi="Times New Roman" w:cs="Times New Roman"/>
                <w:b/>
                <w:color w:val="1F497D" w:themeColor="text2"/>
                <w:sz w:val="24"/>
              </w:rPr>
              <w:t>, Massachusetts, 2004-2014</w:t>
            </w:r>
          </w:p>
        </w:tc>
      </w:tr>
      <w:tr w:rsidR="00505331" w:rsidRPr="00902D3A" w:rsidTr="00505331">
        <w:trPr>
          <w:trHeight w:val="1431"/>
        </w:trPr>
        <w:tc>
          <w:tcPr>
            <w:tcW w:w="3978" w:type="dxa"/>
            <w:gridSpan w:val="5"/>
            <w:tcBorders>
              <w:bottom w:val="single" w:sz="4" w:space="0" w:color="auto"/>
              <w:right w:val="nil"/>
            </w:tcBorders>
            <w:vAlign w:val="bottom"/>
          </w:tcPr>
          <w:p w:rsidR="00505331" w:rsidRPr="00746B3D" w:rsidRDefault="00505331" w:rsidP="00505331">
            <w:pPr>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Stage at diagnosis</w:t>
            </w:r>
          </w:p>
        </w:tc>
        <w:tc>
          <w:tcPr>
            <w:tcW w:w="6462" w:type="dxa"/>
            <w:vMerge w:val="restart"/>
            <w:tcBorders>
              <w:left w:val="nil"/>
            </w:tcBorders>
            <w:vAlign w:val="center"/>
          </w:tcPr>
          <w:p w:rsidR="00505331" w:rsidRPr="00902D3A" w:rsidRDefault="00505331" w:rsidP="00505331">
            <w:pPr>
              <w:ind w:left="-558"/>
              <w:jc w:val="center"/>
              <w:rPr>
                <w:rFonts w:ascii="Times New Roman" w:hAnsi="Times New Roman" w:cs="Times New Roman"/>
                <w:b/>
                <w:color w:val="1F497D" w:themeColor="text2"/>
                <w:sz w:val="24"/>
              </w:rPr>
            </w:pPr>
            <w:r>
              <w:rPr>
                <w:noProof/>
              </w:rPr>
              <w:drawing>
                <wp:anchor distT="0" distB="0" distL="114300" distR="114300" simplePos="0" relativeHeight="251687936" behindDoc="0" locked="0" layoutInCell="1" allowOverlap="1" wp14:anchorId="0265DD6B" wp14:editId="18EC111D">
                  <wp:simplePos x="0" y="0"/>
                  <wp:positionH relativeFrom="column">
                    <wp:posOffset>5080</wp:posOffset>
                  </wp:positionH>
                  <wp:positionV relativeFrom="paragraph">
                    <wp:posOffset>-85090</wp:posOffset>
                  </wp:positionV>
                  <wp:extent cx="3911600" cy="2400300"/>
                  <wp:effectExtent l="0" t="0" r="0" b="0"/>
                  <wp:wrapNone/>
                  <wp:docPr id="13" name="Chart 13" descr="Stage I disease increased by 0.31% each year from 2004 to 2014 without statistical significance. Stage II disease increased by 4.77% each year from 2004 to 2014 with statistical significance. Stage III disease increased by 0.12% each year from 2004 to 2014 without statistical significance. Stage IV disease decreased by 10.6% each year from 2004 to 2014 with statistical significance. Data are from the Massachusetts cancer registry. " title="Figure 4. Number, percentage distribution, and incidence rate of oropharyngeal cancer cases by stage at diagnosis, Massachusetts 2004-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tc>
      </w:tr>
      <w:tr w:rsidR="00505331" w:rsidRPr="00902D3A" w:rsidTr="00505331">
        <w:trPr>
          <w:trHeight w:val="684"/>
        </w:trPr>
        <w:tc>
          <w:tcPr>
            <w:tcW w:w="738" w:type="dxa"/>
            <w:tcBorders>
              <w:bottom w:val="single" w:sz="4" w:space="0" w:color="auto"/>
              <w:right w:val="nil"/>
            </w:tcBorders>
            <w:vAlign w:val="center"/>
          </w:tcPr>
          <w:p w:rsidR="00505331" w:rsidRPr="00746B3D" w:rsidRDefault="00505331" w:rsidP="00505331">
            <w:pPr>
              <w:rPr>
                <w:rFonts w:ascii="Times New Roman" w:hAnsi="Times New Roman" w:cs="Times New Roman"/>
                <w:b/>
                <w:color w:val="1F497D" w:themeColor="text2"/>
                <w:sz w:val="20"/>
              </w:rPr>
            </w:pPr>
          </w:p>
        </w:tc>
        <w:tc>
          <w:tcPr>
            <w:tcW w:w="720" w:type="dxa"/>
            <w:tcBorders>
              <w:left w:val="nil"/>
              <w:bottom w:val="single" w:sz="4" w:space="0" w:color="auto"/>
              <w:right w:val="nil"/>
            </w:tcBorders>
            <w:vAlign w:val="bottom"/>
          </w:tcPr>
          <w:p w:rsidR="00505331" w:rsidRDefault="00505331" w:rsidP="00505331">
            <w:pPr>
              <w:ind w:left="-112" w:right="-81"/>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 xml:space="preserve">Stage I </w:t>
            </w:r>
          </w:p>
          <w:p w:rsidR="00505331" w:rsidRPr="00DB4C51" w:rsidRDefault="00505331" w:rsidP="00505331">
            <w:pPr>
              <w:ind w:left="-112" w:right="-81"/>
              <w:jc w:val="center"/>
              <w:rPr>
                <w:rFonts w:ascii="Times New Roman" w:hAnsi="Times New Roman" w:cs="Times New Roman"/>
                <w:color w:val="1F497D" w:themeColor="text2"/>
                <w:sz w:val="20"/>
              </w:rPr>
            </w:pPr>
            <w:r w:rsidRPr="00DB4C51">
              <w:rPr>
                <w:rFonts w:ascii="Times New Roman" w:hAnsi="Times New Roman" w:cs="Times New Roman"/>
                <w:color w:val="1F497D" w:themeColor="text2"/>
                <w:sz w:val="20"/>
              </w:rPr>
              <w:t>N (%)</w:t>
            </w:r>
          </w:p>
        </w:tc>
        <w:tc>
          <w:tcPr>
            <w:tcW w:w="810" w:type="dxa"/>
            <w:tcBorders>
              <w:left w:val="nil"/>
              <w:bottom w:val="single" w:sz="4" w:space="0" w:color="auto"/>
              <w:right w:val="nil"/>
            </w:tcBorders>
            <w:vAlign w:val="bottom"/>
          </w:tcPr>
          <w:p w:rsidR="00505331" w:rsidRDefault="00505331" w:rsidP="00505331">
            <w:pPr>
              <w:ind w:left="-112" w:right="-81"/>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 xml:space="preserve">Stage II </w:t>
            </w:r>
          </w:p>
          <w:p w:rsidR="00505331" w:rsidRPr="00746B3D" w:rsidRDefault="00505331" w:rsidP="00505331">
            <w:pPr>
              <w:ind w:left="-55" w:right="-58"/>
              <w:jc w:val="center"/>
              <w:rPr>
                <w:rFonts w:ascii="Times New Roman" w:hAnsi="Times New Roman" w:cs="Times New Roman"/>
                <w:b/>
                <w:color w:val="1F497D" w:themeColor="text2"/>
                <w:sz w:val="20"/>
              </w:rPr>
            </w:pPr>
            <w:r w:rsidRPr="00DB4C51">
              <w:rPr>
                <w:rFonts w:ascii="Times New Roman" w:hAnsi="Times New Roman" w:cs="Times New Roman"/>
                <w:color w:val="1F497D" w:themeColor="text2"/>
                <w:sz w:val="20"/>
              </w:rPr>
              <w:t>N (%)</w:t>
            </w:r>
          </w:p>
        </w:tc>
        <w:tc>
          <w:tcPr>
            <w:tcW w:w="900" w:type="dxa"/>
            <w:tcBorders>
              <w:left w:val="nil"/>
              <w:bottom w:val="single" w:sz="4" w:space="0" w:color="auto"/>
              <w:right w:val="nil"/>
            </w:tcBorders>
            <w:vAlign w:val="bottom"/>
          </w:tcPr>
          <w:p w:rsidR="00505331" w:rsidRDefault="00505331" w:rsidP="00505331">
            <w:pPr>
              <w:ind w:left="-112" w:right="-81"/>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 xml:space="preserve">Stage III </w:t>
            </w:r>
          </w:p>
          <w:p w:rsidR="00505331" w:rsidRPr="00746B3D" w:rsidRDefault="00505331" w:rsidP="00505331">
            <w:pPr>
              <w:ind w:left="-78" w:right="-35"/>
              <w:jc w:val="center"/>
              <w:rPr>
                <w:rFonts w:ascii="Times New Roman" w:hAnsi="Times New Roman" w:cs="Times New Roman"/>
                <w:b/>
                <w:color w:val="1F497D" w:themeColor="text2"/>
                <w:sz w:val="20"/>
              </w:rPr>
            </w:pPr>
            <w:r w:rsidRPr="00DB4C51">
              <w:rPr>
                <w:rFonts w:ascii="Times New Roman" w:hAnsi="Times New Roman" w:cs="Times New Roman"/>
                <w:color w:val="1F497D" w:themeColor="text2"/>
                <w:sz w:val="20"/>
              </w:rPr>
              <w:t>N (%)</w:t>
            </w:r>
          </w:p>
        </w:tc>
        <w:tc>
          <w:tcPr>
            <w:tcW w:w="810" w:type="dxa"/>
            <w:tcBorders>
              <w:left w:val="nil"/>
              <w:bottom w:val="single" w:sz="4" w:space="0" w:color="auto"/>
              <w:right w:val="single" w:sz="4" w:space="0" w:color="auto"/>
            </w:tcBorders>
            <w:vAlign w:val="bottom"/>
          </w:tcPr>
          <w:p w:rsidR="00505331" w:rsidRDefault="00505331" w:rsidP="00505331">
            <w:pPr>
              <w:ind w:left="-112" w:right="-81"/>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 xml:space="preserve">Stage IV </w:t>
            </w:r>
          </w:p>
          <w:p w:rsidR="00505331" w:rsidRPr="00746B3D" w:rsidRDefault="00505331" w:rsidP="00505331">
            <w:pPr>
              <w:tabs>
                <w:tab w:val="left" w:pos="809"/>
              </w:tabs>
              <w:ind w:left="-91" w:right="-102"/>
              <w:jc w:val="center"/>
              <w:rPr>
                <w:rFonts w:ascii="Times New Roman" w:hAnsi="Times New Roman" w:cs="Times New Roman"/>
                <w:b/>
                <w:color w:val="1F497D" w:themeColor="text2"/>
                <w:sz w:val="20"/>
              </w:rPr>
            </w:pPr>
            <w:r w:rsidRPr="00DB4C51">
              <w:rPr>
                <w:rFonts w:ascii="Times New Roman" w:hAnsi="Times New Roman" w:cs="Times New Roman"/>
                <w:color w:val="1F497D" w:themeColor="text2"/>
                <w:sz w:val="20"/>
              </w:rPr>
              <w:t>N (%)</w:t>
            </w:r>
          </w:p>
        </w:tc>
        <w:tc>
          <w:tcPr>
            <w:tcW w:w="6462" w:type="dxa"/>
            <w:vMerge/>
            <w:tcBorders>
              <w:left w:val="single" w:sz="4" w:space="0" w:color="auto"/>
            </w:tcBorders>
            <w:vAlign w:val="center"/>
          </w:tcPr>
          <w:p w:rsidR="00505331" w:rsidRPr="00902D3A" w:rsidRDefault="00505331" w:rsidP="00505331">
            <w:pPr>
              <w:ind w:left="-558"/>
              <w:jc w:val="center"/>
              <w:rPr>
                <w:rFonts w:ascii="Times New Roman" w:hAnsi="Times New Roman" w:cs="Times New Roman"/>
                <w:b/>
                <w:color w:val="1F497D" w:themeColor="text2"/>
                <w:sz w:val="24"/>
              </w:rPr>
            </w:pPr>
          </w:p>
        </w:tc>
      </w:tr>
      <w:tr w:rsidR="00505331" w:rsidRPr="00902D3A" w:rsidTr="00505331">
        <w:trPr>
          <w:trHeight w:val="630"/>
        </w:trPr>
        <w:tc>
          <w:tcPr>
            <w:tcW w:w="738" w:type="dxa"/>
            <w:tcBorders>
              <w:bottom w:val="nil"/>
              <w:right w:val="nil"/>
            </w:tcBorders>
            <w:vAlign w:val="center"/>
          </w:tcPr>
          <w:p w:rsidR="00505331" w:rsidRPr="006D78BD" w:rsidRDefault="00505331" w:rsidP="00505331">
            <w:pPr>
              <w:ind w:left="-10" w:right="-104"/>
              <w:rPr>
                <w:rFonts w:ascii="Times New Roman" w:hAnsi="Times New Roman" w:cs="Times New Roman"/>
                <w:sz w:val="20"/>
              </w:rPr>
            </w:pPr>
            <w:r>
              <w:rPr>
                <w:rFonts w:ascii="Times New Roman" w:hAnsi="Times New Roman" w:cs="Times New Roman"/>
                <w:sz w:val="20"/>
              </w:rPr>
              <w:t>Overall</w:t>
            </w:r>
          </w:p>
        </w:tc>
        <w:tc>
          <w:tcPr>
            <w:tcW w:w="720" w:type="dxa"/>
            <w:tcBorders>
              <w:left w:val="nil"/>
              <w:bottom w:val="nil"/>
              <w:right w:val="nil"/>
            </w:tcBorders>
            <w:vAlign w:val="center"/>
          </w:tcPr>
          <w:p w:rsidR="00505331" w:rsidRPr="001B677B" w:rsidRDefault="00505331" w:rsidP="00505331">
            <w:pPr>
              <w:jc w:val="center"/>
              <w:rPr>
                <w:rFonts w:ascii="Times New Roman" w:hAnsi="Times New Roman" w:cs="Times New Roman"/>
                <w:sz w:val="20"/>
                <w:szCs w:val="20"/>
              </w:rPr>
            </w:pPr>
            <w:r>
              <w:rPr>
                <w:rFonts w:ascii="Times New Roman" w:hAnsi="Times New Roman" w:cs="Times New Roman"/>
                <w:sz w:val="20"/>
                <w:szCs w:val="20"/>
              </w:rPr>
              <w:t>556 (13.9)</w:t>
            </w:r>
          </w:p>
        </w:tc>
        <w:tc>
          <w:tcPr>
            <w:tcW w:w="810" w:type="dxa"/>
            <w:tcBorders>
              <w:left w:val="nil"/>
              <w:bottom w:val="nil"/>
              <w:right w:val="nil"/>
            </w:tcBorders>
            <w:vAlign w:val="center"/>
          </w:tcPr>
          <w:p w:rsidR="00505331" w:rsidRPr="001B677B" w:rsidRDefault="00505331" w:rsidP="00505331">
            <w:pPr>
              <w:jc w:val="center"/>
              <w:rPr>
                <w:rFonts w:ascii="Times New Roman" w:hAnsi="Times New Roman" w:cs="Times New Roman"/>
                <w:sz w:val="20"/>
                <w:szCs w:val="20"/>
              </w:rPr>
            </w:pPr>
            <w:r>
              <w:rPr>
                <w:rFonts w:ascii="Times New Roman" w:hAnsi="Times New Roman" w:cs="Times New Roman"/>
                <w:sz w:val="20"/>
                <w:szCs w:val="20"/>
              </w:rPr>
              <w:t>2,701 (67.6)</w:t>
            </w:r>
          </w:p>
        </w:tc>
        <w:tc>
          <w:tcPr>
            <w:tcW w:w="900" w:type="dxa"/>
            <w:tcBorders>
              <w:left w:val="nil"/>
              <w:bottom w:val="nil"/>
              <w:right w:val="nil"/>
            </w:tcBorders>
            <w:vAlign w:val="center"/>
          </w:tcPr>
          <w:p w:rsidR="00505331" w:rsidRPr="001B677B" w:rsidRDefault="00505331" w:rsidP="00505331">
            <w:pPr>
              <w:jc w:val="center"/>
              <w:rPr>
                <w:rFonts w:ascii="Times New Roman" w:hAnsi="Times New Roman" w:cs="Times New Roman"/>
                <w:sz w:val="20"/>
                <w:szCs w:val="20"/>
              </w:rPr>
            </w:pPr>
            <w:r>
              <w:rPr>
                <w:rFonts w:ascii="Times New Roman" w:hAnsi="Times New Roman" w:cs="Times New Roman"/>
                <w:sz w:val="20"/>
                <w:szCs w:val="20"/>
              </w:rPr>
              <w:t>686 (17.2)</w:t>
            </w:r>
          </w:p>
        </w:tc>
        <w:tc>
          <w:tcPr>
            <w:tcW w:w="810" w:type="dxa"/>
            <w:tcBorders>
              <w:left w:val="nil"/>
              <w:bottom w:val="nil"/>
              <w:right w:val="single" w:sz="4" w:space="0" w:color="auto"/>
            </w:tcBorders>
            <w:vAlign w:val="center"/>
          </w:tcPr>
          <w:p w:rsidR="00505331" w:rsidRPr="001B677B" w:rsidRDefault="00505331" w:rsidP="00505331">
            <w:pPr>
              <w:jc w:val="center"/>
              <w:rPr>
                <w:rFonts w:ascii="Times New Roman" w:hAnsi="Times New Roman" w:cs="Times New Roman"/>
                <w:sz w:val="20"/>
                <w:szCs w:val="20"/>
              </w:rPr>
            </w:pPr>
            <w:r>
              <w:rPr>
                <w:rFonts w:ascii="Times New Roman" w:hAnsi="Times New Roman" w:cs="Times New Roman"/>
                <w:sz w:val="20"/>
                <w:szCs w:val="20"/>
              </w:rPr>
              <w:t>53 (1.3)</w:t>
            </w:r>
          </w:p>
        </w:tc>
        <w:tc>
          <w:tcPr>
            <w:tcW w:w="6462" w:type="dxa"/>
            <w:vMerge/>
            <w:tcBorders>
              <w:left w:val="single" w:sz="4" w:space="0" w:color="auto"/>
            </w:tcBorders>
            <w:vAlign w:val="center"/>
          </w:tcPr>
          <w:p w:rsidR="00505331" w:rsidRPr="00902D3A" w:rsidRDefault="00505331" w:rsidP="00505331">
            <w:pPr>
              <w:ind w:left="-558"/>
              <w:jc w:val="center"/>
              <w:rPr>
                <w:rFonts w:ascii="Times New Roman" w:hAnsi="Times New Roman" w:cs="Times New Roman"/>
                <w:b/>
                <w:color w:val="1F497D" w:themeColor="text2"/>
                <w:sz w:val="24"/>
              </w:rPr>
            </w:pPr>
          </w:p>
        </w:tc>
      </w:tr>
      <w:tr w:rsidR="00505331" w:rsidRPr="00902D3A" w:rsidTr="00505331">
        <w:trPr>
          <w:trHeight w:val="621"/>
        </w:trPr>
        <w:tc>
          <w:tcPr>
            <w:tcW w:w="738" w:type="dxa"/>
            <w:tcBorders>
              <w:top w:val="nil"/>
              <w:bottom w:val="nil"/>
              <w:right w:val="nil"/>
            </w:tcBorders>
            <w:vAlign w:val="center"/>
          </w:tcPr>
          <w:p w:rsidR="00505331" w:rsidRPr="006D78BD" w:rsidRDefault="00505331" w:rsidP="00505331">
            <w:pPr>
              <w:ind w:left="-10" w:right="-104"/>
              <w:rPr>
                <w:rFonts w:ascii="Times New Roman" w:hAnsi="Times New Roman" w:cs="Times New Roman"/>
                <w:sz w:val="20"/>
              </w:rPr>
            </w:pPr>
            <w:r>
              <w:rPr>
                <w:rFonts w:ascii="Times New Roman" w:hAnsi="Times New Roman" w:cs="Times New Roman"/>
                <w:sz w:val="20"/>
              </w:rPr>
              <w:t>Male</w:t>
            </w:r>
          </w:p>
        </w:tc>
        <w:tc>
          <w:tcPr>
            <w:tcW w:w="720" w:type="dxa"/>
            <w:tcBorders>
              <w:top w:val="nil"/>
              <w:left w:val="nil"/>
              <w:bottom w:val="nil"/>
              <w:right w:val="nil"/>
            </w:tcBorders>
            <w:vAlign w:val="center"/>
          </w:tcPr>
          <w:p w:rsidR="00505331" w:rsidRPr="001B677B" w:rsidRDefault="00505331" w:rsidP="00505331">
            <w:pPr>
              <w:jc w:val="center"/>
              <w:rPr>
                <w:rFonts w:ascii="Times New Roman" w:hAnsi="Times New Roman" w:cs="Times New Roman"/>
                <w:sz w:val="20"/>
                <w:szCs w:val="20"/>
              </w:rPr>
            </w:pPr>
            <w:r>
              <w:rPr>
                <w:rFonts w:ascii="Times New Roman" w:hAnsi="Times New Roman" w:cs="Times New Roman"/>
                <w:sz w:val="20"/>
                <w:szCs w:val="20"/>
              </w:rPr>
              <w:t>381 (12.2)</w:t>
            </w:r>
          </w:p>
        </w:tc>
        <w:tc>
          <w:tcPr>
            <w:tcW w:w="810" w:type="dxa"/>
            <w:tcBorders>
              <w:top w:val="nil"/>
              <w:left w:val="nil"/>
              <w:bottom w:val="nil"/>
              <w:right w:val="nil"/>
            </w:tcBorders>
            <w:vAlign w:val="center"/>
          </w:tcPr>
          <w:p w:rsidR="00505331" w:rsidRPr="001B677B" w:rsidRDefault="00505331" w:rsidP="00505331">
            <w:pPr>
              <w:jc w:val="center"/>
              <w:rPr>
                <w:rFonts w:ascii="Times New Roman" w:hAnsi="Times New Roman" w:cs="Times New Roman"/>
                <w:sz w:val="20"/>
                <w:szCs w:val="20"/>
              </w:rPr>
            </w:pPr>
            <w:r>
              <w:rPr>
                <w:rFonts w:ascii="Times New Roman" w:hAnsi="Times New Roman" w:cs="Times New Roman"/>
                <w:sz w:val="20"/>
                <w:szCs w:val="20"/>
              </w:rPr>
              <w:t>2,147 (68.7)</w:t>
            </w:r>
          </w:p>
        </w:tc>
        <w:tc>
          <w:tcPr>
            <w:tcW w:w="900" w:type="dxa"/>
            <w:tcBorders>
              <w:top w:val="nil"/>
              <w:left w:val="nil"/>
              <w:bottom w:val="nil"/>
              <w:right w:val="nil"/>
            </w:tcBorders>
            <w:vAlign w:val="center"/>
          </w:tcPr>
          <w:p w:rsidR="00505331" w:rsidRPr="001B677B" w:rsidRDefault="00505331" w:rsidP="00505331">
            <w:pPr>
              <w:jc w:val="center"/>
              <w:rPr>
                <w:rFonts w:ascii="Times New Roman" w:hAnsi="Times New Roman" w:cs="Times New Roman"/>
                <w:sz w:val="20"/>
                <w:szCs w:val="20"/>
              </w:rPr>
            </w:pPr>
            <w:r>
              <w:rPr>
                <w:rFonts w:ascii="Times New Roman" w:hAnsi="Times New Roman" w:cs="Times New Roman"/>
                <w:sz w:val="20"/>
                <w:szCs w:val="20"/>
              </w:rPr>
              <w:t>556 (17.8)</w:t>
            </w:r>
          </w:p>
        </w:tc>
        <w:tc>
          <w:tcPr>
            <w:tcW w:w="810" w:type="dxa"/>
            <w:tcBorders>
              <w:top w:val="nil"/>
              <w:left w:val="nil"/>
              <w:bottom w:val="nil"/>
              <w:right w:val="single" w:sz="4" w:space="0" w:color="auto"/>
            </w:tcBorders>
            <w:vAlign w:val="center"/>
          </w:tcPr>
          <w:p w:rsidR="00505331" w:rsidRPr="001B677B" w:rsidRDefault="00505331" w:rsidP="00505331">
            <w:pPr>
              <w:jc w:val="center"/>
              <w:rPr>
                <w:rFonts w:ascii="Times New Roman" w:hAnsi="Times New Roman" w:cs="Times New Roman"/>
                <w:sz w:val="20"/>
                <w:szCs w:val="20"/>
              </w:rPr>
            </w:pPr>
            <w:r>
              <w:rPr>
                <w:rFonts w:ascii="Times New Roman" w:hAnsi="Times New Roman" w:cs="Times New Roman"/>
                <w:sz w:val="20"/>
                <w:szCs w:val="20"/>
              </w:rPr>
              <w:t>43 (1.4)</w:t>
            </w:r>
          </w:p>
        </w:tc>
        <w:tc>
          <w:tcPr>
            <w:tcW w:w="6462" w:type="dxa"/>
            <w:vMerge/>
            <w:tcBorders>
              <w:left w:val="single" w:sz="4" w:space="0" w:color="auto"/>
            </w:tcBorders>
            <w:vAlign w:val="center"/>
          </w:tcPr>
          <w:p w:rsidR="00505331" w:rsidRPr="00902D3A" w:rsidRDefault="00505331" w:rsidP="00505331">
            <w:pPr>
              <w:ind w:left="-558"/>
              <w:jc w:val="center"/>
              <w:rPr>
                <w:rFonts w:ascii="Times New Roman" w:hAnsi="Times New Roman" w:cs="Times New Roman"/>
                <w:b/>
                <w:color w:val="1F497D" w:themeColor="text2"/>
                <w:sz w:val="24"/>
              </w:rPr>
            </w:pPr>
          </w:p>
        </w:tc>
      </w:tr>
      <w:tr w:rsidR="00505331" w:rsidRPr="00902D3A" w:rsidTr="00505331">
        <w:trPr>
          <w:trHeight w:val="540"/>
        </w:trPr>
        <w:tc>
          <w:tcPr>
            <w:tcW w:w="738" w:type="dxa"/>
            <w:tcBorders>
              <w:top w:val="nil"/>
              <w:right w:val="nil"/>
            </w:tcBorders>
            <w:vAlign w:val="center"/>
          </w:tcPr>
          <w:p w:rsidR="00505331" w:rsidRPr="006D78BD" w:rsidRDefault="00505331" w:rsidP="00505331">
            <w:pPr>
              <w:ind w:left="-10" w:right="-104"/>
              <w:rPr>
                <w:rFonts w:ascii="Times New Roman" w:hAnsi="Times New Roman" w:cs="Times New Roman"/>
                <w:sz w:val="20"/>
              </w:rPr>
            </w:pPr>
            <w:r>
              <w:rPr>
                <w:rFonts w:ascii="Times New Roman" w:hAnsi="Times New Roman" w:cs="Times New Roman"/>
                <w:sz w:val="20"/>
              </w:rPr>
              <w:t>Female</w:t>
            </w:r>
          </w:p>
        </w:tc>
        <w:tc>
          <w:tcPr>
            <w:tcW w:w="720" w:type="dxa"/>
            <w:tcBorders>
              <w:top w:val="nil"/>
              <w:left w:val="nil"/>
              <w:right w:val="nil"/>
            </w:tcBorders>
            <w:vAlign w:val="center"/>
          </w:tcPr>
          <w:p w:rsidR="00505331" w:rsidRPr="001B677B" w:rsidRDefault="00505331" w:rsidP="00505331">
            <w:pPr>
              <w:jc w:val="center"/>
              <w:rPr>
                <w:rFonts w:ascii="Times New Roman" w:hAnsi="Times New Roman" w:cs="Times New Roman"/>
                <w:sz w:val="20"/>
                <w:szCs w:val="20"/>
              </w:rPr>
            </w:pPr>
            <w:r>
              <w:rPr>
                <w:rFonts w:ascii="Times New Roman" w:hAnsi="Times New Roman" w:cs="Times New Roman"/>
                <w:sz w:val="20"/>
                <w:szCs w:val="20"/>
              </w:rPr>
              <w:t>175 (20.1)</w:t>
            </w:r>
          </w:p>
        </w:tc>
        <w:tc>
          <w:tcPr>
            <w:tcW w:w="810" w:type="dxa"/>
            <w:tcBorders>
              <w:top w:val="nil"/>
              <w:left w:val="nil"/>
              <w:right w:val="nil"/>
            </w:tcBorders>
            <w:vAlign w:val="center"/>
          </w:tcPr>
          <w:p w:rsidR="00505331" w:rsidRPr="001B677B" w:rsidRDefault="00505331" w:rsidP="00505331">
            <w:pPr>
              <w:jc w:val="center"/>
              <w:rPr>
                <w:rFonts w:ascii="Times New Roman" w:hAnsi="Times New Roman" w:cs="Times New Roman"/>
                <w:sz w:val="20"/>
                <w:szCs w:val="20"/>
              </w:rPr>
            </w:pPr>
            <w:r>
              <w:rPr>
                <w:rFonts w:ascii="Times New Roman" w:hAnsi="Times New Roman" w:cs="Times New Roman"/>
                <w:sz w:val="20"/>
                <w:szCs w:val="20"/>
              </w:rPr>
              <w:t>554 (63.8)</w:t>
            </w:r>
          </w:p>
        </w:tc>
        <w:tc>
          <w:tcPr>
            <w:tcW w:w="900" w:type="dxa"/>
            <w:tcBorders>
              <w:top w:val="nil"/>
              <w:left w:val="nil"/>
              <w:right w:val="nil"/>
            </w:tcBorders>
            <w:vAlign w:val="center"/>
          </w:tcPr>
          <w:p w:rsidR="00505331" w:rsidRPr="001B677B" w:rsidRDefault="00505331" w:rsidP="00505331">
            <w:pPr>
              <w:jc w:val="center"/>
              <w:rPr>
                <w:rFonts w:ascii="Times New Roman" w:hAnsi="Times New Roman" w:cs="Times New Roman"/>
                <w:sz w:val="20"/>
                <w:szCs w:val="20"/>
              </w:rPr>
            </w:pPr>
            <w:r>
              <w:rPr>
                <w:rFonts w:ascii="Times New Roman" w:hAnsi="Times New Roman" w:cs="Times New Roman"/>
                <w:sz w:val="20"/>
                <w:szCs w:val="20"/>
              </w:rPr>
              <w:t>130 (15.0)</w:t>
            </w:r>
          </w:p>
        </w:tc>
        <w:tc>
          <w:tcPr>
            <w:tcW w:w="810" w:type="dxa"/>
            <w:tcBorders>
              <w:top w:val="nil"/>
              <w:left w:val="nil"/>
              <w:right w:val="single" w:sz="4" w:space="0" w:color="auto"/>
            </w:tcBorders>
            <w:vAlign w:val="center"/>
          </w:tcPr>
          <w:p w:rsidR="00505331" w:rsidRPr="001B677B" w:rsidRDefault="00505331" w:rsidP="00505331">
            <w:pPr>
              <w:jc w:val="center"/>
              <w:rPr>
                <w:rFonts w:ascii="Times New Roman" w:hAnsi="Times New Roman" w:cs="Times New Roman"/>
                <w:sz w:val="20"/>
                <w:szCs w:val="20"/>
              </w:rPr>
            </w:pPr>
            <w:r>
              <w:rPr>
                <w:rFonts w:ascii="Times New Roman" w:hAnsi="Times New Roman" w:cs="Times New Roman"/>
                <w:sz w:val="20"/>
                <w:szCs w:val="20"/>
              </w:rPr>
              <w:t>10 (1.2)</w:t>
            </w:r>
          </w:p>
        </w:tc>
        <w:tc>
          <w:tcPr>
            <w:tcW w:w="6462" w:type="dxa"/>
            <w:vMerge/>
            <w:tcBorders>
              <w:left w:val="single" w:sz="4" w:space="0" w:color="auto"/>
            </w:tcBorders>
            <w:vAlign w:val="center"/>
          </w:tcPr>
          <w:p w:rsidR="00505331" w:rsidRPr="00902D3A" w:rsidRDefault="00505331" w:rsidP="00505331">
            <w:pPr>
              <w:ind w:left="-558"/>
              <w:jc w:val="center"/>
              <w:rPr>
                <w:rFonts w:ascii="Times New Roman" w:hAnsi="Times New Roman" w:cs="Times New Roman"/>
                <w:b/>
                <w:color w:val="1F497D" w:themeColor="text2"/>
                <w:sz w:val="24"/>
              </w:rPr>
            </w:pPr>
          </w:p>
        </w:tc>
      </w:tr>
      <w:tr w:rsidR="00505331" w:rsidRPr="008358B2" w:rsidTr="00505331">
        <w:trPr>
          <w:trHeight w:val="621"/>
        </w:trPr>
        <w:tc>
          <w:tcPr>
            <w:tcW w:w="10440" w:type="dxa"/>
            <w:gridSpan w:val="6"/>
            <w:tcBorders>
              <w:top w:val="single" w:sz="4" w:space="0" w:color="auto"/>
            </w:tcBorders>
            <w:vAlign w:val="center"/>
          </w:tcPr>
          <w:p w:rsidR="00505331" w:rsidRDefault="00D70135" w:rsidP="002D728D">
            <w:pPr>
              <w:rPr>
                <w:rFonts w:ascii="Times New Roman" w:hAnsi="Times New Roman" w:cs="Times New Roman"/>
                <w:sz w:val="20"/>
              </w:rPr>
            </w:pPr>
            <w:r>
              <w:rPr>
                <w:rFonts w:ascii="Times New Roman" w:hAnsi="Times New Roman" w:cs="Times New Roman"/>
                <w:sz w:val="20"/>
              </w:rPr>
              <w:t xml:space="preserve">^ per 100,000 and age-standardized to the 2000 U.S. population; ^^Based on SEER summary staging; </w:t>
            </w:r>
            <w:r w:rsidR="00505331" w:rsidRPr="007F3C84">
              <w:rPr>
                <w:rFonts w:ascii="Times New Roman" w:hAnsi="Times New Roman" w:cs="Times New Roman"/>
                <w:sz w:val="20"/>
              </w:rPr>
              <w:t>*indicates a statistic</w:t>
            </w:r>
            <w:r w:rsidR="00505331">
              <w:rPr>
                <w:rFonts w:ascii="Times New Roman" w:hAnsi="Times New Roman" w:cs="Times New Roman"/>
                <w:sz w:val="20"/>
              </w:rPr>
              <w:t>al</w:t>
            </w:r>
            <w:r>
              <w:rPr>
                <w:rFonts w:ascii="Times New Roman" w:hAnsi="Times New Roman" w:cs="Times New Roman"/>
                <w:sz w:val="20"/>
              </w:rPr>
              <w:t xml:space="preserve">ly significant trend (p&lt;0.05); APC = Annual Percent Change; N=number; </w:t>
            </w:r>
            <w:r w:rsidR="00505331">
              <w:rPr>
                <w:rFonts w:ascii="Times New Roman" w:hAnsi="Times New Roman" w:cs="Times New Roman"/>
                <w:sz w:val="20"/>
              </w:rPr>
              <w:t>Data source: Massachusetts Cancer Registry</w:t>
            </w:r>
          </w:p>
        </w:tc>
      </w:tr>
    </w:tbl>
    <w:p w:rsidR="00505331" w:rsidRDefault="00505331" w:rsidP="00505331">
      <w:pPr>
        <w:spacing w:after="0" w:line="240" w:lineRule="auto"/>
        <w:rPr>
          <w:rFonts w:ascii="Times New Roman" w:hAnsi="Times New Roman" w:cs="Times New Roman"/>
          <w:sz w:val="24"/>
        </w:rPr>
      </w:pPr>
    </w:p>
    <w:p w:rsidR="00A278E6" w:rsidRDefault="00A278E6" w:rsidP="00A278E6">
      <w:pPr>
        <w:spacing w:after="0" w:line="240" w:lineRule="auto"/>
        <w:rPr>
          <w:rFonts w:ascii="Times New Roman" w:hAnsi="Times New Roman" w:cs="Times New Roman"/>
          <w:sz w:val="24"/>
        </w:rPr>
        <w:sectPr w:rsidR="00A278E6" w:rsidSect="00505331">
          <w:pgSz w:w="12240" w:h="15840"/>
          <w:pgMar w:top="864" w:right="864" w:bottom="864" w:left="864" w:header="720" w:footer="720" w:gutter="0"/>
          <w:cols w:space="288"/>
          <w:docGrid w:linePitch="360"/>
        </w:sectPr>
      </w:pPr>
    </w:p>
    <w:p w:rsidR="002D728D" w:rsidRPr="002D728D" w:rsidRDefault="002D728D" w:rsidP="002D728D">
      <w:pPr>
        <w:spacing w:after="0" w:line="240" w:lineRule="auto"/>
        <w:rPr>
          <w:rFonts w:ascii="Times New Roman" w:hAnsi="Times New Roman" w:cs="Times New Roman"/>
          <w:b/>
          <w:sz w:val="24"/>
        </w:rPr>
      </w:pPr>
      <w:r w:rsidRPr="002D728D">
        <w:rPr>
          <w:rFonts w:ascii="Times New Roman" w:hAnsi="Times New Roman" w:cs="Times New Roman"/>
          <w:b/>
          <w:sz w:val="24"/>
        </w:rPr>
        <w:t xml:space="preserve">Stage at diagnosis </w:t>
      </w:r>
    </w:p>
    <w:p w:rsidR="002D728D" w:rsidRDefault="002D728D" w:rsidP="002D728D">
      <w:pPr>
        <w:spacing w:after="0" w:line="240" w:lineRule="auto"/>
        <w:rPr>
          <w:rFonts w:ascii="Times New Roman" w:hAnsi="Times New Roman" w:cs="Times New Roman"/>
          <w:sz w:val="24"/>
        </w:rPr>
      </w:pPr>
    </w:p>
    <w:p w:rsidR="005A61B3" w:rsidRDefault="005A61B3" w:rsidP="005A61B3">
      <w:pPr>
        <w:pStyle w:val="ListParagraph"/>
        <w:numPr>
          <w:ilvl w:val="0"/>
          <w:numId w:val="4"/>
        </w:numPr>
        <w:spacing w:after="0" w:line="240" w:lineRule="auto"/>
        <w:ind w:left="180" w:hanging="180"/>
        <w:rPr>
          <w:rFonts w:ascii="Times New Roman" w:hAnsi="Times New Roman" w:cs="Times New Roman"/>
          <w:sz w:val="24"/>
        </w:rPr>
      </w:pPr>
      <w:r w:rsidRPr="00DB4C51">
        <w:rPr>
          <w:rFonts w:ascii="Times New Roman" w:hAnsi="Times New Roman" w:cs="Times New Roman"/>
          <w:sz w:val="24"/>
        </w:rPr>
        <w:t>68% of males and females with oropharyngeal cancer in Massachusetts were diagnosed with stage II disease from 2004 to 2014.</w:t>
      </w:r>
    </w:p>
    <w:p w:rsidR="00FB3EDA" w:rsidRPr="00DB4C51" w:rsidRDefault="00FB3EDA" w:rsidP="00FB3EDA">
      <w:pPr>
        <w:pStyle w:val="ListParagraph"/>
        <w:spacing w:after="0" w:line="240" w:lineRule="auto"/>
        <w:ind w:left="180"/>
        <w:rPr>
          <w:rFonts w:ascii="Times New Roman" w:hAnsi="Times New Roman" w:cs="Times New Roman"/>
          <w:sz w:val="24"/>
        </w:rPr>
      </w:pPr>
    </w:p>
    <w:p w:rsidR="005E1E3F" w:rsidRDefault="00FB3EDA" w:rsidP="005A61B3">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T</w:t>
      </w:r>
      <w:r w:rsidR="005A61B3" w:rsidRPr="00DB4C51">
        <w:rPr>
          <w:rFonts w:ascii="Times New Roman" w:hAnsi="Times New Roman" w:cs="Times New Roman"/>
          <w:sz w:val="24"/>
        </w:rPr>
        <w:t xml:space="preserve">here was a </w:t>
      </w:r>
      <w:r w:rsidR="00505331">
        <w:rPr>
          <w:rFonts w:ascii="Times New Roman" w:hAnsi="Times New Roman" w:cs="Times New Roman"/>
          <w:sz w:val="24"/>
        </w:rPr>
        <w:t xml:space="preserve">statistically </w:t>
      </w:r>
      <w:r w:rsidR="005A61B3" w:rsidRPr="00DB4C51">
        <w:rPr>
          <w:rFonts w:ascii="Times New Roman" w:hAnsi="Times New Roman" w:cs="Times New Roman"/>
          <w:sz w:val="24"/>
        </w:rPr>
        <w:t>significant 4.</w:t>
      </w:r>
      <w:bookmarkStart w:id="0" w:name="_GoBack"/>
      <w:bookmarkEnd w:id="0"/>
      <w:r w:rsidR="005A61B3" w:rsidRPr="00DB4C51">
        <w:rPr>
          <w:rFonts w:ascii="Times New Roman" w:hAnsi="Times New Roman" w:cs="Times New Roman"/>
          <w:sz w:val="24"/>
        </w:rPr>
        <w:t xml:space="preserve">8% annual increase in the incidence rate of stage II </w:t>
      </w:r>
      <w:r w:rsidR="005A61B3" w:rsidRPr="00DB4C51">
        <w:rPr>
          <w:rFonts w:ascii="Times New Roman" w:hAnsi="Times New Roman" w:cs="Times New Roman"/>
          <w:sz w:val="24"/>
        </w:rPr>
        <w:t>oropharyngeal cancer and a</w:t>
      </w:r>
      <w:r w:rsidR="00505331">
        <w:rPr>
          <w:rFonts w:ascii="Times New Roman" w:hAnsi="Times New Roman" w:cs="Times New Roman"/>
          <w:sz w:val="24"/>
        </w:rPr>
        <w:t xml:space="preserve"> statistically</w:t>
      </w:r>
      <w:r w:rsidR="005A61B3" w:rsidRPr="00DB4C51">
        <w:rPr>
          <w:rFonts w:ascii="Times New Roman" w:hAnsi="Times New Roman" w:cs="Times New Roman"/>
          <w:sz w:val="24"/>
        </w:rPr>
        <w:t xml:space="preserve"> significant 10.6% annual decrease in the incidence rate of stage IV oropharyngeal cancer from 2004-2014 in Massachusetts. </w:t>
      </w:r>
    </w:p>
    <w:p w:rsidR="00FB3EDA" w:rsidRPr="00FB3EDA" w:rsidRDefault="00FB3EDA" w:rsidP="00FB3EDA">
      <w:pPr>
        <w:pStyle w:val="ListParagraph"/>
        <w:rPr>
          <w:rFonts w:ascii="Times New Roman" w:hAnsi="Times New Roman" w:cs="Times New Roman"/>
          <w:sz w:val="24"/>
        </w:rPr>
      </w:pPr>
    </w:p>
    <w:p w:rsidR="00FB3EDA" w:rsidRPr="00FB3EDA" w:rsidRDefault="00FB3EDA" w:rsidP="00FB3EDA">
      <w:pPr>
        <w:pStyle w:val="ListParagraph"/>
        <w:numPr>
          <w:ilvl w:val="0"/>
          <w:numId w:val="4"/>
        </w:numPr>
        <w:spacing w:after="0" w:line="240" w:lineRule="auto"/>
        <w:ind w:left="180" w:hanging="180"/>
        <w:rPr>
          <w:rFonts w:ascii="Times New Roman" w:hAnsi="Times New Roman" w:cs="Times New Roman"/>
          <w:sz w:val="24"/>
        </w:rPr>
        <w:sectPr w:rsidR="00FB3EDA" w:rsidRPr="00FB3EDA" w:rsidSect="005D7C3F">
          <w:type w:val="continuous"/>
          <w:pgSz w:w="12240" w:h="15840"/>
          <w:pgMar w:top="864" w:right="864" w:bottom="864" w:left="864" w:header="720" w:footer="720" w:gutter="0"/>
          <w:cols w:num="2" w:space="288"/>
          <w:docGrid w:linePitch="360"/>
        </w:sectPr>
      </w:pPr>
      <w:r>
        <w:rPr>
          <w:rFonts w:ascii="Times New Roman" w:hAnsi="Times New Roman" w:cs="Times New Roman"/>
          <w:sz w:val="24"/>
        </w:rPr>
        <w:t>There were no statistically significant differences in stage at diagnosis by race/ethnicity.</w:t>
      </w:r>
      <w:r w:rsidRPr="00FB3EDA">
        <w:rPr>
          <w:rFonts w:ascii="Times New Roman" w:hAnsi="Times New Roman" w:cs="Times New Roman"/>
          <w:sz w:val="24"/>
        </w:rPr>
        <w:t xml:space="preserve"> </w:t>
      </w:r>
    </w:p>
    <w:p w:rsidR="005A61B3" w:rsidRDefault="005A61B3" w:rsidP="005E1E3F">
      <w:pPr>
        <w:pStyle w:val="ListParagraph"/>
        <w:spacing w:after="0" w:line="240" w:lineRule="auto"/>
        <w:ind w:left="180"/>
        <w:rPr>
          <w:rFonts w:ascii="Times New Roman" w:hAnsi="Times New Roman" w:cs="Times New Roman"/>
          <w:sz w:val="24"/>
        </w:rPr>
      </w:pPr>
    </w:p>
    <w:p w:rsidR="005E1E3F" w:rsidRDefault="005E1E3F" w:rsidP="005E1E3F">
      <w:pPr>
        <w:pStyle w:val="ListParagraph"/>
        <w:spacing w:after="0" w:line="240" w:lineRule="auto"/>
        <w:ind w:left="180"/>
        <w:rPr>
          <w:rFonts w:ascii="Times New Roman" w:hAnsi="Times New Roman" w:cs="Times New Roman"/>
          <w:sz w:val="24"/>
        </w:rPr>
      </w:pPr>
    </w:p>
    <w:p w:rsidR="005E1E3F" w:rsidRDefault="005E1E3F" w:rsidP="002D728D">
      <w:pPr>
        <w:spacing w:after="0" w:line="240" w:lineRule="auto"/>
        <w:rPr>
          <w:rFonts w:ascii="Times New Roman" w:hAnsi="Times New Roman" w:cs="Times New Roman"/>
          <w:sz w:val="24"/>
        </w:rPr>
        <w:sectPr w:rsidR="005E1E3F" w:rsidSect="005E1E3F">
          <w:type w:val="continuous"/>
          <w:pgSz w:w="12240" w:h="15840"/>
          <w:pgMar w:top="864" w:right="864" w:bottom="864" w:left="864" w:header="720" w:footer="720" w:gutter="0"/>
          <w:cols w:space="288"/>
          <w:docGrid w:linePitch="360"/>
        </w:sectPr>
      </w:pPr>
      <w:r>
        <w:rPr>
          <w:noProof/>
        </w:rPr>
        <w:drawing>
          <wp:inline distT="0" distB="0" distL="0" distR="0" wp14:anchorId="36C71C51" wp14:editId="0F961F14">
            <wp:extent cx="6614556" cy="3028208"/>
            <wp:effectExtent l="0" t="0" r="15240" b="20320"/>
            <wp:docPr id="6" name="Chart 6" descr="Most people were diagnosed with stage II disease regardless of race. The percentage of people diagnosed by stage did not vary by race/ethnicity. Data are from the Massachusetts Cancer Registry. " title="Figure 5. Stage at diagnosis by race/ethnicity in Massachusetts , 2004-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77F57" w:rsidRDefault="00377F57">
      <w:pPr>
        <w:rPr>
          <w:rFonts w:ascii="Times New Roman" w:hAnsi="Times New Roman" w:cs="Times New Roman"/>
          <w:b/>
          <w:sz w:val="24"/>
        </w:rPr>
      </w:pPr>
    </w:p>
    <w:tbl>
      <w:tblPr>
        <w:tblStyle w:val="TableGrid"/>
        <w:tblpPr w:leftFromText="180" w:rightFromText="180" w:vertAnchor="text" w:horzAnchor="margin" w:tblpY="-165"/>
        <w:tblW w:w="10440" w:type="dxa"/>
        <w:tblLook w:val="04A0" w:firstRow="1" w:lastRow="0" w:firstColumn="1" w:lastColumn="0" w:noHBand="0" w:noVBand="1"/>
      </w:tblPr>
      <w:tblGrid>
        <w:gridCol w:w="2250"/>
        <w:gridCol w:w="1614"/>
        <w:gridCol w:w="1924"/>
        <w:gridCol w:w="1772"/>
        <w:gridCol w:w="2880"/>
      </w:tblGrid>
      <w:tr w:rsidR="00377F57" w:rsidTr="00377F57">
        <w:trPr>
          <w:trHeight w:val="423"/>
        </w:trPr>
        <w:tc>
          <w:tcPr>
            <w:tcW w:w="10440" w:type="dxa"/>
            <w:gridSpan w:val="5"/>
            <w:tcBorders>
              <w:top w:val="nil"/>
              <w:left w:val="nil"/>
              <w:right w:val="nil"/>
            </w:tcBorders>
            <w:vAlign w:val="center"/>
          </w:tcPr>
          <w:p w:rsidR="00377F57" w:rsidRPr="00902D3A" w:rsidRDefault="00377F57" w:rsidP="00377F57">
            <w:pPr>
              <w:rPr>
                <w:rFonts w:ascii="Times New Roman" w:hAnsi="Times New Roman" w:cs="Times New Roman"/>
                <w:b/>
                <w:color w:val="1F497D" w:themeColor="text2"/>
                <w:sz w:val="24"/>
              </w:rPr>
            </w:pPr>
            <w:r>
              <w:rPr>
                <w:rFonts w:ascii="Times New Roman" w:hAnsi="Times New Roman" w:cs="Times New Roman"/>
                <w:b/>
                <w:color w:val="1F497D" w:themeColor="text2"/>
                <w:sz w:val="24"/>
              </w:rPr>
              <w:lastRenderedPageBreak/>
              <w:t xml:space="preserve">OROPHARYNGEAL CANCER INCIDENCE ATTRIBUTABLE TO </w:t>
            </w:r>
            <w:r w:rsidRPr="002F46C5">
              <w:rPr>
                <w:rFonts w:ascii="Times New Roman" w:hAnsi="Times New Roman" w:cs="Times New Roman"/>
                <w:b/>
                <w:color w:val="1F497D" w:themeColor="text2"/>
                <w:sz w:val="24"/>
              </w:rPr>
              <w:t>HPV</w:t>
            </w:r>
          </w:p>
        </w:tc>
      </w:tr>
      <w:tr w:rsidR="00377F57" w:rsidTr="00377F57">
        <w:trPr>
          <w:trHeight w:val="557"/>
        </w:trPr>
        <w:tc>
          <w:tcPr>
            <w:tcW w:w="10440" w:type="dxa"/>
            <w:gridSpan w:val="5"/>
            <w:tcBorders>
              <w:bottom w:val="single" w:sz="4" w:space="0" w:color="auto"/>
            </w:tcBorders>
            <w:vAlign w:val="center"/>
          </w:tcPr>
          <w:p w:rsidR="00377F57" w:rsidRPr="00902D3A" w:rsidRDefault="00377F57" w:rsidP="00377F57">
            <w:pPr>
              <w:rPr>
                <w:rFonts w:ascii="Times New Roman" w:hAnsi="Times New Roman" w:cs="Times New Roman"/>
                <w:b/>
                <w:color w:val="1F497D" w:themeColor="text2"/>
                <w:sz w:val="24"/>
              </w:rPr>
            </w:pPr>
            <w:r>
              <w:rPr>
                <w:rFonts w:ascii="Times New Roman" w:hAnsi="Times New Roman" w:cs="Times New Roman"/>
                <w:b/>
                <w:color w:val="1F497D" w:themeColor="text2"/>
                <w:sz w:val="24"/>
              </w:rPr>
              <w:t>Table 3</w:t>
            </w:r>
            <w:r w:rsidRPr="00902D3A">
              <w:rPr>
                <w:rFonts w:ascii="Times New Roman" w:hAnsi="Times New Roman" w:cs="Times New Roman"/>
                <w:b/>
                <w:color w:val="1F497D" w:themeColor="text2"/>
                <w:sz w:val="24"/>
              </w:rPr>
              <w:t xml:space="preserve">. </w:t>
            </w:r>
            <w:r>
              <w:rPr>
                <w:rFonts w:ascii="Times New Roman" w:hAnsi="Times New Roman" w:cs="Times New Roman"/>
                <w:b/>
                <w:color w:val="1F497D" w:themeColor="text2"/>
                <w:sz w:val="24"/>
              </w:rPr>
              <w:t xml:space="preserve">Estimated annual average number of oropharyngeal cancer cases attributable to HPV, Massachusetts, 2004-2014 </w:t>
            </w:r>
          </w:p>
        </w:tc>
      </w:tr>
      <w:tr w:rsidR="00377F57" w:rsidTr="00377F57">
        <w:trPr>
          <w:trHeight w:val="413"/>
        </w:trPr>
        <w:tc>
          <w:tcPr>
            <w:tcW w:w="2250" w:type="dxa"/>
            <w:vMerge w:val="restart"/>
            <w:tcBorders>
              <w:top w:val="single" w:sz="4" w:space="0" w:color="auto"/>
              <w:right w:val="nil"/>
            </w:tcBorders>
            <w:vAlign w:val="center"/>
          </w:tcPr>
          <w:p w:rsidR="00377F57" w:rsidRPr="00B6199B" w:rsidRDefault="00377F57" w:rsidP="00377F57">
            <w:pPr>
              <w:rPr>
                <w:rFonts w:ascii="Times New Roman" w:hAnsi="Times New Roman" w:cs="Times New Roman"/>
                <w:b/>
                <w:color w:val="1F497D" w:themeColor="text2"/>
                <w:sz w:val="20"/>
              </w:rPr>
            </w:pPr>
          </w:p>
        </w:tc>
        <w:tc>
          <w:tcPr>
            <w:tcW w:w="1614" w:type="dxa"/>
            <w:vMerge w:val="restart"/>
            <w:tcBorders>
              <w:top w:val="single" w:sz="4" w:space="0" w:color="auto"/>
              <w:left w:val="nil"/>
              <w:right w:val="nil"/>
            </w:tcBorders>
            <w:vAlign w:val="bottom"/>
          </w:tcPr>
          <w:p w:rsidR="00377F57" w:rsidRPr="00B6199B" w:rsidRDefault="00377F57" w:rsidP="00377F57">
            <w:pPr>
              <w:ind w:left="-108" w:right="-114"/>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 xml:space="preserve">Average Annual Number </w:t>
            </w:r>
          </w:p>
        </w:tc>
        <w:tc>
          <w:tcPr>
            <w:tcW w:w="1924" w:type="dxa"/>
            <w:tcBorders>
              <w:top w:val="single" w:sz="4" w:space="0" w:color="auto"/>
              <w:left w:val="nil"/>
              <w:bottom w:val="nil"/>
              <w:right w:val="nil"/>
            </w:tcBorders>
            <w:vAlign w:val="center"/>
          </w:tcPr>
          <w:p w:rsidR="00377F57" w:rsidRPr="00B6199B" w:rsidRDefault="00377F57" w:rsidP="00377F57">
            <w:pPr>
              <w:jc w:val="center"/>
              <w:rPr>
                <w:rFonts w:ascii="Times New Roman" w:hAnsi="Times New Roman" w:cs="Times New Roman"/>
                <w:b/>
                <w:color w:val="1F497D" w:themeColor="text2"/>
                <w:sz w:val="20"/>
              </w:rPr>
            </w:pPr>
            <w:r w:rsidRPr="00B6199B">
              <w:rPr>
                <w:rFonts w:ascii="Times New Roman" w:hAnsi="Times New Roman" w:cs="Times New Roman"/>
                <w:b/>
                <w:color w:val="1F497D" w:themeColor="text2"/>
                <w:sz w:val="20"/>
              </w:rPr>
              <w:t>Attributable to any HPV type</w:t>
            </w:r>
          </w:p>
        </w:tc>
        <w:tc>
          <w:tcPr>
            <w:tcW w:w="1772" w:type="dxa"/>
            <w:tcBorders>
              <w:top w:val="single" w:sz="4" w:space="0" w:color="auto"/>
              <w:left w:val="nil"/>
              <w:bottom w:val="nil"/>
              <w:right w:val="nil"/>
            </w:tcBorders>
            <w:vAlign w:val="center"/>
          </w:tcPr>
          <w:p w:rsidR="00377F57" w:rsidRPr="00B6199B" w:rsidRDefault="00377F57" w:rsidP="00377F57">
            <w:pPr>
              <w:jc w:val="center"/>
              <w:rPr>
                <w:rFonts w:ascii="Times New Roman" w:hAnsi="Times New Roman" w:cs="Times New Roman"/>
                <w:b/>
                <w:color w:val="1F497D" w:themeColor="text2"/>
                <w:sz w:val="20"/>
              </w:rPr>
            </w:pPr>
            <w:r w:rsidRPr="00B6199B">
              <w:rPr>
                <w:rFonts w:ascii="Times New Roman" w:hAnsi="Times New Roman" w:cs="Times New Roman"/>
                <w:b/>
                <w:color w:val="1F497D" w:themeColor="text2"/>
                <w:sz w:val="20"/>
              </w:rPr>
              <w:t>Attributable to HPV 16/18</w:t>
            </w:r>
          </w:p>
        </w:tc>
        <w:tc>
          <w:tcPr>
            <w:tcW w:w="2880" w:type="dxa"/>
            <w:tcBorders>
              <w:top w:val="single" w:sz="4" w:space="0" w:color="auto"/>
              <w:left w:val="nil"/>
              <w:bottom w:val="nil"/>
            </w:tcBorders>
            <w:vAlign w:val="center"/>
          </w:tcPr>
          <w:p w:rsidR="00377F57" w:rsidRPr="00B6199B" w:rsidRDefault="00377F57" w:rsidP="00377F57">
            <w:pPr>
              <w:jc w:val="center"/>
              <w:rPr>
                <w:rFonts w:ascii="Times New Roman" w:hAnsi="Times New Roman" w:cs="Times New Roman"/>
                <w:b/>
                <w:color w:val="1F497D" w:themeColor="text2"/>
                <w:sz w:val="20"/>
              </w:rPr>
            </w:pPr>
            <w:r w:rsidRPr="00B6199B">
              <w:rPr>
                <w:rFonts w:ascii="Times New Roman" w:hAnsi="Times New Roman" w:cs="Times New Roman"/>
                <w:b/>
                <w:color w:val="1F497D" w:themeColor="text2"/>
                <w:sz w:val="20"/>
              </w:rPr>
              <w:t>Attributable to HPV 16/18/31/33/45/52/58</w:t>
            </w:r>
          </w:p>
        </w:tc>
      </w:tr>
      <w:tr w:rsidR="00377F57" w:rsidTr="00377F57">
        <w:trPr>
          <w:trHeight w:val="215"/>
        </w:trPr>
        <w:tc>
          <w:tcPr>
            <w:tcW w:w="2250" w:type="dxa"/>
            <w:vMerge/>
            <w:tcBorders>
              <w:bottom w:val="single" w:sz="4" w:space="0" w:color="auto"/>
              <w:right w:val="nil"/>
            </w:tcBorders>
            <w:vAlign w:val="center"/>
          </w:tcPr>
          <w:p w:rsidR="00377F57" w:rsidRPr="00B6199B" w:rsidRDefault="00377F57" w:rsidP="00377F57">
            <w:pPr>
              <w:rPr>
                <w:rFonts w:ascii="Times New Roman" w:hAnsi="Times New Roman" w:cs="Times New Roman"/>
                <w:b/>
                <w:color w:val="1F497D" w:themeColor="text2"/>
                <w:sz w:val="20"/>
              </w:rPr>
            </w:pPr>
          </w:p>
        </w:tc>
        <w:tc>
          <w:tcPr>
            <w:tcW w:w="1614" w:type="dxa"/>
            <w:vMerge/>
            <w:tcBorders>
              <w:left w:val="nil"/>
              <w:bottom w:val="single" w:sz="4" w:space="0" w:color="auto"/>
              <w:right w:val="nil"/>
            </w:tcBorders>
            <w:vAlign w:val="center"/>
          </w:tcPr>
          <w:p w:rsidR="00377F57" w:rsidRPr="00B6199B" w:rsidRDefault="00377F57" w:rsidP="00377F57">
            <w:pPr>
              <w:jc w:val="center"/>
              <w:rPr>
                <w:rFonts w:ascii="Times New Roman" w:hAnsi="Times New Roman" w:cs="Times New Roman"/>
                <w:b/>
                <w:color w:val="1F497D" w:themeColor="text2"/>
                <w:sz w:val="20"/>
              </w:rPr>
            </w:pPr>
          </w:p>
        </w:tc>
        <w:tc>
          <w:tcPr>
            <w:tcW w:w="1924" w:type="dxa"/>
            <w:tcBorders>
              <w:top w:val="nil"/>
              <w:left w:val="nil"/>
              <w:bottom w:val="single" w:sz="4" w:space="0" w:color="auto"/>
              <w:right w:val="nil"/>
            </w:tcBorders>
            <w:vAlign w:val="center"/>
          </w:tcPr>
          <w:p w:rsidR="00377F57" w:rsidRPr="00B6199B" w:rsidRDefault="00377F57" w:rsidP="00377F57">
            <w:pPr>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Number</w:t>
            </w:r>
            <w:r w:rsidRPr="00B6199B">
              <w:rPr>
                <w:rFonts w:ascii="Times New Roman" w:hAnsi="Times New Roman" w:cs="Times New Roman"/>
                <w:b/>
                <w:color w:val="1F497D" w:themeColor="text2"/>
                <w:sz w:val="20"/>
              </w:rPr>
              <w:t xml:space="preserve"> (%)</w:t>
            </w:r>
          </w:p>
        </w:tc>
        <w:tc>
          <w:tcPr>
            <w:tcW w:w="1772" w:type="dxa"/>
            <w:tcBorders>
              <w:top w:val="nil"/>
              <w:left w:val="nil"/>
              <w:bottom w:val="single" w:sz="4" w:space="0" w:color="auto"/>
              <w:right w:val="nil"/>
            </w:tcBorders>
            <w:vAlign w:val="center"/>
          </w:tcPr>
          <w:p w:rsidR="00377F57" w:rsidRPr="00B6199B" w:rsidRDefault="00377F57" w:rsidP="00377F57">
            <w:pPr>
              <w:jc w:val="center"/>
              <w:rPr>
                <w:rFonts w:ascii="Times New Roman" w:hAnsi="Times New Roman" w:cs="Times New Roman"/>
                <w:b/>
                <w:color w:val="1F497D" w:themeColor="text2"/>
                <w:sz w:val="20"/>
              </w:rPr>
            </w:pPr>
            <w:r w:rsidRPr="00B6199B">
              <w:rPr>
                <w:rFonts w:ascii="Times New Roman" w:hAnsi="Times New Roman" w:cs="Times New Roman"/>
                <w:b/>
                <w:color w:val="1F497D" w:themeColor="text2"/>
                <w:sz w:val="20"/>
              </w:rPr>
              <w:t>Number (%)</w:t>
            </w:r>
          </w:p>
        </w:tc>
        <w:tc>
          <w:tcPr>
            <w:tcW w:w="2880" w:type="dxa"/>
            <w:tcBorders>
              <w:top w:val="nil"/>
              <w:left w:val="nil"/>
              <w:bottom w:val="single" w:sz="4" w:space="0" w:color="auto"/>
            </w:tcBorders>
            <w:vAlign w:val="center"/>
          </w:tcPr>
          <w:p w:rsidR="00377F57" w:rsidRPr="00B6199B" w:rsidRDefault="00377F57" w:rsidP="00377F57">
            <w:pPr>
              <w:jc w:val="center"/>
              <w:rPr>
                <w:rFonts w:ascii="Times New Roman" w:hAnsi="Times New Roman" w:cs="Times New Roman"/>
                <w:b/>
                <w:color w:val="1F497D" w:themeColor="text2"/>
                <w:sz w:val="20"/>
              </w:rPr>
            </w:pPr>
            <w:r w:rsidRPr="00B6199B">
              <w:rPr>
                <w:rFonts w:ascii="Times New Roman" w:hAnsi="Times New Roman" w:cs="Times New Roman"/>
                <w:b/>
                <w:color w:val="1F497D" w:themeColor="text2"/>
                <w:sz w:val="20"/>
              </w:rPr>
              <w:t>Number (%)</w:t>
            </w:r>
          </w:p>
        </w:tc>
      </w:tr>
      <w:tr w:rsidR="00377F57" w:rsidTr="00377F57">
        <w:trPr>
          <w:trHeight w:val="206"/>
        </w:trPr>
        <w:tc>
          <w:tcPr>
            <w:tcW w:w="2250" w:type="dxa"/>
            <w:tcBorders>
              <w:top w:val="single" w:sz="4" w:space="0" w:color="auto"/>
              <w:bottom w:val="nil"/>
              <w:right w:val="nil"/>
            </w:tcBorders>
          </w:tcPr>
          <w:p w:rsidR="00377F57" w:rsidRPr="00B82F0D" w:rsidRDefault="00377F57" w:rsidP="00377F57">
            <w:pPr>
              <w:rPr>
                <w:rFonts w:ascii="Times New Roman" w:hAnsi="Times New Roman" w:cs="Times New Roman"/>
                <w:sz w:val="20"/>
              </w:rPr>
            </w:pPr>
            <w:r w:rsidRPr="00B82F0D">
              <w:rPr>
                <w:rFonts w:ascii="Times New Roman" w:hAnsi="Times New Roman" w:cs="Times New Roman"/>
                <w:sz w:val="20"/>
              </w:rPr>
              <w:t xml:space="preserve">All Oropharyngeal </w:t>
            </w:r>
          </w:p>
        </w:tc>
        <w:tc>
          <w:tcPr>
            <w:tcW w:w="1614" w:type="dxa"/>
            <w:tcBorders>
              <w:top w:val="single" w:sz="4" w:space="0" w:color="auto"/>
              <w:left w:val="nil"/>
              <w:bottom w:val="nil"/>
              <w:right w:val="nil"/>
            </w:tcBorders>
            <w:vAlign w:val="center"/>
          </w:tcPr>
          <w:p w:rsidR="00377F57" w:rsidRPr="00B82F0D" w:rsidRDefault="00377F57" w:rsidP="00377F57">
            <w:pPr>
              <w:ind w:right="578" w:hanging="18"/>
              <w:jc w:val="right"/>
              <w:rPr>
                <w:rFonts w:ascii="Times New Roman" w:hAnsi="Times New Roman" w:cs="Times New Roman"/>
                <w:sz w:val="20"/>
              </w:rPr>
            </w:pPr>
            <w:r w:rsidRPr="00B82F0D">
              <w:rPr>
                <w:rFonts w:ascii="Times New Roman" w:hAnsi="Times New Roman" w:cs="Times New Roman"/>
                <w:sz w:val="20"/>
              </w:rPr>
              <w:t>363</w:t>
            </w:r>
          </w:p>
        </w:tc>
        <w:tc>
          <w:tcPr>
            <w:tcW w:w="1924" w:type="dxa"/>
            <w:tcBorders>
              <w:top w:val="single" w:sz="4" w:space="0" w:color="auto"/>
              <w:left w:val="nil"/>
              <w:bottom w:val="nil"/>
              <w:right w:val="nil"/>
            </w:tcBorders>
            <w:vAlign w:val="center"/>
          </w:tcPr>
          <w:p w:rsidR="00377F57" w:rsidRPr="00B82F0D" w:rsidRDefault="00377F57" w:rsidP="00377F57">
            <w:pPr>
              <w:ind w:right="453"/>
              <w:jc w:val="right"/>
              <w:rPr>
                <w:rFonts w:ascii="Times New Roman" w:hAnsi="Times New Roman" w:cs="Times New Roman"/>
                <w:sz w:val="20"/>
              </w:rPr>
            </w:pPr>
            <w:r w:rsidRPr="00B82F0D">
              <w:rPr>
                <w:rFonts w:ascii="Times New Roman" w:hAnsi="Times New Roman" w:cs="Times New Roman"/>
                <w:sz w:val="20"/>
              </w:rPr>
              <w:t>250 (70.1)</w:t>
            </w:r>
          </w:p>
        </w:tc>
        <w:tc>
          <w:tcPr>
            <w:tcW w:w="1772" w:type="dxa"/>
            <w:tcBorders>
              <w:top w:val="single" w:sz="4" w:space="0" w:color="auto"/>
              <w:left w:val="nil"/>
              <w:bottom w:val="nil"/>
              <w:right w:val="nil"/>
            </w:tcBorders>
            <w:vAlign w:val="center"/>
          </w:tcPr>
          <w:p w:rsidR="00377F57" w:rsidRPr="00B82F0D" w:rsidRDefault="00377F57" w:rsidP="00377F57">
            <w:pPr>
              <w:ind w:right="342"/>
              <w:jc w:val="right"/>
              <w:rPr>
                <w:rFonts w:ascii="Times New Roman" w:hAnsi="Times New Roman" w:cs="Times New Roman"/>
                <w:sz w:val="20"/>
              </w:rPr>
            </w:pPr>
            <w:r w:rsidRPr="00B82F0D">
              <w:rPr>
                <w:rFonts w:ascii="Times New Roman" w:hAnsi="Times New Roman" w:cs="Times New Roman"/>
                <w:sz w:val="20"/>
              </w:rPr>
              <w:t>220 (60.2)</w:t>
            </w:r>
          </w:p>
        </w:tc>
        <w:tc>
          <w:tcPr>
            <w:tcW w:w="2880" w:type="dxa"/>
            <w:tcBorders>
              <w:top w:val="single" w:sz="4" w:space="0" w:color="auto"/>
              <w:left w:val="nil"/>
              <w:bottom w:val="nil"/>
            </w:tcBorders>
            <w:vAlign w:val="center"/>
          </w:tcPr>
          <w:p w:rsidR="00377F57" w:rsidRPr="00B82F0D" w:rsidRDefault="00377F57" w:rsidP="00377F57">
            <w:pPr>
              <w:ind w:right="882"/>
              <w:jc w:val="right"/>
              <w:rPr>
                <w:rFonts w:ascii="Times New Roman" w:hAnsi="Times New Roman" w:cs="Times New Roman"/>
                <w:sz w:val="20"/>
              </w:rPr>
            </w:pPr>
            <w:r w:rsidRPr="00B82F0D">
              <w:rPr>
                <w:rFonts w:ascii="Times New Roman" w:hAnsi="Times New Roman" w:cs="Times New Roman"/>
                <w:sz w:val="20"/>
              </w:rPr>
              <w:t>240 (65.9)</w:t>
            </w:r>
          </w:p>
        </w:tc>
      </w:tr>
      <w:tr w:rsidR="00377F57" w:rsidTr="00377F57">
        <w:trPr>
          <w:trHeight w:val="95"/>
        </w:trPr>
        <w:tc>
          <w:tcPr>
            <w:tcW w:w="2250" w:type="dxa"/>
            <w:tcBorders>
              <w:top w:val="nil"/>
              <w:bottom w:val="nil"/>
              <w:right w:val="nil"/>
            </w:tcBorders>
          </w:tcPr>
          <w:p w:rsidR="00377F57" w:rsidRPr="00B82F0D" w:rsidRDefault="00377F57" w:rsidP="00377F57">
            <w:pPr>
              <w:rPr>
                <w:rFonts w:ascii="Times New Roman" w:hAnsi="Times New Roman" w:cs="Times New Roman"/>
                <w:sz w:val="20"/>
              </w:rPr>
            </w:pPr>
            <w:r w:rsidRPr="00B82F0D">
              <w:rPr>
                <w:rFonts w:ascii="Times New Roman" w:hAnsi="Times New Roman" w:cs="Times New Roman"/>
                <w:sz w:val="20"/>
              </w:rPr>
              <w:t xml:space="preserve">   Male</w:t>
            </w:r>
          </w:p>
        </w:tc>
        <w:tc>
          <w:tcPr>
            <w:tcW w:w="1614" w:type="dxa"/>
            <w:tcBorders>
              <w:top w:val="nil"/>
              <w:left w:val="nil"/>
              <w:bottom w:val="nil"/>
              <w:right w:val="nil"/>
            </w:tcBorders>
            <w:vAlign w:val="center"/>
          </w:tcPr>
          <w:p w:rsidR="00377F57" w:rsidRPr="00B82F0D" w:rsidRDefault="00377F57" w:rsidP="00377F57">
            <w:pPr>
              <w:ind w:right="578" w:hanging="18"/>
              <w:jc w:val="right"/>
              <w:rPr>
                <w:rFonts w:ascii="Times New Roman" w:hAnsi="Times New Roman" w:cs="Times New Roman"/>
                <w:sz w:val="20"/>
              </w:rPr>
            </w:pPr>
            <w:r w:rsidRPr="00B82F0D">
              <w:rPr>
                <w:rFonts w:ascii="Times New Roman" w:hAnsi="Times New Roman" w:cs="Times New Roman"/>
                <w:sz w:val="20"/>
              </w:rPr>
              <w:t>284</w:t>
            </w:r>
          </w:p>
        </w:tc>
        <w:tc>
          <w:tcPr>
            <w:tcW w:w="1924" w:type="dxa"/>
            <w:tcBorders>
              <w:top w:val="nil"/>
              <w:left w:val="nil"/>
              <w:bottom w:val="nil"/>
              <w:right w:val="nil"/>
            </w:tcBorders>
            <w:vAlign w:val="center"/>
          </w:tcPr>
          <w:p w:rsidR="00377F57" w:rsidRPr="00B82F0D" w:rsidRDefault="00377F57" w:rsidP="00377F57">
            <w:pPr>
              <w:ind w:right="453"/>
              <w:jc w:val="right"/>
              <w:rPr>
                <w:rFonts w:ascii="Times New Roman" w:hAnsi="Times New Roman" w:cs="Times New Roman"/>
                <w:sz w:val="20"/>
              </w:rPr>
            </w:pPr>
            <w:r w:rsidRPr="00B82F0D">
              <w:rPr>
                <w:rFonts w:ascii="Times New Roman" w:hAnsi="Times New Roman" w:cs="Times New Roman"/>
                <w:sz w:val="20"/>
              </w:rPr>
              <w:t>210 (72.4)</w:t>
            </w:r>
          </w:p>
        </w:tc>
        <w:tc>
          <w:tcPr>
            <w:tcW w:w="1772" w:type="dxa"/>
            <w:tcBorders>
              <w:top w:val="nil"/>
              <w:left w:val="nil"/>
              <w:bottom w:val="nil"/>
              <w:right w:val="nil"/>
            </w:tcBorders>
            <w:vAlign w:val="center"/>
          </w:tcPr>
          <w:p w:rsidR="00377F57" w:rsidRPr="00B82F0D" w:rsidRDefault="00377F57" w:rsidP="00377F57">
            <w:pPr>
              <w:ind w:right="342"/>
              <w:jc w:val="right"/>
              <w:rPr>
                <w:rFonts w:ascii="Times New Roman" w:hAnsi="Times New Roman" w:cs="Times New Roman"/>
                <w:sz w:val="20"/>
              </w:rPr>
            </w:pPr>
            <w:r w:rsidRPr="00B82F0D">
              <w:rPr>
                <w:rFonts w:ascii="Times New Roman" w:hAnsi="Times New Roman" w:cs="Times New Roman"/>
                <w:sz w:val="20"/>
              </w:rPr>
              <w:t>180(63.4)</w:t>
            </w:r>
          </w:p>
        </w:tc>
        <w:tc>
          <w:tcPr>
            <w:tcW w:w="2880" w:type="dxa"/>
            <w:tcBorders>
              <w:top w:val="nil"/>
              <w:left w:val="nil"/>
              <w:bottom w:val="nil"/>
            </w:tcBorders>
            <w:vAlign w:val="center"/>
          </w:tcPr>
          <w:p w:rsidR="00377F57" w:rsidRPr="00B82F0D" w:rsidRDefault="00377F57" w:rsidP="00377F57">
            <w:pPr>
              <w:ind w:right="882"/>
              <w:jc w:val="right"/>
              <w:rPr>
                <w:rFonts w:ascii="Times New Roman" w:hAnsi="Times New Roman" w:cs="Times New Roman"/>
                <w:sz w:val="20"/>
              </w:rPr>
            </w:pPr>
            <w:r w:rsidRPr="00B82F0D">
              <w:rPr>
                <w:rFonts w:ascii="Times New Roman" w:hAnsi="Times New Roman" w:cs="Times New Roman"/>
                <w:sz w:val="20"/>
              </w:rPr>
              <w:t>190 (67.8)</w:t>
            </w:r>
          </w:p>
        </w:tc>
      </w:tr>
      <w:tr w:rsidR="00377F57" w:rsidTr="00377F57">
        <w:trPr>
          <w:trHeight w:val="261"/>
        </w:trPr>
        <w:tc>
          <w:tcPr>
            <w:tcW w:w="2250" w:type="dxa"/>
            <w:tcBorders>
              <w:top w:val="nil"/>
              <w:bottom w:val="nil"/>
              <w:right w:val="nil"/>
            </w:tcBorders>
          </w:tcPr>
          <w:p w:rsidR="00377F57" w:rsidRPr="00B82F0D" w:rsidRDefault="00377F57" w:rsidP="00377F57">
            <w:pPr>
              <w:rPr>
                <w:rFonts w:ascii="Times New Roman" w:hAnsi="Times New Roman" w:cs="Times New Roman"/>
                <w:sz w:val="20"/>
              </w:rPr>
            </w:pPr>
            <w:r w:rsidRPr="00B82F0D">
              <w:rPr>
                <w:rFonts w:ascii="Times New Roman" w:hAnsi="Times New Roman" w:cs="Times New Roman"/>
                <w:sz w:val="20"/>
              </w:rPr>
              <w:t xml:space="preserve">   Female</w:t>
            </w:r>
          </w:p>
        </w:tc>
        <w:tc>
          <w:tcPr>
            <w:tcW w:w="1614" w:type="dxa"/>
            <w:tcBorders>
              <w:top w:val="nil"/>
              <w:left w:val="nil"/>
              <w:bottom w:val="nil"/>
              <w:right w:val="nil"/>
            </w:tcBorders>
            <w:vAlign w:val="center"/>
          </w:tcPr>
          <w:p w:rsidR="00377F57" w:rsidRPr="00B82F0D" w:rsidRDefault="00377F57" w:rsidP="00377F57">
            <w:pPr>
              <w:ind w:right="578" w:hanging="18"/>
              <w:jc w:val="right"/>
              <w:rPr>
                <w:rFonts w:ascii="Times New Roman" w:hAnsi="Times New Roman" w:cs="Times New Roman"/>
                <w:sz w:val="20"/>
              </w:rPr>
            </w:pPr>
            <w:r w:rsidRPr="00B82F0D">
              <w:rPr>
                <w:rFonts w:ascii="Times New Roman" w:hAnsi="Times New Roman" w:cs="Times New Roman"/>
                <w:sz w:val="20"/>
              </w:rPr>
              <w:t>79</w:t>
            </w:r>
          </w:p>
        </w:tc>
        <w:tc>
          <w:tcPr>
            <w:tcW w:w="1924" w:type="dxa"/>
            <w:tcBorders>
              <w:top w:val="nil"/>
              <w:left w:val="nil"/>
              <w:bottom w:val="nil"/>
              <w:right w:val="nil"/>
            </w:tcBorders>
            <w:vAlign w:val="center"/>
          </w:tcPr>
          <w:p w:rsidR="00377F57" w:rsidRPr="00B82F0D" w:rsidRDefault="00377F57" w:rsidP="00377F57">
            <w:pPr>
              <w:ind w:right="453"/>
              <w:jc w:val="right"/>
              <w:rPr>
                <w:rFonts w:ascii="Times New Roman" w:hAnsi="Times New Roman" w:cs="Times New Roman"/>
                <w:sz w:val="20"/>
              </w:rPr>
            </w:pPr>
            <w:r w:rsidRPr="00B82F0D">
              <w:rPr>
                <w:rFonts w:ascii="Times New Roman" w:hAnsi="Times New Roman" w:cs="Times New Roman"/>
                <w:sz w:val="20"/>
              </w:rPr>
              <w:t>50 (63.3)</w:t>
            </w:r>
          </w:p>
        </w:tc>
        <w:tc>
          <w:tcPr>
            <w:tcW w:w="1772" w:type="dxa"/>
            <w:tcBorders>
              <w:top w:val="nil"/>
              <w:left w:val="nil"/>
              <w:bottom w:val="nil"/>
              <w:right w:val="nil"/>
            </w:tcBorders>
            <w:vAlign w:val="center"/>
          </w:tcPr>
          <w:p w:rsidR="00377F57" w:rsidRPr="00B82F0D" w:rsidRDefault="00377F57" w:rsidP="00377F57">
            <w:pPr>
              <w:ind w:right="342"/>
              <w:jc w:val="right"/>
              <w:rPr>
                <w:rFonts w:ascii="Times New Roman" w:hAnsi="Times New Roman" w:cs="Times New Roman"/>
                <w:sz w:val="20"/>
              </w:rPr>
            </w:pPr>
            <w:r w:rsidRPr="00B82F0D">
              <w:rPr>
                <w:rFonts w:ascii="Times New Roman" w:hAnsi="Times New Roman" w:cs="Times New Roman"/>
                <w:sz w:val="20"/>
              </w:rPr>
              <w:t>40 (50.8)</w:t>
            </w:r>
          </w:p>
        </w:tc>
        <w:tc>
          <w:tcPr>
            <w:tcW w:w="2880" w:type="dxa"/>
            <w:tcBorders>
              <w:top w:val="nil"/>
              <w:left w:val="nil"/>
              <w:bottom w:val="nil"/>
            </w:tcBorders>
            <w:vAlign w:val="center"/>
          </w:tcPr>
          <w:p w:rsidR="00377F57" w:rsidRPr="00B82F0D" w:rsidRDefault="00377F57" w:rsidP="00377F57">
            <w:pPr>
              <w:ind w:right="882"/>
              <w:jc w:val="right"/>
              <w:rPr>
                <w:rFonts w:ascii="Times New Roman" w:hAnsi="Times New Roman" w:cs="Times New Roman"/>
                <w:sz w:val="20"/>
              </w:rPr>
            </w:pPr>
            <w:r w:rsidRPr="00B82F0D">
              <w:rPr>
                <w:rFonts w:ascii="Times New Roman" w:hAnsi="Times New Roman" w:cs="Times New Roman"/>
                <w:sz w:val="20"/>
              </w:rPr>
              <w:t>50 (60.3)</w:t>
            </w:r>
          </w:p>
        </w:tc>
      </w:tr>
      <w:tr w:rsidR="00377F57" w:rsidTr="00377F57">
        <w:trPr>
          <w:trHeight w:val="233"/>
        </w:trPr>
        <w:tc>
          <w:tcPr>
            <w:tcW w:w="10440" w:type="dxa"/>
            <w:gridSpan w:val="5"/>
            <w:tcBorders>
              <w:top w:val="single" w:sz="4" w:space="0" w:color="auto"/>
            </w:tcBorders>
            <w:vAlign w:val="center"/>
          </w:tcPr>
          <w:p w:rsidR="00377F57" w:rsidRPr="00901550" w:rsidRDefault="00377F57" w:rsidP="00377F57">
            <w:pPr>
              <w:rPr>
                <w:rFonts w:ascii="Times New Roman" w:hAnsi="Times New Roman" w:cs="Times New Roman"/>
                <w:sz w:val="20"/>
              </w:rPr>
            </w:pPr>
            <w:r>
              <w:rPr>
                <w:rFonts w:ascii="Times New Roman" w:hAnsi="Times New Roman" w:cs="Times New Roman"/>
                <w:sz w:val="20"/>
              </w:rPr>
              <w:t xml:space="preserve">Number attributable to HPV is rounded to the nearest 10; due to rounding, numbers in columns may not add up; Data source: Massachusetts Cancer Registry and percentages from Saraiya et al, </w:t>
            </w:r>
            <w:r>
              <w:rPr>
                <w:rFonts w:ascii="Times New Roman" w:hAnsi="Times New Roman" w:cs="Times New Roman"/>
                <w:i/>
                <w:sz w:val="20"/>
              </w:rPr>
              <w:t xml:space="preserve">JNCI, </w:t>
            </w:r>
            <w:r>
              <w:rPr>
                <w:rFonts w:ascii="Times New Roman" w:hAnsi="Times New Roman" w:cs="Times New Roman"/>
                <w:sz w:val="20"/>
              </w:rPr>
              <w:t>2015</w:t>
            </w:r>
            <w:r>
              <w:rPr>
                <w:rFonts w:ascii="Times New Roman" w:hAnsi="Times New Roman" w:cs="Times New Roman"/>
                <w:sz w:val="20"/>
                <w:vertAlign w:val="superscript"/>
              </w:rPr>
              <w:t>2</w:t>
            </w:r>
            <w:r>
              <w:rPr>
                <w:rFonts w:ascii="Times New Roman" w:hAnsi="Times New Roman" w:cs="Times New Roman"/>
                <w:sz w:val="20"/>
              </w:rPr>
              <w:t>; no direct evidence of HPV strains was collected in MCR</w:t>
            </w:r>
          </w:p>
        </w:tc>
      </w:tr>
    </w:tbl>
    <w:p w:rsidR="00377F57" w:rsidRDefault="00377F57" w:rsidP="00377F57">
      <w:pPr>
        <w:spacing w:after="0" w:line="240" w:lineRule="auto"/>
        <w:rPr>
          <w:rFonts w:ascii="Times New Roman" w:hAnsi="Times New Roman" w:cs="Times New Roman"/>
          <w:b/>
          <w:sz w:val="24"/>
        </w:rPr>
      </w:pPr>
    </w:p>
    <w:p w:rsidR="00FB3EDA" w:rsidRDefault="00FB3EDA" w:rsidP="00377F57">
      <w:pPr>
        <w:spacing w:after="0" w:line="240" w:lineRule="auto"/>
        <w:rPr>
          <w:rFonts w:ascii="Times New Roman" w:hAnsi="Times New Roman" w:cs="Times New Roman"/>
          <w:b/>
          <w:sz w:val="24"/>
        </w:rPr>
      </w:pPr>
    </w:p>
    <w:p w:rsidR="00377F57" w:rsidRPr="002D728D" w:rsidRDefault="00377F57" w:rsidP="00377F57">
      <w:pPr>
        <w:spacing w:after="0" w:line="240" w:lineRule="auto"/>
        <w:rPr>
          <w:rFonts w:ascii="Times New Roman" w:hAnsi="Times New Roman" w:cs="Times New Roman"/>
          <w:b/>
          <w:sz w:val="24"/>
        </w:rPr>
      </w:pPr>
      <w:r>
        <w:rPr>
          <w:rFonts w:ascii="Times New Roman" w:hAnsi="Times New Roman" w:cs="Times New Roman"/>
          <w:b/>
          <w:sz w:val="24"/>
        </w:rPr>
        <w:t>Number a</w:t>
      </w:r>
      <w:r w:rsidRPr="002D728D">
        <w:rPr>
          <w:rFonts w:ascii="Times New Roman" w:hAnsi="Times New Roman" w:cs="Times New Roman"/>
          <w:b/>
          <w:sz w:val="24"/>
        </w:rPr>
        <w:t>ttributable to HPV</w:t>
      </w:r>
    </w:p>
    <w:p w:rsidR="00377F57" w:rsidRPr="00505331" w:rsidRDefault="00377F57" w:rsidP="00377F57">
      <w:pPr>
        <w:spacing w:after="0" w:line="240" w:lineRule="auto"/>
        <w:rPr>
          <w:rFonts w:ascii="Times New Roman" w:hAnsi="Times New Roman" w:cs="Times New Roman"/>
          <w:sz w:val="24"/>
        </w:rPr>
      </w:pPr>
    </w:p>
    <w:p w:rsidR="00377F57" w:rsidRDefault="00377F57" w:rsidP="00377F57">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In Massachusetts, 250</w:t>
      </w:r>
      <w:r w:rsidRPr="00104C4B">
        <w:rPr>
          <w:rFonts w:ascii="Times New Roman" w:hAnsi="Times New Roman" w:cs="Times New Roman"/>
          <w:sz w:val="24"/>
        </w:rPr>
        <w:t xml:space="preserve"> cases of </w:t>
      </w:r>
      <w:r>
        <w:rPr>
          <w:rFonts w:ascii="Times New Roman" w:hAnsi="Times New Roman" w:cs="Times New Roman"/>
          <w:sz w:val="24"/>
        </w:rPr>
        <w:t>oropharyngeal cancer were</w:t>
      </w:r>
      <w:r w:rsidRPr="00104C4B">
        <w:rPr>
          <w:rFonts w:ascii="Times New Roman" w:hAnsi="Times New Roman" w:cs="Times New Roman"/>
          <w:sz w:val="24"/>
        </w:rPr>
        <w:t xml:space="preserve"> estimated to be attributable to infection with any strain of HPV each year.</w:t>
      </w:r>
    </w:p>
    <w:p w:rsidR="00377F57" w:rsidRPr="00377F57" w:rsidRDefault="00377F57" w:rsidP="00377F57">
      <w:pPr>
        <w:spacing w:after="0" w:line="240" w:lineRule="auto"/>
        <w:rPr>
          <w:rFonts w:ascii="Times New Roman" w:hAnsi="Times New Roman" w:cs="Times New Roman"/>
          <w:sz w:val="24"/>
        </w:rPr>
      </w:pPr>
    </w:p>
    <w:p w:rsidR="00377F57" w:rsidRPr="00377F57" w:rsidRDefault="00377F57" w:rsidP="00377F57">
      <w:pPr>
        <w:pStyle w:val="ListParagraph"/>
        <w:numPr>
          <w:ilvl w:val="0"/>
          <w:numId w:val="4"/>
        </w:numPr>
        <w:spacing w:after="0" w:line="240" w:lineRule="auto"/>
        <w:ind w:left="180" w:hanging="180"/>
        <w:rPr>
          <w:rFonts w:ascii="Times New Roman" w:hAnsi="Times New Roman" w:cs="Times New Roman"/>
          <w:sz w:val="24"/>
        </w:rPr>
      </w:pPr>
      <w:r w:rsidRPr="00104C4B">
        <w:rPr>
          <w:rFonts w:ascii="Times New Roman" w:hAnsi="Times New Roman" w:cs="Times New Roman"/>
          <w:sz w:val="24"/>
        </w:rPr>
        <w:t xml:space="preserve">Of those </w:t>
      </w:r>
      <w:r>
        <w:rPr>
          <w:rFonts w:ascii="Times New Roman" w:hAnsi="Times New Roman" w:cs="Times New Roman"/>
          <w:sz w:val="24"/>
        </w:rPr>
        <w:t xml:space="preserve">250 </w:t>
      </w:r>
      <w:r w:rsidRPr="00104C4B">
        <w:rPr>
          <w:rFonts w:ascii="Times New Roman" w:hAnsi="Times New Roman" w:cs="Times New Roman"/>
          <w:sz w:val="24"/>
        </w:rPr>
        <w:t>cases attrib</w:t>
      </w:r>
      <w:r>
        <w:rPr>
          <w:rFonts w:ascii="Times New Roman" w:hAnsi="Times New Roman" w:cs="Times New Roman"/>
          <w:sz w:val="24"/>
        </w:rPr>
        <w:t>utable to any strain of HPV, 220</w:t>
      </w:r>
      <w:r w:rsidRPr="00104C4B">
        <w:rPr>
          <w:rFonts w:ascii="Times New Roman" w:hAnsi="Times New Roman" w:cs="Times New Roman"/>
          <w:sz w:val="24"/>
        </w:rPr>
        <w:t xml:space="preserve"> cases </w:t>
      </w:r>
      <w:r>
        <w:rPr>
          <w:rFonts w:ascii="Times New Roman" w:hAnsi="Times New Roman" w:cs="Times New Roman"/>
          <w:sz w:val="24"/>
        </w:rPr>
        <w:t>each year were</w:t>
      </w:r>
      <w:r w:rsidRPr="00104C4B">
        <w:rPr>
          <w:rFonts w:ascii="Times New Roman" w:hAnsi="Times New Roman" w:cs="Times New Roman"/>
          <w:sz w:val="24"/>
        </w:rPr>
        <w:t xml:space="preserve"> attributable to </w:t>
      </w:r>
      <w:r w:rsidRPr="00377F57">
        <w:rPr>
          <w:rFonts w:ascii="Times New Roman" w:hAnsi="Times New Roman" w:cs="Times New Roman"/>
          <w:sz w:val="24"/>
        </w:rPr>
        <w:t xml:space="preserve">HPV strains 16 and 18. All available HPV vaccines protect against HPV 16 and 18. </w:t>
      </w:r>
    </w:p>
    <w:p w:rsidR="00377F57" w:rsidRDefault="00377F57" w:rsidP="00377F57">
      <w:pPr>
        <w:pStyle w:val="ListParagraph"/>
        <w:spacing w:after="0" w:line="240" w:lineRule="auto"/>
        <w:ind w:left="180"/>
        <w:rPr>
          <w:rFonts w:ascii="Times New Roman" w:hAnsi="Times New Roman" w:cs="Times New Roman"/>
          <w:sz w:val="24"/>
        </w:rPr>
      </w:pPr>
    </w:p>
    <w:p w:rsidR="00377F57" w:rsidRDefault="00377F57" w:rsidP="00377F57">
      <w:pPr>
        <w:pStyle w:val="ListParagraph"/>
        <w:spacing w:after="0" w:line="240" w:lineRule="auto"/>
        <w:ind w:left="180"/>
        <w:rPr>
          <w:rFonts w:ascii="Times New Roman" w:hAnsi="Times New Roman" w:cs="Times New Roman"/>
          <w:sz w:val="24"/>
        </w:rPr>
      </w:pPr>
    </w:p>
    <w:p w:rsidR="00377F57" w:rsidRDefault="00377F57" w:rsidP="00377F57">
      <w:pPr>
        <w:pStyle w:val="ListParagraph"/>
        <w:spacing w:after="0" w:line="240" w:lineRule="auto"/>
        <w:ind w:left="180"/>
        <w:rPr>
          <w:rFonts w:ascii="Times New Roman" w:hAnsi="Times New Roman" w:cs="Times New Roman"/>
          <w:sz w:val="24"/>
        </w:rPr>
      </w:pPr>
    </w:p>
    <w:p w:rsidR="00377F57" w:rsidRDefault="00377F57" w:rsidP="00377F57">
      <w:pPr>
        <w:pStyle w:val="ListParagraph"/>
        <w:spacing w:after="0" w:line="240" w:lineRule="auto"/>
        <w:ind w:left="180"/>
        <w:rPr>
          <w:rFonts w:ascii="Times New Roman" w:hAnsi="Times New Roman" w:cs="Times New Roman"/>
          <w:sz w:val="24"/>
        </w:rPr>
      </w:pPr>
    </w:p>
    <w:p w:rsidR="00377F57" w:rsidRDefault="00377F57" w:rsidP="00377F57">
      <w:pPr>
        <w:pStyle w:val="ListParagraph"/>
        <w:spacing w:after="0" w:line="240" w:lineRule="auto"/>
        <w:ind w:left="180"/>
        <w:rPr>
          <w:rFonts w:ascii="Times New Roman" w:hAnsi="Times New Roman" w:cs="Times New Roman"/>
          <w:sz w:val="24"/>
        </w:rPr>
      </w:pPr>
    </w:p>
    <w:p w:rsidR="00377F57" w:rsidRDefault="00377F57" w:rsidP="00377F57">
      <w:pPr>
        <w:pStyle w:val="ListParagraph"/>
        <w:spacing w:after="0" w:line="240" w:lineRule="auto"/>
        <w:ind w:left="180"/>
        <w:rPr>
          <w:rFonts w:ascii="Times New Roman" w:hAnsi="Times New Roman" w:cs="Times New Roman"/>
          <w:sz w:val="24"/>
        </w:rPr>
      </w:pPr>
    </w:p>
    <w:p w:rsidR="00377F57" w:rsidRDefault="00377F57" w:rsidP="00377F57">
      <w:pPr>
        <w:pStyle w:val="ListParagraph"/>
        <w:spacing w:after="0" w:line="240" w:lineRule="auto"/>
        <w:ind w:left="180"/>
        <w:rPr>
          <w:rFonts w:ascii="Times New Roman" w:hAnsi="Times New Roman" w:cs="Times New Roman"/>
          <w:sz w:val="24"/>
        </w:rPr>
      </w:pPr>
    </w:p>
    <w:p w:rsidR="00FB3EDA" w:rsidRDefault="00FB3EDA" w:rsidP="00377F57">
      <w:pPr>
        <w:spacing w:after="0" w:line="240" w:lineRule="auto"/>
        <w:rPr>
          <w:rFonts w:ascii="Times New Roman" w:hAnsi="Times New Roman" w:cs="Times New Roman"/>
          <w:b/>
          <w:sz w:val="24"/>
        </w:rPr>
      </w:pPr>
    </w:p>
    <w:p w:rsidR="00FB3EDA" w:rsidRDefault="00FB3EDA" w:rsidP="00377F57">
      <w:pPr>
        <w:spacing w:after="0" w:line="240" w:lineRule="auto"/>
        <w:rPr>
          <w:rFonts w:ascii="Times New Roman" w:hAnsi="Times New Roman" w:cs="Times New Roman"/>
          <w:b/>
          <w:sz w:val="24"/>
        </w:rPr>
      </w:pPr>
    </w:p>
    <w:p w:rsidR="00377F57" w:rsidRPr="00377F57" w:rsidRDefault="00377F57" w:rsidP="00377F57">
      <w:pPr>
        <w:spacing w:after="0" w:line="240" w:lineRule="auto"/>
        <w:rPr>
          <w:rFonts w:ascii="Times New Roman" w:hAnsi="Times New Roman" w:cs="Times New Roman"/>
          <w:b/>
          <w:sz w:val="24"/>
        </w:rPr>
      </w:pPr>
      <w:r w:rsidRPr="00377F57">
        <w:rPr>
          <w:rFonts w:ascii="Times New Roman" w:hAnsi="Times New Roman" w:cs="Times New Roman"/>
          <w:b/>
          <w:sz w:val="24"/>
        </w:rPr>
        <w:t>HPV Vaccination</w:t>
      </w:r>
    </w:p>
    <w:p w:rsidR="00377F57" w:rsidRDefault="00377F57" w:rsidP="00377F57">
      <w:pPr>
        <w:pStyle w:val="ListParagraph"/>
        <w:spacing w:after="0" w:line="240" w:lineRule="auto"/>
        <w:ind w:left="180"/>
        <w:rPr>
          <w:rFonts w:ascii="Times New Roman" w:hAnsi="Times New Roman" w:cs="Times New Roman"/>
          <w:sz w:val="24"/>
        </w:rPr>
      </w:pPr>
    </w:p>
    <w:p w:rsidR="00377F57" w:rsidRPr="00377F57" w:rsidRDefault="00377F57" w:rsidP="00377F57">
      <w:pPr>
        <w:pStyle w:val="ListParagraph"/>
        <w:numPr>
          <w:ilvl w:val="0"/>
          <w:numId w:val="4"/>
        </w:numPr>
        <w:spacing w:after="0" w:line="240" w:lineRule="auto"/>
        <w:ind w:left="180" w:hanging="180"/>
        <w:rPr>
          <w:rFonts w:ascii="Times New Roman" w:hAnsi="Times New Roman" w:cs="Times New Roman"/>
          <w:sz w:val="24"/>
        </w:rPr>
      </w:pPr>
      <w:r w:rsidRPr="00377F57">
        <w:rPr>
          <w:rFonts w:ascii="Times New Roman" w:hAnsi="Times New Roman" w:cs="Times New Roman"/>
          <w:sz w:val="24"/>
        </w:rPr>
        <w:t xml:space="preserve">Of those cases attributable to any strain of HPV, 240 were attributable to HPV 16, 18, 31, 33, 45, 52, and 58. The 9 valent vaccine protects against those seven HPV </w:t>
      </w:r>
      <w:r w:rsidR="005E1E3F" w:rsidRPr="00377F57">
        <w:rPr>
          <w:rFonts w:ascii="Times New Roman" w:hAnsi="Times New Roman" w:cs="Times New Roman"/>
          <w:sz w:val="24"/>
        </w:rPr>
        <w:t>strains. In</w:t>
      </w:r>
      <w:r w:rsidRPr="00377F57">
        <w:rPr>
          <w:rFonts w:ascii="Times New Roman" w:hAnsi="Times New Roman" w:cs="Times New Roman"/>
          <w:sz w:val="24"/>
        </w:rPr>
        <w:t xml:space="preserve"> Massachusetts, 70.6% of females age 18-26 years reported having ever received a HPV vaccine in the 2015 BRFSS. Of those who ever received a HPV vaccine, 78.2% reported they completed the vaccine series. </w:t>
      </w:r>
    </w:p>
    <w:p w:rsidR="00377F57" w:rsidRDefault="00377F57" w:rsidP="00377F57">
      <w:pPr>
        <w:spacing w:after="0" w:line="240" w:lineRule="auto"/>
        <w:rPr>
          <w:rFonts w:ascii="Times New Roman" w:hAnsi="Times New Roman" w:cs="Times New Roman"/>
          <w:sz w:val="24"/>
        </w:rPr>
      </w:pPr>
    </w:p>
    <w:p w:rsidR="005E1E3F" w:rsidRDefault="00377F57" w:rsidP="00377F57">
      <w:pPr>
        <w:pStyle w:val="ListParagraph"/>
        <w:numPr>
          <w:ilvl w:val="0"/>
          <w:numId w:val="4"/>
        </w:numPr>
        <w:spacing w:after="0" w:line="240" w:lineRule="auto"/>
        <w:ind w:left="180" w:hanging="180"/>
        <w:rPr>
          <w:rFonts w:ascii="Times New Roman" w:hAnsi="Times New Roman" w:cs="Times New Roman"/>
          <w:sz w:val="24"/>
          <w:vertAlign w:val="superscript"/>
        </w:rPr>
      </w:pPr>
      <w:r>
        <w:rPr>
          <w:rFonts w:ascii="Times New Roman" w:hAnsi="Times New Roman" w:cs="Times New Roman"/>
          <w:sz w:val="24"/>
        </w:rPr>
        <w:t>Am</w:t>
      </w:r>
      <w:r w:rsidRPr="00D2512C">
        <w:rPr>
          <w:rFonts w:ascii="Times New Roman" w:hAnsi="Times New Roman" w:cs="Times New Roman"/>
          <w:sz w:val="24"/>
        </w:rPr>
        <w:t xml:space="preserve">ong younger </w:t>
      </w:r>
      <w:r>
        <w:rPr>
          <w:rFonts w:ascii="Times New Roman" w:hAnsi="Times New Roman" w:cs="Times New Roman"/>
          <w:sz w:val="24"/>
        </w:rPr>
        <w:t>Massachusetts teens</w:t>
      </w:r>
      <w:r w:rsidRPr="00D2512C">
        <w:rPr>
          <w:rFonts w:ascii="Times New Roman" w:hAnsi="Times New Roman" w:cs="Times New Roman"/>
          <w:sz w:val="24"/>
        </w:rPr>
        <w:t xml:space="preserve"> ages 13-17 years old</w:t>
      </w:r>
      <w:r>
        <w:rPr>
          <w:rFonts w:ascii="Times New Roman" w:hAnsi="Times New Roman" w:cs="Times New Roman"/>
          <w:sz w:val="24"/>
        </w:rPr>
        <w:t>,</w:t>
      </w:r>
      <w:r w:rsidRPr="00D2512C">
        <w:rPr>
          <w:rFonts w:ascii="Times New Roman" w:hAnsi="Times New Roman" w:cs="Times New Roman"/>
          <w:sz w:val="24"/>
        </w:rPr>
        <w:t xml:space="preserve"> 73.5% </w:t>
      </w:r>
      <w:r>
        <w:rPr>
          <w:rFonts w:ascii="Times New Roman" w:hAnsi="Times New Roman" w:cs="Times New Roman"/>
          <w:sz w:val="24"/>
        </w:rPr>
        <w:t xml:space="preserve">of females and 63.0% of males </w:t>
      </w:r>
      <w:r w:rsidRPr="00D2512C">
        <w:rPr>
          <w:rFonts w:ascii="Times New Roman" w:hAnsi="Times New Roman" w:cs="Times New Roman"/>
          <w:sz w:val="24"/>
        </w:rPr>
        <w:t>reported ever having at least one dose of the HPV vaccine.</w:t>
      </w:r>
      <w:r>
        <w:rPr>
          <w:rFonts w:ascii="Times New Roman" w:hAnsi="Times New Roman" w:cs="Times New Roman"/>
          <w:sz w:val="24"/>
        </w:rPr>
        <w:t xml:space="preserve"> Teens in Massachusetts have a higher prevalence of the HPV vaccine compared to the United States.</w:t>
      </w:r>
      <w:r>
        <w:rPr>
          <w:rFonts w:ascii="Times New Roman" w:hAnsi="Times New Roman" w:cs="Times New Roman"/>
          <w:sz w:val="24"/>
          <w:vertAlign w:val="superscript"/>
        </w:rPr>
        <w:t>4</w:t>
      </w:r>
    </w:p>
    <w:p w:rsidR="00FB3EDA" w:rsidRPr="00FB3EDA" w:rsidRDefault="00FB3EDA" w:rsidP="00FB3EDA">
      <w:pPr>
        <w:spacing w:after="0" w:line="240" w:lineRule="auto"/>
        <w:rPr>
          <w:rFonts w:ascii="Times New Roman" w:hAnsi="Times New Roman" w:cs="Times New Roman"/>
          <w:sz w:val="24"/>
          <w:vertAlign w:val="superscript"/>
        </w:rPr>
        <w:sectPr w:rsidR="00FB3EDA" w:rsidRPr="00FB3EDA" w:rsidSect="005E1E3F">
          <w:type w:val="continuous"/>
          <w:pgSz w:w="12240" w:h="15840"/>
          <w:pgMar w:top="864" w:right="864" w:bottom="864" w:left="864" w:header="720" w:footer="720" w:gutter="0"/>
          <w:cols w:num="2" w:space="288"/>
          <w:docGrid w:linePitch="360"/>
        </w:sectPr>
      </w:pPr>
    </w:p>
    <w:p w:rsidR="00377F57" w:rsidRPr="005D7C3F" w:rsidRDefault="00377F57" w:rsidP="005E1E3F">
      <w:pPr>
        <w:pStyle w:val="ListParagraph"/>
        <w:spacing w:after="0" w:line="240" w:lineRule="auto"/>
        <w:ind w:left="180"/>
        <w:rPr>
          <w:rFonts w:ascii="Times New Roman" w:hAnsi="Times New Roman" w:cs="Times New Roman"/>
          <w:sz w:val="24"/>
        </w:rPr>
      </w:pPr>
    </w:p>
    <w:tbl>
      <w:tblPr>
        <w:tblStyle w:val="TableGrid"/>
        <w:tblpPr w:leftFromText="180" w:rightFromText="180" w:vertAnchor="text" w:horzAnchor="margin" w:tblpY="300"/>
        <w:tblW w:w="10440" w:type="dxa"/>
        <w:tblLook w:val="04A0" w:firstRow="1" w:lastRow="0" w:firstColumn="1" w:lastColumn="0" w:noHBand="0" w:noVBand="1"/>
      </w:tblPr>
      <w:tblGrid>
        <w:gridCol w:w="2347"/>
        <w:gridCol w:w="1915"/>
        <w:gridCol w:w="1915"/>
        <w:gridCol w:w="1915"/>
        <w:gridCol w:w="2348"/>
      </w:tblGrid>
      <w:tr w:rsidR="005E1E3F" w:rsidRPr="00902D3A" w:rsidTr="00FB3EDA">
        <w:trPr>
          <w:trHeight w:val="423"/>
        </w:trPr>
        <w:tc>
          <w:tcPr>
            <w:tcW w:w="10440" w:type="dxa"/>
            <w:gridSpan w:val="5"/>
            <w:tcBorders>
              <w:top w:val="nil"/>
              <w:left w:val="nil"/>
              <w:right w:val="nil"/>
            </w:tcBorders>
            <w:vAlign w:val="center"/>
          </w:tcPr>
          <w:p w:rsidR="005E1E3F" w:rsidRPr="00902D3A" w:rsidRDefault="005E1E3F" w:rsidP="00FB3EDA">
            <w:pPr>
              <w:rPr>
                <w:rFonts w:ascii="Times New Roman" w:hAnsi="Times New Roman" w:cs="Times New Roman"/>
                <w:b/>
                <w:color w:val="1F497D" w:themeColor="text2"/>
                <w:sz w:val="24"/>
              </w:rPr>
            </w:pPr>
            <w:r>
              <w:rPr>
                <w:rFonts w:ascii="Times New Roman" w:hAnsi="Times New Roman" w:cs="Times New Roman"/>
                <w:b/>
                <w:color w:val="1F497D" w:themeColor="text2"/>
                <w:sz w:val="24"/>
              </w:rPr>
              <w:t xml:space="preserve">HPV VACCINATION IN MASSACHUSETTS COMPARED TO THE UNITED STATES  </w:t>
            </w:r>
          </w:p>
        </w:tc>
      </w:tr>
      <w:tr w:rsidR="005E1E3F" w:rsidRPr="00902D3A" w:rsidTr="00FB3EDA">
        <w:trPr>
          <w:trHeight w:val="467"/>
        </w:trPr>
        <w:tc>
          <w:tcPr>
            <w:tcW w:w="10440" w:type="dxa"/>
            <w:gridSpan w:val="5"/>
            <w:tcBorders>
              <w:bottom w:val="single" w:sz="4" w:space="0" w:color="auto"/>
            </w:tcBorders>
            <w:vAlign w:val="center"/>
          </w:tcPr>
          <w:p w:rsidR="005E1E3F" w:rsidRDefault="002F46C5" w:rsidP="00FB3EDA">
            <w:pPr>
              <w:rPr>
                <w:rFonts w:ascii="Times New Roman" w:hAnsi="Times New Roman" w:cs="Times New Roman"/>
                <w:b/>
                <w:color w:val="1F497D" w:themeColor="text2"/>
                <w:sz w:val="24"/>
              </w:rPr>
            </w:pPr>
            <w:r>
              <w:rPr>
                <w:rFonts w:ascii="Times New Roman" w:hAnsi="Times New Roman" w:cs="Times New Roman"/>
                <w:b/>
                <w:color w:val="1F497D" w:themeColor="text2"/>
                <w:sz w:val="24"/>
              </w:rPr>
              <w:t>Figure 6</w:t>
            </w:r>
            <w:r w:rsidR="005E1E3F">
              <w:rPr>
                <w:rFonts w:ascii="Times New Roman" w:hAnsi="Times New Roman" w:cs="Times New Roman"/>
                <w:b/>
                <w:color w:val="1F497D" w:themeColor="text2"/>
                <w:sz w:val="24"/>
              </w:rPr>
              <w:t>. Percent of teens, ages 13-17 years, receiving the HPV vaccine in Massachusetts and the United States, 2015</w:t>
            </w:r>
          </w:p>
        </w:tc>
      </w:tr>
      <w:tr w:rsidR="005E1E3F" w:rsidRPr="00902D3A" w:rsidTr="00FB3EDA">
        <w:trPr>
          <w:trHeight w:val="2870"/>
        </w:trPr>
        <w:tc>
          <w:tcPr>
            <w:tcW w:w="10440" w:type="dxa"/>
            <w:gridSpan w:val="5"/>
            <w:tcBorders>
              <w:bottom w:val="single" w:sz="4" w:space="0" w:color="auto"/>
            </w:tcBorders>
            <w:vAlign w:val="center"/>
          </w:tcPr>
          <w:p w:rsidR="005E1E3F" w:rsidRDefault="005E1E3F" w:rsidP="00FB3EDA">
            <w:pPr>
              <w:jc w:val="center"/>
              <w:rPr>
                <w:noProof/>
              </w:rPr>
            </w:pPr>
            <w:r>
              <w:rPr>
                <w:noProof/>
              </w:rPr>
              <w:drawing>
                <wp:inline distT="0" distB="0" distL="0" distR="0" wp14:anchorId="41DC9FC0" wp14:editId="47E960CA">
                  <wp:extent cx="5035138" cy="1805049"/>
                  <wp:effectExtent l="0" t="0" r="0" b="5080"/>
                  <wp:docPr id="7" name="Chart 7" descr="The US had higher vaccination rates than the US in 2015. 73.5% of girls had at least 1 dose in MA compared to 62.8% in the US. 63% of boys had at least 1 dose in MA compared to 49.8% in the US. 52.8% of girls had at least 3 doses in MA compared to 41.9% in the US. 35.2% of boys had at least 3 doses in MA compared to 28.1% in the US. The healthy people 2020 goal is for 80% with at least 3 doses. Data are from the 2015 national immunization survey from the Department of Health and Human Services. " title="Figure 6. Percent of teens, ages 13-17, receiving the HPV vaccine in Massachusetts and the US, 2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5E1E3F" w:rsidRPr="00902D3A" w:rsidTr="00FB3EDA">
        <w:trPr>
          <w:trHeight w:val="287"/>
        </w:trPr>
        <w:tc>
          <w:tcPr>
            <w:tcW w:w="2347" w:type="dxa"/>
            <w:tcBorders>
              <w:bottom w:val="single" w:sz="4" w:space="0" w:color="auto"/>
              <w:right w:val="nil"/>
            </w:tcBorders>
            <w:vAlign w:val="center"/>
          </w:tcPr>
          <w:p w:rsidR="005E1E3F" w:rsidRPr="00B6199B" w:rsidRDefault="005E1E3F" w:rsidP="00FB3EDA">
            <w:pPr>
              <w:rPr>
                <w:rFonts w:ascii="Times New Roman" w:hAnsi="Times New Roman" w:cs="Times New Roman"/>
                <w:b/>
                <w:color w:val="1F497D" w:themeColor="text2"/>
                <w:sz w:val="20"/>
              </w:rPr>
            </w:pPr>
          </w:p>
        </w:tc>
        <w:tc>
          <w:tcPr>
            <w:tcW w:w="1915" w:type="dxa"/>
            <w:tcBorders>
              <w:left w:val="nil"/>
              <w:bottom w:val="single" w:sz="4" w:space="0" w:color="auto"/>
              <w:right w:val="nil"/>
            </w:tcBorders>
            <w:vAlign w:val="center"/>
          </w:tcPr>
          <w:p w:rsidR="005E1E3F" w:rsidRPr="00B6199B" w:rsidRDefault="005E1E3F" w:rsidP="00FB3EDA">
            <w:pPr>
              <w:jc w:val="center"/>
              <w:rPr>
                <w:rFonts w:ascii="Times New Roman" w:hAnsi="Times New Roman" w:cs="Times New Roman"/>
                <w:b/>
                <w:color w:val="1F497D" w:themeColor="text2"/>
                <w:sz w:val="20"/>
              </w:rPr>
            </w:pPr>
            <w:r w:rsidRPr="00B6199B">
              <w:rPr>
                <w:rFonts w:ascii="Times New Roman" w:hAnsi="Times New Roman" w:cs="Times New Roman"/>
                <w:b/>
                <w:color w:val="1F497D" w:themeColor="text2"/>
                <w:sz w:val="20"/>
              </w:rPr>
              <w:t>≥1 dose girls</w:t>
            </w:r>
          </w:p>
        </w:tc>
        <w:tc>
          <w:tcPr>
            <w:tcW w:w="1915" w:type="dxa"/>
            <w:tcBorders>
              <w:left w:val="nil"/>
              <w:bottom w:val="single" w:sz="4" w:space="0" w:color="auto"/>
              <w:right w:val="nil"/>
            </w:tcBorders>
            <w:vAlign w:val="center"/>
          </w:tcPr>
          <w:p w:rsidR="005E1E3F" w:rsidRPr="00B6199B" w:rsidRDefault="005E1E3F" w:rsidP="00FB3EDA">
            <w:pPr>
              <w:jc w:val="center"/>
              <w:rPr>
                <w:rFonts w:ascii="Times New Roman" w:hAnsi="Times New Roman" w:cs="Times New Roman"/>
                <w:b/>
                <w:color w:val="1F497D" w:themeColor="text2"/>
                <w:sz w:val="20"/>
              </w:rPr>
            </w:pPr>
            <w:r w:rsidRPr="00B6199B">
              <w:rPr>
                <w:rFonts w:ascii="Times New Roman" w:hAnsi="Times New Roman" w:cs="Times New Roman"/>
                <w:b/>
                <w:color w:val="1F497D" w:themeColor="text2"/>
                <w:sz w:val="20"/>
              </w:rPr>
              <w:t>≥1 dose boys</w:t>
            </w:r>
          </w:p>
        </w:tc>
        <w:tc>
          <w:tcPr>
            <w:tcW w:w="1915" w:type="dxa"/>
            <w:tcBorders>
              <w:left w:val="nil"/>
              <w:bottom w:val="single" w:sz="4" w:space="0" w:color="auto"/>
              <w:right w:val="nil"/>
            </w:tcBorders>
            <w:vAlign w:val="center"/>
          </w:tcPr>
          <w:p w:rsidR="005E1E3F" w:rsidRPr="00B6199B" w:rsidRDefault="005E1E3F" w:rsidP="00FB3EDA">
            <w:pPr>
              <w:jc w:val="center"/>
              <w:rPr>
                <w:rFonts w:ascii="Times New Roman" w:hAnsi="Times New Roman" w:cs="Times New Roman"/>
                <w:b/>
                <w:color w:val="1F497D" w:themeColor="text2"/>
                <w:sz w:val="20"/>
              </w:rPr>
            </w:pPr>
            <w:r w:rsidRPr="00B6199B">
              <w:rPr>
                <w:rFonts w:ascii="Times New Roman" w:hAnsi="Times New Roman" w:cs="Times New Roman"/>
                <w:b/>
                <w:color w:val="1F497D" w:themeColor="text2"/>
                <w:sz w:val="20"/>
              </w:rPr>
              <w:t>≥3 doses girls</w:t>
            </w:r>
          </w:p>
        </w:tc>
        <w:tc>
          <w:tcPr>
            <w:tcW w:w="2348" w:type="dxa"/>
            <w:tcBorders>
              <w:left w:val="nil"/>
              <w:bottom w:val="single" w:sz="4" w:space="0" w:color="auto"/>
            </w:tcBorders>
            <w:vAlign w:val="center"/>
          </w:tcPr>
          <w:p w:rsidR="005E1E3F" w:rsidRPr="00B6199B" w:rsidRDefault="005E1E3F" w:rsidP="00FB3EDA">
            <w:pPr>
              <w:jc w:val="center"/>
              <w:rPr>
                <w:rFonts w:ascii="Times New Roman" w:hAnsi="Times New Roman" w:cs="Times New Roman"/>
                <w:b/>
                <w:color w:val="1F497D" w:themeColor="text2"/>
                <w:sz w:val="20"/>
              </w:rPr>
            </w:pPr>
            <w:r w:rsidRPr="00B6199B">
              <w:rPr>
                <w:rFonts w:ascii="Times New Roman" w:hAnsi="Times New Roman" w:cs="Times New Roman"/>
                <w:b/>
                <w:color w:val="1F497D" w:themeColor="text2"/>
                <w:sz w:val="20"/>
              </w:rPr>
              <w:t>≥3 doses boys</w:t>
            </w:r>
          </w:p>
        </w:tc>
      </w:tr>
      <w:tr w:rsidR="005E1E3F" w:rsidRPr="008358B2" w:rsidTr="00FB3EDA">
        <w:trPr>
          <w:trHeight w:val="188"/>
        </w:trPr>
        <w:tc>
          <w:tcPr>
            <w:tcW w:w="2347" w:type="dxa"/>
            <w:tcBorders>
              <w:top w:val="single" w:sz="4" w:space="0" w:color="auto"/>
              <w:bottom w:val="nil"/>
              <w:right w:val="nil"/>
            </w:tcBorders>
            <w:vAlign w:val="center"/>
          </w:tcPr>
          <w:p w:rsidR="005E1E3F" w:rsidRPr="00B6199B" w:rsidRDefault="005E1E3F" w:rsidP="00FB3EDA">
            <w:pPr>
              <w:rPr>
                <w:rFonts w:ascii="Times New Roman" w:hAnsi="Times New Roman" w:cs="Times New Roman"/>
                <w:sz w:val="20"/>
              </w:rPr>
            </w:pPr>
            <w:r w:rsidRPr="00B6199B">
              <w:rPr>
                <w:rFonts w:ascii="Times New Roman" w:hAnsi="Times New Roman" w:cs="Times New Roman"/>
                <w:sz w:val="20"/>
              </w:rPr>
              <w:t>Massachusetts</w:t>
            </w:r>
          </w:p>
        </w:tc>
        <w:tc>
          <w:tcPr>
            <w:tcW w:w="1915" w:type="dxa"/>
            <w:tcBorders>
              <w:top w:val="single" w:sz="4" w:space="0" w:color="auto"/>
              <w:left w:val="nil"/>
              <w:bottom w:val="nil"/>
              <w:right w:val="nil"/>
            </w:tcBorders>
            <w:vAlign w:val="center"/>
          </w:tcPr>
          <w:p w:rsidR="005E1E3F" w:rsidRPr="00B6199B" w:rsidRDefault="005E1E3F" w:rsidP="00FB3EDA">
            <w:pPr>
              <w:tabs>
                <w:tab w:val="left" w:pos="702"/>
              </w:tabs>
              <w:ind w:right="-18" w:hanging="14"/>
              <w:jc w:val="center"/>
              <w:rPr>
                <w:rFonts w:ascii="Times New Roman" w:hAnsi="Times New Roman" w:cs="Times New Roman"/>
                <w:sz w:val="20"/>
              </w:rPr>
            </w:pPr>
            <w:r w:rsidRPr="00B6199B">
              <w:rPr>
                <w:rFonts w:ascii="Times New Roman" w:hAnsi="Times New Roman" w:cs="Times New Roman"/>
                <w:sz w:val="20"/>
              </w:rPr>
              <w:t>73.5%</w:t>
            </w:r>
          </w:p>
        </w:tc>
        <w:tc>
          <w:tcPr>
            <w:tcW w:w="1915" w:type="dxa"/>
            <w:tcBorders>
              <w:top w:val="single" w:sz="4" w:space="0" w:color="auto"/>
              <w:left w:val="nil"/>
              <w:bottom w:val="nil"/>
              <w:right w:val="nil"/>
            </w:tcBorders>
            <w:vAlign w:val="center"/>
          </w:tcPr>
          <w:p w:rsidR="005E1E3F" w:rsidRPr="00B6199B" w:rsidRDefault="005E1E3F" w:rsidP="00FB3EDA">
            <w:pPr>
              <w:tabs>
                <w:tab w:val="left" w:pos="0"/>
              </w:tabs>
              <w:jc w:val="center"/>
              <w:rPr>
                <w:rFonts w:ascii="Times New Roman" w:hAnsi="Times New Roman" w:cs="Times New Roman"/>
                <w:sz w:val="20"/>
              </w:rPr>
            </w:pPr>
            <w:r w:rsidRPr="00B6199B">
              <w:rPr>
                <w:rFonts w:ascii="Times New Roman" w:hAnsi="Times New Roman" w:cs="Times New Roman"/>
                <w:sz w:val="20"/>
              </w:rPr>
              <w:t>63.0%</w:t>
            </w:r>
          </w:p>
        </w:tc>
        <w:tc>
          <w:tcPr>
            <w:tcW w:w="1915" w:type="dxa"/>
            <w:tcBorders>
              <w:top w:val="single" w:sz="4" w:space="0" w:color="auto"/>
              <w:left w:val="nil"/>
              <w:bottom w:val="nil"/>
              <w:right w:val="nil"/>
            </w:tcBorders>
            <w:vAlign w:val="center"/>
          </w:tcPr>
          <w:p w:rsidR="005E1E3F" w:rsidRPr="00B6199B" w:rsidRDefault="005E1E3F" w:rsidP="00FB3EDA">
            <w:pPr>
              <w:tabs>
                <w:tab w:val="left" w:pos="0"/>
              </w:tabs>
              <w:jc w:val="center"/>
              <w:rPr>
                <w:rFonts w:ascii="Times New Roman" w:hAnsi="Times New Roman" w:cs="Times New Roman"/>
                <w:sz w:val="20"/>
              </w:rPr>
            </w:pPr>
            <w:r w:rsidRPr="00B6199B">
              <w:rPr>
                <w:rFonts w:ascii="Times New Roman" w:hAnsi="Times New Roman" w:cs="Times New Roman"/>
                <w:sz w:val="20"/>
              </w:rPr>
              <w:t>52.8%</w:t>
            </w:r>
          </w:p>
        </w:tc>
        <w:tc>
          <w:tcPr>
            <w:tcW w:w="2348" w:type="dxa"/>
            <w:tcBorders>
              <w:top w:val="single" w:sz="4" w:space="0" w:color="auto"/>
              <w:left w:val="nil"/>
              <w:bottom w:val="nil"/>
            </w:tcBorders>
            <w:vAlign w:val="center"/>
          </w:tcPr>
          <w:p w:rsidR="005E1E3F" w:rsidRPr="00B6199B" w:rsidRDefault="005E1E3F" w:rsidP="00FB3EDA">
            <w:pPr>
              <w:tabs>
                <w:tab w:val="left" w:pos="0"/>
              </w:tabs>
              <w:jc w:val="center"/>
              <w:rPr>
                <w:rFonts w:ascii="Times New Roman" w:hAnsi="Times New Roman" w:cs="Times New Roman"/>
                <w:sz w:val="20"/>
              </w:rPr>
            </w:pPr>
            <w:r w:rsidRPr="00B6199B">
              <w:rPr>
                <w:rFonts w:ascii="Times New Roman" w:hAnsi="Times New Roman" w:cs="Times New Roman"/>
                <w:sz w:val="20"/>
              </w:rPr>
              <w:t>35.2%</w:t>
            </w:r>
          </w:p>
        </w:tc>
      </w:tr>
      <w:tr w:rsidR="005E1E3F" w:rsidRPr="008358B2" w:rsidTr="00FB3EDA">
        <w:trPr>
          <w:trHeight w:val="135"/>
        </w:trPr>
        <w:tc>
          <w:tcPr>
            <w:tcW w:w="2347" w:type="dxa"/>
            <w:tcBorders>
              <w:top w:val="nil"/>
              <w:bottom w:val="nil"/>
              <w:right w:val="nil"/>
            </w:tcBorders>
            <w:vAlign w:val="center"/>
          </w:tcPr>
          <w:p w:rsidR="005E1E3F" w:rsidRPr="00B6199B" w:rsidRDefault="005E1E3F" w:rsidP="00FB3EDA">
            <w:pPr>
              <w:rPr>
                <w:rFonts w:ascii="Times New Roman" w:hAnsi="Times New Roman" w:cs="Times New Roman"/>
                <w:sz w:val="20"/>
              </w:rPr>
            </w:pPr>
            <w:r w:rsidRPr="00B6199B">
              <w:rPr>
                <w:rFonts w:ascii="Times New Roman" w:hAnsi="Times New Roman" w:cs="Times New Roman"/>
                <w:sz w:val="20"/>
              </w:rPr>
              <w:t>United States</w:t>
            </w:r>
          </w:p>
        </w:tc>
        <w:tc>
          <w:tcPr>
            <w:tcW w:w="1915" w:type="dxa"/>
            <w:tcBorders>
              <w:top w:val="nil"/>
              <w:left w:val="nil"/>
              <w:bottom w:val="nil"/>
              <w:right w:val="nil"/>
            </w:tcBorders>
            <w:vAlign w:val="center"/>
          </w:tcPr>
          <w:p w:rsidR="005E1E3F" w:rsidRPr="00B6199B" w:rsidRDefault="005E1E3F" w:rsidP="00FB3EDA">
            <w:pPr>
              <w:tabs>
                <w:tab w:val="left" w:pos="702"/>
              </w:tabs>
              <w:ind w:right="-18" w:hanging="14"/>
              <w:jc w:val="center"/>
              <w:rPr>
                <w:rFonts w:ascii="Times New Roman" w:hAnsi="Times New Roman" w:cs="Times New Roman"/>
                <w:sz w:val="20"/>
              </w:rPr>
            </w:pPr>
            <w:r w:rsidRPr="00B6199B">
              <w:rPr>
                <w:rFonts w:ascii="Times New Roman" w:hAnsi="Times New Roman" w:cs="Times New Roman"/>
                <w:sz w:val="20"/>
              </w:rPr>
              <w:t>62.8%</w:t>
            </w:r>
          </w:p>
        </w:tc>
        <w:tc>
          <w:tcPr>
            <w:tcW w:w="1915" w:type="dxa"/>
            <w:tcBorders>
              <w:top w:val="nil"/>
              <w:left w:val="nil"/>
              <w:bottom w:val="nil"/>
              <w:right w:val="nil"/>
            </w:tcBorders>
            <w:vAlign w:val="center"/>
          </w:tcPr>
          <w:p w:rsidR="005E1E3F" w:rsidRPr="00B6199B" w:rsidRDefault="005E1E3F" w:rsidP="00FB3EDA">
            <w:pPr>
              <w:tabs>
                <w:tab w:val="left" w:pos="0"/>
              </w:tabs>
              <w:jc w:val="center"/>
              <w:rPr>
                <w:rFonts w:ascii="Times New Roman" w:hAnsi="Times New Roman" w:cs="Times New Roman"/>
                <w:sz w:val="20"/>
              </w:rPr>
            </w:pPr>
            <w:r w:rsidRPr="00B6199B">
              <w:rPr>
                <w:rFonts w:ascii="Times New Roman" w:hAnsi="Times New Roman" w:cs="Times New Roman"/>
                <w:sz w:val="20"/>
              </w:rPr>
              <w:t>49.8%</w:t>
            </w:r>
          </w:p>
        </w:tc>
        <w:tc>
          <w:tcPr>
            <w:tcW w:w="1915" w:type="dxa"/>
            <w:tcBorders>
              <w:top w:val="nil"/>
              <w:left w:val="nil"/>
              <w:bottom w:val="nil"/>
              <w:right w:val="nil"/>
            </w:tcBorders>
            <w:vAlign w:val="center"/>
          </w:tcPr>
          <w:p w:rsidR="005E1E3F" w:rsidRPr="00B6199B" w:rsidRDefault="005E1E3F" w:rsidP="00FB3EDA">
            <w:pPr>
              <w:tabs>
                <w:tab w:val="left" w:pos="0"/>
              </w:tabs>
              <w:jc w:val="center"/>
              <w:rPr>
                <w:rFonts w:ascii="Times New Roman" w:hAnsi="Times New Roman" w:cs="Times New Roman"/>
                <w:sz w:val="20"/>
              </w:rPr>
            </w:pPr>
            <w:r w:rsidRPr="00B6199B">
              <w:rPr>
                <w:rFonts w:ascii="Times New Roman" w:hAnsi="Times New Roman" w:cs="Times New Roman"/>
                <w:sz w:val="20"/>
              </w:rPr>
              <w:t>41.9%</w:t>
            </w:r>
          </w:p>
        </w:tc>
        <w:tc>
          <w:tcPr>
            <w:tcW w:w="2348" w:type="dxa"/>
            <w:tcBorders>
              <w:top w:val="nil"/>
              <w:left w:val="nil"/>
              <w:bottom w:val="nil"/>
            </w:tcBorders>
            <w:vAlign w:val="center"/>
          </w:tcPr>
          <w:p w:rsidR="005E1E3F" w:rsidRPr="00B6199B" w:rsidRDefault="005E1E3F" w:rsidP="00FB3EDA">
            <w:pPr>
              <w:tabs>
                <w:tab w:val="left" w:pos="0"/>
              </w:tabs>
              <w:jc w:val="center"/>
              <w:rPr>
                <w:rFonts w:ascii="Times New Roman" w:hAnsi="Times New Roman" w:cs="Times New Roman"/>
                <w:sz w:val="20"/>
              </w:rPr>
            </w:pPr>
            <w:r w:rsidRPr="00B6199B">
              <w:rPr>
                <w:rFonts w:ascii="Times New Roman" w:hAnsi="Times New Roman" w:cs="Times New Roman"/>
                <w:sz w:val="20"/>
              </w:rPr>
              <w:t>28.1%</w:t>
            </w:r>
          </w:p>
        </w:tc>
      </w:tr>
      <w:tr w:rsidR="005E1E3F" w:rsidRPr="008358B2" w:rsidTr="00FB3EDA">
        <w:trPr>
          <w:trHeight w:val="512"/>
        </w:trPr>
        <w:tc>
          <w:tcPr>
            <w:tcW w:w="10440" w:type="dxa"/>
            <w:gridSpan w:val="5"/>
            <w:tcBorders>
              <w:top w:val="single" w:sz="4" w:space="0" w:color="auto"/>
            </w:tcBorders>
            <w:vAlign w:val="center"/>
          </w:tcPr>
          <w:p w:rsidR="005E1E3F" w:rsidRPr="000F6020" w:rsidRDefault="005E1E3F" w:rsidP="00FB3EDA">
            <w:pPr>
              <w:rPr>
                <w:rFonts w:ascii="Times New Roman" w:hAnsi="Times New Roman" w:cs="Times New Roman"/>
                <w:sz w:val="20"/>
                <w:vertAlign w:val="superscript"/>
              </w:rPr>
            </w:pPr>
            <w:r>
              <w:rPr>
                <w:rFonts w:ascii="Times New Roman" w:hAnsi="Times New Roman" w:cs="Times New Roman"/>
                <w:sz w:val="20"/>
              </w:rPr>
              <w:t>Healthy People 2020 goal is 80% for ≥3 doses</w:t>
            </w:r>
            <w:r>
              <w:rPr>
                <w:rFonts w:ascii="Times New Roman" w:hAnsi="Times New Roman" w:cs="Times New Roman"/>
                <w:sz w:val="20"/>
                <w:vertAlign w:val="superscript"/>
              </w:rPr>
              <w:t>3</w:t>
            </w:r>
            <w:r>
              <w:rPr>
                <w:rFonts w:ascii="Times New Roman" w:hAnsi="Times New Roman" w:cs="Times New Roman"/>
                <w:sz w:val="20"/>
              </w:rPr>
              <w:t>, Data source:</w:t>
            </w:r>
            <w:r w:rsidRPr="00104C4B">
              <w:rPr>
                <w:rFonts w:ascii="Times New Roman" w:hAnsi="Times New Roman" w:cs="Times New Roman"/>
                <w:sz w:val="20"/>
                <w:szCs w:val="20"/>
              </w:rPr>
              <w:t xml:space="preserve"> U.S. Department of Health and Human Services (DHHS). National Center for Health S</w:t>
            </w:r>
            <w:r>
              <w:rPr>
                <w:rFonts w:ascii="Times New Roman" w:hAnsi="Times New Roman" w:cs="Times New Roman"/>
                <w:sz w:val="20"/>
                <w:szCs w:val="20"/>
              </w:rPr>
              <w:t>tatistics,</w:t>
            </w:r>
            <w:r w:rsidRPr="00104C4B">
              <w:rPr>
                <w:rFonts w:ascii="Times New Roman" w:hAnsi="Times New Roman" w:cs="Times New Roman"/>
                <w:sz w:val="20"/>
                <w:szCs w:val="20"/>
              </w:rPr>
              <w:t xml:space="preserve"> The 2015 National Immunization Survey</w:t>
            </w:r>
            <w:r>
              <w:rPr>
                <w:rFonts w:ascii="Times New Roman" w:hAnsi="Times New Roman" w:cs="Times New Roman"/>
                <w:sz w:val="20"/>
                <w:szCs w:val="20"/>
              </w:rPr>
              <w:t>, TeenVaxView</w:t>
            </w:r>
            <w:r>
              <w:rPr>
                <w:rFonts w:ascii="Times New Roman" w:hAnsi="Times New Roman" w:cs="Times New Roman"/>
                <w:sz w:val="20"/>
                <w:szCs w:val="20"/>
                <w:vertAlign w:val="superscript"/>
              </w:rPr>
              <w:t>4</w:t>
            </w:r>
          </w:p>
        </w:tc>
      </w:tr>
    </w:tbl>
    <w:p w:rsidR="002D728D" w:rsidRDefault="002D728D" w:rsidP="005D7C3F">
      <w:pPr>
        <w:spacing w:after="0" w:line="240" w:lineRule="auto"/>
        <w:rPr>
          <w:rFonts w:ascii="Times New Roman" w:hAnsi="Times New Roman" w:cs="Times New Roman"/>
          <w:sz w:val="24"/>
        </w:rPr>
      </w:pPr>
    </w:p>
    <w:p w:rsidR="002D728D" w:rsidRPr="005D7C3F" w:rsidRDefault="002D728D" w:rsidP="005D7C3F">
      <w:pPr>
        <w:spacing w:after="0" w:line="240" w:lineRule="auto"/>
        <w:rPr>
          <w:rFonts w:ascii="Times New Roman" w:hAnsi="Times New Roman" w:cs="Times New Roman"/>
          <w:sz w:val="24"/>
        </w:rPr>
        <w:sectPr w:rsidR="002D728D" w:rsidRPr="005D7C3F" w:rsidSect="005D7C3F">
          <w:type w:val="continuous"/>
          <w:pgSz w:w="12240" w:h="15840"/>
          <w:pgMar w:top="864" w:right="864" w:bottom="864" w:left="864" w:header="720" w:footer="720" w:gutter="0"/>
          <w:cols w:num="2" w:space="288"/>
          <w:docGrid w:linePitch="360"/>
        </w:sectPr>
      </w:pPr>
    </w:p>
    <w:tbl>
      <w:tblPr>
        <w:tblStyle w:val="TableGrid"/>
        <w:tblW w:w="10440" w:type="dxa"/>
        <w:jc w:val="center"/>
        <w:tblLook w:val="04A0" w:firstRow="1" w:lastRow="0" w:firstColumn="1" w:lastColumn="0" w:noHBand="0" w:noVBand="1"/>
      </w:tblPr>
      <w:tblGrid>
        <w:gridCol w:w="5220"/>
        <w:gridCol w:w="5220"/>
      </w:tblGrid>
      <w:tr w:rsidR="00D2512C" w:rsidRPr="00902D3A" w:rsidTr="005D7C3F">
        <w:trPr>
          <w:trHeight w:val="153"/>
          <w:jc w:val="center"/>
        </w:trPr>
        <w:tc>
          <w:tcPr>
            <w:tcW w:w="10440" w:type="dxa"/>
            <w:gridSpan w:val="2"/>
            <w:tcBorders>
              <w:top w:val="nil"/>
              <w:left w:val="nil"/>
              <w:right w:val="nil"/>
            </w:tcBorders>
            <w:vAlign w:val="center"/>
          </w:tcPr>
          <w:p w:rsidR="00D2512C" w:rsidRPr="00902D3A" w:rsidRDefault="005D7C3F" w:rsidP="0073202D">
            <w:pPr>
              <w:rPr>
                <w:rFonts w:ascii="Times New Roman" w:hAnsi="Times New Roman" w:cs="Times New Roman"/>
                <w:b/>
                <w:color w:val="1F497D" w:themeColor="text2"/>
                <w:sz w:val="24"/>
              </w:rPr>
            </w:pPr>
            <w:r>
              <w:rPr>
                <w:rFonts w:ascii="Times New Roman" w:hAnsi="Times New Roman" w:cs="Times New Roman"/>
                <w:b/>
                <w:color w:val="1F497D" w:themeColor="text2"/>
                <w:sz w:val="24"/>
              </w:rPr>
              <w:lastRenderedPageBreak/>
              <w:t xml:space="preserve">TRENDS IN </w:t>
            </w:r>
            <w:r w:rsidR="00E17B36">
              <w:rPr>
                <w:rFonts w:ascii="Times New Roman" w:hAnsi="Times New Roman" w:cs="Times New Roman"/>
                <w:b/>
                <w:color w:val="1F497D" w:themeColor="text2"/>
                <w:sz w:val="24"/>
              </w:rPr>
              <w:t xml:space="preserve">SELECT </w:t>
            </w:r>
            <w:r>
              <w:rPr>
                <w:rFonts w:ascii="Times New Roman" w:hAnsi="Times New Roman" w:cs="Times New Roman"/>
                <w:b/>
                <w:color w:val="1F497D" w:themeColor="text2"/>
                <w:sz w:val="24"/>
              </w:rPr>
              <w:t>RISK FACTORS FOR OROPHARYNGEAL CANCER</w:t>
            </w:r>
            <w:r w:rsidR="0073202D">
              <w:rPr>
                <w:rFonts w:ascii="Times New Roman" w:hAnsi="Times New Roman" w:cs="Times New Roman"/>
                <w:b/>
                <w:color w:val="1F497D" w:themeColor="text2"/>
                <w:sz w:val="24"/>
              </w:rPr>
              <w:t xml:space="preserve"> </w:t>
            </w:r>
          </w:p>
        </w:tc>
      </w:tr>
      <w:tr w:rsidR="00D2512C" w:rsidRPr="00902D3A" w:rsidTr="005D7C3F">
        <w:trPr>
          <w:trHeight w:val="260"/>
          <w:jc w:val="center"/>
        </w:trPr>
        <w:tc>
          <w:tcPr>
            <w:tcW w:w="10440" w:type="dxa"/>
            <w:gridSpan w:val="2"/>
            <w:tcBorders>
              <w:bottom w:val="single" w:sz="4" w:space="0" w:color="auto"/>
            </w:tcBorders>
            <w:vAlign w:val="center"/>
          </w:tcPr>
          <w:p w:rsidR="00D2512C" w:rsidRDefault="00D2512C" w:rsidP="005D7C3F">
            <w:pPr>
              <w:rPr>
                <w:rFonts w:ascii="Times New Roman" w:hAnsi="Times New Roman" w:cs="Times New Roman"/>
                <w:b/>
                <w:color w:val="1F497D" w:themeColor="text2"/>
                <w:sz w:val="24"/>
              </w:rPr>
            </w:pPr>
            <w:r>
              <w:rPr>
                <w:rFonts w:ascii="Times New Roman" w:hAnsi="Times New Roman" w:cs="Times New Roman"/>
                <w:b/>
                <w:color w:val="1F497D" w:themeColor="text2"/>
                <w:sz w:val="24"/>
              </w:rPr>
              <w:t xml:space="preserve">Figure </w:t>
            </w:r>
            <w:r w:rsidR="002F46C5">
              <w:rPr>
                <w:rFonts w:ascii="Times New Roman" w:hAnsi="Times New Roman" w:cs="Times New Roman"/>
                <w:b/>
                <w:color w:val="1F497D" w:themeColor="text2"/>
                <w:sz w:val="24"/>
              </w:rPr>
              <w:t>7</w:t>
            </w:r>
            <w:r>
              <w:rPr>
                <w:rFonts w:ascii="Times New Roman" w:hAnsi="Times New Roman" w:cs="Times New Roman"/>
                <w:b/>
                <w:color w:val="1F497D" w:themeColor="text2"/>
                <w:sz w:val="24"/>
              </w:rPr>
              <w:t xml:space="preserve">. </w:t>
            </w:r>
            <w:r w:rsidR="005D7C3F">
              <w:rPr>
                <w:rFonts w:ascii="Times New Roman" w:hAnsi="Times New Roman" w:cs="Times New Roman"/>
                <w:b/>
                <w:color w:val="1F497D" w:themeColor="text2"/>
                <w:sz w:val="24"/>
              </w:rPr>
              <w:t>Traditional risk factors for oropharyngeal cancer</w:t>
            </w:r>
          </w:p>
        </w:tc>
      </w:tr>
      <w:tr w:rsidR="005D7C3F" w:rsidRPr="00902D3A" w:rsidTr="009E5349">
        <w:trPr>
          <w:trHeight w:val="467"/>
          <w:jc w:val="center"/>
        </w:trPr>
        <w:tc>
          <w:tcPr>
            <w:tcW w:w="5220" w:type="dxa"/>
            <w:tcBorders>
              <w:bottom w:val="single" w:sz="4" w:space="0" w:color="auto"/>
            </w:tcBorders>
            <w:vAlign w:val="center"/>
          </w:tcPr>
          <w:p w:rsidR="005D7C3F" w:rsidRPr="00D73AA5" w:rsidRDefault="005D7C3F" w:rsidP="005D7C3F">
            <w:pPr>
              <w:rPr>
                <w:rFonts w:ascii="Times New Roman" w:hAnsi="Times New Roman" w:cs="Times New Roman"/>
                <w:b/>
                <w:color w:val="1F497D" w:themeColor="text2"/>
                <w:sz w:val="24"/>
                <w:vertAlign w:val="superscript"/>
              </w:rPr>
            </w:pPr>
            <w:r>
              <w:rPr>
                <w:rFonts w:ascii="Times New Roman" w:hAnsi="Times New Roman" w:cs="Times New Roman"/>
                <w:b/>
                <w:color w:val="1F497D" w:themeColor="text2"/>
                <w:sz w:val="24"/>
              </w:rPr>
              <w:t>Current cigarette smoking among adults from BRFSS</w:t>
            </w:r>
            <w:r w:rsidR="00577154">
              <w:rPr>
                <w:rFonts w:ascii="Times New Roman" w:hAnsi="Times New Roman" w:cs="Times New Roman"/>
                <w:b/>
                <w:color w:val="1F497D" w:themeColor="text2"/>
                <w:sz w:val="24"/>
                <w:vertAlign w:val="superscript"/>
              </w:rPr>
              <w:t>5</w:t>
            </w:r>
          </w:p>
        </w:tc>
        <w:tc>
          <w:tcPr>
            <w:tcW w:w="5220" w:type="dxa"/>
            <w:tcBorders>
              <w:bottom w:val="single" w:sz="4" w:space="0" w:color="auto"/>
            </w:tcBorders>
            <w:vAlign w:val="center"/>
          </w:tcPr>
          <w:p w:rsidR="005D7C3F" w:rsidRPr="00D73AA5" w:rsidRDefault="005D7C3F" w:rsidP="005D7C3F">
            <w:pPr>
              <w:rPr>
                <w:rFonts w:ascii="Times New Roman" w:hAnsi="Times New Roman" w:cs="Times New Roman"/>
                <w:b/>
                <w:color w:val="1F497D" w:themeColor="text2"/>
                <w:sz w:val="24"/>
                <w:vertAlign w:val="superscript"/>
              </w:rPr>
            </w:pPr>
            <w:r>
              <w:rPr>
                <w:rFonts w:ascii="Times New Roman" w:hAnsi="Times New Roman" w:cs="Times New Roman"/>
                <w:b/>
                <w:color w:val="1F497D" w:themeColor="text2"/>
                <w:sz w:val="24"/>
              </w:rPr>
              <w:t>Per capita ethanol consumption among people 14 and older from NIAAA</w:t>
            </w:r>
            <w:r w:rsidR="00577154">
              <w:rPr>
                <w:rFonts w:ascii="Times New Roman" w:hAnsi="Times New Roman" w:cs="Times New Roman"/>
                <w:b/>
                <w:color w:val="1F497D" w:themeColor="text2"/>
                <w:sz w:val="24"/>
                <w:vertAlign w:val="superscript"/>
              </w:rPr>
              <w:t>6</w:t>
            </w:r>
          </w:p>
        </w:tc>
      </w:tr>
      <w:tr w:rsidR="005D7C3F" w:rsidRPr="00902D3A" w:rsidTr="000848BB">
        <w:trPr>
          <w:trHeight w:val="4013"/>
          <w:jc w:val="center"/>
        </w:trPr>
        <w:tc>
          <w:tcPr>
            <w:tcW w:w="5220" w:type="dxa"/>
            <w:vAlign w:val="center"/>
          </w:tcPr>
          <w:p w:rsidR="005D7C3F" w:rsidRDefault="000848BB" w:rsidP="0090233B">
            <w:pPr>
              <w:jc w:val="center"/>
              <w:rPr>
                <w:noProof/>
              </w:rPr>
            </w:pPr>
            <w:r>
              <w:rPr>
                <w:noProof/>
              </w:rPr>
              <mc:AlternateContent>
                <mc:Choice Requires="wps">
                  <w:drawing>
                    <wp:anchor distT="0" distB="0" distL="114300" distR="114300" simplePos="0" relativeHeight="251681792" behindDoc="0" locked="0" layoutInCell="1" allowOverlap="1" wp14:anchorId="3802E6E2" wp14:editId="62604BEF">
                      <wp:simplePos x="0" y="0"/>
                      <wp:positionH relativeFrom="column">
                        <wp:posOffset>46355</wp:posOffset>
                      </wp:positionH>
                      <wp:positionV relativeFrom="paragraph">
                        <wp:posOffset>2469515</wp:posOffset>
                      </wp:positionV>
                      <wp:extent cx="177800" cy="0"/>
                      <wp:effectExtent l="0" t="19050" r="12700" b="19050"/>
                      <wp:wrapNone/>
                      <wp:docPr id="17" name="Straight Connector 1"/>
                      <wp:cNvGraphicFramePr/>
                      <a:graphic xmlns:a="http://schemas.openxmlformats.org/drawingml/2006/main">
                        <a:graphicData uri="http://schemas.microsoft.com/office/word/2010/wordprocessingShape">
                          <wps:wsp>
                            <wps:cNvCnPr/>
                            <wps:spPr>
                              <a:xfrm>
                                <a:off x="0" y="0"/>
                                <a:ext cx="177800" cy="0"/>
                              </a:xfrm>
                              <a:prstGeom prst="line">
                                <a:avLst/>
                              </a:prstGeom>
                              <a:ln w="285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300D4C" id="Straight Connector 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194.45pt" to="17.65pt,1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zFr4AEAACgEAAAOAAAAZHJzL2Uyb0RvYy54bWysU02P2yAQvVfqf0DcGzuRtomsOHtItL1U&#10;bdRtfwCLIUYCBg00jv99B5w4/ZKqVr1gA+/NzHszbB8vzrKzwmjAt3y5qDlTXkJn/KnlXz4/vdlw&#10;FpPwnbDgVctHFfnj7vWr7RAatYIebKeQURAfmyG0vE8pNFUVZa+ciAsIytOlBnQi0RZPVYdioOjO&#10;Vqu6flsNgF1AkCpGOj1Ml3xX4mutZPqodVSJ2ZZTbamsWNaXvFa7rWhOKEJv5LUM8Q9VOGE8JZ1D&#10;HUQS7CuaX0I5IxEi6LSQ4CrQ2khVNJCaZf2TmudeBFW0kDkxzDbF/xdWfjgfkZmOerfmzAtHPXpO&#10;KMypT2wP3pODgGyZjRpCbAi/90e87mI4YlZ90ejyl/SwSzF3nM1Vl8QkHS7X601NLZC3q+rOCxjT&#10;OwWO5Z+WW+OzbNGI8/uYKBdBb5B8bD0bWr7aPKwfCiyCNd2TsTZfltFRe4vsLKjp6VJqpwg/oHK4&#10;g4j9BIpjzJsskoDW0yeLneSVvzRaNaX+pDT5lQVNufOk3tMJKZVPt5TWEzrTNBU3E+s/E6/4TFVl&#10;iv+GPDNKZvBpJjvjAX+X/e6SnvA3Bybd2YIX6MbS+GINjWPx6vp08rx/vy/0+wPffQMAAP//AwBQ&#10;SwMEFAAGAAgAAAAhAF2eIk3dAAAACAEAAA8AAABkcnMvZG93bnJldi54bWxMj8FOwzAQRO9I/Qdr&#10;K3GjDkRtQ4hToQouPSBayoGbGy9JRLwOsZsavp5FQqLHnRnNvC1W0XZixMG3jhRczxIQSJUzLdUK&#10;9i+PVxkIHzQZ3TlCBV/oYVVOLgqdG3eiLY67UAsuIZ9rBU0IfS6lrxq02s9cj8TeuxusDnwOtTSD&#10;PnG57eRNkiyk1S3xQqN7XDdYfeyOlnc/n+avRN/Pi7eE9g/jZhvXm6jU5TTe34EIGMN/GH7xGR1K&#10;Zjq4IxkvOgXLlIMK0iy7BcF+Omfh8CfIspDnD5Q/AAAA//8DAFBLAQItABQABgAIAAAAIQC2gziS&#10;/gAAAOEBAAATAAAAAAAAAAAAAAAAAAAAAABbQ29udGVudF9UeXBlc10ueG1sUEsBAi0AFAAGAAgA&#10;AAAhADj9If/WAAAAlAEAAAsAAAAAAAAAAAAAAAAALwEAAF9yZWxzLy5yZWxzUEsBAi0AFAAGAAgA&#10;AAAhAPZ7MWvgAQAAKAQAAA4AAAAAAAAAAAAAAAAALgIAAGRycy9lMm9Eb2MueG1sUEsBAi0AFAAG&#10;AAgAAAAhAF2eIk3dAAAACAEAAA8AAAAAAAAAAAAAAAAAOgQAAGRycy9kb3ducmV2LnhtbFBLBQYA&#10;AAAABAAEAPMAAABEBQAAAAA=&#10;" strokecolor="black [3213]" strokeweight="2.25pt">
                      <v:stroke dashstyle="3 1"/>
                    </v:line>
                  </w:pict>
                </mc:Fallback>
              </mc:AlternateContent>
            </w:r>
            <w:r>
              <w:rPr>
                <w:noProof/>
              </w:rPr>
              <mc:AlternateContent>
                <mc:Choice Requires="wps">
                  <w:drawing>
                    <wp:anchor distT="0" distB="0" distL="114300" distR="114300" simplePos="0" relativeHeight="251679744" behindDoc="0" locked="0" layoutInCell="1" allowOverlap="1" wp14:anchorId="234DF5E1" wp14:editId="00DE7B5B">
                      <wp:simplePos x="0" y="0"/>
                      <wp:positionH relativeFrom="column">
                        <wp:posOffset>46355</wp:posOffset>
                      </wp:positionH>
                      <wp:positionV relativeFrom="paragraph">
                        <wp:posOffset>2342515</wp:posOffset>
                      </wp:positionV>
                      <wp:extent cx="177800" cy="0"/>
                      <wp:effectExtent l="0" t="19050" r="12700" b="19050"/>
                      <wp:wrapNone/>
                      <wp:docPr id="16" name="Straight Connector 1"/>
                      <wp:cNvGraphicFramePr/>
                      <a:graphic xmlns:a="http://schemas.openxmlformats.org/drawingml/2006/main">
                        <a:graphicData uri="http://schemas.microsoft.com/office/word/2010/wordprocessingShape">
                          <wps:wsp>
                            <wps:cNvCnPr/>
                            <wps:spPr>
                              <a:xfrm>
                                <a:off x="0" y="0"/>
                                <a:ext cx="177800" cy="0"/>
                              </a:xfrm>
                              <a:prstGeom prst="line">
                                <a:avLst/>
                              </a:prstGeom>
                              <a:ln w="2857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3A4DB3"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184.45pt" to="17.65pt,1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9X41wEAABEEAAAOAAAAZHJzL2Uyb0RvYy54bWysU8tu2zAQvBfoPxC815INJDYEyzk4SC9F&#10;azTtBzDU0iLAF5asJf99l5StBGmBokEulEjuzO7MLrd3ozXsBBi1dy1fLmrOwEnfaXds+c8fD582&#10;nMUkXCeMd9DyM0R+t/v4YTuEBla+96YDZETiYjOElvcphaaqouzBirjwARxdKo9WJNrisepQDMRu&#10;TbWq69tq8NgF9BJipNP76ZLvCr9SINM3pSIkZlpOtaWyYlmf8lrttqI5ogi9lpcyxBuqsEI7SjpT&#10;3Ysk2C/Uf1BZLdFHr9JCelt5pbSEooHULOtXah57EaBoIXNimG2K70crv54OyHRHvbvlzAlLPXpM&#10;KPSxT2zvnSMHPbJlNmoIsaH4vTvgZRfDAbPqUaHNX9LDxmLueTYXxsQkHS7X601NLZDXq+oZFzCm&#10;z+Atyz8tN9pl2aIRpy8xUS4KvYbkY+PY0PLV5mZ9U8KiN7p70MbkyzI6sDfIToKaLqQEl1a5fmJ5&#10;EUk74+gwq5p0lL90NjDl+A6KjMmVT0nySL7mLb4UJorOMEVVzMD638BLfIZCGdf/Ac+Iktm7NIOt&#10;dh7/lj2N15LVFH91YNKdLXjy3bl0uFhDc1ecu7yRPNgv9wX+/JJ3vwEAAP//AwBQSwMEFAAGAAgA&#10;AAAhAAzTgD7eAAAACAEAAA8AAABkcnMvZG93bnJldi54bWxMj0FLw0AQhe+C/2EZwYu0mxqsbcym&#10;iLSCPWkrBW+b3TEJZmdjdpvGf+8Igh7nvceb7+Wr0bViwD40nhTMpgkIJONtQ5WC1/1msgARoiar&#10;W0+o4AsDrIrzs1xn1p/oBYddrASXUMi0gjrGLpMymBqdDlPfIbH37nunI599JW2vT1zuWnmdJHPp&#10;dEP8odYdPtRoPnZHp2D7+RzW7so8zpZy82bW5cENTwelLi/G+zsQEcf4F4YffEaHgplKfyQbRKvg&#10;NuWggnS+WIJgP71hofwVZJHL/wOKbwAAAP//AwBQSwECLQAUAAYACAAAACEAtoM4kv4AAADhAQAA&#10;EwAAAAAAAAAAAAAAAAAAAAAAW0NvbnRlbnRfVHlwZXNdLnhtbFBLAQItABQABgAIAAAAIQA4/SH/&#10;1gAAAJQBAAALAAAAAAAAAAAAAAAAAC8BAABfcmVscy8ucmVsc1BLAQItABQABgAIAAAAIQAsV9X4&#10;1wEAABEEAAAOAAAAAAAAAAAAAAAAAC4CAABkcnMvZTJvRG9jLnhtbFBLAQItABQABgAIAAAAIQAM&#10;04A+3gAAAAgBAAAPAAAAAAAAAAAAAAAAADEEAABkcnMvZG93bnJldi54bWxQSwUGAAAAAAQABADz&#10;AAAAPAUAAAAA&#10;" strokecolor="#c0504d [3205]" strokeweight="2.25pt"/>
                  </w:pict>
                </mc:Fallback>
              </mc:AlternateContent>
            </w:r>
            <w:r w:rsidRPr="000848BB">
              <w:rPr>
                <w:rFonts w:ascii="Times New Roman" w:hAnsi="Times New Roman" w:cs="Times New Roman"/>
                <w:b/>
                <w:noProof/>
                <w:color w:val="1F497D" w:themeColor="text2"/>
                <w:sz w:val="24"/>
              </w:rPr>
              <mc:AlternateContent>
                <mc:Choice Requires="wps">
                  <w:drawing>
                    <wp:anchor distT="0" distB="0" distL="114300" distR="114300" simplePos="0" relativeHeight="251677696" behindDoc="0" locked="0" layoutInCell="1" allowOverlap="1" wp14:anchorId="3A9ED3B0" wp14:editId="7A2BD47C">
                      <wp:simplePos x="0" y="0"/>
                      <wp:positionH relativeFrom="column">
                        <wp:posOffset>139700</wp:posOffset>
                      </wp:positionH>
                      <wp:positionV relativeFrom="paragraph">
                        <wp:posOffset>2072640</wp:posOffset>
                      </wp:positionV>
                      <wp:extent cx="30861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03985"/>
                              </a:xfrm>
                              <a:prstGeom prst="rect">
                                <a:avLst/>
                              </a:prstGeom>
                              <a:noFill/>
                              <a:ln w="9525">
                                <a:noFill/>
                                <a:miter lim="800000"/>
                                <a:headEnd/>
                                <a:tailEnd/>
                              </a:ln>
                            </wps:spPr>
                            <wps:txbx>
                              <w:txbxContent>
                                <w:p w:rsidR="004A7980" w:rsidRPr="000848BB" w:rsidRDefault="004A7980" w:rsidP="000848BB">
                                  <w:pPr>
                                    <w:spacing w:after="0" w:line="240" w:lineRule="auto"/>
                                    <w:rPr>
                                      <w:rFonts w:ascii="Times New Roman" w:hAnsi="Times New Roman" w:cs="Times New Roman"/>
                                      <w:sz w:val="20"/>
                                    </w:rPr>
                                  </w:pPr>
                                  <w:r>
                                    <w:rPr>
                                      <w:rFonts w:ascii="Times New Roman" w:hAnsi="Times New Roman" w:cs="Times New Roman"/>
                                      <w:sz w:val="20"/>
                                    </w:rPr>
                                    <w:t>Males (APC 1990-2006= -1.86*, 2006-2010= -5.20</w:t>
                                  </w:r>
                                  <w:r w:rsidRPr="000848BB">
                                    <w:rPr>
                                      <w:rFonts w:ascii="Times New Roman" w:hAnsi="Times New Roman" w:cs="Times New Roman"/>
                                      <w:sz w:val="20"/>
                                    </w:rPr>
                                    <w:t>*)</w:t>
                                  </w:r>
                                </w:p>
                                <w:p w:rsidR="004A7980" w:rsidRPr="000848BB" w:rsidRDefault="004A7980" w:rsidP="000848BB">
                                  <w:pPr>
                                    <w:spacing w:after="0" w:line="240" w:lineRule="auto"/>
                                    <w:rPr>
                                      <w:rFonts w:ascii="Times New Roman" w:hAnsi="Times New Roman" w:cs="Times New Roman"/>
                                      <w:sz w:val="20"/>
                                    </w:rPr>
                                  </w:pPr>
                                  <w:r w:rsidRPr="000848BB">
                                    <w:rPr>
                                      <w:rFonts w:ascii="Times New Roman" w:hAnsi="Times New Roman" w:cs="Times New Roman"/>
                                      <w:sz w:val="20"/>
                                    </w:rPr>
                                    <w:t>Females (APC 1990-2005=-1.81*, 2005-2010=-5.26*)</w:t>
                                  </w:r>
                                </w:p>
                                <w:p w:rsidR="004A7980" w:rsidRPr="000848BB" w:rsidRDefault="004A7980" w:rsidP="000848BB">
                                  <w:pPr>
                                    <w:spacing w:after="0" w:line="240" w:lineRule="auto"/>
                                    <w:rPr>
                                      <w:rFonts w:ascii="Times New Roman" w:hAnsi="Times New Roman" w:cs="Times New Roman"/>
                                      <w:sz w:val="20"/>
                                    </w:rPr>
                                  </w:pPr>
                                  <w:r w:rsidRPr="000848BB">
                                    <w:rPr>
                                      <w:rFonts w:ascii="Times New Roman" w:hAnsi="Times New Roman" w:cs="Times New Roman"/>
                                      <w:sz w:val="20"/>
                                    </w:rPr>
                                    <w:t>US Median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A9ED3B0" id="Text Box 2" o:spid="_x0000_s1028" type="#_x0000_t202" style="position:absolute;left:0;text-align:left;margin-left:11pt;margin-top:163.2pt;width:243pt;height:11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JmcEQIAAPwDAAAOAAAAZHJzL2Uyb0RvYy54bWysU9uO2yAQfa/Uf0C8N7Zz2U2skNV2t6kq&#10;bS/Sbj+AYByjAkOBxN5+/Q44m0btW1U/WMAwZ+acOaxvBqPJUfqgwDJaTUpKpBXQKLtn9PvT9t2S&#10;khC5bbgGKxl9loHebN6+WfeullPoQDfSEwSxoe4do12Mri6KIDppeJiAkxaDLXjDI279vmg87xHd&#10;6GJalldFD75xHoQMAU/vxyDdZPy2lSJ+bdsgI9GMYm8x/33+79K/2Kx5vffcdUqc2uD/0IXhymLR&#10;M9Q9j5wcvPoLyijhIUAbJwJMAW2rhMwckE1V/sHmseNOZi4oTnBnmcL/gxVfjt88UQ2js/KaEssN&#10;DulJDpG8h4FMkz69CzVee3R4MQ54jHPOXIN7APEjEAt3Hbd7ees99J3kDfZXpcziInXECQlk13+G&#10;BsvwQ4QMNLTeJPFQDoLoOKfn82xSKwIPZ+XyqioxJDBWzcvZarnINXj9mu58iB8lGJIWjHocfobn&#10;x4cQUzu8fr2SqlnYKq2zAbQlPaOrxXSREy4iRkX0p1aG0WWZvtExieUH2+TkyJUe11hA2xPtxHTk&#10;HIfdkBU+q7mD5hl18DDaEZ8PLjrwvyjp0YqMhp8H7iUl+pNFLVfVfJ68mzfzxfUUN/4ysruMcCsQ&#10;itFIybi8i9nviXJwt6j5VmU10nDGTk4to8WySKfnkDx8uc+3fj/azQsAAAD//wMAUEsDBBQABgAI&#10;AAAAIQCyzW/A3wAAAAoBAAAPAAAAZHJzL2Rvd25yZXYueG1sTI/NTsMwEITvSLyDtUjcqN3QlCrE&#10;qSp+JA5cKOHuxkscEa+j2G3St2c50dvuzmj2m3I7+16ccIxdIA3LhQKB1ATbUauh/ny924CIyZA1&#10;fSDUcMYI2+r6qjSFDRN94GmfWsEhFAujwaU0FFLGxqE3cREGJNa+w+hN4nVspR3NxOG+l5lSa+lN&#10;R/zBmQGfHDY/+6PXkJLdLc/1i49vX/P78+RUk5ta69ubefcIIuGc/s3wh8/oUDHTIRzJRtFryDKu&#10;kjTcZ+sVCDbkasOXAw+rhxxkVcrLCtUvAAAA//8DAFBLAQItABQABgAIAAAAIQC2gziS/gAAAOEB&#10;AAATAAAAAAAAAAAAAAAAAAAAAABbQ29udGVudF9UeXBlc10ueG1sUEsBAi0AFAAGAAgAAAAhADj9&#10;If/WAAAAlAEAAAsAAAAAAAAAAAAAAAAALwEAAF9yZWxzLy5yZWxzUEsBAi0AFAAGAAgAAAAhADpY&#10;mZwRAgAA/AMAAA4AAAAAAAAAAAAAAAAALgIAAGRycy9lMm9Eb2MueG1sUEsBAi0AFAAGAAgAAAAh&#10;ALLNb8DfAAAACgEAAA8AAAAAAAAAAAAAAAAAawQAAGRycy9kb3ducmV2LnhtbFBLBQYAAAAABAAE&#10;APMAAAB3BQAAAAA=&#10;" filled="f" stroked="f">
                      <v:textbox style="mso-fit-shape-to-text:t">
                        <w:txbxContent>
                          <w:p w:rsidR="004A7980" w:rsidRPr="000848BB" w:rsidRDefault="004A7980" w:rsidP="000848BB">
                            <w:pPr>
                              <w:spacing w:after="0" w:line="240" w:lineRule="auto"/>
                              <w:rPr>
                                <w:rFonts w:ascii="Times New Roman" w:hAnsi="Times New Roman" w:cs="Times New Roman"/>
                                <w:sz w:val="20"/>
                              </w:rPr>
                            </w:pPr>
                            <w:r>
                              <w:rPr>
                                <w:rFonts w:ascii="Times New Roman" w:hAnsi="Times New Roman" w:cs="Times New Roman"/>
                                <w:sz w:val="20"/>
                              </w:rPr>
                              <w:t>Males (APC 1990-2006= -1.86*, 2006-2010= -5.20</w:t>
                            </w:r>
                            <w:r w:rsidRPr="000848BB">
                              <w:rPr>
                                <w:rFonts w:ascii="Times New Roman" w:hAnsi="Times New Roman" w:cs="Times New Roman"/>
                                <w:sz w:val="20"/>
                              </w:rPr>
                              <w:t>*)</w:t>
                            </w:r>
                          </w:p>
                          <w:p w:rsidR="004A7980" w:rsidRPr="000848BB" w:rsidRDefault="004A7980" w:rsidP="000848BB">
                            <w:pPr>
                              <w:spacing w:after="0" w:line="240" w:lineRule="auto"/>
                              <w:rPr>
                                <w:rFonts w:ascii="Times New Roman" w:hAnsi="Times New Roman" w:cs="Times New Roman"/>
                                <w:sz w:val="20"/>
                              </w:rPr>
                            </w:pPr>
                            <w:r w:rsidRPr="000848BB">
                              <w:rPr>
                                <w:rFonts w:ascii="Times New Roman" w:hAnsi="Times New Roman" w:cs="Times New Roman"/>
                                <w:sz w:val="20"/>
                              </w:rPr>
                              <w:t>Females (APC 1990-2005=-1.81*, 2005-2010=-5.26*)</w:t>
                            </w:r>
                          </w:p>
                          <w:p w:rsidR="004A7980" w:rsidRPr="000848BB" w:rsidRDefault="004A7980" w:rsidP="000848BB">
                            <w:pPr>
                              <w:spacing w:after="0" w:line="240" w:lineRule="auto"/>
                              <w:rPr>
                                <w:rFonts w:ascii="Times New Roman" w:hAnsi="Times New Roman" w:cs="Times New Roman"/>
                                <w:sz w:val="20"/>
                              </w:rPr>
                            </w:pPr>
                            <w:r w:rsidRPr="000848BB">
                              <w:rPr>
                                <w:rFonts w:ascii="Times New Roman" w:hAnsi="Times New Roman" w:cs="Times New Roman"/>
                                <w:sz w:val="20"/>
                              </w:rPr>
                              <w:t>US Median</w:t>
                            </w:r>
                          </w:p>
                        </w:txbxContent>
                      </v:textbox>
                    </v:shape>
                  </w:pict>
                </mc:Fallback>
              </mc:AlternateContent>
            </w:r>
            <w:r w:rsidR="005D7C3F">
              <w:rPr>
                <w:noProof/>
              </w:rPr>
              <w:drawing>
                <wp:inline distT="0" distB="0" distL="0" distR="0" wp14:anchorId="3F96B033" wp14:editId="12F25D23">
                  <wp:extent cx="3086100" cy="2565400"/>
                  <wp:effectExtent l="0" t="0" r="0" b="6350"/>
                  <wp:docPr id="15" name="Chart 15" descr="The percent of current smokers among Massachusetts males decreased by 1.86% from 1990 to 2006 and then decreased by 5.2% from 2006 to 2010, both with statistical significance. The percent of current smokers among Massachusetts females decreased by 1.81% from 1990 to 2005 and then decreased by 5.26% from 2005 to 2010, both with statistical significance. The US median of current smoking is higher than the prevalence of current smokers in MA. " title="Figure 7a. Current cigarette smoking among adults from BRFSS"/>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5220" w:type="dxa"/>
            <w:vAlign w:val="center"/>
          </w:tcPr>
          <w:p w:rsidR="005D7C3F" w:rsidRDefault="005D7C3F" w:rsidP="0090233B">
            <w:pPr>
              <w:jc w:val="center"/>
              <w:rPr>
                <w:noProof/>
              </w:rPr>
            </w:pPr>
            <w:r>
              <w:rPr>
                <w:noProof/>
              </w:rPr>
              <w:drawing>
                <wp:inline distT="0" distB="0" distL="0" distR="0" wp14:anchorId="76EBBB90" wp14:editId="4C8777D3">
                  <wp:extent cx="3111500" cy="2476500"/>
                  <wp:effectExtent l="0" t="0" r="0" b="0"/>
                  <wp:docPr id="8" name="Chart 8" descr="The US consumes fewer gallons of ethanol than MA. The gallons consumed decreased from the early 1980s to the early 1990s after which consumption has remained relatively constant. " title="Figure 7b. Per capita ethanol consumption among people 14 and older from NIAAA"/>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rsidR="00B6199B" w:rsidRPr="00F56380" w:rsidRDefault="00B6199B" w:rsidP="00F56380">
      <w:pPr>
        <w:spacing w:after="0" w:line="240" w:lineRule="auto"/>
        <w:rPr>
          <w:rFonts w:ascii="Times New Roman" w:hAnsi="Times New Roman" w:cs="Times New Roman"/>
          <w:sz w:val="24"/>
        </w:rPr>
        <w:sectPr w:rsidR="00B6199B" w:rsidRPr="00F56380" w:rsidSect="00A02173">
          <w:type w:val="continuous"/>
          <w:pgSz w:w="12240" w:h="15840"/>
          <w:pgMar w:top="864" w:right="864" w:bottom="864" w:left="864" w:header="720" w:footer="720" w:gutter="0"/>
          <w:cols w:space="720"/>
          <w:docGrid w:linePitch="360"/>
        </w:sectPr>
      </w:pPr>
    </w:p>
    <w:p w:rsidR="002D728D" w:rsidRPr="002D728D" w:rsidRDefault="002D728D" w:rsidP="002D728D">
      <w:pPr>
        <w:pStyle w:val="ListParagraph"/>
        <w:spacing w:after="0" w:line="240" w:lineRule="auto"/>
        <w:ind w:left="180"/>
        <w:rPr>
          <w:rFonts w:ascii="Times New Roman" w:hAnsi="Times New Roman" w:cs="Times New Roman"/>
          <w:b/>
          <w:color w:val="1F497D" w:themeColor="text2"/>
          <w:sz w:val="24"/>
        </w:rPr>
      </w:pPr>
    </w:p>
    <w:p w:rsidR="00AD3E68" w:rsidRPr="00AD3E68" w:rsidRDefault="00AD3E68" w:rsidP="00AD3E68">
      <w:pPr>
        <w:pStyle w:val="ListParagraph"/>
        <w:numPr>
          <w:ilvl w:val="0"/>
          <w:numId w:val="5"/>
        </w:numPr>
        <w:spacing w:after="0" w:line="240" w:lineRule="auto"/>
        <w:ind w:left="180" w:hanging="180"/>
        <w:rPr>
          <w:rFonts w:ascii="Times New Roman" w:hAnsi="Times New Roman" w:cs="Times New Roman"/>
          <w:b/>
          <w:color w:val="1F497D" w:themeColor="text2"/>
          <w:sz w:val="24"/>
        </w:rPr>
      </w:pPr>
      <w:r>
        <w:rPr>
          <w:rFonts w:ascii="Times New Roman" w:hAnsi="Times New Roman" w:cs="Times New Roman"/>
          <w:sz w:val="24"/>
        </w:rPr>
        <w:t xml:space="preserve">HPV-negative oropharyngeal cancers are </w:t>
      </w:r>
      <w:r w:rsidR="006474FF">
        <w:rPr>
          <w:rFonts w:ascii="Times New Roman" w:hAnsi="Times New Roman" w:cs="Times New Roman"/>
          <w:sz w:val="24"/>
        </w:rPr>
        <w:t xml:space="preserve">often </w:t>
      </w:r>
      <w:r>
        <w:rPr>
          <w:rFonts w:ascii="Times New Roman" w:hAnsi="Times New Roman" w:cs="Times New Roman"/>
          <w:sz w:val="24"/>
        </w:rPr>
        <w:t>caused by alcohol</w:t>
      </w:r>
      <w:r w:rsidR="00CE469C">
        <w:rPr>
          <w:rFonts w:ascii="Times New Roman" w:hAnsi="Times New Roman" w:cs="Times New Roman"/>
          <w:sz w:val="24"/>
        </w:rPr>
        <w:t xml:space="preserve"> (ethanol)</w:t>
      </w:r>
      <w:r>
        <w:rPr>
          <w:rFonts w:ascii="Times New Roman" w:hAnsi="Times New Roman" w:cs="Times New Roman"/>
          <w:sz w:val="24"/>
        </w:rPr>
        <w:t xml:space="preserve"> and tobacco</w:t>
      </w:r>
      <w:r w:rsidR="002D4492">
        <w:rPr>
          <w:rFonts w:ascii="Times New Roman" w:hAnsi="Times New Roman" w:cs="Times New Roman"/>
          <w:sz w:val="24"/>
        </w:rPr>
        <w:t xml:space="preserve"> use</w:t>
      </w:r>
      <w:r>
        <w:rPr>
          <w:rFonts w:ascii="Times New Roman" w:hAnsi="Times New Roman" w:cs="Times New Roman"/>
          <w:sz w:val="24"/>
        </w:rPr>
        <w:t xml:space="preserve">. </w:t>
      </w:r>
    </w:p>
    <w:p w:rsidR="00AD3E68" w:rsidRPr="00CD7963" w:rsidRDefault="00AD3E68" w:rsidP="00AD3E68">
      <w:pPr>
        <w:pStyle w:val="ListParagraph"/>
        <w:spacing w:after="0" w:line="240" w:lineRule="auto"/>
        <w:ind w:left="180"/>
        <w:rPr>
          <w:rFonts w:ascii="Times New Roman" w:hAnsi="Times New Roman" w:cs="Times New Roman"/>
          <w:b/>
          <w:color w:val="1F497D" w:themeColor="text2"/>
          <w:sz w:val="20"/>
        </w:rPr>
      </w:pPr>
    </w:p>
    <w:p w:rsidR="00AD3E68" w:rsidRPr="00AD3E68" w:rsidRDefault="00AD3E68" w:rsidP="00AD3E68">
      <w:pPr>
        <w:pStyle w:val="ListParagraph"/>
        <w:numPr>
          <w:ilvl w:val="0"/>
          <w:numId w:val="5"/>
        </w:numPr>
        <w:spacing w:after="0" w:line="240" w:lineRule="auto"/>
        <w:ind w:left="180" w:hanging="180"/>
        <w:rPr>
          <w:rFonts w:ascii="Times New Roman" w:hAnsi="Times New Roman" w:cs="Times New Roman"/>
          <w:b/>
          <w:color w:val="1F497D" w:themeColor="text2"/>
          <w:sz w:val="24"/>
        </w:rPr>
      </w:pPr>
      <w:r>
        <w:rPr>
          <w:rFonts w:ascii="Times New Roman" w:hAnsi="Times New Roman" w:cs="Times New Roman"/>
          <w:sz w:val="24"/>
        </w:rPr>
        <w:t>Massachusetts ha</w:t>
      </w:r>
      <w:r w:rsidR="002D728D">
        <w:rPr>
          <w:rFonts w:ascii="Times New Roman" w:hAnsi="Times New Roman" w:cs="Times New Roman"/>
          <w:sz w:val="24"/>
        </w:rPr>
        <w:t>d</w:t>
      </w:r>
      <w:r>
        <w:rPr>
          <w:rFonts w:ascii="Times New Roman" w:hAnsi="Times New Roman" w:cs="Times New Roman"/>
          <w:sz w:val="24"/>
        </w:rPr>
        <w:t xml:space="preserve"> a smaller percent of current smokers than the United States. The percent of current smokers has been decreasing from 1990-2010</w:t>
      </w:r>
      <w:r w:rsidR="006474FF">
        <w:rPr>
          <w:rFonts w:ascii="Times New Roman" w:hAnsi="Times New Roman" w:cs="Times New Roman"/>
          <w:sz w:val="24"/>
        </w:rPr>
        <w:t xml:space="preserve"> with statistical significance</w:t>
      </w:r>
      <w:r>
        <w:rPr>
          <w:rFonts w:ascii="Times New Roman" w:hAnsi="Times New Roman" w:cs="Times New Roman"/>
          <w:sz w:val="24"/>
        </w:rPr>
        <w:t xml:space="preserve">. </w:t>
      </w:r>
    </w:p>
    <w:p w:rsidR="00AD3E68" w:rsidRDefault="006474FF" w:rsidP="00AD3E68">
      <w:pPr>
        <w:pStyle w:val="ListParagraph"/>
        <w:rPr>
          <w:rFonts w:ascii="Times New Roman" w:hAnsi="Times New Roman" w:cs="Times New Roman"/>
          <w:b/>
          <w:color w:val="1F497D" w:themeColor="text2"/>
          <w:sz w:val="24"/>
        </w:rPr>
      </w:pPr>
      <w:r>
        <w:rPr>
          <w:rFonts w:ascii="Times New Roman" w:hAnsi="Times New Roman" w:cs="Times New Roman"/>
          <w:b/>
          <w:noProof/>
          <w:color w:val="1F497D" w:themeColor="text2"/>
          <w:sz w:val="24"/>
        </w:rPr>
        <mc:AlternateContent>
          <mc:Choice Requires="wps">
            <w:drawing>
              <wp:anchor distT="0" distB="0" distL="114300" distR="114300" simplePos="0" relativeHeight="251689984" behindDoc="0" locked="0" layoutInCell="1" allowOverlap="1">
                <wp:simplePos x="0" y="0"/>
                <wp:positionH relativeFrom="column">
                  <wp:posOffset>-192380</wp:posOffset>
                </wp:positionH>
                <wp:positionV relativeFrom="paragraph">
                  <wp:posOffset>175021</wp:posOffset>
                </wp:positionV>
                <wp:extent cx="6852062"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68520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0A65F3" id="Straight Connector 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5.15pt,13.8pt" to="524.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lGtwEAAMMDAAAOAAAAZHJzL2Uyb0RvYy54bWysU8GO0zAQvSPxD5bvNGm1VKuo6R66gguC&#10;ioUP8DrjxpLtscamTf+esdtmESAhEBfHY897M+95snmYvBNHoGQx9HK5aKWAoHGw4dDLr1/evbmX&#10;ImUVBuUwQC/PkOTD9vWrzSl2sMIR3QAkmCSk7hR7OeYcu6ZJegSv0gIjBL40SF5lDunQDKROzO5d&#10;s2rbdXNCGiKhhpT49PFyKbeV3xjQ+ZMxCbJwveTecl2prs9lbbYb1R1IxdHqaxvqH7rwygYuOlM9&#10;qqzEN7K/UHmrCROavNDoGzTGaqgaWM2y/UnN06giVC1sToqzTen/0eqPxz0JO/TyToqgPD/RUyZl&#10;D2MWOwyBDUQSd8WnU0wdp+/Cnq5RinsqoidDvnxZjpiqt+fZW5iy0Hy4vn+7atcrKfTtrnkBRkr5&#10;PaAXZdNLZ0ORrTp1/JAyF+PUWwoHpZFL6brLZwcl2YXPYFgKF1tWdB0i2DkSR8XPr7SGkJdFCvPV&#10;7AIz1rkZ2P4ZeM0vUKgD9jfgGVErY8gz2NuA9Lvqebq1bC75NwcuuosFzzic66NUa3hSqsLrVJdR&#10;/DGu8Jd/b/sdAAD//wMAUEsDBBQABgAIAAAAIQCty+8k4AAAAAoBAAAPAAAAZHJzL2Rvd25yZXYu&#10;eG1sTI/LTsMwEEX3SP0HayqxQa3dJ1GIUwFS1QWgqg0f4MZDEjUeR7GTpnw9rljAcmaO7pybbAZT&#10;sx5bV1mSMJsKYEi51RUVEj6z7SQC5rwirWpLKOGKDjbp6C5RsbYXOmB/9AULIeRiJaH0vok5d3mJ&#10;RrmpbZDC7cu2RvkwtgXXrbqEcFPzuRBrblRF4UOpGnwtMT8fOyNht33Bt9W1K5Z6tcse+uz943sf&#10;SXk/Hp6fgHkc/B8MN/2gDmlwOtmOtGO1hMlCLAIqYf64BnYDxDIKZU6/G54m/H+F9AcAAP//AwBQ&#10;SwECLQAUAAYACAAAACEAtoM4kv4AAADhAQAAEwAAAAAAAAAAAAAAAAAAAAAAW0NvbnRlbnRfVHlw&#10;ZXNdLnhtbFBLAQItABQABgAIAAAAIQA4/SH/1gAAAJQBAAALAAAAAAAAAAAAAAAAAC8BAABfcmVs&#10;cy8ucmVsc1BLAQItABQABgAIAAAAIQDinolGtwEAAMMDAAAOAAAAAAAAAAAAAAAAAC4CAABkcnMv&#10;ZTJvRG9jLnhtbFBLAQItABQABgAIAAAAIQCty+8k4AAAAAoBAAAPAAAAAAAAAAAAAAAAABEEAABk&#10;cnMvZG93bnJldi54bWxQSwUGAAAAAAQABADzAAAAHgUAAAAA&#10;" strokecolor="#4579b8 [3044]"/>
            </w:pict>
          </mc:Fallback>
        </mc:AlternateContent>
      </w:r>
    </w:p>
    <w:p w:rsidR="002D728D" w:rsidRPr="00CD7963" w:rsidRDefault="002D728D" w:rsidP="00AD3E68">
      <w:pPr>
        <w:pStyle w:val="ListParagraph"/>
        <w:rPr>
          <w:rFonts w:ascii="Times New Roman" w:hAnsi="Times New Roman" w:cs="Times New Roman"/>
          <w:b/>
          <w:color w:val="1F497D" w:themeColor="text2"/>
          <w:sz w:val="20"/>
        </w:rPr>
      </w:pPr>
    </w:p>
    <w:p w:rsidR="002D728D" w:rsidRPr="002D728D" w:rsidRDefault="002D728D" w:rsidP="002D728D">
      <w:pPr>
        <w:pStyle w:val="ListParagraph"/>
        <w:spacing w:after="0" w:line="240" w:lineRule="auto"/>
        <w:ind w:left="180"/>
        <w:rPr>
          <w:rFonts w:ascii="Times New Roman" w:hAnsi="Times New Roman" w:cs="Times New Roman"/>
          <w:color w:val="1F497D" w:themeColor="text2"/>
          <w:sz w:val="24"/>
        </w:rPr>
      </w:pPr>
    </w:p>
    <w:p w:rsidR="00AD3E68" w:rsidRPr="00AD3E68" w:rsidRDefault="00AD3E68" w:rsidP="00AD3E68">
      <w:pPr>
        <w:pStyle w:val="ListParagraph"/>
        <w:numPr>
          <w:ilvl w:val="0"/>
          <w:numId w:val="5"/>
        </w:numPr>
        <w:spacing w:after="0" w:line="240" w:lineRule="auto"/>
        <w:ind w:left="180" w:hanging="180"/>
        <w:rPr>
          <w:rFonts w:ascii="Times New Roman" w:hAnsi="Times New Roman" w:cs="Times New Roman"/>
          <w:color w:val="1F497D" w:themeColor="text2"/>
          <w:sz w:val="24"/>
        </w:rPr>
      </w:pPr>
      <w:r w:rsidRPr="00AD3E68">
        <w:rPr>
          <w:rFonts w:ascii="Times New Roman" w:hAnsi="Times New Roman" w:cs="Times New Roman"/>
          <w:sz w:val="24"/>
        </w:rPr>
        <w:t xml:space="preserve">Massachusetts </w:t>
      </w:r>
      <w:r w:rsidR="00CE469C">
        <w:rPr>
          <w:rFonts w:ascii="Times New Roman" w:hAnsi="Times New Roman" w:cs="Times New Roman"/>
          <w:sz w:val="24"/>
        </w:rPr>
        <w:t>had a</w:t>
      </w:r>
      <w:r>
        <w:rPr>
          <w:rFonts w:ascii="Times New Roman" w:hAnsi="Times New Roman" w:cs="Times New Roman"/>
          <w:sz w:val="24"/>
        </w:rPr>
        <w:t xml:space="preserve"> higher per capita ethanol consumption than the United States. Massachusetts, when compared to the United States, also had a higher prevalence of heavy drinking (7.2% vs 5.9%) and binge drinking (17.7% vs 16.3%) in 2015.</w:t>
      </w:r>
      <w:r w:rsidR="00CD7963">
        <w:rPr>
          <w:rFonts w:ascii="Times New Roman" w:hAnsi="Times New Roman" w:cs="Times New Roman"/>
          <w:sz w:val="24"/>
          <w:vertAlign w:val="superscript"/>
        </w:rPr>
        <w:t>5</w:t>
      </w:r>
      <w:r w:rsidR="00577154">
        <w:rPr>
          <w:rFonts w:ascii="Times New Roman" w:hAnsi="Times New Roman" w:cs="Times New Roman"/>
          <w:sz w:val="24"/>
          <w:vertAlign w:val="superscript"/>
        </w:rPr>
        <w:t>,6</w:t>
      </w:r>
      <w:r>
        <w:rPr>
          <w:rFonts w:ascii="Times New Roman" w:hAnsi="Times New Roman" w:cs="Times New Roman"/>
          <w:sz w:val="24"/>
        </w:rPr>
        <w:t xml:space="preserve"> </w:t>
      </w:r>
    </w:p>
    <w:p w:rsidR="002D728D" w:rsidRPr="00CD7963" w:rsidRDefault="002D728D" w:rsidP="00A30879">
      <w:pPr>
        <w:spacing w:after="0" w:line="240" w:lineRule="auto"/>
        <w:rPr>
          <w:rFonts w:ascii="Times New Roman" w:hAnsi="Times New Roman" w:cs="Times New Roman"/>
          <w:b/>
          <w:color w:val="1F497D" w:themeColor="text2"/>
          <w:sz w:val="20"/>
        </w:rPr>
      </w:pPr>
    </w:p>
    <w:p w:rsidR="002D728D" w:rsidRDefault="002D728D" w:rsidP="00A30879">
      <w:pPr>
        <w:spacing w:after="0" w:line="240" w:lineRule="auto"/>
        <w:rPr>
          <w:rFonts w:ascii="Times New Roman" w:hAnsi="Times New Roman" w:cs="Times New Roman"/>
          <w:b/>
          <w:color w:val="1F497D" w:themeColor="text2"/>
          <w:sz w:val="24"/>
        </w:rPr>
      </w:pPr>
    </w:p>
    <w:p w:rsidR="002D728D" w:rsidRDefault="002D728D" w:rsidP="00A30879">
      <w:pPr>
        <w:spacing w:after="0" w:line="240" w:lineRule="auto"/>
        <w:rPr>
          <w:rFonts w:ascii="Times New Roman" w:hAnsi="Times New Roman" w:cs="Times New Roman"/>
          <w:b/>
          <w:color w:val="1F497D" w:themeColor="text2"/>
          <w:sz w:val="24"/>
        </w:rPr>
      </w:pPr>
    </w:p>
    <w:p w:rsidR="002D728D" w:rsidRDefault="002D728D" w:rsidP="00A30879">
      <w:pPr>
        <w:spacing w:after="0" w:line="240" w:lineRule="auto"/>
        <w:rPr>
          <w:rFonts w:ascii="Times New Roman" w:hAnsi="Times New Roman" w:cs="Times New Roman"/>
          <w:b/>
          <w:color w:val="1F497D" w:themeColor="text2"/>
          <w:sz w:val="24"/>
        </w:rPr>
        <w:sectPr w:rsidR="002D728D" w:rsidSect="007F7BA9">
          <w:type w:val="continuous"/>
          <w:pgSz w:w="12240" w:h="15840"/>
          <w:pgMar w:top="864" w:right="864" w:bottom="864" w:left="864" w:header="720" w:footer="720" w:gutter="0"/>
          <w:cols w:num="2" w:space="288"/>
          <w:docGrid w:linePitch="360"/>
        </w:sectPr>
      </w:pPr>
    </w:p>
    <w:p w:rsidR="00B6465D" w:rsidRDefault="00B6199B" w:rsidP="00A30879">
      <w:pPr>
        <w:spacing w:after="0" w:line="240" w:lineRule="auto"/>
        <w:rPr>
          <w:rFonts w:ascii="Times New Roman" w:hAnsi="Times New Roman" w:cs="Times New Roman"/>
          <w:b/>
          <w:color w:val="1F497D" w:themeColor="text2"/>
          <w:sz w:val="24"/>
        </w:rPr>
      </w:pPr>
      <w:r>
        <w:rPr>
          <w:rFonts w:ascii="Times New Roman" w:hAnsi="Times New Roman" w:cs="Times New Roman"/>
          <w:b/>
          <w:color w:val="1F497D" w:themeColor="text2"/>
          <w:sz w:val="24"/>
        </w:rPr>
        <w:t xml:space="preserve">DATA SUMMARY </w:t>
      </w:r>
    </w:p>
    <w:p w:rsidR="00AD3E68" w:rsidRPr="00AD3E68" w:rsidRDefault="00AD3E68" w:rsidP="00A30879">
      <w:pPr>
        <w:pStyle w:val="ListParagraph"/>
        <w:numPr>
          <w:ilvl w:val="0"/>
          <w:numId w:val="5"/>
        </w:numPr>
        <w:spacing w:after="0" w:line="240" w:lineRule="auto"/>
        <w:ind w:left="180" w:hanging="180"/>
        <w:rPr>
          <w:rFonts w:ascii="Times New Roman" w:hAnsi="Times New Roman" w:cs="Times New Roman"/>
          <w:b/>
          <w:color w:val="1F497D" w:themeColor="text2"/>
          <w:sz w:val="24"/>
        </w:rPr>
      </w:pPr>
      <w:r>
        <w:rPr>
          <w:rFonts w:ascii="Times New Roman" w:hAnsi="Times New Roman" w:cs="Times New Roman"/>
          <w:sz w:val="24"/>
        </w:rPr>
        <w:t xml:space="preserve">In Massachusetts from 2004-2014, oropharyngeal </w:t>
      </w:r>
      <w:r w:rsidR="00B6199B">
        <w:rPr>
          <w:rFonts w:ascii="Times New Roman" w:hAnsi="Times New Roman" w:cs="Times New Roman"/>
          <w:sz w:val="24"/>
        </w:rPr>
        <w:t xml:space="preserve">cancer was the most common HPV-associated cancer </w:t>
      </w:r>
      <w:r>
        <w:rPr>
          <w:rFonts w:ascii="Times New Roman" w:hAnsi="Times New Roman" w:cs="Times New Roman"/>
          <w:sz w:val="24"/>
        </w:rPr>
        <w:t xml:space="preserve">among </w:t>
      </w:r>
      <w:r w:rsidR="00DC3C58">
        <w:rPr>
          <w:rFonts w:ascii="Times New Roman" w:hAnsi="Times New Roman" w:cs="Times New Roman"/>
          <w:sz w:val="24"/>
        </w:rPr>
        <w:t>males</w:t>
      </w:r>
      <w:r>
        <w:rPr>
          <w:rFonts w:ascii="Times New Roman" w:hAnsi="Times New Roman" w:cs="Times New Roman"/>
          <w:sz w:val="24"/>
        </w:rPr>
        <w:t xml:space="preserve"> and the third most common HPV-associated cancer among </w:t>
      </w:r>
      <w:r w:rsidR="00DC3C58">
        <w:rPr>
          <w:rFonts w:ascii="Times New Roman" w:hAnsi="Times New Roman" w:cs="Times New Roman"/>
          <w:sz w:val="24"/>
        </w:rPr>
        <w:t>females</w:t>
      </w:r>
      <w:r>
        <w:rPr>
          <w:rFonts w:ascii="Times New Roman" w:hAnsi="Times New Roman" w:cs="Times New Roman"/>
          <w:sz w:val="24"/>
        </w:rPr>
        <w:t xml:space="preserve">. </w:t>
      </w:r>
    </w:p>
    <w:p w:rsidR="00AD3E68" w:rsidRPr="00CD7963" w:rsidRDefault="00AD3E68" w:rsidP="00AD3E68">
      <w:pPr>
        <w:pStyle w:val="ListParagraph"/>
        <w:spacing w:after="0" w:line="240" w:lineRule="auto"/>
        <w:ind w:left="180"/>
        <w:rPr>
          <w:rFonts w:ascii="Times New Roman" w:hAnsi="Times New Roman" w:cs="Times New Roman"/>
          <w:b/>
          <w:color w:val="1F497D" w:themeColor="text2"/>
          <w:sz w:val="20"/>
        </w:rPr>
      </w:pPr>
    </w:p>
    <w:p w:rsidR="00B6199B" w:rsidRPr="0090233B" w:rsidRDefault="00AD3E68" w:rsidP="00A30879">
      <w:pPr>
        <w:pStyle w:val="ListParagraph"/>
        <w:numPr>
          <w:ilvl w:val="0"/>
          <w:numId w:val="5"/>
        </w:numPr>
        <w:spacing w:after="0" w:line="240" w:lineRule="auto"/>
        <w:ind w:left="180" w:hanging="180"/>
        <w:rPr>
          <w:rFonts w:ascii="Times New Roman" w:hAnsi="Times New Roman" w:cs="Times New Roman"/>
          <w:b/>
          <w:color w:val="1F497D" w:themeColor="text2"/>
          <w:sz w:val="24"/>
        </w:rPr>
      </w:pPr>
      <w:r>
        <w:rPr>
          <w:rFonts w:ascii="Times New Roman" w:hAnsi="Times New Roman" w:cs="Times New Roman"/>
          <w:sz w:val="24"/>
        </w:rPr>
        <w:t xml:space="preserve">Oropharyngeal cancer was the most </w:t>
      </w:r>
      <w:r w:rsidR="0090233B">
        <w:rPr>
          <w:rFonts w:ascii="Times New Roman" w:hAnsi="Times New Roman" w:cs="Times New Roman"/>
          <w:sz w:val="24"/>
        </w:rPr>
        <w:t xml:space="preserve">common cause of death from an HPV-associated cancer </w:t>
      </w:r>
      <w:r>
        <w:rPr>
          <w:rFonts w:ascii="Times New Roman" w:hAnsi="Times New Roman" w:cs="Times New Roman"/>
          <w:sz w:val="24"/>
        </w:rPr>
        <w:t xml:space="preserve">for </w:t>
      </w:r>
      <w:r w:rsidR="00DC3C58">
        <w:rPr>
          <w:rFonts w:ascii="Times New Roman" w:hAnsi="Times New Roman" w:cs="Times New Roman"/>
          <w:sz w:val="24"/>
        </w:rPr>
        <w:t>males</w:t>
      </w:r>
      <w:r>
        <w:rPr>
          <w:rFonts w:ascii="Times New Roman" w:hAnsi="Times New Roman" w:cs="Times New Roman"/>
          <w:sz w:val="24"/>
        </w:rPr>
        <w:t xml:space="preserve"> and second most common cause of death from an HPV-associated cancer for </w:t>
      </w:r>
      <w:r w:rsidR="00DC3C58">
        <w:rPr>
          <w:rFonts w:ascii="Times New Roman" w:hAnsi="Times New Roman" w:cs="Times New Roman"/>
          <w:sz w:val="24"/>
        </w:rPr>
        <w:t>females</w:t>
      </w:r>
      <w:r>
        <w:rPr>
          <w:rFonts w:ascii="Times New Roman" w:hAnsi="Times New Roman" w:cs="Times New Roman"/>
          <w:sz w:val="24"/>
        </w:rPr>
        <w:t xml:space="preserve"> from 2008-2014 </w:t>
      </w:r>
      <w:r w:rsidR="00B6199B">
        <w:rPr>
          <w:rFonts w:ascii="Times New Roman" w:hAnsi="Times New Roman" w:cs="Times New Roman"/>
          <w:sz w:val="24"/>
        </w:rPr>
        <w:t xml:space="preserve">in Massachusetts. </w:t>
      </w:r>
    </w:p>
    <w:p w:rsidR="0090233B" w:rsidRPr="00CD7963" w:rsidRDefault="0090233B" w:rsidP="0090233B">
      <w:pPr>
        <w:pStyle w:val="ListParagraph"/>
        <w:spacing w:after="0" w:line="240" w:lineRule="auto"/>
        <w:ind w:left="180"/>
        <w:rPr>
          <w:rFonts w:ascii="Times New Roman" w:hAnsi="Times New Roman" w:cs="Times New Roman"/>
          <w:b/>
          <w:color w:val="1F497D" w:themeColor="text2"/>
          <w:sz w:val="20"/>
        </w:rPr>
      </w:pPr>
    </w:p>
    <w:p w:rsidR="00AD3E68" w:rsidRPr="00AD3E68" w:rsidRDefault="00B6199B" w:rsidP="00AD3E68">
      <w:pPr>
        <w:pStyle w:val="ListParagraph"/>
        <w:numPr>
          <w:ilvl w:val="0"/>
          <w:numId w:val="5"/>
        </w:numPr>
        <w:spacing w:after="0" w:line="240" w:lineRule="auto"/>
        <w:ind w:left="180" w:hanging="180"/>
        <w:rPr>
          <w:rFonts w:ascii="Times New Roman" w:hAnsi="Times New Roman" w:cs="Times New Roman"/>
          <w:b/>
          <w:color w:val="1F497D" w:themeColor="text2"/>
          <w:sz w:val="24"/>
        </w:rPr>
      </w:pPr>
      <w:r>
        <w:rPr>
          <w:rFonts w:ascii="Times New Roman" w:hAnsi="Times New Roman" w:cs="Times New Roman"/>
          <w:sz w:val="24"/>
        </w:rPr>
        <w:t xml:space="preserve">The </w:t>
      </w:r>
      <w:r w:rsidR="0090233B">
        <w:rPr>
          <w:rFonts w:ascii="Times New Roman" w:hAnsi="Times New Roman" w:cs="Times New Roman"/>
          <w:sz w:val="24"/>
        </w:rPr>
        <w:t xml:space="preserve">incidence rate of </w:t>
      </w:r>
      <w:r w:rsidR="00AD3E68">
        <w:rPr>
          <w:rFonts w:ascii="Times New Roman" w:hAnsi="Times New Roman" w:cs="Times New Roman"/>
          <w:sz w:val="24"/>
        </w:rPr>
        <w:t xml:space="preserve">oropharyngeal </w:t>
      </w:r>
      <w:r w:rsidR="0090233B">
        <w:rPr>
          <w:rFonts w:ascii="Times New Roman" w:hAnsi="Times New Roman" w:cs="Times New Roman"/>
          <w:sz w:val="24"/>
        </w:rPr>
        <w:t xml:space="preserve">cancer </w:t>
      </w:r>
      <w:r w:rsidR="00AD3E68">
        <w:rPr>
          <w:rFonts w:ascii="Times New Roman" w:hAnsi="Times New Roman" w:cs="Times New Roman"/>
          <w:sz w:val="24"/>
        </w:rPr>
        <w:t xml:space="preserve">among </w:t>
      </w:r>
      <w:r w:rsidR="00DC3C58">
        <w:rPr>
          <w:rFonts w:ascii="Times New Roman" w:hAnsi="Times New Roman" w:cs="Times New Roman"/>
          <w:sz w:val="24"/>
        </w:rPr>
        <w:t>males</w:t>
      </w:r>
      <w:r w:rsidR="00AD3E68">
        <w:rPr>
          <w:rFonts w:ascii="Times New Roman" w:hAnsi="Times New Roman" w:cs="Times New Roman"/>
          <w:sz w:val="24"/>
        </w:rPr>
        <w:t xml:space="preserve"> </w:t>
      </w:r>
      <w:r w:rsidR="0073202D">
        <w:rPr>
          <w:rFonts w:ascii="Times New Roman" w:hAnsi="Times New Roman" w:cs="Times New Roman"/>
          <w:sz w:val="24"/>
        </w:rPr>
        <w:t xml:space="preserve">in Massachusetts </w:t>
      </w:r>
      <w:r w:rsidR="00AD3E68">
        <w:rPr>
          <w:rFonts w:ascii="Times New Roman" w:hAnsi="Times New Roman" w:cs="Times New Roman"/>
          <w:sz w:val="24"/>
        </w:rPr>
        <w:t>has been increasing by 2.8</w:t>
      </w:r>
      <w:r w:rsidR="0090233B">
        <w:rPr>
          <w:rFonts w:ascii="Times New Roman" w:hAnsi="Times New Roman" w:cs="Times New Roman"/>
          <w:sz w:val="24"/>
        </w:rPr>
        <w:t>% each year from 2004-2014</w:t>
      </w:r>
      <w:r w:rsidR="006474FF">
        <w:rPr>
          <w:rFonts w:ascii="Times New Roman" w:hAnsi="Times New Roman" w:cs="Times New Roman"/>
          <w:sz w:val="24"/>
        </w:rPr>
        <w:t xml:space="preserve"> with statistical significance</w:t>
      </w:r>
      <w:r w:rsidR="0090233B">
        <w:rPr>
          <w:rFonts w:ascii="Times New Roman" w:hAnsi="Times New Roman" w:cs="Times New Roman"/>
          <w:sz w:val="24"/>
        </w:rPr>
        <w:t xml:space="preserve">. </w:t>
      </w:r>
    </w:p>
    <w:p w:rsidR="00AD3E68" w:rsidRPr="00CD7963" w:rsidRDefault="00AD3E68" w:rsidP="00AD3E68">
      <w:pPr>
        <w:pStyle w:val="ListParagraph"/>
        <w:rPr>
          <w:rFonts w:ascii="Times New Roman" w:hAnsi="Times New Roman" w:cs="Times New Roman"/>
          <w:sz w:val="20"/>
        </w:rPr>
      </w:pPr>
    </w:p>
    <w:p w:rsidR="0090233B" w:rsidRPr="00AD3E68" w:rsidRDefault="00AD3E68" w:rsidP="00AD3E68">
      <w:pPr>
        <w:pStyle w:val="ListParagraph"/>
        <w:numPr>
          <w:ilvl w:val="0"/>
          <w:numId w:val="5"/>
        </w:numPr>
        <w:spacing w:after="0" w:line="240" w:lineRule="auto"/>
        <w:ind w:left="180" w:hanging="180"/>
        <w:rPr>
          <w:rFonts w:ascii="Times New Roman" w:hAnsi="Times New Roman" w:cs="Times New Roman"/>
          <w:b/>
          <w:color w:val="1F497D" w:themeColor="text2"/>
          <w:sz w:val="24"/>
        </w:rPr>
      </w:pPr>
      <w:r w:rsidRPr="00AD3E68">
        <w:rPr>
          <w:rFonts w:ascii="Times New Roman" w:hAnsi="Times New Roman" w:cs="Times New Roman"/>
          <w:sz w:val="24"/>
        </w:rPr>
        <w:t>The age-adjusted incidence rate of oropharyngeal cancer was 4.1 times higher among Massachusetts males than among females</w:t>
      </w:r>
      <w:r>
        <w:rPr>
          <w:rFonts w:ascii="Times New Roman" w:hAnsi="Times New Roman" w:cs="Times New Roman"/>
          <w:sz w:val="24"/>
        </w:rPr>
        <w:t>.</w:t>
      </w:r>
    </w:p>
    <w:p w:rsidR="00CD7963" w:rsidRDefault="00CD7963" w:rsidP="00CD7963">
      <w:pPr>
        <w:pStyle w:val="ListParagraph"/>
        <w:spacing w:after="0" w:line="240" w:lineRule="auto"/>
        <w:ind w:left="180"/>
        <w:rPr>
          <w:rFonts w:ascii="Times New Roman" w:hAnsi="Times New Roman" w:cs="Times New Roman"/>
          <w:sz w:val="24"/>
        </w:rPr>
      </w:pPr>
    </w:p>
    <w:p w:rsidR="0090233B" w:rsidRPr="0090233B" w:rsidRDefault="0090233B" w:rsidP="0090233B">
      <w:pPr>
        <w:pStyle w:val="ListParagraph"/>
        <w:numPr>
          <w:ilvl w:val="0"/>
          <w:numId w:val="5"/>
        </w:numPr>
        <w:spacing w:after="0" w:line="240" w:lineRule="auto"/>
        <w:ind w:left="180" w:hanging="180"/>
        <w:rPr>
          <w:rFonts w:ascii="Times New Roman" w:hAnsi="Times New Roman" w:cs="Times New Roman"/>
          <w:sz w:val="24"/>
        </w:rPr>
      </w:pPr>
      <w:r w:rsidRPr="0090233B">
        <w:rPr>
          <w:rFonts w:ascii="Times New Roman" w:hAnsi="Times New Roman" w:cs="Times New Roman"/>
          <w:sz w:val="24"/>
        </w:rPr>
        <w:t>The inci</w:t>
      </w:r>
      <w:r w:rsidR="00F56380">
        <w:rPr>
          <w:rFonts w:ascii="Times New Roman" w:hAnsi="Times New Roman" w:cs="Times New Roman"/>
          <w:sz w:val="24"/>
        </w:rPr>
        <w:t>dence rate of</w:t>
      </w:r>
      <w:r w:rsidR="00AD3E68">
        <w:rPr>
          <w:rFonts w:ascii="Times New Roman" w:hAnsi="Times New Roman" w:cs="Times New Roman"/>
          <w:sz w:val="24"/>
        </w:rPr>
        <w:t xml:space="preserve"> oropharyngeal</w:t>
      </w:r>
      <w:r w:rsidR="00F56380">
        <w:rPr>
          <w:rFonts w:ascii="Times New Roman" w:hAnsi="Times New Roman" w:cs="Times New Roman"/>
          <w:sz w:val="24"/>
        </w:rPr>
        <w:t xml:space="preserve"> cancer is </w:t>
      </w:r>
      <w:r w:rsidR="00AD3E68">
        <w:rPr>
          <w:rFonts w:ascii="Times New Roman" w:hAnsi="Times New Roman" w:cs="Times New Roman"/>
          <w:sz w:val="24"/>
        </w:rPr>
        <w:t>highe</w:t>
      </w:r>
      <w:r w:rsidR="00F56380">
        <w:rPr>
          <w:rFonts w:ascii="Times New Roman" w:hAnsi="Times New Roman" w:cs="Times New Roman"/>
          <w:sz w:val="24"/>
        </w:rPr>
        <w:t>r in</w:t>
      </w:r>
      <w:r w:rsidRPr="0090233B">
        <w:rPr>
          <w:rFonts w:ascii="Times New Roman" w:hAnsi="Times New Roman" w:cs="Times New Roman"/>
          <w:sz w:val="24"/>
        </w:rPr>
        <w:t xml:space="preserve"> Massachusetts </w:t>
      </w:r>
      <w:r w:rsidR="00F56380">
        <w:rPr>
          <w:rFonts w:ascii="Times New Roman" w:hAnsi="Times New Roman" w:cs="Times New Roman"/>
          <w:sz w:val="24"/>
        </w:rPr>
        <w:t>than</w:t>
      </w:r>
      <w:r w:rsidRPr="0090233B">
        <w:rPr>
          <w:rFonts w:ascii="Times New Roman" w:hAnsi="Times New Roman" w:cs="Times New Roman"/>
          <w:sz w:val="24"/>
        </w:rPr>
        <w:t xml:space="preserve"> </w:t>
      </w:r>
      <w:r w:rsidR="00F56380">
        <w:rPr>
          <w:rFonts w:ascii="Times New Roman" w:hAnsi="Times New Roman" w:cs="Times New Roman"/>
          <w:sz w:val="24"/>
        </w:rPr>
        <w:t>the United States</w:t>
      </w:r>
      <w:r w:rsidRPr="0090233B">
        <w:rPr>
          <w:rFonts w:ascii="Times New Roman" w:hAnsi="Times New Roman" w:cs="Times New Roman"/>
          <w:sz w:val="24"/>
        </w:rPr>
        <w:t xml:space="preserve">. </w:t>
      </w:r>
    </w:p>
    <w:p w:rsidR="0090233B" w:rsidRPr="00CD7963" w:rsidRDefault="0090233B" w:rsidP="0090233B">
      <w:pPr>
        <w:pStyle w:val="ListParagraph"/>
        <w:rPr>
          <w:rFonts w:ascii="Times New Roman" w:hAnsi="Times New Roman" w:cs="Times New Roman"/>
          <w:b/>
          <w:sz w:val="20"/>
        </w:rPr>
      </w:pPr>
    </w:p>
    <w:p w:rsidR="0090233B" w:rsidRPr="0090233B" w:rsidRDefault="00AD3E68" w:rsidP="0090233B">
      <w:pPr>
        <w:pStyle w:val="ListParagraph"/>
        <w:numPr>
          <w:ilvl w:val="0"/>
          <w:numId w:val="5"/>
        </w:numPr>
        <w:spacing w:after="0" w:line="240" w:lineRule="auto"/>
        <w:ind w:left="180" w:hanging="180"/>
        <w:rPr>
          <w:rFonts w:ascii="Times New Roman" w:hAnsi="Times New Roman" w:cs="Times New Roman"/>
          <w:b/>
          <w:sz w:val="24"/>
        </w:rPr>
      </w:pPr>
      <w:r>
        <w:rPr>
          <w:rFonts w:ascii="Times New Roman" w:hAnsi="Times New Roman" w:cs="Times New Roman"/>
          <w:sz w:val="24"/>
        </w:rPr>
        <w:t xml:space="preserve">The incidence </w:t>
      </w:r>
      <w:r w:rsidR="0090233B">
        <w:rPr>
          <w:rFonts w:ascii="Times New Roman" w:hAnsi="Times New Roman" w:cs="Times New Roman"/>
          <w:sz w:val="24"/>
        </w:rPr>
        <w:t xml:space="preserve">rate of </w:t>
      </w:r>
      <w:r>
        <w:rPr>
          <w:rFonts w:ascii="Times New Roman" w:hAnsi="Times New Roman" w:cs="Times New Roman"/>
          <w:sz w:val="24"/>
        </w:rPr>
        <w:t>oropharyngeal</w:t>
      </w:r>
      <w:r w:rsidR="0090233B">
        <w:rPr>
          <w:rFonts w:ascii="Times New Roman" w:hAnsi="Times New Roman" w:cs="Times New Roman"/>
          <w:sz w:val="24"/>
        </w:rPr>
        <w:t xml:space="preserve"> cancer was </w:t>
      </w:r>
      <w:r>
        <w:rPr>
          <w:rFonts w:ascii="Times New Roman" w:hAnsi="Times New Roman" w:cs="Times New Roman"/>
          <w:sz w:val="24"/>
        </w:rPr>
        <w:t>highest among non-Hispanic whites</w:t>
      </w:r>
      <w:r w:rsidR="0090233B">
        <w:rPr>
          <w:rFonts w:ascii="Times New Roman" w:hAnsi="Times New Roman" w:cs="Times New Roman"/>
          <w:sz w:val="24"/>
        </w:rPr>
        <w:t xml:space="preserve"> </w:t>
      </w:r>
      <w:r>
        <w:rPr>
          <w:rFonts w:ascii="Times New Roman" w:hAnsi="Times New Roman" w:cs="Times New Roman"/>
          <w:sz w:val="24"/>
        </w:rPr>
        <w:t xml:space="preserve">and the morality rate was highest among non-Hispanic blacks </w:t>
      </w:r>
      <w:r w:rsidR="0090233B">
        <w:rPr>
          <w:rFonts w:ascii="Times New Roman" w:hAnsi="Times New Roman" w:cs="Times New Roman"/>
          <w:sz w:val="24"/>
        </w:rPr>
        <w:t xml:space="preserve">in Massachusetts. </w:t>
      </w:r>
    </w:p>
    <w:p w:rsidR="0090233B" w:rsidRPr="00CD7963" w:rsidRDefault="0090233B" w:rsidP="0090233B">
      <w:pPr>
        <w:pStyle w:val="ListParagraph"/>
        <w:spacing w:after="0" w:line="240" w:lineRule="auto"/>
        <w:ind w:left="180"/>
        <w:rPr>
          <w:rFonts w:ascii="Times New Roman" w:hAnsi="Times New Roman" w:cs="Times New Roman"/>
          <w:b/>
          <w:sz w:val="20"/>
        </w:rPr>
      </w:pPr>
    </w:p>
    <w:p w:rsidR="0090233B" w:rsidRDefault="00E17B36" w:rsidP="0090233B">
      <w:pPr>
        <w:pStyle w:val="ListParagraph"/>
        <w:numPr>
          <w:ilvl w:val="0"/>
          <w:numId w:val="5"/>
        </w:numPr>
        <w:spacing w:after="0" w:line="240" w:lineRule="auto"/>
        <w:ind w:left="180" w:hanging="180"/>
        <w:rPr>
          <w:rFonts w:ascii="Times New Roman" w:hAnsi="Times New Roman" w:cs="Times New Roman"/>
          <w:sz w:val="24"/>
        </w:rPr>
      </w:pPr>
      <w:r>
        <w:rPr>
          <w:rFonts w:ascii="Times New Roman" w:hAnsi="Times New Roman" w:cs="Times New Roman"/>
          <w:sz w:val="24"/>
        </w:rPr>
        <w:t xml:space="preserve">Each year, the 9 </w:t>
      </w:r>
      <w:r w:rsidR="0090233B">
        <w:rPr>
          <w:rFonts w:ascii="Times New Roman" w:hAnsi="Times New Roman" w:cs="Times New Roman"/>
          <w:sz w:val="24"/>
        </w:rPr>
        <w:t>valent vaccine has the poten</w:t>
      </w:r>
      <w:r w:rsidR="00AD3E68">
        <w:rPr>
          <w:rFonts w:ascii="Times New Roman" w:hAnsi="Times New Roman" w:cs="Times New Roman"/>
          <w:sz w:val="24"/>
        </w:rPr>
        <w:t>tial to prevent an estimated 240</w:t>
      </w:r>
      <w:r w:rsidR="0090233B">
        <w:rPr>
          <w:rFonts w:ascii="Times New Roman" w:hAnsi="Times New Roman" w:cs="Times New Roman"/>
          <w:sz w:val="24"/>
        </w:rPr>
        <w:t xml:space="preserve"> cases of </w:t>
      </w:r>
      <w:r w:rsidR="00AD3E68">
        <w:rPr>
          <w:rFonts w:ascii="Times New Roman" w:hAnsi="Times New Roman" w:cs="Times New Roman"/>
          <w:sz w:val="24"/>
        </w:rPr>
        <w:t>oropharyngeal</w:t>
      </w:r>
      <w:r w:rsidR="0090233B">
        <w:rPr>
          <w:rFonts w:ascii="Times New Roman" w:hAnsi="Times New Roman" w:cs="Times New Roman"/>
          <w:sz w:val="24"/>
        </w:rPr>
        <w:t xml:space="preserve"> cancer in Massachusetts. </w:t>
      </w:r>
      <w:r w:rsidR="0073202D">
        <w:rPr>
          <w:rFonts w:ascii="Times New Roman" w:hAnsi="Times New Roman" w:cs="Times New Roman"/>
          <w:sz w:val="24"/>
        </w:rPr>
        <w:t xml:space="preserve">Although </w:t>
      </w:r>
      <w:r w:rsidR="0090233B">
        <w:rPr>
          <w:rFonts w:ascii="Times New Roman" w:hAnsi="Times New Roman" w:cs="Times New Roman"/>
          <w:sz w:val="24"/>
        </w:rPr>
        <w:t>Massachusetts has higher HPV va</w:t>
      </w:r>
      <w:r w:rsidR="0073202D">
        <w:rPr>
          <w:rFonts w:ascii="Times New Roman" w:hAnsi="Times New Roman" w:cs="Times New Roman"/>
          <w:sz w:val="24"/>
        </w:rPr>
        <w:t>ccination rates than the US, it</w:t>
      </w:r>
      <w:r w:rsidR="0090233B">
        <w:rPr>
          <w:rFonts w:ascii="Times New Roman" w:hAnsi="Times New Roman" w:cs="Times New Roman"/>
          <w:sz w:val="24"/>
        </w:rPr>
        <w:t xml:space="preserve"> still fall</w:t>
      </w:r>
      <w:r w:rsidR="0073202D">
        <w:rPr>
          <w:rFonts w:ascii="Times New Roman" w:hAnsi="Times New Roman" w:cs="Times New Roman"/>
          <w:sz w:val="24"/>
        </w:rPr>
        <w:t>s</w:t>
      </w:r>
      <w:r w:rsidR="0090233B">
        <w:rPr>
          <w:rFonts w:ascii="Times New Roman" w:hAnsi="Times New Roman" w:cs="Times New Roman"/>
          <w:sz w:val="24"/>
        </w:rPr>
        <w:t xml:space="preserve"> short of the Healthy People 2020 goal. </w:t>
      </w:r>
    </w:p>
    <w:p w:rsidR="0090233B" w:rsidRPr="00CD7963" w:rsidRDefault="0090233B" w:rsidP="0090233B">
      <w:pPr>
        <w:pStyle w:val="ListParagraph"/>
        <w:rPr>
          <w:rFonts w:ascii="Times New Roman" w:hAnsi="Times New Roman" w:cs="Times New Roman"/>
          <w:sz w:val="20"/>
        </w:rPr>
      </w:pPr>
    </w:p>
    <w:p w:rsidR="0090233B" w:rsidRDefault="00414CF2" w:rsidP="0090233B">
      <w:pPr>
        <w:pStyle w:val="ListParagraph"/>
        <w:numPr>
          <w:ilvl w:val="0"/>
          <w:numId w:val="5"/>
        </w:numPr>
        <w:spacing w:after="0" w:line="240" w:lineRule="auto"/>
        <w:ind w:left="180" w:hanging="180"/>
        <w:rPr>
          <w:rFonts w:ascii="Times New Roman" w:hAnsi="Times New Roman" w:cs="Times New Roman"/>
          <w:sz w:val="24"/>
        </w:rPr>
      </w:pPr>
      <w:r>
        <w:rPr>
          <w:rFonts w:ascii="Times New Roman" w:hAnsi="Times New Roman" w:cs="Times New Roman"/>
          <w:sz w:val="24"/>
        </w:rPr>
        <w:t xml:space="preserve">Massachusetts </w:t>
      </w:r>
      <w:r w:rsidR="00AD3E68">
        <w:rPr>
          <w:rFonts w:ascii="Times New Roman" w:hAnsi="Times New Roman" w:cs="Times New Roman"/>
          <w:sz w:val="24"/>
        </w:rPr>
        <w:t xml:space="preserve">has a lower prevalence of smoking than the United States but a higher prevalence of heavy and binge drinking than the United States. </w:t>
      </w:r>
    </w:p>
    <w:p w:rsidR="00414CF2" w:rsidRDefault="00414CF2" w:rsidP="00A30879">
      <w:pPr>
        <w:spacing w:after="0" w:line="240" w:lineRule="auto"/>
        <w:rPr>
          <w:rFonts w:ascii="Times New Roman" w:hAnsi="Times New Roman" w:cs="Times New Roman"/>
          <w:b/>
          <w:color w:val="1F497D" w:themeColor="text2"/>
          <w:sz w:val="24"/>
        </w:rPr>
      </w:pPr>
    </w:p>
    <w:p w:rsidR="005E1E3F" w:rsidRDefault="005E1E3F" w:rsidP="00A30879">
      <w:pPr>
        <w:spacing w:after="0" w:line="240" w:lineRule="auto"/>
        <w:rPr>
          <w:rFonts w:ascii="Times New Roman" w:hAnsi="Times New Roman" w:cs="Times New Roman"/>
          <w:b/>
          <w:color w:val="1F497D" w:themeColor="text2"/>
          <w:sz w:val="24"/>
        </w:rPr>
      </w:pPr>
    </w:p>
    <w:p w:rsidR="00B6199B" w:rsidRDefault="00B6199B" w:rsidP="00A30879">
      <w:pPr>
        <w:spacing w:after="0" w:line="240" w:lineRule="auto"/>
        <w:rPr>
          <w:rFonts w:ascii="Times New Roman" w:hAnsi="Times New Roman" w:cs="Times New Roman"/>
          <w:b/>
          <w:color w:val="1F497D" w:themeColor="text2"/>
          <w:sz w:val="24"/>
        </w:rPr>
      </w:pPr>
      <w:r>
        <w:rPr>
          <w:rFonts w:ascii="Times New Roman" w:hAnsi="Times New Roman" w:cs="Times New Roman"/>
          <w:b/>
          <w:color w:val="1F497D" w:themeColor="text2"/>
          <w:sz w:val="24"/>
        </w:rPr>
        <w:lastRenderedPageBreak/>
        <w:t>DISCUSSION AND IMPLICATIONS FOR PREVENTION</w:t>
      </w:r>
    </w:p>
    <w:p w:rsidR="00AD3E68" w:rsidRDefault="00414CF2" w:rsidP="00414CF2">
      <w:pPr>
        <w:tabs>
          <w:tab w:val="left" w:pos="360"/>
        </w:tabs>
        <w:spacing w:after="0" w:line="240" w:lineRule="auto"/>
        <w:rPr>
          <w:rFonts w:ascii="Times New Roman" w:hAnsi="Times New Roman" w:cs="Times New Roman"/>
          <w:sz w:val="24"/>
        </w:rPr>
      </w:pPr>
      <w:r>
        <w:rPr>
          <w:rFonts w:ascii="Times New Roman" w:hAnsi="Times New Roman" w:cs="Times New Roman"/>
          <w:sz w:val="24"/>
        </w:rPr>
        <w:tab/>
      </w:r>
      <w:r w:rsidR="00AD3E68">
        <w:rPr>
          <w:rFonts w:ascii="Times New Roman" w:hAnsi="Times New Roman" w:cs="Times New Roman"/>
          <w:sz w:val="24"/>
        </w:rPr>
        <w:t>Oropharyngeal</w:t>
      </w:r>
      <w:r>
        <w:rPr>
          <w:rFonts w:ascii="Times New Roman" w:hAnsi="Times New Roman" w:cs="Times New Roman"/>
          <w:sz w:val="24"/>
        </w:rPr>
        <w:t xml:space="preserve"> cancer is the most common HPV-associated cancer i</w:t>
      </w:r>
      <w:r w:rsidR="00AD3E68">
        <w:rPr>
          <w:rFonts w:ascii="Times New Roman" w:hAnsi="Times New Roman" w:cs="Times New Roman"/>
          <w:sz w:val="24"/>
        </w:rPr>
        <w:t xml:space="preserve">n </w:t>
      </w:r>
      <w:r w:rsidR="00DC3C58">
        <w:rPr>
          <w:rFonts w:ascii="Times New Roman" w:hAnsi="Times New Roman" w:cs="Times New Roman"/>
          <w:sz w:val="24"/>
        </w:rPr>
        <w:t>males</w:t>
      </w:r>
      <w:r w:rsidR="00AD3E68">
        <w:rPr>
          <w:rFonts w:ascii="Times New Roman" w:hAnsi="Times New Roman" w:cs="Times New Roman"/>
          <w:sz w:val="24"/>
        </w:rPr>
        <w:t xml:space="preserve"> in Massachusetts and the third most common HPV-associated cancer in </w:t>
      </w:r>
      <w:r w:rsidR="00DC3C58">
        <w:rPr>
          <w:rFonts w:ascii="Times New Roman" w:hAnsi="Times New Roman" w:cs="Times New Roman"/>
          <w:sz w:val="24"/>
        </w:rPr>
        <w:t>females</w:t>
      </w:r>
      <w:r w:rsidR="00AD3E68">
        <w:rPr>
          <w:rFonts w:ascii="Times New Roman" w:hAnsi="Times New Roman" w:cs="Times New Roman"/>
          <w:sz w:val="24"/>
        </w:rPr>
        <w:t xml:space="preserve"> in Massachusetts. T</w:t>
      </w:r>
      <w:r>
        <w:rPr>
          <w:rFonts w:ascii="Times New Roman" w:hAnsi="Times New Roman" w:cs="Times New Roman"/>
          <w:sz w:val="24"/>
        </w:rPr>
        <w:t xml:space="preserve">he incidence </w:t>
      </w:r>
      <w:r w:rsidR="00AD3E68">
        <w:rPr>
          <w:rFonts w:ascii="Times New Roman" w:hAnsi="Times New Roman" w:cs="Times New Roman"/>
          <w:sz w:val="24"/>
        </w:rPr>
        <w:t>rate</w:t>
      </w:r>
      <w:r>
        <w:rPr>
          <w:rFonts w:ascii="Times New Roman" w:hAnsi="Times New Roman" w:cs="Times New Roman"/>
          <w:sz w:val="24"/>
        </w:rPr>
        <w:t xml:space="preserve"> of </w:t>
      </w:r>
      <w:r w:rsidR="00AD3E68">
        <w:rPr>
          <w:rFonts w:ascii="Times New Roman" w:hAnsi="Times New Roman" w:cs="Times New Roman"/>
          <w:sz w:val="24"/>
        </w:rPr>
        <w:t xml:space="preserve">oropharyngeal </w:t>
      </w:r>
      <w:r>
        <w:rPr>
          <w:rFonts w:ascii="Times New Roman" w:hAnsi="Times New Roman" w:cs="Times New Roman"/>
          <w:sz w:val="24"/>
        </w:rPr>
        <w:t xml:space="preserve">cancer </w:t>
      </w:r>
      <w:r w:rsidR="00AD3E68">
        <w:rPr>
          <w:rFonts w:ascii="Times New Roman" w:hAnsi="Times New Roman" w:cs="Times New Roman"/>
          <w:sz w:val="24"/>
        </w:rPr>
        <w:t xml:space="preserve">among </w:t>
      </w:r>
      <w:r w:rsidR="00DC3C58">
        <w:rPr>
          <w:rFonts w:ascii="Times New Roman" w:hAnsi="Times New Roman" w:cs="Times New Roman"/>
          <w:sz w:val="24"/>
        </w:rPr>
        <w:t>males</w:t>
      </w:r>
      <w:r w:rsidR="00AD3E68">
        <w:rPr>
          <w:rFonts w:ascii="Times New Roman" w:hAnsi="Times New Roman" w:cs="Times New Roman"/>
          <w:sz w:val="24"/>
        </w:rPr>
        <w:t xml:space="preserve"> in Massachusetts has been increasing and the rate is higher than the rate</w:t>
      </w:r>
      <w:r>
        <w:rPr>
          <w:rFonts w:ascii="Times New Roman" w:hAnsi="Times New Roman" w:cs="Times New Roman"/>
          <w:sz w:val="24"/>
        </w:rPr>
        <w:t xml:space="preserve"> in the United States. </w:t>
      </w:r>
      <w:r w:rsidR="00AD3E68">
        <w:rPr>
          <w:rFonts w:ascii="Times New Roman" w:hAnsi="Times New Roman" w:cs="Times New Roman"/>
          <w:sz w:val="24"/>
        </w:rPr>
        <w:t>Traditionally H</w:t>
      </w:r>
      <w:r w:rsidR="00E17B36">
        <w:rPr>
          <w:rFonts w:ascii="Times New Roman" w:hAnsi="Times New Roman" w:cs="Times New Roman"/>
          <w:sz w:val="24"/>
        </w:rPr>
        <w:t>PV</w:t>
      </w:r>
      <w:r w:rsidR="00AD3E68">
        <w:rPr>
          <w:rFonts w:ascii="Times New Roman" w:hAnsi="Times New Roman" w:cs="Times New Roman"/>
          <w:sz w:val="24"/>
        </w:rPr>
        <w:t xml:space="preserve">-negative oropharyngeal cancers were due to alcohol and tobacco use. However, the decreasing prevalence of these risk factors, coupled with the increase in oropharyngeal cancer, points to a larger burden of HPV-positive oropharyngeal cancers. </w:t>
      </w:r>
    </w:p>
    <w:p w:rsidR="004C10BB" w:rsidRPr="00F56380" w:rsidRDefault="004C10BB" w:rsidP="00414CF2">
      <w:pPr>
        <w:tabs>
          <w:tab w:val="left" w:pos="360"/>
        </w:tabs>
        <w:spacing w:after="0" w:line="240" w:lineRule="auto"/>
        <w:rPr>
          <w:rFonts w:ascii="Times New Roman" w:hAnsi="Times New Roman" w:cs="Times New Roman"/>
          <w:sz w:val="16"/>
        </w:rPr>
      </w:pPr>
    </w:p>
    <w:p w:rsidR="00414CF2" w:rsidRDefault="00AD3E68" w:rsidP="00AD3E68">
      <w:pPr>
        <w:spacing w:after="0" w:line="240" w:lineRule="auto"/>
        <w:ind w:firstLine="360"/>
        <w:rPr>
          <w:rFonts w:ascii="Times New Roman" w:hAnsi="Times New Roman" w:cs="Times New Roman"/>
          <w:sz w:val="24"/>
        </w:rPr>
      </w:pPr>
      <w:r>
        <w:rPr>
          <w:rFonts w:ascii="Times New Roman" w:hAnsi="Times New Roman" w:cs="Times New Roman"/>
          <w:sz w:val="24"/>
        </w:rPr>
        <w:t xml:space="preserve">There are no routine screening tests for oropharyngeal cancer, making the HPV vaccine very important for the prevention of oropharyngeal cancer. </w:t>
      </w:r>
      <w:r w:rsidR="00414CF2" w:rsidRPr="002B4414">
        <w:rPr>
          <w:rFonts w:ascii="Times New Roman" w:hAnsi="Times New Roman" w:cs="Times New Roman"/>
          <w:sz w:val="24"/>
        </w:rPr>
        <w:t xml:space="preserve">Vaccines for HPV have been approved by the US Food and Drug Administration (FDA) since 2006. Current recommendations from the Advisory Committee on Immunization Practices </w:t>
      </w:r>
      <w:r w:rsidR="00414CF2">
        <w:rPr>
          <w:rFonts w:ascii="Times New Roman" w:hAnsi="Times New Roman" w:cs="Times New Roman"/>
          <w:sz w:val="24"/>
        </w:rPr>
        <w:t>(ACIP) include</w:t>
      </w:r>
      <w:r w:rsidR="0073202D">
        <w:rPr>
          <w:rFonts w:ascii="Times New Roman" w:hAnsi="Times New Roman" w:cs="Times New Roman"/>
          <w:sz w:val="24"/>
        </w:rPr>
        <w:t>:</w:t>
      </w:r>
      <w:r w:rsidR="00577154">
        <w:rPr>
          <w:rFonts w:ascii="Times New Roman" w:hAnsi="Times New Roman" w:cs="Times New Roman"/>
          <w:sz w:val="24"/>
          <w:vertAlign w:val="superscript"/>
        </w:rPr>
        <w:t>7</w:t>
      </w:r>
    </w:p>
    <w:p w:rsidR="00414CF2" w:rsidRDefault="00414CF2" w:rsidP="00414CF2">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 xml:space="preserve">Boys and girls </w:t>
      </w:r>
      <w:r w:rsidR="00F56380">
        <w:rPr>
          <w:rFonts w:ascii="Times New Roman" w:hAnsi="Times New Roman" w:cs="Times New Roman"/>
          <w:sz w:val="24"/>
        </w:rPr>
        <w:t xml:space="preserve">are recommended to </w:t>
      </w:r>
      <w:r>
        <w:rPr>
          <w:rFonts w:ascii="Times New Roman" w:hAnsi="Times New Roman" w:cs="Times New Roman"/>
          <w:sz w:val="24"/>
        </w:rPr>
        <w:t>start the series of vaccines at age 11 or 12.</w:t>
      </w:r>
    </w:p>
    <w:p w:rsidR="00414CF2" w:rsidRDefault="00414CF2" w:rsidP="00414CF2">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People who are not immunocompromised and initiated the HPV vaccine between ages 9 and 14 are recommended to get 2 doses of the HPV vaccine.</w:t>
      </w:r>
    </w:p>
    <w:p w:rsidR="00414CF2" w:rsidRDefault="00414CF2" w:rsidP="00414CF2">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People initiating the HPV vaccine between ages 15 and 26, along with those who are immunocompromised</w:t>
      </w:r>
      <w:r w:rsidR="00D26C27">
        <w:rPr>
          <w:rFonts w:ascii="Times New Roman" w:hAnsi="Times New Roman" w:cs="Times New Roman"/>
          <w:sz w:val="24"/>
        </w:rPr>
        <w:t>,</w:t>
      </w:r>
      <w:r>
        <w:rPr>
          <w:rFonts w:ascii="Times New Roman" w:hAnsi="Times New Roman" w:cs="Times New Roman"/>
          <w:sz w:val="24"/>
        </w:rPr>
        <w:t xml:space="preserve"> should receive 3 doses of the HPV vaccine.</w:t>
      </w:r>
    </w:p>
    <w:p w:rsidR="004C10BB" w:rsidRPr="00F56380" w:rsidRDefault="004C10BB" w:rsidP="004C10BB">
      <w:pPr>
        <w:pStyle w:val="ListParagraph"/>
        <w:spacing w:after="0" w:line="240" w:lineRule="auto"/>
        <w:ind w:left="180"/>
        <w:rPr>
          <w:rFonts w:ascii="Times New Roman" w:hAnsi="Times New Roman" w:cs="Times New Roman"/>
          <w:sz w:val="16"/>
        </w:rPr>
      </w:pPr>
    </w:p>
    <w:p w:rsidR="00CE469C" w:rsidRDefault="00CE469C" w:rsidP="004C10BB">
      <w:pPr>
        <w:spacing w:after="0" w:line="240" w:lineRule="auto"/>
        <w:ind w:firstLine="360"/>
        <w:rPr>
          <w:rFonts w:ascii="Times New Roman" w:hAnsi="Times New Roman" w:cs="Times New Roman"/>
          <w:sz w:val="24"/>
        </w:rPr>
      </w:pPr>
      <w:r>
        <w:rPr>
          <w:rFonts w:ascii="Times New Roman" w:hAnsi="Times New Roman" w:cs="Times New Roman"/>
          <w:sz w:val="24"/>
        </w:rPr>
        <w:t>Besides getting the HPV vaccine for prevention, avoiding the risk factors of smoking and alcohol may help reduce the risk of oropharyngeal cancer. The American Cancer Society also recommends eating a healthy diet, wearing properly fitted dentures, reducing your risk of HPV infection by limiting the number of sexual partners, and treating pre-cancerous growths.</w:t>
      </w:r>
      <w:r w:rsidR="00640133">
        <w:rPr>
          <w:rFonts w:ascii="Times New Roman" w:hAnsi="Times New Roman" w:cs="Times New Roman"/>
          <w:sz w:val="24"/>
          <w:vertAlign w:val="superscript"/>
        </w:rPr>
        <w:t>8</w:t>
      </w:r>
      <w:r>
        <w:rPr>
          <w:rFonts w:ascii="Times New Roman" w:hAnsi="Times New Roman" w:cs="Times New Roman"/>
          <w:sz w:val="24"/>
        </w:rPr>
        <w:t xml:space="preserve"> </w:t>
      </w:r>
    </w:p>
    <w:p w:rsidR="00CE469C" w:rsidRDefault="00CE469C" w:rsidP="004C10BB">
      <w:pPr>
        <w:spacing w:after="0" w:line="240" w:lineRule="auto"/>
        <w:ind w:firstLine="360"/>
        <w:rPr>
          <w:rFonts w:ascii="Times New Roman" w:hAnsi="Times New Roman" w:cs="Times New Roman"/>
          <w:sz w:val="24"/>
        </w:rPr>
      </w:pPr>
    </w:p>
    <w:p w:rsidR="00414CF2" w:rsidRDefault="004C10BB" w:rsidP="004C10BB">
      <w:pPr>
        <w:spacing w:after="0" w:line="240" w:lineRule="auto"/>
        <w:ind w:firstLine="360"/>
        <w:rPr>
          <w:rFonts w:ascii="Times New Roman" w:hAnsi="Times New Roman" w:cs="Times New Roman"/>
          <w:sz w:val="24"/>
        </w:rPr>
      </w:pPr>
      <w:r>
        <w:rPr>
          <w:rFonts w:ascii="Times New Roman" w:hAnsi="Times New Roman" w:cs="Times New Roman"/>
          <w:sz w:val="24"/>
        </w:rPr>
        <w:t xml:space="preserve">In summary, </w:t>
      </w:r>
      <w:r w:rsidR="00AD3E68">
        <w:rPr>
          <w:rFonts w:ascii="Times New Roman" w:hAnsi="Times New Roman" w:cs="Times New Roman"/>
          <w:sz w:val="24"/>
        </w:rPr>
        <w:t>the increasing incidence rate of oropharyngeal cancer in Massachusetts highlights the need for improved HPV vaccination rates, especially among boys</w:t>
      </w:r>
      <w:r w:rsidR="009E5349">
        <w:rPr>
          <w:rFonts w:ascii="Times New Roman" w:hAnsi="Times New Roman" w:cs="Times New Roman"/>
          <w:sz w:val="24"/>
        </w:rPr>
        <w:t xml:space="preserve">. </w:t>
      </w:r>
      <w:r>
        <w:rPr>
          <w:rFonts w:ascii="Times New Roman" w:hAnsi="Times New Roman" w:cs="Times New Roman"/>
          <w:sz w:val="24"/>
        </w:rPr>
        <w:t xml:space="preserve"> Improving HPV vaccination coverage has the pote</w:t>
      </w:r>
      <w:r w:rsidR="00AD3E68">
        <w:rPr>
          <w:rFonts w:ascii="Times New Roman" w:hAnsi="Times New Roman" w:cs="Times New Roman"/>
          <w:sz w:val="24"/>
        </w:rPr>
        <w:t>ntial to prevent an estimated 96</w:t>
      </w:r>
      <w:r>
        <w:rPr>
          <w:rFonts w:ascii="Times New Roman" w:hAnsi="Times New Roman" w:cs="Times New Roman"/>
          <w:sz w:val="24"/>
        </w:rPr>
        <w:t xml:space="preserve">% </w:t>
      </w:r>
      <w:r w:rsidR="00AD3E68">
        <w:rPr>
          <w:rFonts w:ascii="Times New Roman" w:hAnsi="Times New Roman" w:cs="Times New Roman"/>
          <w:sz w:val="24"/>
        </w:rPr>
        <w:t>of all HPV-attributable oropharyngeal</w:t>
      </w:r>
      <w:r>
        <w:rPr>
          <w:rFonts w:ascii="Times New Roman" w:hAnsi="Times New Roman" w:cs="Times New Roman"/>
          <w:sz w:val="24"/>
        </w:rPr>
        <w:t xml:space="preserve"> cancer </w:t>
      </w:r>
      <w:r w:rsidR="00AD3E68">
        <w:rPr>
          <w:rFonts w:ascii="Times New Roman" w:hAnsi="Times New Roman" w:cs="Times New Roman"/>
          <w:sz w:val="24"/>
        </w:rPr>
        <w:t>cases. I</w:t>
      </w:r>
      <w:r>
        <w:rPr>
          <w:rFonts w:ascii="Times New Roman" w:hAnsi="Times New Roman" w:cs="Times New Roman"/>
          <w:sz w:val="24"/>
        </w:rPr>
        <w:t xml:space="preserve">ndividual, community, and statewide </w:t>
      </w:r>
      <w:r>
        <w:rPr>
          <w:rFonts w:ascii="Times New Roman" w:hAnsi="Times New Roman" w:cs="Times New Roman"/>
          <w:sz w:val="24"/>
        </w:rPr>
        <w:t>interventions to p</w:t>
      </w:r>
      <w:r w:rsidR="00AD3E68">
        <w:rPr>
          <w:rFonts w:ascii="Times New Roman" w:hAnsi="Times New Roman" w:cs="Times New Roman"/>
          <w:sz w:val="24"/>
        </w:rPr>
        <w:t xml:space="preserve">romote healthy lifestyles </w:t>
      </w:r>
      <w:r>
        <w:rPr>
          <w:rFonts w:ascii="Times New Roman" w:hAnsi="Times New Roman" w:cs="Times New Roman"/>
          <w:sz w:val="24"/>
        </w:rPr>
        <w:t>are needed</w:t>
      </w:r>
      <w:r w:rsidR="001B63A7">
        <w:rPr>
          <w:rFonts w:ascii="Times New Roman" w:hAnsi="Times New Roman" w:cs="Times New Roman"/>
          <w:sz w:val="24"/>
        </w:rPr>
        <w:t xml:space="preserve"> to reduce the burden of disease</w:t>
      </w:r>
      <w:r>
        <w:rPr>
          <w:rFonts w:ascii="Times New Roman" w:hAnsi="Times New Roman" w:cs="Times New Roman"/>
          <w:sz w:val="24"/>
        </w:rPr>
        <w:t xml:space="preserve">. </w:t>
      </w:r>
    </w:p>
    <w:p w:rsidR="00CD7963" w:rsidRDefault="00CD7963" w:rsidP="00A73B4F">
      <w:pPr>
        <w:spacing w:after="0" w:line="240" w:lineRule="auto"/>
        <w:rPr>
          <w:rFonts w:ascii="Times New Roman" w:hAnsi="Times New Roman" w:cs="Times New Roman"/>
          <w:b/>
          <w:color w:val="1F497D" w:themeColor="text2"/>
          <w:sz w:val="24"/>
        </w:rPr>
      </w:pPr>
    </w:p>
    <w:p w:rsidR="00A73B4F" w:rsidRPr="00A73B4F" w:rsidRDefault="00A73B4F" w:rsidP="00A73B4F">
      <w:pPr>
        <w:spacing w:after="0" w:line="240" w:lineRule="auto"/>
        <w:rPr>
          <w:rFonts w:ascii="Times New Roman" w:hAnsi="Times New Roman" w:cs="Times New Roman"/>
          <w:b/>
          <w:color w:val="1F497D" w:themeColor="text2"/>
          <w:sz w:val="24"/>
        </w:rPr>
      </w:pPr>
      <w:r w:rsidRPr="00A73B4F">
        <w:rPr>
          <w:rFonts w:ascii="Times New Roman" w:hAnsi="Times New Roman" w:cs="Times New Roman"/>
          <w:b/>
          <w:color w:val="1F497D" w:themeColor="text2"/>
          <w:sz w:val="24"/>
        </w:rPr>
        <w:t>DATA SOURCES</w:t>
      </w:r>
    </w:p>
    <w:p w:rsidR="00A73B4F" w:rsidRPr="00A73B4F" w:rsidRDefault="00A73B4F" w:rsidP="00A73B4F">
      <w:pPr>
        <w:spacing w:after="0" w:line="240" w:lineRule="auto"/>
        <w:rPr>
          <w:rFonts w:ascii="Times New Roman" w:hAnsi="Times New Roman" w:cs="Times New Roman"/>
          <w:sz w:val="20"/>
        </w:rPr>
      </w:pPr>
      <w:r w:rsidRPr="00A73B4F">
        <w:rPr>
          <w:rFonts w:ascii="Times New Roman" w:hAnsi="Times New Roman" w:cs="Times New Roman"/>
          <w:b/>
          <w:sz w:val="20"/>
        </w:rPr>
        <w:t>Massachusetts Behavioral Risk Factor Surveillance System (BRFSS):</w:t>
      </w:r>
      <w:r w:rsidRPr="00A73B4F">
        <w:rPr>
          <w:rFonts w:ascii="Times New Roman" w:hAnsi="Times New Roman" w:cs="Times New Roman"/>
          <w:sz w:val="20"/>
        </w:rPr>
        <w:t xml:space="preserve"> </w:t>
      </w:r>
    </w:p>
    <w:p w:rsidR="00A73B4F" w:rsidRPr="00A73B4F" w:rsidRDefault="00A73B4F" w:rsidP="00A73B4F">
      <w:pPr>
        <w:spacing w:after="0" w:line="240" w:lineRule="auto"/>
        <w:ind w:firstLine="360"/>
        <w:rPr>
          <w:rFonts w:ascii="Times New Roman" w:hAnsi="Times New Roman" w:cs="Times New Roman"/>
          <w:sz w:val="20"/>
          <w:vertAlign w:val="superscript"/>
        </w:rPr>
      </w:pPr>
      <w:r w:rsidRPr="00A73B4F">
        <w:rPr>
          <w:rFonts w:ascii="Times New Roman" w:hAnsi="Times New Roman" w:cs="Times New Roman"/>
          <w:sz w:val="20"/>
        </w:rPr>
        <w:t>The Behavioral Risk Factor Surveillance System (BRFSS) is an ongoing random-digit-dial telephone survey of adults age 18 and older in collaboration with the Centers for Disease Control and Prevention (CDC). The survey has been conducted in Massachusetts since 1986 and collects data on a variety of health risk factors, preventive behaviors, and emerging public health issues. Data are collected on HPV vaccination and current smoking. National BRFSS data were also examined.</w:t>
      </w:r>
      <w:r w:rsidR="00577154">
        <w:rPr>
          <w:rFonts w:ascii="Times New Roman" w:hAnsi="Times New Roman" w:cs="Times New Roman"/>
          <w:sz w:val="20"/>
          <w:vertAlign w:val="superscript"/>
        </w:rPr>
        <w:t>5</w:t>
      </w:r>
    </w:p>
    <w:p w:rsidR="00A73B4F" w:rsidRPr="00A73B4F" w:rsidRDefault="00A73B4F" w:rsidP="00A73B4F">
      <w:pPr>
        <w:spacing w:after="0" w:line="240" w:lineRule="auto"/>
        <w:ind w:firstLine="360"/>
        <w:rPr>
          <w:rFonts w:ascii="Times New Roman" w:hAnsi="Times New Roman" w:cs="Times New Roman"/>
          <w:sz w:val="12"/>
          <w:szCs w:val="16"/>
        </w:rPr>
      </w:pPr>
    </w:p>
    <w:p w:rsidR="00A73B4F" w:rsidRPr="00A73B4F" w:rsidRDefault="00A73B4F" w:rsidP="00A73B4F">
      <w:pPr>
        <w:spacing w:after="0" w:line="240" w:lineRule="auto"/>
        <w:rPr>
          <w:rFonts w:ascii="Times New Roman" w:hAnsi="Times New Roman" w:cs="Times New Roman"/>
          <w:b/>
          <w:sz w:val="20"/>
        </w:rPr>
      </w:pPr>
      <w:r w:rsidRPr="00A73B4F">
        <w:rPr>
          <w:rFonts w:ascii="Times New Roman" w:hAnsi="Times New Roman" w:cs="Times New Roman"/>
          <w:b/>
          <w:sz w:val="20"/>
        </w:rPr>
        <w:t>Massachusetts Cancer Registry (MCR):</w:t>
      </w:r>
    </w:p>
    <w:p w:rsidR="00A73B4F" w:rsidRPr="00A73B4F" w:rsidRDefault="00A73B4F" w:rsidP="00A73B4F">
      <w:pPr>
        <w:spacing w:after="0" w:line="240" w:lineRule="auto"/>
        <w:ind w:firstLine="360"/>
        <w:rPr>
          <w:rFonts w:ascii="Times New Roman" w:hAnsi="Times New Roman" w:cs="Times New Roman"/>
          <w:sz w:val="20"/>
        </w:rPr>
      </w:pPr>
      <w:r w:rsidRPr="00A73B4F">
        <w:rPr>
          <w:rFonts w:ascii="Times New Roman" w:hAnsi="Times New Roman" w:cs="Times New Roman"/>
          <w:sz w:val="20"/>
        </w:rPr>
        <w:t xml:space="preserve">Data on the incidence of oropharyngeal cancers are provided by the Massachusetts Cancer Registry (MCR), which is part of the Massachusetts Department of Public Health (MDPH). The MCR is a population-based registry that has been collecting reports of newly diagnosed cancer cases since 1982. The North American Association of Central Cancer Registries (NAACCR) has estimated that the MCR case ascertainment is more than 95% complete. The cancer cases in this report are primary invasive cancers diagnosed among Massachusetts residents. </w:t>
      </w:r>
      <w:r w:rsidR="002022F0">
        <w:rPr>
          <w:rFonts w:ascii="Times New Roman" w:hAnsi="Times New Roman" w:cs="Times New Roman"/>
          <w:sz w:val="20"/>
        </w:rPr>
        <w:t>Incident cases were used from 2004-2014.</w:t>
      </w:r>
    </w:p>
    <w:p w:rsidR="00A73B4F" w:rsidRPr="00A73B4F" w:rsidRDefault="00A73B4F" w:rsidP="00A73B4F">
      <w:pPr>
        <w:spacing w:after="0" w:line="240" w:lineRule="auto"/>
        <w:rPr>
          <w:rFonts w:ascii="Times New Roman" w:hAnsi="Times New Roman" w:cs="Times New Roman"/>
          <w:sz w:val="12"/>
          <w:szCs w:val="16"/>
        </w:rPr>
      </w:pPr>
    </w:p>
    <w:p w:rsidR="00A73B4F" w:rsidRPr="00A73B4F" w:rsidRDefault="00A73B4F" w:rsidP="00A73B4F">
      <w:pPr>
        <w:spacing w:after="0" w:line="240" w:lineRule="auto"/>
        <w:rPr>
          <w:rFonts w:ascii="Times New Roman" w:hAnsi="Times New Roman" w:cs="Times New Roman"/>
          <w:sz w:val="20"/>
        </w:rPr>
      </w:pPr>
      <w:r w:rsidRPr="00A73B4F">
        <w:rPr>
          <w:rFonts w:ascii="Times New Roman" w:hAnsi="Times New Roman" w:cs="Times New Roman"/>
          <w:b/>
          <w:sz w:val="20"/>
        </w:rPr>
        <w:t>Massachusetts Registry of Vital Records and Statistics (MRVRS):</w:t>
      </w:r>
      <w:r w:rsidRPr="00A73B4F">
        <w:rPr>
          <w:rFonts w:ascii="Times New Roman" w:hAnsi="Times New Roman" w:cs="Times New Roman"/>
          <w:sz w:val="20"/>
        </w:rPr>
        <w:t xml:space="preserve"> </w:t>
      </w:r>
    </w:p>
    <w:p w:rsidR="00A73B4F" w:rsidRPr="00A73B4F" w:rsidRDefault="00A73B4F" w:rsidP="00A73B4F">
      <w:pPr>
        <w:spacing w:after="0" w:line="240" w:lineRule="auto"/>
        <w:ind w:firstLine="360"/>
        <w:rPr>
          <w:rFonts w:ascii="Times New Roman" w:hAnsi="Times New Roman" w:cs="Times New Roman"/>
          <w:sz w:val="20"/>
        </w:rPr>
      </w:pPr>
      <w:r w:rsidRPr="00A73B4F">
        <w:rPr>
          <w:rFonts w:ascii="Times New Roman" w:hAnsi="Times New Roman" w:cs="Times New Roman"/>
          <w:sz w:val="20"/>
        </w:rPr>
        <w:t xml:space="preserve">The oropharyngeal cancer death data are provided by the MDPH’s Massachusetts Registry of Vital Records and Statistics (MRVRS). The MRVRS has legal responsibility for collecting reports of death on Massachusetts residents. </w:t>
      </w:r>
      <w:r w:rsidR="002022F0">
        <w:rPr>
          <w:rFonts w:ascii="Times New Roman" w:hAnsi="Times New Roman" w:cs="Times New Roman"/>
          <w:sz w:val="20"/>
        </w:rPr>
        <w:t>We looked at cancer deaths from 2008-2014 to account for the long survival period of oropharyngeal cancer.</w:t>
      </w:r>
    </w:p>
    <w:p w:rsidR="00A73B4F" w:rsidRPr="00A73B4F" w:rsidRDefault="00A73B4F" w:rsidP="00A73B4F">
      <w:pPr>
        <w:spacing w:after="0" w:line="240" w:lineRule="auto"/>
        <w:rPr>
          <w:rFonts w:ascii="Times New Roman" w:hAnsi="Times New Roman" w:cs="Times New Roman"/>
          <w:sz w:val="12"/>
          <w:szCs w:val="16"/>
        </w:rPr>
      </w:pPr>
    </w:p>
    <w:p w:rsidR="00A73B4F" w:rsidRPr="00A73B4F" w:rsidRDefault="00A73B4F" w:rsidP="00A73B4F">
      <w:pPr>
        <w:spacing w:after="0" w:line="240" w:lineRule="auto"/>
        <w:rPr>
          <w:rFonts w:ascii="Times New Roman" w:hAnsi="Times New Roman" w:cs="Times New Roman"/>
          <w:b/>
          <w:sz w:val="20"/>
        </w:rPr>
      </w:pPr>
      <w:r w:rsidRPr="00A73B4F">
        <w:rPr>
          <w:rFonts w:ascii="Times New Roman" w:hAnsi="Times New Roman" w:cs="Times New Roman"/>
          <w:b/>
          <w:sz w:val="20"/>
        </w:rPr>
        <w:t xml:space="preserve">National Center for Health Statistics (NCHS): </w:t>
      </w:r>
    </w:p>
    <w:p w:rsidR="00A73B4F" w:rsidRPr="00A73B4F" w:rsidRDefault="00A73B4F" w:rsidP="00A73B4F">
      <w:pPr>
        <w:spacing w:after="0" w:line="240" w:lineRule="auto"/>
        <w:ind w:firstLine="360"/>
        <w:rPr>
          <w:rFonts w:ascii="Times New Roman" w:hAnsi="Times New Roman" w:cs="Times New Roman"/>
          <w:sz w:val="20"/>
        </w:rPr>
      </w:pPr>
      <w:r w:rsidRPr="00A73B4F">
        <w:rPr>
          <w:rFonts w:ascii="Times New Roman" w:hAnsi="Times New Roman" w:cs="Times New Roman"/>
          <w:sz w:val="20"/>
        </w:rPr>
        <w:t>The population estimates used for rate calculations and data on the 2000 US population are provided by the National Center for Health Statistics (NCHS). The NCHS produces population estimates in collaboration with the U.S. Census Bureau’s Population Estimation Program.</w:t>
      </w:r>
    </w:p>
    <w:p w:rsidR="00A73B4F" w:rsidRPr="00A73B4F" w:rsidRDefault="00A73B4F" w:rsidP="00A73B4F">
      <w:pPr>
        <w:spacing w:after="0" w:line="240" w:lineRule="auto"/>
        <w:rPr>
          <w:rFonts w:ascii="Times New Roman" w:hAnsi="Times New Roman" w:cs="Times New Roman"/>
          <w:b/>
          <w:sz w:val="12"/>
          <w:szCs w:val="16"/>
        </w:rPr>
      </w:pPr>
    </w:p>
    <w:p w:rsidR="00A73B4F" w:rsidRPr="00A73B4F" w:rsidRDefault="00A73B4F" w:rsidP="00A73B4F">
      <w:pPr>
        <w:spacing w:after="0" w:line="240" w:lineRule="auto"/>
        <w:rPr>
          <w:rFonts w:ascii="Times New Roman" w:hAnsi="Times New Roman" w:cs="Times New Roman"/>
          <w:b/>
          <w:sz w:val="20"/>
        </w:rPr>
      </w:pPr>
      <w:r w:rsidRPr="00A73B4F">
        <w:rPr>
          <w:rFonts w:ascii="Times New Roman" w:hAnsi="Times New Roman" w:cs="Times New Roman"/>
          <w:b/>
          <w:sz w:val="20"/>
        </w:rPr>
        <w:t xml:space="preserve">National Institute on Alcohol Abuse and Alcoholism (NIAAA): </w:t>
      </w:r>
    </w:p>
    <w:p w:rsidR="00A73B4F" w:rsidRPr="00DD0335" w:rsidRDefault="00A73B4F" w:rsidP="00A73B4F">
      <w:pPr>
        <w:spacing w:after="0" w:line="240" w:lineRule="auto"/>
        <w:ind w:firstLine="360"/>
        <w:rPr>
          <w:rFonts w:ascii="Times New Roman" w:hAnsi="Times New Roman" w:cs="Times New Roman"/>
          <w:sz w:val="24"/>
          <w:vertAlign w:val="superscript"/>
        </w:rPr>
      </w:pPr>
      <w:r w:rsidRPr="00A73B4F">
        <w:rPr>
          <w:rFonts w:ascii="Times New Roman" w:hAnsi="Times New Roman" w:cs="Times New Roman"/>
          <w:sz w:val="20"/>
        </w:rPr>
        <w:t xml:space="preserve">The National Institute on Alcohol Abuse and Alcoholism (NIAAA) is part of the National Institutes of Health (NIH) and collects information on alcohol use in the United States. Data on per capita ethanol consumption </w:t>
      </w:r>
      <w:r w:rsidRPr="00A73B4F">
        <w:rPr>
          <w:rFonts w:ascii="Times New Roman" w:hAnsi="Times New Roman" w:cs="Times New Roman"/>
          <w:sz w:val="20"/>
          <w:szCs w:val="20"/>
        </w:rPr>
        <w:t>from 1997-2010 were obtained from the NIAAA.</w:t>
      </w:r>
      <w:r w:rsidR="00577154">
        <w:rPr>
          <w:rFonts w:ascii="Times New Roman" w:hAnsi="Times New Roman" w:cs="Times New Roman"/>
          <w:sz w:val="20"/>
          <w:szCs w:val="20"/>
          <w:vertAlign w:val="superscript"/>
        </w:rPr>
        <w:t>6</w:t>
      </w:r>
    </w:p>
    <w:p w:rsidR="00A73B4F" w:rsidRPr="00A73B4F" w:rsidRDefault="00A73B4F" w:rsidP="00A30879">
      <w:pPr>
        <w:spacing w:after="0" w:line="240" w:lineRule="auto"/>
        <w:rPr>
          <w:rFonts w:ascii="Times New Roman" w:hAnsi="Times New Roman" w:cs="Times New Roman"/>
          <w:b/>
          <w:color w:val="1F497D" w:themeColor="text2"/>
        </w:rPr>
      </w:pPr>
    </w:p>
    <w:p w:rsidR="001B63A7" w:rsidRDefault="00B6199B" w:rsidP="00A30879">
      <w:pPr>
        <w:spacing w:after="0" w:line="240" w:lineRule="auto"/>
        <w:rPr>
          <w:rFonts w:ascii="Times New Roman" w:hAnsi="Times New Roman" w:cs="Times New Roman"/>
          <w:b/>
          <w:color w:val="1F497D" w:themeColor="text2"/>
          <w:sz w:val="24"/>
        </w:rPr>
      </w:pPr>
      <w:r>
        <w:rPr>
          <w:rFonts w:ascii="Times New Roman" w:hAnsi="Times New Roman" w:cs="Times New Roman"/>
          <w:b/>
          <w:color w:val="1F497D" w:themeColor="text2"/>
          <w:sz w:val="24"/>
        </w:rPr>
        <w:t>TECHNICAL NOTES AND DEFINITIONS</w:t>
      </w:r>
    </w:p>
    <w:p w:rsidR="001B63A7" w:rsidRPr="007F7BA9" w:rsidRDefault="001B63A7" w:rsidP="001B63A7">
      <w:pPr>
        <w:spacing w:after="0" w:line="240" w:lineRule="auto"/>
        <w:rPr>
          <w:rFonts w:ascii="Times New Roman" w:hAnsi="Times New Roman" w:cs="Times New Roman"/>
          <w:b/>
          <w:sz w:val="20"/>
        </w:rPr>
      </w:pPr>
      <w:r w:rsidRPr="007F7BA9">
        <w:rPr>
          <w:rFonts w:ascii="Times New Roman" w:hAnsi="Times New Roman" w:cs="Times New Roman"/>
          <w:b/>
          <w:sz w:val="20"/>
        </w:rPr>
        <w:t xml:space="preserve">Age-Adjusted Rates: </w:t>
      </w:r>
      <w:r w:rsidRPr="007F7BA9">
        <w:rPr>
          <w:rFonts w:ascii="Times New Roman" w:hAnsi="Times New Roman" w:cs="Times New Roman"/>
          <w:sz w:val="20"/>
        </w:rPr>
        <w:t xml:space="preserve">Rates were age-adjusted using </w:t>
      </w:r>
      <w:r w:rsidR="0073202D">
        <w:rPr>
          <w:rFonts w:ascii="Times New Roman" w:hAnsi="Times New Roman" w:cs="Times New Roman"/>
          <w:sz w:val="20"/>
        </w:rPr>
        <w:t xml:space="preserve">the direct method of </w:t>
      </w:r>
      <w:r w:rsidRPr="007F7BA9">
        <w:rPr>
          <w:rFonts w:ascii="Times New Roman" w:hAnsi="Times New Roman" w:cs="Times New Roman"/>
          <w:sz w:val="20"/>
        </w:rPr>
        <w:t>standardizatio</w:t>
      </w:r>
      <w:r w:rsidR="008A36A6">
        <w:rPr>
          <w:rFonts w:ascii="Times New Roman" w:hAnsi="Times New Roman" w:cs="Times New Roman"/>
          <w:sz w:val="20"/>
        </w:rPr>
        <w:t>n. The weights were</w:t>
      </w:r>
      <w:r w:rsidRPr="007F7BA9">
        <w:rPr>
          <w:rFonts w:ascii="Times New Roman" w:hAnsi="Times New Roman" w:cs="Times New Roman"/>
          <w:sz w:val="20"/>
        </w:rPr>
        <w:t xml:space="preserve"> the proportions of person-time in th</w:t>
      </w:r>
      <w:r w:rsidR="0073202D">
        <w:rPr>
          <w:rFonts w:ascii="Times New Roman" w:hAnsi="Times New Roman" w:cs="Times New Roman"/>
          <w:sz w:val="20"/>
        </w:rPr>
        <w:t>e corresponding age groups of the 200</w:t>
      </w:r>
      <w:r w:rsidR="008A36A6">
        <w:rPr>
          <w:rFonts w:ascii="Times New Roman" w:hAnsi="Times New Roman" w:cs="Times New Roman"/>
          <w:sz w:val="20"/>
        </w:rPr>
        <w:t xml:space="preserve">0 U.S. Census bureau </w:t>
      </w:r>
      <w:r w:rsidR="003B4F4F">
        <w:rPr>
          <w:rFonts w:ascii="Times New Roman" w:hAnsi="Times New Roman" w:cs="Times New Roman"/>
          <w:sz w:val="20"/>
        </w:rPr>
        <w:t>population per</w:t>
      </w:r>
      <w:r w:rsidR="008A36A6">
        <w:rPr>
          <w:rFonts w:ascii="Times New Roman" w:hAnsi="Times New Roman" w:cs="Times New Roman"/>
          <w:sz w:val="20"/>
        </w:rPr>
        <w:t xml:space="preserve"> 100,000</w:t>
      </w:r>
      <w:r w:rsidRPr="007F7BA9">
        <w:rPr>
          <w:rFonts w:ascii="Times New Roman" w:hAnsi="Times New Roman" w:cs="Times New Roman"/>
          <w:sz w:val="20"/>
        </w:rPr>
        <w:t>. Rates were adjusted using eighteen 5-year age groups. Incidence rates were calculated from 2004-2014. Mortality rates were calculated</w:t>
      </w:r>
      <w:r w:rsidR="00542F70">
        <w:rPr>
          <w:rFonts w:ascii="Times New Roman" w:hAnsi="Times New Roman" w:cs="Times New Roman"/>
          <w:sz w:val="20"/>
        </w:rPr>
        <w:t xml:space="preserve"> from 2008-2014 to allow for survival time</w:t>
      </w:r>
      <w:r w:rsidRPr="007F7BA9">
        <w:rPr>
          <w:rFonts w:ascii="Times New Roman" w:hAnsi="Times New Roman" w:cs="Times New Roman"/>
          <w:sz w:val="20"/>
        </w:rPr>
        <w:t xml:space="preserve">.  </w:t>
      </w:r>
    </w:p>
    <w:p w:rsidR="008266B7" w:rsidRDefault="001B63A7" w:rsidP="008266B7">
      <w:pPr>
        <w:spacing w:after="0" w:line="240" w:lineRule="auto"/>
        <w:rPr>
          <w:rFonts w:ascii="Times New Roman" w:hAnsi="Times New Roman" w:cs="Times New Roman"/>
          <w:sz w:val="20"/>
        </w:rPr>
      </w:pPr>
      <w:r w:rsidRPr="007F7BA9">
        <w:rPr>
          <w:rFonts w:ascii="Times New Roman" w:hAnsi="Times New Roman" w:cs="Times New Roman"/>
          <w:b/>
          <w:sz w:val="20"/>
        </w:rPr>
        <w:lastRenderedPageBreak/>
        <w:t xml:space="preserve">HPV-Associated Cancer Estimates: </w:t>
      </w:r>
      <w:r w:rsidR="008266B7">
        <w:rPr>
          <w:rFonts w:ascii="Times New Roman" w:hAnsi="Times New Roman" w:cs="Times New Roman"/>
          <w:sz w:val="20"/>
        </w:rPr>
        <w:t>Inclusion of selected cancers was based on CDC-defined codes.</w:t>
      </w:r>
      <w:r w:rsidR="00577154">
        <w:rPr>
          <w:rFonts w:ascii="Times New Roman" w:hAnsi="Times New Roman" w:cs="Times New Roman"/>
          <w:sz w:val="20"/>
          <w:vertAlign w:val="superscript"/>
        </w:rPr>
        <w:t>1</w:t>
      </w:r>
      <w:r w:rsidR="008266B7">
        <w:rPr>
          <w:rFonts w:ascii="Times New Roman" w:hAnsi="Times New Roman" w:cs="Times New Roman"/>
          <w:sz w:val="20"/>
        </w:rPr>
        <w:t xml:space="preserve"> Since not all HPV-associated</w:t>
      </w:r>
      <w:r w:rsidR="008266B7" w:rsidRPr="007F7BA9">
        <w:rPr>
          <w:rFonts w:ascii="Times New Roman" w:hAnsi="Times New Roman" w:cs="Times New Roman"/>
          <w:sz w:val="20"/>
        </w:rPr>
        <w:t xml:space="preserve"> cancers are caused by HPV, we used the</w:t>
      </w:r>
      <w:r w:rsidR="008266B7">
        <w:rPr>
          <w:rFonts w:ascii="Times New Roman" w:hAnsi="Times New Roman" w:cs="Times New Roman"/>
          <w:sz w:val="20"/>
        </w:rPr>
        <w:t xml:space="preserve"> CDC</w:t>
      </w:r>
      <w:r w:rsidR="008266B7" w:rsidRPr="007F7BA9">
        <w:rPr>
          <w:rFonts w:ascii="Times New Roman" w:hAnsi="Times New Roman" w:cs="Times New Roman"/>
          <w:sz w:val="20"/>
        </w:rPr>
        <w:t xml:space="preserve"> methodology on HPV-associated cancers to </w:t>
      </w:r>
      <w:r w:rsidR="008266B7">
        <w:rPr>
          <w:rFonts w:ascii="Times New Roman" w:hAnsi="Times New Roman" w:cs="Times New Roman"/>
          <w:sz w:val="20"/>
        </w:rPr>
        <w:t>estimate</w:t>
      </w:r>
      <w:r w:rsidR="008266B7" w:rsidRPr="007F7BA9">
        <w:rPr>
          <w:rFonts w:ascii="Times New Roman" w:hAnsi="Times New Roman" w:cs="Times New Roman"/>
          <w:sz w:val="20"/>
        </w:rPr>
        <w:t xml:space="preserve"> the number of cancers attributable to HPV </w:t>
      </w:r>
      <w:r w:rsidR="008266B7">
        <w:rPr>
          <w:rFonts w:ascii="Times New Roman" w:hAnsi="Times New Roman" w:cs="Times New Roman"/>
          <w:sz w:val="20"/>
        </w:rPr>
        <w:t>applying</w:t>
      </w:r>
      <w:r w:rsidR="008266B7" w:rsidRPr="007F7BA9">
        <w:rPr>
          <w:rFonts w:ascii="Times New Roman" w:hAnsi="Times New Roman" w:cs="Times New Roman"/>
          <w:sz w:val="20"/>
        </w:rPr>
        <w:t xml:space="preserve"> estimated percentages from genotyping studies.</w:t>
      </w:r>
      <w:r w:rsidR="00577154">
        <w:rPr>
          <w:rFonts w:ascii="Times New Roman" w:hAnsi="Times New Roman" w:cs="Times New Roman"/>
          <w:sz w:val="20"/>
          <w:vertAlign w:val="superscript"/>
        </w:rPr>
        <w:t>1,2</w:t>
      </w:r>
      <w:r w:rsidR="008266B7" w:rsidRPr="007F7BA9">
        <w:rPr>
          <w:rFonts w:ascii="Times New Roman" w:hAnsi="Times New Roman" w:cs="Times New Roman"/>
          <w:sz w:val="20"/>
        </w:rPr>
        <w:t xml:space="preserve"> </w:t>
      </w:r>
    </w:p>
    <w:p w:rsidR="00CE469C" w:rsidRPr="007F7BA9" w:rsidRDefault="00CE469C" w:rsidP="008266B7">
      <w:pPr>
        <w:spacing w:after="0" w:line="240" w:lineRule="auto"/>
        <w:rPr>
          <w:rFonts w:ascii="Times New Roman" w:hAnsi="Times New Roman" w:cs="Times New Roman"/>
          <w:b/>
          <w:sz w:val="20"/>
        </w:rPr>
      </w:pPr>
    </w:p>
    <w:p w:rsidR="001B63A7" w:rsidRPr="007F7BA9" w:rsidRDefault="001B63A7" w:rsidP="001B63A7">
      <w:pPr>
        <w:spacing w:after="0" w:line="240" w:lineRule="auto"/>
        <w:rPr>
          <w:rFonts w:ascii="Times New Roman" w:hAnsi="Times New Roman" w:cs="Times New Roman"/>
          <w:sz w:val="20"/>
        </w:rPr>
      </w:pPr>
      <w:r w:rsidRPr="007F7BA9">
        <w:rPr>
          <w:rFonts w:ascii="Times New Roman" w:hAnsi="Times New Roman" w:cs="Times New Roman"/>
          <w:b/>
          <w:sz w:val="20"/>
        </w:rPr>
        <w:t xml:space="preserve">Incidence: </w:t>
      </w:r>
      <w:r w:rsidRPr="007F7BA9">
        <w:rPr>
          <w:rFonts w:ascii="Times New Roman" w:hAnsi="Times New Roman" w:cs="Times New Roman"/>
          <w:sz w:val="20"/>
        </w:rPr>
        <w:t xml:space="preserve">The incident cases of </w:t>
      </w:r>
      <w:r w:rsidR="00AD3E68">
        <w:rPr>
          <w:rFonts w:ascii="Times New Roman" w:hAnsi="Times New Roman" w:cs="Times New Roman"/>
          <w:sz w:val="20"/>
        </w:rPr>
        <w:t xml:space="preserve">oropharyngeal </w:t>
      </w:r>
      <w:r w:rsidRPr="007F7BA9">
        <w:rPr>
          <w:rFonts w:ascii="Times New Roman" w:hAnsi="Times New Roman" w:cs="Times New Roman"/>
          <w:sz w:val="20"/>
        </w:rPr>
        <w:t xml:space="preserve">cancer are the number of people who are newly diagnosed with the disease during a specific time period. The incidence data for </w:t>
      </w:r>
      <w:r w:rsidR="00DD0335">
        <w:rPr>
          <w:rFonts w:ascii="Times New Roman" w:hAnsi="Times New Roman" w:cs="Times New Roman"/>
          <w:sz w:val="20"/>
        </w:rPr>
        <w:t>oropharyngeal</w:t>
      </w:r>
      <w:r w:rsidRPr="007F7BA9">
        <w:rPr>
          <w:rFonts w:ascii="Times New Roman" w:hAnsi="Times New Roman" w:cs="Times New Roman"/>
          <w:sz w:val="20"/>
        </w:rPr>
        <w:t xml:space="preserve"> cancer were collected for cancers with the International Classification of Disease f</w:t>
      </w:r>
      <w:r w:rsidR="00AD3E68">
        <w:rPr>
          <w:rFonts w:ascii="Times New Roman" w:hAnsi="Times New Roman" w:cs="Times New Roman"/>
          <w:sz w:val="20"/>
        </w:rPr>
        <w:t>or Oncology (ICD-O) codes: C01.9</w:t>
      </w:r>
      <w:r w:rsidRPr="007F7BA9">
        <w:rPr>
          <w:rFonts w:ascii="Times New Roman" w:hAnsi="Times New Roman" w:cs="Times New Roman"/>
          <w:sz w:val="20"/>
        </w:rPr>
        <w:t xml:space="preserve">, </w:t>
      </w:r>
      <w:r w:rsidR="00AD3E68">
        <w:rPr>
          <w:rFonts w:ascii="Times New Roman" w:hAnsi="Times New Roman" w:cs="Times New Roman"/>
          <w:sz w:val="20"/>
        </w:rPr>
        <w:t>C02.4, C02.8, C05.1-5.2, C09.0-10.9, and C14.0-14.2.</w:t>
      </w:r>
      <w:r w:rsidRPr="007F7BA9">
        <w:rPr>
          <w:rFonts w:ascii="Times New Roman" w:hAnsi="Times New Roman" w:cs="Times New Roman"/>
          <w:sz w:val="20"/>
        </w:rPr>
        <w:t xml:space="preserve"> </w:t>
      </w:r>
    </w:p>
    <w:p w:rsidR="001B63A7" w:rsidRPr="00F56380" w:rsidRDefault="001B63A7" w:rsidP="001B63A7">
      <w:pPr>
        <w:spacing w:after="0" w:line="240" w:lineRule="auto"/>
        <w:rPr>
          <w:rFonts w:ascii="Times New Roman" w:hAnsi="Times New Roman" w:cs="Times New Roman"/>
          <w:sz w:val="16"/>
        </w:rPr>
      </w:pPr>
    </w:p>
    <w:p w:rsidR="001B63A7" w:rsidRPr="007F7BA9" w:rsidRDefault="001B63A7" w:rsidP="001B63A7">
      <w:pPr>
        <w:spacing w:after="0" w:line="240" w:lineRule="auto"/>
        <w:rPr>
          <w:rFonts w:ascii="Times New Roman" w:hAnsi="Times New Roman" w:cs="Times New Roman"/>
          <w:sz w:val="20"/>
        </w:rPr>
      </w:pPr>
      <w:proofErr w:type="spellStart"/>
      <w:r w:rsidRPr="007F7BA9">
        <w:rPr>
          <w:rFonts w:ascii="Times New Roman" w:hAnsi="Times New Roman" w:cs="Times New Roman"/>
          <w:b/>
          <w:sz w:val="20"/>
        </w:rPr>
        <w:t>Joinpoint</w:t>
      </w:r>
      <w:proofErr w:type="spellEnd"/>
      <w:r w:rsidRPr="007F7BA9">
        <w:rPr>
          <w:rFonts w:ascii="Times New Roman" w:hAnsi="Times New Roman" w:cs="Times New Roman"/>
          <w:b/>
          <w:sz w:val="20"/>
        </w:rPr>
        <w:t xml:space="preserve"> Regression Analysis of Cancer Trends: </w:t>
      </w:r>
      <w:r w:rsidRPr="007F7BA9">
        <w:rPr>
          <w:rFonts w:ascii="Times New Roman" w:hAnsi="Times New Roman" w:cs="Times New Roman"/>
          <w:sz w:val="20"/>
        </w:rPr>
        <w:t>The annual percent change (APC) is a linear approximation of trends over time. The APC=100*(e</w:t>
      </w:r>
      <w:r w:rsidRPr="007F7BA9">
        <w:rPr>
          <w:rFonts w:ascii="Times New Roman" w:hAnsi="Times New Roman" w:cs="Times New Roman"/>
          <w:sz w:val="20"/>
          <w:vertAlign w:val="superscript"/>
        </w:rPr>
        <w:t>m</w:t>
      </w:r>
      <w:r w:rsidRPr="007F7BA9">
        <w:rPr>
          <w:rFonts w:ascii="Times New Roman" w:hAnsi="Times New Roman" w:cs="Times New Roman"/>
          <w:sz w:val="20"/>
        </w:rPr>
        <w:t>-1), where m is a slope of the linear regression line, which is an approximation of the function of the natural logarithm of the rates by the year of diagnosis. SEER provides software to calculate t</w:t>
      </w:r>
      <w:r w:rsidR="00542F70">
        <w:rPr>
          <w:rFonts w:ascii="Times New Roman" w:hAnsi="Times New Roman" w:cs="Times New Roman"/>
          <w:sz w:val="20"/>
        </w:rPr>
        <w:t>he number and location</w:t>
      </w:r>
      <w:r w:rsidRPr="007F7BA9">
        <w:rPr>
          <w:rFonts w:ascii="Times New Roman" w:hAnsi="Times New Roman" w:cs="Times New Roman"/>
          <w:sz w:val="20"/>
        </w:rPr>
        <w:t xml:space="preserve"> of points where trends change direction (</w:t>
      </w:r>
      <w:proofErr w:type="spellStart"/>
      <w:r w:rsidRPr="007F7BA9">
        <w:rPr>
          <w:rFonts w:ascii="Times New Roman" w:hAnsi="Times New Roman" w:cs="Times New Roman"/>
          <w:sz w:val="20"/>
        </w:rPr>
        <w:t>joinpoints</w:t>
      </w:r>
      <w:proofErr w:type="spellEnd"/>
      <w:r w:rsidRPr="007F7BA9">
        <w:rPr>
          <w:rFonts w:ascii="Times New Roman" w:hAnsi="Times New Roman" w:cs="Times New Roman"/>
          <w:sz w:val="20"/>
        </w:rPr>
        <w:t>).</w:t>
      </w:r>
      <w:r w:rsidR="00640133">
        <w:rPr>
          <w:rFonts w:ascii="Times New Roman" w:hAnsi="Times New Roman" w:cs="Times New Roman"/>
          <w:sz w:val="20"/>
          <w:vertAlign w:val="superscript"/>
        </w:rPr>
        <w:t>9</w:t>
      </w:r>
      <w:r w:rsidRPr="007F7BA9">
        <w:rPr>
          <w:rFonts w:ascii="Times New Roman" w:hAnsi="Times New Roman" w:cs="Times New Roman"/>
          <w:sz w:val="20"/>
        </w:rPr>
        <w:t xml:space="preserve"> </w:t>
      </w:r>
    </w:p>
    <w:p w:rsidR="001B63A7" w:rsidRPr="00F56380" w:rsidRDefault="001B63A7" w:rsidP="001B63A7">
      <w:pPr>
        <w:spacing w:after="0" w:line="240" w:lineRule="auto"/>
        <w:rPr>
          <w:rFonts w:ascii="Times New Roman" w:hAnsi="Times New Roman" w:cs="Times New Roman"/>
          <w:sz w:val="16"/>
        </w:rPr>
      </w:pPr>
    </w:p>
    <w:p w:rsidR="001B63A7" w:rsidRPr="007F7BA9" w:rsidRDefault="001B63A7" w:rsidP="00A30879">
      <w:pPr>
        <w:spacing w:after="0" w:line="240" w:lineRule="auto"/>
        <w:rPr>
          <w:rFonts w:ascii="Times New Roman" w:hAnsi="Times New Roman" w:cs="Times New Roman"/>
          <w:sz w:val="20"/>
        </w:rPr>
      </w:pPr>
      <w:r w:rsidRPr="007F7BA9">
        <w:rPr>
          <w:rFonts w:ascii="Times New Roman" w:hAnsi="Times New Roman" w:cs="Times New Roman"/>
          <w:b/>
          <w:sz w:val="20"/>
        </w:rPr>
        <w:t xml:space="preserve">Mortality: </w:t>
      </w:r>
      <w:r w:rsidRPr="007F7BA9">
        <w:rPr>
          <w:rFonts w:ascii="Times New Roman" w:hAnsi="Times New Roman" w:cs="Times New Roman"/>
          <w:sz w:val="20"/>
        </w:rPr>
        <w:t xml:space="preserve">The number of deaths was the number of people who died due to </w:t>
      </w:r>
      <w:r w:rsidR="00DD0335">
        <w:rPr>
          <w:rFonts w:ascii="Times New Roman" w:hAnsi="Times New Roman" w:cs="Times New Roman"/>
          <w:sz w:val="20"/>
        </w:rPr>
        <w:t>oropharyngeal</w:t>
      </w:r>
      <w:r w:rsidRPr="007F7BA9">
        <w:rPr>
          <w:rFonts w:ascii="Times New Roman" w:hAnsi="Times New Roman" w:cs="Times New Roman"/>
          <w:sz w:val="20"/>
        </w:rPr>
        <w:t xml:space="preserve"> cancer during a specific time period. The mortality data were collected for deaths with International Classification of Diseases ten</w:t>
      </w:r>
      <w:r w:rsidR="00AD3E68">
        <w:rPr>
          <w:rFonts w:ascii="Times New Roman" w:hAnsi="Times New Roman" w:cs="Times New Roman"/>
          <w:sz w:val="20"/>
        </w:rPr>
        <w:t>th edition (ICD-10) codes: C01, C02.4-2.9, C05.1-5.2</w:t>
      </w:r>
      <w:r w:rsidRPr="007F7BA9">
        <w:rPr>
          <w:rFonts w:ascii="Times New Roman" w:hAnsi="Times New Roman" w:cs="Times New Roman"/>
          <w:sz w:val="20"/>
        </w:rPr>
        <w:t>,</w:t>
      </w:r>
      <w:r w:rsidR="00AD3E68">
        <w:rPr>
          <w:rFonts w:ascii="Times New Roman" w:hAnsi="Times New Roman" w:cs="Times New Roman"/>
          <w:sz w:val="20"/>
        </w:rPr>
        <w:t xml:space="preserve"> C09.0-10.9, and C14.0-14.2</w:t>
      </w:r>
      <w:r w:rsidRPr="007F7BA9">
        <w:rPr>
          <w:rFonts w:ascii="Times New Roman" w:hAnsi="Times New Roman" w:cs="Times New Roman"/>
          <w:sz w:val="20"/>
        </w:rPr>
        <w:t xml:space="preserve">. </w:t>
      </w:r>
    </w:p>
    <w:p w:rsidR="001B63A7" w:rsidRDefault="001B63A7" w:rsidP="00A30879">
      <w:pPr>
        <w:spacing w:after="0" w:line="240" w:lineRule="auto"/>
        <w:rPr>
          <w:rFonts w:ascii="Times New Roman" w:hAnsi="Times New Roman" w:cs="Times New Roman"/>
          <w:sz w:val="16"/>
        </w:rPr>
      </w:pPr>
    </w:p>
    <w:p w:rsidR="00CD7963" w:rsidRDefault="00CD7963" w:rsidP="00CD7963">
      <w:pPr>
        <w:spacing w:after="0" w:line="240" w:lineRule="auto"/>
        <w:rPr>
          <w:rFonts w:ascii="Times New Roman" w:hAnsi="Times New Roman" w:cs="Times New Roman"/>
          <w:sz w:val="20"/>
        </w:rPr>
      </w:pPr>
      <w:r w:rsidRPr="003B38BF">
        <w:rPr>
          <w:rFonts w:ascii="Times New Roman" w:hAnsi="Times New Roman" w:cs="Times New Roman"/>
          <w:b/>
          <w:sz w:val="20"/>
        </w:rPr>
        <w:t>Statistically Significant</w:t>
      </w:r>
      <w:r>
        <w:rPr>
          <w:rFonts w:ascii="Times New Roman" w:hAnsi="Times New Roman" w:cs="Times New Roman"/>
          <w:sz w:val="20"/>
        </w:rPr>
        <w:t xml:space="preserve">: Results were considered to be statistically significant when the p value &lt; 0.05 for all analyses. </w:t>
      </w:r>
    </w:p>
    <w:p w:rsidR="0073202D" w:rsidRPr="00DB3373" w:rsidRDefault="0073202D" w:rsidP="00A30879">
      <w:pPr>
        <w:spacing w:after="0" w:line="240" w:lineRule="auto"/>
        <w:rPr>
          <w:rFonts w:ascii="Times New Roman" w:hAnsi="Times New Roman" w:cs="Times New Roman"/>
          <w:sz w:val="16"/>
        </w:rPr>
      </w:pPr>
    </w:p>
    <w:p w:rsidR="001B63A7" w:rsidRDefault="001B63A7" w:rsidP="001B63A7">
      <w:pPr>
        <w:spacing w:after="0" w:line="240" w:lineRule="auto"/>
        <w:rPr>
          <w:rFonts w:ascii="Times New Roman" w:hAnsi="Times New Roman" w:cs="Times New Roman"/>
          <w:b/>
          <w:color w:val="1F497D" w:themeColor="text2"/>
          <w:sz w:val="24"/>
        </w:rPr>
      </w:pPr>
      <w:r w:rsidRPr="001B63A7">
        <w:rPr>
          <w:rFonts w:ascii="Times New Roman" w:hAnsi="Times New Roman" w:cs="Times New Roman"/>
          <w:b/>
          <w:color w:val="1F497D" w:themeColor="text2"/>
          <w:sz w:val="24"/>
        </w:rPr>
        <w:t>DATA LIMITATIONS</w:t>
      </w:r>
    </w:p>
    <w:p w:rsidR="001B63A7" w:rsidRPr="007F7BA9" w:rsidRDefault="001B63A7" w:rsidP="001B63A7">
      <w:pPr>
        <w:spacing w:after="0" w:line="240" w:lineRule="auto"/>
        <w:rPr>
          <w:rFonts w:ascii="Times New Roman" w:hAnsi="Times New Roman" w:cs="Times New Roman"/>
          <w:sz w:val="20"/>
        </w:rPr>
      </w:pPr>
      <w:r w:rsidRPr="007F7BA9">
        <w:rPr>
          <w:rFonts w:ascii="Times New Roman" w:hAnsi="Times New Roman" w:cs="Times New Roman"/>
          <w:sz w:val="20"/>
        </w:rPr>
        <w:t>When interpreting the cancer data, it is important to consider certain limitations which include:</w:t>
      </w:r>
    </w:p>
    <w:p w:rsidR="001B63A7" w:rsidRPr="007F7BA9" w:rsidRDefault="001B63A7" w:rsidP="001B63A7">
      <w:pPr>
        <w:pStyle w:val="ListParagraph"/>
        <w:numPr>
          <w:ilvl w:val="0"/>
          <w:numId w:val="1"/>
        </w:numPr>
        <w:spacing w:after="0" w:line="240" w:lineRule="auto"/>
        <w:ind w:left="180" w:hanging="180"/>
        <w:rPr>
          <w:rFonts w:ascii="Times New Roman" w:hAnsi="Times New Roman" w:cs="Times New Roman"/>
          <w:sz w:val="20"/>
        </w:rPr>
      </w:pPr>
      <w:r w:rsidRPr="007F7BA9">
        <w:rPr>
          <w:rFonts w:ascii="Times New Roman" w:hAnsi="Times New Roman" w:cs="Times New Roman"/>
          <w:sz w:val="20"/>
          <w:u w:val="single"/>
        </w:rPr>
        <w:t>Under-reporting in areas close to neighboring states</w:t>
      </w:r>
      <w:r w:rsidRPr="007F7BA9">
        <w:rPr>
          <w:rFonts w:ascii="Times New Roman" w:hAnsi="Times New Roman" w:cs="Times New Roman"/>
          <w:sz w:val="20"/>
        </w:rPr>
        <w:t>: Although the MCR has reciprocal reporting agreements with 36 states as of April 2015, there may still be some Massachusetts residents who were diagnosed out of state and not reported to the MCR.</w:t>
      </w:r>
    </w:p>
    <w:p w:rsidR="001B63A7" w:rsidRPr="007F7BA9" w:rsidRDefault="001B63A7" w:rsidP="001B63A7">
      <w:pPr>
        <w:pStyle w:val="ListParagraph"/>
        <w:numPr>
          <w:ilvl w:val="0"/>
          <w:numId w:val="1"/>
        </w:numPr>
        <w:spacing w:after="0" w:line="240" w:lineRule="auto"/>
        <w:ind w:left="180" w:hanging="180"/>
        <w:rPr>
          <w:rFonts w:ascii="Times New Roman" w:hAnsi="Times New Roman" w:cs="Times New Roman"/>
          <w:sz w:val="20"/>
        </w:rPr>
      </w:pPr>
      <w:r w:rsidRPr="007F7BA9">
        <w:rPr>
          <w:rFonts w:ascii="Times New Roman" w:hAnsi="Times New Roman" w:cs="Times New Roman"/>
          <w:sz w:val="20"/>
          <w:u w:val="single"/>
        </w:rPr>
        <w:t>Interpretation of trends</w:t>
      </w:r>
      <w:r w:rsidRPr="007F7BA9">
        <w:rPr>
          <w:rFonts w:ascii="Times New Roman" w:hAnsi="Times New Roman" w:cs="Times New Roman"/>
          <w:sz w:val="20"/>
        </w:rPr>
        <w:t xml:space="preserve">: Apparent increases or decreases in cancer incidence over time may reflect changes in diagnostic methods or case reporting rather than true changes in cancer occurrence. </w:t>
      </w:r>
    </w:p>
    <w:p w:rsidR="001B63A7" w:rsidRPr="007F7BA9" w:rsidRDefault="001B63A7" w:rsidP="001B63A7">
      <w:pPr>
        <w:pStyle w:val="ListParagraph"/>
        <w:numPr>
          <w:ilvl w:val="0"/>
          <w:numId w:val="1"/>
        </w:numPr>
        <w:spacing w:after="0" w:line="240" w:lineRule="auto"/>
        <w:ind w:left="180" w:hanging="180"/>
        <w:rPr>
          <w:rFonts w:ascii="Times New Roman" w:hAnsi="Times New Roman" w:cs="Times New Roman"/>
          <w:sz w:val="20"/>
        </w:rPr>
      </w:pPr>
      <w:r w:rsidRPr="007F7BA9">
        <w:rPr>
          <w:rFonts w:ascii="Times New Roman" w:hAnsi="Times New Roman" w:cs="Times New Roman"/>
          <w:sz w:val="20"/>
          <w:u w:val="single"/>
        </w:rPr>
        <w:t>Small number of cases</w:t>
      </w:r>
      <w:r w:rsidRPr="007F7BA9">
        <w:rPr>
          <w:rFonts w:ascii="Times New Roman" w:hAnsi="Times New Roman" w:cs="Times New Roman"/>
          <w:sz w:val="20"/>
        </w:rPr>
        <w:t xml:space="preserve">: Many of the calculations in this report involved small numbers of cases. As a result, differences in rates may be due to chance, and the data should be interpreted with caution. </w:t>
      </w:r>
    </w:p>
    <w:p w:rsidR="001B63A7" w:rsidRPr="007F7BA9" w:rsidRDefault="001B63A7" w:rsidP="001B63A7">
      <w:pPr>
        <w:pStyle w:val="ListParagraph"/>
        <w:numPr>
          <w:ilvl w:val="0"/>
          <w:numId w:val="1"/>
        </w:numPr>
        <w:spacing w:after="0" w:line="240" w:lineRule="auto"/>
        <w:ind w:left="180" w:hanging="180"/>
        <w:rPr>
          <w:rFonts w:ascii="Times New Roman" w:hAnsi="Times New Roman" w:cs="Times New Roman"/>
          <w:sz w:val="20"/>
        </w:rPr>
      </w:pPr>
      <w:r w:rsidRPr="007F7BA9">
        <w:rPr>
          <w:rFonts w:ascii="Times New Roman" w:hAnsi="Times New Roman" w:cs="Times New Roman"/>
          <w:sz w:val="20"/>
          <w:u w:val="single"/>
        </w:rPr>
        <w:t>Estimation of proportion attributable to HPV</w:t>
      </w:r>
      <w:r w:rsidRPr="007F7BA9">
        <w:rPr>
          <w:rFonts w:ascii="Times New Roman" w:hAnsi="Times New Roman" w:cs="Times New Roman"/>
          <w:sz w:val="20"/>
        </w:rPr>
        <w:t xml:space="preserve">: The MCR does not contain information on the HPV DNA present in cancer tissues. Therefore, we consider HPV-associated cancers to be those where HPV DNA is frequently found from other studies. These numbers are the best estimates but may not reflect the true proportion attributable to HPV. </w:t>
      </w:r>
    </w:p>
    <w:p w:rsidR="00542F70" w:rsidRDefault="00542F70" w:rsidP="00A30879">
      <w:pPr>
        <w:spacing w:after="0" w:line="240" w:lineRule="auto"/>
        <w:rPr>
          <w:rFonts w:ascii="Times New Roman" w:hAnsi="Times New Roman" w:cs="Times New Roman"/>
          <w:sz w:val="20"/>
        </w:rPr>
      </w:pPr>
    </w:p>
    <w:p w:rsidR="00FB3EDA" w:rsidRDefault="00FB3EDA" w:rsidP="00A30879">
      <w:pPr>
        <w:spacing w:after="0" w:line="240" w:lineRule="auto"/>
        <w:rPr>
          <w:rFonts w:ascii="Times New Roman" w:hAnsi="Times New Roman" w:cs="Times New Roman"/>
          <w:sz w:val="20"/>
        </w:rPr>
      </w:pPr>
    </w:p>
    <w:p w:rsidR="00A66321" w:rsidRDefault="00A66321" w:rsidP="00A30879">
      <w:pPr>
        <w:spacing w:after="0" w:line="240" w:lineRule="auto"/>
        <w:rPr>
          <w:rFonts w:ascii="Times New Roman" w:hAnsi="Times New Roman" w:cs="Times New Roman"/>
          <w:sz w:val="20"/>
        </w:rPr>
      </w:pPr>
    </w:p>
    <w:p w:rsidR="00FB3EDA" w:rsidRDefault="00FB3EDA" w:rsidP="00A30879">
      <w:pPr>
        <w:spacing w:after="0" w:line="240" w:lineRule="auto"/>
        <w:rPr>
          <w:rFonts w:ascii="Times New Roman" w:hAnsi="Times New Roman" w:cs="Times New Roman"/>
          <w:sz w:val="20"/>
        </w:rPr>
      </w:pPr>
    </w:p>
    <w:p w:rsidR="00FB3EDA" w:rsidRDefault="00FB3EDA" w:rsidP="00A30879">
      <w:pPr>
        <w:spacing w:after="0" w:line="240" w:lineRule="auto"/>
        <w:rPr>
          <w:rFonts w:ascii="Times New Roman" w:hAnsi="Times New Roman" w:cs="Times New Roman"/>
          <w:sz w:val="20"/>
        </w:rPr>
      </w:pPr>
    </w:p>
    <w:p w:rsidR="00FB3EDA" w:rsidRDefault="00FB3EDA" w:rsidP="00A30879">
      <w:pPr>
        <w:spacing w:after="0" w:line="240" w:lineRule="auto"/>
        <w:rPr>
          <w:rFonts w:ascii="Times New Roman" w:hAnsi="Times New Roman" w:cs="Times New Roman"/>
          <w:sz w:val="20"/>
        </w:rPr>
      </w:pPr>
    </w:p>
    <w:p w:rsidR="00B6199B" w:rsidRDefault="00B6199B" w:rsidP="00A30879">
      <w:pPr>
        <w:spacing w:after="0" w:line="240" w:lineRule="auto"/>
        <w:rPr>
          <w:rFonts w:ascii="Times New Roman" w:hAnsi="Times New Roman" w:cs="Times New Roman"/>
          <w:b/>
          <w:color w:val="1F497D" w:themeColor="text2"/>
          <w:sz w:val="24"/>
        </w:rPr>
      </w:pPr>
      <w:r>
        <w:rPr>
          <w:rFonts w:ascii="Times New Roman" w:hAnsi="Times New Roman" w:cs="Times New Roman"/>
          <w:b/>
          <w:color w:val="1F497D" w:themeColor="text2"/>
          <w:sz w:val="24"/>
        </w:rPr>
        <w:t>A</w:t>
      </w:r>
      <w:r w:rsidR="006A4DF8">
        <w:rPr>
          <w:rFonts w:ascii="Times New Roman" w:hAnsi="Times New Roman" w:cs="Times New Roman"/>
          <w:b/>
          <w:color w:val="1F497D" w:themeColor="text2"/>
          <w:sz w:val="24"/>
        </w:rPr>
        <w:t>C</w:t>
      </w:r>
      <w:r>
        <w:rPr>
          <w:rFonts w:ascii="Times New Roman" w:hAnsi="Times New Roman" w:cs="Times New Roman"/>
          <w:b/>
          <w:color w:val="1F497D" w:themeColor="text2"/>
          <w:sz w:val="24"/>
        </w:rPr>
        <w:t>KNOWLEDGEMENTS</w:t>
      </w:r>
    </w:p>
    <w:p w:rsidR="001B63A7" w:rsidRPr="007F7BA9" w:rsidRDefault="001B63A7" w:rsidP="00A30879">
      <w:pPr>
        <w:spacing w:after="0" w:line="240" w:lineRule="auto"/>
        <w:rPr>
          <w:rFonts w:ascii="Times New Roman" w:hAnsi="Times New Roman" w:cs="Times New Roman"/>
          <w:sz w:val="20"/>
        </w:rPr>
      </w:pPr>
      <w:r w:rsidRPr="007F7BA9">
        <w:rPr>
          <w:rFonts w:ascii="Times New Roman" w:hAnsi="Times New Roman" w:cs="Times New Roman"/>
          <w:sz w:val="20"/>
        </w:rPr>
        <w:t>T</w:t>
      </w:r>
      <w:r w:rsidR="000F6020" w:rsidRPr="007F7BA9">
        <w:rPr>
          <w:rFonts w:ascii="Times New Roman" w:hAnsi="Times New Roman" w:cs="Times New Roman"/>
          <w:sz w:val="20"/>
        </w:rPr>
        <w:t xml:space="preserve">hanks to Erin </w:t>
      </w:r>
      <w:r w:rsidR="00E668D2" w:rsidRPr="007F7BA9">
        <w:rPr>
          <w:rFonts w:ascii="Times New Roman" w:hAnsi="Times New Roman" w:cs="Times New Roman"/>
          <w:sz w:val="20"/>
        </w:rPr>
        <w:t xml:space="preserve">E. </w:t>
      </w:r>
      <w:r w:rsidR="000F6020" w:rsidRPr="007F7BA9">
        <w:rPr>
          <w:rFonts w:ascii="Times New Roman" w:hAnsi="Times New Roman" w:cs="Times New Roman"/>
          <w:sz w:val="20"/>
        </w:rPr>
        <w:t xml:space="preserve">Cook, MPH of the Massachusetts Cancer </w:t>
      </w:r>
      <w:r w:rsidR="00E668D2" w:rsidRPr="007F7BA9">
        <w:rPr>
          <w:rFonts w:ascii="Times New Roman" w:hAnsi="Times New Roman" w:cs="Times New Roman"/>
          <w:sz w:val="20"/>
        </w:rPr>
        <w:t>Registry</w:t>
      </w:r>
      <w:r w:rsidR="000F6020" w:rsidRPr="007F7BA9">
        <w:rPr>
          <w:rFonts w:ascii="Times New Roman" w:hAnsi="Times New Roman" w:cs="Times New Roman"/>
          <w:sz w:val="20"/>
        </w:rPr>
        <w:t xml:space="preserve"> for the compilation of this report. </w:t>
      </w:r>
      <w:r w:rsidRPr="007F7BA9">
        <w:rPr>
          <w:rFonts w:ascii="Times New Roman" w:hAnsi="Times New Roman" w:cs="Times New Roman"/>
          <w:sz w:val="20"/>
        </w:rPr>
        <w:t xml:space="preserve"> </w:t>
      </w:r>
      <w:r w:rsidR="000F6020" w:rsidRPr="007F7BA9">
        <w:rPr>
          <w:rFonts w:ascii="Times New Roman" w:hAnsi="Times New Roman" w:cs="Times New Roman"/>
          <w:sz w:val="20"/>
        </w:rPr>
        <w:t>We would also like to thank</w:t>
      </w:r>
      <w:r w:rsidR="00E668D2" w:rsidRPr="007F7BA9">
        <w:rPr>
          <w:rFonts w:ascii="Times New Roman" w:hAnsi="Times New Roman" w:cs="Times New Roman"/>
          <w:sz w:val="20"/>
        </w:rPr>
        <w:t xml:space="preserve"> </w:t>
      </w:r>
      <w:r w:rsidR="000F6020" w:rsidRPr="007F7BA9">
        <w:rPr>
          <w:rFonts w:ascii="Times New Roman" w:hAnsi="Times New Roman" w:cs="Times New Roman"/>
          <w:sz w:val="20"/>
        </w:rPr>
        <w:t xml:space="preserve">Susan </w:t>
      </w:r>
      <w:r w:rsidR="00E668D2" w:rsidRPr="007F7BA9">
        <w:rPr>
          <w:rFonts w:ascii="Times New Roman" w:hAnsi="Times New Roman" w:cs="Times New Roman"/>
          <w:sz w:val="20"/>
        </w:rPr>
        <w:t xml:space="preserve">T. </w:t>
      </w:r>
      <w:r w:rsidR="000F6020" w:rsidRPr="007F7BA9">
        <w:rPr>
          <w:rFonts w:ascii="Times New Roman" w:hAnsi="Times New Roman" w:cs="Times New Roman"/>
          <w:sz w:val="20"/>
        </w:rPr>
        <w:t xml:space="preserve">Gershman, </w:t>
      </w:r>
      <w:r w:rsidR="00E668D2" w:rsidRPr="007F7BA9">
        <w:rPr>
          <w:rFonts w:ascii="Times New Roman" w:hAnsi="Times New Roman" w:cs="Times New Roman"/>
          <w:sz w:val="20"/>
        </w:rPr>
        <w:t xml:space="preserve">MS, MPH, PhD, CTR; R. </w:t>
      </w:r>
      <w:proofErr w:type="spellStart"/>
      <w:r w:rsidR="00E668D2" w:rsidRPr="007F7BA9">
        <w:rPr>
          <w:rFonts w:ascii="Times New Roman" w:hAnsi="Times New Roman" w:cs="Times New Roman"/>
          <w:sz w:val="20"/>
        </w:rPr>
        <w:t>Monina</w:t>
      </w:r>
      <w:proofErr w:type="spellEnd"/>
      <w:r w:rsidR="00E668D2" w:rsidRPr="007F7BA9">
        <w:rPr>
          <w:rFonts w:ascii="Times New Roman" w:hAnsi="Times New Roman" w:cs="Times New Roman"/>
          <w:sz w:val="20"/>
        </w:rPr>
        <w:t xml:space="preserve"> </w:t>
      </w:r>
      <w:proofErr w:type="spellStart"/>
      <w:r w:rsidR="00E668D2" w:rsidRPr="007F7BA9">
        <w:rPr>
          <w:rFonts w:ascii="Times New Roman" w:hAnsi="Times New Roman" w:cs="Times New Roman"/>
          <w:sz w:val="20"/>
        </w:rPr>
        <w:t>Klevens</w:t>
      </w:r>
      <w:proofErr w:type="spellEnd"/>
      <w:r w:rsidR="00E668D2" w:rsidRPr="007F7BA9">
        <w:rPr>
          <w:rFonts w:ascii="Times New Roman" w:hAnsi="Times New Roman" w:cs="Times New Roman"/>
          <w:sz w:val="20"/>
        </w:rPr>
        <w:t>, DDS, MPH; Richard Knowlton, MS</w:t>
      </w:r>
      <w:r w:rsidR="00E17B36">
        <w:rPr>
          <w:rFonts w:ascii="Times New Roman" w:hAnsi="Times New Roman" w:cs="Times New Roman"/>
          <w:sz w:val="20"/>
        </w:rPr>
        <w:t>; and Susan Lett, MD, MPH</w:t>
      </w:r>
      <w:r w:rsidR="000F6020" w:rsidRPr="007F7BA9">
        <w:rPr>
          <w:rFonts w:ascii="Times New Roman" w:hAnsi="Times New Roman" w:cs="Times New Roman"/>
          <w:sz w:val="20"/>
        </w:rPr>
        <w:t xml:space="preserve"> for their inpu</w:t>
      </w:r>
      <w:r w:rsidR="00DB3373">
        <w:rPr>
          <w:rFonts w:ascii="Times New Roman" w:hAnsi="Times New Roman" w:cs="Times New Roman"/>
          <w:sz w:val="20"/>
        </w:rPr>
        <w:t>t on the content of this report, and Nancy Weiss,</w:t>
      </w:r>
      <w:r w:rsidR="008A36A6">
        <w:rPr>
          <w:rFonts w:ascii="Times New Roman" w:hAnsi="Times New Roman" w:cs="Times New Roman"/>
          <w:sz w:val="20"/>
        </w:rPr>
        <w:t xml:space="preserve"> PhD as a consultant editor.</w:t>
      </w:r>
      <w:r w:rsidR="000F6020" w:rsidRPr="007F7BA9">
        <w:rPr>
          <w:rFonts w:ascii="Times New Roman" w:hAnsi="Times New Roman" w:cs="Times New Roman"/>
          <w:sz w:val="20"/>
        </w:rPr>
        <w:t xml:space="preserve"> </w:t>
      </w:r>
      <w:r w:rsidR="00E668D2" w:rsidRPr="007F7BA9">
        <w:rPr>
          <w:rFonts w:ascii="Times New Roman" w:hAnsi="Times New Roman" w:cs="Times New Roman"/>
          <w:sz w:val="20"/>
        </w:rPr>
        <w:t xml:space="preserve">We acknowledge the Centers for Disease Control and Prevention for its support of the staff under cooperative agreement </w:t>
      </w:r>
      <w:r w:rsidR="00195C61">
        <w:rPr>
          <w:rFonts w:ascii="Times New Roman" w:hAnsi="Times New Roman" w:cs="Times New Roman"/>
          <w:sz w:val="20"/>
        </w:rPr>
        <w:t>1</w:t>
      </w:r>
      <w:r w:rsidR="00195C61" w:rsidRPr="007F7BA9">
        <w:rPr>
          <w:rFonts w:ascii="Times New Roman" w:hAnsi="Times New Roman" w:cs="Times New Roman"/>
          <w:sz w:val="20"/>
        </w:rPr>
        <w:t xml:space="preserve"> </w:t>
      </w:r>
      <w:r w:rsidR="00195C61">
        <w:rPr>
          <w:rFonts w:ascii="Times New Roman" w:hAnsi="Times New Roman" w:cs="Times New Roman"/>
          <w:sz w:val="20"/>
        </w:rPr>
        <w:t>NU58 DP0006271-01-00</w:t>
      </w:r>
      <w:r w:rsidR="00195C61" w:rsidRPr="007F7BA9">
        <w:rPr>
          <w:rFonts w:ascii="Times New Roman" w:hAnsi="Times New Roman" w:cs="Times New Roman"/>
          <w:sz w:val="20"/>
        </w:rPr>
        <w:t xml:space="preserve"> </w:t>
      </w:r>
      <w:r w:rsidR="00E668D2" w:rsidRPr="007F7BA9">
        <w:rPr>
          <w:rFonts w:ascii="Times New Roman" w:hAnsi="Times New Roman" w:cs="Times New Roman"/>
          <w:sz w:val="20"/>
        </w:rPr>
        <w:t xml:space="preserve">awarded to the Massachusetts Cancer Registry at the Massachusetts Department of Public Health. Its contents are solely the responsibility of the authors and do not necessarily represent the official view of the Centers for Disease Control and Prevention. </w:t>
      </w:r>
    </w:p>
    <w:p w:rsidR="001B63A7" w:rsidRPr="00F56380" w:rsidRDefault="001B63A7" w:rsidP="00A30879">
      <w:pPr>
        <w:spacing w:after="0" w:line="240" w:lineRule="auto"/>
        <w:rPr>
          <w:rFonts w:ascii="Times New Roman" w:hAnsi="Times New Roman" w:cs="Times New Roman"/>
          <w:sz w:val="16"/>
        </w:rPr>
      </w:pPr>
    </w:p>
    <w:p w:rsidR="00B6199B" w:rsidRPr="00B6199B" w:rsidRDefault="00B6199B" w:rsidP="00A30879">
      <w:pPr>
        <w:spacing w:after="0" w:line="240" w:lineRule="auto"/>
        <w:rPr>
          <w:rFonts w:ascii="Times New Roman" w:hAnsi="Times New Roman" w:cs="Times New Roman"/>
          <w:b/>
          <w:color w:val="1F497D" w:themeColor="text2"/>
          <w:sz w:val="24"/>
        </w:rPr>
      </w:pPr>
      <w:r>
        <w:rPr>
          <w:rFonts w:ascii="Times New Roman" w:hAnsi="Times New Roman" w:cs="Times New Roman"/>
          <w:b/>
          <w:color w:val="1F497D" w:themeColor="text2"/>
          <w:sz w:val="24"/>
        </w:rPr>
        <w:t>REFERENCES</w:t>
      </w:r>
    </w:p>
    <w:p w:rsidR="00E668D2" w:rsidRDefault="00E668D2" w:rsidP="00542F70">
      <w:pPr>
        <w:pStyle w:val="smallgrey"/>
        <w:numPr>
          <w:ilvl w:val="0"/>
          <w:numId w:val="2"/>
        </w:numPr>
        <w:tabs>
          <w:tab w:val="left" w:pos="270"/>
        </w:tabs>
        <w:spacing w:after="0" w:line="240" w:lineRule="auto"/>
        <w:ind w:left="0" w:firstLine="0"/>
        <w:rPr>
          <w:sz w:val="20"/>
          <w:szCs w:val="22"/>
        </w:rPr>
      </w:pPr>
      <w:proofErr w:type="spellStart"/>
      <w:r w:rsidRPr="00982752">
        <w:rPr>
          <w:sz w:val="20"/>
          <w:szCs w:val="22"/>
        </w:rPr>
        <w:t>Viens</w:t>
      </w:r>
      <w:proofErr w:type="spellEnd"/>
      <w:r w:rsidRPr="00982752">
        <w:rPr>
          <w:sz w:val="20"/>
          <w:szCs w:val="22"/>
        </w:rPr>
        <w:t xml:space="preserve"> LJ, </w:t>
      </w:r>
      <w:r w:rsidRPr="007F7BA9">
        <w:rPr>
          <w:sz w:val="20"/>
          <w:szCs w:val="22"/>
        </w:rPr>
        <w:t xml:space="preserve">Henley SJ, Watson M, et al. Human Papillomavirus–Associated Cancers — United States, 2008–2012. MMWR </w:t>
      </w:r>
      <w:proofErr w:type="spellStart"/>
      <w:r w:rsidRPr="007F7BA9">
        <w:rPr>
          <w:i/>
          <w:sz w:val="20"/>
          <w:szCs w:val="22"/>
        </w:rPr>
        <w:t>Morb</w:t>
      </w:r>
      <w:proofErr w:type="spellEnd"/>
      <w:r w:rsidRPr="007F7BA9">
        <w:rPr>
          <w:i/>
          <w:sz w:val="20"/>
          <w:szCs w:val="22"/>
        </w:rPr>
        <w:t xml:space="preserve"> Mortal </w:t>
      </w:r>
      <w:proofErr w:type="spellStart"/>
      <w:r w:rsidRPr="007F7BA9">
        <w:rPr>
          <w:i/>
          <w:sz w:val="20"/>
          <w:szCs w:val="22"/>
        </w:rPr>
        <w:t>Wkly</w:t>
      </w:r>
      <w:proofErr w:type="spellEnd"/>
      <w:r w:rsidRPr="007F7BA9">
        <w:rPr>
          <w:i/>
          <w:sz w:val="20"/>
          <w:szCs w:val="22"/>
        </w:rPr>
        <w:t xml:space="preserve"> Rep</w:t>
      </w:r>
      <w:r w:rsidRPr="007F7BA9">
        <w:rPr>
          <w:sz w:val="20"/>
          <w:szCs w:val="22"/>
        </w:rPr>
        <w:t xml:space="preserve"> 2016;65:661–666. </w:t>
      </w:r>
    </w:p>
    <w:p w:rsidR="00091D52" w:rsidRPr="00577154" w:rsidRDefault="00091D52" w:rsidP="00091D52">
      <w:pPr>
        <w:pStyle w:val="smallgrey"/>
        <w:numPr>
          <w:ilvl w:val="0"/>
          <w:numId w:val="2"/>
        </w:numPr>
        <w:tabs>
          <w:tab w:val="left" w:pos="270"/>
        </w:tabs>
        <w:spacing w:after="0" w:line="240" w:lineRule="auto"/>
        <w:ind w:left="0" w:firstLine="0"/>
        <w:rPr>
          <w:szCs w:val="22"/>
        </w:rPr>
      </w:pPr>
      <w:r w:rsidRPr="007F7BA9">
        <w:rPr>
          <w:sz w:val="20"/>
          <w:szCs w:val="20"/>
          <w:shd w:val="clear" w:color="auto" w:fill="FFFFFF"/>
        </w:rPr>
        <w:t>Saraiya M, Unger ER, Thompson TD, et al. US Assessment of HPV Types in Cancers: Implications for Current and 9-Valent HPV Vaccines.</w:t>
      </w:r>
      <w:r w:rsidRPr="007F7BA9">
        <w:rPr>
          <w:rStyle w:val="apple-converted-space"/>
          <w:sz w:val="20"/>
          <w:szCs w:val="20"/>
          <w:shd w:val="clear" w:color="auto" w:fill="FFFFFF"/>
        </w:rPr>
        <w:t> </w:t>
      </w:r>
      <w:r w:rsidRPr="007F7BA9">
        <w:rPr>
          <w:i/>
          <w:iCs/>
          <w:sz w:val="20"/>
          <w:szCs w:val="20"/>
          <w:shd w:val="clear" w:color="auto" w:fill="FFFFFF"/>
        </w:rPr>
        <w:t>JNCI Journal of the National Cancer Institute</w:t>
      </w:r>
      <w:r w:rsidRPr="007F7BA9">
        <w:rPr>
          <w:sz w:val="20"/>
          <w:szCs w:val="20"/>
          <w:shd w:val="clear" w:color="auto" w:fill="FFFFFF"/>
        </w:rPr>
        <w:t xml:space="preserve"> 2015;107(6):djv086. doi:10.1093/</w:t>
      </w:r>
      <w:proofErr w:type="spellStart"/>
      <w:r w:rsidRPr="007F7BA9">
        <w:rPr>
          <w:sz w:val="20"/>
          <w:szCs w:val="20"/>
          <w:shd w:val="clear" w:color="auto" w:fill="FFFFFF"/>
        </w:rPr>
        <w:t>jnci</w:t>
      </w:r>
      <w:proofErr w:type="spellEnd"/>
      <w:r w:rsidRPr="007F7BA9">
        <w:rPr>
          <w:sz w:val="20"/>
          <w:szCs w:val="20"/>
          <w:shd w:val="clear" w:color="auto" w:fill="FFFFFF"/>
        </w:rPr>
        <w:t>/djv086.</w:t>
      </w:r>
    </w:p>
    <w:p w:rsidR="00577154" w:rsidRPr="00577154" w:rsidRDefault="00577154" w:rsidP="00577154">
      <w:pPr>
        <w:pStyle w:val="smallgrey"/>
        <w:numPr>
          <w:ilvl w:val="0"/>
          <w:numId w:val="2"/>
        </w:numPr>
        <w:tabs>
          <w:tab w:val="left" w:pos="270"/>
        </w:tabs>
        <w:spacing w:after="0" w:line="240" w:lineRule="auto"/>
        <w:ind w:left="0" w:firstLine="0"/>
        <w:rPr>
          <w:szCs w:val="22"/>
        </w:rPr>
      </w:pPr>
      <w:r w:rsidRPr="007F7BA9">
        <w:rPr>
          <w:sz w:val="20"/>
          <w:szCs w:val="21"/>
          <w:shd w:val="clear" w:color="auto" w:fill="FFFFFF"/>
        </w:rPr>
        <w:t>Healthy Peo</w:t>
      </w:r>
      <w:r>
        <w:rPr>
          <w:sz w:val="20"/>
          <w:szCs w:val="21"/>
          <w:shd w:val="clear" w:color="auto" w:fill="FFFFFF"/>
        </w:rPr>
        <w:t>ple 2020</w:t>
      </w:r>
      <w:r w:rsidRPr="007F7BA9">
        <w:rPr>
          <w:sz w:val="20"/>
          <w:szCs w:val="21"/>
          <w:shd w:val="clear" w:color="auto" w:fill="FFFFFF"/>
        </w:rPr>
        <w:t>. Washington, DC: U.S. Department of Health and Human Services, Office of Disease Prevention and Health Promotion [cited</w:t>
      </w:r>
      <w:r>
        <w:rPr>
          <w:sz w:val="20"/>
          <w:szCs w:val="21"/>
          <w:shd w:val="clear" w:color="auto" w:fill="FFFFFF"/>
        </w:rPr>
        <w:t xml:space="preserve"> Mar 22, 2017]. Available from: </w:t>
      </w:r>
      <w:r w:rsidRPr="007F7BA9">
        <w:rPr>
          <w:sz w:val="20"/>
          <w:szCs w:val="21"/>
          <w:shd w:val="clear" w:color="auto" w:fill="FFFFFF"/>
        </w:rPr>
        <w:t>https://www.healthype</w:t>
      </w:r>
      <w:r>
        <w:rPr>
          <w:sz w:val="20"/>
          <w:szCs w:val="21"/>
          <w:shd w:val="clear" w:color="auto" w:fill="FFFFFF"/>
        </w:rPr>
        <w:t>ople.gov/2020/topics-objectives</w:t>
      </w:r>
      <w:r w:rsidRPr="007F7BA9">
        <w:rPr>
          <w:sz w:val="20"/>
          <w:szCs w:val="21"/>
          <w:shd w:val="clear" w:color="auto" w:fill="FFFFFF"/>
        </w:rPr>
        <w:t xml:space="preserve">.  </w:t>
      </w:r>
    </w:p>
    <w:p w:rsidR="00091D52" w:rsidRPr="00577154" w:rsidRDefault="00091D52" w:rsidP="00091D52">
      <w:pPr>
        <w:pStyle w:val="smallgrey"/>
        <w:numPr>
          <w:ilvl w:val="0"/>
          <w:numId w:val="2"/>
        </w:numPr>
        <w:tabs>
          <w:tab w:val="left" w:pos="270"/>
        </w:tabs>
        <w:spacing w:after="0" w:line="240" w:lineRule="auto"/>
        <w:ind w:left="0" w:firstLine="0"/>
        <w:rPr>
          <w:rStyle w:val="Hyperlink"/>
          <w:color w:val="auto"/>
          <w:sz w:val="20"/>
          <w:szCs w:val="22"/>
          <w:u w:val="none"/>
        </w:rPr>
      </w:pPr>
      <w:r w:rsidRPr="007F7BA9">
        <w:rPr>
          <w:sz w:val="20"/>
        </w:rPr>
        <w:t xml:space="preserve">U.S. Department of Health and Human Services (DHHS). National Center for Health Statistics. The 2015 National Immunization Survey - Teen, Hyattsville, MD: Centers for Disease Control and Prevention, 2016. </w:t>
      </w:r>
      <w:proofErr w:type="spellStart"/>
      <w:r w:rsidRPr="007F7BA9">
        <w:rPr>
          <w:sz w:val="20"/>
        </w:rPr>
        <w:t>TeenVaxView</w:t>
      </w:r>
      <w:proofErr w:type="spellEnd"/>
      <w:r w:rsidRPr="007F7BA9">
        <w:rPr>
          <w:sz w:val="20"/>
        </w:rPr>
        <w:t xml:space="preserve"> </w:t>
      </w:r>
      <w:r w:rsidRPr="007F7BA9">
        <w:rPr>
          <w:sz w:val="20"/>
          <w:szCs w:val="22"/>
        </w:rPr>
        <w:t xml:space="preserve">Accessed April 19, 2017. </w:t>
      </w:r>
      <w:r w:rsidRPr="00577154">
        <w:rPr>
          <w:sz w:val="20"/>
          <w:szCs w:val="22"/>
        </w:rPr>
        <w:t>https://www.cdc.gov/vaccines/imz-managers/coverage/teenvaxview/data-reports/hpv/index.html</w:t>
      </w:r>
    </w:p>
    <w:p w:rsidR="00577154" w:rsidRPr="00091D52" w:rsidRDefault="00577154" w:rsidP="00577154">
      <w:pPr>
        <w:pStyle w:val="smallgrey"/>
        <w:numPr>
          <w:ilvl w:val="0"/>
          <w:numId w:val="2"/>
        </w:numPr>
        <w:tabs>
          <w:tab w:val="left" w:pos="270"/>
        </w:tabs>
        <w:spacing w:after="0" w:line="240" w:lineRule="auto"/>
        <w:ind w:left="0" w:firstLine="0"/>
        <w:rPr>
          <w:sz w:val="20"/>
        </w:rPr>
      </w:pPr>
      <w:r w:rsidRPr="007F7BA9">
        <w:rPr>
          <w:color w:val="000000"/>
          <w:sz w:val="20"/>
        </w:rPr>
        <w:t>Centers for Disease Control and Prevention, National Center for Chronic Disease Prevention and Health Promotion, Division of Population Health. BRFSS Prevalence &amp; Trends Data [online]. 2015.</w:t>
      </w:r>
      <w:r w:rsidRPr="007F7BA9">
        <w:rPr>
          <w:rStyle w:val="apple-converted-space"/>
          <w:color w:val="000000"/>
          <w:sz w:val="20"/>
        </w:rPr>
        <w:t> </w:t>
      </w:r>
      <w:r w:rsidRPr="007F7BA9">
        <w:rPr>
          <w:color w:val="000000"/>
          <w:sz w:val="20"/>
        </w:rPr>
        <w:t>Accessed</w:t>
      </w:r>
      <w:r w:rsidRPr="007F7BA9">
        <w:rPr>
          <w:rStyle w:val="apple-converted-space"/>
          <w:color w:val="000000"/>
          <w:sz w:val="20"/>
        </w:rPr>
        <w:t> </w:t>
      </w:r>
      <w:r w:rsidRPr="007F7BA9">
        <w:rPr>
          <w:color w:val="000000"/>
          <w:sz w:val="20"/>
        </w:rPr>
        <w:t xml:space="preserve">May 10, 2017. </w:t>
      </w:r>
    </w:p>
    <w:p w:rsidR="00577154" w:rsidRPr="007F7BA9" w:rsidRDefault="00577154" w:rsidP="00577154">
      <w:pPr>
        <w:pStyle w:val="smallgrey"/>
        <w:numPr>
          <w:ilvl w:val="0"/>
          <w:numId w:val="2"/>
        </w:numPr>
        <w:tabs>
          <w:tab w:val="left" w:pos="270"/>
        </w:tabs>
        <w:spacing w:after="0" w:line="240" w:lineRule="auto"/>
        <w:ind w:left="0" w:firstLine="0"/>
        <w:rPr>
          <w:sz w:val="20"/>
          <w:szCs w:val="22"/>
        </w:rPr>
      </w:pPr>
      <w:r w:rsidRPr="00091D52">
        <w:rPr>
          <w:sz w:val="20"/>
        </w:rPr>
        <w:t xml:space="preserve">National Institute on Alcohol Abuse and Alcoholism. Surveillance Report #102 Apparent Per Capita Alcohol Consumption: National, State, and Regional Trends, 1977-2013. Accessed May 17, 2017. URL: </w:t>
      </w:r>
      <w:r w:rsidRPr="00577154">
        <w:rPr>
          <w:sz w:val="20"/>
          <w:szCs w:val="22"/>
        </w:rPr>
        <w:t>https://pubs.niaaa.nih.gov/publications/surveillance102/tab4-3_13.htm</w:t>
      </w:r>
    </w:p>
    <w:p w:rsidR="00091D52" w:rsidRDefault="00091D52" w:rsidP="00091D52">
      <w:pPr>
        <w:pStyle w:val="smallgrey"/>
        <w:numPr>
          <w:ilvl w:val="0"/>
          <w:numId w:val="2"/>
        </w:numPr>
        <w:tabs>
          <w:tab w:val="left" w:pos="270"/>
        </w:tabs>
        <w:spacing w:after="0" w:line="240" w:lineRule="auto"/>
        <w:ind w:left="0" w:firstLine="0"/>
        <w:rPr>
          <w:sz w:val="20"/>
          <w:szCs w:val="22"/>
        </w:rPr>
      </w:pPr>
      <w:proofErr w:type="spellStart"/>
      <w:r w:rsidRPr="007F7BA9">
        <w:rPr>
          <w:sz w:val="20"/>
          <w:szCs w:val="22"/>
        </w:rPr>
        <w:t>Meites</w:t>
      </w:r>
      <w:proofErr w:type="spellEnd"/>
      <w:r w:rsidRPr="007F7BA9">
        <w:rPr>
          <w:sz w:val="20"/>
          <w:szCs w:val="22"/>
        </w:rPr>
        <w:t xml:space="preserve"> E, Kempe A, Markowitz LE. Use of a 2-dose schedule for human papillomavirus vaccination - updated recommendations of the advisory committee on immunization practices. </w:t>
      </w:r>
      <w:r w:rsidRPr="007F7BA9">
        <w:rPr>
          <w:i/>
          <w:sz w:val="20"/>
          <w:szCs w:val="22"/>
        </w:rPr>
        <w:t xml:space="preserve">MMWR </w:t>
      </w:r>
      <w:proofErr w:type="spellStart"/>
      <w:r w:rsidRPr="007F7BA9">
        <w:rPr>
          <w:i/>
          <w:sz w:val="20"/>
          <w:szCs w:val="22"/>
        </w:rPr>
        <w:t>Morb</w:t>
      </w:r>
      <w:proofErr w:type="spellEnd"/>
      <w:r w:rsidRPr="007F7BA9">
        <w:rPr>
          <w:i/>
          <w:sz w:val="20"/>
          <w:szCs w:val="22"/>
        </w:rPr>
        <w:t xml:space="preserve"> Mortal </w:t>
      </w:r>
      <w:proofErr w:type="spellStart"/>
      <w:r w:rsidRPr="007F7BA9">
        <w:rPr>
          <w:i/>
          <w:sz w:val="20"/>
          <w:szCs w:val="22"/>
        </w:rPr>
        <w:t>Wkly</w:t>
      </w:r>
      <w:proofErr w:type="spellEnd"/>
      <w:r w:rsidRPr="007F7BA9">
        <w:rPr>
          <w:i/>
          <w:sz w:val="20"/>
          <w:szCs w:val="22"/>
        </w:rPr>
        <w:t xml:space="preserve"> Rep</w:t>
      </w:r>
      <w:r w:rsidRPr="007F7BA9">
        <w:rPr>
          <w:sz w:val="20"/>
          <w:szCs w:val="22"/>
        </w:rPr>
        <w:t xml:space="preserve"> 2016;65(49):1405-8. </w:t>
      </w:r>
    </w:p>
    <w:p w:rsidR="00640133" w:rsidRPr="007F7BA9" w:rsidRDefault="00640133" w:rsidP="00091D52">
      <w:pPr>
        <w:pStyle w:val="smallgrey"/>
        <w:numPr>
          <w:ilvl w:val="0"/>
          <w:numId w:val="2"/>
        </w:numPr>
        <w:tabs>
          <w:tab w:val="left" w:pos="270"/>
        </w:tabs>
        <w:spacing w:after="0" w:line="240" w:lineRule="auto"/>
        <w:ind w:left="0" w:firstLine="0"/>
        <w:rPr>
          <w:sz w:val="20"/>
          <w:szCs w:val="22"/>
        </w:rPr>
      </w:pPr>
      <w:r>
        <w:rPr>
          <w:sz w:val="20"/>
          <w:szCs w:val="22"/>
        </w:rPr>
        <w:t xml:space="preserve">American Cancer Society. Can Oral Cavity and Oropharyngeal Cancers Be Prevented? Last updated November, 2017. https://www.cancer.org/cancer/oral-cavity-and-oropharyngeal-cancer/causes-risks-prevention/prevention.html. </w:t>
      </w:r>
    </w:p>
    <w:p w:rsidR="007F7BA9" w:rsidRPr="00577154" w:rsidRDefault="007F7BA9" w:rsidP="00A9423C">
      <w:pPr>
        <w:pStyle w:val="smallgrey"/>
        <w:numPr>
          <w:ilvl w:val="0"/>
          <w:numId w:val="2"/>
        </w:numPr>
        <w:tabs>
          <w:tab w:val="left" w:pos="180"/>
          <w:tab w:val="left" w:pos="360"/>
        </w:tabs>
        <w:spacing w:after="0" w:line="240" w:lineRule="auto"/>
        <w:ind w:left="0" w:firstLine="0"/>
        <w:rPr>
          <w:sz w:val="20"/>
          <w:szCs w:val="22"/>
        </w:rPr>
      </w:pPr>
      <w:proofErr w:type="spellStart"/>
      <w:r w:rsidRPr="007F7BA9">
        <w:rPr>
          <w:sz w:val="20"/>
          <w:szCs w:val="19"/>
          <w:shd w:val="clear" w:color="auto" w:fill="FFFFFF"/>
        </w:rPr>
        <w:t>Joinpoint</w:t>
      </w:r>
      <w:proofErr w:type="spellEnd"/>
      <w:r w:rsidRPr="007F7BA9">
        <w:rPr>
          <w:sz w:val="20"/>
          <w:szCs w:val="19"/>
          <w:shd w:val="clear" w:color="auto" w:fill="FFFFFF"/>
        </w:rPr>
        <w:t xml:space="preserve"> Regression Program, Version 4.4.0.0 -</w:t>
      </w:r>
      <w:r w:rsidRPr="007F7BA9">
        <w:rPr>
          <w:rStyle w:val="apple-converted-space"/>
          <w:sz w:val="20"/>
          <w:szCs w:val="19"/>
          <w:shd w:val="clear" w:color="auto" w:fill="FFFFFF"/>
        </w:rPr>
        <w:t> </w:t>
      </w:r>
      <w:r w:rsidRPr="007F7BA9">
        <w:rPr>
          <w:sz w:val="20"/>
          <w:szCs w:val="19"/>
          <w:shd w:val="clear" w:color="auto" w:fill="FFFFFF"/>
        </w:rPr>
        <w:t>January</w:t>
      </w:r>
      <w:r w:rsidRPr="007F7BA9">
        <w:rPr>
          <w:rStyle w:val="apple-converted-space"/>
          <w:sz w:val="20"/>
          <w:szCs w:val="19"/>
          <w:shd w:val="clear" w:color="auto" w:fill="FFFFFF"/>
        </w:rPr>
        <w:t> </w:t>
      </w:r>
      <w:r w:rsidRPr="007F7BA9">
        <w:rPr>
          <w:sz w:val="20"/>
          <w:szCs w:val="19"/>
          <w:shd w:val="clear" w:color="auto" w:fill="FFFFFF"/>
        </w:rPr>
        <w:t>2017; Statistical Methodology and Applications Branch, Surveillance Research Program, National Cancer Institute.</w:t>
      </w:r>
    </w:p>
    <w:p w:rsidR="00577154" w:rsidRPr="00577154" w:rsidRDefault="00577154" w:rsidP="00577154">
      <w:pPr>
        <w:pStyle w:val="smallgrey"/>
        <w:tabs>
          <w:tab w:val="left" w:pos="270"/>
        </w:tabs>
        <w:spacing w:after="0" w:line="240" w:lineRule="auto"/>
        <w:rPr>
          <w:sz w:val="20"/>
        </w:rPr>
      </w:pPr>
    </w:p>
    <w:sectPr w:rsidR="00577154" w:rsidRPr="00577154" w:rsidSect="007F7BA9">
      <w:type w:val="continuous"/>
      <w:pgSz w:w="12240" w:h="15840"/>
      <w:pgMar w:top="864" w:right="864" w:bottom="864" w:left="864" w:header="720" w:footer="720" w:gutter="0"/>
      <w:cols w:num="2"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059" w:rsidRDefault="00530059" w:rsidP="008A4ADF">
      <w:pPr>
        <w:spacing w:after="0" w:line="240" w:lineRule="auto"/>
      </w:pPr>
      <w:r>
        <w:separator/>
      </w:r>
    </w:p>
  </w:endnote>
  <w:endnote w:type="continuationSeparator" w:id="0">
    <w:p w:rsidR="00530059" w:rsidRDefault="00530059" w:rsidP="008A4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980" w:rsidRPr="000F6020" w:rsidRDefault="004A7980" w:rsidP="000F6020">
    <w:pPr>
      <w:pStyle w:val="Footer"/>
      <w:jc w:val="center"/>
      <w:rPr>
        <w:noProof/>
      </w:rPr>
    </w:pPr>
    <w:r>
      <w:rPr>
        <w:noProof/>
      </w:rPr>
      <mc:AlternateContent>
        <mc:Choice Requires="wps">
          <w:drawing>
            <wp:anchor distT="0" distB="0" distL="114300" distR="114300" simplePos="0" relativeHeight="251657728" behindDoc="0" locked="0" layoutInCell="1" allowOverlap="1" wp14:anchorId="53405807" wp14:editId="667DDF34">
              <wp:simplePos x="0" y="0"/>
              <wp:positionH relativeFrom="column">
                <wp:posOffset>260985</wp:posOffset>
              </wp:positionH>
              <wp:positionV relativeFrom="paragraph">
                <wp:posOffset>85090</wp:posOffset>
              </wp:positionV>
              <wp:extent cx="3160395"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3160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928B31" id="Straight Connector 2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5pt,6.7pt" to="269.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gxtwEAALkDAAAOAAAAZHJzL2Uyb0RvYy54bWysU02PEzEMvSPxH6Lc6cx0xQpGne6hK7gg&#10;qFj2B2QzTiciiSMn9OPf46TtLAKEEOLiiWO/Zz/Hs7o7eif2QMliGGS3aKWAoHG0YTfIxy/vXr2R&#10;ImUVRuUwwCBPkOTd+uWL1SH2sMQJ3QgkmCSk/hAHOeUc+6ZJegKv0gIjBA4aJK8yu7RrRlIHZveu&#10;WbbtbXNAGiOhhpT49v4clOvKbwzo/MmYBFm4QXJvuVqq9qnYZr1S/Y5UnKy+tKH+oQuvbOCiM9W9&#10;ykp8I/sLlbeaMKHJC42+QWOshqqB1XTtT2oeJhWhauHhpDiPKf0/Wv1xvyVhx0Eu+aWC8vxGD5mU&#10;3U1ZbDAEniCS4CBP6hBTz4BN2NLFS3FLRfbRkC9fFiSOdbqnebpwzELz5U132968fS2FvsaaZ2Ck&#10;lN8DelEOg3Q2FOGqV/sPKXMxTr2msFMaOZeup3xyUJJd+AyGxXCxrqLrGsHGkdgrXoDxa1dkMFfN&#10;LBBjnZtB7Z9Bl9wCg7pafwucs2tFDHkGehuQflc1H6+tmnP+VfVZa5H9hOOpPkQdB+9HVXbZ5bKA&#10;P/oV/vzHrb8DAAD//wMAUEsDBBQABgAIAAAAIQBx+zUj3AAAAAgBAAAPAAAAZHJzL2Rvd25yZXYu&#10;eG1sTI9BT4NAEIXvJv0Pm2nSm12w1RJkaYzWkx4QPXjcsiOQsrOE3QL66x3jQY/z3sub72X72XZi&#10;xMG3jhTE6wgEUuVMS7WCt9fHywSED5qM7hyhgk/0sM8XF5lOjZvoBccy1IJLyKdaQRNCn0rpqwat&#10;9mvXI7H34QarA59DLc2gJy63nbyKohtpdUv8odE93jdYncqzVbA7PJVFPz08fxVyJ4tidCE5vSu1&#10;Ws53tyACzuEvDD/4jA45Mx3dmYwXnYJtHHOS9c0WBPvXm4SnHH8FmWfy/4D8GwAA//8DAFBLAQIt&#10;ABQABgAIAAAAIQC2gziS/gAAAOEBAAATAAAAAAAAAAAAAAAAAAAAAABbQ29udGVudF9UeXBlc10u&#10;eG1sUEsBAi0AFAAGAAgAAAAhADj9If/WAAAAlAEAAAsAAAAAAAAAAAAAAAAALwEAAF9yZWxzLy5y&#10;ZWxzUEsBAi0AFAAGAAgAAAAhAEGLCDG3AQAAuQMAAA4AAAAAAAAAAAAAAAAALgIAAGRycy9lMm9E&#10;b2MueG1sUEsBAi0AFAAGAAgAAAAhAHH7NSPcAAAACAEAAA8AAAAAAAAAAAAAAAAAEQQAAGRycy9k&#10;b3ducmV2LnhtbFBLBQYAAAAABAAEAPMAAAAaBQAAAAA=&#10;" strokecolor="black [3040]"/>
          </w:pict>
        </mc:Fallback>
      </mc:AlternateContent>
    </w:r>
    <w:sdt>
      <w:sdtPr>
        <w:id w:val="-7308433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D306D">
          <w:rPr>
            <w:noProof/>
          </w:rPr>
          <w:t>1</w:t>
        </w:r>
        <w:r>
          <w:rPr>
            <w:noProof/>
          </w:rPr>
          <w:fldChar w:fldCharType="end"/>
        </w:r>
      </w:sdtContent>
    </w:sdt>
    <w:r>
      <w:rPr>
        <w:noProof/>
      </w:rPr>
      <w:t xml:space="preserve">                                                                                                          </w:t>
    </w:r>
    <w:r w:rsidRPr="000F6020">
      <w:rPr>
        <w:rFonts w:ascii="Times New Roman" w:hAnsi="Times New Roman" w:cs="Times New Roman"/>
        <w:i/>
        <w:sz w:val="20"/>
      </w:rPr>
      <w:t xml:space="preserve">Data Report on </w:t>
    </w:r>
    <w:r>
      <w:rPr>
        <w:rFonts w:ascii="Times New Roman" w:hAnsi="Times New Roman" w:cs="Times New Roman"/>
        <w:i/>
        <w:sz w:val="20"/>
      </w:rPr>
      <w:t>Oropharyngeal</w:t>
    </w:r>
    <w:r w:rsidRPr="000F6020">
      <w:rPr>
        <w:rFonts w:ascii="Times New Roman" w:hAnsi="Times New Roman" w:cs="Times New Roman"/>
        <w:i/>
        <w:sz w:val="20"/>
      </w:rPr>
      <w:t xml:space="preserve"> Cancer in Massachusetts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980" w:rsidRPr="000F6020" w:rsidRDefault="004A7980" w:rsidP="000F6020">
    <w:pPr>
      <w:pStyle w:val="Footer"/>
      <w:jc w:val="center"/>
      <w:rPr>
        <w:noProof/>
      </w:rPr>
    </w:pPr>
    <w:r>
      <w:rPr>
        <w:noProof/>
      </w:rPr>
      <mc:AlternateContent>
        <mc:Choice Requires="wps">
          <w:drawing>
            <wp:anchor distT="0" distB="0" distL="114300" distR="114300" simplePos="0" relativeHeight="251656704" behindDoc="0" locked="0" layoutInCell="1" allowOverlap="1" wp14:anchorId="0ABB293D" wp14:editId="4929ACC0">
              <wp:simplePos x="0" y="0"/>
              <wp:positionH relativeFrom="column">
                <wp:posOffset>375285</wp:posOffset>
              </wp:positionH>
              <wp:positionV relativeFrom="paragraph">
                <wp:posOffset>94615</wp:posOffset>
              </wp:positionV>
              <wp:extent cx="313626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31362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9C4BAD" id="Straight Connector 2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5pt,7.45pt" to="276.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f3uAEAALkDAAAOAAAAZHJzL2Uyb0RvYy54bWysU8Fu2zAMvQ/oPwi6N7bTLRiMOD2kWC/D&#10;FqzrB6iyFAuTRIHSYufvRymJW2zDMBS90KLI98hH0evbyVl2UBgN+I43i5oz5SX0xu87/vj90/VH&#10;zmISvhcWvOr4UUV+u7l6tx5Dq5YwgO0VMiLxsR1Dx4eUQltVUQ7KibiAoDwFNaATiVzcVz2Kkdid&#10;rZZ1vapGwD4gSBUj3d6dgnxT+LVWMn3VOqrEbMept1QsFvuUbbVZi3aPIgxGntsQr+jCCeOp6Ex1&#10;J5JgP9H8QeWMRIig00KCq0BrI1XRQGqa+jc1D4MIqmih4cQwjym+Ha38ctghM33Hl+8588LRGz0k&#10;FGY/JLYF72mCgIyCNKkxxJYAW7/DsxfDDrPsSaPLXxLEpjLd4zxdNSUm6fKmuVktVx84k5dY9QwM&#10;GNO9AsfyoePW+CxctOLwOSYqRqmXFHJyI6fS5ZSOVuVk678pTWKoWFPQZY3U1iI7CFqA/keTZRBX&#10;ycwQbaydQfW/QefcDFNltf4XOGeXiuDTDHTGA/6tapourepT/kX1SWuW/QT9sTxEGQftR1F23uW8&#10;gC/9An/+4za/AAAA//8DAFBLAwQUAAYACAAAACEAxrpVI90AAAAIAQAADwAAAGRycy9kb3ducmV2&#10;LnhtbEyPS0/DMBCE70j9D9YicaNOC+kjxKkQjxM9hMCBoxsvSdR4HcVuEvj1LOJQjjszmv0m3U22&#10;FQP2vnGkYDGPQCCVzjRUKXh/e77egPBBk9GtI1TwhR522ewi1YlxI73iUIRKcAn5RCuoQ+gSKX1Z&#10;o9V+7jok9j5db3Xgs6+k6fXI5baVyyhaSasb4g+17vChxvJYnKyC9dNLkXfj4/47l2uZ54MLm+OH&#10;UleX0/0diIBTOIfhF5/RIWOmgzuR8aJVEG8XnGT9dguC/Ti+4W2HP0Fmqfw/IPsBAAD//wMAUEsB&#10;Ai0AFAAGAAgAAAAhALaDOJL+AAAA4QEAABMAAAAAAAAAAAAAAAAAAAAAAFtDb250ZW50X1R5cGVz&#10;XS54bWxQSwECLQAUAAYACAAAACEAOP0h/9YAAACUAQAACwAAAAAAAAAAAAAAAAAvAQAAX3JlbHMv&#10;LnJlbHNQSwECLQAUAAYACAAAACEADf/X97gBAAC5AwAADgAAAAAAAAAAAAAAAAAuAgAAZHJzL2Uy&#10;b0RvYy54bWxQSwECLQAUAAYACAAAACEAxrpVI90AAAAIAQAADwAAAAAAAAAAAAAAAAASBAAAZHJz&#10;L2Rvd25yZXYueG1sUEsFBgAAAAAEAAQA8wAAABwFAAAAAA==&#10;" strokecolor="black [3040]"/>
          </w:pict>
        </mc:Fallback>
      </mc:AlternateContent>
    </w:r>
    <w:sdt>
      <w:sdtPr>
        <w:id w:val="13687167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D306D">
          <w:rPr>
            <w:noProof/>
          </w:rPr>
          <w:t>3</w:t>
        </w:r>
        <w:r>
          <w:rPr>
            <w:noProof/>
          </w:rPr>
          <w:fldChar w:fldCharType="end"/>
        </w:r>
      </w:sdtContent>
    </w:sdt>
    <w:r>
      <w:rPr>
        <w:noProof/>
      </w:rPr>
      <w:t xml:space="preserve">                                                                                                      </w:t>
    </w:r>
    <w:r w:rsidRPr="000F6020">
      <w:rPr>
        <w:rFonts w:ascii="Times New Roman" w:hAnsi="Times New Roman" w:cs="Times New Roman"/>
        <w:i/>
        <w:sz w:val="20"/>
      </w:rPr>
      <w:t xml:space="preserve">Data Report on </w:t>
    </w:r>
    <w:r>
      <w:rPr>
        <w:rFonts w:ascii="Times New Roman" w:hAnsi="Times New Roman" w:cs="Times New Roman"/>
        <w:i/>
        <w:sz w:val="20"/>
      </w:rPr>
      <w:t>Oropharyngeal</w:t>
    </w:r>
    <w:r w:rsidRPr="000F6020">
      <w:rPr>
        <w:rFonts w:ascii="Times New Roman" w:hAnsi="Times New Roman" w:cs="Times New Roman"/>
        <w:i/>
        <w:sz w:val="20"/>
      </w:rPr>
      <w:t xml:space="preserve"> Cancer in Massachusetts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059" w:rsidRDefault="00530059" w:rsidP="008A4ADF">
      <w:pPr>
        <w:spacing w:after="0" w:line="240" w:lineRule="auto"/>
      </w:pPr>
      <w:r>
        <w:separator/>
      </w:r>
    </w:p>
  </w:footnote>
  <w:footnote w:type="continuationSeparator" w:id="0">
    <w:p w:rsidR="00530059" w:rsidRDefault="00530059" w:rsidP="008A4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980" w:rsidRDefault="004A7980" w:rsidP="009E5349">
    <w:pPr>
      <w:pStyle w:val="Header"/>
      <w:tabs>
        <w:tab w:val="clear" w:pos="4680"/>
        <w:tab w:val="clear" w:pos="9360"/>
        <w:tab w:val="left" w:pos="28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980" w:rsidRDefault="004A7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C33AA"/>
    <w:multiLevelType w:val="hybridMultilevel"/>
    <w:tmpl w:val="3EDA999E"/>
    <w:lvl w:ilvl="0" w:tplc="EEB075F6">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C73D3"/>
    <w:multiLevelType w:val="hybridMultilevel"/>
    <w:tmpl w:val="8F9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C77EC"/>
    <w:multiLevelType w:val="hybridMultilevel"/>
    <w:tmpl w:val="F94C77AE"/>
    <w:lvl w:ilvl="0" w:tplc="D03C4E82">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EB575B"/>
    <w:multiLevelType w:val="hybridMultilevel"/>
    <w:tmpl w:val="1894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7748F4"/>
    <w:multiLevelType w:val="hybridMultilevel"/>
    <w:tmpl w:val="83E69A58"/>
    <w:lvl w:ilvl="0" w:tplc="A498FE9C">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9313D3"/>
    <w:multiLevelType w:val="hybridMultilevel"/>
    <w:tmpl w:val="C5189DB0"/>
    <w:lvl w:ilvl="0" w:tplc="B85AE48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9A0957"/>
    <w:multiLevelType w:val="hybridMultilevel"/>
    <w:tmpl w:val="FA984CB2"/>
    <w:lvl w:ilvl="0" w:tplc="EEB075F6">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C37484"/>
    <w:multiLevelType w:val="hybridMultilevel"/>
    <w:tmpl w:val="79E6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08206E"/>
    <w:multiLevelType w:val="hybridMultilevel"/>
    <w:tmpl w:val="42B6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8"/>
  </w:num>
  <w:num w:numId="5">
    <w:abstractNumId w:val="0"/>
  </w:num>
  <w:num w:numId="6">
    <w:abstractNumId w:val="4"/>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17"/>
    <w:rsid w:val="00004373"/>
    <w:rsid w:val="0001494F"/>
    <w:rsid w:val="000324D6"/>
    <w:rsid w:val="00056AEE"/>
    <w:rsid w:val="00061300"/>
    <w:rsid w:val="00063A26"/>
    <w:rsid w:val="00064E16"/>
    <w:rsid w:val="00065FDB"/>
    <w:rsid w:val="00071C5D"/>
    <w:rsid w:val="00081672"/>
    <w:rsid w:val="000848BB"/>
    <w:rsid w:val="00085845"/>
    <w:rsid w:val="00085AB3"/>
    <w:rsid w:val="00091D52"/>
    <w:rsid w:val="000A74E1"/>
    <w:rsid w:val="000B34A8"/>
    <w:rsid w:val="000E5E82"/>
    <w:rsid w:val="000F6020"/>
    <w:rsid w:val="00104C4B"/>
    <w:rsid w:val="001779CE"/>
    <w:rsid w:val="00195C61"/>
    <w:rsid w:val="001B63A7"/>
    <w:rsid w:val="001B677B"/>
    <w:rsid w:val="001C4DC1"/>
    <w:rsid w:val="001D5E56"/>
    <w:rsid w:val="002022F0"/>
    <w:rsid w:val="002238B5"/>
    <w:rsid w:val="00225BBA"/>
    <w:rsid w:val="0024783A"/>
    <w:rsid w:val="002B00C7"/>
    <w:rsid w:val="002B7B66"/>
    <w:rsid w:val="002D4492"/>
    <w:rsid w:val="002D4BE9"/>
    <w:rsid w:val="002D728D"/>
    <w:rsid w:val="002E2538"/>
    <w:rsid w:val="002F23FB"/>
    <w:rsid w:val="002F46C5"/>
    <w:rsid w:val="002F7319"/>
    <w:rsid w:val="00312B82"/>
    <w:rsid w:val="00343DDE"/>
    <w:rsid w:val="00377F57"/>
    <w:rsid w:val="00394BF2"/>
    <w:rsid w:val="003978BA"/>
    <w:rsid w:val="003B4F4F"/>
    <w:rsid w:val="003F6015"/>
    <w:rsid w:val="00414CF2"/>
    <w:rsid w:val="0041506F"/>
    <w:rsid w:val="0042688C"/>
    <w:rsid w:val="004674CA"/>
    <w:rsid w:val="00476A7E"/>
    <w:rsid w:val="004A1E24"/>
    <w:rsid w:val="004A73B4"/>
    <w:rsid w:val="004A7980"/>
    <w:rsid w:val="004C10BB"/>
    <w:rsid w:val="004D306D"/>
    <w:rsid w:val="00505331"/>
    <w:rsid w:val="00530059"/>
    <w:rsid w:val="00530996"/>
    <w:rsid w:val="00541369"/>
    <w:rsid w:val="00542F70"/>
    <w:rsid w:val="00553017"/>
    <w:rsid w:val="00554313"/>
    <w:rsid w:val="00565CEB"/>
    <w:rsid w:val="00577154"/>
    <w:rsid w:val="00586931"/>
    <w:rsid w:val="00594494"/>
    <w:rsid w:val="005A5FB4"/>
    <w:rsid w:val="005A61B3"/>
    <w:rsid w:val="005B40CF"/>
    <w:rsid w:val="005B519D"/>
    <w:rsid w:val="005B5666"/>
    <w:rsid w:val="005B7BA6"/>
    <w:rsid w:val="005C3CBE"/>
    <w:rsid w:val="005C5B08"/>
    <w:rsid w:val="005D7C3F"/>
    <w:rsid w:val="005E1E3F"/>
    <w:rsid w:val="005E2AE1"/>
    <w:rsid w:val="005F3C5F"/>
    <w:rsid w:val="006135D3"/>
    <w:rsid w:val="006260FF"/>
    <w:rsid w:val="00640133"/>
    <w:rsid w:val="006474FF"/>
    <w:rsid w:val="00655220"/>
    <w:rsid w:val="00674BDB"/>
    <w:rsid w:val="006A4DF8"/>
    <w:rsid w:val="006A6E57"/>
    <w:rsid w:val="006D697E"/>
    <w:rsid w:val="006D78BD"/>
    <w:rsid w:val="006F39B7"/>
    <w:rsid w:val="00705F99"/>
    <w:rsid w:val="00706C16"/>
    <w:rsid w:val="0072171F"/>
    <w:rsid w:val="0073202D"/>
    <w:rsid w:val="00733E8B"/>
    <w:rsid w:val="00742398"/>
    <w:rsid w:val="00746B3D"/>
    <w:rsid w:val="0075136E"/>
    <w:rsid w:val="007744BE"/>
    <w:rsid w:val="0078556D"/>
    <w:rsid w:val="007B49AD"/>
    <w:rsid w:val="007B4A1D"/>
    <w:rsid w:val="007F7BA9"/>
    <w:rsid w:val="00807E2C"/>
    <w:rsid w:val="00821D26"/>
    <w:rsid w:val="008266B7"/>
    <w:rsid w:val="008340C6"/>
    <w:rsid w:val="008358B2"/>
    <w:rsid w:val="00846045"/>
    <w:rsid w:val="00847648"/>
    <w:rsid w:val="00864183"/>
    <w:rsid w:val="00870F1E"/>
    <w:rsid w:val="0088465C"/>
    <w:rsid w:val="00895185"/>
    <w:rsid w:val="008A36A6"/>
    <w:rsid w:val="008A4ADF"/>
    <w:rsid w:val="008E530B"/>
    <w:rsid w:val="008F3A51"/>
    <w:rsid w:val="00901550"/>
    <w:rsid w:val="0090233B"/>
    <w:rsid w:val="00902D3A"/>
    <w:rsid w:val="0094178D"/>
    <w:rsid w:val="00982752"/>
    <w:rsid w:val="009E5349"/>
    <w:rsid w:val="00A02173"/>
    <w:rsid w:val="00A278E6"/>
    <w:rsid w:val="00A30879"/>
    <w:rsid w:val="00A3474A"/>
    <w:rsid w:val="00A62FC9"/>
    <w:rsid w:val="00A66321"/>
    <w:rsid w:val="00A73B4F"/>
    <w:rsid w:val="00A93016"/>
    <w:rsid w:val="00A9423C"/>
    <w:rsid w:val="00AC33AA"/>
    <w:rsid w:val="00AD3E68"/>
    <w:rsid w:val="00B14797"/>
    <w:rsid w:val="00B2256B"/>
    <w:rsid w:val="00B347BC"/>
    <w:rsid w:val="00B37156"/>
    <w:rsid w:val="00B43FFF"/>
    <w:rsid w:val="00B50ED9"/>
    <w:rsid w:val="00B6199B"/>
    <w:rsid w:val="00B6439F"/>
    <w:rsid w:val="00B6465D"/>
    <w:rsid w:val="00B82F0D"/>
    <w:rsid w:val="00BC3105"/>
    <w:rsid w:val="00BC437D"/>
    <w:rsid w:val="00BC6DD3"/>
    <w:rsid w:val="00BD04C4"/>
    <w:rsid w:val="00BE255A"/>
    <w:rsid w:val="00BF7F32"/>
    <w:rsid w:val="00C1037F"/>
    <w:rsid w:val="00C656E7"/>
    <w:rsid w:val="00C65955"/>
    <w:rsid w:val="00C736C2"/>
    <w:rsid w:val="00C83859"/>
    <w:rsid w:val="00C853D5"/>
    <w:rsid w:val="00CB2B05"/>
    <w:rsid w:val="00CD7963"/>
    <w:rsid w:val="00CE469C"/>
    <w:rsid w:val="00CE7A7F"/>
    <w:rsid w:val="00D2512C"/>
    <w:rsid w:val="00D26780"/>
    <w:rsid w:val="00D26C27"/>
    <w:rsid w:val="00D70135"/>
    <w:rsid w:val="00D72451"/>
    <w:rsid w:val="00D73AA5"/>
    <w:rsid w:val="00DB3373"/>
    <w:rsid w:val="00DB4C51"/>
    <w:rsid w:val="00DC3C58"/>
    <w:rsid w:val="00DD0335"/>
    <w:rsid w:val="00DD26D4"/>
    <w:rsid w:val="00DF4CFA"/>
    <w:rsid w:val="00E12D91"/>
    <w:rsid w:val="00E17B36"/>
    <w:rsid w:val="00E23D1D"/>
    <w:rsid w:val="00E63410"/>
    <w:rsid w:val="00E668D2"/>
    <w:rsid w:val="00E72C9E"/>
    <w:rsid w:val="00E87887"/>
    <w:rsid w:val="00E93ADA"/>
    <w:rsid w:val="00EA0AC0"/>
    <w:rsid w:val="00EA5059"/>
    <w:rsid w:val="00EA63B6"/>
    <w:rsid w:val="00EF1739"/>
    <w:rsid w:val="00EF4E30"/>
    <w:rsid w:val="00F0698F"/>
    <w:rsid w:val="00F17D94"/>
    <w:rsid w:val="00F42521"/>
    <w:rsid w:val="00F501C0"/>
    <w:rsid w:val="00F56380"/>
    <w:rsid w:val="00F74619"/>
    <w:rsid w:val="00F74AF6"/>
    <w:rsid w:val="00F74BA4"/>
    <w:rsid w:val="00FA4603"/>
    <w:rsid w:val="00FB3EDA"/>
    <w:rsid w:val="00FB4794"/>
    <w:rsid w:val="00FE1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B2415"/>
  <w15:docId w15:val="{422B120A-DF6A-464E-BB83-7DA60734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3017"/>
  </w:style>
  <w:style w:type="paragraph" w:styleId="Heading1">
    <w:name w:val="heading 1"/>
    <w:basedOn w:val="Normal"/>
    <w:next w:val="Normal"/>
    <w:link w:val="Heading1Char"/>
    <w:uiPriority w:val="9"/>
    <w:qFormat/>
    <w:rsid w:val="002D72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017"/>
    <w:pPr>
      <w:ind w:left="720"/>
      <w:contextualSpacing/>
    </w:pPr>
  </w:style>
  <w:style w:type="paragraph" w:styleId="BalloonText">
    <w:name w:val="Balloon Text"/>
    <w:basedOn w:val="Normal"/>
    <w:link w:val="BalloonTextChar"/>
    <w:uiPriority w:val="99"/>
    <w:semiHidden/>
    <w:unhideWhenUsed/>
    <w:rsid w:val="00553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017"/>
    <w:rPr>
      <w:rFonts w:ascii="Tahoma" w:hAnsi="Tahoma" w:cs="Tahoma"/>
      <w:sz w:val="16"/>
      <w:szCs w:val="16"/>
    </w:rPr>
  </w:style>
  <w:style w:type="table" w:styleId="TableGrid">
    <w:name w:val="Table Grid"/>
    <w:basedOn w:val="TableNormal"/>
    <w:uiPriority w:val="59"/>
    <w:rsid w:val="005A5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grey">
    <w:name w:val="smallgrey"/>
    <w:basedOn w:val="Normal"/>
    <w:rsid w:val="007B49AD"/>
    <w:pPr>
      <w:spacing w:after="150" w:line="375" w:lineRule="atLeas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49AD"/>
  </w:style>
  <w:style w:type="character" w:styleId="Hyperlink">
    <w:name w:val="Hyperlink"/>
    <w:basedOn w:val="DefaultParagraphFont"/>
    <w:uiPriority w:val="99"/>
    <w:unhideWhenUsed/>
    <w:rsid w:val="002F23FB"/>
    <w:rPr>
      <w:color w:val="0000FF" w:themeColor="hyperlink"/>
      <w:u w:val="single"/>
    </w:rPr>
  </w:style>
  <w:style w:type="paragraph" w:customStyle="1" w:styleId="footnote">
    <w:name w:val="footnote"/>
    <w:basedOn w:val="Normal"/>
    <w:rsid w:val="002F23FB"/>
    <w:pPr>
      <w:spacing w:after="150" w:line="375" w:lineRule="atLeast"/>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F23FB"/>
    <w:rPr>
      <w:color w:val="800080" w:themeColor="followedHyperlink"/>
      <w:u w:val="single"/>
    </w:rPr>
  </w:style>
  <w:style w:type="character" w:styleId="Emphasis">
    <w:name w:val="Emphasis"/>
    <w:basedOn w:val="DefaultParagraphFont"/>
    <w:uiPriority w:val="20"/>
    <w:qFormat/>
    <w:rsid w:val="002F23FB"/>
    <w:rPr>
      <w:i/>
      <w:iCs/>
    </w:rPr>
  </w:style>
  <w:style w:type="paragraph" w:styleId="Header">
    <w:name w:val="header"/>
    <w:basedOn w:val="Normal"/>
    <w:link w:val="HeaderChar"/>
    <w:uiPriority w:val="99"/>
    <w:unhideWhenUsed/>
    <w:rsid w:val="008A4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ADF"/>
  </w:style>
  <w:style w:type="paragraph" w:styleId="Footer">
    <w:name w:val="footer"/>
    <w:basedOn w:val="Normal"/>
    <w:link w:val="FooterChar"/>
    <w:uiPriority w:val="99"/>
    <w:unhideWhenUsed/>
    <w:rsid w:val="008A4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ADF"/>
  </w:style>
  <w:style w:type="character" w:styleId="PlaceholderText">
    <w:name w:val="Placeholder Text"/>
    <w:basedOn w:val="DefaultParagraphFont"/>
    <w:uiPriority w:val="99"/>
    <w:semiHidden/>
    <w:rsid w:val="002E2538"/>
    <w:rPr>
      <w:color w:val="808080"/>
    </w:rPr>
  </w:style>
  <w:style w:type="character" w:styleId="CommentReference">
    <w:name w:val="annotation reference"/>
    <w:basedOn w:val="DefaultParagraphFont"/>
    <w:uiPriority w:val="99"/>
    <w:semiHidden/>
    <w:unhideWhenUsed/>
    <w:rsid w:val="006135D3"/>
    <w:rPr>
      <w:sz w:val="16"/>
      <w:szCs w:val="16"/>
    </w:rPr>
  </w:style>
  <w:style w:type="paragraph" w:styleId="CommentText">
    <w:name w:val="annotation text"/>
    <w:basedOn w:val="Normal"/>
    <w:link w:val="CommentTextChar"/>
    <w:uiPriority w:val="99"/>
    <w:semiHidden/>
    <w:unhideWhenUsed/>
    <w:rsid w:val="006135D3"/>
    <w:pPr>
      <w:spacing w:line="240" w:lineRule="auto"/>
    </w:pPr>
    <w:rPr>
      <w:sz w:val="20"/>
      <w:szCs w:val="20"/>
    </w:rPr>
  </w:style>
  <w:style w:type="character" w:customStyle="1" w:styleId="CommentTextChar">
    <w:name w:val="Comment Text Char"/>
    <w:basedOn w:val="DefaultParagraphFont"/>
    <w:link w:val="CommentText"/>
    <w:uiPriority w:val="99"/>
    <w:semiHidden/>
    <w:rsid w:val="006135D3"/>
    <w:rPr>
      <w:sz w:val="20"/>
      <w:szCs w:val="20"/>
    </w:rPr>
  </w:style>
  <w:style w:type="paragraph" w:styleId="CommentSubject">
    <w:name w:val="annotation subject"/>
    <w:basedOn w:val="CommentText"/>
    <w:next w:val="CommentText"/>
    <w:link w:val="CommentSubjectChar"/>
    <w:uiPriority w:val="99"/>
    <w:semiHidden/>
    <w:unhideWhenUsed/>
    <w:rsid w:val="006135D3"/>
    <w:rPr>
      <w:b/>
      <w:bCs/>
    </w:rPr>
  </w:style>
  <w:style w:type="character" w:customStyle="1" w:styleId="CommentSubjectChar">
    <w:name w:val="Comment Subject Char"/>
    <w:basedOn w:val="CommentTextChar"/>
    <w:link w:val="CommentSubject"/>
    <w:uiPriority w:val="99"/>
    <w:semiHidden/>
    <w:rsid w:val="006135D3"/>
    <w:rPr>
      <w:b/>
      <w:bCs/>
      <w:sz w:val="20"/>
      <w:szCs w:val="20"/>
    </w:rPr>
  </w:style>
  <w:style w:type="paragraph" w:styleId="NormalWeb">
    <w:name w:val="Normal (Web)"/>
    <w:basedOn w:val="Normal"/>
    <w:uiPriority w:val="99"/>
    <w:semiHidden/>
    <w:unhideWhenUsed/>
    <w:rsid w:val="00A73B4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2D728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285106">
      <w:bodyDiv w:val="1"/>
      <w:marLeft w:val="0"/>
      <w:marRight w:val="0"/>
      <w:marTop w:val="0"/>
      <w:marBottom w:val="0"/>
      <w:divBdr>
        <w:top w:val="none" w:sz="0" w:space="0" w:color="auto"/>
        <w:left w:val="none" w:sz="0" w:space="0" w:color="auto"/>
        <w:bottom w:val="none" w:sz="0" w:space="0" w:color="auto"/>
        <w:right w:val="none" w:sz="0" w:space="0" w:color="auto"/>
      </w:divBdr>
      <w:divsChild>
        <w:div w:id="1563104193">
          <w:marLeft w:val="1037"/>
          <w:marRight w:val="0"/>
          <w:marTop w:val="60"/>
          <w:marBottom w:val="0"/>
          <w:divBdr>
            <w:top w:val="none" w:sz="0" w:space="0" w:color="auto"/>
            <w:left w:val="none" w:sz="0" w:space="0" w:color="auto"/>
            <w:bottom w:val="none" w:sz="0" w:space="0" w:color="auto"/>
            <w:right w:val="none" w:sz="0" w:space="0" w:color="auto"/>
          </w:divBdr>
        </w:div>
      </w:divsChild>
    </w:div>
    <w:div w:id="1708338825">
      <w:bodyDiv w:val="1"/>
      <w:marLeft w:val="0"/>
      <w:marRight w:val="0"/>
      <w:marTop w:val="0"/>
      <w:marBottom w:val="0"/>
      <w:divBdr>
        <w:top w:val="none" w:sz="0" w:space="0" w:color="auto"/>
        <w:left w:val="none" w:sz="0" w:space="0" w:color="auto"/>
        <w:bottom w:val="none" w:sz="0" w:space="0" w:color="auto"/>
        <w:right w:val="none" w:sz="0" w:space="0" w:color="auto"/>
      </w:divBdr>
      <w:divsChild>
        <w:div w:id="1364600700">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H-NAS\Users\ErCook\ErCook\JP\oral.stage.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H-NAS\Users\ErCook\ErCook\Other%20data%20and%20charts\hpv%20vaccine%20cdc.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PH-NAS\Users\ErCook\ErCook\Other%20data%20and%20charts\charts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PH-NAS\Users\ErCook\ErCook\Other%20data%20and%20charts\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97462817147856"/>
          <c:y val="4.4715447154471545E-2"/>
          <c:w val="0.85346981627296592"/>
          <c:h val="0.55298092311631775"/>
        </c:manualLayout>
      </c:layout>
      <c:lineChart>
        <c:grouping val="standard"/>
        <c:varyColors val="0"/>
        <c:ser>
          <c:idx val="0"/>
          <c:order val="0"/>
          <c:tx>
            <c:v>Incidence, male (APC 2004-2014 = 2.82*) </c:v>
          </c:tx>
          <c:marker>
            <c:symbol val="none"/>
          </c:marker>
          <c:cat>
            <c:numRef>
              <c:f>Sheet1!$B$1:$B$11</c:f>
              <c:numCache>
                <c:formatCode>0</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Sheet1!$C$1:$C$11</c:f>
              <c:numCache>
                <c:formatCode>0.00000</c:formatCode>
                <c:ptCount val="11"/>
                <c:pt idx="0">
                  <c:v>6.6045100000000003</c:v>
                </c:pt>
                <c:pt idx="1">
                  <c:v>7.4079100000000002</c:v>
                </c:pt>
                <c:pt idx="2">
                  <c:v>6.5075900000000004</c:v>
                </c:pt>
                <c:pt idx="3">
                  <c:v>7.4188599999999996</c:v>
                </c:pt>
                <c:pt idx="4">
                  <c:v>7.4768299999999996</c:v>
                </c:pt>
                <c:pt idx="5">
                  <c:v>8.14161</c:v>
                </c:pt>
                <c:pt idx="6">
                  <c:v>7.9028200000000002</c:v>
                </c:pt>
                <c:pt idx="7">
                  <c:v>8.3662500000000009</c:v>
                </c:pt>
                <c:pt idx="8">
                  <c:v>8.9634999999999998</c:v>
                </c:pt>
                <c:pt idx="9">
                  <c:v>8.2908799999999996</c:v>
                </c:pt>
                <c:pt idx="10">
                  <c:v>8.7658000000000005</c:v>
                </c:pt>
              </c:numCache>
            </c:numRef>
          </c:val>
          <c:smooth val="0"/>
          <c:extLst>
            <c:ext xmlns:c16="http://schemas.microsoft.com/office/drawing/2014/chart" uri="{C3380CC4-5D6E-409C-BE32-E72D297353CC}">
              <c16:uniqueId val="{00000000-847A-4032-9D0F-2FE4A4F6A9E7}"/>
            </c:ext>
          </c:extLst>
        </c:ser>
        <c:ser>
          <c:idx val="1"/>
          <c:order val="1"/>
          <c:tx>
            <c:v>Incidence, female (APC 2004-2012 = 6.62*, 2012-2014 = -13.72)</c:v>
          </c:tx>
          <c:marker>
            <c:symbol val="none"/>
          </c:marker>
          <c:val>
            <c:numRef>
              <c:f>Sheet1!$C$12:$C$22</c:f>
              <c:numCache>
                <c:formatCode>0.00000</c:formatCode>
                <c:ptCount val="11"/>
                <c:pt idx="0">
                  <c:v>1.4657500000000001</c:v>
                </c:pt>
                <c:pt idx="1">
                  <c:v>1.7108699999999999</c:v>
                </c:pt>
                <c:pt idx="2">
                  <c:v>1.6382300000000001</c:v>
                </c:pt>
                <c:pt idx="3">
                  <c:v>1.6323799999999999</c:v>
                </c:pt>
                <c:pt idx="4">
                  <c:v>1.72258</c:v>
                </c:pt>
                <c:pt idx="5">
                  <c:v>2.0628199999999999</c:v>
                </c:pt>
                <c:pt idx="6">
                  <c:v>1.9211100000000001</c:v>
                </c:pt>
                <c:pt idx="7">
                  <c:v>2.2390400000000001</c:v>
                </c:pt>
                <c:pt idx="8">
                  <c:v>2.60867</c:v>
                </c:pt>
                <c:pt idx="9">
                  <c:v>2.0822699999999998</c:v>
                </c:pt>
                <c:pt idx="10">
                  <c:v>1.79603</c:v>
                </c:pt>
              </c:numCache>
            </c:numRef>
          </c:val>
          <c:smooth val="0"/>
          <c:extLst>
            <c:ext xmlns:c16="http://schemas.microsoft.com/office/drawing/2014/chart" uri="{C3380CC4-5D6E-409C-BE32-E72D297353CC}">
              <c16:uniqueId val="{00000001-847A-4032-9D0F-2FE4A4F6A9E7}"/>
            </c:ext>
          </c:extLst>
        </c:ser>
        <c:ser>
          <c:idx val="2"/>
          <c:order val="2"/>
          <c:tx>
            <c:v>Mortality, male (APC 2008-2014 = -3.01)</c:v>
          </c:tx>
          <c:spPr>
            <a:ln w="28575">
              <a:solidFill>
                <a:schemeClr val="accent1"/>
              </a:solidFill>
              <a:prstDash val="sysDash"/>
            </a:ln>
          </c:spPr>
          <c:marker>
            <c:symbol val="none"/>
          </c:marker>
          <c:val>
            <c:numRef>
              <c:f>Sheet1!$C$26:$C$36</c:f>
              <c:numCache>
                <c:formatCode>General</c:formatCode>
                <c:ptCount val="11"/>
                <c:pt idx="4">
                  <c:v>2.5894699999999999</c:v>
                </c:pt>
                <c:pt idx="5">
                  <c:v>1.98834</c:v>
                </c:pt>
                <c:pt idx="6">
                  <c:v>2.8119100000000001</c:v>
                </c:pt>
                <c:pt idx="7">
                  <c:v>2.5528599999999999</c:v>
                </c:pt>
                <c:pt idx="8">
                  <c:v>2.4573100000000001</c:v>
                </c:pt>
                <c:pt idx="9">
                  <c:v>2.0756199999999998</c:v>
                </c:pt>
                <c:pt idx="10">
                  <c:v>2.0268700000000002</c:v>
                </c:pt>
              </c:numCache>
            </c:numRef>
          </c:val>
          <c:smooth val="0"/>
          <c:extLst>
            <c:ext xmlns:c16="http://schemas.microsoft.com/office/drawing/2014/chart" uri="{C3380CC4-5D6E-409C-BE32-E72D297353CC}">
              <c16:uniqueId val="{00000002-847A-4032-9D0F-2FE4A4F6A9E7}"/>
            </c:ext>
          </c:extLst>
        </c:ser>
        <c:ser>
          <c:idx val="3"/>
          <c:order val="3"/>
          <c:tx>
            <c:v>Mortality, female (APC 2008-2014 = -1.94)</c:v>
          </c:tx>
          <c:spPr>
            <a:ln>
              <a:solidFill>
                <a:schemeClr val="accent2"/>
              </a:solidFill>
              <a:prstDash val="sysDash"/>
            </a:ln>
          </c:spPr>
          <c:marker>
            <c:symbol val="none"/>
          </c:marker>
          <c:val>
            <c:numRef>
              <c:f>Sheet1!$C$37:$C$47</c:f>
              <c:numCache>
                <c:formatCode>General</c:formatCode>
                <c:ptCount val="11"/>
                <c:pt idx="4">
                  <c:v>0.80401</c:v>
                </c:pt>
                <c:pt idx="5">
                  <c:v>0.70135999999999998</c:v>
                </c:pt>
                <c:pt idx="6">
                  <c:v>0.89632999999999996</c:v>
                </c:pt>
                <c:pt idx="7">
                  <c:v>0.59057000000000004</c:v>
                </c:pt>
                <c:pt idx="8">
                  <c:v>0.63905000000000001</c:v>
                </c:pt>
                <c:pt idx="9">
                  <c:v>0.51748000000000005</c:v>
                </c:pt>
                <c:pt idx="10">
                  <c:v>0.99175000000000002</c:v>
                </c:pt>
              </c:numCache>
            </c:numRef>
          </c:val>
          <c:smooth val="0"/>
          <c:extLst>
            <c:ext xmlns:c16="http://schemas.microsoft.com/office/drawing/2014/chart" uri="{C3380CC4-5D6E-409C-BE32-E72D297353CC}">
              <c16:uniqueId val="{00000003-847A-4032-9D0F-2FE4A4F6A9E7}"/>
            </c:ext>
          </c:extLst>
        </c:ser>
        <c:dLbls>
          <c:showLegendKey val="0"/>
          <c:showVal val="0"/>
          <c:showCatName val="0"/>
          <c:showSerName val="0"/>
          <c:showPercent val="0"/>
          <c:showBubbleSize val="0"/>
        </c:dLbls>
        <c:smooth val="0"/>
        <c:axId val="103254656"/>
        <c:axId val="103273216"/>
      </c:lineChart>
      <c:catAx>
        <c:axId val="103254656"/>
        <c:scaling>
          <c:orientation val="minMax"/>
        </c:scaling>
        <c:delete val="0"/>
        <c:axPos val="b"/>
        <c:title>
          <c:tx>
            <c:rich>
              <a:bodyPr/>
              <a:lstStyle/>
              <a:p>
                <a:pPr>
                  <a:defRPr/>
                </a:pPr>
                <a:r>
                  <a:rPr lang="en-US"/>
                  <a:t>Year</a:t>
                </a:r>
              </a:p>
            </c:rich>
          </c:tx>
          <c:overlay val="0"/>
        </c:title>
        <c:numFmt formatCode="0" sourceLinked="1"/>
        <c:majorTickMark val="out"/>
        <c:minorTickMark val="none"/>
        <c:tickLblPos val="nextTo"/>
        <c:spPr>
          <a:ln>
            <a:solidFill>
              <a:schemeClr val="tx1"/>
            </a:solidFill>
          </a:ln>
        </c:spPr>
        <c:crossAx val="103273216"/>
        <c:crosses val="autoZero"/>
        <c:auto val="1"/>
        <c:lblAlgn val="ctr"/>
        <c:lblOffset val="100"/>
        <c:noMultiLvlLbl val="0"/>
      </c:catAx>
      <c:valAx>
        <c:axId val="103273216"/>
        <c:scaling>
          <c:orientation val="minMax"/>
          <c:max val="9"/>
          <c:min val="0"/>
        </c:scaling>
        <c:delete val="0"/>
        <c:axPos val="l"/>
        <c:majorGridlines>
          <c:spPr>
            <a:ln>
              <a:solidFill>
                <a:schemeClr val="bg1">
                  <a:lumMod val="65000"/>
                </a:schemeClr>
              </a:solidFill>
              <a:prstDash val="dash"/>
            </a:ln>
          </c:spPr>
        </c:majorGridlines>
        <c:title>
          <c:tx>
            <c:rich>
              <a:bodyPr rot="-5400000" vert="horz"/>
              <a:lstStyle/>
              <a:p>
                <a:pPr>
                  <a:defRPr/>
                </a:pPr>
                <a:r>
                  <a:rPr lang="en-US"/>
                  <a:t>Rate per 100,000</a:t>
                </a:r>
              </a:p>
            </c:rich>
          </c:tx>
          <c:overlay val="0"/>
        </c:title>
        <c:numFmt formatCode="0" sourceLinked="0"/>
        <c:majorTickMark val="out"/>
        <c:minorTickMark val="none"/>
        <c:tickLblPos val="nextTo"/>
        <c:spPr>
          <a:ln>
            <a:solidFill>
              <a:schemeClr val="tx1"/>
            </a:solidFill>
          </a:ln>
        </c:spPr>
        <c:crossAx val="103254656"/>
        <c:crosses val="autoZero"/>
        <c:crossBetween val="midCat"/>
      </c:valAx>
    </c:plotArea>
    <c:legend>
      <c:legendPos val="b"/>
      <c:layout>
        <c:manualLayout>
          <c:xMode val="edge"/>
          <c:yMode val="edge"/>
          <c:x val="0"/>
          <c:y val="0.75798796491901932"/>
          <c:w val="1"/>
          <c:h val="0.21762179117854172"/>
        </c:manualLayout>
      </c:layout>
      <c:overlay val="0"/>
    </c:legend>
    <c:plotVisOnly val="1"/>
    <c:dispBlanksAs val="gap"/>
    <c:showDLblsOverMax val="0"/>
  </c:chart>
  <c:spPr>
    <a:ln>
      <a:noFill/>
    </a:ln>
  </c:spPr>
  <c:txPr>
    <a:bodyPr/>
    <a:lstStyle/>
    <a:p>
      <a:pPr>
        <a:defRPr sz="105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472681539807524"/>
          <c:y val="5.1342592592592592E-2"/>
          <c:w val="0.81105796150481191"/>
          <c:h val="0.62486329833770782"/>
        </c:manualLayout>
      </c:layout>
      <c:lineChart>
        <c:grouping val="standard"/>
        <c:varyColors val="0"/>
        <c:ser>
          <c:idx val="0"/>
          <c:order val="0"/>
          <c:tx>
            <c:v>Incidence, male</c:v>
          </c:tx>
          <c:marker>
            <c:symbol val="none"/>
          </c:marker>
          <c:cat>
            <c:strRef>
              <c:f>Sheet2!$A$2:$A$7</c:f>
              <c:strCache>
                <c:ptCount val="6"/>
                <c:pt idx="0">
                  <c:v>30-39</c:v>
                </c:pt>
                <c:pt idx="1">
                  <c:v>40-49</c:v>
                </c:pt>
                <c:pt idx="2">
                  <c:v>50-59</c:v>
                </c:pt>
                <c:pt idx="3">
                  <c:v>60-69</c:v>
                </c:pt>
                <c:pt idx="4">
                  <c:v>70-79</c:v>
                </c:pt>
                <c:pt idx="5">
                  <c:v>≥80</c:v>
                </c:pt>
              </c:strCache>
            </c:strRef>
          </c:cat>
          <c:val>
            <c:numRef>
              <c:f>Sheet2!$C$8:$C$13</c:f>
              <c:numCache>
                <c:formatCode>General</c:formatCode>
                <c:ptCount val="6"/>
                <c:pt idx="0">
                  <c:v>0.71</c:v>
                </c:pt>
                <c:pt idx="1">
                  <c:v>7.8</c:v>
                </c:pt>
                <c:pt idx="2">
                  <c:v>23.18</c:v>
                </c:pt>
                <c:pt idx="3">
                  <c:v>30.16</c:v>
                </c:pt>
                <c:pt idx="4">
                  <c:v>24.71</c:v>
                </c:pt>
                <c:pt idx="5">
                  <c:v>14.57</c:v>
                </c:pt>
              </c:numCache>
            </c:numRef>
          </c:val>
          <c:smooth val="0"/>
          <c:extLst>
            <c:ext xmlns:c16="http://schemas.microsoft.com/office/drawing/2014/chart" uri="{C3380CC4-5D6E-409C-BE32-E72D297353CC}">
              <c16:uniqueId val="{00000000-6E26-48EB-BA04-132F05133A98}"/>
            </c:ext>
          </c:extLst>
        </c:ser>
        <c:ser>
          <c:idx val="1"/>
          <c:order val="1"/>
          <c:tx>
            <c:v>Incidence, female</c:v>
          </c:tx>
          <c:marker>
            <c:symbol val="none"/>
          </c:marker>
          <c:val>
            <c:numRef>
              <c:f>Sheet2!$C$14:$C$19</c:f>
              <c:numCache>
                <c:formatCode>General</c:formatCode>
                <c:ptCount val="6"/>
                <c:pt idx="0">
                  <c:v>0.31</c:v>
                </c:pt>
                <c:pt idx="1">
                  <c:v>1.25</c:v>
                </c:pt>
                <c:pt idx="2">
                  <c:v>4.79</c:v>
                </c:pt>
                <c:pt idx="3">
                  <c:v>7.18</c:v>
                </c:pt>
                <c:pt idx="4">
                  <c:v>8.24</c:v>
                </c:pt>
                <c:pt idx="5">
                  <c:v>4.4400000000000004</c:v>
                </c:pt>
              </c:numCache>
            </c:numRef>
          </c:val>
          <c:smooth val="0"/>
          <c:extLst>
            <c:ext xmlns:c16="http://schemas.microsoft.com/office/drawing/2014/chart" uri="{C3380CC4-5D6E-409C-BE32-E72D297353CC}">
              <c16:uniqueId val="{00000001-6E26-48EB-BA04-132F05133A98}"/>
            </c:ext>
          </c:extLst>
        </c:ser>
        <c:ser>
          <c:idx val="2"/>
          <c:order val="2"/>
          <c:tx>
            <c:v>Mortality, male</c:v>
          </c:tx>
          <c:spPr>
            <a:ln>
              <a:solidFill>
                <a:schemeClr val="accent1"/>
              </a:solidFill>
              <a:prstDash val="sysDash"/>
            </a:ln>
          </c:spPr>
          <c:marker>
            <c:symbol val="none"/>
          </c:marker>
          <c:val>
            <c:numRef>
              <c:f>Sheet2!$C$21:$C$26</c:f>
              <c:numCache>
                <c:formatCode>General</c:formatCode>
                <c:ptCount val="6"/>
                <c:pt idx="1">
                  <c:v>0.93</c:v>
                </c:pt>
                <c:pt idx="2">
                  <c:v>4.51</c:v>
                </c:pt>
                <c:pt idx="3">
                  <c:v>8.64</c:v>
                </c:pt>
                <c:pt idx="4">
                  <c:v>11.79</c:v>
                </c:pt>
                <c:pt idx="5">
                  <c:v>11.96</c:v>
                </c:pt>
              </c:numCache>
            </c:numRef>
          </c:val>
          <c:smooth val="0"/>
          <c:extLst>
            <c:ext xmlns:c16="http://schemas.microsoft.com/office/drawing/2014/chart" uri="{C3380CC4-5D6E-409C-BE32-E72D297353CC}">
              <c16:uniqueId val="{00000002-6E26-48EB-BA04-132F05133A98}"/>
            </c:ext>
          </c:extLst>
        </c:ser>
        <c:ser>
          <c:idx val="3"/>
          <c:order val="3"/>
          <c:tx>
            <c:v>Mortality, female</c:v>
          </c:tx>
          <c:spPr>
            <a:ln>
              <a:solidFill>
                <a:schemeClr val="accent2"/>
              </a:solidFill>
              <a:prstDash val="sysDash"/>
            </a:ln>
          </c:spPr>
          <c:marker>
            <c:symbol val="none"/>
          </c:marker>
          <c:val>
            <c:numRef>
              <c:f>Sheet2!$C$28:$C$33</c:f>
              <c:numCache>
                <c:formatCode>General</c:formatCode>
                <c:ptCount val="6"/>
                <c:pt idx="2">
                  <c:v>0.94</c:v>
                </c:pt>
                <c:pt idx="3">
                  <c:v>2.08</c:v>
                </c:pt>
                <c:pt idx="4">
                  <c:v>4.3</c:v>
                </c:pt>
                <c:pt idx="5">
                  <c:v>6.38</c:v>
                </c:pt>
              </c:numCache>
            </c:numRef>
          </c:val>
          <c:smooth val="0"/>
          <c:extLst>
            <c:ext xmlns:c16="http://schemas.microsoft.com/office/drawing/2014/chart" uri="{C3380CC4-5D6E-409C-BE32-E72D297353CC}">
              <c16:uniqueId val="{00000003-6E26-48EB-BA04-132F05133A98}"/>
            </c:ext>
          </c:extLst>
        </c:ser>
        <c:dLbls>
          <c:showLegendKey val="0"/>
          <c:showVal val="0"/>
          <c:showCatName val="0"/>
          <c:showSerName val="0"/>
          <c:showPercent val="0"/>
          <c:showBubbleSize val="0"/>
        </c:dLbls>
        <c:smooth val="0"/>
        <c:axId val="103971840"/>
        <c:axId val="103974016"/>
      </c:lineChart>
      <c:catAx>
        <c:axId val="103971840"/>
        <c:scaling>
          <c:orientation val="minMax"/>
        </c:scaling>
        <c:delete val="0"/>
        <c:axPos val="b"/>
        <c:title>
          <c:tx>
            <c:rich>
              <a:bodyPr/>
              <a:lstStyle/>
              <a:p>
                <a:pPr>
                  <a:defRPr/>
                </a:pPr>
                <a:r>
                  <a:rPr lang="en-US"/>
                  <a:t>Age group (years)</a:t>
                </a:r>
              </a:p>
            </c:rich>
          </c:tx>
          <c:overlay val="0"/>
        </c:title>
        <c:numFmt formatCode="General" sourceLinked="0"/>
        <c:majorTickMark val="out"/>
        <c:minorTickMark val="none"/>
        <c:tickLblPos val="nextTo"/>
        <c:spPr>
          <a:ln>
            <a:solidFill>
              <a:schemeClr val="tx1"/>
            </a:solidFill>
          </a:ln>
        </c:spPr>
        <c:crossAx val="103974016"/>
        <c:crosses val="autoZero"/>
        <c:auto val="1"/>
        <c:lblAlgn val="ctr"/>
        <c:lblOffset val="100"/>
        <c:noMultiLvlLbl val="0"/>
      </c:catAx>
      <c:valAx>
        <c:axId val="103974016"/>
        <c:scaling>
          <c:orientation val="minMax"/>
          <c:max val="32"/>
        </c:scaling>
        <c:delete val="0"/>
        <c:axPos val="l"/>
        <c:majorGridlines>
          <c:spPr>
            <a:ln>
              <a:solidFill>
                <a:schemeClr val="bg1">
                  <a:lumMod val="65000"/>
                </a:schemeClr>
              </a:solidFill>
              <a:prstDash val="dash"/>
            </a:ln>
          </c:spPr>
        </c:majorGridlines>
        <c:title>
          <c:tx>
            <c:rich>
              <a:bodyPr rot="-5400000" vert="horz"/>
              <a:lstStyle/>
              <a:p>
                <a:pPr>
                  <a:defRPr/>
                </a:pPr>
                <a:r>
                  <a:rPr lang="en-US"/>
                  <a:t>Age-specific rate (per 100,000)</a:t>
                </a:r>
              </a:p>
            </c:rich>
          </c:tx>
          <c:overlay val="0"/>
        </c:title>
        <c:numFmt formatCode="General" sourceLinked="1"/>
        <c:majorTickMark val="out"/>
        <c:minorTickMark val="none"/>
        <c:tickLblPos val="nextTo"/>
        <c:spPr>
          <a:ln>
            <a:solidFill>
              <a:schemeClr val="tx1"/>
            </a:solidFill>
          </a:ln>
        </c:spPr>
        <c:crossAx val="103971840"/>
        <c:crosses val="autoZero"/>
        <c:crossBetween val="midCat"/>
        <c:majorUnit val="4"/>
      </c:valAx>
    </c:plotArea>
    <c:legend>
      <c:legendPos val="b"/>
      <c:layout>
        <c:manualLayout>
          <c:xMode val="edge"/>
          <c:yMode val="edge"/>
          <c:x val="7.8735564304461936E-2"/>
          <c:y val="0.85362860892388448"/>
          <c:w val="0.8536399825021872"/>
          <c:h val="0.1185936132983377"/>
        </c:manualLayout>
      </c:layout>
      <c:overlay val="0"/>
    </c:legend>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89406532516769"/>
          <c:y val="4.6296296296296294E-2"/>
          <c:w val="0.70970144356955378"/>
          <c:h val="0.58574402158063577"/>
        </c:manualLayout>
      </c:layout>
      <c:barChart>
        <c:barDir val="col"/>
        <c:grouping val="clustered"/>
        <c:varyColors val="0"/>
        <c:ser>
          <c:idx val="0"/>
          <c:order val="0"/>
          <c:tx>
            <c:strRef>
              <c:f>Sheet3!$A$2</c:f>
              <c:strCache>
                <c:ptCount val="1"/>
                <c:pt idx="0">
                  <c:v>Incidence, male</c:v>
                </c:pt>
              </c:strCache>
            </c:strRef>
          </c:tx>
          <c:invertIfNegative val="0"/>
          <c:cat>
            <c:strRef>
              <c:f>Sheet3!$B$1:$E$1</c:f>
              <c:strCache>
                <c:ptCount val="4"/>
                <c:pt idx="0">
                  <c:v>White, non-Hispanic</c:v>
                </c:pt>
                <c:pt idx="1">
                  <c:v>Black, non-Hispanic</c:v>
                </c:pt>
                <c:pt idx="2">
                  <c:v>Asian, non-Hispanic</c:v>
                </c:pt>
                <c:pt idx="3">
                  <c:v>Hispanic </c:v>
                </c:pt>
              </c:strCache>
            </c:strRef>
          </c:cat>
          <c:val>
            <c:numRef>
              <c:f>Sheet3!$B$2:$E$2</c:f>
              <c:numCache>
                <c:formatCode>General</c:formatCode>
                <c:ptCount val="4"/>
                <c:pt idx="0">
                  <c:v>8.3000000000000007</c:v>
                </c:pt>
                <c:pt idx="1">
                  <c:v>5.54</c:v>
                </c:pt>
                <c:pt idx="2">
                  <c:v>2.4700000000000002</c:v>
                </c:pt>
                <c:pt idx="3">
                  <c:v>6.47</c:v>
                </c:pt>
              </c:numCache>
            </c:numRef>
          </c:val>
          <c:extLst>
            <c:ext xmlns:c16="http://schemas.microsoft.com/office/drawing/2014/chart" uri="{C3380CC4-5D6E-409C-BE32-E72D297353CC}">
              <c16:uniqueId val="{00000000-23A5-4F46-B143-8A7E403B0EA9}"/>
            </c:ext>
          </c:extLst>
        </c:ser>
        <c:ser>
          <c:idx val="1"/>
          <c:order val="1"/>
          <c:tx>
            <c:strRef>
              <c:f>Sheet3!$A$3</c:f>
              <c:strCache>
                <c:ptCount val="1"/>
                <c:pt idx="0">
                  <c:v>Incidence, female</c:v>
                </c:pt>
              </c:strCache>
            </c:strRef>
          </c:tx>
          <c:invertIfNegative val="0"/>
          <c:cat>
            <c:strRef>
              <c:f>Sheet3!$B$1:$E$1</c:f>
              <c:strCache>
                <c:ptCount val="4"/>
                <c:pt idx="0">
                  <c:v>White, non-Hispanic</c:v>
                </c:pt>
                <c:pt idx="1">
                  <c:v>Black, non-Hispanic</c:v>
                </c:pt>
                <c:pt idx="2">
                  <c:v>Asian, non-Hispanic</c:v>
                </c:pt>
                <c:pt idx="3">
                  <c:v>Hispanic </c:v>
                </c:pt>
              </c:strCache>
            </c:strRef>
          </c:cat>
          <c:val>
            <c:numRef>
              <c:f>Sheet3!$B$3:$E$3</c:f>
              <c:numCache>
                <c:formatCode>General</c:formatCode>
                <c:ptCount val="4"/>
                <c:pt idx="0">
                  <c:v>2.0299999999999998</c:v>
                </c:pt>
                <c:pt idx="1">
                  <c:v>1.25</c:v>
                </c:pt>
                <c:pt idx="2">
                  <c:v>0.84</c:v>
                </c:pt>
                <c:pt idx="3">
                  <c:v>1.4</c:v>
                </c:pt>
              </c:numCache>
            </c:numRef>
          </c:val>
          <c:extLst>
            <c:ext xmlns:c16="http://schemas.microsoft.com/office/drawing/2014/chart" uri="{C3380CC4-5D6E-409C-BE32-E72D297353CC}">
              <c16:uniqueId val="{00000001-23A5-4F46-B143-8A7E403B0EA9}"/>
            </c:ext>
          </c:extLst>
        </c:ser>
        <c:ser>
          <c:idx val="2"/>
          <c:order val="2"/>
          <c:tx>
            <c:strRef>
              <c:f>Sheet3!$A$4</c:f>
              <c:strCache>
                <c:ptCount val="1"/>
                <c:pt idx="0">
                  <c:v>Mortality, male</c:v>
                </c:pt>
              </c:strCache>
            </c:strRef>
          </c:tx>
          <c:spPr>
            <a:pattFill prst="wdUpDiag">
              <a:fgClr>
                <a:schemeClr val="accent1"/>
              </a:fgClr>
              <a:bgClr>
                <a:schemeClr val="bg1"/>
              </a:bgClr>
            </a:pattFill>
            <a:ln>
              <a:solidFill>
                <a:schemeClr val="accent1"/>
              </a:solidFill>
            </a:ln>
          </c:spPr>
          <c:invertIfNegative val="0"/>
          <c:cat>
            <c:strRef>
              <c:f>Sheet3!$B$1:$E$1</c:f>
              <c:strCache>
                <c:ptCount val="4"/>
                <c:pt idx="0">
                  <c:v>White, non-Hispanic</c:v>
                </c:pt>
                <c:pt idx="1">
                  <c:v>Black, non-Hispanic</c:v>
                </c:pt>
                <c:pt idx="2">
                  <c:v>Asian, non-Hispanic</c:v>
                </c:pt>
                <c:pt idx="3">
                  <c:v>Hispanic </c:v>
                </c:pt>
              </c:strCache>
            </c:strRef>
          </c:cat>
          <c:val>
            <c:numRef>
              <c:f>Sheet3!$B$4:$E$4</c:f>
              <c:numCache>
                <c:formatCode>General</c:formatCode>
                <c:ptCount val="4"/>
                <c:pt idx="0">
                  <c:v>2.39</c:v>
                </c:pt>
                <c:pt idx="1">
                  <c:v>3.35</c:v>
                </c:pt>
                <c:pt idx="3">
                  <c:v>1.96</c:v>
                </c:pt>
              </c:numCache>
            </c:numRef>
          </c:val>
          <c:extLst>
            <c:ext xmlns:c16="http://schemas.microsoft.com/office/drawing/2014/chart" uri="{C3380CC4-5D6E-409C-BE32-E72D297353CC}">
              <c16:uniqueId val="{00000002-23A5-4F46-B143-8A7E403B0EA9}"/>
            </c:ext>
          </c:extLst>
        </c:ser>
        <c:ser>
          <c:idx val="3"/>
          <c:order val="3"/>
          <c:tx>
            <c:strRef>
              <c:f>Sheet3!$A$5</c:f>
              <c:strCache>
                <c:ptCount val="1"/>
                <c:pt idx="0">
                  <c:v>Mortality, female</c:v>
                </c:pt>
              </c:strCache>
            </c:strRef>
          </c:tx>
          <c:spPr>
            <a:pattFill prst="wdUpDiag">
              <a:fgClr>
                <a:schemeClr val="accent2"/>
              </a:fgClr>
              <a:bgClr>
                <a:schemeClr val="bg1"/>
              </a:bgClr>
            </a:pattFill>
            <a:ln>
              <a:solidFill>
                <a:schemeClr val="accent2"/>
              </a:solidFill>
            </a:ln>
          </c:spPr>
          <c:invertIfNegative val="0"/>
          <c:cat>
            <c:strRef>
              <c:f>Sheet3!$B$1:$E$1</c:f>
              <c:strCache>
                <c:ptCount val="4"/>
                <c:pt idx="0">
                  <c:v>White, non-Hispanic</c:v>
                </c:pt>
                <c:pt idx="1">
                  <c:v>Black, non-Hispanic</c:v>
                </c:pt>
                <c:pt idx="2">
                  <c:v>Asian, non-Hispanic</c:v>
                </c:pt>
                <c:pt idx="3">
                  <c:v>Hispanic </c:v>
                </c:pt>
              </c:strCache>
            </c:strRef>
          </c:cat>
          <c:val>
            <c:numRef>
              <c:f>Sheet3!$B$5:$E$5</c:f>
              <c:numCache>
                <c:formatCode>General</c:formatCode>
                <c:ptCount val="4"/>
                <c:pt idx="0">
                  <c:v>0.75</c:v>
                </c:pt>
                <c:pt idx="1">
                  <c:v>0.71</c:v>
                </c:pt>
              </c:numCache>
            </c:numRef>
          </c:val>
          <c:extLst>
            <c:ext xmlns:c16="http://schemas.microsoft.com/office/drawing/2014/chart" uri="{C3380CC4-5D6E-409C-BE32-E72D297353CC}">
              <c16:uniqueId val="{00000003-23A5-4F46-B143-8A7E403B0EA9}"/>
            </c:ext>
          </c:extLst>
        </c:ser>
        <c:dLbls>
          <c:showLegendKey val="0"/>
          <c:showVal val="0"/>
          <c:showCatName val="0"/>
          <c:showSerName val="0"/>
          <c:showPercent val="0"/>
          <c:showBubbleSize val="0"/>
        </c:dLbls>
        <c:gapWidth val="150"/>
        <c:axId val="104001920"/>
        <c:axId val="104003840"/>
      </c:barChart>
      <c:catAx>
        <c:axId val="104001920"/>
        <c:scaling>
          <c:orientation val="minMax"/>
        </c:scaling>
        <c:delete val="0"/>
        <c:axPos val="b"/>
        <c:title>
          <c:tx>
            <c:rich>
              <a:bodyPr/>
              <a:lstStyle/>
              <a:p>
                <a:pPr>
                  <a:defRPr/>
                </a:pPr>
                <a:r>
                  <a:rPr lang="en-US"/>
                  <a:t>Race/ethnicity</a:t>
                </a:r>
              </a:p>
            </c:rich>
          </c:tx>
          <c:overlay val="0"/>
        </c:title>
        <c:numFmt formatCode="General" sourceLinked="0"/>
        <c:majorTickMark val="out"/>
        <c:minorTickMark val="none"/>
        <c:tickLblPos val="nextTo"/>
        <c:spPr>
          <a:ln>
            <a:solidFill>
              <a:schemeClr val="tx1"/>
            </a:solidFill>
          </a:ln>
        </c:spPr>
        <c:crossAx val="104003840"/>
        <c:crosses val="autoZero"/>
        <c:auto val="1"/>
        <c:lblAlgn val="ctr"/>
        <c:lblOffset val="100"/>
        <c:noMultiLvlLbl val="0"/>
      </c:catAx>
      <c:valAx>
        <c:axId val="104003840"/>
        <c:scaling>
          <c:orientation val="minMax"/>
        </c:scaling>
        <c:delete val="0"/>
        <c:axPos val="l"/>
        <c:majorGridlines>
          <c:spPr>
            <a:ln>
              <a:solidFill>
                <a:schemeClr val="bg1">
                  <a:lumMod val="65000"/>
                </a:schemeClr>
              </a:solidFill>
              <a:prstDash val="dash"/>
            </a:ln>
          </c:spPr>
        </c:majorGridlines>
        <c:title>
          <c:tx>
            <c:rich>
              <a:bodyPr rot="-5400000" vert="horz"/>
              <a:lstStyle/>
              <a:p>
                <a:pPr>
                  <a:defRPr/>
                </a:pPr>
                <a:r>
                  <a:rPr lang="en-US"/>
                  <a:t>Age-adjusted rate (per 100,000)</a:t>
                </a:r>
              </a:p>
            </c:rich>
          </c:tx>
          <c:overlay val="0"/>
        </c:title>
        <c:numFmt formatCode="General" sourceLinked="1"/>
        <c:majorTickMark val="out"/>
        <c:minorTickMark val="none"/>
        <c:tickLblPos val="nextTo"/>
        <c:spPr>
          <a:ln>
            <a:solidFill>
              <a:schemeClr val="tx1"/>
            </a:solidFill>
          </a:ln>
        </c:spPr>
        <c:crossAx val="104001920"/>
        <c:crosses val="autoZero"/>
        <c:crossBetween val="between"/>
      </c:valAx>
    </c:plotArea>
    <c:legend>
      <c:legendPos val="b"/>
      <c:layout>
        <c:manualLayout>
          <c:xMode val="edge"/>
          <c:yMode val="edge"/>
          <c:x val="0.17886580149703513"/>
          <c:y val="0.85449839603382916"/>
          <c:w val="0.67004617478370754"/>
          <c:h val="0.1455016039661709"/>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43762143368443"/>
          <c:y val="3.0431511655102519E-2"/>
          <c:w val="0.83736757337151035"/>
          <c:h val="0.56924842727992331"/>
        </c:manualLayout>
      </c:layout>
      <c:lineChart>
        <c:grouping val="standard"/>
        <c:varyColors val="0"/>
        <c:ser>
          <c:idx val="0"/>
          <c:order val="0"/>
          <c:tx>
            <c:v>Stage I (APC 2004-2014 = 0.31)</c:v>
          </c:tx>
          <c:marker>
            <c:symbol val="none"/>
          </c:marker>
          <c:cat>
            <c:numRef>
              <c:f>Sheet1!$B$34:$B$44</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Sheet1!$C$34:$C$44</c:f>
              <c:numCache>
                <c:formatCode>General</c:formatCode>
                <c:ptCount val="11"/>
                <c:pt idx="0">
                  <c:v>0.56032999999999999</c:v>
                </c:pt>
                <c:pt idx="1">
                  <c:v>0.70067999999999997</c:v>
                </c:pt>
                <c:pt idx="2">
                  <c:v>0.58553999999999995</c:v>
                </c:pt>
                <c:pt idx="3">
                  <c:v>0.70594000000000001</c:v>
                </c:pt>
                <c:pt idx="4">
                  <c:v>0.71128000000000002</c:v>
                </c:pt>
                <c:pt idx="5">
                  <c:v>0.68323999999999996</c:v>
                </c:pt>
                <c:pt idx="6">
                  <c:v>0.67908999999999997</c:v>
                </c:pt>
                <c:pt idx="7">
                  <c:v>0.66227999999999998</c:v>
                </c:pt>
                <c:pt idx="8">
                  <c:v>0.77081</c:v>
                </c:pt>
                <c:pt idx="9">
                  <c:v>0.79183999999999999</c:v>
                </c:pt>
                <c:pt idx="10">
                  <c:v>0.40127000000000002</c:v>
                </c:pt>
              </c:numCache>
            </c:numRef>
          </c:val>
          <c:smooth val="0"/>
          <c:extLst>
            <c:ext xmlns:c16="http://schemas.microsoft.com/office/drawing/2014/chart" uri="{C3380CC4-5D6E-409C-BE32-E72D297353CC}">
              <c16:uniqueId val="{00000000-BC6B-4910-992D-36135C91C493}"/>
            </c:ext>
          </c:extLst>
        </c:ser>
        <c:ser>
          <c:idx val="1"/>
          <c:order val="1"/>
          <c:tx>
            <c:v>Stage II (APC 2004-2014 = 4.77*)</c:v>
          </c:tx>
          <c:marker>
            <c:symbol val="none"/>
          </c:marker>
          <c:val>
            <c:numRef>
              <c:f>Sheet1!$C$23:$C$33</c:f>
              <c:numCache>
                <c:formatCode>General</c:formatCode>
                <c:ptCount val="11"/>
                <c:pt idx="0">
                  <c:v>2.4875799999999999</c:v>
                </c:pt>
                <c:pt idx="1">
                  <c:v>2.6623299999999999</c:v>
                </c:pt>
                <c:pt idx="2">
                  <c:v>2.4954800000000001</c:v>
                </c:pt>
                <c:pt idx="3">
                  <c:v>2.76057</c:v>
                </c:pt>
                <c:pt idx="4">
                  <c:v>2.7771499999999998</c:v>
                </c:pt>
                <c:pt idx="5">
                  <c:v>3.31107</c:v>
                </c:pt>
                <c:pt idx="6">
                  <c:v>3.1322299999999998</c:v>
                </c:pt>
                <c:pt idx="7">
                  <c:v>3.6272199999999999</c:v>
                </c:pt>
                <c:pt idx="8">
                  <c:v>3.9961899999999999</c:v>
                </c:pt>
                <c:pt idx="9">
                  <c:v>3.4014500000000001</c:v>
                </c:pt>
                <c:pt idx="10">
                  <c:v>3.7642500000000001</c:v>
                </c:pt>
              </c:numCache>
            </c:numRef>
          </c:val>
          <c:smooth val="0"/>
          <c:extLst>
            <c:ext xmlns:c16="http://schemas.microsoft.com/office/drawing/2014/chart" uri="{C3380CC4-5D6E-409C-BE32-E72D297353CC}">
              <c16:uniqueId val="{00000001-BC6B-4910-992D-36135C91C493}"/>
            </c:ext>
          </c:extLst>
        </c:ser>
        <c:ser>
          <c:idx val="2"/>
          <c:order val="2"/>
          <c:tx>
            <c:v>Stage III (APC 2004-2014 = 0.12)</c:v>
          </c:tx>
          <c:marker>
            <c:symbol val="none"/>
          </c:marker>
          <c:val>
            <c:numRef>
              <c:f>Sheet1!$C$12:$C$22</c:f>
              <c:numCache>
                <c:formatCode>General</c:formatCode>
                <c:ptCount val="11"/>
                <c:pt idx="0">
                  <c:v>0.73082000000000003</c:v>
                </c:pt>
                <c:pt idx="1">
                  <c:v>0.86460999999999999</c:v>
                </c:pt>
                <c:pt idx="2">
                  <c:v>0.77402000000000004</c:v>
                </c:pt>
                <c:pt idx="3">
                  <c:v>0.74238999999999999</c:v>
                </c:pt>
                <c:pt idx="4">
                  <c:v>0.88609000000000004</c:v>
                </c:pt>
                <c:pt idx="5">
                  <c:v>0.80749000000000004</c:v>
                </c:pt>
                <c:pt idx="6">
                  <c:v>0.84779000000000004</c:v>
                </c:pt>
                <c:pt idx="7">
                  <c:v>0.77814000000000005</c:v>
                </c:pt>
                <c:pt idx="8">
                  <c:v>0.77841000000000005</c:v>
                </c:pt>
                <c:pt idx="9">
                  <c:v>0.73373999999999995</c:v>
                </c:pt>
                <c:pt idx="10">
                  <c:v>0.85431999999999997</c:v>
                </c:pt>
              </c:numCache>
            </c:numRef>
          </c:val>
          <c:smooth val="0"/>
          <c:extLst>
            <c:ext xmlns:c16="http://schemas.microsoft.com/office/drawing/2014/chart" uri="{C3380CC4-5D6E-409C-BE32-E72D297353CC}">
              <c16:uniqueId val="{00000002-BC6B-4910-992D-36135C91C493}"/>
            </c:ext>
          </c:extLst>
        </c:ser>
        <c:ser>
          <c:idx val="3"/>
          <c:order val="3"/>
          <c:tx>
            <c:v>Stage IV (APC 2004-2014 = -10.60*)</c:v>
          </c:tx>
          <c:marker>
            <c:symbol val="none"/>
          </c:marker>
          <c:val>
            <c:numRef>
              <c:f>Sheet1!$C$1:$C$11</c:f>
              <c:numCache>
                <c:formatCode>General</c:formatCode>
                <c:ptCount val="11"/>
                <c:pt idx="0">
                  <c:v>0.11428000000000001</c:v>
                </c:pt>
                <c:pt idx="1">
                  <c:v>0.12395</c:v>
                </c:pt>
                <c:pt idx="2">
                  <c:v>6.9940000000000002E-2</c:v>
                </c:pt>
                <c:pt idx="3">
                  <c:v>9.4009999999999996E-2</c:v>
                </c:pt>
                <c:pt idx="4">
                  <c:v>2.4580000000000001E-2</c:v>
                </c:pt>
                <c:pt idx="5">
                  <c:v>6.991E-2</c:v>
                </c:pt>
                <c:pt idx="6">
                  <c:v>2.6939999999999999E-2</c:v>
                </c:pt>
                <c:pt idx="7">
                  <c:v>6.6809999999999994E-2</c:v>
                </c:pt>
                <c:pt idx="8">
                  <c:v>3.8420000000000003E-2</c:v>
                </c:pt>
                <c:pt idx="9">
                  <c:v>4.299E-2</c:v>
                </c:pt>
                <c:pt idx="10">
                  <c:v>4.48E-2</c:v>
                </c:pt>
              </c:numCache>
            </c:numRef>
          </c:val>
          <c:smooth val="0"/>
          <c:extLst>
            <c:ext xmlns:c16="http://schemas.microsoft.com/office/drawing/2014/chart" uri="{C3380CC4-5D6E-409C-BE32-E72D297353CC}">
              <c16:uniqueId val="{00000003-BC6B-4910-992D-36135C91C493}"/>
            </c:ext>
          </c:extLst>
        </c:ser>
        <c:dLbls>
          <c:showLegendKey val="0"/>
          <c:showVal val="0"/>
          <c:showCatName val="0"/>
          <c:showSerName val="0"/>
          <c:showPercent val="0"/>
          <c:showBubbleSize val="0"/>
        </c:dLbls>
        <c:smooth val="0"/>
        <c:axId val="111239936"/>
        <c:axId val="111241856"/>
      </c:lineChart>
      <c:catAx>
        <c:axId val="111239936"/>
        <c:scaling>
          <c:orientation val="minMax"/>
        </c:scaling>
        <c:delete val="0"/>
        <c:axPos val="b"/>
        <c:title>
          <c:tx>
            <c:rich>
              <a:bodyPr/>
              <a:lstStyle/>
              <a:p>
                <a:pPr>
                  <a:defRPr/>
                </a:pPr>
                <a:r>
                  <a:rPr lang="en-US"/>
                  <a:t>Year of Diagnosis</a:t>
                </a:r>
              </a:p>
            </c:rich>
          </c:tx>
          <c:overlay val="0"/>
        </c:title>
        <c:numFmt formatCode="General" sourceLinked="1"/>
        <c:majorTickMark val="out"/>
        <c:minorTickMark val="none"/>
        <c:tickLblPos val="nextTo"/>
        <c:spPr>
          <a:ln>
            <a:solidFill>
              <a:schemeClr val="tx1"/>
            </a:solidFill>
          </a:ln>
        </c:spPr>
        <c:crossAx val="111241856"/>
        <c:crosses val="autoZero"/>
        <c:auto val="1"/>
        <c:lblAlgn val="ctr"/>
        <c:lblOffset val="100"/>
        <c:noMultiLvlLbl val="0"/>
      </c:catAx>
      <c:valAx>
        <c:axId val="111241856"/>
        <c:scaling>
          <c:orientation val="minMax"/>
          <c:max val="4"/>
        </c:scaling>
        <c:delete val="0"/>
        <c:axPos val="l"/>
        <c:majorGridlines>
          <c:spPr>
            <a:ln>
              <a:solidFill>
                <a:schemeClr val="bg1">
                  <a:lumMod val="65000"/>
                </a:schemeClr>
              </a:solidFill>
              <a:prstDash val="dash"/>
            </a:ln>
          </c:spPr>
        </c:majorGridlines>
        <c:title>
          <c:tx>
            <c:rich>
              <a:bodyPr rot="-5400000" vert="horz"/>
              <a:lstStyle/>
              <a:p>
                <a:pPr>
                  <a:defRPr/>
                </a:pPr>
                <a:r>
                  <a:rPr lang="en-US"/>
                  <a:t>Rate per 100,000</a:t>
                </a:r>
              </a:p>
            </c:rich>
          </c:tx>
          <c:overlay val="0"/>
        </c:title>
        <c:numFmt formatCode="General" sourceLinked="1"/>
        <c:majorTickMark val="out"/>
        <c:minorTickMark val="none"/>
        <c:tickLblPos val="nextTo"/>
        <c:spPr>
          <a:ln>
            <a:solidFill>
              <a:schemeClr val="tx1"/>
            </a:solidFill>
          </a:ln>
        </c:spPr>
        <c:crossAx val="111239936"/>
        <c:crosses val="autoZero"/>
        <c:crossBetween val="midCat"/>
      </c:valAx>
    </c:plotArea>
    <c:legend>
      <c:legendPos val="b"/>
      <c:layout>
        <c:manualLayout>
          <c:xMode val="edge"/>
          <c:yMode val="edge"/>
          <c:x val="0"/>
          <c:y val="0.79123381823034833"/>
          <c:w val="1"/>
          <c:h val="0.2064122193059201"/>
        </c:manualLayout>
      </c:layout>
      <c:overlay val="0"/>
    </c:legend>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solidFill>
                  <a:schemeClr val="accent1">
                    <a:lumMod val="75000"/>
                  </a:schemeClr>
                </a:solidFill>
              </a:rPr>
              <a:t>Figure 5. Stage at diagnosis^^</a:t>
            </a:r>
            <a:r>
              <a:rPr lang="en-US" sz="1200" baseline="0">
                <a:solidFill>
                  <a:schemeClr val="accent1">
                    <a:lumMod val="75000"/>
                  </a:schemeClr>
                </a:solidFill>
              </a:rPr>
              <a:t> by race/ethnicity, Massachsuetts, 2004-2014</a:t>
            </a:r>
            <a:endParaRPr lang="en-US" sz="1200">
              <a:solidFill>
                <a:schemeClr val="accent1">
                  <a:lumMod val="75000"/>
                </a:schemeClr>
              </a:solidFill>
            </a:endParaRPr>
          </a:p>
        </c:rich>
      </c:tx>
      <c:layout>
        <c:manualLayout>
          <c:xMode val="edge"/>
          <c:yMode val="edge"/>
          <c:x val="0.1692985564304462"/>
          <c:y val="0"/>
        </c:manualLayout>
      </c:layout>
      <c:overlay val="0"/>
    </c:title>
    <c:autoTitleDeleted val="0"/>
    <c:plotArea>
      <c:layout>
        <c:manualLayout>
          <c:layoutTarget val="inner"/>
          <c:xMode val="edge"/>
          <c:yMode val="edge"/>
          <c:x val="0.21751286102952339"/>
          <c:y val="0.1417538029091793"/>
          <c:w val="0.76136705169628927"/>
          <c:h val="0.47732982674902119"/>
        </c:manualLayout>
      </c:layout>
      <c:barChart>
        <c:barDir val="col"/>
        <c:grouping val="clustered"/>
        <c:varyColors val="0"/>
        <c:ser>
          <c:idx val="0"/>
          <c:order val="0"/>
          <c:tx>
            <c:strRef>
              <c:f>Sheet1!$A$2</c:f>
              <c:strCache>
                <c:ptCount val="1"/>
                <c:pt idx="0">
                  <c:v>White, non-Hispanic</c:v>
                </c:pt>
              </c:strCache>
            </c:strRef>
          </c:tx>
          <c:invertIfNegative val="0"/>
          <c:cat>
            <c:strRef>
              <c:f>Sheet1!$B$1:$E$1</c:f>
              <c:strCache>
                <c:ptCount val="4"/>
                <c:pt idx="0">
                  <c:v>Stage I (%)</c:v>
                </c:pt>
                <c:pt idx="1">
                  <c:v>Stage II (%)</c:v>
                </c:pt>
                <c:pt idx="2">
                  <c:v>Stage III (%)</c:v>
                </c:pt>
                <c:pt idx="3">
                  <c:v>Stage IV (%)</c:v>
                </c:pt>
              </c:strCache>
            </c:strRef>
          </c:cat>
          <c:val>
            <c:numRef>
              <c:f>Sheet1!$B$2:$E$2</c:f>
              <c:numCache>
                <c:formatCode>General</c:formatCode>
                <c:ptCount val="4"/>
                <c:pt idx="0">
                  <c:v>13.86</c:v>
                </c:pt>
                <c:pt idx="1">
                  <c:v>68.150000000000006</c:v>
                </c:pt>
                <c:pt idx="2">
                  <c:v>16.8</c:v>
                </c:pt>
                <c:pt idx="3">
                  <c:v>1.2</c:v>
                </c:pt>
              </c:numCache>
            </c:numRef>
          </c:val>
          <c:extLst>
            <c:ext xmlns:c16="http://schemas.microsoft.com/office/drawing/2014/chart" uri="{C3380CC4-5D6E-409C-BE32-E72D297353CC}">
              <c16:uniqueId val="{00000000-B19D-46A1-BAE9-AAEC32F42C71}"/>
            </c:ext>
          </c:extLst>
        </c:ser>
        <c:ser>
          <c:idx val="1"/>
          <c:order val="1"/>
          <c:tx>
            <c:strRef>
              <c:f>Sheet1!$A$3</c:f>
              <c:strCache>
                <c:ptCount val="1"/>
                <c:pt idx="0">
                  <c:v>Black, non-Hispanic</c:v>
                </c:pt>
              </c:strCache>
            </c:strRef>
          </c:tx>
          <c:spPr>
            <a:solidFill>
              <a:schemeClr val="accent1">
                <a:lumMod val="40000"/>
                <a:lumOff val="60000"/>
              </a:schemeClr>
            </a:solidFill>
          </c:spPr>
          <c:invertIfNegative val="0"/>
          <c:cat>
            <c:strRef>
              <c:f>Sheet1!$B$1:$E$1</c:f>
              <c:strCache>
                <c:ptCount val="4"/>
                <c:pt idx="0">
                  <c:v>Stage I (%)</c:v>
                </c:pt>
                <c:pt idx="1">
                  <c:v>Stage II (%)</c:v>
                </c:pt>
                <c:pt idx="2">
                  <c:v>Stage III (%)</c:v>
                </c:pt>
                <c:pt idx="3">
                  <c:v>Stage IV (%)</c:v>
                </c:pt>
              </c:strCache>
            </c:strRef>
          </c:cat>
          <c:val>
            <c:numRef>
              <c:f>Sheet1!$B$3:$E$3</c:f>
              <c:numCache>
                <c:formatCode>General</c:formatCode>
                <c:ptCount val="4"/>
                <c:pt idx="0">
                  <c:v>14.17</c:v>
                </c:pt>
                <c:pt idx="1">
                  <c:v>62.2</c:v>
                </c:pt>
                <c:pt idx="2">
                  <c:v>20.47</c:v>
                </c:pt>
                <c:pt idx="3">
                  <c:v>3.15</c:v>
                </c:pt>
              </c:numCache>
            </c:numRef>
          </c:val>
          <c:extLst>
            <c:ext xmlns:c16="http://schemas.microsoft.com/office/drawing/2014/chart" uri="{C3380CC4-5D6E-409C-BE32-E72D297353CC}">
              <c16:uniqueId val="{00000001-B19D-46A1-BAE9-AAEC32F42C71}"/>
            </c:ext>
          </c:extLst>
        </c:ser>
        <c:ser>
          <c:idx val="2"/>
          <c:order val="2"/>
          <c:tx>
            <c:strRef>
              <c:f>Sheet1!$A$4</c:f>
              <c:strCache>
                <c:ptCount val="1"/>
                <c:pt idx="0">
                  <c:v>Asian, non-Hispanic</c:v>
                </c:pt>
              </c:strCache>
            </c:strRef>
          </c:tx>
          <c:spPr>
            <a:pattFill prst="wdDnDiag">
              <a:fgClr>
                <a:schemeClr val="accent1"/>
              </a:fgClr>
              <a:bgClr>
                <a:schemeClr val="bg1"/>
              </a:bgClr>
            </a:pattFill>
            <a:ln>
              <a:solidFill>
                <a:schemeClr val="accent1"/>
              </a:solidFill>
            </a:ln>
          </c:spPr>
          <c:invertIfNegative val="0"/>
          <c:cat>
            <c:strRef>
              <c:f>Sheet1!$B$1:$E$1</c:f>
              <c:strCache>
                <c:ptCount val="4"/>
                <c:pt idx="0">
                  <c:v>Stage I (%)</c:v>
                </c:pt>
                <c:pt idx="1">
                  <c:v>Stage II (%)</c:v>
                </c:pt>
                <c:pt idx="2">
                  <c:v>Stage III (%)</c:v>
                </c:pt>
                <c:pt idx="3">
                  <c:v>Stage IV (%)</c:v>
                </c:pt>
              </c:strCache>
            </c:strRef>
          </c:cat>
          <c:val>
            <c:numRef>
              <c:f>Sheet1!$B$4:$E$4</c:f>
              <c:numCache>
                <c:formatCode>General</c:formatCode>
                <c:ptCount val="4"/>
                <c:pt idx="0">
                  <c:v>20.45</c:v>
                </c:pt>
                <c:pt idx="1">
                  <c:v>59.089999999999996</c:v>
                </c:pt>
                <c:pt idx="2">
                  <c:v>18.18</c:v>
                </c:pt>
                <c:pt idx="3">
                  <c:v>2.27</c:v>
                </c:pt>
              </c:numCache>
            </c:numRef>
          </c:val>
          <c:extLst>
            <c:ext xmlns:c16="http://schemas.microsoft.com/office/drawing/2014/chart" uri="{C3380CC4-5D6E-409C-BE32-E72D297353CC}">
              <c16:uniqueId val="{00000002-B19D-46A1-BAE9-AAEC32F42C71}"/>
            </c:ext>
          </c:extLst>
        </c:ser>
        <c:ser>
          <c:idx val="3"/>
          <c:order val="3"/>
          <c:tx>
            <c:strRef>
              <c:f>Sheet1!$A$5</c:f>
              <c:strCache>
                <c:ptCount val="1"/>
                <c:pt idx="0">
                  <c:v>Hispanic</c:v>
                </c:pt>
              </c:strCache>
            </c:strRef>
          </c:tx>
          <c:spPr>
            <a:pattFill prst="dkUpDiag">
              <a:fgClr>
                <a:schemeClr val="accent1">
                  <a:lumMod val="40000"/>
                  <a:lumOff val="60000"/>
                </a:schemeClr>
              </a:fgClr>
              <a:bgClr>
                <a:schemeClr val="bg1"/>
              </a:bgClr>
            </a:pattFill>
            <a:ln>
              <a:solidFill>
                <a:schemeClr val="accent1">
                  <a:lumMod val="40000"/>
                  <a:lumOff val="60000"/>
                </a:schemeClr>
              </a:solidFill>
            </a:ln>
          </c:spPr>
          <c:invertIfNegative val="0"/>
          <c:cat>
            <c:strRef>
              <c:f>Sheet1!$B$1:$E$1</c:f>
              <c:strCache>
                <c:ptCount val="4"/>
                <c:pt idx="0">
                  <c:v>Stage I (%)</c:v>
                </c:pt>
                <c:pt idx="1">
                  <c:v>Stage II (%)</c:v>
                </c:pt>
                <c:pt idx="2">
                  <c:v>Stage III (%)</c:v>
                </c:pt>
                <c:pt idx="3">
                  <c:v>Stage IV (%)</c:v>
                </c:pt>
              </c:strCache>
            </c:strRef>
          </c:cat>
          <c:val>
            <c:numRef>
              <c:f>Sheet1!$B$5:$E$5</c:f>
              <c:numCache>
                <c:formatCode>General</c:formatCode>
                <c:ptCount val="4"/>
                <c:pt idx="0">
                  <c:v>13.530000000000001</c:v>
                </c:pt>
                <c:pt idx="1">
                  <c:v>60.9</c:v>
                </c:pt>
                <c:pt idx="2">
                  <c:v>23.31</c:v>
                </c:pt>
                <c:pt idx="3">
                  <c:v>2.2599999999999998</c:v>
                </c:pt>
              </c:numCache>
            </c:numRef>
          </c:val>
          <c:extLst>
            <c:ext xmlns:c16="http://schemas.microsoft.com/office/drawing/2014/chart" uri="{C3380CC4-5D6E-409C-BE32-E72D297353CC}">
              <c16:uniqueId val="{00000003-B19D-46A1-BAE9-AAEC32F42C71}"/>
            </c:ext>
          </c:extLst>
        </c:ser>
        <c:dLbls>
          <c:showLegendKey val="0"/>
          <c:showVal val="0"/>
          <c:showCatName val="0"/>
          <c:showSerName val="0"/>
          <c:showPercent val="0"/>
          <c:showBubbleSize val="0"/>
        </c:dLbls>
        <c:gapWidth val="150"/>
        <c:axId val="103298176"/>
        <c:axId val="103299712"/>
      </c:barChart>
      <c:catAx>
        <c:axId val="103298176"/>
        <c:scaling>
          <c:orientation val="minMax"/>
        </c:scaling>
        <c:delete val="0"/>
        <c:axPos val="b"/>
        <c:numFmt formatCode="General" sourceLinked="0"/>
        <c:majorTickMark val="out"/>
        <c:minorTickMark val="none"/>
        <c:tickLblPos val="nextTo"/>
        <c:spPr>
          <a:ln>
            <a:solidFill>
              <a:schemeClr val="tx1"/>
            </a:solidFill>
          </a:ln>
        </c:spPr>
        <c:crossAx val="103299712"/>
        <c:crosses val="autoZero"/>
        <c:auto val="1"/>
        <c:lblAlgn val="ctr"/>
        <c:lblOffset val="100"/>
        <c:noMultiLvlLbl val="0"/>
      </c:catAx>
      <c:valAx>
        <c:axId val="103299712"/>
        <c:scaling>
          <c:orientation val="minMax"/>
          <c:max val="70"/>
          <c:min val="0"/>
        </c:scaling>
        <c:delete val="0"/>
        <c:axPos val="l"/>
        <c:majorGridlines>
          <c:spPr>
            <a:ln>
              <a:solidFill>
                <a:schemeClr val="bg1">
                  <a:lumMod val="75000"/>
                </a:schemeClr>
              </a:solidFill>
              <a:prstDash val="dash"/>
            </a:ln>
          </c:spPr>
        </c:majorGridlines>
        <c:title>
          <c:tx>
            <c:rich>
              <a:bodyPr rot="0" vert="horz"/>
              <a:lstStyle/>
              <a:p>
                <a:pPr>
                  <a:defRPr/>
                </a:pPr>
                <a:r>
                  <a:rPr lang="en-US"/>
                  <a:t>Percent</a:t>
                </a:r>
              </a:p>
            </c:rich>
          </c:tx>
          <c:layout>
            <c:manualLayout>
              <c:xMode val="edge"/>
              <c:yMode val="edge"/>
              <c:x val="8.5125397631747646E-2"/>
              <c:y val="0.35957498810970778"/>
            </c:manualLayout>
          </c:layout>
          <c:overlay val="0"/>
        </c:title>
        <c:numFmt formatCode="General" sourceLinked="0"/>
        <c:majorTickMark val="out"/>
        <c:minorTickMark val="none"/>
        <c:tickLblPos val="nextTo"/>
        <c:spPr>
          <a:ln>
            <a:solidFill>
              <a:schemeClr val="tx1"/>
            </a:solidFill>
          </a:ln>
        </c:spPr>
        <c:crossAx val="103298176"/>
        <c:crosses val="autoZero"/>
        <c:crossBetween val="between"/>
        <c:majorUnit val="10"/>
      </c:valAx>
      <c:dTable>
        <c:showHorzBorder val="1"/>
        <c:showVertBorder val="1"/>
        <c:showOutline val="1"/>
        <c:showKeys val="1"/>
      </c:dTable>
    </c:plotArea>
    <c:plotVisOnly val="1"/>
    <c:dispBlanksAs val="gap"/>
    <c:showDLblsOverMax val="0"/>
  </c:chart>
  <c:spPr>
    <a:ln>
      <a:solidFill>
        <a:schemeClr val="tx1"/>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Massachusetts</c:v>
                </c:pt>
              </c:strCache>
            </c:strRef>
          </c:tx>
          <c:invertIfNegative val="0"/>
          <c:cat>
            <c:strRef>
              <c:f>Sheet1!$A$2:$A$5</c:f>
              <c:strCache>
                <c:ptCount val="4"/>
                <c:pt idx="0">
                  <c:v>≥1 dose girls</c:v>
                </c:pt>
                <c:pt idx="1">
                  <c:v>≥1 dose boys</c:v>
                </c:pt>
                <c:pt idx="2">
                  <c:v>≥3 doses girls</c:v>
                </c:pt>
                <c:pt idx="3">
                  <c:v>≥3 doses boys</c:v>
                </c:pt>
              </c:strCache>
            </c:strRef>
          </c:cat>
          <c:val>
            <c:numRef>
              <c:f>Sheet1!$B$2:$B$5</c:f>
              <c:numCache>
                <c:formatCode>General</c:formatCode>
                <c:ptCount val="4"/>
                <c:pt idx="0">
                  <c:v>0.73499999999999999</c:v>
                </c:pt>
                <c:pt idx="1">
                  <c:v>0.63</c:v>
                </c:pt>
                <c:pt idx="2">
                  <c:v>0.52800000000000002</c:v>
                </c:pt>
                <c:pt idx="3">
                  <c:v>0.35199999999999998</c:v>
                </c:pt>
              </c:numCache>
            </c:numRef>
          </c:val>
          <c:extLst>
            <c:ext xmlns:c16="http://schemas.microsoft.com/office/drawing/2014/chart" uri="{C3380CC4-5D6E-409C-BE32-E72D297353CC}">
              <c16:uniqueId val="{00000000-12C5-4D13-B47C-6D6E14C1C2E2}"/>
            </c:ext>
          </c:extLst>
        </c:ser>
        <c:ser>
          <c:idx val="1"/>
          <c:order val="1"/>
          <c:tx>
            <c:strRef>
              <c:f>Sheet1!$C$1</c:f>
              <c:strCache>
                <c:ptCount val="1"/>
                <c:pt idx="0">
                  <c:v>United States</c:v>
                </c:pt>
              </c:strCache>
            </c:strRef>
          </c:tx>
          <c:spPr>
            <a:solidFill>
              <a:schemeClr val="tx2">
                <a:lumMod val="20000"/>
                <a:lumOff val="80000"/>
              </a:schemeClr>
            </a:solidFill>
          </c:spPr>
          <c:invertIfNegative val="0"/>
          <c:cat>
            <c:strRef>
              <c:f>Sheet1!$A$2:$A$5</c:f>
              <c:strCache>
                <c:ptCount val="4"/>
                <c:pt idx="0">
                  <c:v>≥1 dose girls</c:v>
                </c:pt>
                <c:pt idx="1">
                  <c:v>≥1 dose boys</c:v>
                </c:pt>
                <c:pt idx="2">
                  <c:v>≥3 doses girls</c:v>
                </c:pt>
                <c:pt idx="3">
                  <c:v>≥3 doses boys</c:v>
                </c:pt>
              </c:strCache>
            </c:strRef>
          </c:cat>
          <c:val>
            <c:numRef>
              <c:f>Sheet1!$C$2:$C$5</c:f>
              <c:numCache>
                <c:formatCode>General</c:formatCode>
                <c:ptCount val="4"/>
                <c:pt idx="0">
                  <c:v>0.628</c:v>
                </c:pt>
                <c:pt idx="1">
                  <c:v>0.498</c:v>
                </c:pt>
                <c:pt idx="2">
                  <c:v>0.41899999999999998</c:v>
                </c:pt>
                <c:pt idx="3">
                  <c:v>0.28100000000000003</c:v>
                </c:pt>
              </c:numCache>
            </c:numRef>
          </c:val>
          <c:extLst>
            <c:ext xmlns:c16="http://schemas.microsoft.com/office/drawing/2014/chart" uri="{C3380CC4-5D6E-409C-BE32-E72D297353CC}">
              <c16:uniqueId val="{00000001-12C5-4D13-B47C-6D6E14C1C2E2}"/>
            </c:ext>
          </c:extLst>
        </c:ser>
        <c:dLbls>
          <c:showLegendKey val="0"/>
          <c:showVal val="0"/>
          <c:showCatName val="0"/>
          <c:showSerName val="0"/>
          <c:showPercent val="0"/>
          <c:showBubbleSize val="0"/>
        </c:dLbls>
        <c:gapWidth val="150"/>
        <c:axId val="103323136"/>
        <c:axId val="103324672"/>
      </c:barChart>
      <c:catAx>
        <c:axId val="103323136"/>
        <c:scaling>
          <c:orientation val="minMax"/>
        </c:scaling>
        <c:delete val="0"/>
        <c:axPos val="b"/>
        <c:numFmt formatCode="General" sourceLinked="0"/>
        <c:majorTickMark val="out"/>
        <c:minorTickMark val="none"/>
        <c:tickLblPos val="nextTo"/>
        <c:spPr>
          <a:ln>
            <a:solidFill>
              <a:schemeClr val="tx1"/>
            </a:solidFill>
          </a:ln>
        </c:spPr>
        <c:crossAx val="103324672"/>
        <c:crosses val="autoZero"/>
        <c:auto val="1"/>
        <c:lblAlgn val="ctr"/>
        <c:lblOffset val="100"/>
        <c:noMultiLvlLbl val="0"/>
      </c:catAx>
      <c:valAx>
        <c:axId val="103324672"/>
        <c:scaling>
          <c:orientation val="minMax"/>
          <c:max val="1"/>
          <c:min val="0"/>
        </c:scaling>
        <c:delete val="0"/>
        <c:axPos val="l"/>
        <c:majorGridlines>
          <c:spPr>
            <a:ln>
              <a:solidFill>
                <a:schemeClr val="bg1">
                  <a:lumMod val="65000"/>
                </a:schemeClr>
              </a:solidFill>
              <a:prstDash val="dash"/>
            </a:ln>
          </c:spPr>
        </c:majorGridlines>
        <c:numFmt formatCode="0%" sourceLinked="0"/>
        <c:majorTickMark val="out"/>
        <c:minorTickMark val="none"/>
        <c:tickLblPos val="nextTo"/>
        <c:spPr>
          <a:ln>
            <a:solidFill>
              <a:schemeClr val="tx1"/>
            </a:solidFill>
          </a:ln>
        </c:spPr>
        <c:crossAx val="103323136"/>
        <c:crosses val="autoZero"/>
        <c:crossBetween val="between"/>
        <c:majorUnit val="0.2"/>
      </c:valAx>
    </c:plotArea>
    <c:legend>
      <c:legendPos val="b"/>
      <c:overlay val="0"/>
    </c:legend>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763001846991347"/>
          <c:y val="4.3614379663216254E-2"/>
          <c:w val="0.76545156342305176"/>
          <c:h val="0.61272169630481588"/>
        </c:manualLayout>
      </c:layout>
      <c:lineChart>
        <c:grouping val="standard"/>
        <c:varyColors val="0"/>
        <c:ser>
          <c:idx val="0"/>
          <c:order val="0"/>
          <c:tx>
            <c:v>Males (APC 1990-2010 = -2.36*)</c:v>
          </c:tx>
          <c:spPr>
            <a:ln>
              <a:solidFill>
                <a:schemeClr val="accent1"/>
              </a:solidFill>
            </a:ln>
          </c:spPr>
          <c:marker>
            <c:symbol val="none"/>
          </c:marker>
          <c:cat>
            <c:numRef>
              <c:f>Sheet1!$B$2:$B$22</c:f>
              <c:numCache>
                <c:formatCode>General</c:formatCode>
                <c:ptCount val="2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numCache>
            </c:numRef>
          </c:cat>
          <c:val>
            <c:numRef>
              <c:f>Sheet1!$C$23:$C$43</c:f>
              <c:numCache>
                <c:formatCode>General</c:formatCode>
                <c:ptCount val="21"/>
                <c:pt idx="0">
                  <c:v>0.26700000000000002</c:v>
                </c:pt>
                <c:pt idx="1">
                  <c:v>0.22699999999999998</c:v>
                </c:pt>
                <c:pt idx="2">
                  <c:v>0.25900000000000001</c:v>
                </c:pt>
                <c:pt idx="3">
                  <c:v>0.20699999999999999</c:v>
                </c:pt>
                <c:pt idx="4">
                  <c:v>0.23899999999999999</c:v>
                </c:pt>
                <c:pt idx="5">
                  <c:v>0.24100000000000002</c:v>
                </c:pt>
                <c:pt idx="6">
                  <c:v>0.23399999999999999</c:v>
                </c:pt>
                <c:pt idx="7">
                  <c:v>0.21</c:v>
                </c:pt>
                <c:pt idx="8">
                  <c:v>0.21199999999999999</c:v>
                </c:pt>
                <c:pt idx="9">
                  <c:v>0.20600000000000002</c:v>
                </c:pt>
                <c:pt idx="10">
                  <c:v>0.20199999999999999</c:v>
                </c:pt>
                <c:pt idx="11">
                  <c:v>0.20399999999999999</c:v>
                </c:pt>
                <c:pt idx="12">
                  <c:v>0.20100000000000001</c:v>
                </c:pt>
                <c:pt idx="13">
                  <c:v>0.2</c:v>
                </c:pt>
                <c:pt idx="14">
                  <c:v>0.19699999999999998</c:v>
                </c:pt>
                <c:pt idx="15">
                  <c:v>0.182</c:v>
                </c:pt>
                <c:pt idx="16">
                  <c:v>0.193</c:v>
                </c:pt>
                <c:pt idx="17">
                  <c:v>0.17300000000000001</c:v>
                </c:pt>
                <c:pt idx="18">
                  <c:v>0.16899999999999998</c:v>
                </c:pt>
                <c:pt idx="19">
                  <c:v>0.161</c:v>
                </c:pt>
                <c:pt idx="20">
                  <c:v>0.14800000000000002</c:v>
                </c:pt>
              </c:numCache>
            </c:numRef>
          </c:val>
          <c:smooth val="0"/>
          <c:extLst>
            <c:ext xmlns:c16="http://schemas.microsoft.com/office/drawing/2014/chart" uri="{C3380CC4-5D6E-409C-BE32-E72D297353CC}">
              <c16:uniqueId val="{00000000-5E41-47F7-AD49-602C19D6F4C0}"/>
            </c:ext>
          </c:extLst>
        </c:ser>
        <c:ser>
          <c:idx val="1"/>
          <c:order val="1"/>
          <c:tx>
            <c:v>Females (APC 1990-2005 = -1.81*, APC 2005-2010 = -5.26*)</c:v>
          </c:tx>
          <c:spPr>
            <a:ln>
              <a:solidFill>
                <a:schemeClr val="accent2"/>
              </a:solidFill>
            </a:ln>
          </c:spPr>
          <c:marker>
            <c:symbol val="none"/>
          </c:marker>
          <c:val>
            <c:numRef>
              <c:f>Sheet1!$C$44:$C$64</c:f>
              <c:numCache>
                <c:formatCode>General</c:formatCode>
                <c:ptCount val="21"/>
                <c:pt idx="0">
                  <c:v>0.218</c:v>
                </c:pt>
                <c:pt idx="1">
                  <c:v>0.23100000000000001</c:v>
                </c:pt>
                <c:pt idx="2">
                  <c:v>0.21199999999999999</c:v>
                </c:pt>
                <c:pt idx="3">
                  <c:v>0.214</c:v>
                </c:pt>
                <c:pt idx="4">
                  <c:v>0.20800000000000002</c:v>
                </c:pt>
                <c:pt idx="5">
                  <c:v>0.215</c:v>
                </c:pt>
                <c:pt idx="6">
                  <c:v>0.222</c:v>
                </c:pt>
                <c:pt idx="7">
                  <c:v>0.20199999999999999</c:v>
                </c:pt>
                <c:pt idx="8">
                  <c:v>0.21</c:v>
                </c:pt>
                <c:pt idx="9">
                  <c:v>0.19899999999999998</c:v>
                </c:pt>
                <c:pt idx="10">
                  <c:v>0.19699999999999998</c:v>
                </c:pt>
                <c:pt idx="11">
                  <c:v>0.187</c:v>
                </c:pt>
                <c:pt idx="12">
                  <c:v>0.17899999999999999</c:v>
                </c:pt>
                <c:pt idx="13">
                  <c:v>0.183</c:v>
                </c:pt>
                <c:pt idx="14">
                  <c:v>0.17399999999999999</c:v>
                </c:pt>
                <c:pt idx="15">
                  <c:v>0.17899999999999999</c:v>
                </c:pt>
                <c:pt idx="16">
                  <c:v>0.16399999999999998</c:v>
                </c:pt>
                <c:pt idx="17">
                  <c:v>0.155</c:v>
                </c:pt>
                <c:pt idx="18">
                  <c:v>0.154</c:v>
                </c:pt>
                <c:pt idx="19">
                  <c:v>0.14000000000000001</c:v>
                </c:pt>
                <c:pt idx="20">
                  <c:v>0.13400000000000001</c:v>
                </c:pt>
              </c:numCache>
            </c:numRef>
          </c:val>
          <c:smooth val="0"/>
          <c:extLst>
            <c:ext xmlns:c16="http://schemas.microsoft.com/office/drawing/2014/chart" uri="{C3380CC4-5D6E-409C-BE32-E72D297353CC}">
              <c16:uniqueId val="{00000001-5E41-47F7-AD49-602C19D6F4C0}"/>
            </c:ext>
          </c:extLst>
        </c:ser>
        <c:ser>
          <c:idx val="3"/>
          <c:order val="2"/>
          <c:tx>
            <c:v>US Median</c:v>
          </c:tx>
          <c:spPr>
            <a:ln>
              <a:solidFill>
                <a:schemeClr val="tx1"/>
              </a:solidFill>
              <a:prstDash val="sysDash"/>
            </a:ln>
          </c:spPr>
          <c:marker>
            <c:symbol val="none"/>
          </c:marker>
          <c:val>
            <c:numRef>
              <c:f>Sheet1!$C$65:$C$85</c:f>
              <c:numCache>
                <c:formatCode>General</c:formatCode>
                <c:ptCount val="21"/>
                <c:pt idx="6">
                  <c:v>0.23399999999999999</c:v>
                </c:pt>
                <c:pt idx="7">
                  <c:v>0.23199999999999998</c:v>
                </c:pt>
                <c:pt idx="8">
                  <c:v>0.22899999999999998</c:v>
                </c:pt>
                <c:pt idx="9">
                  <c:v>0.22800000000000001</c:v>
                </c:pt>
                <c:pt idx="10">
                  <c:v>0.23199999999999998</c:v>
                </c:pt>
                <c:pt idx="11">
                  <c:v>0.23199999999999998</c:v>
                </c:pt>
                <c:pt idx="12">
                  <c:v>0.23199999999999998</c:v>
                </c:pt>
                <c:pt idx="13">
                  <c:v>0.22</c:v>
                </c:pt>
                <c:pt idx="14">
                  <c:v>0.20899999999999999</c:v>
                </c:pt>
                <c:pt idx="15">
                  <c:v>0.20600000000000002</c:v>
                </c:pt>
                <c:pt idx="16">
                  <c:v>0.20100000000000001</c:v>
                </c:pt>
                <c:pt idx="17">
                  <c:v>0.19800000000000001</c:v>
                </c:pt>
                <c:pt idx="18">
                  <c:v>0.184</c:v>
                </c:pt>
                <c:pt idx="19">
                  <c:v>0.17899999999999999</c:v>
                </c:pt>
                <c:pt idx="20">
                  <c:v>0.17300000000000001</c:v>
                </c:pt>
              </c:numCache>
            </c:numRef>
          </c:val>
          <c:smooth val="0"/>
          <c:extLst>
            <c:ext xmlns:c16="http://schemas.microsoft.com/office/drawing/2014/chart" uri="{C3380CC4-5D6E-409C-BE32-E72D297353CC}">
              <c16:uniqueId val="{00000002-5E41-47F7-AD49-602C19D6F4C0}"/>
            </c:ext>
          </c:extLst>
        </c:ser>
        <c:dLbls>
          <c:showLegendKey val="0"/>
          <c:showVal val="0"/>
          <c:showCatName val="0"/>
          <c:showSerName val="0"/>
          <c:showPercent val="0"/>
          <c:showBubbleSize val="0"/>
        </c:dLbls>
        <c:smooth val="0"/>
        <c:axId val="111370240"/>
        <c:axId val="111371776"/>
      </c:lineChart>
      <c:catAx>
        <c:axId val="111370240"/>
        <c:scaling>
          <c:orientation val="minMax"/>
        </c:scaling>
        <c:delete val="0"/>
        <c:axPos val="b"/>
        <c:numFmt formatCode="General" sourceLinked="1"/>
        <c:majorTickMark val="out"/>
        <c:minorTickMark val="none"/>
        <c:tickLblPos val="nextTo"/>
        <c:spPr>
          <a:ln>
            <a:solidFill>
              <a:schemeClr val="tx1"/>
            </a:solidFill>
          </a:ln>
        </c:spPr>
        <c:crossAx val="111371776"/>
        <c:crosses val="autoZero"/>
        <c:auto val="1"/>
        <c:lblAlgn val="ctr"/>
        <c:lblOffset val="100"/>
        <c:tickLblSkip val="2"/>
        <c:noMultiLvlLbl val="0"/>
      </c:catAx>
      <c:valAx>
        <c:axId val="111371776"/>
        <c:scaling>
          <c:orientation val="minMax"/>
          <c:max val="0.30000000000000004"/>
          <c:min val="0"/>
        </c:scaling>
        <c:delete val="0"/>
        <c:axPos val="l"/>
        <c:majorGridlines>
          <c:spPr>
            <a:ln>
              <a:solidFill>
                <a:schemeClr val="bg1">
                  <a:lumMod val="65000"/>
                </a:schemeClr>
              </a:solidFill>
              <a:prstDash val="dash"/>
            </a:ln>
          </c:spPr>
        </c:majorGridlines>
        <c:title>
          <c:tx>
            <c:rich>
              <a:bodyPr rot="-5400000" vert="horz"/>
              <a:lstStyle/>
              <a:p>
                <a:pPr>
                  <a:defRPr/>
                </a:pPr>
                <a:r>
                  <a:rPr lang="en-US"/>
                  <a:t>Percent CurrentSmokers</a:t>
                </a:r>
              </a:p>
            </c:rich>
          </c:tx>
          <c:layout>
            <c:manualLayout>
              <c:xMode val="edge"/>
              <c:yMode val="edge"/>
              <c:x val="4.1151916838537842E-3"/>
              <c:y val="0.12687495127465503"/>
            </c:manualLayout>
          </c:layout>
          <c:overlay val="0"/>
        </c:title>
        <c:numFmt formatCode="0%" sourceLinked="0"/>
        <c:majorTickMark val="out"/>
        <c:minorTickMark val="none"/>
        <c:tickLblPos val="nextTo"/>
        <c:spPr>
          <a:ln>
            <a:solidFill>
              <a:schemeClr val="tx1"/>
            </a:solidFill>
          </a:ln>
        </c:spPr>
        <c:crossAx val="111370240"/>
        <c:crosses val="autoZero"/>
        <c:crossBetween val="midCat"/>
      </c:valAx>
    </c:plotArea>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21581230917564"/>
          <c:y val="4.3307086614173228E-2"/>
          <c:w val="0.77547805041887163"/>
          <c:h val="0.62045601091202185"/>
        </c:manualLayout>
      </c:layout>
      <c:lineChart>
        <c:grouping val="standard"/>
        <c:varyColors val="0"/>
        <c:ser>
          <c:idx val="0"/>
          <c:order val="0"/>
          <c:tx>
            <c:v>Massachusetts</c:v>
          </c:tx>
          <c:spPr>
            <a:ln>
              <a:solidFill>
                <a:schemeClr val="accent1"/>
              </a:solidFill>
            </a:ln>
          </c:spPr>
          <c:marker>
            <c:symbol val="none"/>
          </c:marker>
          <c:cat>
            <c:numRef>
              <c:f>'Alcohol Trends in MA'!$A$5:$A$38</c:f>
              <c:numCache>
                <c:formatCode>General</c:formatCode>
                <c:ptCount val="34"/>
                <c:pt idx="0">
                  <c:v>1977</c:v>
                </c:pt>
                <c:pt idx="1">
                  <c:v>1978</c:v>
                </c:pt>
                <c:pt idx="2">
                  <c:v>1979</c:v>
                </c:pt>
                <c:pt idx="3">
                  <c:v>1980</c:v>
                </c:pt>
                <c:pt idx="4">
                  <c:v>1981</c:v>
                </c:pt>
                <c:pt idx="5">
                  <c:v>1982</c:v>
                </c:pt>
                <c:pt idx="6">
                  <c:v>1983</c:v>
                </c:pt>
                <c:pt idx="7">
                  <c:v>1984</c:v>
                </c:pt>
                <c:pt idx="8">
                  <c:v>1985</c:v>
                </c:pt>
                <c:pt idx="9">
                  <c:v>1986</c:v>
                </c:pt>
                <c:pt idx="10">
                  <c:v>1987</c:v>
                </c:pt>
                <c:pt idx="11">
                  <c:v>1988</c:v>
                </c:pt>
                <c:pt idx="12">
                  <c:v>1989</c:v>
                </c:pt>
                <c:pt idx="13">
                  <c:v>1990</c:v>
                </c:pt>
                <c:pt idx="14">
                  <c:v>1991</c:v>
                </c:pt>
                <c:pt idx="15">
                  <c:v>1992</c:v>
                </c:pt>
                <c:pt idx="16">
                  <c:v>1993</c:v>
                </c:pt>
                <c:pt idx="17">
                  <c:v>1994</c:v>
                </c:pt>
                <c:pt idx="18">
                  <c:v>1995</c:v>
                </c:pt>
                <c:pt idx="19">
                  <c:v>1996</c:v>
                </c:pt>
                <c:pt idx="20">
                  <c:v>1997</c:v>
                </c:pt>
                <c:pt idx="21">
                  <c:v>1998</c:v>
                </c:pt>
                <c:pt idx="22">
                  <c:v>1999</c:v>
                </c:pt>
                <c:pt idx="23">
                  <c:v>2000</c:v>
                </c:pt>
                <c:pt idx="24">
                  <c:v>2001</c:v>
                </c:pt>
                <c:pt idx="25">
                  <c:v>2002</c:v>
                </c:pt>
                <c:pt idx="26">
                  <c:v>2003</c:v>
                </c:pt>
                <c:pt idx="27">
                  <c:v>2004</c:v>
                </c:pt>
                <c:pt idx="28">
                  <c:v>2005</c:v>
                </c:pt>
                <c:pt idx="29">
                  <c:v>2006</c:v>
                </c:pt>
                <c:pt idx="30">
                  <c:v>2007</c:v>
                </c:pt>
                <c:pt idx="31">
                  <c:v>2008</c:v>
                </c:pt>
                <c:pt idx="32">
                  <c:v>2009</c:v>
                </c:pt>
                <c:pt idx="33">
                  <c:v>2010</c:v>
                </c:pt>
              </c:numCache>
            </c:numRef>
          </c:cat>
          <c:val>
            <c:numRef>
              <c:f>'Alcohol Trends in MA'!$E$5:$E$38</c:f>
              <c:numCache>
                <c:formatCode>General</c:formatCode>
                <c:ptCount val="34"/>
                <c:pt idx="0">
                  <c:v>2.95</c:v>
                </c:pt>
                <c:pt idx="1">
                  <c:v>3.02</c:v>
                </c:pt>
                <c:pt idx="2">
                  <c:v>3.04</c:v>
                </c:pt>
                <c:pt idx="3">
                  <c:v>3.19</c:v>
                </c:pt>
                <c:pt idx="4">
                  <c:v>3.17</c:v>
                </c:pt>
                <c:pt idx="5">
                  <c:v>3.07</c:v>
                </c:pt>
                <c:pt idx="6">
                  <c:v>3.07</c:v>
                </c:pt>
                <c:pt idx="7">
                  <c:v>3.04</c:v>
                </c:pt>
                <c:pt idx="8">
                  <c:v>3.01</c:v>
                </c:pt>
                <c:pt idx="9">
                  <c:v>2.96</c:v>
                </c:pt>
                <c:pt idx="10">
                  <c:v>2.93</c:v>
                </c:pt>
                <c:pt idx="11">
                  <c:v>2.86</c:v>
                </c:pt>
                <c:pt idx="12">
                  <c:v>2.75</c:v>
                </c:pt>
                <c:pt idx="13">
                  <c:v>2.63</c:v>
                </c:pt>
                <c:pt idx="14">
                  <c:v>2.4900000000000002</c:v>
                </c:pt>
                <c:pt idx="15">
                  <c:v>2.38</c:v>
                </c:pt>
                <c:pt idx="16">
                  <c:v>2.38</c:v>
                </c:pt>
                <c:pt idx="17">
                  <c:v>2.38</c:v>
                </c:pt>
                <c:pt idx="18">
                  <c:v>2.35</c:v>
                </c:pt>
                <c:pt idx="19">
                  <c:v>2.35</c:v>
                </c:pt>
                <c:pt idx="20">
                  <c:v>2.39</c:v>
                </c:pt>
                <c:pt idx="21">
                  <c:v>2.39</c:v>
                </c:pt>
                <c:pt idx="22">
                  <c:v>2.39</c:v>
                </c:pt>
                <c:pt idx="23">
                  <c:v>2.5499999999999998</c:v>
                </c:pt>
                <c:pt idx="24">
                  <c:v>2.4300000000000002</c:v>
                </c:pt>
                <c:pt idx="25">
                  <c:v>2.46</c:v>
                </c:pt>
                <c:pt idx="26">
                  <c:v>2.48</c:v>
                </c:pt>
                <c:pt idx="27">
                  <c:v>2.52</c:v>
                </c:pt>
                <c:pt idx="28">
                  <c:v>2.5</c:v>
                </c:pt>
                <c:pt idx="29">
                  <c:v>2.5499999999999998</c:v>
                </c:pt>
                <c:pt idx="30">
                  <c:v>2.48</c:v>
                </c:pt>
                <c:pt idx="31">
                  <c:v>2.5299999999999998</c:v>
                </c:pt>
                <c:pt idx="32">
                  <c:v>2.4900000000000002</c:v>
                </c:pt>
                <c:pt idx="33">
                  <c:v>2.5</c:v>
                </c:pt>
              </c:numCache>
            </c:numRef>
          </c:val>
          <c:smooth val="0"/>
          <c:extLst>
            <c:ext xmlns:c16="http://schemas.microsoft.com/office/drawing/2014/chart" uri="{C3380CC4-5D6E-409C-BE32-E72D297353CC}">
              <c16:uniqueId val="{00000000-2543-4B2B-ADB7-EAFE0D1AC788}"/>
            </c:ext>
          </c:extLst>
        </c:ser>
        <c:ser>
          <c:idx val="1"/>
          <c:order val="1"/>
          <c:tx>
            <c:v>United States</c:v>
          </c:tx>
          <c:spPr>
            <a:ln>
              <a:solidFill>
                <a:schemeClr val="tx1"/>
              </a:solidFill>
              <a:prstDash val="dash"/>
            </a:ln>
          </c:spPr>
          <c:marker>
            <c:symbol val="none"/>
          </c:marker>
          <c:cat>
            <c:numRef>
              <c:f>'Alcohol Trends in MA'!$A$5:$A$38</c:f>
              <c:numCache>
                <c:formatCode>General</c:formatCode>
                <c:ptCount val="34"/>
                <c:pt idx="0">
                  <c:v>1977</c:v>
                </c:pt>
                <c:pt idx="1">
                  <c:v>1978</c:v>
                </c:pt>
                <c:pt idx="2">
                  <c:v>1979</c:v>
                </c:pt>
                <c:pt idx="3">
                  <c:v>1980</c:v>
                </c:pt>
                <c:pt idx="4">
                  <c:v>1981</c:v>
                </c:pt>
                <c:pt idx="5">
                  <c:v>1982</c:v>
                </c:pt>
                <c:pt idx="6">
                  <c:v>1983</c:v>
                </c:pt>
                <c:pt idx="7">
                  <c:v>1984</c:v>
                </c:pt>
                <c:pt idx="8">
                  <c:v>1985</c:v>
                </c:pt>
                <c:pt idx="9">
                  <c:v>1986</c:v>
                </c:pt>
                <c:pt idx="10">
                  <c:v>1987</c:v>
                </c:pt>
                <c:pt idx="11">
                  <c:v>1988</c:v>
                </c:pt>
                <c:pt idx="12">
                  <c:v>1989</c:v>
                </c:pt>
                <c:pt idx="13">
                  <c:v>1990</c:v>
                </c:pt>
                <c:pt idx="14">
                  <c:v>1991</c:v>
                </c:pt>
                <c:pt idx="15">
                  <c:v>1992</c:v>
                </c:pt>
                <c:pt idx="16">
                  <c:v>1993</c:v>
                </c:pt>
                <c:pt idx="17">
                  <c:v>1994</c:v>
                </c:pt>
                <c:pt idx="18">
                  <c:v>1995</c:v>
                </c:pt>
                <c:pt idx="19">
                  <c:v>1996</c:v>
                </c:pt>
                <c:pt idx="20">
                  <c:v>1997</c:v>
                </c:pt>
                <c:pt idx="21">
                  <c:v>1998</c:v>
                </c:pt>
                <c:pt idx="22">
                  <c:v>1999</c:v>
                </c:pt>
                <c:pt idx="23">
                  <c:v>2000</c:v>
                </c:pt>
                <c:pt idx="24">
                  <c:v>2001</c:v>
                </c:pt>
                <c:pt idx="25">
                  <c:v>2002</c:v>
                </c:pt>
                <c:pt idx="26">
                  <c:v>2003</c:v>
                </c:pt>
                <c:pt idx="27">
                  <c:v>2004</c:v>
                </c:pt>
                <c:pt idx="28">
                  <c:v>2005</c:v>
                </c:pt>
                <c:pt idx="29">
                  <c:v>2006</c:v>
                </c:pt>
                <c:pt idx="30">
                  <c:v>2007</c:v>
                </c:pt>
                <c:pt idx="31">
                  <c:v>2008</c:v>
                </c:pt>
                <c:pt idx="32">
                  <c:v>2009</c:v>
                </c:pt>
                <c:pt idx="33">
                  <c:v>2010</c:v>
                </c:pt>
              </c:numCache>
            </c:numRef>
          </c:cat>
          <c:val>
            <c:numRef>
              <c:f>'Alcohol Trends in MA'!$E$43:$E$76</c:f>
              <c:numCache>
                <c:formatCode>General</c:formatCode>
                <c:ptCount val="34"/>
                <c:pt idx="0">
                  <c:v>2.64</c:v>
                </c:pt>
                <c:pt idx="1">
                  <c:v>2.71</c:v>
                </c:pt>
                <c:pt idx="2">
                  <c:v>2.75</c:v>
                </c:pt>
                <c:pt idx="3">
                  <c:v>2.76</c:v>
                </c:pt>
                <c:pt idx="4">
                  <c:v>2.76</c:v>
                </c:pt>
                <c:pt idx="5">
                  <c:v>2.72</c:v>
                </c:pt>
                <c:pt idx="6">
                  <c:v>2.69</c:v>
                </c:pt>
                <c:pt idx="7">
                  <c:v>2.65</c:v>
                </c:pt>
                <c:pt idx="8">
                  <c:v>2.62</c:v>
                </c:pt>
                <c:pt idx="9">
                  <c:v>2.58</c:v>
                </c:pt>
                <c:pt idx="10">
                  <c:v>2.54</c:v>
                </c:pt>
                <c:pt idx="11">
                  <c:v>2.48</c:v>
                </c:pt>
                <c:pt idx="12">
                  <c:v>2.42</c:v>
                </c:pt>
                <c:pt idx="13">
                  <c:v>2.4500000000000002</c:v>
                </c:pt>
                <c:pt idx="14">
                  <c:v>2.2999999999999998</c:v>
                </c:pt>
                <c:pt idx="15">
                  <c:v>2.2999999999999998</c:v>
                </c:pt>
                <c:pt idx="16">
                  <c:v>2.23</c:v>
                </c:pt>
                <c:pt idx="17">
                  <c:v>2.1800000000000002</c:v>
                </c:pt>
                <c:pt idx="18">
                  <c:v>2.15</c:v>
                </c:pt>
                <c:pt idx="19">
                  <c:v>2.16</c:v>
                </c:pt>
                <c:pt idx="20">
                  <c:v>2.14</c:v>
                </c:pt>
                <c:pt idx="21">
                  <c:v>2.14</c:v>
                </c:pt>
                <c:pt idx="22">
                  <c:v>2.16</c:v>
                </c:pt>
                <c:pt idx="23">
                  <c:v>2.1800000000000002</c:v>
                </c:pt>
                <c:pt idx="24">
                  <c:v>2.1800000000000002</c:v>
                </c:pt>
                <c:pt idx="25">
                  <c:v>2.2000000000000002</c:v>
                </c:pt>
                <c:pt idx="26">
                  <c:v>2.2200000000000002</c:v>
                </c:pt>
                <c:pt idx="27">
                  <c:v>2.23</c:v>
                </c:pt>
                <c:pt idx="28">
                  <c:v>2.2400000000000002</c:v>
                </c:pt>
                <c:pt idx="29">
                  <c:v>2.2799999999999998</c:v>
                </c:pt>
                <c:pt idx="30">
                  <c:v>2.31</c:v>
                </c:pt>
                <c:pt idx="31">
                  <c:v>2.3199999999999998</c:v>
                </c:pt>
                <c:pt idx="32">
                  <c:v>2.29</c:v>
                </c:pt>
                <c:pt idx="33">
                  <c:v>2.2599999999999998</c:v>
                </c:pt>
              </c:numCache>
            </c:numRef>
          </c:val>
          <c:smooth val="0"/>
          <c:extLst>
            <c:ext xmlns:c16="http://schemas.microsoft.com/office/drawing/2014/chart" uri="{C3380CC4-5D6E-409C-BE32-E72D297353CC}">
              <c16:uniqueId val="{00000001-2543-4B2B-ADB7-EAFE0D1AC788}"/>
            </c:ext>
          </c:extLst>
        </c:ser>
        <c:dLbls>
          <c:showLegendKey val="0"/>
          <c:showVal val="0"/>
          <c:showCatName val="0"/>
          <c:showSerName val="0"/>
          <c:showPercent val="0"/>
          <c:showBubbleSize val="0"/>
        </c:dLbls>
        <c:smooth val="0"/>
        <c:axId val="103154816"/>
        <c:axId val="103156352"/>
      </c:lineChart>
      <c:catAx>
        <c:axId val="103154816"/>
        <c:scaling>
          <c:orientation val="minMax"/>
        </c:scaling>
        <c:delete val="0"/>
        <c:axPos val="b"/>
        <c:numFmt formatCode="General" sourceLinked="1"/>
        <c:majorTickMark val="out"/>
        <c:minorTickMark val="none"/>
        <c:tickLblPos val="nextTo"/>
        <c:spPr>
          <a:ln>
            <a:solidFill>
              <a:schemeClr val="tx1"/>
            </a:solidFill>
          </a:ln>
        </c:spPr>
        <c:crossAx val="103156352"/>
        <c:crosses val="autoZero"/>
        <c:auto val="1"/>
        <c:lblAlgn val="ctr"/>
        <c:lblOffset val="100"/>
        <c:tickLblSkip val="4"/>
        <c:tickMarkSkip val="2"/>
        <c:noMultiLvlLbl val="0"/>
      </c:catAx>
      <c:valAx>
        <c:axId val="103156352"/>
        <c:scaling>
          <c:orientation val="minMax"/>
        </c:scaling>
        <c:delete val="0"/>
        <c:axPos val="l"/>
        <c:majorGridlines>
          <c:spPr>
            <a:ln>
              <a:solidFill>
                <a:schemeClr val="bg1">
                  <a:lumMod val="65000"/>
                </a:schemeClr>
              </a:solidFill>
              <a:prstDash val="dash"/>
            </a:ln>
          </c:spPr>
        </c:majorGridlines>
        <c:title>
          <c:tx>
            <c:rich>
              <a:bodyPr rot="-5400000" vert="horz"/>
              <a:lstStyle/>
              <a:p>
                <a:pPr>
                  <a:defRPr/>
                </a:pPr>
                <a:r>
                  <a:rPr lang="en-US"/>
                  <a:t>Gallons of ethanol</a:t>
                </a:r>
              </a:p>
            </c:rich>
          </c:tx>
          <c:overlay val="0"/>
        </c:title>
        <c:numFmt formatCode="General" sourceLinked="1"/>
        <c:majorTickMark val="out"/>
        <c:minorTickMark val="none"/>
        <c:tickLblPos val="nextTo"/>
        <c:spPr>
          <a:ln>
            <a:solidFill>
              <a:schemeClr val="tx1"/>
            </a:solidFill>
          </a:ln>
        </c:spPr>
        <c:crossAx val="103154816"/>
        <c:crosses val="autoZero"/>
        <c:crossBetween val="midCat"/>
      </c:valAx>
    </c:plotArea>
    <c:legend>
      <c:legendPos val="b"/>
      <c:layout>
        <c:manualLayout>
          <c:xMode val="edge"/>
          <c:yMode val="edge"/>
          <c:x val="7.2946810220151051E-2"/>
          <c:y val="0.79935364870729742"/>
          <c:w val="0.85410605817130003"/>
          <c:h val="0.17702430404860811"/>
        </c:manualLayout>
      </c:layout>
      <c:overlay val="0"/>
    </c:legend>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cdr:x>
      <cdr:y>0.92548</cdr:y>
    </cdr:from>
    <cdr:to>
      <cdr:x>1</cdr:x>
      <cdr:y>1</cdr:y>
    </cdr:to>
    <cdr:sp macro="" textlink="">
      <cdr:nvSpPr>
        <cdr:cNvPr id="2" name="Text Box 1"/>
        <cdr:cNvSpPr txBox="1"/>
      </cdr:nvSpPr>
      <cdr:spPr>
        <a:xfrm xmlns:a="http://schemas.openxmlformats.org/drawingml/2006/main">
          <a:off x="0" y="2802577"/>
          <a:ext cx="6614556" cy="2256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aseline="0">
              <a:latin typeface="Times New Roman" panose="02020603050405020304" pitchFamily="18" charset="0"/>
              <a:cs typeface="Times New Roman" panose="02020603050405020304" pitchFamily="18" charset="0"/>
            </a:rPr>
            <a:t>^^ Based on SEER summary staging, d</a:t>
          </a:r>
          <a:r>
            <a:rPr lang="en-US" sz="1000">
              <a:latin typeface="Times New Roman" panose="02020603050405020304" pitchFamily="18" charset="0"/>
              <a:cs typeface="Times New Roman" panose="02020603050405020304" pitchFamily="18" charset="0"/>
            </a:rPr>
            <a:t>ata source:</a:t>
          </a:r>
          <a:r>
            <a:rPr lang="en-US" sz="1000" baseline="0">
              <a:latin typeface="Times New Roman" panose="02020603050405020304" pitchFamily="18" charset="0"/>
              <a:cs typeface="Times New Roman" panose="02020603050405020304" pitchFamily="18" charset="0"/>
            </a:rPr>
            <a:t> Massachusetts Cancer Registry </a:t>
          </a:r>
          <a:endParaRPr lang="en-US" sz="1000">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0.85149</cdr:y>
    </cdr:from>
    <cdr:to>
      <cdr:x>0.05761</cdr:x>
      <cdr:y>0.85149</cdr:y>
    </cdr:to>
    <cdr:cxnSp macro="">
      <cdr:nvCxnSpPr>
        <cdr:cNvPr id="2" name="Straight Connector 1"/>
        <cdr:cNvCxnSpPr/>
      </cdr:nvCxnSpPr>
      <cdr:spPr>
        <a:xfrm xmlns:a="http://schemas.openxmlformats.org/drawingml/2006/main">
          <a:off x="0" y="2184400"/>
          <a:ext cx="177800" cy="0"/>
        </a:xfrm>
        <a:prstGeom xmlns:a="http://schemas.openxmlformats.org/drawingml/2006/main" prst="line">
          <a:avLst/>
        </a:prstGeom>
        <a:ln xmlns:a="http://schemas.openxmlformats.org/drawingml/2006/main" w="28575"/>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E0617-867D-4D68-B9EB-631FDB0BC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3785</Words>
  <Characters>21575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Erin (DPH)</dc:creator>
  <cp:lastModifiedBy>Erin Cook</cp:lastModifiedBy>
  <cp:revision>4</cp:revision>
  <cp:lastPrinted>2017-10-25T12:07:00Z</cp:lastPrinted>
  <dcterms:created xsi:type="dcterms:W3CDTF">2018-03-15T16:21:00Z</dcterms:created>
  <dcterms:modified xsi:type="dcterms:W3CDTF">2018-03-16T10:59:00Z</dcterms:modified>
</cp:coreProperties>
</file>