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18285"/>
                <wp:effectExtent l="0" t="0" r="0" b="571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85609" cy="1518285"/>
                          <a:chExt cx="6785609" cy="1518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985" y="1244727"/>
                            <a:ext cx="67722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66700">
                                <a:moveTo>
                                  <a:pt x="0" y="266700"/>
                                </a:moveTo>
                                <a:lnTo>
                                  <a:pt x="6772275" y="266700"/>
                                </a:lnTo>
                                <a:lnTo>
                                  <a:pt x="6772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77227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1247775">
                                <a:moveTo>
                                  <a:pt x="6772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775"/>
                                </a:lnTo>
                                <a:lnTo>
                                  <a:pt x="6772275" y="1247775"/>
                                </a:lnTo>
                                <a:lnTo>
                                  <a:pt x="6772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539" y="210276"/>
                            <a:ext cx="1009549" cy="1009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5479034" y="1349883"/>
                            <a:ext cx="1214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FEBRUARY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609" y="1349883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50" y="6350"/>
                            <a:ext cx="6772275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267"/>
                                <w:ind w:left="2055" w:right="258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Confirmed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Unintentional/Undetermined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 Opioid-related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 Overdose Deaths by City/Town, MA Residents January 2012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- December 2015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19.55pt;mso-position-horizontal-relative:char;mso-position-vertical-relative:line" id="docshapegroup2" coordorigin="0,0" coordsize="10686,2391">
                <v:rect style="position:absolute;left:11;top:1960;width:10665;height:420" id="docshape3" filled="false" stroked="true" strokeweight="1pt" strokecolor="#000000">
                  <v:stroke dashstyle="solid"/>
                </v:rect>
                <v:rect style="position:absolute;left:10;top:10;width:10665;height:1965" id="docshape4" filled="true" fillcolor="#ffffff" stroked="false">
                  <v:fill type="solid"/>
                </v:rect>
                <v:shape style="position:absolute;left:597;top:331;width:1590;height:1591" type="#_x0000_t75" id="docshape5" stroked="false">
                  <v:imagedata r:id="rId6" o:title=""/>
                </v:shape>
                <v:shape style="position:absolute;left:8628;top:2125;width:1912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FEBRUARY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73;top:2125;width:3231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0665;height:1965" type="#_x0000_t202" id="docshape8" filled="false" stroked="true" strokeweight="1pt" strokecolor="#000000">
                  <v:textbox inset="0,0,0,0">
                    <w:txbxContent>
                      <w:p>
                        <w:pPr>
                          <w:spacing w:line="237" w:lineRule="auto" w:before="267"/>
                          <w:ind w:left="2055" w:right="258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Confirmed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Unintentional/Undetermined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 Opioid-related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2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 Overdose Deaths by City/Town, MA Residents January 2012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- December 2015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07"/>
        <w:rPr>
          <w:rFonts w:ascii="Times New Roman"/>
        </w:rPr>
      </w:pPr>
    </w:p>
    <w:p>
      <w:pPr>
        <w:pStyle w:val="BodyText"/>
        <w:ind w:left="216" w:right="445"/>
      </w:pPr>
      <w:r>
        <w:rPr/>
        <w:t>The</w:t>
      </w:r>
      <w:r>
        <w:rPr>
          <w:spacing w:val="-3"/>
        </w:rPr>
        <w:t> </w:t>
      </w:r>
      <w:r>
        <w:rPr/>
        <w:t>table</w:t>
      </w:r>
      <w:r>
        <w:rPr>
          <w:spacing w:val="-5"/>
        </w:rPr>
        <w:t> </w:t>
      </w:r>
      <w:r>
        <w:rPr/>
        <w:t>below</w:t>
      </w:r>
      <w:r>
        <w:rPr>
          <w:spacing w:val="-2"/>
        </w:rPr>
        <w:t> </w:t>
      </w:r>
      <w:r>
        <w:rPr/>
        <w:t>lists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confirmed</w:t>
      </w:r>
      <w:r>
        <w:rPr>
          <w:spacing w:val="-3"/>
        </w:rPr>
        <w:t> </w:t>
      </w:r>
      <w:r>
        <w:rPr/>
        <w:t>unintentional</w:t>
      </w:r>
      <w:r>
        <w:rPr>
          <w:spacing w:val="-6"/>
        </w:rPr>
        <w:t> </w:t>
      </w:r>
      <w:r>
        <w:rPr/>
        <w:t>opioid</w:t>
      </w:r>
      <w:r>
        <w:rPr>
          <w:spacing w:val="-5"/>
        </w:rPr>
        <w:t> </w:t>
      </w:r>
      <w:r>
        <w:rPr/>
        <w:t>overdose</w:t>
      </w:r>
      <w:r>
        <w:rPr>
          <w:spacing w:val="-3"/>
        </w:rPr>
        <w:t> </w:t>
      </w:r>
      <w:r>
        <w:rPr/>
        <w:t>deaths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/>
        <w:t>occurred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residents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each community in Massachusetts between 2012 and 2015.</w:t>
      </w:r>
      <w:r>
        <w:rPr>
          <w:spacing w:val="40"/>
        </w:rPr>
        <w:t> </w:t>
      </w:r>
      <w:r>
        <w:rPr/>
        <w:t>For 2014 and 2015, additional cases are still being confirmed by the Office of the Chief Medical Examiner.</w:t>
      </w:r>
      <w:r>
        <w:rPr>
          <w:spacing w:val="40"/>
        </w:rPr>
        <w:t> </w:t>
      </w:r>
      <w:r>
        <w:rPr/>
        <w:t>This report will be updated quarterly and all new confirmed cases will be included in the town by town listing below with newly confirmed cases.</w:t>
      </w:r>
    </w:p>
    <w:p>
      <w:pPr>
        <w:pStyle w:val="BodyText"/>
        <w:spacing w:before="125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3"/>
        <w:gridCol w:w="1699"/>
        <w:gridCol w:w="1714"/>
        <w:gridCol w:w="1654"/>
        <w:gridCol w:w="1578"/>
      </w:tblGrid>
      <w:tr>
        <w:trPr>
          <w:trHeight w:val="444" w:hRule="atLeast"/>
        </w:trPr>
        <w:tc>
          <w:tcPr>
            <w:tcW w:w="3483" w:type="dxa"/>
            <w:vMerge w:val="restart"/>
          </w:tcPr>
          <w:p>
            <w:pPr>
              <w:pStyle w:val="TableParagraph"/>
              <w:spacing w:line="240" w:lineRule="auto" w:before="35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6645" w:type="dxa"/>
            <w:gridSpan w:val="4"/>
          </w:tcPr>
          <w:p>
            <w:pPr>
              <w:pStyle w:val="TableParagraph"/>
              <w:spacing w:line="240" w:lineRule="auto" w:before="86"/>
              <w:ind w:left="1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3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76"/>
              <w:ind w:right="6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76"/>
              <w:ind w:right="62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4" w:type="dxa"/>
          </w:tcPr>
          <w:p>
            <w:pPr>
              <w:pStyle w:val="TableParagraph"/>
              <w:spacing w:line="240" w:lineRule="auto" w:before="76"/>
              <w:ind w:right="5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76"/>
              <w:ind w:left="531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Abington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Acton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Acushnet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Adams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Agawam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Alford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Amesbury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Amherst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Aquinnah</w:t>
            </w:r>
          </w:p>
        </w:tc>
        <w:tc>
          <w:tcPr>
            <w:tcW w:w="1699" w:type="dxa"/>
          </w:tcPr>
          <w:p>
            <w:pPr>
              <w:pStyle w:val="TableParagraph"/>
              <w:spacing w:line="249" w:lineRule="exact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Arlington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3483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Ashburnham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Ashby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Ashfield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Ashland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Athol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ind w:right="604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4" w:type="dxa"/>
          </w:tcPr>
          <w:p>
            <w:pPr>
              <w:pStyle w:val="TableParagraph"/>
              <w:ind w:right="604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Auburn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Avon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Ayer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4" w:type="dxa"/>
          </w:tcPr>
          <w:p>
            <w:pPr>
              <w:pStyle w:val="TableParagraph"/>
              <w:ind w:right="604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Barre</w:t>
            </w:r>
          </w:p>
        </w:tc>
        <w:tc>
          <w:tcPr>
            <w:tcW w:w="1699" w:type="dxa"/>
          </w:tcPr>
          <w:p>
            <w:pPr>
              <w:pStyle w:val="TableParagraph"/>
              <w:spacing w:line="249" w:lineRule="exact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Becket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Belchertown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Bellingham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483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Belmont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Berkley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Berlin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3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Bernardston</w:t>
            </w:r>
          </w:p>
        </w:tc>
        <w:tc>
          <w:tcPr>
            <w:tcW w:w="1699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jc w:val="center"/>
        <w:rPr>
          <w:sz w:val="22"/>
        </w:rPr>
        <w:sectPr>
          <w:footerReference w:type="default" r:id="rId5"/>
          <w:type w:val="continuous"/>
          <w:pgSz w:w="12240" w:h="15840"/>
          <w:pgMar w:header="0" w:footer="931" w:top="820" w:bottom="1120" w:left="520" w:right="800"/>
          <w:pgNumType w:start="1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1702"/>
        <w:gridCol w:w="1714"/>
        <w:gridCol w:w="1654"/>
        <w:gridCol w:w="1578"/>
      </w:tblGrid>
      <w:tr>
        <w:trPr>
          <w:trHeight w:val="443" w:hRule="atLeast"/>
        </w:trPr>
        <w:tc>
          <w:tcPr>
            <w:tcW w:w="3481" w:type="dxa"/>
            <w:vMerge w:val="restart"/>
          </w:tcPr>
          <w:p>
            <w:pPr>
              <w:pStyle w:val="TableParagraph"/>
              <w:spacing w:line="240" w:lineRule="auto" w:before="3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6648" w:type="dxa"/>
            <w:gridSpan w:val="4"/>
          </w:tcPr>
          <w:p>
            <w:pPr>
              <w:pStyle w:val="TableParagraph"/>
              <w:spacing w:line="240" w:lineRule="auto" w:before="85"/>
              <w:ind w:left="11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3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76"/>
              <w:ind w:right="6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76"/>
              <w:ind w:right="6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4" w:type="dxa"/>
          </w:tcPr>
          <w:p>
            <w:pPr>
              <w:pStyle w:val="TableParagraph"/>
              <w:spacing w:line="240" w:lineRule="auto" w:before="76"/>
              <w:ind w:right="5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76"/>
              <w:ind w:left="530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Beverly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Billerica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Blackstone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Blandford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Bolton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Boston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106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2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Bourne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Boxborough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Boxford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Brewster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Brimfield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Brockton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Brookline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Buckland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Burlington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Cambridge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Canton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Carlisle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Carver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Charlemont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Chelmsford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Chelsea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Cheshire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Chesterfield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Chicopee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Chilmark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Clarksburg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Clinton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Cohasset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Colrain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Concord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Conway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7"/>
          <w:footerReference w:type="default" r:id="rId8"/>
          <w:pgSz w:w="12240" w:h="15840"/>
          <w:pgMar w:header="1260" w:footer="931" w:top="2280" w:bottom="1120" w:left="520" w:right="80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1702"/>
        <w:gridCol w:w="1714"/>
        <w:gridCol w:w="1654"/>
        <w:gridCol w:w="1578"/>
      </w:tblGrid>
      <w:tr>
        <w:trPr>
          <w:trHeight w:val="443" w:hRule="atLeast"/>
        </w:trPr>
        <w:tc>
          <w:tcPr>
            <w:tcW w:w="3481" w:type="dxa"/>
            <w:vMerge w:val="restart"/>
          </w:tcPr>
          <w:p>
            <w:pPr>
              <w:pStyle w:val="TableParagraph"/>
              <w:spacing w:line="240" w:lineRule="auto" w:before="3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6648" w:type="dxa"/>
            <w:gridSpan w:val="4"/>
          </w:tcPr>
          <w:p>
            <w:pPr>
              <w:pStyle w:val="TableParagraph"/>
              <w:spacing w:line="240" w:lineRule="auto" w:before="85"/>
              <w:ind w:left="11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3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76"/>
              <w:ind w:right="6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76"/>
              <w:ind w:right="6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4" w:type="dxa"/>
          </w:tcPr>
          <w:p>
            <w:pPr>
              <w:pStyle w:val="TableParagraph"/>
              <w:spacing w:line="240" w:lineRule="auto" w:before="76"/>
              <w:ind w:right="5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76"/>
              <w:ind w:left="530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Cummington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Dalton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Danvers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Dartmouth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Dedham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Deerfield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Dennis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Dighton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Douglas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Dover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Dracut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Dudley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Dunstable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Duxbury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Easthampton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Edgartown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Egremont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Erving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Everett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Fairhaven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Fall</w:t>
            </w:r>
            <w:r>
              <w:rPr>
                <w:spacing w:val="-2"/>
                <w:sz w:val="22"/>
              </w:rPr>
              <w:t> River</w:t>
            </w:r>
          </w:p>
        </w:tc>
        <w:tc>
          <w:tcPr>
            <w:tcW w:w="1702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Falmouth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Fitchburg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Florida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Foxborough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Framingham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Freetown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Gardner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Georgetown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Gill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Gloucester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Goshen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1260" w:footer="931" w:top="2280" w:bottom="1120" w:left="520" w:right="80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1702"/>
        <w:gridCol w:w="1714"/>
        <w:gridCol w:w="1654"/>
        <w:gridCol w:w="1578"/>
      </w:tblGrid>
      <w:tr>
        <w:trPr>
          <w:trHeight w:val="443" w:hRule="atLeast"/>
        </w:trPr>
        <w:tc>
          <w:tcPr>
            <w:tcW w:w="3481" w:type="dxa"/>
            <w:vMerge w:val="restart"/>
          </w:tcPr>
          <w:p>
            <w:pPr>
              <w:pStyle w:val="TableParagraph"/>
              <w:spacing w:line="240" w:lineRule="auto" w:before="3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6648" w:type="dxa"/>
            <w:gridSpan w:val="4"/>
          </w:tcPr>
          <w:p>
            <w:pPr>
              <w:pStyle w:val="TableParagraph"/>
              <w:spacing w:line="240" w:lineRule="auto" w:before="85"/>
              <w:ind w:left="11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3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76"/>
              <w:ind w:right="6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76"/>
              <w:ind w:right="6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4" w:type="dxa"/>
          </w:tcPr>
          <w:p>
            <w:pPr>
              <w:pStyle w:val="TableParagraph"/>
              <w:spacing w:line="240" w:lineRule="auto" w:before="76"/>
              <w:ind w:right="5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76"/>
              <w:ind w:left="530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Gosnold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Grafton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Granby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Granville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Great </w:t>
            </w:r>
            <w:r>
              <w:rPr>
                <w:spacing w:val="-2"/>
                <w:sz w:val="22"/>
              </w:rPr>
              <w:t>Barrington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Greenfield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Groveland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Halifax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Hamilton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Hancock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Hanover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Hanson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Hardwick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Harvard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Harwich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Hatfield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Haverhill</w:t>
            </w:r>
          </w:p>
        </w:tc>
        <w:tc>
          <w:tcPr>
            <w:tcW w:w="1702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Hawley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Heath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Hingham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Hinsdale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Holbrook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Holden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Holland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Holliston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Holyoke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Hopedale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Hopkinton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Hubbardston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Hudson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Hull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Huntington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Ipswich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Kingston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Lakeville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1260" w:footer="931" w:top="2280" w:bottom="1120" w:left="520" w:right="80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1702"/>
        <w:gridCol w:w="1714"/>
        <w:gridCol w:w="1654"/>
        <w:gridCol w:w="1578"/>
      </w:tblGrid>
      <w:tr>
        <w:trPr>
          <w:trHeight w:val="443" w:hRule="atLeast"/>
        </w:trPr>
        <w:tc>
          <w:tcPr>
            <w:tcW w:w="3481" w:type="dxa"/>
            <w:vMerge w:val="restart"/>
          </w:tcPr>
          <w:p>
            <w:pPr>
              <w:pStyle w:val="TableParagraph"/>
              <w:spacing w:line="240" w:lineRule="auto" w:before="3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6648" w:type="dxa"/>
            <w:gridSpan w:val="4"/>
          </w:tcPr>
          <w:p>
            <w:pPr>
              <w:pStyle w:val="TableParagraph"/>
              <w:spacing w:line="240" w:lineRule="auto" w:before="85"/>
              <w:ind w:left="11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3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76"/>
              <w:ind w:right="6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76"/>
              <w:ind w:right="6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4" w:type="dxa"/>
          </w:tcPr>
          <w:p>
            <w:pPr>
              <w:pStyle w:val="TableParagraph"/>
              <w:spacing w:line="240" w:lineRule="auto" w:before="76"/>
              <w:ind w:right="5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76"/>
              <w:ind w:left="530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Lanesborough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Lawrence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Leicester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Lenox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Leominster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Leverett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Lexington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Leyden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Lincoln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Littleton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Lowell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Ludlow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Lunenburg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Lynn</w:t>
            </w:r>
          </w:p>
        </w:tc>
        <w:tc>
          <w:tcPr>
            <w:tcW w:w="1702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Lynnfield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Malden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Manchester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Mansfield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Marblehead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Marion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Marshfield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Mashpee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Mattapoisett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Maynard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Medfield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Medford</w:t>
            </w:r>
          </w:p>
        </w:tc>
        <w:tc>
          <w:tcPr>
            <w:tcW w:w="1702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Medway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Melrose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Mendon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Merrimac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Methuen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Middleborough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Milford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Millbury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1260" w:footer="931" w:top="2280" w:bottom="1120" w:left="520" w:right="80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1702"/>
        <w:gridCol w:w="1714"/>
        <w:gridCol w:w="1654"/>
        <w:gridCol w:w="1578"/>
      </w:tblGrid>
      <w:tr>
        <w:trPr>
          <w:trHeight w:val="443" w:hRule="atLeast"/>
        </w:trPr>
        <w:tc>
          <w:tcPr>
            <w:tcW w:w="3481" w:type="dxa"/>
            <w:vMerge w:val="restart"/>
          </w:tcPr>
          <w:p>
            <w:pPr>
              <w:pStyle w:val="TableParagraph"/>
              <w:spacing w:line="240" w:lineRule="auto" w:before="3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6648" w:type="dxa"/>
            <w:gridSpan w:val="4"/>
          </w:tcPr>
          <w:p>
            <w:pPr>
              <w:pStyle w:val="TableParagraph"/>
              <w:spacing w:line="240" w:lineRule="auto" w:before="85"/>
              <w:ind w:left="11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3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76"/>
              <w:ind w:right="6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76"/>
              <w:ind w:right="6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4" w:type="dxa"/>
          </w:tcPr>
          <w:p>
            <w:pPr>
              <w:pStyle w:val="TableParagraph"/>
              <w:spacing w:line="240" w:lineRule="auto" w:before="76"/>
              <w:ind w:right="5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76"/>
              <w:ind w:left="530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Millis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Millville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Monroe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Monson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Montague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Montgomery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Mount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Nahant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Natick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Needham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Ashford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702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Salem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Newburyport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Attleboro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Brookfield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Reading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Northampton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Northborough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Northbridge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Northfield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Norwell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Norwood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Oak </w:t>
            </w:r>
            <w:r>
              <w:rPr>
                <w:spacing w:val="-2"/>
                <w:sz w:val="22"/>
              </w:rPr>
              <w:t>Bluffs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Oakham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Orleans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Otis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1260" w:footer="931" w:top="2280" w:bottom="1120" w:left="520" w:right="80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1702"/>
        <w:gridCol w:w="1714"/>
        <w:gridCol w:w="1654"/>
        <w:gridCol w:w="1578"/>
      </w:tblGrid>
      <w:tr>
        <w:trPr>
          <w:trHeight w:val="443" w:hRule="atLeast"/>
        </w:trPr>
        <w:tc>
          <w:tcPr>
            <w:tcW w:w="3481" w:type="dxa"/>
            <w:vMerge w:val="restart"/>
          </w:tcPr>
          <w:p>
            <w:pPr>
              <w:pStyle w:val="TableParagraph"/>
              <w:spacing w:line="240" w:lineRule="auto" w:before="3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6648" w:type="dxa"/>
            <w:gridSpan w:val="4"/>
          </w:tcPr>
          <w:p>
            <w:pPr>
              <w:pStyle w:val="TableParagraph"/>
              <w:spacing w:line="240" w:lineRule="auto" w:before="85"/>
              <w:ind w:left="11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3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76"/>
              <w:ind w:right="6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76"/>
              <w:ind w:right="6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4" w:type="dxa"/>
          </w:tcPr>
          <w:p>
            <w:pPr>
              <w:pStyle w:val="TableParagraph"/>
              <w:spacing w:line="240" w:lineRule="auto" w:before="76"/>
              <w:ind w:right="5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76"/>
              <w:ind w:left="530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Palmer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Paxton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Peabody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Pelham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Pembroke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Pepperell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Peru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Petersham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Phillipston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Pittsfield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Plainfield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Plainville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Plympton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Princeton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Provincetown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Quincy</w:t>
            </w:r>
          </w:p>
        </w:tc>
        <w:tc>
          <w:tcPr>
            <w:tcW w:w="1702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Randolph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Raynham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Rehoboth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Revere</w:t>
            </w:r>
          </w:p>
        </w:tc>
        <w:tc>
          <w:tcPr>
            <w:tcW w:w="1702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Richmond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Rochester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Rockland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Rockport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Rowe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Rowley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Royalston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Russell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Rutland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Salem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Salisbury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Sandisfield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Sandwich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Saugus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Savoy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Scituate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1260" w:footer="931" w:top="2280" w:bottom="1120" w:left="520" w:right="80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1702"/>
        <w:gridCol w:w="1714"/>
        <w:gridCol w:w="1654"/>
        <w:gridCol w:w="1578"/>
      </w:tblGrid>
      <w:tr>
        <w:trPr>
          <w:trHeight w:val="443" w:hRule="atLeast"/>
        </w:trPr>
        <w:tc>
          <w:tcPr>
            <w:tcW w:w="3481" w:type="dxa"/>
            <w:vMerge w:val="restart"/>
          </w:tcPr>
          <w:p>
            <w:pPr>
              <w:pStyle w:val="TableParagraph"/>
              <w:spacing w:line="240" w:lineRule="auto" w:before="3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6648" w:type="dxa"/>
            <w:gridSpan w:val="4"/>
          </w:tcPr>
          <w:p>
            <w:pPr>
              <w:pStyle w:val="TableParagraph"/>
              <w:spacing w:line="240" w:lineRule="auto" w:before="85"/>
              <w:ind w:left="11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3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76"/>
              <w:ind w:right="6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76"/>
              <w:ind w:right="6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4" w:type="dxa"/>
          </w:tcPr>
          <w:p>
            <w:pPr>
              <w:pStyle w:val="TableParagraph"/>
              <w:spacing w:line="240" w:lineRule="auto" w:before="76"/>
              <w:ind w:right="5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76"/>
              <w:ind w:left="530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Seekonk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Sharon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Sheffield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Shelburne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Sherborn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Shirley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Shrewsbury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Shutesbury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Somerset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Somerville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Southampton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Southborough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Southbridge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Southwick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Spencer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702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Sterling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Stoneham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Stoughton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Stow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Sturbridge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Sudbury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Sunderland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Sutton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Swampscott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Swansea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Taunton</w:t>
            </w:r>
          </w:p>
        </w:tc>
        <w:tc>
          <w:tcPr>
            <w:tcW w:w="1702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Templeton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Tewksbury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Tolland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Topsfield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Townsend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Truro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Tyngsborough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Tyringham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Upton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1260" w:footer="931" w:top="2280" w:bottom="1120" w:left="520" w:right="80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1702"/>
        <w:gridCol w:w="1714"/>
        <w:gridCol w:w="1654"/>
        <w:gridCol w:w="1578"/>
      </w:tblGrid>
      <w:tr>
        <w:trPr>
          <w:trHeight w:val="443" w:hRule="atLeast"/>
        </w:trPr>
        <w:tc>
          <w:tcPr>
            <w:tcW w:w="3481" w:type="dxa"/>
            <w:vMerge w:val="restart"/>
          </w:tcPr>
          <w:p>
            <w:pPr>
              <w:pStyle w:val="TableParagraph"/>
              <w:spacing w:line="240" w:lineRule="auto" w:before="3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6648" w:type="dxa"/>
            <w:gridSpan w:val="4"/>
          </w:tcPr>
          <w:p>
            <w:pPr>
              <w:pStyle w:val="TableParagraph"/>
              <w:spacing w:line="240" w:lineRule="auto" w:before="85"/>
              <w:ind w:left="11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3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76"/>
              <w:ind w:right="6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76"/>
              <w:ind w:right="6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4" w:type="dxa"/>
          </w:tcPr>
          <w:p>
            <w:pPr>
              <w:pStyle w:val="TableParagraph"/>
              <w:spacing w:line="240" w:lineRule="auto" w:before="76"/>
              <w:ind w:right="5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76"/>
              <w:ind w:left="530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Uxbridge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Wakefield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Wales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Walpole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Waltham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Ware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Wareham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Warren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Warwick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Watertown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Wayland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Webster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Wellesley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Wellfleet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Wendell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Bridgewater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Newbury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Springfield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Stockbridge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Westborough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Westfield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Westford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481" w:type="dxa"/>
          </w:tcPr>
          <w:p>
            <w:pPr>
              <w:pStyle w:val="TableParagraph"/>
              <w:spacing w:line="251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Westhampton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spacing w:line="251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Westminster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Westport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Westwood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Weymouth</w:t>
            </w:r>
          </w:p>
        </w:tc>
        <w:tc>
          <w:tcPr>
            <w:tcW w:w="1702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71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4" w:type="dxa"/>
          </w:tcPr>
          <w:p>
            <w:pPr>
              <w:pStyle w:val="TableParagraph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Whately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Whitman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Wilbraham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Williamsburg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Williamstown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Wilmington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1260" w:footer="931" w:top="2280" w:bottom="1120" w:left="520" w:right="80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1702"/>
        <w:gridCol w:w="1714"/>
        <w:gridCol w:w="1654"/>
        <w:gridCol w:w="1578"/>
      </w:tblGrid>
      <w:tr>
        <w:trPr>
          <w:trHeight w:val="443" w:hRule="atLeast"/>
        </w:trPr>
        <w:tc>
          <w:tcPr>
            <w:tcW w:w="3481" w:type="dxa"/>
            <w:vMerge w:val="restart"/>
          </w:tcPr>
          <w:p>
            <w:pPr>
              <w:pStyle w:val="TableParagraph"/>
              <w:spacing w:line="240" w:lineRule="auto" w:before="3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6648" w:type="dxa"/>
            <w:gridSpan w:val="4"/>
          </w:tcPr>
          <w:p>
            <w:pPr>
              <w:pStyle w:val="TableParagraph"/>
              <w:spacing w:line="240" w:lineRule="auto" w:before="85"/>
              <w:ind w:left="11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6" w:hRule="atLeast"/>
        </w:trPr>
        <w:tc>
          <w:tcPr>
            <w:tcW w:w="3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76"/>
              <w:ind w:right="6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76"/>
              <w:ind w:right="6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4" w:type="dxa"/>
          </w:tcPr>
          <w:p>
            <w:pPr>
              <w:pStyle w:val="TableParagraph"/>
              <w:spacing w:line="240" w:lineRule="auto" w:before="76"/>
              <w:ind w:right="5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spacing w:line="240" w:lineRule="auto" w:before="76"/>
              <w:ind w:left="530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Winchendon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Winchester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Windsor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Winthrop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Woburn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702" w:type="dxa"/>
          </w:tcPr>
          <w:p>
            <w:pPr>
              <w:pStyle w:val="TableParagraph"/>
              <w:spacing w:line="249" w:lineRule="exact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714" w:type="dxa"/>
          </w:tcPr>
          <w:p>
            <w:pPr>
              <w:pStyle w:val="TableParagraph"/>
              <w:spacing w:line="249" w:lineRule="exact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654" w:type="dxa"/>
          </w:tcPr>
          <w:p>
            <w:pPr>
              <w:pStyle w:val="TableParagraph"/>
              <w:spacing w:line="249" w:lineRule="exact"/>
              <w:ind w:right="605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578" w:type="dxa"/>
          </w:tcPr>
          <w:p>
            <w:pPr>
              <w:pStyle w:val="TableParagraph"/>
              <w:spacing w:line="249" w:lineRule="exact"/>
              <w:ind w:left="244" w:right="1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Worthington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Wrentham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Yarmouth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3481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Unknown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78" w:type="dxa"/>
          </w:tcPr>
          <w:p>
            <w:pPr>
              <w:pStyle w:val="TableParagraph"/>
              <w:ind w:left="244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3481" w:type="dxa"/>
          </w:tcPr>
          <w:p>
            <w:pPr>
              <w:pStyle w:val="TableParagraph"/>
              <w:spacing w:line="252" w:lineRule="exact" w:before="1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702" w:type="dxa"/>
          </w:tcPr>
          <w:p>
            <w:pPr>
              <w:pStyle w:val="TableParagraph"/>
              <w:spacing w:line="252" w:lineRule="exact" w:before="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698</w:t>
            </w:r>
          </w:p>
        </w:tc>
        <w:tc>
          <w:tcPr>
            <w:tcW w:w="1714" w:type="dxa"/>
          </w:tcPr>
          <w:p>
            <w:pPr>
              <w:pStyle w:val="TableParagraph"/>
              <w:spacing w:line="252" w:lineRule="exact" w:before="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918</w:t>
            </w:r>
          </w:p>
        </w:tc>
        <w:tc>
          <w:tcPr>
            <w:tcW w:w="1654" w:type="dxa"/>
          </w:tcPr>
          <w:p>
            <w:pPr>
              <w:pStyle w:val="TableParagraph"/>
              <w:spacing w:line="252" w:lineRule="exact"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1,321</w:t>
            </w:r>
          </w:p>
        </w:tc>
        <w:tc>
          <w:tcPr>
            <w:tcW w:w="1578" w:type="dxa"/>
          </w:tcPr>
          <w:p>
            <w:pPr>
              <w:pStyle w:val="TableParagraph"/>
              <w:spacing w:line="252" w:lineRule="exact" w:before="1"/>
              <w:ind w:left="45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1,597</w:t>
            </w:r>
          </w:p>
        </w:tc>
      </w:tr>
    </w:tbl>
    <w:p>
      <w:pPr>
        <w:spacing w:before="4"/>
        <w:ind w:left="108" w:right="56" w:firstLine="0"/>
        <w:jc w:val="left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  <w:vertAlign w:val="baseline"/>
        </w:rPr>
        <w:t>Unintentional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poisoning/overdose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deaths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combine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unintentional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undetermined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intents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account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for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change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death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coding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that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occurred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2005.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Suicides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are excluded from this analysis.</w:t>
      </w:r>
    </w:p>
    <w:p>
      <w:pPr>
        <w:spacing w:line="195" w:lineRule="exact" w:before="1"/>
        <w:ind w:left="108" w:right="0" w:firstLine="0"/>
        <w:jc w:val="left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Opioids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include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heroin,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opioid-based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prescription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painkillers,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other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unspecified</w:t>
      </w:r>
      <w:r>
        <w:rPr>
          <w:spacing w:val="-6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opioids.</w:t>
      </w:r>
    </w:p>
    <w:p>
      <w:pPr>
        <w:spacing w:before="0"/>
        <w:ind w:left="108" w:right="56" w:firstLine="0"/>
        <w:jc w:val="left"/>
        <w:rPr>
          <w:sz w:val="16"/>
        </w:rPr>
      </w:pPr>
      <w:r>
        <w:rPr>
          <w:sz w:val="16"/>
          <w:vertAlign w:val="superscript"/>
        </w:rPr>
        <w:t>3</w:t>
      </w:r>
      <w:r>
        <w:rPr>
          <w:sz w:val="16"/>
          <w:vertAlign w:val="baseline"/>
        </w:rPr>
        <w:t>Please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note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that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2014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2015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death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data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preliminary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subject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to updates.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Case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reviews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deaths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evaluated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updated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ongoing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basis.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large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number of death certificates have yet to be assigned final cause-of-death codes. The information presented in this report </w:t>
      </w:r>
      <w:r>
        <w:rPr>
          <w:sz w:val="16"/>
          <w:u w:val="single"/>
          <w:vertAlign w:val="baseline"/>
        </w:rPr>
        <w:t>only</w:t>
      </w:r>
      <w:r>
        <w:rPr>
          <w:sz w:val="16"/>
          <w:u w:val="none"/>
          <w:vertAlign w:val="baseline"/>
        </w:rPr>
        <w:t> includes confirmed cases. Data</w:t>
      </w:r>
      <w:r>
        <w:rPr>
          <w:spacing w:val="40"/>
          <w:sz w:val="16"/>
          <w:u w:val="none"/>
          <w:vertAlign w:val="baseline"/>
        </w:rPr>
        <w:t> </w:t>
      </w:r>
      <w:r>
        <w:rPr>
          <w:sz w:val="16"/>
          <w:u w:val="none"/>
          <w:vertAlign w:val="baseline"/>
        </w:rPr>
        <w:t>updated on 01/12/2017.</w:t>
      </w:r>
    </w:p>
    <w:p>
      <w:pPr>
        <w:spacing w:after="0"/>
        <w:jc w:val="left"/>
        <w:rPr>
          <w:sz w:val="16"/>
        </w:rPr>
        <w:sectPr>
          <w:pgSz w:w="12240" w:h="15840"/>
          <w:pgMar w:header="1260" w:footer="931" w:top="2280" w:bottom="1120" w:left="520" w:right="800"/>
        </w:sectPr>
      </w:pPr>
    </w:p>
    <w:p>
      <w:pPr>
        <w:pStyle w:val="BodyText"/>
        <w:spacing w:before="15"/>
      </w:pPr>
    </w:p>
    <w:p>
      <w:pPr>
        <w:spacing w:before="1"/>
        <w:ind w:left="92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Technical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1638" w:val="left" w:leader="none"/>
          <w:tab w:pos="1640" w:val="left" w:leader="none"/>
        </w:tabs>
        <w:spacing w:line="240" w:lineRule="auto" w:before="0" w:after="0"/>
        <w:ind w:left="1640" w:right="679" w:hanging="360"/>
        <w:jc w:val="left"/>
        <w:rPr>
          <w:sz w:val="22"/>
        </w:rPr>
      </w:pPr>
      <w:r>
        <w:rPr>
          <w:sz w:val="22"/>
        </w:rPr>
        <w:t>Cases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4"/>
          <w:sz w:val="22"/>
        </w:rPr>
        <w:t> </w:t>
      </w:r>
      <w:r>
        <w:rPr>
          <w:sz w:val="22"/>
        </w:rPr>
        <w:t>defined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International</w:t>
      </w:r>
      <w:r>
        <w:rPr>
          <w:spacing w:val="-2"/>
          <w:sz w:val="22"/>
        </w:rPr>
        <w:t> </w:t>
      </w:r>
      <w:r>
        <w:rPr>
          <w:sz w:val="22"/>
        </w:rPr>
        <w:t>Classification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Disease</w:t>
      </w:r>
      <w:r>
        <w:rPr>
          <w:spacing w:val="-4"/>
          <w:sz w:val="22"/>
        </w:rPr>
        <w:t> </w:t>
      </w:r>
      <w:r>
        <w:rPr>
          <w:sz w:val="22"/>
        </w:rPr>
        <w:t>(ICD-10)</w:t>
      </w:r>
      <w:r>
        <w:rPr>
          <w:spacing w:val="-2"/>
          <w:sz w:val="22"/>
        </w:rPr>
        <w:t> </w:t>
      </w:r>
      <w:r>
        <w:rPr>
          <w:sz w:val="22"/>
        </w:rPr>
        <w:t>codes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mortality. The following codes were selected from the underlying cause of death field to identify poisonings/overdoses: X40-X49, Y10-Y19. All multiple cause of death fields were then used to identify an opioid-related death: T40.0, T40.1, T40.2, T40.3, T40.4, and T40.6.</w:t>
      </w:r>
    </w:p>
    <w:p>
      <w:pPr>
        <w:pStyle w:val="ListParagraph"/>
        <w:numPr>
          <w:ilvl w:val="0"/>
          <w:numId w:val="1"/>
        </w:numPr>
        <w:tabs>
          <w:tab w:pos="1638" w:val="left" w:leader="none"/>
          <w:tab w:pos="1640" w:val="left" w:leader="none"/>
        </w:tabs>
        <w:spacing w:line="240" w:lineRule="auto" w:before="0" w:after="0"/>
        <w:ind w:left="1640" w:right="814" w:hanging="360"/>
        <w:jc w:val="left"/>
        <w:rPr>
          <w:sz w:val="22"/>
        </w:rPr>
      </w:pP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tracks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opioid-related</w:t>
      </w:r>
      <w:r>
        <w:rPr>
          <w:spacing w:val="-5"/>
          <w:sz w:val="22"/>
        </w:rPr>
        <w:t> </w:t>
      </w:r>
      <w:r>
        <w:rPr>
          <w:sz w:val="22"/>
        </w:rPr>
        <w:t>overdoses</w:t>
      </w:r>
      <w:r>
        <w:rPr>
          <w:spacing w:val="-1"/>
          <w:sz w:val="22"/>
        </w:rPr>
        <w:t> </w:t>
      </w:r>
      <w:r>
        <w:rPr>
          <w:sz w:val="22"/>
        </w:rPr>
        <w:t>due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difficulties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reporting</w:t>
      </w:r>
      <w:r>
        <w:rPr>
          <w:spacing w:val="-3"/>
          <w:sz w:val="22"/>
        </w:rPr>
        <w:t> </w:t>
      </w:r>
      <w:r>
        <w:rPr>
          <w:sz w:val="22"/>
        </w:rPr>
        <w:t>heroin-associated overdoses separately. Many deaths related to heroin</w:t>
      </w:r>
      <w:r>
        <w:rPr>
          <w:spacing w:val="-1"/>
          <w:sz w:val="22"/>
        </w:rPr>
        <w:t> </w:t>
      </w:r>
      <w:r>
        <w:rPr>
          <w:sz w:val="22"/>
        </w:rPr>
        <w:t>are not specifically coded as such due to the fast metabolism of heroin into morphine.</w:t>
      </w:r>
    </w:p>
    <w:p>
      <w:pPr>
        <w:pStyle w:val="ListParagraph"/>
        <w:numPr>
          <w:ilvl w:val="0"/>
          <w:numId w:val="1"/>
        </w:numPr>
        <w:tabs>
          <w:tab w:pos="1638" w:val="left" w:leader="none"/>
          <w:tab w:pos="1640" w:val="left" w:leader="none"/>
        </w:tabs>
        <w:spacing w:line="240" w:lineRule="auto" w:before="0" w:after="0"/>
        <w:ind w:left="1640" w:right="871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maintain</w:t>
      </w:r>
      <w:r>
        <w:rPr>
          <w:spacing w:val="-5"/>
          <w:sz w:val="22"/>
        </w:rPr>
        <w:t> </w:t>
      </w:r>
      <w:r>
        <w:rPr>
          <w:sz w:val="22"/>
        </w:rPr>
        <w:t>consistency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NCHS</w:t>
      </w:r>
      <w:r>
        <w:rPr>
          <w:spacing w:val="-2"/>
          <w:sz w:val="22"/>
        </w:rPr>
        <w:t> </w:t>
      </w:r>
      <w:r>
        <w:rPr>
          <w:sz w:val="22"/>
        </w:rPr>
        <w:t>reporting,</w:t>
      </w:r>
      <w:r>
        <w:rPr>
          <w:spacing w:val="-2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ICD-10</w:t>
      </w:r>
      <w:r>
        <w:rPr>
          <w:spacing w:val="-2"/>
          <w:sz w:val="22"/>
        </w:rPr>
        <w:t> </w:t>
      </w:r>
      <w:r>
        <w:rPr>
          <w:sz w:val="22"/>
        </w:rPr>
        <w:t>code</w:t>
      </w:r>
      <w:r>
        <w:rPr>
          <w:spacing w:val="-6"/>
          <w:sz w:val="22"/>
        </w:rPr>
        <w:t> </w:t>
      </w:r>
      <w:r>
        <w:rPr>
          <w:sz w:val="22"/>
        </w:rPr>
        <w:t>F11.1,</w:t>
      </w:r>
      <w:r>
        <w:rPr>
          <w:spacing w:val="-4"/>
          <w:sz w:val="22"/>
        </w:rPr>
        <w:t> </w:t>
      </w:r>
      <w:r>
        <w:rPr>
          <w:sz w:val="22"/>
        </w:rPr>
        <w:t>which may include opioid-related overdose deaths.</w:t>
      </w:r>
    </w:p>
    <w:p>
      <w:pPr>
        <w:pStyle w:val="BodyText"/>
      </w:pPr>
    </w:p>
    <w:p>
      <w:pPr>
        <w:spacing w:before="1"/>
        <w:ind w:left="920" w:right="0" w:firstLine="0"/>
        <w:jc w:val="left"/>
        <w:rPr>
          <w:b/>
          <w:sz w:val="22"/>
        </w:rPr>
      </w:pPr>
      <w:r>
        <w:rPr>
          <w:b/>
          <w:sz w:val="22"/>
        </w:rPr>
        <w:t>Source: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Registry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Vital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Records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Statistics,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MDPH</w:t>
      </w:r>
    </w:p>
    <w:sectPr>
      <w:headerReference w:type="default" r:id="rId9"/>
      <w:footerReference w:type="default" r:id="rId10"/>
      <w:pgSz w:w="12240" w:h="15840"/>
      <w:pgMar w:header="0" w:footer="931" w:top="1820" w:bottom="1120" w:left="5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14496">
              <wp:simplePos x="0" y="0"/>
              <wp:positionH relativeFrom="page">
                <wp:posOffset>7106157</wp:posOffset>
              </wp:positionH>
              <wp:positionV relativeFrom="page">
                <wp:posOffset>9327210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9.539978pt;margin-top:734.426025pt;width:11.6pt;height:11pt;mso-position-horizontal-relative:page;mso-position-vertical-relative:page;z-index:-1860198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15520">
              <wp:simplePos x="0" y="0"/>
              <wp:positionH relativeFrom="page">
                <wp:posOffset>7073645</wp:posOffset>
              </wp:positionH>
              <wp:positionV relativeFrom="page">
                <wp:posOffset>9327210</wp:posOffset>
              </wp:positionV>
              <wp:extent cx="179705" cy="1397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979980pt;margin-top:734.426025pt;width:14.15pt;height:11pt;mso-position-horizontal-relative:page;mso-position-vertical-relative:page;z-index:-18600960" type="#_x0000_t202" id="docshape10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16032">
              <wp:simplePos x="0" y="0"/>
              <wp:positionH relativeFrom="page">
                <wp:posOffset>6730745</wp:posOffset>
              </wp:positionH>
              <wp:positionV relativeFrom="page">
                <wp:posOffset>9327210</wp:posOffset>
              </wp:positionV>
              <wp:extent cx="141605" cy="1397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979980pt;margin-top:734.426025pt;width:11.15pt;height:11pt;mso-position-horizontal-relative:page;mso-position-vertical-relative:page;z-index:-18600448" type="#_x0000_t202" id="docshape1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15008">
              <wp:simplePos x="0" y="0"/>
              <wp:positionH relativeFrom="page">
                <wp:posOffset>455168</wp:posOffset>
              </wp:positionH>
              <wp:positionV relativeFrom="page">
                <wp:posOffset>787400</wp:posOffset>
              </wp:positionV>
              <wp:extent cx="6303645" cy="6769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303645" cy="676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  <w:jc w:val="both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table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below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lists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confirmed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unintentional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opioid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overdose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deaths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that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occurred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residents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from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each</w:t>
                          </w:r>
                        </w:p>
                        <w:p>
                          <w:pPr>
                            <w:pStyle w:val="BodyText"/>
                            <w:ind w:left="20" w:right="476"/>
                            <w:jc w:val="both"/>
                          </w:pPr>
                          <w:r>
                            <w:rPr/>
                            <w:t>community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Massachusetts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between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2012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2015.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2014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2015,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additional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cases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are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still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being confirmed by the Office of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the Chief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Medical Examiner.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This report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will be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updated quarterly and all new confirmed cases will be included in the town by town listing below with newly confirmed cases.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0pt;margin-top:62pt;width:496.35pt;height:53.3pt;mso-position-horizontal-relative:page;mso-position-vertical-relative:page;z-index:-18601472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  <w:jc w:val="both"/>
                    </w:pPr>
                    <w:r>
                      <w:rPr/>
                      <w:t>The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table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below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lists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confirmed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unintentional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opioid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overdose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deaths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that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occurred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residents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from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each</w:t>
                    </w:r>
                  </w:p>
                  <w:p>
                    <w:pPr>
                      <w:pStyle w:val="BodyText"/>
                      <w:ind w:left="20" w:right="476"/>
                      <w:jc w:val="both"/>
                    </w:pPr>
                    <w:r>
                      <w:rPr/>
                      <w:t>community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Massachusetts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between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2012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2015.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2014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2015,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additional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cases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are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still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being confirmed by the Office of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the Chief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Medical Examiner.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This report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will be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updated quarterly and all new confirmed cases will be included in the town by town listing below with newly confirmed cases.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0" w:right="67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right="606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Fevrier, Lucyus (EHS)</dc:creator>
  <dcterms:created xsi:type="dcterms:W3CDTF">2024-12-31T15:58:53Z</dcterms:created>
  <dcterms:modified xsi:type="dcterms:W3CDTF">2024-12-31T15:58:53Z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