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85" y="1244727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9" y="210276"/>
                            <a:ext cx="1009549" cy="1009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750686" y="1349883"/>
                            <a:ext cx="9423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609" y="1349883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67"/>
                                <w:ind w:left="2536" w:right="737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 All Intents by City/Town, MA Residents January 2012- December 2016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1" coordorigin="0,0" coordsize="10686,2391">
                <v:rect style="position:absolute;left:11;top:1960;width:10665;height:420" id="docshape2" filled="false" stroked="true" strokeweight="1pt" strokecolor="#000000">
                  <v:stroke dashstyle="solid"/>
                </v:rect>
                <v:rect style="position:absolute;left:10;top:10;width:10665;height:1965" id="docshape3" filled="true" fillcolor="#ffffff" stroked="false">
                  <v:fill type="solid"/>
                </v:rect>
                <v:shape style="position:absolute;left:597;top:331;width:1590;height:1591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56;top:2125;width:1484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73;top:2125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37" w:lineRule="auto" w:before="267"/>
                          <w:ind w:left="2536" w:right="737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 All Intents by City/Town, MA Residents January 2012- December 2016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07"/>
        <w:rPr>
          <w:rFonts w:ascii="Times New Roman"/>
        </w:rPr>
      </w:pPr>
    </w:p>
    <w:p>
      <w:pPr>
        <w:pStyle w:val="BodyText"/>
        <w:ind w:left="560" w:right="235"/>
      </w:pPr>
      <w:r>
        <w:rPr>
          <w:b/>
        </w:rPr>
        <w:t>Note To</w:t>
      </w:r>
      <w:r>
        <w:rPr>
          <w:b/>
          <w:spacing w:val="-3"/>
        </w:rPr>
        <w:t> </w:t>
      </w:r>
      <w:r>
        <w:rPr>
          <w:b/>
        </w:rPr>
        <w:t>Readers: </w:t>
      </w:r>
      <w:r>
        <w:rPr/>
        <w:t>This is</w:t>
      </w:r>
      <w:r>
        <w:rPr>
          <w:spacing w:val="-3"/>
        </w:rPr>
        <w:t> </w:t>
      </w:r>
      <w:r>
        <w:rPr/>
        <w:t>the first quarterly</w:t>
      </w:r>
      <w:r>
        <w:rPr>
          <w:spacing w:val="-2"/>
        </w:rPr>
        <w:t> </w:t>
      </w:r>
      <w:r>
        <w:rPr/>
        <w:t>report for</w:t>
      </w:r>
      <w:r>
        <w:rPr>
          <w:spacing w:val="-2"/>
        </w:rPr>
        <w:t> </w:t>
      </w:r>
      <w:r>
        <w:rPr/>
        <w:t>2017.</w:t>
      </w:r>
      <w:r>
        <w:rPr>
          <w:spacing w:val="-3"/>
        </w:rPr>
        <w:t> </w:t>
      </w:r>
      <w:r>
        <w:rPr/>
        <w:t>Please 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throughout all</w:t>
      </w:r>
      <w:r>
        <w:rPr>
          <w:spacing w:val="-1"/>
        </w:rPr>
        <w:t> </w:t>
      </w:r>
      <w:r>
        <w:rPr/>
        <w:t>sections of</w:t>
      </w:r>
      <w:r>
        <w:rPr>
          <w:spacing w:val="-3"/>
        </w:rPr>
        <w:t> </w:t>
      </w:r>
      <w:r>
        <w:rPr/>
        <w:t>this report there has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change in</w:t>
      </w:r>
      <w:r>
        <w:rPr>
          <w:spacing w:val="-4"/>
        </w:rPr>
        <w:t> </w:t>
      </w:r>
      <w:r>
        <w:rPr/>
        <w:t>the category</w:t>
      </w:r>
      <w:r>
        <w:rPr>
          <w:spacing w:val="-2"/>
        </w:rPr>
        <w:t> </w:t>
      </w:r>
      <w:r>
        <w:rPr/>
        <w:t>of deaths that</w:t>
      </w:r>
      <w:r>
        <w:rPr>
          <w:spacing w:val="-3"/>
        </w:rPr>
        <w:t> </w:t>
      </w:r>
      <w:r>
        <w:rPr/>
        <w:t>are included.</w:t>
      </w:r>
      <w:r>
        <w:rPr>
          <w:spacing w:val="-3"/>
        </w:rPr>
        <w:t> </w:t>
      </w:r>
      <w:r>
        <w:rPr/>
        <w:t>Death</w:t>
      </w:r>
      <w:r>
        <w:rPr>
          <w:spacing w:val="-4"/>
        </w:rPr>
        <w:t> </w:t>
      </w:r>
      <w:r>
        <w:rPr/>
        <w:t>data that were previously reported as “Unintentional/Undetermined” has been updated to include deaths of </w:t>
      </w:r>
      <w:r>
        <w:rPr>
          <w:b/>
        </w:rPr>
        <w:t>“All Intents”</w:t>
      </w:r>
      <w:r>
        <w:rPr/>
        <w:t>, which means that opioid- related</w:t>
      </w:r>
      <w:r>
        <w:rPr>
          <w:spacing w:val="-1"/>
        </w:rPr>
        <w:t> </w:t>
      </w:r>
      <w:r>
        <w:rPr/>
        <w:t>deaths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3"/>
        </w:rPr>
        <w:t> </w:t>
      </w:r>
      <w:r>
        <w:rPr/>
        <w:t>Medical</w:t>
      </w:r>
      <w:r>
        <w:rPr>
          <w:spacing w:val="-4"/>
        </w:rPr>
        <w:t> </w:t>
      </w:r>
      <w:r>
        <w:rPr/>
        <w:t>Examiner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suicide</w:t>
      </w:r>
      <w:r>
        <w:rPr>
          <w:spacing w:val="-1"/>
        </w:rPr>
        <w:t> </w:t>
      </w:r>
      <w:r>
        <w:rPr/>
        <w:t>will now be included in the totals. This will not add significantly to the death totals, however it will allow for consistency in interpretation in the data that are presented.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16" w:right="546"/>
        <w:jc w:val="both"/>
      </w:pP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3"/>
        </w:rPr>
        <w:t> </w:t>
      </w:r>
      <w:r>
        <w:rPr/>
        <w:t>below lists the</w:t>
      </w:r>
      <w:r>
        <w:rPr>
          <w:spacing w:val="-1"/>
        </w:rPr>
        <w:t> </w:t>
      </w:r>
      <w:r>
        <w:rPr/>
        <w:t>confirmed all</w:t>
      </w:r>
      <w:r>
        <w:rPr>
          <w:spacing w:val="-2"/>
        </w:rPr>
        <w:t> </w:t>
      </w:r>
      <w:r>
        <w:rPr/>
        <w:t>intents</w:t>
      </w:r>
      <w:r>
        <w:rPr>
          <w:spacing w:val="-4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overdose</w:t>
      </w:r>
      <w:r>
        <w:rPr>
          <w:spacing w:val="-3"/>
        </w:rPr>
        <w:t> </w:t>
      </w:r>
      <w:r>
        <w:rPr/>
        <w:t>deaths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occurred</w:t>
      </w:r>
      <w:r>
        <w:rPr>
          <w:spacing w:val="-1"/>
        </w:rPr>
        <w:t> </w:t>
      </w:r>
      <w:r>
        <w:rPr/>
        <w:t>to residents</w:t>
      </w:r>
      <w:r>
        <w:rPr>
          <w:spacing w:val="-3"/>
        </w:rPr>
        <w:t> </w:t>
      </w:r>
      <w:r>
        <w:rPr/>
        <w:t>from each community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between</w:t>
      </w:r>
      <w:r>
        <w:rPr>
          <w:spacing w:val="-5"/>
        </w:rPr>
        <w:t> </w:t>
      </w:r>
      <w:r>
        <w:rPr/>
        <w:t>2012 and</w:t>
      </w:r>
      <w:r>
        <w:rPr>
          <w:spacing w:val="-5"/>
        </w:rPr>
        <w:t> </w:t>
      </w:r>
      <w:r>
        <w:rPr/>
        <w:t>2016.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2015-2016,</w:t>
      </w:r>
      <w:r>
        <w:rPr>
          <w:spacing w:val="-2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cases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still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by the Office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Chief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Examiner.</w:t>
      </w:r>
      <w:r>
        <w:rPr>
          <w:spacing w:val="40"/>
        </w:rPr>
        <w:t> </w:t>
      </w:r>
      <w:r>
        <w:rPr/>
        <w:t>This report</w:t>
      </w:r>
      <w:r>
        <w:rPr>
          <w:spacing w:val="-5"/>
        </w:rPr>
        <w:t> </w:t>
      </w:r>
      <w:r>
        <w:rPr/>
        <w:t>will be updated</w:t>
      </w:r>
      <w:r>
        <w:rPr>
          <w:spacing w:val="-4"/>
        </w:rPr>
        <w:t> </w:t>
      </w:r>
      <w:r>
        <w:rPr/>
        <w:t>quarterly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all new confirmed cases</w:t>
      </w:r>
      <w:r>
        <w:rPr>
          <w:spacing w:val="-2"/>
        </w:rPr>
        <w:t> </w:t>
      </w:r>
      <w:r>
        <w:rPr/>
        <w:t>will be included in the town by town listing below with newly confirmed cases.</w:t>
      </w: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1597"/>
        <w:gridCol w:w="1604"/>
        <w:gridCol w:w="1585"/>
        <w:gridCol w:w="1600"/>
        <w:gridCol w:w="1597"/>
      </w:tblGrid>
      <w:tr>
        <w:trPr>
          <w:trHeight w:val="443" w:hRule="atLeast"/>
        </w:trPr>
        <w:tc>
          <w:tcPr>
            <w:tcW w:w="2794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3" w:type="dxa"/>
            <w:gridSpan w:val="5"/>
          </w:tcPr>
          <w:p>
            <w:pPr>
              <w:pStyle w:val="TableParagraph"/>
              <w:spacing w:line="265" w:lineRule="exact"/>
              <w:ind w:left="2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spacing w:line="240" w:lineRule="auto" w:before="76"/>
              <w:ind w:left="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4" w:type="dxa"/>
          </w:tcPr>
          <w:p>
            <w:pPr>
              <w:pStyle w:val="TableParagraph"/>
              <w:spacing w:line="240" w:lineRule="auto" w:before="76"/>
              <w:ind w:left="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76"/>
              <w:ind w:left="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76"/>
              <w:ind w:lef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7" w:type="dxa"/>
          </w:tcPr>
          <w:p>
            <w:pPr>
              <w:pStyle w:val="TableParagraph"/>
              <w:spacing w:line="240" w:lineRule="auto" w:before="76"/>
              <w:ind w:left="8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4" w:type="dxa"/>
          </w:tcPr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0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Adams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94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5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794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85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5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3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5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0" w:type="dxa"/>
          </w:tcPr>
          <w:p>
            <w:pPr>
              <w:pStyle w:val="TableParagraph"/>
              <w:ind w:left="5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3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4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>
      <w:pPr>
        <w:spacing w:after="0" w:line="251" w:lineRule="exact"/>
        <w:rPr>
          <w:sz w:val="22"/>
        </w:rPr>
        <w:sectPr>
          <w:type w:val="continuous"/>
          <w:pgSz w:w="12240" w:h="15840"/>
          <w:pgMar w:top="82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 w:right="3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 w:right="2"/>
              <w:rPr>
                <w:sz w:val="22"/>
              </w:rPr>
            </w:pPr>
            <w:r>
              <w:rPr>
                <w:spacing w:val="-5"/>
                <w:sz w:val="22"/>
              </w:rPr>
              <w:t>196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6"/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2"/>
                <w:sz w:val="22"/>
              </w:rPr>
              <w:t> River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Great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Attleboro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Brookfield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Reading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Oak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Boylston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Bridgewater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Newbury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Springfield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Stockbridge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0" w:top="2280" w:bottom="28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65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2792" w:type="dxa"/>
          </w:tcPr>
          <w:p>
            <w:pPr>
              <w:pStyle w:val="TableParagraph"/>
              <w:spacing w:line="253" w:lineRule="exact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742</w:t>
            </w:r>
          </w:p>
        </w:tc>
        <w:tc>
          <w:tcPr>
            <w:tcW w:w="1603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961</w:t>
            </w:r>
          </w:p>
        </w:tc>
        <w:tc>
          <w:tcPr>
            <w:tcW w:w="1584" w:type="dxa"/>
          </w:tcPr>
          <w:p>
            <w:pPr>
              <w:pStyle w:val="TableParagraph"/>
              <w:spacing w:line="253" w:lineRule="exact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1361</w:t>
            </w:r>
          </w:p>
        </w:tc>
        <w:tc>
          <w:tcPr>
            <w:tcW w:w="1599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1651</w:t>
            </w:r>
          </w:p>
        </w:tc>
        <w:tc>
          <w:tcPr>
            <w:tcW w:w="1596" w:type="dxa"/>
          </w:tcPr>
          <w:p>
            <w:pPr>
              <w:pStyle w:val="TableParagraph"/>
              <w:spacing w:line="253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1933</w:t>
            </w:r>
          </w:p>
        </w:tc>
      </w:tr>
    </w:tbl>
    <w:p>
      <w:pPr>
        <w:spacing w:line="195" w:lineRule="exact" w:before="4"/>
        <w:ind w:left="108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Opioids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heroin,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opioid-based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prescription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painkillers,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other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unspecified</w:t>
      </w:r>
      <w:r>
        <w:rPr>
          <w:spacing w:val="-6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opioids.</w:t>
      </w:r>
    </w:p>
    <w:p>
      <w:pPr>
        <w:spacing w:before="0"/>
        <w:ind w:left="108" w:right="235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Please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2015-2016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data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preliminary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subject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evaluated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 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ongoing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basis.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large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number of death certificates have yet to be assigned final cause-of-death codes. The information presented in this report </w:t>
      </w:r>
      <w:r>
        <w:rPr>
          <w:sz w:val="16"/>
          <w:u w:val="single"/>
          <w:vertAlign w:val="baseline"/>
        </w:rPr>
        <w:t>only</w:t>
      </w:r>
      <w:r>
        <w:rPr>
          <w:sz w:val="16"/>
          <w:u w:val="none"/>
          <w:vertAlign w:val="baseline"/>
        </w:rPr>
        <w:t> includes confirmed cases. Data</w:t>
      </w:r>
      <w:r>
        <w:rPr>
          <w:spacing w:val="40"/>
          <w:sz w:val="16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updated on 04/06/2017.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8"/>
        <w:rPr>
          <w:sz w:val="16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104" w:hanging="361"/>
        <w:jc w:val="left"/>
        <w:rPr>
          <w:sz w:val="22"/>
        </w:rPr>
      </w:pPr>
      <w:r>
        <w:rPr>
          <w:sz w:val="22"/>
        </w:rPr>
        <w:t>Cases were defined using the International Classification of Disease (ICD-10) codes for mortality. The following codes were selected from the underlying cause of death field to identify poisonings/overdoses: X40-X49, X60- X69,</w:t>
      </w:r>
      <w:r>
        <w:rPr>
          <w:spacing w:val="-2"/>
          <w:sz w:val="22"/>
        </w:rPr>
        <w:t> </w:t>
      </w:r>
      <w:r>
        <w:rPr>
          <w:sz w:val="22"/>
        </w:rPr>
        <w:t>X85-X90,</w:t>
      </w:r>
      <w:r>
        <w:rPr>
          <w:spacing w:val="-4"/>
          <w:sz w:val="22"/>
        </w:rPr>
        <w:t> </w:t>
      </w:r>
      <w:r>
        <w:rPr>
          <w:sz w:val="22"/>
        </w:rPr>
        <w:t>Y10-Y19,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Y35.2. All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fields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opioid-related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2" w:after="0"/>
        <w:ind w:left="920" w:right="653" w:hanging="361"/>
        <w:jc w:val="both"/>
        <w:rPr>
          <w:sz w:val="22"/>
        </w:rPr>
      </w:pPr>
      <w:r>
        <w:rPr>
          <w:sz w:val="22"/>
        </w:rPr>
        <w:t>This report tracks all opioid-related overdoses due to difficulties in reporting heroin-associated overdoses separately.</w:t>
      </w:r>
      <w:r>
        <w:rPr>
          <w:spacing w:val="-2"/>
          <w:sz w:val="22"/>
        </w:rPr>
        <w:t> </w:t>
      </w:r>
      <w:r>
        <w:rPr>
          <w:sz w:val="22"/>
        </w:rPr>
        <w:t>Many</w:t>
      </w:r>
      <w:r>
        <w:rPr>
          <w:spacing w:val="-2"/>
          <w:sz w:val="22"/>
        </w:rPr>
        <w:t> </w:t>
      </w:r>
      <w:r>
        <w:rPr>
          <w:sz w:val="22"/>
        </w:rPr>
        <w:t>deaths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heroin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specifically</w:t>
      </w:r>
      <w:r>
        <w:rPr>
          <w:spacing w:val="-2"/>
          <w:sz w:val="22"/>
        </w:rPr>
        <w:t> </w:t>
      </w:r>
      <w:r>
        <w:rPr>
          <w:sz w:val="22"/>
        </w:rPr>
        <w:t>coded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fast</w:t>
      </w:r>
      <w:r>
        <w:rPr>
          <w:spacing w:val="-4"/>
          <w:sz w:val="22"/>
        </w:rPr>
        <w:t> </w:t>
      </w:r>
      <w:r>
        <w:rPr>
          <w:sz w:val="22"/>
        </w:rPr>
        <w:t>metabolism</w:t>
      </w:r>
      <w:r>
        <w:rPr>
          <w:spacing w:val="-3"/>
          <w:sz w:val="22"/>
        </w:rPr>
        <w:t> </w:t>
      </w:r>
      <w:r>
        <w:rPr>
          <w:sz w:val="22"/>
        </w:rPr>
        <w:t>of heroin into morphine.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37" w:lineRule="auto" w:before="3" w:after="0"/>
        <w:ind w:left="920" w:right="602" w:hanging="361"/>
        <w:jc w:val="both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maintain</w:t>
      </w:r>
      <w:r>
        <w:rPr>
          <w:spacing w:val="-4"/>
          <w:sz w:val="22"/>
        </w:rPr>
        <w:t> </w:t>
      </w:r>
      <w:r>
        <w:rPr>
          <w:sz w:val="22"/>
        </w:rPr>
        <w:t>consistency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NCHS</w:t>
      </w:r>
      <w:r>
        <w:rPr>
          <w:spacing w:val="-1"/>
          <w:sz w:val="22"/>
        </w:rPr>
        <w:t> </w:t>
      </w:r>
      <w:r>
        <w:rPr>
          <w:sz w:val="22"/>
        </w:rPr>
        <w:t>reporting,</w:t>
      </w:r>
      <w:r>
        <w:rPr>
          <w:spacing w:val="-1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ICD-10</w:t>
      </w:r>
      <w:r>
        <w:rPr>
          <w:spacing w:val="-1"/>
          <w:sz w:val="22"/>
        </w:rPr>
        <w:t> </w:t>
      </w:r>
      <w:r>
        <w:rPr>
          <w:sz w:val="22"/>
        </w:rPr>
        <w:t>code</w:t>
      </w:r>
      <w:r>
        <w:rPr>
          <w:spacing w:val="-5"/>
          <w:sz w:val="22"/>
        </w:rPr>
        <w:t> </w:t>
      </w:r>
      <w:r>
        <w:rPr>
          <w:sz w:val="22"/>
        </w:rPr>
        <w:t>F11.1,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include opioid-related overdose deaths.</w:t>
      </w:r>
    </w:p>
    <w:p>
      <w:pPr>
        <w:pStyle w:val="BodyText"/>
        <w:spacing w:before="1"/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1260" w:footer="0" w:top="2280" w:bottom="280" w:left="5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7168">
              <wp:simplePos x="0" y="0"/>
              <wp:positionH relativeFrom="page">
                <wp:posOffset>455168</wp:posOffset>
              </wp:positionH>
              <wp:positionV relativeFrom="page">
                <wp:posOffset>787400</wp:posOffset>
              </wp:positionV>
              <wp:extent cx="6562725" cy="6769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562725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jc w:val="both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below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lists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intents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opioid-related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overdose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residents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  <w:p>
                          <w:pPr>
                            <w:pStyle w:val="BodyText"/>
                            <w:ind w:left="20" w:right="18"/>
                            <w:jc w:val="both"/>
                          </w:pPr>
                          <w:r>
                            <w:rPr/>
                            <w:t>community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Massachusetts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between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2012 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2016.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2015-2016,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additional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still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by the Office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 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Chief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Medical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Examiner.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This report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will be updated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quarterly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all new confirmed cases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will be included in the town by town listing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62pt;width:516.75pt;height:53.3pt;mso-position-horizontal-relative:page;mso-position-vertical-relative:page;z-index:-1914931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jc w:val="both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below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lists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intents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opioid-related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overdose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residents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each</w:t>
                    </w:r>
                  </w:p>
                  <w:p>
                    <w:pPr>
                      <w:pStyle w:val="BodyText"/>
                      <w:ind w:left="20" w:right="18"/>
                      <w:jc w:val="both"/>
                    </w:pPr>
                    <w:r>
                      <w:rPr/>
                      <w:t>community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Massachusetts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between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2012 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2016.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2015-2016,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additional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still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by the Office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 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Chief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Medical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Examiner.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This report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will be updated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quarterly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all new confirmed cases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will be included in the town by town listing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104" w:hanging="361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2024-12-31T15:51:09Z</dcterms:created>
  <dcterms:modified xsi:type="dcterms:W3CDTF">2024-12-31T15:51:09Z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