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2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785609" cy="1518285"/>
                <wp:effectExtent l="0" t="0" r="0" b="571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785609" cy="1518285"/>
                          <a:chExt cx="6785609" cy="15182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985" y="1244727"/>
                            <a:ext cx="67722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266700">
                                <a:moveTo>
                                  <a:pt x="0" y="266700"/>
                                </a:moveTo>
                                <a:lnTo>
                                  <a:pt x="6772275" y="266700"/>
                                </a:lnTo>
                                <a:lnTo>
                                  <a:pt x="6772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6772275" cy="1247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1247775">
                                <a:moveTo>
                                  <a:pt x="6772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7775"/>
                                </a:lnTo>
                                <a:lnTo>
                                  <a:pt x="6772275" y="1247775"/>
                                </a:lnTo>
                                <a:lnTo>
                                  <a:pt x="6772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539" y="210276"/>
                            <a:ext cx="1009549" cy="1009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5421121" y="1349883"/>
                            <a:ext cx="12719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NOVEMBER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6609" y="1349883"/>
                            <a:ext cx="2051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350" y="6350"/>
                            <a:ext cx="6772275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37" w:lineRule="auto" w:before="267"/>
                                <w:ind w:left="2055" w:right="258" w:firstLine="0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87C"/>
                                  <w:spacing w:val="-12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87C"/>
                                  <w:spacing w:val="-11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Confirmed</w:t>
                              </w:r>
                              <w:r>
                                <w:rPr>
                                  <w:b/>
                                  <w:color w:val="1F487C"/>
                                  <w:spacing w:val="-12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Unintentional/Undetermined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 Opioid-related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 Overdose Deaths by City/Town, MA Residents January 2012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- December 2015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3pt;height:119.55pt;mso-position-horizontal-relative:char;mso-position-vertical-relative:line" id="docshapegroup2" coordorigin="0,0" coordsize="10686,2391">
                <v:rect style="position:absolute;left:11;top:1960;width:10665;height:420" id="docshape3" filled="false" stroked="true" strokeweight="1pt" strokecolor="#000000">
                  <v:stroke dashstyle="solid"/>
                </v:rect>
                <v:rect style="position:absolute;left:10;top:10;width:10665;height:1965" id="docshape4" filled="true" fillcolor="#ffffff" stroked="false">
                  <v:fill type="solid"/>
                </v:rect>
                <v:shape style="position:absolute;left:597;top:331;width:1590;height:1591" type="#_x0000_t75" id="docshape5" stroked="false">
                  <v:imagedata r:id="rId6" o:title=""/>
                </v:shape>
                <v:shape style="position:absolute;left:8537;top:2125;width:2003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NOVEMBER </w:t>
                        </w:r>
                        <w:r>
                          <w:rPr>
                            <w:spacing w:val="-4"/>
                            <w:sz w:val="18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73;top:2125;width:3231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0665;height:1965" type="#_x0000_t202" id="docshape8" filled="false" stroked="true" strokeweight="1pt" strokecolor="#000000">
                  <v:textbox inset="0,0,0,0">
                    <w:txbxContent>
                      <w:p>
                        <w:pPr>
                          <w:spacing w:line="237" w:lineRule="auto" w:before="267"/>
                          <w:ind w:left="2055" w:right="258" w:firstLine="0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87C"/>
                            <w:spacing w:val="-12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87C"/>
                            <w:spacing w:val="-11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Confirmed</w:t>
                        </w:r>
                        <w:r>
                          <w:rPr>
                            <w:b/>
                            <w:color w:val="1F487C"/>
                            <w:spacing w:val="-12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Unintentional/Undetermined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 Opioid-related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2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 Overdose Deaths by City/Town, MA Residents January 2012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3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- December 2015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4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22"/>
        <w:rPr>
          <w:rFonts w:ascii="Times New Roman"/>
        </w:rPr>
      </w:pPr>
    </w:p>
    <w:p>
      <w:pPr>
        <w:pStyle w:val="BodyText"/>
        <w:spacing w:before="1"/>
        <w:ind w:left="216" w:right="272"/>
      </w:pPr>
      <w:r>
        <w:rPr/>
        <w:t>The table below lists the confirmed unintentional opioid overdose deaths that occurred to residents from each community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Massachusetts</w:t>
      </w:r>
      <w:r>
        <w:rPr>
          <w:spacing w:val="-1"/>
        </w:rPr>
        <w:t> </w:t>
      </w:r>
      <w:r>
        <w:rPr/>
        <w:t>between</w:t>
      </w:r>
      <w:r>
        <w:rPr>
          <w:spacing w:val="-5"/>
        </w:rPr>
        <w:t> </w:t>
      </w:r>
      <w:r>
        <w:rPr/>
        <w:t>2012</w:t>
      </w:r>
      <w:r>
        <w:rPr>
          <w:spacing w:val="-2"/>
        </w:rPr>
        <w:t> </w:t>
      </w:r>
      <w:r>
        <w:rPr/>
        <w:t>and</w:t>
      </w:r>
      <w:r>
        <w:rPr>
          <w:spacing w:val="-6"/>
        </w:rPr>
        <w:t> </w:t>
      </w:r>
      <w:r>
        <w:rPr/>
        <w:t>2015.</w:t>
      </w:r>
      <w:r>
        <w:rPr>
          <w:spacing w:val="40"/>
        </w:rPr>
        <w:t> </w:t>
      </w:r>
      <w:r>
        <w:rPr/>
        <w:t>For</w:t>
      </w:r>
      <w:r>
        <w:rPr>
          <w:spacing w:val="-4"/>
        </w:rPr>
        <w:t> </w:t>
      </w:r>
      <w:r>
        <w:rPr/>
        <w:t>2014 and</w:t>
      </w:r>
      <w:r>
        <w:rPr>
          <w:spacing w:val="-3"/>
        </w:rPr>
        <w:t> </w:t>
      </w:r>
      <w:r>
        <w:rPr/>
        <w:t>2015,</w:t>
      </w:r>
      <w:r>
        <w:rPr>
          <w:spacing w:val="-2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cases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still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confirmed by the Office of the Chief Medical Examiner.</w:t>
      </w:r>
      <w:r>
        <w:rPr>
          <w:spacing w:val="40"/>
        </w:rPr>
        <w:t> </w:t>
      </w:r>
      <w:r>
        <w:rPr/>
        <w:t>This report will be updated quarterly and all new confirmed cases will be included in the town by town listing below with newly confirmed cases.</w:t>
      </w:r>
    </w:p>
    <w:p>
      <w:pPr>
        <w:pStyle w:val="BodyText"/>
        <w:spacing w:before="124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5"/>
        <w:gridCol w:w="1798"/>
        <w:gridCol w:w="1892"/>
        <w:gridCol w:w="1801"/>
        <w:gridCol w:w="1709"/>
      </w:tblGrid>
      <w:tr>
        <w:trPr>
          <w:trHeight w:val="441" w:hRule="atLeast"/>
        </w:trPr>
        <w:tc>
          <w:tcPr>
            <w:tcW w:w="3515" w:type="dxa"/>
            <w:vMerge w:val="restart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200" w:type="dxa"/>
            <w:gridSpan w:val="4"/>
          </w:tcPr>
          <w:p>
            <w:pPr>
              <w:pStyle w:val="TableParagraph"/>
              <w:spacing w:line="240" w:lineRule="auto" w:before="83"/>
              <w:ind w:left="5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2" w:hRule="atLeast"/>
        </w:trPr>
        <w:tc>
          <w:tcPr>
            <w:tcW w:w="35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spacing w:line="240" w:lineRule="auto" w:before="73"/>
              <w:ind w:right="66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892" w:type="dxa"/>
          </w:tcPr>
          <w:p>
            <w:pPr>
              <w:pStyle w:val="TableParagraph"/>
              <w:spacing w:line="240" w:lineRule="auto" w:before="73"/>
              <w:ind w:right="713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801" w:type="dxa"/>
          </w:tcPr>
          <w:p>
            <w:pPr>
              <w:pStyle w:val="TableParagraph"/>
              <w:spacing w:line="240" w:lineRule="auto" w:before="73"/>
              <w:ind w:left="254" w:right="25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spacing w:line="240" w:lineRule="auto" w:before="73"/>
              <w:ind w:left="163" w:right="16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Abington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Acton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Acushnet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Adams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Agawam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Alford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Amesbury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Amherst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Aquinnah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1" w:hRule="atLeast"/>
        </w:trPr>
        <w:tc>
          <w:tcPr>
            <w:tcW w:w="3515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Arlington</w:t>
            </w:r>
          </w:p>
        </w:tc>
        <w:tc>
          <w:tcPr>
            <w:tcW w:w="1798" w:type="dxa"/>
          </w:tcPr>
          <w:p>
            <w:pPr>
              <w:pStyle w:val="TableParagraph"/>
              <w:spacing w:line="251" w:lineRule="exact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Ashburnham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Ashby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Ashfield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Ashland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Athol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Attleboro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4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5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Auburn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Avon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Ayer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Barnstable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4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5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Barre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Becket</w:t>
            </w:r>
          </w:p>
        </w:tc>
        <w:tc>
          <w:tcPr>
            <w:tcW w:w="1798" w:type="dxa"/>
          </w:tcPr>
          <w:p>
            <w:pPr>
              <w:pStyle w:val="TableParagraph"/>
              <w:spacing w:line="249" w:lineRule="exact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Belchertown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Bellingham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3515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Belmont</w:t>
            </w:r>
          </w:p>
        </w:tc>
        <w:tc>
          <w:tcPr>
            <w:tcW w:w="1798" w:type="dxa"/>
          </w:tcPr>
          <w:p>
            <w:pPr>
              <w:pStyle w:val="TableParagraph"/>
              <w:spacing w:line="251" w:lineRule="exact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Berkley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Berlin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Bernardston</w:t>
            </w:r>
          </w:p>
        </w:tc>
        <w:tc>
          <w:tcPr>
            <w:tcW w:w="1798" w:type="dxa"/>
          </w:tcPr>
          <w:p>
            <w:pPr>
              <w:pStyle w:val="TableParagraph"/>
              <w:ind w:right="7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1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19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footerReference w:type="default" r:id="rId5"/>
          <w:type w:val="continuous"/>
          <w:pgSz w:w="12240" w:h="15840"/>
          <w:pgMar w:header="0" w:footer="931" w:top="820" w:bottom="1120" w:left="520" w:right="780"/>
          <w:pgNumType w:start="1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2"/>
        <w:gridCol w:w="1800"/>
        <w:gridCol w:w="1892"/>
        <w:gridCol w:w="1801"/>
        <w:gridCol w:w="1709"/>
      </w:tblGrid>
      <w:tr>
        <w:trPr>
          <w:trHeight w:val="438" w:hRule="atLeast"/>
        </w:trPr>
        <w:tc>
          <w:tcPr>
            <w:tcW w:w="3512" w:type="dxa"/>
            <w:vMerge w:val="restart"/>
          </w:tcPr>
          <w:p>
            <w:pPr>
              <w:pStyle w:val="TableParagraph"/>
              <w:spacing w:line="240" w:lineRule="auto" w:before="3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202" w:type="dxa"/>
            <w:gridSpan w:val="4"/>
          </w:tcPr>
          <w:p>
            <w:pPr>
              <w:pStyle w:val="TableParagraph"/>
              <w:spacing w:line="240" w:lineRule="auto" w:before="83"/>
              <w:ind w:left="9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2" w:hRule="atLeast"/>
        </w:trPr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240" w:lineRule="auto" w:before="73"/>
              <w:ind w:right="663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892" w:type="dxa"/>
          </w:tcPr>
          <w:p>
            <w:pPr>
              <w:pStyle w:val="TableParagraph"/>
              <w:spacing w:line="240" w:lineRule="auto" w:before="73"/>
              <w:ind w:right="712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801" w:type="dxa"/>
          </w:tcPr>
          <w:p>
            <w:pPr>
              <w:pStyle w:val="TableParagraph"/>
              <w:spacing w:line="240" w:lineRule="auto" w:before="73"/>
              <w:ind w:left="254" w:right="25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spacing w:line="240" w:lineRule="auto" w:before="73"/>
              <w:ind w:left="163" w:right="15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Beverly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Billerica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3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Blackstone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Blandford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9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Bolton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Boston</w:t>
            </w:r>
          </w:p>
        </w:tc>
        <w:tc>
          <w:tcPr>
            <w:tcW w:w="1800" w:type="dxa"/>
          </w:tcPr>
          <w:p>
            <w:pPr>
              <w:pStyle w:val="TableParagraph"/>
              <w:ind w:right="70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64</w:t>
            </w:r>
          </w:p>
        </w:tc>
        <w:tc>
          <w:tcPr>
            <w:tcW w:w="1892" w:type="dxa"/>
          </w:tcPr>
          <w:p>
            <w:pPr>
              <w:pStyle w:val="TableParagraph"/>
              <w:ind w:right="70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223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221"/>
              <w:rPr>
                <w:sz w:val="22"/>
              </w:rPr>
            </w:pPr>
            <w:r>
              <w:rPr>
                <w:spacing w:val="-5"/>
                <w:sz w:val="22"/>
              </w:rPr>
              <w:t>138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Bourne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Boxborough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Boxford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Boylston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Brewster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Brimfield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Brockton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892" w:type="dxa"/>
          </w:tcPr>
          <w:p>
            <w:pPr>
              <w:pStyle w:val="TableParagraph"/>
              <w:ind w:right="70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Brookline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Buckland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Burlington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Cambridge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Canton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Carlisle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Carver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Charlemont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Chatham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Chelmsford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Chelsea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Cheshire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Chicopee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Chilmark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Clarksburg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Clinton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Cohasset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Colrain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Concord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headerReference w:type="default" r:id="rId7"/>
          <w:footerReference w:type="default" r:id="rId8"/>
          <w:pgSz w:w="12240" w:h="15840"/>
          <w:pgMar w:header="1529" w:footer="931" w:top="2540" w:bottom="1120" w:left="520" w:right="78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2"/>
        <w:gridCol w:w="1800"/>
        <w:gridCol w:w="1892"/>
        <w:gridCol w:w="1801"/>
        <w:gridCol w:w="1709"/>
      </w:tblGrid>
      <w:tr>
        <w:trPr>
          <w:trHeight w:val="438" w:hRule="atLeast"/>
        </w:trPr>
        <w:tc>
          <w:tcPr>
            <w:tcW w:w="3512" w:type="dxa"/>
            <w:vMerge w:val="restart"/>
          </w:tcPr>
          <w:p>
            <w:pPr>
              <w:pStyle w:val="TableParagraph"/>
              <w:spacing w:line="240" w:lineRule="auto" w:before="3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202" w:type="dxa"/>
            <w:gridSpan w:val="4"/>
          </w:tcPr>
          <w:p>
            <w:pPr>
              <w:pStyle w:val="TableParagraph"/>
              <w:spacing w:line="240" w:lineRule="auto" w:before="83"/>
              <w:ind w:left="9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2" w:hRule="atLeast"/>
        </w:trPr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240" w:lineRule="auto" w:before="73"/>
              <w:ind w:right="663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892" w:type="dxa"/>
          </w:tcPr>
          <w:p>
            <w:pPr>
              <w:pStyle w:val="TableParagraph"/>
              <w:spacing w:line="240" w:lineRule="auto" w:before="73"/>
              <w:ind w:right="712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801" w:type="dxa"/>
          </w:tcPr>
          <w:p>
            <w:pPr>
              <w:pStyle w:val="TableParagraph"/>
              <w:spacing w:line="240" w:lineRule="auto" w:before="73"/>
              <w:ind w:left="254" w:right="25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spacing w:line="240" w:lineRule="auto" w:before="73"/>
              <w:ind w:left="163" w:right="15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Conway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Cummington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Dalton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Danvers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9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Dartmouth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Dedham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Deerfield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Dennis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Dighton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Douglas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Dover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Dracut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Dudley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Dunstable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Duxbury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Easthampton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Edgartown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Egremont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Erving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Essex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Everett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Fairhaven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Fall</w:t>
            </w:r>
            <w:r>
              <w:rPr>
                <w:spacing w:val="-2"/>
                <w:sz w:val="22"/>
              </w:rPr>
              <w:t> River</w:t>
            </w:r>
          </w:p>
        </w:tc>
        <w:tc>
          <w:tcPr>
            <w:tcW w:w="1800" w:type="dxa"/>
          </w:tcPr>
          <w:p>
            <w:pPr>
              <w:pStyle w:val="TableParagraph"/>
              <w:ind w:right="70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892" w:type="dxa"/>
          </w:tcPr>
          <w:p>
            <w:pPr>
              <w:pStyle w:val="TableParagraph"/>
              <w:ind w:right="70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Falmouth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Fitchburg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Florida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Foxborough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Framingham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Franklin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Freetown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Gardner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Georgetown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Gill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529" w:footer="931" w:top="2540" w:bottom="1120" w:left="520" w:right="78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2"/>
        <w:gridCol w:w="1800"/>
        <w:gridCol w:w="1892"/>
        <w:gridCol w:w="1801"/>
        <w:gridCol w:w="1709"/>
      </w:tblGrid>
      <w:tr>
        <w:trPr>
          <w:trHeight w:val="438" w:hRule="atLeast"/>
        </w:trPr>
        <w:tc>
          <w:tcPr>
            <w:tcW w:w="3512" w:type="dxa"/>
            <w:vMerge w:val="restart"/>
          </w:tcPr>
          <w:p>
            <w:pPr>
              <w:pStyle w:val="TableParagraph"/>
              <w:spacing w:line="240" w:lineRule="auto" w:before="3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202" w:type="dxa"/>
            <w:gridSpan w:val="4"/>
          </w:tcPr>
          <w:p>
            <w:pPr>
              <w:pStyle w:val="TableParagraph"/>
              <w:spacing w:line="240" w:lineRule="auto" w:before="83"/>
              <w:ind w:left="9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2" w:hRule="atLeast"/>
        </w:trPr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240" w:lineRule="auto" w:before="73"/>
              <w:ind w:right="663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892" w:type="dxa"/>
          </w:tcPr>
          <w:p>
            <w:pPr>
              <w:pStyle w:val="TableParagraph"/>
              <w:spacing w:line="240" w:lineRule="auto" w:before="73"/>
              <w:ind w:right="712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801" w:type="dxa"/>
          </w:tcPr>
          <w:p>
            <w:pPr>
              <w:pStyle w:val="TableParagraph"/>
              <w:spacing w:line="240" w:lineRule="auto" w:before="73"/>
              <w:ind w:left="254" w:right="25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spacing w:line="240" w:lineRule="auto" w:before="73"/>
              <w:ind w:left="163" w:right="15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Gloucester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Goshen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Gosnold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Grafton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Granby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Granville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Great </w:t>
            </w:r>
            <w:r>
              <w:rPr>
                <w:spacing w:val="-2"/>
                <w:sz w:val="22"/>
              </w:rPr>
              <w:t>Barrington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Greenfield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Groveland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Halifax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Hamilton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Hampden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Hancock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Hanover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Hanson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Hardwick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Harvard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Harwich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Hatfield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Haverhill</w:t>
            </w:r>
          </w:p>
        </w:tc>
        <w:tc>
          <w:tcPr>
            <w:tcW w:w="1800" w:type="dxa"/>
          </w:tcPr>
          <w:p>
            <w:pPr>
              <w:pStyle w:val="TableParagraph"/>
              <w:ind w:right="70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Hawley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Heath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Hingham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Hinsdale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Holbrook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Holden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Holland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Holliston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Holyoke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Hopedale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Hopkinton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Hubbardston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Hudson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Hull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Huntington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Ipswich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529" w:footer="931" w:top="2540" w:bottom="1120" w:left="520" w:right="78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2"/>
        <w:gridCol w:w="1800"/>
        <w:gridCol w:w="1892"/>
        <w:gridCol w:w="1801"/>
        <w:gridCol w:w="1709"/>
      </w:tblGrid>
      <w:tr>
        <w:trPr>
          <w:trHeight w:val="438" w:hRule="atLeast"/>
        </w:trPr>
        <w:tc>
          <w:tcPr>
            <w:tcW w:w="3512" w:type="dxa"/>
            <w:vMerge w:val="restart"/>
          </w:tcPr>
          <w:p>
            <w:pPr>
              <w:pStyle w:val="TableParagraph"/>
              <w:spacing w:line="240" w:lineRule="auto" w:before="3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202" w:type="dxa"/>
            <w:gridSpan w:val="4"/>
          </w:tcPr>
          <w:p>
            <w:pPr>
              <w:pStyle w:val="TableParagraph"/>
              <w:spacing w:line="240" w:lineRule="auto" w:before="83"/>
              <w:ind w:left="9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2" w:hRule="atLeast"/>
        </w:trPr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240" w:lineRule="auto" w:before="73"/>
              <w:ind w:right="663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892" w:type="dxa"/>
          </w:tcPr>
          <w:p>
            <w:pPr>
              <w:pStyle w:val="TableParagraph"/>
              <w:spacing w:line="240" w:lineRule="auto" w:before="73"/>
              <w:ind w:right="712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801" w:type="dxa"/>
          </w:tcPr>
          <w:p>
            <w:pPr>
              <w:pStyle w:val="TableParagraph"/>
              <w:spacing w:line="240" w:lineRule="auto" w:before="73"/>
              <w:ind w:left="254" w:right="25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spacing w:line="240" w:lineRule="auto" w:before="73"/>
              <w:ind w:left="163" w:right="15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Kingston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Lakeville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Lancaster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Lanesborough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9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Lawrence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Leicester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Lenox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Leominster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Leverett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Lexington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Leyden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Lincoln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Littleton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Lowell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892" w:type="dxa"/>
          </w:tcPr>
          <w:p>
            <w:pPr>
              <w:pStyle w:val="TableParagraph"/>
              <w:ind w:right="70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54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Ludlow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Lunenburg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Lynn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Lynnfield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Malden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892" w:type="dxa"/>
          </w:tcPr>
          <w:p>
            <w:pPr>
              <w:pStyle w:val="TableParagraph"/>
              <w:ind w:right="70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Manchester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Mansfield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Marblehead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Marion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Marshfield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Mashpee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Mattapoisett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Maynard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Medford</w:t>
            </w:r>
          </w:p>
        </w:tc>
        <w:tc>
          <w:tcPr>
            <w:tcW w:w="1800" w:type="dxa"/>
          </w:tcPr>
          <w:p>
            <w:pPr>
              <w:pStyle w:val="TableParagraph"/>
              <w:ind w:right="70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Medway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Melrose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Mendon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Merrimac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Methuen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Middleborough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529" w:footer="931" w:top="2540" w:bottom="1120" w:left="520" w:right="78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2"/>
        <w:gridCol w:w="1800"/>
        <w:gridCol w:w="1892"/>
        <w:gridCol w:w="1801"/>
        <w:gridCol w:w="1709"/>
      </w:tblGrid>
      <w:tr>
        <w:trPr>
          <w:trHeight w:val="438" w:hRule="atLeast"/>
        </w:trPr>
        <w:tc>
          <w:tcPr>
            <w:tcW w:w="3512" w:type="dxa"/>
            <w:vMerge w:val="restart"/>
          </w:tcPr>
          <w:p>
            <w:pPr>
              <w:pStyle w:val="TableParagraph"/>
              <w:spacing w:line="240" w:lineRule="auto" w:before="3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202" w:type="dxa"/>
            <w:gridSpan w:val="4"/>
          </w:tcPr>
          <w:p>
            <w:pPr>
              <w:pStyle w:val="TableParagraph"/>
              <w:spacing w:line="240" w:lineRule="auto" w:before="83"/>
              <w:ind w:left="9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2" w:hRule="atLeast"/>
        </w:trPr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240" w:lineRule="auto" w:before="73"/>
              <w:ind w:right="663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892" w:type="dxa"/>
          </w:tcPr>
          <w:p>
            <w:pPr>
              <w:pStyle w:val="TableParagraph"/>
              <w:spacing w:line="240" w:lineRule="auto" w:before="73"/>
              <w:ind w:right="712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801" w:type="dxa"/>
          </w:tcPr>
          <w:p>
            <w:pPr>
              <w:pStyle w:val="TableParagraph"/>
              <w:spacing w:line="240" w:lineRule="auto" w:before="73"/>
              <w:ind w:left="254" w:right="25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spacing w:line="240" w:lineRule="auto" w:before="73"/>
              <w:ind w:left="163" w:right="15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Milford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Millbury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9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Millis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Millville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Monroe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Monson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Montague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Monterey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Montgomery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Mount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Nahant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Nantucket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Natick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Needham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Ashford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48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Salem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Newburyport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Norfolk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Adams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2"/>
                <w:sz w:val="22"/>
              </w:rPr>
              <w:t> Attleboro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2"/>
                <w:sz w:val="22"/>
              </w:rPr>
              <w:t> Brookfield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2"/>
                <w:sz w:val="22"/>
              </w:rPr>
              <w:t> Reading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Northampton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Northborough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Northbridge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Northfield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Norwell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Norwood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529" w:footer="931" w:top="2540" w:bottom="1120" w:left="520" w:right="78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2"/>
        <w:gridCol w:w="1800"/>
        <w:gridCol w:w="1892"/>
        <w:gridCol w:w="1801"/>
        <w:gridCol w:w="1709"/>
      </w:tblGrid>
      <w:tr>
        <w:trPr>
          <w:trHeight w:val="438" w:hRule="atLeast"/>
        </w:trPr>
        <w:tc>
          <w:tcPr>
            <w:tcW w:w="3512" w:type="dxa"/>
            <w:vMerge w:val="restart"/>
          </w:tcPr>
          <w:p>
            <w:pPr>
              <w:pStyle w:val="TableParagraph"/>
              <w:spacing w:line="240" w:lineRule="auto" w:before="3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202" w:type="dxa"/>
            <w:gridSpan w:val="4"/>
          </w:tcPr>
          <w:p>
            <w:pPr>
              <w:pStyle w:val="TableParagraph"/>
              <w:spacing w:line="240" w:lineRule="auto" w:before="83"/>
              <w:ind w:left="9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2" w:hRule="atLeast"/>
        </w:trPr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240" w:lineRule="auto" w:before="73"/>
              <w:ind w:right="663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892" w:type="dxa"/>
          </w:tcPr>
          <w:p>
            <w:pPr>
              <w:pStyle w:val="TableParagraph"/>
              <w:spacing w:line="240" w:lineRule="auto" w:before="73"/>
              <w:ind w:right="712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801" w:type="dxa"/>
          </w:tcPr>
          <w:p>
            <w:pPr>
              <w:pStyle w:val="TableParagraph"/>
              <w:spacing w:line="240" w:lineRule="auto" w:before="73"/>
              <w:ind w:left="254" w:right="25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spacing w:line="240" w:lineRule="auto" w:before="73"/>
              <w:ind w:left="163" w:right="15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Oak </w:t>
            </w:r>
            <w:r>
              <w:rPr>
                <w:spacing w:val="-2"/>
                <w:sz w:val="22"/>
              </w:rPr>
              <w:t>Bluffs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Oakham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Orange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Orleans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9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Otis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Oxford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Palmer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Paxton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Peabody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ind w:right="70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Pelham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Pembroke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Pepperell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Peru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Petersham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Phillipston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Pittsfield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892" w:type="dxa"/>
          </w:tcPr>
          <w:p>
            <w:pPr>
              <w:pStyle w:val="TableParagraph"/>
              <w:ind w:right="70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Plainville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Plymouth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Plympton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Princeton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Provincetown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Quincy</w:t>
            </w:r>
          </w:p>
        </w:tc>
        <w:tc>
          <w:tcPr>
            <w:tcW w:w="1800" w:type="dxa"/>
          </w:tcPr>
          <w:p>
            <w:pPr>
              <w:pStyle w:val="TableParagraph"/>
              <w:ind w:right="70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892" w:type="dxa"/>
          </w:tcPr>
          <w:p>
            <w:pPr>
              <w:pStyle w:val="TableParagraph"/>
              <w:ind w:right="70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Randolph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Raynham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Reading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Rehoboth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Revere</w:t>
            </w:r>
          </w:p>
        </w:tc>
        <w:tc>
          <w:tcPr>
            <w:tcW w:w="1800" w:type="dxa"/>
          </w:tcPr>
          <w:p>
            <w:pPr>
              <w:pStyle w:val="TableParagraph"/>
              <w:ind w:right="70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892" w:type="dxa"/>
          </w:tcPr>
          <w:p>
            <w:pPr>
              <w:pStyle w:val="TableParagraph"/>
              <w:ind w:right="70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Richmond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Rochester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Rockland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Rockport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Rowe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Rowley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Royalston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Russell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Rutland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Salem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529" w:footer="931" w:top="2540" w:bottom="1120" w:left="520" w:right="78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2"/>
        <w:gridCol w:w="1800"/>
        <w:gridCol w:w="1892"/>
        <w:gridCol w:w="1801"/>
        <w:gridCol w:w="1709"/>
      </w:tblGrid>
      <w:tr>
        <w:trPr>
          <w:trHeight w:val="438" w:hRule="atLeast"/>
        </w:trPr>
        <w:tc>
          <w:tcPr>
            <w:tcW w:w="3512" w:type="dxa"/>
            <w:vMerge w:val="restart"/>
          </w:tcPr>
          <w:p>
            <w:pPr>
              <w:pStyle w:val="TableParagraph"/>
              <w:spacing w:line="240" w:lineRule="auto" w:before="3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202" w:type="dxa"/>
            <w:gridSpan w:val="4"/>
          </w:tcPr>
          <w:p>
            <w:pPr>
              <w:pStyle w:val="TableParagraph"/>
              <w:spacing w:line="240" w:lineRule="auto" w:before="83"/>
              <w:ind w:left="9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2" w:hRule="atLeast"/>
        </w:trPr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240" w:lineRule="auto" w:before="73"/>
              <w:ind w:right="663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892" w:type="dxa"/>
          </w:tcPr>
          <w:p>
            <w:pPr>
              <w:pStyle w:val="TableParagraph"/>
              <w:spacing w:line="240" w:lineRule="auto" w:before="73"/>
              <w:ind w:right="712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801" w:type="dxa"/>
          </w:tcPr>
          <w:p>
            <w:pPr>
              <w:pStyle w:val="TableParagraph"/>
              <w:spacing w:line="240" w:lineRule="auto" w:before="73"/>
              <w:ind w:left="254" w:right="25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spacing w:line="240" w:lineRule="auto" w:before="73"/>
              <w:ind w:left="163" w:right="15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Salisbury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Sandisfield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Sandwich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Saugus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9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Savoy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Scituate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Seekonk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Sharon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Sheffield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Shelburne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Sherborn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Shirley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Shrewsbury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Shutesbury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Somerset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Somerville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South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Southampton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Southborough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Southbridge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Southwick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Spencer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Springfield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892" w:type="dxa"/>
          </w:tcPr>
          <w:p>
            <w:pPr>
              <w:pStyle w:val="TableParagraph"/>
              <w:ind w:right="70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Sterling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Stockbridge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Stoneham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Stoughton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Stow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Sturbridge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Sudbury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Sunderland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Sutton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Swampscott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Swansea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Taunton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Templeton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Tewksbury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529" w:footer="931" w:top="2540" w:bottom="1120" w:left="520" w:right="78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2"/>
        <w:gridCol w:w="1800"/>
        <w:gridCol w:w="1892"/>
        <w:gridCol w:w="1801"/>
        <w:gridCol w:w="1709"/>
      </w:tblGrid>
      <w:tr>
        <w:trPr>
          <w:trHeight w:val="438" w:hRule="atLeast"/>
        </w:trPr>
        <w:tc>
          <w:tcPr>
            <w:tcW w:w="3512" w:type="dxa"/>
            <w:vMerge w:val="restart"/>
          </w:tcPr>
          <w:p>
            <w:pPr>
              <w:pStyle w:val="TableParagraph"/>
              <w:spacing w:line="240" w:lineRule="auto" w:before="3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202" w:type="dxa"/>
            <w:gridSpan w:val="4"/>
          </w:tcPr>
          <w:p>
            <w:pPr>
              <w:pStyle w:val="TableParagraph"/>
              <w:spacing w:line="240" w:lineRule="auto" w:before="83"/>
              <w:ind w:left="9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2" w:hRule="atLeast"/>
        </w:trPr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240" w:lineRule="auto" w:before="73"/>
              <w:ind w:right="663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892" w:type="dxa"/>
          </w:tcPr>
          <w:p>
            <w:pPr>
              <w:pStyle w:val="TableParagraph"/>
              <w:spacing w:line="240" w:lineRule="auto" w:before="73"/>
              <w:ind w:right="712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801" w:type="dxa"/>
          </w:tcPr>
          <w:p>
            <w:pPr>
              <w:pStyle w:val="TableParagraph"/>
              <w:spacing w:line="240" w:lineRule="auto" w:before="73"/>
              <w:ind w:left="254" w:right="25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spacing w:line="240" w:lineRule="auto" w:before="73"/>
              <w:ind w:left="163" w:right="15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Tolland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Topsfield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Townsend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Truro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9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Tyngsborough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Tyringham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Upton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Uxbridge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Wakefield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Wales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Walpole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Waltham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Ware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Wareham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Warren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Warwick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Watertown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Wayland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Webster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Wellesley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Wellfleet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Wendell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Wenham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Boylston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Bridgewater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Newbury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Springfield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Stockbridge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Westborough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Westfield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Westford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Westhampton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Westminster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Westport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529" w:footer="931" w:top="2540" w:bottom="1120" w:left="520" w:right="78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2"/>
        <w:gridCol w:w="1800"/>
        <w:gridCol w:w="1892"/>
        <w:gridCol w:w="1801"/>
        <w:gridCol w:w="1709"/>
      </w:tblGrid>
      <w:tr>
        <w:trPr>
          <w:trHeight w:val="438" w:hRule="atLeast"/>
        </w:trPr>
        <w:tc>
          <w:tcPr>
            <w:tcW w:w="3512" w:type="dxa"/>
            <w:vMerge w:val="restart"/>
          </w:tcPr>
          <w:p>
            <w:pPr>
              <w:pStyle w:val="TableParagraph"/>
              <w:spacing w:line="240" w:lineRule="auto" w:before="3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202" w:type="dxa"/>
            <w:gridSpan w:val="4"/>
          </w:tcPr>
          <w:p>
            <w:pPr>
              <w:pStyle w:val="TableParagraph"/>
              <w:spacing w:line="240" w:lineRule="auto" w:before="83"/>
              <w:ind w:left="9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2" w:hRule="atLeast"/>
        </w:trPr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240" w:lineRule="auto" w:before="73"/>
              <w:ind w:right="663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892" w:type="dxa"/>
          </w:tcPr>
          <w:p>
            <w:pPr>
              <w:pStyle w:val="TableParagraph"/>
              <w:spacing w:line="240" w:lineRule="auto" w:before="73"/>
              <w:ind w:right="712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801" w:type="dxa"/>
          </w:tcPr>
          <w:p>
            <w:pPr>
              <w:pStyle w:val="TableParagraph"/>
              <w:spacing w:line="240" w:lineRule="auto" w:before="73"/>
              <w:ind w:left="63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spacing w:line="240" w:lineRule="auto" w:before="73"/>
              <w:ind w:left="163" w:right="15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Westwood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Weymouth</w:t>
            </w:r>
          </w:p>
        </w:tc>
        <w:tc>
          <w:tcPr>
            <w:tcW w:w="1800" w:type="dxa"/>
          </w:tcPr>
          <w:p>
            <w:pPr>
              <w:pStyle w:val="TableParagraph"/>
              <w:ind w:right="70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892" w:type="dxa"/>
          </w:tcPr>
          <w:p>
            <w:pPr>
              <w:pStyle w:val="TableParagraph"/>
              <w:ind w:right="70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Whately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Whitman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9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Wilbraham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Williamsburg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Williamstown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Wilmington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Winchendon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Winchester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Windsor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Winthrop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Woburn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Worcester</w:t>
            </w:r>
          </w:p>
        </w:tc>
        <w:tc>
          <w:tcPr>
            <w:tcW w:w="1800" w:type="dxa"/>
          </w:tcPr>
          <w:p>
            <w:pPr>
              <w:pStyle w:val="TableParagraph"/>
              <w:ind w:right="70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892" w:type="dxa"/>
          </w:tcPr>
          <w:p>
            <w:pPr>
              <w:pStyle w:val="TableParagraph"/>
              <w:ind w:right="70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1801" w:type="dxa"/>
          </w:tcPr>
          <w:p>
            <w:pPr>
              <w:pStyle w:val="TableParagraph"/>
              <w:ind w:left="254" w:right="112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  <w:tc>
          <w:tcPr>
            <w:tcW w:w="1709" w:type="dxa"/>
          </w:tcPr>
          <w:p>
            <w:pPr>
              <w:pStyle w:val="TableParagraph"/>
              <w:ind w:left="163" w:right="112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Worthington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Wrentham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Yarmouth</w:t>
            </w:r>
          </w:p>
        </w:tc>
        <w:tc>
          <w:tcPr>
            <w:tcW w:w="1800" w:type="dxa"/>
          </w:tcPr>
          <w:p>
            <w:pPr>
              <w:pStyle w:val="TableParagraph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92" w:type="dxa"/>
          </w:tcPr>
          <w:p>
            <w:pPr>
              <w:pStyle w:val="TableParagraph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801" w:type="dxa"/>
          </w:tcPr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709" w:type="dxa"/>
          </w:tcPr>
          <w:p>
            <w:pPr>
              <w:pStyle w:val="TableParagraph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351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Unknown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ind w:right="70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/>
              <w:ind w:right="7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01" w:type="dxa"/>
          </w:tcPr>
          <w:p>
            <w:pPr>
              <w:pStyle w:val="TableParagraph"/>
              <w:spacing w:line="249" w:lineRule="exact"/>
              <w:ind w:left="25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09" w:type="dxa"/>
          </w:tcPr>
          <w:p>
            <w:pPr>
              <w:pStyle w:val="TableParagraph"/>
              <w:spacing w:line="249" w:lineRule="exact"/>
              <w:ind w:left="221" w:right="5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5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ind w:right="706"/>
              <w:jc w:val="righ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698</w:t>
            </w:r>
          </w:p>
        </w:tc>
        <w:tc>
          <w:tcPr>
            <w:tcW w:w="1892" w:type="dxa"/>
          </w:tcPr>
          <w:p>
            <w:pPr>
              <w:pStyle w:val="TableParagraph"/>
              <w:spacing w:line="251" w:lineRule="exact"/>
              <w:ind w:right="709"/>
              <w:jc w:val="righ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918</w:t>
            </w:r>
          </w:p>
        </w:tc>
        <w:tc>
          <w:tcPr>
            <w:tcW w:w="1801" w:type="dxa"/>
          </w:tcPr>
          <w:p>
            <w:pPr>
              <w:pStyle w:val="TableParagraph"/>
              <w:spacing w:line="251" w:lineRule="exact"/>
              <w:ind w:left="57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1,316</w:t>
            </w:r>
          </w:p>
        </w:tc>
        <w:tc>
          <w:tcPr>
            <w:tcW w:w="1709" w:type="dxa"/>
          </w:tcPr>
          <w:p>
            <w:pPr>
              <w:pStyle w:val="TableParagraph"/>
              <w:spacing w:line="251" w:lineRule="exact"/>
              <w:ind w:left="483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1,574</w:t>
            </w:r>
          </w:p>
        </w:tc>
      </w:tr>
    </w:tbl>
    <w:p>
      <w:pPr>
        <w:spacing w:before="190"/>
        <w:ind w:left="108" w:right="76" w:firstLine="0"/>
        <w:jc w:val="left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  <w:vertAlign w:val="baseline"/>
        </w:rPr>
        <w:t>Unintentional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poisoning/overdose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deaths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combine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unintentional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undetermined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intents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to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account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for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change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death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coding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that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occurred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Suicides</w:t>
      </w:r>
      <w:r>
        <w:rPr>
          <w:spacing w:val="40"/>
          <w:sz w:val="16"/>
          <w:vertAlign w:val="baseline"/>
        </w:rPr>
        <w:t> </w:t>
      </w:r>
      <w:r>
        <w:rPr>
          <w:sz w:val="16"/>
          <w:vertAlign w:val="baseline"/>
        </w:rPr>
        <w:t>are excluded from this analysis.</w:t>
      </w:r>
    </w:p>
    <w:p>
      <w:pPr>
        <w:spacing w:line="195" w:lineRule="exact" w:before="0"/>
        <w:ind w:left="108" w:right="0" w:firstLine="0"/>
        <w:jc w:val="left"/>
        <w:rPr>
          <w:sz w:val="16"/>
        </w:rPr>
      </w:pPr>
      <w:r>
        <w:rPr>
          <w:sz w:val="16"/>
          <w:vertAlign w:val="superscript"/>
        </w:rPr>
        <w:t>2</w:t>
      </w:r>
      <w:r>
        <w:rPr>
          <w:sz w:val="16"/>
          <w:vertAlign w:val="baseline"/>
        </w:rPr>
        <w:t>Opioids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include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heroin,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opioid-based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prescription</w:t>
      </w:r>
      <w:r>
        <w:rPr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painkillers,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other</w:t>
      </w:r>
      <w:r>
        <w:rPr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unspecified</w:t>
      </w:r>
      <w:r>
        <w:rPr>
          <w:spacing w:val="-6"/>
          <w:sz w:val="16"/>
          <w:vertAlign w:val="baseline"/>
        </w:rPr>
        <w:t> </w:t>
      </w:r>
      <w:r>
        <w:rPr>
          <w:spacing w:val="-2"/>
          <w:sz w:val="16"/>
          <w:vertAlign w:val="baseline"/>
        </w:rPr>
        <w:t>opioids.</w:t>
      </w:r>
    </w:p>
    <w:p>
      <w:pPr>
        <w:spacing w:before="0"/>
        <w:ind w:left="108" w:right="76" w:firstLine="0"/>
        <w:jc w:val="left"/>
        <w:rPr>
          <w:sz w:val="16"/>
        </w:rPr>
      </w:pPr>
      <w:r>
        <w:rPr>
          <w:sz w:val="16"/>
          <w:vertAlign w:val="superscript"/>
        </w:rPr>
        <w:t>3</w:t>
      </w:r>
      <w:r>
        <w:rPr>
          <w:sz w:val="16"/>
          <w:vertAlign w:val="baseline"/>
        </w:rPr>
        <w:t>Please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note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that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2015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death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data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are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preliminary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subject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to updates.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Case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reviews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of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deaths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are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evaluated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updated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on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ongoing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basis.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large</w:t>
      </w:r>
      <w:r>
        <w:rPr>
          <w:spacing w:val="40"/>
          <w:sz w:val="16"/>
          <w:vertAlign w:val="baseline"/>
        </w:rPr>
        <w:t> </w:t>
      </w:r>
      <w:r>
        <w:rPr>
          <w:sz w:val="16"/>
          <w:vertAlign w:val="baseline"/>
        </w:rPr>
        <w:t>number of death certificates have yet to be assigned final cause-of-death codes. The information presented in this report </w:t>
      </w:r>
      <w:r>
        <w:rPr>
          <w:sz w:val="16"/>
          <w:u w:val="single"/>
          <w:vertAlign w:val="baseline"/>
        </w:rPr>
        <w:t>only</w:t>
      </w:r>
      <w:r>
        <w:rPr>
          <w:sz w:val="16"/>
          <w:u w:val="none"/>
          <w:vertAlign w:val="baseline"/>
        </w:rPr>
        <w:t> includes confirmed cases. Data</w:t>
      </w:r>
      <w:r>
        <w:rPr>
          <w:spacing w:val="40"/>
          <w:sz w:val="16"/>
          <w:u w:val="none"/>
          <w:vertAlign w:val="baseline"/>
        </w:rPr>
        <w:t> </w:t>
      </w:r>
      <w:r>
        <w:rPr>
          <w:sz w:val="16"/>
          <w:u w:val="none"/>
          <w:vertAlign w:val="baseline"/>
        </w:rPr>
        <w:t>updated on 09/30/2016.</w:t>
      </w:r>
    </w:p>
    <w:p>
      <w:pPr>
        <w:pStyle w:val="BodyText"/>
        <w:rPr>
          <w:sz w:val="16"/>
        </w:rPr>
      </w:pPr>
    </w:p>
    <w:p>
      <w:pPr>
        <w:pStyle w:val="BodyText"/>
        <w:spacing w:before="46"/>
        <w:rPr>
          <w:sz w:val="16"/>
        </w:rPr>
      </w:pPr>
    </w:p>
    <w:p>
      <w:pPr>
        <w:spacing w:before="0"/>
        <w:ind w:left="200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Technical</w:t>
      </w:r>
      <w:r>
        <w:rPr>
          <w:b/>
          <w:spacing w:val="-9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20" w:val="left" w:leader="none"/>
        </w:tabs>
        <w:spacing w:line="240" w:lineRule="auto" w:before="0" w:after="0"/>
        <w:ind w:left="920" w:right="648" w:hanging="361"/>
        <w:jc w:val="left"/>
        <w:rPr>
          <w:sz w:val="22"/>
        </w:rPr>
      </w:pPr>
      <w:r>
        <w:rPr>
          <w:sz w:val="22"/>
        </w:rPr>
        <w:t>Cases were defined using the International Classification of Disease (ICD-10) codes for mortality. The following</w:t>
      </w:r>
      <w:r>
        <w:rPr>
          <w:spacing w:val="-5"/>
          <w:sz w:val="22"/>
        </w:rPr>
        <w:t> </w:t>
      </w:r>
      <w:r>
        <w:rPr>
          <w:sz w:val="22"/>
        </w:rPr>
        <w:t>codes</w:t>
      </w:r>
      <w:r>
        <w:rPr>
          <w:spacing w:val="-5"/>
          <w:sz w:val="22"/>
        </w:rPr>
        <w:t> </w:t>
      </w:r>
      <w:r>
        <w:rPr>
          <w:sz w:val="22"/>
        </w:rPr>
        <w:t>were</w:t>
      </w:r>
      <w:r>
        <w:rPr>
          <w:spacing w:val="-5"/>
          <w:sz w:val="22"/>
        </w:rPr>
        <w:t> </w:t>
      </w:r>
      <w:r>
        <w:rPr>
          <w:sz w:val="22"/>
        </w:rPr>
        <w:t>selected</w:t>
      </w:r>
      <w:r>
        <w:rPr>
          <w:spacing w:val="-4"/>
          <w:sz w:val="22"/>
        </w:rPr>
        <w:t> </w:t>
      </w:r>
      <w:r>
        <w:rPr>
          <w:sz w:val="22"/>
        </w:rPr>
        <w:t>from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underlying</w:t>
      </w:r>
      <w:r>
        <w:rPr>
          <w:spacing w:val="-4"/>
          <w:sz w:val="22"/>
        </w:rPr>
        <w:t> </w:t>
      </w:r>
      <w:r>
        <w:rPr>
          <w:sz w:val="22"/>
        </w:rPr>
        <w:t>cause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death</w:t>
      </w:r>
      <w:r>
        <w:rPr>
          <w:spacing w:val="-3"/>
          <w:sz w:val="22"/>
        </w:rPr>
        <w:t> </w:t>
      </w:r>
      <w:r>
        <w:rPr>
          <w:sz w:val="22"/>
        </w:rPr>
        <w:t>field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identify</w:t>
      </w:r>
      <w:r>
        <w:rPr>
          <w:spacing w:val="-3"/>
          <w:sz w:val="22"/>
        </w:rPr>
        <w:t> </w:t>
      </w:r>
      <w:r>
        <w:rPr>
          <w:sz w:val="22"/>
        </w:rPr>
        <w:t>poisonings/overdoses: X40-X49, Y10-Y19. All multiple cause of death fields were then used to identify an opioid-related death: T40.0, T40.1, T40.2, T40.3, T40.4, and T40.6.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20" w:val="left" w:leader="none"/>
        </w:tabs>
        <w:spacing w:line="240" w:lineRule="auto" w:before="0" w:after="0"/>
        <w:ind w:left="920" w:right="591" w:hanging="361"/>
        <w:jc w:val="left"/>
        <w:rPr>
          <w:sz w:val="22"/>
        </w:rPr>
      </w:pPr>
      <w:r>
        <w:rPr>
          <w:sz w:val="22"/>
        </w:rPr>
        <w:t>This</w:t>
      </w:r>
      <w:r>
        <w:rPr>
          <w:spacing w:val="-2"/>
          <w:sz w:val="22"/>
        </w:rPr>
        <w:t> </w:t>
      </w:r>
      <w:r>
        <w:rPr>
          <w:sz w:val="22"/>
        </w:rPr>
        <w:t>report</w:t>
      </w:r>
      <w:r>
        <w:rPr>
          <w:spacing w:val="-2"/>
          <w:sz w:val="22"/>
        </w:rPr>
        <w:t> </w:t>
      </w:r>
      <w:r>
        <w:rPr>
          <w:sz w:val="22"/>
        </w:rPr>
        <w:t>tracks</w:t>
      </w:r>
      <w:r>
        <w:rPr>
          <w:spacing w:val="-4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opioid-related</w:t>
      </w:r>
      <w:r>
        <w:rPr>
          <w:spacing w:val="-5"/>
          <w:sz w:val="22"/>
        </w:rPr>
        <w:t> </w:t>
      </w:r>
      <w:r>
        <w:rPr>
          <w:sz w:val="22"/>
        </w:rPr>
        <w:t>overdoses</w:t>
      </w:r>
      <w:r>
        <w:rPr>
          <w:spacing w:val="-1"/>
          <w:sz w:val="22"/>
        </w:rPr>
        <w:t> </w:t>
      </w:r>
      <w:r>
        <w:rPr>
          <w:sz w:val="22"/>
        </w:rPr>
        <w:t>due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difficulties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reporting</w:t>
      </w:r>
      <w:r>
        <w:rPr>
          <w:spacing w:val="-3"/>
          <w:sz w:val="22"/>
        </w:rPr>
        <w:t> </w:t>
      </w:r>
      <w:r>
        <w:rPr>
          <w:sz w:val="22"/>
        </w:rPr>
        <w:t>heroin-associated</w:t>
      </w:r>
      <w:r>
        <w:rPr>
          <w:spacing w:val="-4"/>
          <w:sz w:val="22"/>
        </w:rPr>
        <w:t> </w:t>
      </w:r>
      <w:r>
        <w:rPr>
          <w:sz w:val="22"/>
        </w:rPr>
        <w:t>overdoses separately. Many deaths related to heroin are not specifically coded as such due to the fast metabolism of heroin into morphine.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20" w:val="left" w:leader="none"/>
        </w:tabs>
        <w:spacing w:line="240" w:lineRule="auto" w:before="0" w:after="0"/>
        <w:ind w:left="920" w:right="1184" w:hanging="361"/>
        <w:jc w:val="left"/>
        <w:rPr>
          <w:sz w:val="22"/>
        </w:rPr>
      </w:pP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maintain</w:t>
      </w:r>
      <w:r>
        <w:rPr>
          <w:spacing w:val="-5"/>
          <w:sz w:val="22"/>
        </w:rPr>
        <w:t> </w:t>
      </w:r>
      <w:r>
        <w:rPr>
          <w:sz w:val="22"/>
        </w:rPr>
        <w:t>consistency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NCHS</w:t>
      </w:r>
      <w:r>
        <w:rPr>
          <w:spacing w:val="-2"/>
          <w:sz w:val="22"/>
        </w:rPr>
        <w:t> </w:t>
      </w:r>
      <w:r>
        <w:rPr>
          <w:sz w:val="22"/>
        </w:rPr>
        <w:t>reporting,</w:t>
      </w:r>
      <w:r>
        <w:rPr>
          <w:spacing w:val="-2"/>
          <w:sz w:val="22"/>
        </w:rPr>
        <w:t> </w:t>
      </w:r>
      <w:r>
        <w:rPr>
          <w:sz w:val="22"/>
        </w:rPr>
        <w:t>we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include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ICD-10</w:t>
      </w:r>
      <w:r>
        <w:rPr>
          <w:spacing w:val="-2"/>
          <w:sz w:val="22"/>
        </w:rPr>
        <w:t> </w:t>
      </w:r>
      <w:r>
        <w:rPr>
          <w:sz w:val="22"/>
        </w:rPr>
        <w:t>code</w:t>
      </w:r>
      <w:r>
        <w:rPr>
          <w:spacing w:val="-6"/>
          <w:sz w:val="22"/>
        </w:rPr>
        <w:t> </w:t>
      </w:r>
      <w:r>
        <w:rPr>
          <w:sz w:val="22"/>
        </w:rPr>
        <w:t>F11.1,</w:t>
      </w:r>
      <w:r>
        <w:rPr>
          <w:spacing w:val="-4"/>
          <w:sz w:val="22"/>
        </w:rPr>
        <w:t> </w:t>
      </w:r>
      <w:r>
        <w:rPr>
          <w:sz w:val="22"/>
        </w:rPr>
        <w:t>which</w:t>
      </w:r>
      <w:r>
        <w:rPr>
          <w:spacing w:val="-5"/>
          <w:sz w:val="22"/>
        </w:rPr>
        <w:t> </w:t>
      </w:r>
      <w:r>
        <w:rPr>
          <w:sz w:val="22"/>
        </w:rPr>
        <w:t>may include opioid-related overdose deaths.</w:t>
      </w:r>
    </w:p>
    <w:p>
      <w:pPr>
        <w:pStyle w:val="BodyText"/>
        <w:spacing w:before="1"/>
      </w:pPr>
    </w:p>
    <w:p>
      <w:pPr>
        <w:spacing w:before="0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Source: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Registry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Vital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Records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Statistics,</w:t>
      </w:r>
      <w:r>
        <w:rPr>
          <w:b/>
          <w:spacing w:val="-3"/>
          <w:sz w:val="22"/>
        </w:rPr>
        <w:t> </w:t>
      </w:r>
      <w:r>
        <w:rPr>
          <w:b/>
          <w:spacing w:val="-4"/>
          <w:sz w:val="22"/>
        </w:rPr>
        <w:t>MDPH</w:t>
      </w:r>
    </w:p>
    <w:sectPr>
      <w:pgSz w:w="12240" w:h="15840"/>
      <w:pgMar w:header="1529" w:footer="931" w:top="2540" w:bottom="1120" w:left="52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719616">
              <wp:simplePos x="0" y="0"/>
              <wp:positionH relativeFrom="page">
                <wp:posOffset>7106157</wp:posOffset>
              </wp:positionH>
              <wp:positionV relativeFrom="page">
                <wp:posOffset>9327210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9.539978pt;margin-top:734.426025pt;width:11.6pt;height:11pt;mso-position-horizontal-relative:page;mso-position-vertical-relative:page;z-index:-18596864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720640">
              <wp:simplePos x="0" y="0"/>
              <wp:positionH relativeFrom="page">
                <wp:posOffset>7073645</wp:posOffset>
              </wp:positionH>
              <wp:positionV relativeFrom="page">
                <wp:posOffset>9327210</wp:posOffset>
              </wp:positionV>
              <wp:extent cx="179705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6.979980pt;margin-top:734.426025pt;width:14.15pt;height:11pt;mso-position-horizontal-relative:page;mso-position-vertical-relative:page;z-index:-18595840" type="#_x0000_t202" id="docshape10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720128">
              <wp:simplePos x="0" y="0"/>
              <wp:positionH relativeFrom="page">
                <wp:posOffset>455168</wp:posOffset>
              </wp:positionH>
              <wp:positionV relativeFrom="page">
                <wp:posOffset>958088</wp:posOffset>
              </wp:positionV>
              <wp:extent cx="6631305" cy="67691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6631305" cy="676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/>
                            <w:t>The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table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below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lists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confirmed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unintentional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opioid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overdose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deaths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that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occurred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to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residents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from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each</w:t>
                          </w:r>
                        </w:p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community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in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Massachusetts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between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2012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2015.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For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2014 and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2015,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additional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cases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are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still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being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confirmed by the Office of the Chief Medical Examiner.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This report will be updated quarterly and all new confirmed cases will be included in the town by town listing below with newly confirmed cases.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40pt;margin-top:75.440002pt;width:522.15pt;height:53.3pt;mso-position-horizontal-relative:page;mso-position-vertical-relative:page;z-index:-18596352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</w:pPr>
                    <w:r>
                      <w:rPr/>
                      <w:t>The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table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below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lists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the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confirmed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unintentional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opioid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overdose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deaths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that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occurred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to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residents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from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4"/>
                      </w:rPr>
                      <w:t>each</w:t>
                    </w:r>
                  </w:p>
                  <w:p>
                    <w:pPr>
                      <w:pStyle w:val="BodyText"/>
                      <w:ind w:left="20"/>
                    </w:pPr>
                    <w:r>
                      <w:rPr/>
                      <w:t>community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in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Massachusetts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between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2012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2015.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For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2014 and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2015,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additional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cases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are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still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being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confirmed by the Office of the Chief Medical Examiner.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This report will be updated quarterly and all new confirmed cases will be included in the town by town listing below with newly confirmed cases.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20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3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3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36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20" w:right="591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48" w:lineRule="exact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2025-01-08T18:39:50Z</dcterms:created>
  <dcterms:modified xsi:type="dcterms:W3CDTF">2025-01-08T18:39:50Z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Word 2010</vt:lpwstr>
  </property>
</Properties>
</file>