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1" y="1238250"/>
                            <a:ext cx="678497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975" h="280035">
                                <a:moveTo>
                                  <a:pt x="6784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653"/>
                                </a:lnTo>
                                <a:lnTo>
                                  <a:pt x="6784848" y="279653"/>
                                </a:lnTo>
                                <a:lnTo>
                                  <a:pt x="6784848" y="272796"/>
                                </a:lnTo>
                                <a:lnTo>
                                  <a:pt x="12953" y="272796"/>
                                </a:lnTo>
                                <a:lnTo>
                                  <a:pt x="6095" y="266700"/>
                                </a:lnTo>
                                <a:lnTo>
                                  <a:pt x="12953" y="266700"/>
                                </a:lnTo>
                                <a:lnTo>
                                  <a:pt x="12953" y="12953"/>
                                </a:lnTo>
                                <a:lnTo>
                                  <a:pt x="6095" y="12953"/>
                                </a:lnTo>
                                <a:lnTo>
                                  <a:pt x="12953" y="6096"/>
                                </a:lnTo>
                                <a:lnTo>
                                  <a:pt x="6784848" y="6096"/>
                                </a:lnTo>
                                <a:lnTo>
                                  <a:pt x="6784848" y="0"/>
                                </a:lnTo>
                                <a:close/>
                              </a:path>
                              <a:path w="6784975" h="280035">
                                <a:moveTo>
                                  <a:pt x="12953" y="266700"/>
                                </a:moveTo>
                                <a:lnTo>
                                  <a:pt x="6095" y="266700"/>
                                </a:lnTo>
                                <a:lnTo>
                                  <a:pt x="12953" y="272796"/>
                                </a:lnTo>
                                <a:lnTo>
                                  <a:pt x="12953" y="266700"/>
                                </a:lnTo>
                                <a:close/>
                              </a:path>
                              <a:path w="6784975" h="280035">
                                <a:moveTo>
                                  <a:pt x="6772656" y="266700"/>
                                </a:moveTo>
                                <a:lnTo>
                                  <a:pt x="12953" y="266700"/>
                                </a:lnTo>
                                <a:lnTo>
                                  <a:pt x="12953" y="272796"/>
                                </a:lnTo>
                                <a:lnTo>
                                  <a:pt x="6772656" y="272796"/>
                                </a:lnTo>
                                <a:lnTo>
                                  <a:pt x="6772656" y="266700"/>
                                </a:lnTo>
                                <a:close/>
                              </a:path>
                              <a:path w="6784975" h="280035">
                                <a:moveTo>
                                  <a:pt x="6772656" y="6096"/>
                                </a:moveTo>
                                <a:lnTo>
                                  <a:pt x="6772656" y="272796"/>
                                </a:lnTo>
                                <a:lnTo>
                                  <a:pt x="6778752" y="266700"/>
                                </a:lnTo>
                                <a:lnTo>
                                  <a:pt x="6784848" y="266700"/>
                                </a:lnTo>
                                <a:lnTo>
                                  <a:pt x="6784848" y="12953"/>
                                </a:lnTo>
                                <a:lnTo>
                                  <a:pt x="6778752" y="12953"/>
                                </a:lnTo>
                                <a:lnTo>
                                  <a:pt x="6772656" y="6096"/>
                                </a:lnTo>
                                <a:close/>
                              </a:path>
                              <a:path w="6784975" h="280035">
                                <a:moveTo>
                                  <a:pt x="6784848" y="266700"/>
                                </a:moveTo>
                                <a:lnTo>
                                  <a:pt x="6778752" y="266700"/>
                                </a:lnTo>
                                <a:lnTo>
                                  <a:pt x="6772656" y="272796"/>
                                </a:lnTo>
                                <a:lnTo>
                                  <a:pt x="6784848" y="272796"/>
                                </a:lnTo>
                                <a:lnTo>
                                  <a:pt x="6784848" y="266700"/>
                                </a:lnTo>
                                <a:close/>
                              </a:path>
                              <a:path w="6784975" h="280035">
                                <a:moveTo>
                                  <a:pt x="12953" y="6096"/>
                                </a:moveTo>
                                <a:lnTo>
                                  <a:pt x="6095" y="12953"/>
                                </a:lnTo>
                                <a:lnTo>
                                  <a:pt x="12953" y="12953"/>
                                </a:lnTo>
                                <a:lnTo>
                                  <a:pt x="12953" y="6096"/>
                                </a:lnTo>
                                <a:close/>
                              </a:path>
                              <a:path w="6784975" h="280035">
                                <a:moveTo>
                                  <a:pt x="6772656" y="6096"/>
                                </a:moveTo>
                                <a:lnTo>
                                  <a:pt x="12953" y="6096"/>
                                </a:lnTo>
                                <a:lnTo>
                                  <a:pt x="12953" y="12953"/>
                                </a:lnTo>
                                <a:lnTo>
                                  <a:pt x="6772656" y="12953"/>
                                </a:lnTo>
                                <a:lnTo>
                                  <a:pt x="6772656" y="6096"/>
                                </a:lnTo>
                                <a:close/>
                              </a:path>
                              <a:path w="6784975" h="280035">
                                <a:moveTo>
                                  <a:pt x="6784848" y="6096"/>
                                </a:moveTo>
                                <a:lnTo>
                                  <a:pt x="6772656" y="6096"/>
                                </a:lnTo>
                                <a:lnTo>
                                  <a:pt x="6778752" y="12953"/>
                                </a:lnTo>
                                <a:lnTo>
                                  <a:pt x="6784848" y="12953"/>
                                </a:lnTo>
                                <a:lnTo>
                                  <a:pt x="678484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58" y="6095"/>
                            <a:ext cx="6772275" cy="124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8410">
                                <a:moveTo>
                                  <a:pt x="6771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8155"/>
                                </a:lnTo>
                                <a:lnTo>
                                  <a:pt x="6771894" y="1248155"/>
                                </a:lnTo>
                                <a:lnTo>
                                  <a:pt x="6771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8497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4975" h="1260475">
                                <a:moveTo>
                                  <a:pt x="6784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348"/>
                                </a:lnTo>
                                <a:lnTo>
                                  <a:pt x="6784848" y="1260348"/>
                                </a:lnTo>
                                <a:lnTo>
                                  <a:pt x="6784848" y="1254252"/>
                                </a:lnTo>
                                <a:lnTo>
                                  <a:pt x="12953" y="1254252"/>
                                </a:lnTo>
                                <a:lnTo>
                                  <a:pt x="6857" y="1247394"/>
                                </a:lnTo>
                                <a:lnTo>
                                  <a:pt x="12953" y="1247394"/>
                                </a:lnTo>
                                <a:lnTo>
                                  <a:pt x="12953" y="12192"/>
                                </a:lnTo>
                                <a:lnTo>
                                  <a:pt x="6857" y="12192"/>
                                </a:lnTo>
                                <a:lnTo>
                                  <a:pt x="12953" y="6096"/>
                                </a:lnTo>
                                <a:lnTo>
                                  <a:pt x="6784848" y="6096"/>
                                </a:lnTo>
                                <a:lnTo>
                                  <a:pt x="6784848" y="0"/>
                                </a:lnTo>
                                <a:close/>
                              </a:path>
                              <a:path w="6784975" h="1260475">
                                <a:moveTo>
                                  <a:pt x="12953" y="1247394"/>
                                </a:moveTo>
                                <a:lnTo>
                                  <a:pt x="6857" y="1247394"/>
                                </a:lnTo>
                                <a:lnTo>
                                  <a:pt x="12953" y="1254252"/>
                                </a:lnTo>
                                <a:lnTo>
                                  <a:pt x="12953" y="1247394"/>
                                </a:lnTo>
                                <a:close/>
                              </a:path>
                              <a:path w="6784975" h="1260475">
                                <a:moveTo>
                                  <a:pt x="6772656" y="1247394"/>
                                </a:moveTo>
                                <a:lnTo>
                                  <a:pt x="12953" y="1247394"/>
                                </a:lnTo>
                                <a:lnTo>
                                  <a:pt x="12953" y="1254252"/>
                                </a:lnTo>
                                <a:lnTo>
                                  <a:pt x="6772656" y="1254252"/>
                                </a:lnTo>
                                <a:lnTo>
                                  <a:pt x="6772656" y="1247394"/>
                                </a:lnTo>
                                <a:close/>
                              </a:path>
                              <a:path w="6784975" h="1260475">
                                <a:moveTo>
                                  <a:pt x="6772656" y="6096"/>
                                </a:moveTo>
                                <a:lnTo>
                                  <a:pt x="6772656" y="1254252"/>
                                </a:lnTo>
                                <a:lnTo>
                                  <a:pt x="6778752" y="1247394"/>
                                </a:lnTo>
                                <a:lnTo>
                                  <a:pt x="6784848" y="1247394"/>
                                </a:lnTo>
                                <a:lnTo>
                                  <a:pt x="6784848" y="12192"/>
                                </a:lnTo>
                                <a:lnTo>
                                  <a:pt x="6778752" y="12192"/>
                                </a:lnTo>
                                <a:lnTo>
                                  <a:pt x="6772656" y="6096"/>
                                </a:lnTo>
                                <a:close/>
                              </a:path>
                              <a:path w="6784975" h="1260475">
                                <a:moveTo>
                                  <a:pt x="6784848" y="1247394"/>
                                </a:moveTo>
                                <a:lnTo>
                                  <a:pt x="6778752" y="1247394"/>
                                </a:lnTo>
                                <a:lnTo>
                                  <a:pt x="6772656" y="1254252"/>
                                </a:lnTo>
                                <a:lnTo>
                                  <a:pt x="6784848" y="1254252"/>
                                </a:lnTo>
                                <a:lnTo>
                                  <a:pt x="6784848" y="1247394"/>
                                </a:lnTo>
                                <a:close/>
                              </a:path>
                              <a:path w="6784975" h="1260475">
                                <a:moveTo>
                                  <a:pt x="12953" y="6096"/>
                                </a:moveTo>
                                <a:lnTo>
                                  <a:pt x="6857" y="12192"/>
                                </a:lnTo>
                                <a:lnTo>
                                  <a:pt x="12953" y="12192"/>
                                </a:lnTo>
                                <a:lnTo>
                                  <a:pt x="12953" y="6096"/>
                                </a:lnTo>
                                <a:close/>
                              </a:path>
                              <a:path w="6784975" h="1260475">
                                <a:moveTo>
                                  <a:pt x="6772656" y="6096"/>
                                </a:moveTo>
                                <a:lnTo>
                                  <a:pt x="12953" y="6096"/>
                                </a:lnTo>
                                <a:lnTo>
                                  <a:pt x="12953" y="12192"/>
                                </a:lnTo>
                                <a:lnTo>
                                  <a:pt x="6772656" y="12192"/>
                                </a:lnTo>
                                <a:lnTo>
                                  <a:pt x="6772656" y="6096"/>
                                </a:lnTo>
                                <a:close/>
                              </a:path>
                              <a:path w="6784975" h="1260475">
                                <a:moveTo>
                                  <a:pt x="6784848" y="6096"/>
                                </a:moveTo>
                                <a:lnTo>
                                  <a:pt x="6772656" y="6096"/>
                                </a:lnTo>
                                <a:lnTo>
                                  <a:pt x="6778752" y="12192"/>
                                </a:lnTo>
                                <a:lnTo>
                                  <a:pt x="6784848" y="12192"/>
                                </a:lnTo>
                                <a:lnTo>
                                  <a:pt x="6784848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203454"/>
                            <a:ext cx="1021842" cy="1021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1678685" y="175260"/>
                            <a:ext cx="4579620" cy="883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97C"/>
                                  <w:spacing w:val="-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9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‐Related</w:t>
                              </w:r>
                              <w:r>
                                <w:rPr>
                                  <w:b/>
                                  <w:color w:val="1F49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Deaths, All Intents by City/Town, MA Residents: </w:t>
                              </w:r>
                              <w:r>
                                <w:rPr>
                                  <w:b/>
                                  <w:color w:val="1F497C"/>
                                  <w:spacing w:val="-2"/>
                                  <w:sz w:val="38"/>
                                  <w:vertAlign w:val="baseline"/>
                                </w:rPr>
                                <w:t>2012‐2016</w:t>
                              </w:r>
                              <w:r>
                                <w:rPr>
                                  <w:b/>
                                  <w:color w:val="1F497C"/>
                                  <w:spacing w:val="-2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1349121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419290" y="1349121"/>
                            <a:ext cx="126936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shape style="position:absolute;left:1;top:1950;width:10685;height:441" id="docshape3" coordorigin="1,1950" coordsize="10685,441" path="m10686,1950l1,1950,1,2390,10686,2390,10686,2380,22,2380,11,2370,22,2370,22,1970,11,1970,22,1960,10686,1960,10686,1950xm22,2370l11,2370,22,2380,22,2370xm10667,2370l22,2370,22,2380,10667,2380,10667,2370xm10667,1960l10667,2380,10676,2370,10686,2370,10686,1970,10676,1970,10667,1960xm10686,2370l10676,2370,10667,2380,10686,2380,10686,2370xm22,1960l11,1970,22,1970,22,1960xm10667,1960l22,1960,22,1970,10667,1970,10667,1960xm10686,1960l10667,1960,10676,1970,10686,1970,10686,1960xe" filled="true" fillcolor="#000000" stroked="false">
                  <v:path arrowok="t"/>
                  <v:fill type="solid"/>
                </v:shape>
                <v:rect style="position:absolute;left:10;top:9;width:10665;height:1966" id="docshape4" filled="true" fillcolor="#ffffff" stroked="false">
                  <v:fill type="solid"/>
                </v:rect>
                <v:shape style="position:absolute;left:0;top:0;width:10685;height:1985" id="docshape5" coordorigin="0,0" coordsize="10685,1985" path="m10685,0l0,0,0,1985,10685,1985,10685,1975,20,1975,11,1964,20,1964,20,19,11,19,20,10,10685,10,10685,0xm20,1964l11,1964,20,1975,20,1964xm10666,1964l20,1964,20,1975,10666,1975,10666,1964xm10666,10l10666,1975,10675,1964,10685,1964,10685,19,10675,19,10666,10xm10685,1964l10675,1964,10666,1975,10685,1975,10685,1964xm20,10l11,19,20,19,20,10xm10666,10l20,10,20,19,10666,19,10666,10xm10685,10l10666,10,10675,19,10685,19,10685,10xe" filled="true" fillcolor="#000000" stroked="false">
                  <v:path arrowok="t"/>
                  <v:fill type="solid"/>
                </v:shape>
                <v:shape style="position:absolute;left:590;top:320;width:1610;height:1610" type="#_x0000_t75" id="docshape6" stroked="false">
                  <v:imagedata r:id="rId6" o:title=""/>
                </v:shape>
                <v:shape style="position:absolute;left:2643;top:276;width:7212;height:1391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9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97C"/>
                            <w:spacing w:val="-9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9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‐Related</w:t>
                        </w:r>
                        <w:r>
                          <w:rPr>
                            <w:b/>
                            <w:color w:val="1F49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Deaths, All Intents by City/Town, MA Residents: </w:t>
                        </w:r>
                        <w:r>
                          <w:rPr>
                            <w:b/>
                            <w:color w:val="1F497C"/>
                            <w:spacing w:val="-2"/>
                            <w:sz w:val="38"/>
                            <w:vertAlign w:val="baseline"/>
                          </w:rPr>
                          <w:t>2012‐2016</w:t>
                        </w:r>
                        <w:r>
                          <w:rPr>
                            <w:b/>
                            <w:color w:val="1F497C"/>
                            <w:spacing w:val="-2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74;top:2124;width:3232;height:180" type="#_x0000_t202" id="docshape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8534;top:2124;width:1999;height:180" type="#_x0000_t202" id="docshape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5"/>
        <w:rPr>
          <w:rFonts w:ascii="Times New Roman"/>
        </w:rPr>
      </w:pPr>
    </w:p>
    <w:p>
      <w:pPr>
        <w:pStyle w:val="BodyText"/>
        <w:ind w:left="219" w:right="543" w:hanging="2"/>
        <w:jc w:val="both"/>
      </w:pP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/>
        <w:t>lists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confirmed</w:t>
      </w:r>
      <w:r>
        <w:rPr>
          <w:spacing w:val="-1"/>
        </w:rPr>
        <w:t> </w:t>
      </w:r>
      <w:r>
        <w:rPr/>
        <w:t>all intents</w:t>
      </w:r>
      <w:r>
        <w:rPr>
          <w:spacing w:val="-4"/>
        </w:rPr>
        <w:t> </w:t>
      </w:r>
      <w:r>
        <w:rPr/>
        <w:t>opioid‐related</w:t>
      </w:r>
      <w:r>
        <w:rPr>
          <w:spacing w:val="-5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occurred to</w:t>
      </w:r>
      <w:r>
        <w:rPr>
          <w:spacing w:val="-1"/>
        </w:rPr>
        <w:t> </w:t>
      </w:r>
      <w:r>
        <w:rPr/>
        <w:t>residents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each community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Massachusetts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2012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2016.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2015‐2016,</w:t>
      </w:r>
      <w:r>
        <w:rPr>
          <w:spacing w:val="-4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cases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still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by 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Chief Medical Examiner.</w:t>
      </w:r>
      <w:r>
        <w:rPr>
          <w:spacing w:val="40"/>
        </w:rPr>
        <w:t> </w:t>
      </w:r>
      <w:r>
        <w:rPr/>
        <w:t>This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updated</w:t>
      </w:r>
      <w:r>
        <w:rPr>
          <w:spacing w:val="-1"/>
        </w:rPr>
        <w:t> </w:t>
      </w:r>
      <w:r>
        <w:rPr/>
        <w:t>quarterly and</w:t>
      </w:r>
      <w:r>
        <w:rPr>
          <w:spacing w:val="-2"/>
        </w:rPr>
        <w:t> </w:t>
      </w:r>
      <w:r>
        <w:rPr/>
        <w:t>all new confirmed cases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 included in the town by town listing below with newly confirmed cases.</w:t>
      </w: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6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1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7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7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7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7"/>
              <w:ind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2240" w:h="15840"/>
          <w:pgMar w:header="0" w:footer="933" w:top="820" w:bottom="1120" w:left="520" w:right="660"/>
          <w:pgNumType w:start="1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151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207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7"/>
          <w:footerReference w:type="default" r:id="rId8"/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River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Great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Oak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2" w:footer="933" w:top="2280" w:bottom="1120" w:left="520" w:right="660"/>
        </w:sectPr>
      </w:pP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0"/>
        <w:gridCol w:w="1643"/>
        <w:gridCol w:w="1642"/>
        <w:gridCol w:w="1642"/>
        <w:gridCol w:w="1643"/>
        <w:gridCol w:w="1642"/>
      </w:tblGrid>
      <w:tr>
        <w:trPr>
          <w:trHeight w:val="444" w:hRule="atLeast"/>
        </w:trPr>
        <w:tc>
          <w:tcPr>
            <w:tcW w:w="2530" w:type="dxa"/>
            <w:vMerge w:val="restart"/>
          </w:tcPr>
          <w:p>
            <w:pPr>
              <w:pStyle w:val="TableParagraph"/>
              <w:spacing w:line="240" w:lineRule="auto" w:before="37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9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8212" w:type="dxa"/>
            <w:gridSpan w:val="5"/>
          </w:tcPr>
          <w:p>
            <w:pPr>
              <w:pStyle w:val="TableParagraph"/>
              <w:spacing w:line="240" w:lineRule="auto" w:before="88"/>
              <w:ind w:left="10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5" w:hRule="atLeast"/>
        </w:trPr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43" w:type="dxa"/>
          </w:tcPr>
          <w:p>
            <w:pPr>
              <w:pStyle w:val="TableParagraph"/>
              <w:spacing w:line="240" w:lineRule="auto" w:before="78"/>
              <w:ind w:left="7"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40" w:lineRule="auto" w:before="78"/>
              <w:ind w:right="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2530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43" w:type="dxa"/>
          </w:tcPr>
          <w:p>
            <w:pPr>
              <w:pStyle w:val="TableParagraph"/>
              <w:spacing w:line="249" w:lineRule="exact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2" w:type="dxa"/>
          </w:tcPr>
          <w:p>
            <w:pPr>
              <w:pStyle w:val="TableParagraph"/>
              <w:spacing w:line="249" w:lineRule="exact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0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42" w:type="dxa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42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643" w:type="dxa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530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42" w:type="dxa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3" w:type="dxa"/>
          </w:tcPr>
          <w:p>
            <w:pPr>
              <w:pStyle w:val="TableParagraph"/>
              <w:ind w:left="7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2530" w:type="dxa"/>
          </w:tcPr>
          <w:p>
            <w:pPr>
              <w:pStyle w:val="TableParagraph"/>
              <w:spacing w:line="250" w:lineRule="exact" w:before="2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643" w:type="dxa"/>
          </w:tcPr>
          <w:p>
            <w:pPr>
              <w:pStyle w:val="TableParagraph"/>
              <w:spacing w:line="250" w:lineRule="exact" w:before="2"/>
              <w:ind w:left="7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742</w:t>
            </w:r>
          </w:p>
        </w:tc>
        <w:tc>
          <w:tcPr>
            <w:tcW w:w="1642" w:type="dxa"/>
          </w:tcPr>
          <w:p>
            <w:pPr>
              <w:pStyle w:val="TableParagraph"/>
              <w:spacing w:line="250" w:lineRule="exact" w:before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642" w:type="dxa"/>
          </w:tcPr>
          <w:p>
            <w:pPr>
              <w:pStyle w:val="TableParagraph"/>
              <w:spacing w:line="250" w:lineRule="exact" w:before="2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1364</w:t>
            </w:r>
          </w:p>
        </w:tc>
        <w:tc>
          <w:tcPr>
            <w:tcW w:w="1643" w:type="dxa"/>
          </w:tcPr>
          <w:p>
            <w:pPr>
              <w:pStyle w:val="TableParagraph"/>
              <w:spacing w:line="250" w:lineRule="exact" w:before="2"/>
              <w:ind w:left="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1687</w:t>
            </w:r>
          </w:p>
        </w:tc>
        <w:tc>
          <w:tcPr>
            <w:tcW w:w="1642" w:type="dxa"/>
          </w:tcPr>
          <w:p>
            <w:pPr>
              <w:pStyle w:val="TableParagraph"/>
              <w:spacing w:line="250" w:lineRule="exact" w:before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2094</w:t>
            </w:r>
          </w:p>
        </w:tc>
      </w:tr>
    </w:tbl>
    <w:p>
      <w:pPr>
        <w:spacing w:line="195" w:lineRule="exact" w:before="4"/>
        <w:ind w:left="110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Opioids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opioid‐based</w:t>
      </w:r>
      <w:r>
        <w:rPr>
          <w:spacing w:val="-8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9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7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0"/>
        <w:ind w:left="109" w:right="195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Please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2015‐2016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cause‐of‐death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10/12/2017.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0"/>
        <w:rPr>
          <w:sz w:val="16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11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1" w:after="0"/>
        <w:ind w:left="919" w:right="113" w:hanging="360"/>
        <w:jc w:val="left"/>
        <w:rPr>
          <w:sz w:val="22"/>
        </w:rPr>
      </w:pPr>
      <w:r>
        <w:rPr>
          <w:sz w:val="22"/>
        </w:rPr>
        <w:t>Cases were defined using the International Classification of Disease (ICD‐10) codes for mortality. The following codes were selected from the underlying cause of death field to identify poisonings/overdoses: X40‐X49, X60‐ X69,</w:t>
      </w:r>
      <w:r>
        <w:rPr>
          <w:spacing w:val="-3"/>
          <w:sz w:val="22"/>
        </w:rPr>
        <w:t> </w:t>
      </w:r>
      <w:r>
        <w:rPr>
          <w:sz w:val="22"/>
        </w:rPr>
        <w:t>X85‐X90,</w:t>
      </w:r>
      <w:r>
        <w:rPr>
          <w:spacing w:val="-3"/>
          <w:sz w:val="22"/>
        </w:rPr>
        <w:t> </w:t>
      </w:r>
      <w:r>
        <w:rPr>
          <w:sz w:val="22"/>
        </w:rPr>
        <w:t>Y10‐Y19,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Y35.2.</w:t>
      </w:r>
      <w:r>
        <w:rPr>
          <w:spacing w:val="-2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multiple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fields</w:t>
      </w:r>
      <w:r>
        <w:rPr>
          <w:spacing w:val="-3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then</w:t>
      </w:r>
      <w:r>
        <w:rPr>
          <w:spacing w:val="-1"/>
          <w:sz w:val="22"/>
        </w:rPr>
        <w:t> </w:t>
      </w:r>
      <w:r>
        <w:rPr>
          <w:sz w:val="22"/>
        </w:rPr>
        <w:t>used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opioid‐related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0" w:after="0"/>
        <w:ind w:left="919" w:right="655" w:hanging="360"/>
        <w:jc w:val="both"/>
        <w:rPr>
          <w:sz w:val="22"/>
        </w:rPr>
      </w:pPr>
      <w:r>
        <w:rPr>
          <w:sz w:val="22"/>
        </w:rPr>
        <w:t>This report tracks all opioid‐related overdoses due to difficulties in reporting</w:t>
      </w:r>
      <w:r>
        <w:rPr>
          <w:spacing w:val="-1"/>
          <w:sz w:val="22"/>
        </w:rPr>
        <w:t> </w:t>
      </w:r>
      <w:r>
        <w:rPr>
          <w:sz w:val="22"/>
        </w:rPr>
        <w:t>heroin‐associated overdoses separately.</w:t>
      </w:r>
      <w:r>
        <w:rPr>
          <w:spacing w:val="-1"/>
          <w:sz w:val="22"/>
        </w:rPr>
        <w:t> </w:t>
      </w:r>
      <w:r>
        <w:rPr>
          <w:sz w:val="22"/>
        </w:rPr>
        <w:t>Many</w:t>
      </w:r>
      <w:r>
        <w:rPr>
          <w:spacing w:val="-3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heroin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specifically</w:t>
      </w:r>
      <w:r>
        <w:rPr>
          <w:spacing w:val="-2"/>
          <w:sz w:val="22"/>
        </w:rPr>
        <w:t> </w:t>
      </w:r>
      <w:r>
        <w:rPr>
          <w:sz w:val="22"/>
        </w:rPr>
        <w:t>coded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due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fast</w:t>
      </w:r>
      <w:r>
        <w:rPr>
          <w:spacing w:val="-2"/>
          <w:sz w:val="22"/>
        </w:rPr>
        <w:t> </w:t>
      </w:r>
      <w:r>
        <w:rPr>
          <w:sz w:val="22"/>
        </w:rPr>
        <w:t>metabolism</w:t>
      </w:r>
      <w:r>
        <w:rPr>
          <w:spacing w:val="-4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294" w:hanging="361"/>
        <w:jc w:val="both"/>
        <w:rPr>
          <w:sz w:val="22"/>
        </w:rPr>
      </w:pP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maintain</w:t>
      </w:r>
      <w:r>
        <w:rPr>
          <w:spacing w:val="-1"/>
          <w:sz w:val="22"/>
        </w:rPr>
        <w:t> </w:t>
      </w:r>
      <w:r>
        <w:rPr>
          <w:sz w:val="22"/>
        </w:rPr>
        <w:t>consistency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NCHS</w:t>
      </w:r>
      <w:r>
        <w:rPr>
          <w:spacing w:val="-3"/>
          <w:sz w:val="22"/>
        </w:rPr>
        <w:t> </w:t>
      </w:r>
      <w:r>
        <w:rPr>
          <w:sz w:val="22"/>
        </w:rPr>
        <w:t>reporting,</w:t>
      </w:r>
      <w:r>
        <w:rPr>
          <w:spacing w:val="-4"/>
          <w:sz w:val="22"/>
        </w:rPr>
        <w:t> </w:t>
      </w:r>
      <w:r>
        <w:rPr>
          <w:sz w:val="22"/>
        </w:rPr>
        <w:t>DPH</w:t>
      </w:r>
      <w:r>
        <w:rPr>
          <w:spacing w:val="-2"/>
          <w:sz w:val="22"/>
        </w:rPr>
        <w:t> </w:t>
      </w:r>
      <w:r>
        <w:rPr>
          <w:sz w:val="22"/>
        </w:rPr>
        <w:t>does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include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ICD‐10</w:t>
      </w:r>
      <w:r>
        <w:rPr>
          <w:spacing w:val="-2"/>
          <w:sz w:val="22"/>
        </w:rPr>
        <w:t> </w:t>
      </w:r>
      <w:r>
        <w:rPr>
          <w:sz w:val="22"/>
        </w:rPr>
        <w:t>code</w:t>
      </w:r>
      <w:r>
        <w:rPr>
          <w:spacing w:val="-3"/>
          <w:sz w:val="22"/>
        </w:rPr>
        <w:t> </w:t>
      </w:r>
      <w:r>
        <w:rPr>
          <w:sz w:val="22"/>
        </w:rPr>
        <w:t>F11.1,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include opioid‐related overdose deaths.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98" w:hanging="361"/>
        <w:jc w:val="both"/>
        <w:rPr>
          <w:sz w:val="22"/>
        </w:rPr>
      </w:pPr>
      <w:r>
        <w:rPr>
          <w:sz w:val="22"/>
        </w:rPr>
        <w:t>Beginning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3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3"/>
          <w:sz w:val="22"/>
        </w:rPr>
        <w:t> </w:t>
      </w:r>
      <w:r>
        <w:rPr>
          <w:sz w:val="22"/>
        </w:rPr>
        <w:t>started</w:t>
      </w:r>
      <w:r>
        <w:rPr>
          <w:spacing w:val="-2"/>
          <w:sz w:val="22"/>
        </w:rPr>
        <w:t> </w:t>
      </w:r>
      <w:r>
        <w:rPr>
          <w:sz w:val="22"/>
        </w:rPr>
        <w:t>reporting</w:t>
      </w:r>
      <w:r>
        <w:rPr>
          <w:spacing w:val="-4"/>
          <w:sz w:val="22"/>
        </w:rPr>
        <w:t> </w:t>
      </w:r>
      <w:r>
        <w:rPr>
          <w:sz w:val="22"/>
        </w:rPr>
        <w:t>opioid‐related</w:t>
      </w:r>
      <w:r>
        <w:rPr>
          <w:spacing w:val="-1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4"/>
          <w:sz w:val="22"/>
        </w:rPr>
        <w:t> </w:t>
      </w:r>
      <w:r>
        <w:rPr>
          <w:sz w:val="22"/>
        </w:rPr>
        <w:t>which</w:t>
      </w:r>
      <w:r>
        <w:rPr>
          <w:spacing w:val="-3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BodyText"/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6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1262" w:footer="933" w:top="2280" w:bottom="1120" w:left="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048">
              <wp:simplePos x="0" y="0"/>
              <wp:positionH relativeFrom="page">
                <wp:posOffset>7104888</wp:posOffset>
              </wp:positionH>
              <wp:positionV relativeFrom="page">
                <wp:posOffset>9325991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9.440002pt;margin-top:734.330017pt;width:11.6pt;height:11pt;mso-position-horizontal-relative:page;mso-position-vertical-relative:page;z-index:-19154432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3072">
              <wp:simplePos x="0" y="0"/>
              <wp:positionH relativeFrom="page">
                <wp:posOffset>7072376</wp:posOffset>
              </wp:positionH>
              <wp:positionV relativeFrom="page">
                <wp:posOffset>9325991</wp:posOffset>
              </wp:positionV>
              <wp:extent cx="179705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880005pt;margin-top:734.330017pt;width:14.15pt;height:11pt;mso-position-horizontal-relative:page;mso-position-vertical-relative:page;z-index:-19153408" type="#_x0000_t202" id="docshape1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2560">
              <wp:simplePos x="0" y="0"/>
              <wp:positionH relativeFrom="page">
                <wp:posOffset>455930</wp:posOffset>
              </wp:positionH>
              <wp:positionV relativeFrom="page">
                <wp:posOffset>788736</wp:posOffset>
              </wp:positionV>
              <wp:extent cx="6562725" cy="67691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562725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all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intents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opioid‐related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 w:right="18" w:hanging="1"/>
                            <w:jc w:val="both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2012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2016.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2015‐2016,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being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by the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Office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Chief Medical 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report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will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updated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quarterly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all new confirmed 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will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900002pt;margin-top:62.105202pt;width:516.75pt;height:53.3pt;mso-position-horizontal-relative:page;mso-position-vertical-relative:page;z-index:-1915392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intents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opioid‐related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 w:right="18" w:hanging="1"/>
                      <w:jc w:val="both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2012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2016.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2015‐2016,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being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by the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Office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Chief Medical 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report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will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updated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quarterly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all new confirmed 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will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1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19" w:right="113" w:hanging="361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8" w:right="2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TLyons</dc:creator>
  <dc:title>Microsoft Word - 2017 Q3 Opioid Quarterly Report FINAL</dc:title>
  <dcterms:created xsi:type="dcterms:W3CDTF">2024-12-31T15:34:58Z</dcterms:created>
  <dcterms:modified xsi:type="dcterms:W3CDTF">2024-12-31T15:34:58Z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Acrobat Distiller 15.0 (Windows)</vt:lpwstr>
  </property>
</Properties>
</file>