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6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18600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18600" cy="1222375"/>
                          <a:chExt cx="9118600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10590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1209675">
                                <a:moveTo>
                                  <a:pt x="0" y="1209675"/>
                                </a:moveTo>
                                <a:lnTo>
                                  <a:pt x="9105900" y="1209675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02" y="76947"/>
                            <a:ext cx="988497" cy="89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7425"/>
                            <a:ext cx="9105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228600">
                                <a:moveTo>
                                  <a:pt x="0" y="228600"/>
                                </a:moveTo>
                                <a:lnTo>
                                  <a:pt x="9105900" y="228600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811643" y="1035685"/>
                            <a:ext cx="1115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  <w:highlight w:val="yellow"/>
                                </w:rPr>
                                <w:t>AUGUST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3129" y="1035685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909320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9"/>
                                <w:ind w:left="4927" w:right="1653" w:hanging="1482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Intents by County, MA Residents: 2000-2016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8pt;height:96.25pt;mso-position-horizontal-relative:char;mso-position-vertical-relative:line" id="docshapegroup2" coordorigin="0,0" coordsize="14360,1925">
                <v:rect style="position:absolute;left:10;top:10;width:14340;height:1905" id="docshape3" filled="false" stroked="true" strokeweight="1pt" strokecolor="#000000">
                  <v:stroke dashstyle="solid"/>
                </v:rect>
                <v:shape style="position:absolute;left:223;top:121;width:1557;height:1411" type="#_x0000_t75" id="docshape4" alt="DPH-logo-B&amp;W" stroked="false">
                  <v:imagedata r:id="rId6" o:title=""/>
                </v:shape>
                <v:rect style="position:absolute;left:10;top:1555;width:14340;height:360" id="docshape5" filled="false" stroked="true" strokeweight=".75pt" strokecolor="#000000">
                  <v:stroke dashstyle="solid"/>
                </v:rect>
                <v:shape style="position:absolute;left:12301;top:1631;width:1756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  <w:highlight w:val="yellow"/>
                          </w:rPr>
                          <w:t>AUGUST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225;top:1631;width:322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4320;height:1528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69"/>
                          <w:ind w:left="4927" w:right="1653" w:hanging="1482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Intents by County, MA Residents: 2000-2016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4"/>
        <w:rPr>
          <w:rFonts w:ascii="Times New Roman"/>
          <w:sz w:val="20"/>
        </w:rPr>
      </w:pPr>
    </w:p>
    <w:tbl>
      <w:tblPr>
        <w:tblW w:w="0" w:type="auto"/>
        <w:jc w:val="left"/>
        <w:tblInd w:w="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603"/>
        <w:gridCol w:w="603"/>
        <w:gridCol w:w="608"/>
        <w:gridCol w:w="606"/>
        <w:gridCol w:w="605"/>
        <w:gridCol w:w="603"/>
        <w:gridCol w:w="598"/>
        <w:gridCol w:w="603"/>
        <w:gridCol w:w="598"/>
        <w:gridCol w:w="601"/>
        <w:gridCol w:w="596"/>
        <w:gridCol w:w="596"/>
        <w:gridCol w:w="601"/>
        <w:gridCol w:w="594"/>
        <w:gridCol w:w="764"/>
        <w:gridCol w:w="721"/>
        <w:gridCol w:w="717"/>
        <w:gridCol w:w="1084"/>
      </w:tblGrid>
      <w:tr>
        <w:trPr>
          <w:trHeight w:val="520" w:hRule="atLeast"/>
        </w:trPr>
        <w:tc>
          <w:tcPr>
            <w:tcW w:w="1472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603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0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0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60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60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60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9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60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59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60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59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59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60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59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76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89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72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64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717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50"/>
              <w:ind w:left="161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084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138" w:right="140" w:firstLine="20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2000-</w:t>
            </w:r>
            <w:r>
              <w:rPr>
                <w:b/>
                <w:spacing w:val="-2"/>
                <w:sz w:val="18"/>
              </w:rPr>
              <w:t>2016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603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0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0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0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9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0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0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0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9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6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2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1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084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1622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136" w:lineRule="auto" w:before="18"/>
              <w:ind w:right="98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3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1771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919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2576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139" w:lineRule="auto" w:before="19"/>
              <w:ind w:right="98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139" w:lineRule="auto" w:before="19"/>
              <w:ind w:right="98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2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1267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1121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1833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1670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603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506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526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614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575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660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622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638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742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961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left="172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1,361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left="188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1,799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left="123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2,107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13,862</w:t>
            </w:r>
          </w:p>
        </w:tc>
      </w:tr>
    </w:tbl>
    <w:p>
      <w:pPr>
        <w:pStyle w:val="BodyText"/>
        <w:spacing w:before="19"/>
        <w:rPr>
          <w:rFonts w:ascii="Times New Roman"/>
        </w:rPr>
      </w:pPr>
    </w:p>
    <w:p>
      <w:pPr>
        <w:pStyle w:val="BodyText"/>
        <w:spacing w:line="195" w:lineRule="exact"/>
        <w:ind w:left="680"/>
      </w:pPr>
      <w:r>
        <w:rPr>
          <w:vertAlign w:val="superscript"/>
        </w:rPr>
        <w:t>1</w:t>
      </w:r>
      <w:r>
        <w:rPr>
          <w:spacing w:val="-13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9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6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5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5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6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other</w:t>
      </w:r>
      <w:r>
        <w:rPr>
          <w:spacing w:val="-5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ind w:left="680" w:right="1481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2015-2016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-2"/>
          <w:vertAlign w:val="baseline"/>
        </w:rPr>
        <w:t> </w:t>
      </w:r>
      <w:r>
        <w:rPr>
          <w:vertAlign w:val="baseline"/>
        </w:rPr>
        <w:t>to updates.</w:t>
      </w:r>
      <w:r>
        <w:rPr>
          <w:spacing w:val="-2"/>
          <w:vertAlign w:val="baseline"/>
        </w:rPr>
        <w:t> </w:t>
      </w:r>
      <w:r>
        <w:rPr>
          <w:vertAlign w:val="baseline"/>
        </w:rPr>
        <w:t>Case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ongoing</w:t>
      </w:r>
      <w:r>
        <w:rPr>
          <w:spacing w:val="-1"/>
          <w:vertAlign w:val="baseline"/>
        </w:rPr>
        <w:t> </w:t>
      </w:r>
      <w:r>
        <w:rPr>
          <w:vertAlign w:val="baseline"/>
        </w:rPr>
        <w:t>basis.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large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certificates</w:t>
      </w:r>
      <w:r>
        <w:rPr>
          <w:spacing w:val="-2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40"/>
          <w:vertAlign w:val="baseline"/>
        </w:rPr>
        <w:t> </w:t>
      </w:r>
      <w:r>
        <w:rPr>
          <w:vertAlign w:val="baseline"/>
        </w:rPr>
        <w:t>assigned final cause-of-death codes. These counts are based on the estimates rather than confirmed cases. Data updated on 07/11/2017.</w:t>
      </w:r>
    </w:p>
    <w:p>
      <w:pPr>
        <w:pStyle w:val="BodyText"/>
        <w:ind w:left="680" w:right="1481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calculations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 on values</w:t>
      </w:r>
      <w:r>
        <w:rPr>
          <w:spacing w:val="-2"/>
          <w:vertAlign w:val="baseline"/>
        </w:rPr>
        <w:t> </w:t>
      </w:r>
      <w:r>
        <w:rPr>
          <w:vertAlign w:val="baseline"/>
        </w:rPr>
        <w:t>less than</w:t>
      </w:r>
      <w:r>
        <w:rPr>
          <w:spacing w:val="-2"/>
          <w:vertAlign w:val="baseline"/>
        </w:rPr>
        <w:t> </w:t>
      </w:r>
      <w:r>
        <w:rPr>
          <w:vertAlign w:val="baseline"/>
        </w:rPr>
        <w:t>5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2"/>
          <w:vertAlign w:val="baseline"/>
        </w:rPr>
        <w:t> </w:t>
      </w:r>
      <w:r>
        <w:rPr>
          <w:vertAlign w:val="baseline"/>
        </w:rPr>
        <w:t>for years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which the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 file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not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2"/>
          <w:vertAlign w:val="baseline"/>
        </w:rPr>
        <w:t> </w:t>
      </w:r>
      <w:r>
        <w:rPr>
          <w:vertAlign w:val="baseline"/>
        </w:rPr>
        <w:t>closed if</w:t>
      </w:r>
      <w:r>
        <w:rPr>
          <w:spacing w:val="-2"/>
          <w:vertAlign w:val="baseline"/>
        </w:rPr>
        <w:t> </w:t>
      </w:r>
      <w:r>
        <w:rPr>
          <w:vertAlign w:val="baseline"/>
        </w:rPr>
        <w:t>they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pending</w:t>
      </w:r>
      <w:r>
        <w:rPr>
          <w:spacing w:val="-1"/>
          <w:vertAlign w:val="baseline"/>
        </w:rPr>
        <w:t> </w:t>
      </w:r>
      <w:r>
        <w:rPr>
          <w:vertAlign w:val="baseline"/>
        </w:rPr>
        <w:t>cases.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listed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Nantucket</w:t>
      </w:r>
      <w:r>
        <w:rPr>
          <w:spacing w:val="-1"/>
          <w:vertAlign w:val="baseline"/>
        </w:rPr>
        <w:t> </w:t>
      </w:r>
      <w:r>
        <w:rPr>
          <w:vertAlign w:val="baseline"/>
        </w:rPr>
        <w:t>County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40"/>
          <w:vertAlign w:val="baseline"/>
        </w:rPr>
        <w:t> </w:t>
      </w:r>
      <w:r>
        <w:rPr>
          <w:vertAlign w:val="baseline"/>
        </w:rPr>
        <w:t>2015 and 2016, and in Dukes County for 2016 are confirmed opioid overdose deaths.</w:t>
      </w:r>
    </w:p>
    <w:p>
      <w:pPr>
        <w:spacing w:before="1"/>
        <w:ind w:left="680" w:right="1481" w:firstLine="0"/>
        <w:jc w:val="left"/>
        <w:rPr>
          <w:b/>
          <w:sz w:val="16"/>
        </w:rPr>
      </w:pPr>
      <w:r>
        <w:rPr>
          <w:sz w:val="16"/>
          <w:vertAlign w:val="superscript"/>
        </w:rPr>
        <w:t>4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2001,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2005,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2008,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2012,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2014,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2016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resident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whose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city/town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residence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was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not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known;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2006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includes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4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deaths 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 MA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resident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whose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city/town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residence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was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not known. </w:t>
      </w:r>
      <w:r>
        <w:rPr>
          <w:b/>
          <w:sz w:val="16"/>
          <w:vertAlign w:val="baseline"/>
        </w:rPr>
        <w:t>Please note that some totals may not add up due to deaths with unknown city/town of residence and the rounding of counts for 2015-2016.</w:t>
      </w:r>
    </w:p>
    <w:p>
      <w:pPr>
        <w:spacing w:before="144"/>
        <w:ind w:left="680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Technical</w:t>
      </w:r>
      <w:r>
        <w:rPr>
          <w:b/>
          <w:spacing w:val="-5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Notes:</w:t>
      </w:r>
    </w:p>
    <w:p>
      <w:pPr>
        <w:pStyle w:val="BodyText"/>
        <w:spacing w:before="3"/>
        <w:ind w:left="680" w:right="1481"/>
      </w:pPr>
      <w:r>
        <w:rPr/>
        <w:t>Cases were defined using the International Classification of Disease (ICD-10) codes for mortality. The following codes were selected from the underlying cause of death field to identify</w:t>
      </w:r>
      <w:r>
        <w:rPr>
          <w:spacing w:val="40"/>
        </w:rPr>
        <w:t> </w:t>
      </w:r>
      <w:r>
        <w:rPr/>
        <w:t>poisonings/overdoses: X40-X49, X60-X69, X85-X90, Y10-Y19, and</w:t>
      </w:r>
      <w:r>
        <w:rPr>
          <w:spacing w:val="-2"/>
        </w:rPr>
        <w:t> </w:t>
      </w:r>
      <w:r>
        <w:rPr/>
        <w:t>Y35.2. All multiple cause of death fields were then used to identify an opioid-related death: T40.0, T40.1, T40.2, T40.3, T40.4, and</w:t>
      </w:r>
      <w:r>
        <w:rPr>
          <w:spacing w:val="40"/>
        </w:rPr>
        <w:t> </w:t>
      </w:r>
      <w:r>
        <w:rPr/>
        <w:t>T40.6.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tracks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difficulties in</w:t>
      </w:r>
      <w:r>
        <w:rPr>
          <w:spacing w:val="-2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heroin-associated overdoses separately.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related to</w:t>
      </w:r>
      <w:r>
        <w:rPr>
          <w:spacing w:val="-2"/>
        </w:rPr>
        <w:t> </w:t>
      </w:r>
      <w:r>
        <w:rPr/>
        <w:t>heroin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specifically coded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40"/>
        </w:rPr>
        <w:t> </w:t>
      </w:r>
      <w:r>
        <w:rPr/>
        <w:t>the fast metabolism of heroin into morphine. To maintain consistency with NCHS reporting, DPH does not include the ICD-10 code F11.1, which may include opioid-related overdose death.</w:t>
      </w:r>
    </w:p>
    <w:p>
      <w:pPr>
        <w:pStyle w:val="BodyText"/>
        <w:spacing w:line="194" w:lineRule="exact"/>
        <w:ind w:left="680"/>
      </w:pPr>
      <w:r>
        <w:rPr/>
        <w:t>Beginning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2017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DPH</w:t>
      </w:r>
      <w:r>
        <w:rPr>
          <w:spacing w:val="-4"/>
        </w:rPr>
        <w:t> </w:t>
      </w:r>
      <w:r>
        <w:rPr/>
        <w:t>started</w:t>
      </w:r>
      <w:r>
        <w:rPr>
          <w:spacing w:val="-6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opioid-related</w:t>
      </w:r>
      <w:r>
        <w:rPr>
          <w:spacing w:val="-4"/>
        </w:rPr>
        <w:t> </w:t>
      </w:r>
      <w:r>
        <w:rPr/>
        <w:t>deaths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intents,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unintentional/undetermined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suicide.</w:t>
      </w:r>
    </w:p>
    <w:p>
      <w:pPr>
        <w:spacing w:before="49"/>
        <w:ind w:left="680" w:right="0" w:firstLine="0"/>
        <w:jc w:val="left"/>
        <w:rPr>
          <w:b/>
          <w:sz w:val="16"/>
        </w:rPr>
      </w:pPr>
      <w:r>
        <w:rPr>
          <w:b/>
          <w:sz w:val="16"/>
        </w:rPr>
        <w:t>Source: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Registry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Vital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Records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Statistics,</w:t>
      </w:r>
      <w:r>
        <w:rPr>
          <w:b/>
          <w:spacing w:val="-4"/>
          <w:sz w:val="16"/>
        </w:rPr>
        <w:t> MDPH.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5840" w:h="12240" w:orient="landscape"/>
          <w:pgMar w:header="0" w:footer="950" w:top="380" w:bottom="1140" w:left="760" w:right="60"/>
          <w:pgNumType w:start="1"/>
        </w:sectPr>
      </w:pPr>
    </w:p>
    <w:p>
      <w:pPr>
        <w:pStyle w:val="BodyText"/>
        <w:spacing w:before="109"/>
        <w:rPr>
          <w:b/>
          <w:sz w:val="28"/>
        </w:rPr>
      </w:pPr>
    </w:p>
    <w:p>
      <w:pPr>
        <w:spacing w:before="0"/>
        <w:ind w:left="3085" w:right="3014" w:firstLine="1072"/>
        <w:jc w:val="left"/>
        <w:rPr>
          <w:b/>
          <w:sz w:val="28"/>
        </w:rPr>
      </w:pPr>
      <w:r>
        <w:rPr>
          <w:b/>
          <w:sz w:val="28"/>
        </w:rPr>
        <w:t>Opioid Overdose Death Rates, All Intents, by County Massachusetts: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2011-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2013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(reference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period)</w:t>
      </w:r>
    </w:p>
    <w:p>
      <w:pPr>
        <w:spacing w:before="1"/>
        <w:ind w:left="3925" w:right="0" w:firstLine="0"/>
        <w:jc w:val="left"/>
        <w:rPr>
          <w:b/>
          <w:sz w:val="28"/>
        </w:rPr>
      </w:pPr>
      <w:r>
        <w:rPr>
          <w:b/>
          <w:sz w:val="28"/>
        </w:rPr>
        <w:t>vs.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2014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2016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(current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2"/>
          <w:sz w:val="28"/>
        </w:rPr>
        <w:t> period)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186011</wp:posOffset>
            </wp:positionV>
            <wp:extent cx="3957658" cy="294970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658" cy="2949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5289360</wp:posOffset>
            </wp:positionH>
            <wp:positionV relativeFrom="paragraph">
              <wp:posOffset>217573</wp:posOffset>
            </wp:positionV>
            <wp:extent cx="3779980" cy="287426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980" cy="28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9" w:lineRule="exact" w:before="35"/>
        <w:ind w:left="104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Notes</w:t>
      </w:r>
      <w:r>
        <w:rPr>
          <w:spacing w:val="-2"/>
          <w:sz w:val="18"/>
          <w:u w:val="none"/>
        </w:rPr>
        <w:t>:</w:t>
      </w:r>
    </w:p>
    <w:p>
      <w:pPr>
        <w:spacing w:before="0"/>
        <w:ind w:left="104" w:right="859" w:firstLine="0"/>
        <w:jc w:val="left"/>
        <w:rPr>
          <w:sz w:val="18"/>
        </w:rPr>
      </w:pPr>
      <w:r>
        <w:rPr>
          <w:sz w:val="18"/>
        </w:rPr>
        <w:t>1. All data updated on 07/11/17. Cases were defined using the International Classification of Disease (ICD-10) codes for mortality using the following codes in the underlying cause of death field:</w:t>
      </w:r>
      <w:r>
        <w:rPr>
          <w:spacing w:val="-1"/>
          <w:sz w:val="18"/>
        </w:rPr>
        <w:t> </w:t>
      </w:r>
      <w:r>
        <w:rPr>
          <w:sz w:val="18"/>
        </w:rPr>
        <w:t>X40-X49,</w:t>
      </w:r>
      <w:r>
        <w:rPr>
          <w:spacing w:val="-1"/>
          <w:sz w:val="18"/>
        </w:rPr>
        <w:t> </w:t>
      </w:r>
      <w:r>
        <w:rPr>
          <w:sz w:val="18"/>
        </w:rPr>
        <w:t>X60-X69,</w:t>
      </w:r>
      <w:r>
        <w:rPr>
          <w:spacing w:val="-1"/>
          <w:sz w:val="18"/>
        </w:rPr>
        <w:t> </w:t>
      </w:r>
      <w:r>
        <w:rPr>
          <w:sz w:val="18"/>
        </w:rPr>
        <w:t>X85-X90,</w:t>
      </w:r>
      <w:r>
        <w:rPr>
          <w:spacing w:val="-1"/>
          <w:sz w:val="18"/>
        </w:rPr>
        <w:t> </w:t>
      </w:r>
      <w:r>
        <w:rPr>
          <w:sz w:val="18"/>
        </w:rPr>
        <w:t>Y10-Y19,</w:t>
      </w:r>
      <w:r>
        <w:rPr>
          <w:spacing w:val="-3"/>
          <w:sz w:val="18"/>
        </w:rPr>
        <w:t> </w:t>
      </w:r>
      <w:r>
        <w:rPr>
          <w:sz w:val="18"/>
        </w:rPr>
        <w:t>Y35.2.</w:t>
      </w:r>
      <w:r>
        <w:rPr>
          <w:spacing w:val="38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multiple</w:t>
      </w:r>
      <w:r>
        <w:rPr>
          <w:spacing w:val="-2"/>
          <w:sz w:val="18"/>
        </w:rPr>
        <w:t> </w:t>
      </w:r>
      <w:r>
        <w:rPr>
          <w:sz w:val="18"/>
        </w:rPr>
        <w:t>cause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fields</w:t>
      </w:r>
      <w:r>
        <w:rPr>
          <w:spacing w:val="-2"/>
          <w:sz w:val="18"/>
        </w:rPr>
        <w:t> </w:t>
      </w:r>
      <w:r>
        <w:rPr>
          <w:sz w:val="18"/>
        </w:rPr>
        <w:t>were</w:t>
      </w:r>
      <w:r>
        <w:rPr>
          <w:spacing w:val="-3"/>
          <w:sz w:val="18"/>
        </w:rPr>
        <w:t> </w:t>
      </w:r>
      <w:r>
        <w:rPr>
          <w:sz w:val="18"/>
        </w:rPr>
        <w:t>then</w:t>
      </w:r>
      <w:r>
        <w:rPr>
          <w:spacing w:val="-2"/>
          <w:sz w:val="18"/>
        </w:rPr>
        <w:t> </w:t>
      </w:r>
      <w:r>
        <w:rPr>
          <w:sz w:val="18"/>
        </w:rPr>
        <w:t>used to</w:t>
      </w:r>
      <w:r>
        <w:rPr>
          <w:spacing w:val="-1"/>
          <w:sz w:val="18"/>
        </w:rPr>
        <w:t> </w:t>
      </w:r>
      <w:r>
        <w:rPr>
          <w:sz w:val="18"/>
        </w:rPr>
        <w:t>identify</w:t>
      </w:r>
      <w:r>
        <w:rPr>
          <w:spacing w:val="-1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opioid-related death,</w:t>
      </w:r>
      <w:r>
        <w:rPr>
          <w:spacing w:val="-1"/>
          <w:sz w:val="18"/>
        </w:rPr>
        <w:t> </w:t>
      </w:r>
      <w:r>
        <w:rPr>
          <w:sz w:val="18"/>
        </w:rPr>
        <w:t>using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</w:t>
      </w:r>
      <w:r>
        <w:rPr>
          <w:sz w:val="18"/>
        </w:rPr>
        <w:t>ICD-10</w:t>
      </w:r>
      <w:r>
        <w:rPr>
          <w:spacing w:val="-1"/>
          <w:sz w:val="18"/>
        </w:rPr>
        <w:t> </w:t>
      </w:r>
      <w:r>
        <w:rPr>
          <w:sz w:val="18"/>
        </w:rPr>
        <w:t>codes:</w:t>
      </w:r>
      <w:r>
        <w:rPr>
          <w:spacing w:val="-1"/>
          <w:sz w:val="18"/>
        </w:rPr>
        <w:t> </w:t>
      </w:r>
      <w:r>
        <w:rPr>
          <w:sz w:val="18"/>
        </w:rPr>
        <w:t>T40.0,</w:t>
      </w:r>
      <w:r>
        <w:rPr>
          <w:spacing w:val="-1"/>
          <w:sz w:val="18"/>
        </w:rPr>
        <w:t> </w:t>
      </w:r>
      <w:r>
        <w:rPr>
          <w:sz w:val="18"/>
        </w:rPr>
        <w:t>T40.1,</w:t>
      </w:r>
      <w:r>
        <w:rPr>
          <w:spacing w:val="-1"/>
          <w:sz w:val="18"/>
        </w:rPr>
        <w:t> </w:t>
      </w:r>
      <w:r>
        <w:rPr>
          <w:sz w:val="18"/>
        </w:rPr>
        <w:t>T40.2, T40.3, T40.4, and T40.6.</w:t>
      </w:r>
      <w:r>
        <w:rPr>
          <w:spacing w:val="40"/>
          <w:sz w:val="18"/>
        </w:rPr>
        <w:t> </w:t>
      </w:r>
      <w:r>
        <w:rPr>
          <w:sz w:val="18"/>
        </w:rPr>
        <w:t>Opioids include heroin, opioid-based prescription painkillers, and other unspecified opioids.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1" w:after="0"/>
        <w:ind w:left="279" w:right="0" w:hanging="175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2015-2016</w:t>
      </w:r>
      <w:r>
        <w:rPr>
          <w:spacing w:val="-1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 preliminary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updates.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19" w:lineRule="exact" w:before="1" w:after="0"/>
        <w:ind w:left="279" w:right="0" w:hanging="175"/>
        <w:jc w:val="left"/>
        <w:rPr>
          <w:sz w:val="18"/>
        </w:rPr>
      </w:pPr>
      <w:r>
        <w:rPr>
          <w:sz w:val="18"/>
        </w:rPr>
        <w:t>Rates</w:t>
      </w:r>
      <w:r>
        <w:rPr>
          <w:spacing w:val="-4"/>
          <w:sz w:val="18"/>
        </w:rPr>
        <w:t> </w:t>
      </w:r>
      <w:r>
        <w:rPr>
          <w:sz w:val="18"/>
        </w:rPr>
        <w:t>computed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smaller</w:t>
      </w:r>
      <w:r>
        <w:rPr>
          <w:spacing w:val="-2"/>
          <w:sz w:val="18"/>
        </w:rPr>
        <w:t> </w:t>
      </w:r>
      <w:r>
        <w:rPr>
          <w:sz w:val="18"/>
        </w:rPr>
        <w:t>counties</w:t>
      </w:r>
      <w:r>
        <w:rPr>
          <w:spacing w:val="-3"/>
          <w:sz w:val="18"/>
        </w:rPr>
        <w:t> </w:t>
      </w:r>
      <w:r>
        <w:rPr>
          <w:sz w:val="18"/>
        </w:rPr>
        <w:t>(populations</w:t>
      </w:r>
      <w:r>
        <w:rPr>
          <w:spacing w:val="-3"/>
          <w:sz w:val="18"/>
        </w:rPr>
        <w:t> </w:t>
      </w:r>
      <w:r>
        <w:rPr>
          <w:sz w:val="18"/>
        </w:rPr>
        <w:t>&lt;10,000)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1"/>
          <w:sz w:val="18"/>
        </w:rPr>
        <w:t> </w:t>
      </w:r>
      <w:r>
        <w:rPr>
          <w:sz w:val="18"/>
        </w:rPr>
        <w:t>likely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vary</w:t>
      </w:r>
      <w:r>
        <w:rPr>
          <w:spacing w:val="-2"/>
          <w:sz w:val="18"/>
        </w:rPr>
        <w:t> </w:t>
      </w:r>
      <w:r>
        <w:rPr>
          <w:sz w:val="18"/>
        </w:rPr>
        <w:t>significantly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year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year.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19" w:lineRule="exact" w:before="0" w:after="0"/>
        <w:ind w:left="279" w:right="0" w:hanging="175"/>
        <w:jc w:val="left"/>
        <w:rPr>
          <w:sz w:val="18"/>
        </w:rPr>
      </w:pPr>
      <w:r>
        <w:rPr>
          <w:sz w:val="18"/>
        </w:rPr>
        <w:t>Low</w:t>
      </w:r>
      <w:r>
        <w:rPr>
          <w:spacing w:val="-4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2"/>
          <w:sz w:val="18"/>
        </w:rPr>
        <w:t> </w:t>
      </w:r>
      <w:r>
        <w:rPr>
          <w:sz w:val="18"/>
        </w:rPr>
        <w:t>deaths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county</w:t>
      </w:r>
      <w:r>
        <w:rPr>
          <w:spacing w:val="-1"/>
          <w:sz w:val="18"/>
        </w:rPr>
        <w:t> </w:t>
      </w:r>
      <w:r>
        <w:rPr>
          <w:sz w:val="18"/>
        </w:rPr>
        <w:t>should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taken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indication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there</w:t>
      </w:r>
      <w:r>
        <w:rPr>
          <w:spacing w:val="3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1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abuse</w:t>
      </w:r>
      <w:r>
        <w:rPr>
          <w:spacing w:val="-2"/>
          <w:sz w:val="18"/>
        </w:rPr>
        <w:t> </w:t>
      </w:r>
      <w:r>
        <w:rPr>
          <w:sz w:val="18"/>
        </w:rPr>
        <w:t>problem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1" w:after="0"/>
        <w:ind w:left="104" w:right="1194" w:firstLine="0"/>
        <w:jc w:val="left"/>
        <w:rPr>
          <w:sz w:val="18"/>
        </w:rPr>
      </w:pPr>
      <w:r>
        <w:rPr>
          <w:sz w:val="18"/>
        </w:rPr>
        <w:t>County</w:t>
      </w:r>
      <w:r>
        <w:rPr>
          <w:spacing w:val="-2"/>
          <w:sz w:val="18"/>
        </w:rPr>
        <w:t> </w:t>
      </w:r>
      <w:r>
        <w:rPr>
          <w:sz w:val="18"/>
        </w:rPr>
        <w:t>level</w:t>
      </w:r>
      <w:r>
        <w:rPr>
          <w:spacing w:val="-2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2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computed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averaging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number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opioid-related</w:t>
      </w:r>
      <w:r>
        <w:rPr>
          <w:spacing w:val="-2"/>
          <w:sz w:val="18"/>
        </w:rPr>
        <w:t> </w:t>
      </w:r>
      <w:r>
        <w:rPr>
          <w:sz w:val="18"/>
        </w:rPr>
        <w:t>deaths</w:t>
      </w:r>
      <w:r>
        <w:rPr>
          <w:spacing w:val="-1"/>
          <w:sz w:val="18"/>
        </w:rPr>
        <w:t> </w:t>
      </w:r>
      <w:r>
        <w:rPr>
          <w:sz w:val="18"/>
        </w:rPr>
        <w:t>between</w:t>
      </w:r>
      <w:r>
        <w:rPr>
          <w:spacing w:val="-2"/>
          <w:sz w:val="18"/>
        </w:rPr>
        <w:t> </w:t>
      </w:r>
      <w:r>
        <w:rPr>
          <w:sz w:val="18"/>
        </w:rPr>
        <w:t>January</w:t>
      </w:r>
      <w:r>
        <w:rPr>
          <w:spacing w:val="-2"/>
          <w:sz w:val="18"/>
        </w:rPr>
        <w:t> </w:t>
      </w:r>
      <w:r>
        <w:rPr>
          <w:sz w:val="18"/>
        </w:rPr>
        <w:t>2011 and</w:t>
      </w:r>
      <w:r>
        <w:rPr>
          <w:spacing w:val="-2"/>
          <w:sz w:val="18"/>
        </w:rPr>
        <w:t> </w:t>
      </w:r>
      <w:r>
        <w:rPr>
          <w:sz w:val="18"/>
        </w:rPr>
        <w:t>December</w:t>
      </w:r>
      <w:r>
        <w:rPr>
          <w:spacing w:val="-2"/>
          <w:sz w:val="18"/>
        </w:rPr>
        <w:t> </w:t>
      </w:r>
      <w:r>
        <w:rPr>
          <w:sz w:val="18"/>
        </w:rPr>
        <w:t>2016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estimated</w:t>
      </w:r>
      <w:r>
        <w:rPr>
          <w:spacing w:val="-2"/>
          <w:sz w:val="18"/>
        </w:rPr>
        <w:t> </w:t>
      </w:r>
      <w:r>
        <w:rPr>
          <w:sz w:val="18"/>
        </w:rPr>
        <w:t>population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the community in that same time period.</w:t>
      </w:r>
      <w:r>
        <w:rPr>
          <w:spacing w:val="40"/>
          <w:sz w:val="18"/>
        </w:rPr>
        <w:t> </w:t>
      </w:r>
      <w:r>
        <w:rPr>
          <w:sz w:val="18"/>
        </w:rPr>
        <w:t>County is based on county of residence for the decedent.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19" w:lineRule="exact" w:before="0" w:after="0"/>
        <w:ind w:left="279" w:right="0" w:hanging="175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rate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expressed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value</w:t>
      </w:r>
      <w:r>
        <w:rPr>
          <w:spacing w:val="-2"/>
          <w:sz w:val="18"/>
        </w:rPr>
        <w:t> </w:t>
      </w:r>
      <w:r>
        <w:rPr>
          <w:sz w:val="18"/>
        </w:rPr>
        <w:t>per 100,000 </w:t>
      </w:r>
      <w:r>
        <w:rPr>
          <w:spacing w:val="-2"/>
          <w:sz w:val="18"/>
        </w:rPr>
        <w:t>residents.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19" w:lineRule="exact" w:before="0" w:after="0"/>
        <w:ind w:left="279" w:right="0" w:hanging="175"/>
        <w:jc w:val="left"/>
        <w:rPr>
          <w:sz w:val="18"/>
        </w:rPr>
      </w:pPr>
      <w:r>
        <w:rPr>
          <w:sz w:val="18"/>
        </w:rPr>
        <w:t>Beginning</w:t>
      </w:r>
      <w:r>
        <w:rPr>
          <w:spacing w:val="-5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May</w:t>
      </w:r>
      <w:r>
        <w:rPr>
          <w:spacing w:val="-2"/>
          <w:sz w:val="18"/>
        </w:rPr>
        <w:t> </w:t>
      </w:r>
      <w:r>
        <w:rPr>
          <w:sz w:val="18"/>
        </w:rPr>
        <w:t>2017 report,</w:t>
      </w:r>
      <w:r>
        <w:rPr>
          <w:spacing w:val="-1"/>
          <w:sz w:val="18"/>
        </w:rPr>
        <w:t> </w:t>
      </w:r>
      <w:r>
        <w:rPr>
          <w:sz w:val="18"/>
        </w:rPr>
        <w:t>DPH</w:t>
      </w:r>
      <w:r>
        <w:rPr>
          <w:spacing w:val="-2"/>
          <w:sz w:val="18"/>
        </w:rPr>
        <w:t> </w:t>
      </w:r>
      <w:r>
        <w:rPr>
          <w:sz w:val="18"/>
        </w:rPr>
        <w:t>started</w:t>
      </w:r>
      <w:r>
        <w:rPr>
          <w:spacing w:val="-3"/>
          <w:sz w:val="18"/>
        </w:rPr>
        <w:t> </w:t>
      </w:r>
      <w:r>
        <w:rPr>
          <w:sz w:val="18"/>
        </w:rPr>
        <w:t>reporting</w:t>
      </w:r>
      <w:r>
        <w:rPr>
          <w:spacing w:val="-3"/>
          <w:sz w:val="18"/>
        </w:rPr>
        <w:t> </w:t>
      </w:r>
      <w:r>
        <w:rPr>
          <w:sz w:val="18"/>
        </w:rPr>
        <w:t>opioid-related</w:t>
      </w:r>
      <w:r>
        <w:rPr>
          <w:spacing w:val="-3"/>
          <w:sz w:val="18"/>
        </w:rPr>
        <w:t> </w:t>
      </w:r>
      <w:r>
        <w:rPr>
          <w:sz w:val="18"/>
        </w:rPr>
        <w:t>deaths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intents, which</w:t>
      </w:r>
      <w:r>
        <w:rPr>
          <w:spacing w:val="-3"/>
          <w:sz w:val="18"/>
        </w:rPr>
        <w:t> </w:t>
      </w:r>
      <w:r>
        <w:rPr>
          <w:sz w:val="18"/>
        </w:rPr>
        <w:t>includes</w:t>
      </w:r>
      <w:r>
        <w:rPr>
          <w:spacing w:val="1"/>
          <w:sz w:val="18"/>
        </w:rPr>
        <w:t> </w:t>
      </w:r>
      <w:r>
        <w:rPr>
          <w:sz w:val="18"/>
        </w:rPr>
        <w:t>unintentional/undetermined</w:t>
      </w:r>
      <w:r>
        <w:rPr>
          <w:spacing w:val="-3"/>
          <w:sz w:val="18"/>
        </w:rPr>
        <w:t> </w:t>
      </w:r>
      <w:r>
        <w:rPr>
          <w:sz w:val="18"/>
        </w:rPr>
        <w:t>and </w:t>
      </w:r>
      <w:r>
        <w:rPr>
          <w:spacing w:val="-2"/>
          <w:sz w:val="18"/>
        </w:rPr>
        <w:t>suicide.</w:t>
      </w:r>
    </w:p>
    <w:sectPr>
      <w:pgSz w:w="15840" w:h="12240" w:orient="landscape"/>
      <w:pgMar w:header="0" w:footer="950" w:top="1380" w:bottom="1140" w:left="76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8400">
              <wp:simplePos x="0" y="0"/>
              <wp:positionH relativeFrom="page">
                <wp:posOffset>9043161</wp:posOffset>
              </wp:positionH>
              <wp:positionV relativeFrom="page">
                <wp:posOffset>7029558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2.059998pt;margin-top:553.508545pt;width:12.05pt;height:12.1pt;mso-position-horizontal-relative:page;mso-position-vertical-relative:page;z-index:-162380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281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4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8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2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4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98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72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9" w:lineRule="exact"/>
      <w:ind w:left="279" w:hanging="17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right="92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2024-12-31T15:42:15Z</dcterms:created>
  <dcterms:modified xsi:type="dcterms:W3CDTF">2024-12-31T15:42:15Z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