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5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9118600" cy="1222375"/>
                <wp:effectExtent l="0" t="0" r="0" b="635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118600" cy="1222375"/>
                          <a:chExt cx="9118600" cy="12223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6350"/>
                            <a:ext cx="9105900" cy="1209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05900" h="1209675">
                                <a:moveTo>
                                  <a:pt x="0" y="1209675"/>
                                </a:moveTo>
                                <a:lnTo>
                                  <a:pt x="9105900" y="1209675"/>
                                </a:lnTo>
                                <a:lnTo>
                                  <a:pt x="910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96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DPH-logo-B&amp;W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802" y="72720"/>
                            <a:ext cx="988497" cy="9185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6350" y="987425"/>
                            <a:ext cx="91059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05900" h="228600">
                                <a:moveTo>
                                  <a:pt x="0" y="228600"/>
                                </a:moveTo>
                                <a:lnTo>
                                  <a:pt x="9105900" y="228600"/>
                                </a:lnTo>
                                <a:lnTo>
                                  <a:pt x="910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7811643" y="1035685"/>
                            <a:ext cx="94234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POSTED:</w:t>
                              </w:r>
                              <w:r>
                                <w:rPr>
                                  <w:spacing w:val="3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MAY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43129" y="1035685"/>
                            <a:ext cx="2050414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Massachusetts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Department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Public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Health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2700" y="12700"/>
                            <a:ext cx="9093200" cy="970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7" w:lineRule="auto" w:before="269"/>
                                <w:ind w:left="4927" w:right="1653" w:hanging="1482"/>
                                <w:jc w:val="left"/>
                                <w:rPr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Number</w:t>
                              </w:r>
                              <w:r>
                                <w:rPr>
                                  <w:b/>
                                  <w:color w:val="1F487C"/>
                                  <w:spacing w:val="-7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1F487C"/>
                                  <w:spacing w:val="-6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Opioid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superscript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baseline"/>
                                </w:rPr>
                                <w:t>-Related</w:t>
                              </w:r>
                              <w:r>
                                <w:rPr>
                                  <w:b/>
                                  <w:color w:val="1F487C"/>
                                  <w:spacing w:val="-7"/>
                                  <w:sz w:val="38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baseline"/>
                                </w:rPr>
                                <w:t>Overdose</w:t>
                              </w:r>
                              <w:r>
                                <w:rPr>
                                  <w:b/>
                                  <w:color w:val="1F487C"/>
                                  <w:spacing w:val="-6"/>
                                  <w:sz w:val="38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baseline"/>
                                </w:rPr>
                                <w:t>Deaths,</w:t>
                              </w:r>
                              <w:r>
                                <w:rPr>
                                  <w:b/>
                                  <w:color w:val="1F487C"/>
                                  <w:spacing w:val="-6"/>
                                  <w:sz w:val="38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baseline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color w:val="1F487C"/>
                                  <w:spacing w:val="-6"/>
                                  <w:sz w:val="38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baseline"/>
                                </w:rPr>
                                <w:t>Intents by County, MA Residents: 2000-2016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18pt;height:96.25pt;mso-position-horizontal-relative:char;mso-position-vertical-relative:line" id="docshapegroup1" coordorigin="0,0" coordsize="14360,1925">
                <v:rect style="position:absolute;left:10;top:10;width:14340;height:1905" id="docshape2" filled="false" stroked="true" strokeweight="1pt" strokecolor="#000000">
                  <v:stroke dashstyle="solid"/>
                </v:rect>
                <v:shape style="position:absolute;left:223;top:114;width:1557;height:1447" type="#_x0000_t75" id="docshape3" alt="DPH-logo-B&amp;W" stroked="false">
                  <v:imagedata r:id="rId5" o:title=""/>
                </v:shape>
                <v:rect style="position:absolute;left:10;top:1555;width:14340;height:360" id="docshape4" filled="false" stroked="true" strokeweight=".75pt" strokecolor="#000000">
                  <v:stroke dashstyl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2301;top:1631;width:1484;height:180" type="#_x0000_t202" id="docshape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POSTED:</w:t>
                        </w:r>
                        <w:r>
                          <w:rPr>
                            <w:spacing w:val="3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MAY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2017</w:t>
                        </w:r>
                      </w:p>
                    </w:txbxContent>
                  </v:textbox>
                  <w10:wrap type="none"/>
                </v:shape>
                <v:shape style="position:absolute;left:225;top:1631;width:3229;height:180" type="#_x0000_t202" id="docshape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Massachusetts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Department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Public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Health</w:t>
                        </w:r>
                      </w:p>
                    </w:txbxContent>
                  </v:textbox>
                  <w10:wrap type="none"/>
                </v:shape>
                <v:shape style="position:absolute;left:20;top:20;width:14320;height:1528" type="#_x0000_t202" id="docshape7" filled="false" stroked="false">
                  <v:textbox inset="0,0,0,0">
                    <w:txbxContent>
                      <w:p>
                        <w:pPr>
                          <w:spacing w:line="237" w:lineRule="auto" w:before="269"/>
                          <w:ind w:left="4927" w:right="1653" w:hanging="1482"/>
                          <w:jc w:val="left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1F487C"/>
                            <w:sz w:val="38"/>
                          </w:rPr>
                          <w:t>Number</w:t>
                        </w:r>
                        <w:r>
                          <w:rPr>
                            <w:b/>
                            <w:color w:val="1F487C"/>
                            <w:spacing w:val="-7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</w:rPr>
                          <w:t>of</w:t>
                        </w:r>
                        <w:r>
                          <w:rPr>
                            <w:b/>
                            <w:color w:val="1F487C"/>
                            <w:spacing w:val="-6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</w:rPr>
                          <w:t>Opioid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superscript"/>
                          </w:rPr>
                          <w:t>1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baseline"/>
                          </w:rPr>
                          <w:t>-Related</w:t>
                        </w:r>
                        <w:r>
                          <w:rPr>
                            <w:b/>
                            <w:color w:val="1F487C"/>
                            <w:spacing w:val="-7"/>
                            <w:sz w:val="38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baseline"/>
                          </w:rPr>
                          <w:t>Overdose</w:t>
                        </w:r>
                        <w:r>
                          <w:rPr>
                            <w:b/>
                            <w:color w:val="1F487C"/>
                            <w:spacing w:val="-6"/>
                            <w:sz w:val="38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baseline"/>
                          </w:rPr>
                          <w:t>Deaths,</w:t>
                        </w:r>
                        <w:r>
                          <w:rPr>
                            <w:b/>
                            <w:color w:val="1F487C"/>
                            <w:spacing w:val="-6"/>
                            <w:sz w:val="38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baseline"/>
                          </w:rPr>
                          <w:t>All</w:t>
                        </w:r>
                        <w:r>
                          <w:rPr>
                            <w:b/>
                            <w:color w:val="1F487C"/>
                            <w:spacing w:val="-6"/>
                            <w:sz w:val="38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baseline"/>
                          </w:rPr>
                          <w:t>Intents by County, MA Residents: 2000-2016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10"/>
        <w:rPr>
          <w:rFonts w:ascii="Times New Roman"/>
          <w:sz w:val="20"/>
        </w:rPr>
      </w:pPr>
    </w:p>
    <w:p>
      <w:pPr>
        <w:spacing w:before="0"/>
        <w:ind w:left="220" w:right="1385" w:firstLine="0"/>
        <w:jc w:val="left"/>
        <w:rPr>
          <w:sz w:val="20"/>
        </w:rPr>
      </w:pPr>
      <w:r>
        <w:rPr>
          <w:b/>
          <w:sz w:val="20"/>
        </w:rPr>
        <w:t>Note To Readers: </w:t>
      </w:r>
      <w:r>
        <w:rPr>
          <w:sz w:val="20"/>
        </w:rPr>
        <w:t>This is the first quarterly report for 2017. Please note that throughout all sections of this report there has been a change in the category of deaths that are included. Death data that were previously reported as “Unintentional/Undetermined” has been updated to include deaths of </w:t>
      </w:r>
      <w:r>
        <w:rPr>
          <w:b/>
          <w:sz w:val="20"/>
        </w:rPr>
        <w:t>“All Intents”</w:t>
      </w:r>
      <w:r>
        <w:rPr>
          <w:sz w:val="20"/>
        </w:rPr>
        <w:t>, which</w:t>
      </w:r>
      <w:r>
        <w:rPr>
          <w:spacing w:val="-1"/>
          <w:sz w:val="20"/>
        </w:rPr>
        <w:t> </w:t>
      </w:r>
      <w:r>
        <w:rPr>
          <w:sz w:val="20"/>
        </w:rPr>
        <w:t>means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opioid-related</w:t>
      </w:r>
      <w:r>
        <w:rPr>
          <w:spacing w:val="-1"/>
          <w:sz w:val="20"/>
        </w:rPr>
        <w:t> </w:t>
      </w:r>
      <w:r>
        <w:rPr>
          <w:sz w:val="20"/>
        </w:rPr>
        <w:t>deaths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have</w:t>
      </w:r>
      <w:r>
        <w:rPr>
          <w:spacing w:val="-2"/>
          <w:sz w:val="20"/>
        </w:rPr>
        <w:t> </w:t>
      </w:r>
      <w:r>
        <w:rPr>
          <w:sz w:val="20"/>
        </w:rPr>
        <w:t>been</w:t>
      </w:r>
      <w:r>
        <w:rPr>
          <w:spacing w:val="-1"/>
          <w:sz w:val="20"/>
        </w:rPr>
        <w:t> </w:t>
      </w:r>
      <w:r>
        <w:rPr>
          <w:sz w:val="20"/>
        </w:rPr>
        <w:t>determined</w:t>
      </w:r>
      <w:r>
        <w:rPr>
          <w:spacing w:val="-1"/>
          <w:sz w:val="20"/>
        </w:rPr>
        <w:t> </w:t>
      </w:r>
      <w:r>
        <w:rPr>
          <w:sz w:val="20"/>
        </w:rPr>
        <w:t>by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Office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Chief</w:t>
      </w:r>
      <w:r>
        <w:rPr>
          <w:spacing w:val="-3"/>
          <w:sz w:val="20"/>
        </w:rPr>
        <w:t> </w:t>
      </w:r>
      <w:r>
        <w:rPr>
          <w:sz w:val="20"/>
        </w:rPr>
        <w:t>Medical</w:t>
      </w:r>
      <w:r>
        <w:rPr>
          <w:spacing w:val="-1"/>
          <w:sz w:val="20"/>
        </w:rPr>
        <w:t> </w:t>
      </w:r>
      <w:r>
        <w:rPr>
          <w:sz w:val="20"/>
        </w:rPr>
        <w:t>Examiner</w:t>
      </w:r>
      <w:r>
        <w:rPr>
          <w:spacing w:val="-1"/>
          <w:sz w:val="20"/>
        </w:rPr>
        <w:t> </w:t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the result</w:t>
      </w:r>
      <w:r>
        <w:rPr>
          <w:spacing w:val="-1"/>
          <w:sz w:val="20"/>
        </w:rPr>
        <w:t> </w:t>
      </w:r>
      <w:r>
        <w:rPr>
          <w:sz w:val="20"/>
        </w:rPr>
        <w:t>of suicide will</w:t>
      </w:r>
      <w:r>
        <w:rPr>
          <w:spacing w:val="-2"/>
          <w:sz w:val="20"/>
        </w:rPr>
        <w:t> </w:t>
      </w:r>
      <w:r>
        <w:rPr>
          <w:sz w:val="20"/>
        </w:rPr>
        <w:t>now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included</w:t>
      </w:r>
      <w:r>
        <w:rPr>
          <w:spacing w:val="-1"/>
          <w:sz w:val="20"/>
        </w:rPr>
        <w:t> </w:t>
      </w:r>
      <w:r>
        <w:rPr>
          <w:sz w:val="20"/>
        </w:rPr>
        <w:t>in the totals. This will not add significantly to the death totals, however it will allow for consistency in interpretation in the data that are presented.</w:t>
      </w:r>
    </w:p>
    <w:p>
      <w:pPr>
        <w:pStyle w:val="BodyText"/>
        <w:spacing w:before="36"/>
        <w:rPr>
          <w:sz w:val="20"/>
        </w:rPr>
      </w:pPr>
    </w:p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2"/>
        <w:gridCol w:w="603"/>
        <w:gridCol w:w="603"/>
        <w:gridCol w:w="608"/>
        <w:gridCol w:w="606"/>
        <w:gridCol w:w="605"/>
        <w:gridCol w:w="603"/>
        <w:gridCol w:w="598"/>
        <w:gridCol w:w="603"/>
        <w:gridCol w:w="598"/>
        <w:gridCol w:w="601"/>
        <w:gridCol w:w="596"/>
        <w:gridCol w:w="596"/>
        <w:gridCol w:w="601"/>
        <w:gridCol w:w="594"/>
        <w:gridCol w:w="764"/>
        <w:gridCol w:w="721"/>
        <w:gridCol w:w="717"/>
        <w:gridCol w:w="1084"/>
      </w:tblGrid>
      <w:tr>
        <w:trPr>
          <w:trHeight w:val="520" w:hRule="atLeast"/>
        </w:trPr>
        <w:tc>
          <w:tcPr>
            <w:tcW w:w="1472" w:type="dxa"/>
          </w:tcPr>
          <w:p>
            <w:pPr>
              <w:pStyle w:val="TableParagraph"/>
              <w:spacing w:before="150"/>
              <w:ind w:left="107" w:right="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County</w:t>
            </w:r>
          </w:p>
        </w:tc>
        <w:tc>
          <w:tcPr>
            <w:tcW w:w="603" w:type="dxa"/>
            <w:tcBorders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9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2000</w:t>
            </w:r>
          </w:p>
        </w:tc>
        <w:tc>
          <w:tcPr>
            <w:tcW w:w="603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10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2001</w:t>
            </w:r>
          </w:p>
        </w:tc>
        <w:tc>
          <w:tcPr>
            <w:tcW w:w="608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10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2002</w:t>
            </w:r>
          </w:p>
        </w:tc>
        <w:tc>
          <w:tcPr>
            <w:tcW w:w="606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10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2003</w:t>
            </w:r>
          </w:p>
        </w:tc>
        <w:tc>
          <w:tcPr>
            <w:tcW w:w="605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10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2004</w:t>
            </w:r>
          </w:p>
        </w:tc>
        <w:tc>
          <w:tcPr>
            <w:tcW w:w="603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10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2005</w:t>
            </w:r>
          </w:p>
        </w:tc>
        <w:tc>
          <w:tcPr>
            <w:tcW w:w="598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10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2006</w:t>
            </w:r>
          </w:p>
        </w:tc>
        <w:tc>
          <w:tcPr>
            <w:tcW w:w="603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10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2007</w:t>
            </w:r>
          </w:p>
        </w:tc>
        <w:tc>
          <w:tcPr>
            <w:tcW w:w="598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10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2008</w:t>
            </w:r>
          </w:p>
        </w:tc>
        <w:tc>
          <w:tcPr>
            <w:tcW w:w="601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10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2009</w:t>
            </w:r>
          </w:p>
        </w:tc>
        <w:tc>
          <w:tcPr>
            <w:tcW w:w="596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10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2010</w:t>
            </w:r>
          </w:p>
        </w:tc>
        <w:tc>
          <w:tcPr>
            <w:tcW w:w="596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10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2011</w:t>
            </w:r>
          </w:p>
        </w:tc>
        <w:tc>
          <w:tcPr>
            <w:tcW w:w="601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1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2012</w:t>
            </w:r>
          </w:p>
        </w:tc>
        <w:tc>
          <w:tcPr>
            <w:tcW w:w="594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10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2013</w:t>
            </w:r>
          </w:p>
        </w:tc>
        <w:tc>
          <w:tcPr>
            <w:tcW w:w="764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left="189" w:right="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2014</w:t>
            </w:r>
          </w:p>
        </w:tc>
        <w:tc>
          <w:tcPr>
            <w:tcW w:w="721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2015</w:t>
            </w:r>
            <w:r>
              <w:rPr>
                <w:b/>
                <w:spacing w:val="-2"/>
                <w:sz w:val="18"/>
                <w:vertAlign w:val="superscript"/>
              </w:rPr>
              <w:t>3</w:t>
            </w:r>
          </w:p>
        </w:tc>
        <w:tc>
          <w:tcPr>
            <w:tcW w:w="717" w:type="dxa"/>
            <w:tcBorders>
              <w:left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150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2016</w:t>
            </w:r>
            <w:r>
              <w:rPr>
                <w:b/>
                <w:spacing w:val="-2"/>
                <w:sz w:val="18"/>
                <w:vertAlign w:val="superscript"/>
              </w:rPr>
              <w:t>3</w:t>
            </w:r>
          </w:p>
        </w:tc>
        <w:tc>
          <w:tcPr>
            <w:tcW w:w="1084" w:type="dxa"/>
            <w:tcBorders>
              <w:lef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40"/>
              <w:ind w:left="138" w:right="140" w:firstLine="201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Total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2000-</w:t>
            </w:r>
            <w:r>
              <w:rPr>
                <w:b/>
                <w:spacing w:val="-2"/>
                <w:sz w:val="18"/>
              </w:rPr>
              <w:t>2016</w:t>
            </w:r>
          </w:p>
        </w:tc>
      </w:tr>
      <w:tr>
        <w:trPr>
          <w:trHeight w:val="260" w:hRule="atLeast"/>
        </w:trPr>
        <w:tc>
          <w:tcPr>
            <w:tcW w:w="1472" w:type="dxa"/>
            <w:tcBorders>
              <w:bottom w:val="single" w:sz="4" w:space="0" w:color="C0C0C0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Barnstable</w:t>
            </w:r>
          </w:p>
        </w:tc>
        <w:tc>
          <w:tcPr>
            <w:tcW w:w="603" w:type="dxa"/>
            <w:tcBorders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603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608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606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605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603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598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603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1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98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1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601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596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4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596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3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601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594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764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6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721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9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717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100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1084" w:type="dxa"/>
            <w:tcBorders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pacing w:val="-5"/>
                <w:sz w:val="18"/>
              </w:rPr>
              <w:t>512</w:t>
            </w:r>
          </w:p>
        </w:tc>
      </w:tr>
      <w:tr>
        <w:trPr>
          <w:trHeight w:val="258" w:hRule="atLeast"/>
        </w:trPr>
        <w:tc>
          <w:tcPr>
            <w:tcW w:w="1472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before="18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Berkshire</w:t>
            </w:r>
          </w:p>
        </w:tc>
        <w:tc>
          <w:tcPr>
            <w:tcW w:w="603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7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0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0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1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1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3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7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7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76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6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72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9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71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18"/>
              <w:ind w:right="100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08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18"/>
              <w:ind w:right="98"/>
              <w:rPr>
                <w:sz w:val="18"/>
              </w:rPr>
            </w:pPr>
            <w:r>
              <w:rPr>
                <w:spacing w:val="-5"/>
                <w:sz w:val="18"/>
              </w:rPr>
              <w:t>193</w:t>
            </w:r>
          </w:p>
        </w:tc>
      </w:tr>
      <w:tr>
        <w:trPr>
          <w:trHeight w:val="258" w:hRule="atLeast"/>
        </w:trPr>
        <w:tc>
          <w:tcPr>
            <w:tcW w:w="1472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before="18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Bristol</w:t>
            </w:r>
          </w:p>
        </w:tc>
        <w:tc>
          <w:tcPr>
            <w:tcW w:w="603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60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84</w:t>
            </w:r>
          </w:p>
        </w:tc>
        <w:tc>
          <w:tcPr>
            <w:tcW w:w="60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1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1"/>
              <w:rPr>
                <w:sz w:val="18"/>
              </w:rPr>
            </w:pPr>
            <w:r>
              <w:rPr>
                <w:spacing w:val="-5"/>
                <w:sz w:val="18"/>
              </w:rPr>
              <w:t>84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4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3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7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7"/>
              <w:rPr>
                <w:sz w:val="18"/>
              </w:rPr>
            </w:pPr>
            <w:r>
              <w:rPr>
                <w:spacing w:val="-5"/>
                <w:sz w:val="18"/>
              </w:rPr>
              <w:t>116</w:t>
            </w:r>
          </w:p>
        </w:tc>
        <w:tc>
          <w:tcPr>
            <w:tcW w:w="76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6"/>
              <w:rPr>
                <w:sz w:val="18"/>
              </w:rPr>
            </w:pPr>
            <w:r>
              <w:rPr>
                <w:spacing w:val="-5"/>
                <w:sz w:val="18"/>
              </w:rPr>
              <w:t>144</w:t>
            </w:r>
          </w:p>
        </w:tc>
        <w:tc>
          <w:tcPr>
            <w:tcW w:w="72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9"/>
              <w:rPr>
                <w:sz w:val="18"/>
              </w:rPr>
            </w:pPr>
            <w:r>
              <w:rPr>
                <w:spacing w:val="-5"/>
                <w:sz w:val="18"/>
              </w:rPr>
              <w:t>172</w:t>
            </w:r>
          </w:p>
        </w:tc>
        <w:tc>
          <w:tcPr>
            <w:tcW w:w="71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18"/>
              <w:ind w:right="100"/>
              <w:rPr>
                <w:sz w:val="18"/>
              </w:rPr>
            </w:pPr>
            <w:r>
              <w:rPr>
                <w:spacing w:val="-5"/>
                <w:sz w:val="18"/>
              </w:rPr>
              <w:t>233</w:t>
            </w:r>
          </w:p>
        </w:tc>
        <w:tc>
          <w:tcPr>
            <w:tcW w:w="108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18"/>
              <w:ind w:right="98"/>
              <w:rPr>
                <w:sz w:val="18"/>
              </w:rPr>
            </w:pPr>
            <w:r>
              <w:rPr>
                <w:spacing w:val="-4"/>
                <w:sz w:val="18"/>
              </w:rPr>
              <w:t>1620</w:t>
            </w:r>
          </w:p>
        </w:tc>
      </w:tr>
      <w:tr>
        <w:trPr>
          <w:trHeight w:val="258" w:hRule="atLeast"/>
        </w:trPr>
        <w:tc>
          <w:tcPr>
            <w:tcW w:w="1472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line="218" w:lineRule="exact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Dukes</w:t>
            </w:r>
          </w:p>
        </w:tc>
        <w:tc>
          <w:tcPr>
            <w:tcW w:w="603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7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0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1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7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6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6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9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71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139" w:lineRule="auto" w:before="19"/>
              <w:ind w:right="98"/>
              <w:rPr>
                <w:sz w:val="12"/>
              </w:rPr>
            </w:pPr>
            <w:r>
              <w:rPr>
                <w:spacing w:val="-5"/>
                <w:position w:val="-8"/>
                <w:sz w:val="18"/>
              </w:rPr>
              <w:t>3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8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ind w:right="98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</w:tr>
      <w:tr>
        <w:trPr>
          <w:trHeight w:val="258" w:hRule="atLeast"/>
        </w:trPr>
        <w:tc>
          <w:tcPr>
            <w:tcW w:w="1472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line="218" w:lineRule="exact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Essex</w:t>
            </w:r>
          </w:p>
        </w:tc>
        <w:tc>
          <w:tcPr>
            <w:tcW w:w="603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60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60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87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1"/>
              <w:rPr>
                <w:sz w:val="18"/>
              </w:rPr>
            </w:pPr>
            <w:r>
              <w:rPr>
                <w:spacing w:val="-5"/>
                <w:sz w:val="18"/>
              </w:rPr>
              <w:t>89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1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4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3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7"/>
              <w:rPr>
                <w:sz w:val="18"/>
              </w:rPr>
            </w:pPr>
            <w:r>
              <w:rPr>
                <w:spacing w:val="-5"/>
                <w:sz w:val="18"/>
              </w:rPr>
              <w:t>94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7"/>
              <w:rPr>
                <w:sz w:val="18"/>
              </w:rPr>
            </w:pPr>
            <w:r>
              <w:rPr>
                <w:spacing w:val="-5"/>
                <w:sz w:val="18"/>
              </w:rPr>
              <w:t>119</w:t>
            </w:r>
          </w:p>
        </w:tc>
        <w:tc>
          <w:tcPr>
            <w:tcW w:w="76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6"/>
              <w:rPr>
                <w:sz w:val="18"/>
              </w:rPr>
            </w:pPr>
            <w:r>
              <w:rPr>
                <w:spacing w:val="-5"/>
                <w:sz w:val="18"/>
              </w:rPr>
              <w:t>208</w:t>
            </w:r>
          </w:p>
        </w:tc>
        <w:tc>
          <w:tcPr>
            <w:tcW w:w="72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9"/>
              <w:rPr>
                <w:sz w:val="18"/>
              </w:rPr>
            </w:pPr>
            <w:r>
              <w:rPr>
                <w:spacing w:val="-5"/>
                <w:sz w:val="18"/>
              </w:rPr>
              <w:t>240</w:t>
            </w:r>
          </w:p>
        </w:tc>
        <w:tc>
          <w:tcPr>
            <w:tcW w:w="71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ind w:right="100"/>
              <w:rPr>
                <w:sz w:val="18"/>
              </w:rPr>
            </w:pPr>
            <w:r>
              <w:rPr>
                <w:spacing w:val="-5"/>
                <w:sz w:val="18"/>
              </w:rPr>
              <w:t>284</w:t>
            </w:r>
          </w:p>
        </w:tc>
        <w:tc>
          <w:tcPr>
            <w:tcW w:w="108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ind w:right="98"/>
              <w:rPr>
                <w:sz w:val="18"/>
              </w:rPr>
            </w:pPr>
            <w:r>
              <w:rPr>
                <w:spacing w:val="-4"/>
                <w:sz w:val="18"/>
              </w:rPr>
              <w:t>1768</w:t>
            </w:r>
          </w:p>
        </w:tc>
      </w:tr>
      <w:tr>
        <w:trPr>
          <w:trHeight w:val="260" w:hRule="atLeast"/>
        </w:trPr>
        <w:tc>
          <w:tcPr>
            <w:tcW w:w="1472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Franklin</w:t>
            </w:r>
          </w:p>
        </w:tc>
        <w:tc>
          <w:tcPr>
            <w:tcW w:w="603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0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1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1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3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6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6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2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9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71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100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08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</w:tr>
      <w:tr>
        <w:trPr>
          <w:trHeight w:val="258" w:hRule="atLeast"/>
        </w:trPr>
        <w:tc>
          <w:tcPr>
            <w:tcW w:w="1472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before="18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Hampden</w:t>
            </w:r>
          </w:p>
        </w:tc>
        <w:tc>
          <w:tcPr>
            <w:tcW w:w="603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0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60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1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1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4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3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7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7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  <w:tc>
          <w:tcPr>
            <w:tcW w:w="76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6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72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9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71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18"/>
              <w:ind w:right="100"/>
              <w:rPr>
                <w:sz w:val="18"/>
              </w:rPr>
            </w:pPr>
            <w:r>
              <w:rPr>
                <w:spacing w:val="-5"/>
                <w:sz w:val="18"/>
              </w:rPr>
              <w:t>128</w:t>
            </w:r>
          </w:p>
        </w:tc>
        <w:tc>
          <w:tcPr>
            <w:tcW w:w="108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18"/>
              <w:ind w:right="98"/>
              <w:rPr>
                <w:sz w:val="18"/>
              </w:rPr>
            </w:pPr>
            <w:r>
              <w:rPr>
                <w:spacing w:val="-5"/>
                <w:sz w:val="18"/>
              </w:rPr>
              <w:t>918</w:t>
            </w:r>
          </w:p>
        </w:tc>
      </w:tr>
      <w:tr>
        <w:trPr>
          <w:trHeight w:val="258" w:hRule="atLeast"/>
        </w:trPr>
        <w:tc>
          <w:tcPr>
            <w:tcW w:w="1472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line="219" w:lineRule="exact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Hampshire</w:t>
            </w:r>
          </w:p>
        </w:tc>
        <w:tc>
          <w:tcPr>
            <w:tcW w:w="603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9" w:lineRule="exact"/>
              <w:ind w:right="8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9" w:lineRule="exact"/>
              <w:ind w:right="8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9" w:lineRule="exact"/>
              <w:ind w:right="88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0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60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9" w:lineRule="exact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9" w:lineRule="exact"/>
              <w:ind w:right="90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9" w:lineRule="exact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9" w:lineRule="exact"/>
              <w:ind w:right="91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9" w:lineRule="exact"/>
              <w:ind w:right="9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9" w:lineRule="exact"/>
              <w:ind w:right="94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9" w:lineRule="exact"/>
              <w:ind w:right="93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9" w:lineRule="exact"/>
              <w:ind w:right="97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9" w:lineRule="exact"/>
              <w:ind w:right="97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76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9" w:lineRule="exact"/>
              <w:ind w:right="96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72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9" w:lineRule="exact"/>
              <w:ind w:right="99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71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9" w:lineRule="exact"/>
              <w:ind w:right="100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08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9" w:lineRule="exact"/>
              <w:ind w:right="98"/>
              <w:rPr>
                <w:sz w:val="18"/>
              </w:rPr>
            </w:pPr>
            <w:r>
              <w:rPr>
                <w:spacing w:val="-5"/>
                <w:sz w:val="18"/>
              </w:rPr>
              <w:t>222</w:t>
            </w:r>
          </w:p>
        </w:tc>
      </w:tr>
      <w:tr>
        <w:trPr>
          <w:trHeight w:val="258" w:hRule="atLeast"/>
        </w:trPr>
        <w:tc>
          <w:tcPr>
            <w:tcW w:w="1472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line="218" w:lineRule="exact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Middlesex</w:t>
            </w:r>
          </w:p>
        </w:tc>
        <w:tc>
          <w:tcPr>
            <w:tcW w:w="603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86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92</w:t>
            </w:r>
          </w:p>
        </w:tc>
        <w:tc>
          <w:tcPr>
            <w:tcW w:w="60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115</w:t>
            </w:r>
          </w:p>
        </w:tc>
        <w:tc>
          <w:tcPr>
            <w:tcW w:w="60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105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122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118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1"/>
              <w:rPr>
                <w:sz w:val="18"/>
              </w:rPr>
            </w:pP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1"/>
              <w:rPr>
                <w:sz w:val="18"/>
              </w:rPr>
            </w:pPr>
            <w:r>
              <w:rPr>
                <w:spacing w:val="-5"/>
                <w:sz w:val="18"/>
              </w:rPr>
              <w:t>112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124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4"/>
              <w:rPr>
                <w:sz w:val="18"/>
              </w:rPr>
            </w:pPr>
            <w:r>
              <w:rPr>
                <w:spacing w:val="-5"/>
                <w:sz w:val="18"/>
              </w:rPr>
              <w:t>94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3"/>
              <w:rPr>
                <w:sz w:val="18"/>
              </w:rPr>
            </w:pPr>
            <w:r>
              <w:rPr>
                <w:spacing w:val="-5"/>
                <w:sz w:val="18"/>
              </w:rPr>
              <w:t>130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7"/>
              <w:rPr>
                <w:sz w:val="18"/>
              </w:rPr>
            </w:pPr>
            <w:r>
              <w:rPr>
                <w:spacing w:val="-5"/>
                <w:sz w:val="18"/>
              </w:rPr>
              <w:t>122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7"/>
              <w:rPr>
                <w:sz w:val="18"/>
              </w:rPr>
            </w:pPr>
            <w:r>
              <w:rPr>
                <w:spacing w:val="-5"/>
                <w:sz w:val="18"/>
              </w:rPr>
              <w:t>155</w:t>
            </w:r>
          </w:p>
        </w:tc>
        <w:tc>
          <w:tcPr>
            <w:tcW w:w="76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6"/>
              <w:rPr>
                <w:sz w:val="18"/>
              </w:rPr>
            </w:pPr>
            <w:r>
              <w:rPr>
                <w:spacing w:val="-5"/>
                <w:sz w:val="18"/>
              </w:rPr>
              <w:t>273</w:t>
            </w:r>
          </w:p>
        </w:tc>
        <w:tc>
          <w:tcPr>
            <w:tcW w:w="72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9"/>
              <w:rPr>
                <w:sz w:val="18"/>
              </w:rPr>
            </w:pPr>
            <w:r>
              <w:rPr>
                <w:spacing w:val="-5"/>
                <w:sz w:val="18"/>
              </w:rPr>
              <w:t>354</w:t>
            </w:r>
          </w:p>
        </w:tc>
        <w:tc>
          <w:tcPr>
            <w:tcW w:w="71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ind w:right="100"/>
              <w:rPr>
                <w:sz w:val="18"/>
              </w:rPr>
            </w:pPr>
            <w:r>
              <w:rPr>
                <w:spacing w:val="-5"/>
                <w:sz w:val="18"/>
              </w:rPr>
              <w:t>392</w:t>
            </w:r>
          </w:p>
        </w:tc>
        <w:tc>
          <w:tcPr>
            <w:tcW w:w="108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ind w:right="98"/>
              <w:rPr>
                <w:sz w:val="18"/>
              </w:rPr>
            </w:pPr>
            <w:r>
              <w:rPr>
                <w:spacing w:val="-4"/>
                <w:sz w:val="18"/>
              </w:rPr>
              <w:t>2568</w:t>
            </w:r>
          </w:p>
        </w:tc>
      </w:tr>
      <w:tr>
        <w:trPr>
          <w:trHeight w:val="260" w:hRule="atLeast"/>
        </w:trPr>
        <w:tc>
          <w:tcPr>
            <w:tcW w:w="1472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Nantucket</w:t>
            </w:r>
          </w:p>
        </w:tc>
        <w:tc>
          <w:tcPr>
            <w:tcW w:w="603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0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0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1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6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139" w:lineRule="auto" w:before="19"/>
              <w:ind w:right="98"/>
              <w:rPr>
                <w:sz w:val="12"/>
              </w:rPr>
            </w:pPr>
            <w:r>
              <w:rPr>
                <w:spacing w:val="-5"/>
                <w:position w:val="-8"/>
                <w:sz w:val="18"/>
              </w:rPr>
              <w:t>1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71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139" w:lineRule="auto" w:before="19"/>
              <w:ind w:right="98"/>
              <w:rPr>
                <w:sz w:val="12"/>
              </w:rPr>
            </w:pPr>
            <w:r>
              <w:rPr>
                <w:spacing w:val="-5"/>
                <w:position w:val="-8"/>
                <w:sz w:val="18"/>
              </w:rPr>
              <w:t>2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8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</w:tr>
      <w:tr>
        <w:trPr>
          <w:trHeight w:val="258" w:hRule="atLeast"/>
        </w:trPr>
        <w:tc>
          <w:tcPr>
            <w:tcW w:w="1472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before="18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Norfolk</w:t>
            </w:r>
          </w:p>
        </w:tc>
        <w:tc>
          <w:tcPr>
            <w:tcW w:w="603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60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60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1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1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4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3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7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7"/>
              <w:rPr>
                <w:sz w:val="18"/>
              </w:rPr>
            </w:pPr>
            <w:r>
              <w:rPr>
                <w:spacing w:val="-5"/>
                <w:sz w:val="18"/>
              </w:rPr>
              <w:t>83</w:t>
            </w:r>
          </w:p>
        </w:tc>
        <w:tc>
          <w:tcPr>
            <w:tcW w:w="76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6"/>
              <w:rPr>
                <w:sz w:val="18"/>
              </w:rPr>
            </w:pPr>
            <w:r>
              <w:rPr>
                <w:spacing w:val="-5"/>
                <w:sz w:val="18"/>
              </w:rPr>
              <w:t>126</w:t>
            </w:r>
          </w:p>
        </w:tc>
        <w:tc>
          <w:tcPr>
            <w:tcW w:w="72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9"/>
              <w:rPr>
                <w:sz w:val="18"/>
              </w:rPr>
            </w:pPr>
            <w:r>
              <w:rPr>
                <w:spacing w:val="-5"/>
                <w:sz w:val="18"/>
              </w:rPr>
              <w:t>166</w:t>
            </w:r>
          </w:p>
        </w:tc>
        <w:tc>
          <w:tcPr>
            <w:tcW w:w="71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18"/>
              <w:ind w:right="100"/>
              <w:rPr>
                <w:sz w:val="18"/>
              </w:rPr>
            </w:pPr>
            <w:r>
              <w:rPr>
                <w:spacing w:val="-5"/>
                <w:sz w:val="18"/>
              </w:rPr>
              <w:t>202</w:t>
            </w:r>
          </w:p>
        </w:tc>
        <w:tc>
          <w:tcPr>
            <w:tcW w:w="108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18"/>
              <w:ind w:right="98"/>
              <w:rPr>
                <w:sz w:val="18"/>
              </w:rPr>
            </w:pPr>
            <w:r>
              <w:rPr>
                <w:spacing w:val="-4"/>
                <w:sz w:val="18"/>
              </w:rPr>
              <w:t>1264</w:t>
            </w:r>
          </w:p>
        </w:tc>
      </w:tr>
      <w:tr>
        <w:trPr>
          <w:trHeight w:val="258" w:hRule="atLeast"/>
        </w:trPr>
        <w:tc>
          <w:tcPr>
            <w:tcW w:w="1472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line="218" w:lineRule="exact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Plymouth</w:t>
            </w:r>
          </w:p>
        </w:tc>
        <w:tc>
          <w:tcPr>
            <w:tcW w:w="603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60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60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1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1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4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3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7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7"/>
              <w:rPr>
                <w:sz w:val="18"/>
              </w:rPr>
            </w:pPr>
            <w:r>
              <w:rPr>
                <w:spacing w:val="-5"/>
                <w:sz w:val="18"/>
              </w:rPr>
              <w:t>86</w:t>
            </w:r>
          </w:p>
        </w:tc>
        <w:tc>
          <w:tcPr>
            <w:tcW w:w="76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6"/>
              <w:rPr>
                <w:sz w:val="18"/>
              </w:rPr>
            </w:pPr>
            <w:r>
              <w:rPr>
                <w:spacing w:val="-5"/>
                <w:sz w:val="18"/>
              </w:rPr>
              <w:t>112</w:t>
            </w:r>
          </w:p>
        </w:tc>
        <w:tc>
          <w:tcPr>
            <w:tcW w:w="72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9"/>
              <w:rPr>
                <w:sz w:val="18"/>
              </w:rPr>
            </w:pPr>
            <w:r>
              <w:rPr>
                <w:spacing w:val="-5"/>
                <w:sz w:val="18"/>
              </w:rPr>
              <w:t>178</w:t>
            </w:r>
          </w:p>
        </w:tc>
        <w:tc>
          <w:tcPr>
            <w:tcW w:w="71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ind w:right="100"/>
              <w:rPr>
                <w:sz w:val="18"/>
              </w:rPr>
            </w:pPr>
            <w:r>
              <w:rPr>
                <w:spacing w:val="-5"/>
                <w:sz w:val="18"/>
              </w:rPr>
              <w:t>185</w:t>
            </w:r>
          </w:p>
        </w:tc>
        <w:tc>
          <w:tcPr>
            <w:tcW w:w="108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ind w:right="98"/>
              <w:rPr>
                <w:sz w:val="18"/>
              </w:rPr>
            </w:pPr>
            <w:r>
              <w:rPr>
                <w:spacing w:val="-4"/>
                <w:sz w:val="18"/>
              </w:rPr>
              <w:t>1118</w:t>
            </w:r>
          </w:p>
        </w:tc>
      </w:tr>
      <w:tr>
        <w:trPr>
          <w:trHeight w:val="258" w:hRule="atLeast"/>
        </w:trPr>
        <w:tc>
          <w:tcPr>
            <w:tcW w:w="1472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line="218" w:lineRule="exact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Suffolk</w:t>
            </w:r>
          </w:p>
        </w:tc>
        <w:tc>
          <w:tcPr>
            <w:tcW w:w="603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87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98</w:t>
            </w:r>
          </w:p>
        </w:tc>
        <w:tc>
          <w:tcPr>
            <w:tcW w:w="60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60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83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1"/>
              <w:rPr>
                <w:sz w:val="18"/>
              </w:rPr>
            </w:pPr>
            <w:r>
              <w:rPr>
                <w:spacing w:val="-5"/>
                <w:sz w:val="18"/>
              </w:rPr>
              <w:t>103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1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4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3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7"/>
              <w:rPr>
                <w:sz w:val="18"/>
              </w:rPr>
            </w:pPr>
            <w:r>
              <w:rPr>
                <w:spacing w:val="-5"/>
                <w:sz w:val="18"/>
              </w:rPr>
              <w:t>91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7"/>
              <w:rPr>
                <w:sz w:val="18"/>
              </w:rPr>
            </w:pPr>
            <w:r>
              <w:rPr>
                <w:spacing w:val="-5"/>
                <w:sz w:val="18"/>
              </w:rPr>
              <w:t>111</w:t>
            </w:r>
          </w:p>
        </w:tc>
        <w:tc>
          <w:tcPr>
            <w:tcW w:w="76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6"/>
              <w:rPr>
                <w:sz w:val="18"/>
              </w:rPr>
            </w:pPr>
            <w:r>
              <w:rPr>
                <w:spacing w:val="-5"/>
                <w:sz w:val="18"/>
              </w:rPr>
              <w:t>145</w:t>
            </w:r>
          </w:p>
        </w:tc>
        <w:tc>
          <w:tcPr>
            <w:tcW w:w="72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9"/>
              <w:rPr>
                <w:sz w:val="18"/>
              </w:rPr>
            </w:pPr>
            <w:r>
              <w:rPr>
                <w:spacing w:val="-5"/>
                <w:sz w:val="18"/>
              </w:rPr>
              <w:t>210</w:t>
            </w:r>
          </w:p>
        </w:tc>
        <w:tc>
          <w:tcPr>
            <w:tcW w:w="71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ind w:right="100"/>
              <w:rPr>
                <w:sz w:val="18"/>
              </w:rPr>
            </w:pPr>
            <w:r>
              <w:rPr>
                <w:spacing w:val="-5"/>
                <w:sz w:val="18"/>
              </w:rPr>
              <w:t>253</w:t>
            </w:r>
          </w:p>
        </w:tc>
        <w:tc>
          <w:tcPr>
            <w:tcW w:w="108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ind w:right="98"/>
              <w:rPr>
                <w:sz w:val="18"/>
              </w:rPr>
            </w:pPr>
            <w:r>
              <w:rPr>
                <w:spacing w:val="-4"/>
                <w:sz w:val="18"/>
              </w:rPr>
              <w:t>1827</w:t>
            </w:r>
          </w:p>
        </w:tc>
      </w:tr>
      <w:tr>
        <w:trPr>
          <w:trHeight w:val="260" w:hRule="atLeast"/>
        </w:trPr>
        <w:tc>
          <w:tcPr>
            <w:tcW w:w="1472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Worcester</w:t>
            </w:r>
          </w:p>
        </w:tc>
        <w:tc>
          <w:tcPr>
            <w:tcW w:w="603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0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60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1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1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4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3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pacing w:val="-5"/>
                <w:sz w:val="18"/>
              </w:rPr>
              <w:t>91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pacing w:val="-5"/>
                <w:sz w:val="18"/>
              </w:rPr>
              <w:t>115</w:t>
            </w:r>
          </w:p>
        </w:tc>
        <w:tc>
          <w:tcPr>
            <w:tcW w:w="76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6"/>
              <w:rPr>
                <w:sz w:val="18"/>
              </w:rPr>
            </w:pPr>
            <w:r>
              <w:rPr>
                <w:spacing w:val="-5"/>
                <w:sz w:val="18"/>
              </w:rPr>
              <w:t>162</w:t>
            </w:r>
          </w:p>
        </w:tc>
        <w:tc>
          <w:tcPr>
            <w:tcW w:w="72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9"/>
              <w:rPr>
                <w:sz w:val="18"/>
              </w:rPr>
            </w:pPr>
            <w:r>
              <w:rPr>
                <w:spacing w:val="-5"/>
                <w:sz w:val="18"/>
              </w:rPr>
              <w:t>223</w:t>
            </w:r>
          </w:p>
        </w:tc>
        <w:tc>
          <w:tcPr>
            <w:tcW w:w="71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100"/>
              <w:rPr>
                <w:sz w:val="18"/>
              </w:rPr>
            </w:pPr>
            <w:r>
              <w:rPr>
                <w:spacing w:val="-5"/>
                <w:sz w:val="18"/>
              </w:rPr>
              <w:t>226</w:t>
            </w:r>
          </w:p>
        </w:tc>
        <w:tc>
          <w:tcPr>
            <w:tcW w:w="108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pacing w:val="-4"/>
                <w:sz w:val="18"/>
              </w:rPr>
              <w:t>1655</w:t>
            </w:r>
          </w:p>
        </w:tc>
      </w:tr>
      <w:tr>
        <w:trPr>
          <w:trHeight w:val="258" w:hRule="atLeast"/>
        </w:trPr>
        <w:tc>
          <w:tcPr>
            <w:tcW w:w="1472" w:type="dxa"/>
            <w:tcBorders>
              <w:top w:val="single" w:sz="4" w:space="0" w:color="C0C0C0"/>
            </w:tcBorders>
          </w:tcPr>
          <w:p>
            <w:pPr>
              <w:pStyle w:val="TableParagraph"/>
              <w:spacing w:before="18"/>
              <w:ind w:left="107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DEATHS</w:t>
            </w:r>
          </w:p>
        </w:tc>
        <w:tc>
          <w:tcPr>
            <w:tcW w:w="603" w:type="dxa"/>
            <w:tcBorders>
              <w:top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379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506</w:t>
            </w:r>
            <w:r>
              <w:rPr>
                <w:b/>
                <w:spacing w:val="-4"/>
                <w:sz w:val="18"/>
                <w:vertAlign w:val="superscript"/>
              </w:rPr>
              <w:t>4</w:t>
            </w:r>
          </w:p>
        </w:tc>
        <w:tc>
          <w:tcPr>
            <w:tcW w:w="608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526</w:t>
            </w:r>
          </w:p>
        </w:tc>
        <w:tc>
          <w:tcPr>
            <w:tcW w:w="606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614</w:t>
            </w:r>
          </w:p>
        </w:tc>
        <w:tc>
          <w:tcPr>
            <w:tcW w:w="605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514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575</w:t>
            </w:r>
            <w:r>
              <w:rPr>
                <w:b/>
                <w:spacing w:val="-4"/>
                <w:sz w:val="18"/>
                <w:vertAlign w:val="superscript"/>
              </w:rPr>
              <w:t>4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660</w:t>
            </w:r>
            <w:r>
              <w:rPr>
                <w:b/>
                <w:spacing w:val="-4"/>
                <w:sz w:val="18"/>
                <w:vertAlign w:val="superscript"/>
              </w:rPr>
              <w:t>4</w:t>
            </w:r>
          </w:p>
        </w:tc>
        <w:tc>
          <w:tcPr>
            <w:tcW w:w="603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642</w:t>
            </w:r>
          </w:p>
        </w:tc>
        <w:tc>
          <w:tcPr>
            <w:tcW w:w="598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622</w:t>
            </w:r>
            <w:r>
              <w:rPr>
                <w:b/>
                <w:spacing w:val="-4"/>
                <w:sz w:val="18"/>
                <w:vertAlign w:val="superscript"/>
              </w:rPr>
              <w:t>4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638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560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656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742</w:t>
            </w:r>
            <w:r>
              <w:rPr>
                <w:b/>
                <w:spacing w:val="-4"/>
                <w:sz w:val="18"/>
                <w:vertAlign w:val="superscript"/>
              </w:rPr>
              <w:t>4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961</w:t>
            </w:r>
          </w:p>
        </w:tc>
        <w:tc>
          <w:tcPr>
            <w:tcW w:w="764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left="172" w:right="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1,361</w:t>
            </w:r>
            <w:r>
              <w:rPr>
                <w:b/>
                <w:spacing w:val="-2"/>
                <w:sz w:val="18"/>
                <w:vertAlign w:val="superscript"/>
              </w:rPr>
              <w:t>4</w:t>
            </w:r>
          </w:p>
        </w:tc>
        <w:tc>
          <w:tcPr>
            <w:tcW w:w="721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1,793</w:t>
            </w:r>
          </w:p>
        </w:tc>
        <w:tc>
          <w:tcPr>
            <w:tcW w:w="717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18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2,069</w:t>
            </w:r>
          </w:p>
        </w:tc>
        <w:tc>
          <w:tcPr>
            <w:tcW w:w="1084" w:type="dxa"/>
            <w:tcBorders>
              <w:top w:val="single" w:sz="8" w:space="0" w:color="D9D9D9"/>
              <w:lef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18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13,818</w:t>
            </w:r>
          </w:p>
        </w:tc>
      </w:tr>
    </w:tbl>
    <w:p>
      <w:pPr>
        <w:pStyle w:val="BodyText"/>
        <w:spacing w:line="195" w:lineRule="exact" w:before="203"/>
        <w:ind w:left="220"/>
      </w:pPr>
      <w:r>
        <w:rPr>
          <w:vertAlign w:val="superscript"/>
        </w:rPr>
        <w:t>1</w:t>
      </w:r>
      <w:r>
        <w:rPr>
          <w:spacing w:val="-13"/>
          <w:vertAlign w:val="baseline"/>
        </w:rPr>
        <w:t> </w:t>
      </w:r>
      <w:r>
        <w:rPr>
          <w:vertAlign w:val="baseline"/>
        </w:rPr>
        <w:t>Opioids</w:t>
      </w:r>
      <w:r>
        <w:rPr>
          <w:spacing w:val="-9"/>
          <w:vertAlign w:val="baseline"/>
        </w:rPr>
        <w:t> </w:t>
      </w:r>
      <w:r>
        <w:rPr>
          <w:vertAlign w:val="baseline"/>
        </w:rPr>
        <w:t>include</w:t>
      </w:r>
      <w:r>
        <w:rPr>
          <w:spacing w:val="-6"/>
          <w:vertAlign w:val="baseline"/>
        </w:rPr>
        <w:t> </w:t>
      </w:r>
      <w:r>
        <w:rPr>
          <w:vertAlign w:val="baseline"/>
        </w:rPr>
        <w:t>heroin,</w:t>
      </w:r>
      <w:r>
        <w:rPr>
          <w:spacing w:val="-5"/>
          <w:vertAlign w:val="baseline"/>
        </w:rPr>
        <w:t> </w:t>
      </w:r>
      <w:r>
        <w:rPr>
          <w:vertAlign w:val="baseline"/>
        </w:rPr>
        <w:t>opioid-based</w:t>
      </w:r>
      <w:r>
        <w:rPr>
          <w:spacing w:val="-5"/>
          <w:vertAlign w:val="baseline"/>
        </w:rPr>
        <w:t> </w:t>
      </w:r>
      <w:r>
        <w:rPr>
          <w:vertAlign w:val="baseline"/>
        </w:rPr>
        <w:t>prescription</w:t>
      </w:r>
      <w:r>
        <w:rPr>
          <w:spacing w:val="-6"/>
          <w:vertAlign w:val="baseline"/>
        </w:rPr>
        <w:t> </w:t>
      </w:r>
      <w:r>
        <w:rPr>
          <w:vertAlign w:val="baseline"/>
        </w:rPr>
        <w:t>painkillers,</w:t>
      </w:r>
      <w:r>
        <w:rPr>
          <w:spacing w:val="-5"/>
          <w:vertAlign w:val="baseline"/>
        </w:rPr>
        <w:t> </w:t>
      </w:r>
      <w:r>
        <w:rPr>
          <w:vertAlign w:val="baseline"/>
        </w:rPr>
        <w:t>and</w:t>
      </w:r>
      <w:r>
        <w:rPr>
          <w:spacing w:val="-6"/>
          <w:vertAlign w:val="baseline"/>
        </w:rPr>
        <w:t> </w:t>
      </w:r>
      <w:r>
        <w:rPr>
          <w:vertAlign w:val="baseline"/>
        </w:rPr>
        <w:t>other</w:t>
      </w:r>
      <w:r>
        <w:rPr>
          <w:spacing w:val="-5"/>
          <w:vertAlign w:val="baseline"/>
        </w:rPr>
        <w:t> </w:t>
      </w:r>
      <w:r>
        <w:rPr>
          <w:vertAlign w:val="baseline"/>
        </w:rPr>
        <w:t>unspecified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opioids.</w:t>
      </w:r>
    </w:p>
    <w:p>
      <w:pPr>
        <w:pStyle w:val="BodyText"/>
        <w:ind w:left="220" w:right="1385"/>
      </w:pPr>
      <w:r>
        <w:rPr>
          <w:vertAlign w:val="superscript"/>
        </w:rPr>
        <w:t>2</w:t>
      </w:r>
      <w:r>
        <w:rPr>
          <w:vertAlign w:val="baseline"/>
        </w:rPr>
        <w:t> Please note that data for 2000-2014 have been updated following a review of cases that did not receive an official cause of death at the time the file was closed. Data for 2015-2016 death are</w:t>
      </w:r>
      <w:r>
        <w:rPr>
          <w:spacing w:val="40"/>
          <w:vertAlign w:val="baseline"/>
        </w:rPr>
        <w:t> </w:t>
      </w:r>
      <w:r>
        <w:rPr>
          <w:vertAlign w:val="baseline"/>
        </w:rPr>
        <w:t>preliminary</w:t>
      </w:r>
      <w:r>
        <w:rPr>
          <w:spacing w:val="-2"/>
          <w:vertAlign w:val="baseline"/>
        </w:rPr>
        <w:t> </w:t>
      </w:r>
      <w:r>
        <w:rPr>
          <w:vertAlign w:val="baseline"/>
        </w:rPr>
        <w:t>and</w:t>
      </w:r>
      <w:r>
        <w:rPr>
          <w:spacing w:val="-2"/>
          <w:vertAlign w:val="baseline"/>
        </w:rPr>
        <w:t> </w:t>
      </w:r>
      <w:r>
        <w:rPr>
          <w:vertAlign w:val="baseline"/>
        </w:rPr>
        <w:t>subject</w:t>
      </w:r>
      <w:r>
        <w:rPr>
          <w:spacing w:val="-2"/>
          <w:vertAlign w:val="baseline"/>
        </w:rPr>
        <w:t> </w:t>
      </w:r>
      <w:r>
        <w:rPr>
          <w:vertAlign w:val="baseline"/>
        </w:rPr>
        <w:t>to updates.</w:t>
      </w:r>
      <w:r>
        <w:rPr>
          <w:spacing w:val="-2"/>
          <w:vertAlign w:val="baseline"/>
        </w:rPr>
        <w:t> </w:t>
      </w:r>
      <w:r>
        <w:rPr>
          <w:vertAlign w:val="baseline"/>
        </w:rPr>
        <w:t>Case</w:t>
      </w:r>
      <w:r>
        <w:rPr>
          <w:spacing w:val="-2"/>
          <w:vertAlign w:val="baseline"/>
        </w:rPr>
        <w:t> </w:t>
      </w:r>
      <w:r>
        <w:rPr>
          <w:vertAlign w:val="baseline"/>
        </w:rPr>
        <w:t>reviews</w:t>
      </w:r>
      <w:r>
        <w:rPr>
          <w:spacing w:val="-2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vertAlign w:val="baseline"/>
        </w:rPr>
        <w:t>deaths</w:t>
      </w:r>
      <w:r>
        <w:rPr>
          <w:spacing w:val="-2"/>
          <w:vertAlign w:val="baseline"/>
        </w:rPr>
        <w:t> </w:t>
      </w:r>
      <w:r>
        <w:rPr>
          <w:vertAlign w:val="baseline"/>
        </w:rPr>
        <w:t>are</w:t>
      </w:r>
      <w:r>
        <w:rPr>
          <w:spacing w:val="-2"/>
          <w:vertAlign w:val="baseline"/>
        </w:rPr>
        <w:t> </w:t>
      </w:r>
      <w:r>
        <w:rPr>
          <w:vertAlign w:val="baseline"/>
        </w:rPr>
        <w:t>evaluated</w:t>
      </w:r>
      <w:r>
        <w:rPr>
          <w:spacing w:val="-2"/>
          <w:vertAlign w:val="baseline"/>
        </w:rPr>
        <w:t> </w:t>
      </w:r>
      <w:r>
        <w:rPr>
          <w:vertAlign w:val="baseline"/>
        </w:rPr>
        <w:t>and</w:t>
      </w:r>
      <w:r>
        <w:rPr>
          <w:spacing w:val="-2"/>
          <w:vertAlign w:val="baseline"/>
        </w:rPr>
        <w:t> </w:t>
      </w:r>
      <w:r>
        <w:rPr>
          <w:vertAlign w:val="baseline"/>
        </w:rPr>
        <w:t>updated</w:t>
      </w:r>
      <w:r>
        <w:rPr>
          <w:spacing w:val="-2"/>
          <w:vertAlign w:val="baseline"/>
        </w:rPr>
        <w:t> </w:t>
      </w:r>
      <w:r>
        <w:rPr>
          <w:vertAlign w:val="baseline"/>
        </w:rPr>
        <w:t>on</w:t>
      </w:r>
      <w:r>
        <w:rPr>
          <w:spacing w:val="-2"/>
          <w:vertAlign w:val="baseline"/>
        </w:rPr>
        <w:t> </w:t>
      </w:r>
      <w:r>
        <w:rPr>
          <w:vertAlign w:val="baseline"/>
        </w:rPr>
        <w:t>an</w:t>
      </w:r>
      <w:r>
        <w:rPr>
          <w:spacing w:val="-2"/>
          <w:vertAlign w:val="baseline"/>
        </w:rPr>
        <w:t> </w:t>
      </w:r>
      <w:r>
        <w:rPr>
          <w:vertAlign w:val="baseline"/>
        </w:rPr>
        <w:t>ongoing</w:t>
      </w:r>
      <w:r>
        <w:rPr>
          <w:spacing w:val="-1"/>
          <w:vertAlign w:val="baseline"/>
        </w:rPr>
        <w:t> </w:t>
      </w:r>
      <w:r>
        <w:rPr>
          <w:vertAlign w:val="baseline"/>
        </w:rPr>
        <w:t>basis.</w:t>
      </w:r>
      <w:r>
        <w:rPr>
          <w:spacing w:val="-2"/>
          <w:vertAlign w:val="baseline"/>
        </w:rPr>
        <w:t> </w:t>
      </w:r>
      <w:r>
        <w:rPr>
          <w:vertAlign w:val="baseline"/>
        </w:rPr>
        <w:t>A</w:t>
      </w:r>
      <w:r>
        <w:rPr>
          <w:spacing w:val="-1"/>
          <w:vertAlign w:val="baseline"/>
        </w:rPr>
        <w:t> </w:t>
      </w:r>
      <w:r>
        <w:rPr>
          <w:vertAlign w:val="baseline"/>
        </w:rPr>
        <w:t>large</w:t>
      </w:r>
      <w:r>
        <w:rPr>
          <w:spacing w:val="-2"/>
          <w:vertAlign w:val="baseline"/>
        </w:rPr>
        <w:t> </w:t>
      </w:r>
      <w:r>
        <w:rPr>
          <w:vertAlign w:val="baseline"/>
        </w:rPr>
        <w:t>number</w:t>
      </w:r>
      <w:r>
        <w:rPr>
          <w:spacing w:val="-2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vertAlign w:val="baseline"/>
        </w:rPr>
        <w:t>death</w:t>
      </w:r>
      <w:r>
        <w:rPr>
          <w:spacing w:val="-2"/>
          <w:vertAlign w:val="baseline"/>
        </w:rPr>
        <w:t> </w:t>
      </w:r>
      <w:r>
        <w:rPr>
          <w:vertAlign w:val="baseline"/>
        </w:rPr>
        <w:t>certificates</w:t>
      </w:r>
      <w:r>
        <w:rPr>
          <w:spacing w:val="-2"/>
          <w:vertAlign w:val="baseline"/>
        </w:rPr>
        <w:t> </w:t>
      </w:r>
      <w:r>
        <w:rPr>
          <w:vertAlign w:val="baseline"/>
        </w:rPr>
        <w:t>have yet</w:t>
      </w:r>
      <w:r>
        <w:rPr>
          <w:spacing w:val="-2"/>
          <w:vertAlign w:val="baseline"/>
        </w:rPr>
        <w:t> </w:t>
      </w:r>
      <w:r>
        <w:rPr>
          <w:vertAlign w:val="baseline"/>
        </w:rPr>
        <w:t>to</w:t>
      </w:r>
      <w:r>
        <w:rPr>
          <w:spacing w:val="-2"/>
          <w:vertAlign w:val="baseline"/>
        </w:rPr>
        <w:t> </w:t>
      </w:r>
      <w:r>
        <w:rPr>
          <w:vertAlign w:val="baseline"/>
        </w:rPr>
        <w:t>be</w:t>
      </w:r>
      <w:r>
        <w:rPr>
          <w:spacing w:val="-2"/>
          <w:vertAlign w:val="baseline"/>
        </w:rPr>
        <w:t> </w:t>
      </w:r>
      <w:r>
        <w:rPr>
          <w:vertAlign w:val="baseline"/>
        </w:rPr>
        <w:t>assigned</w:t>
      </w:r>
      <w:r>
        <w:rPr>
          <w:spacing w:val="-1"/>
          <w:vertAlign w:val="baseline"/>
        </w:rPr>
        <w:t> </w:t>
      </w:r>
      <w:r>
        <w:rPr>
          <w:vertAlign w:val="baseline"/>
        </w:rPr>
        <w:t>final</w:t>
      </w:r>
      <w:r>
        <w:rPr>
          <w:spacing w:val="-3"/>
          <w:vertAlign w:val="baseline"/>
        </w:rPr>
        <w:t> </w:t>
      </w:r>
      <w:r>
        <w:rPr>
          <w:vertAlign w:val="baseline"/>
        </w:rPr>
        <w:t>cause-of-death</w:t>
      </w:r>
      <w:r>
        <w:rPr>
          <w:spacing w:val="-2"/>
          <w:vertAlign w:val="baseline"/>
        </w:rPr>
        <w:t> </w:t>
      </w:r>
      <w:r>
        <w:rPr>
          <w:vertAlign w:val="baseline"/>
        </w:rPr>
        <w:t>codes.</w:t>
      </w:r>
      <w:r>
        <w:rPr>
          <w:spacing w:val="40"/>
          <w:vertAlign w:val="baseline"/>
        </w:rPr>
        <w:t> </w:t>
      </w:r>
      <w:r>
        <w:rPr>
          <w:vertAlign w:val="baseline"/>
        </w:rPr>
        <w:t>These counts are based on the estimates rather than confirmed cases. Data updated on 04/06/2017.</w:t>
      </w:r>
    </w:p>
    <w:p>
      <w:pPr>
        <w:pStyle w:val="BodyText"/>
        <w:ind w:left="220" w:right="1385"/>
      </w:pPr>
      <w:r>
        <w:rPr>
          <w:vertAlign w:val="superscript"/>
        </w:rPr>
        <w:t>3</w:t>
      </w:r>
      <w:r>
        <w:rPr>
          <w:spacing w:val="-2"/>
          <w:vertAlign w:val="baseline"/>
        </w:rPr>
        <w:t> </w:t>
      </w:r>
      <w:r>
        <w:rPr>
          <w:vertAlign w:val="baseline"/>
        </w:rPr>
        <w:t>Numbers</w:t>
      </w:r>
      <w:r>
        <w:rPr>
          <w:spacing w:val="-2"/>
          <w:vertAlign w:val="baseline"/>
        </w:rPr>
        <w:t> </w:t>
      </w:r>
      <w:r>
        <w:rPr>
          <w:vertAlign w:val="baseline"/>
        </w:rPr>
        <w:t>and</w:t>
      </w:r>
      <w:r>
        <w:rPr>
          <w:spacing w:val="-2"/>
          <w:vertAlign w:val="baseline"/>
        </w:rPr>
        <w:t> </w:t>
      </w:r>
      <w:r>
        <w:rPr>
          <w:vertAlign w:val="baseline"/>
        </w:rPr>
        <w:t>calculations</w:t>
      </w:r>
      <w:r>
        <w:rPr>
          <w:spacing w:val="-2"/>
          <w:vertAlign w:val="baseline"/>
        </w:rPr>
        <w:t> </w:t>
      </w:r>
      <w:r>
        <w:rPr>
          <w:vertAlign w:val="baseline"/>
        </w:rPr>
        <w:t>based on values</w:t>
      </w:r>
      <w:r>
        <w:rPr>
          <w:spacing w:val="-2"/>
          <w:vertAlign w:val="baseline"/>
        </w:rPr>
        <w:t> </w:t>
      </w:r>
      <w:r>
        <w:rPr>
          <w:vertAlign w:val="baseline"/>
        </w:rPr>
        <w:t>less than</w:t>
      </w:r>
      <w:r>
        <w:rPr>
          <w:spacing w:val="-2"/>
          <w:vertAlign w:val="baseline"/>
        </w:rPr>
        <w:t> </w:t>
      </w:r>
      <w:r>
        <w:rPr>
          <w:vertAlign w:val="baseline"/>
        </w:rPr>
        <w:t>5</w:t>
      </w:r>
      <w:r>
        <w:rPr>
          <w:spacing w:val="-1"/>
          <w:vertAlign w:val="baseline"/>
        </w:rPr>
        <w:t> </w:t>
      </w:r>
      <w:r>
        <w:rPr>
          <w:vertAlign w:val="baseline"/>
        </w:rPr>
        <w:t>are</w:t>
      </w:r>
      <w:r>
        <w:rPr>
          <w:spacing w:val="-2"/>
          <w:vertAlign w:val="baseline"/>
        </w:rPr>
        <w:t> </w:t>
      </w:r>
      <w:r>
        <w:rPr>
          <w:vertAlign w:val="baseline"/>
        </w:rPr>
        <w:t>suppressed</w:t>
      </w:r>
      <w:r>
        <w:rPr>
          <w:spacing w:val="-2"/>
          <w:vertAlign w:val="baseline"/>
        </w:rPr>
        <w:t> </w:t>
      </w:r>
      <w:r>
        <w:rPr>
          <w:vertAlign w:val="baseline"/>
        </w:rPr>
        <w:t>for years</w:t>
      </w:r>
      <w:r>
        <w:rPr>
          <w:spacing w:val="-2"/>
          <w:vertAlign w:val="baseline"/>
        </w:rPr>
        <w:t> </w:t>
      </w:r>
      <w:r>
        <w:rPr>
          <w:vertAlign w:val="baseline"/>
        </w:rPr>
        <w:t>in</w:t>
      </w:r>
      <w:r>
        <w:rPr>
          <w:spacing w:val="-2"/>
          <w:vertAlign w:val="baseline"/>
        </w:rPr>
        <w:t> </w:t>
      </w:r>
      <w:r>
        <w:rPr>
          <w:vertAlign w:val="baseline"/>
        </w:rPr>
        <w:t>which the</w:t>
      </w:r>
      <w:r>
        <w:rPr>
          <w:spacing w:val="-3"/>
          <w:vertAlign w:val="baseline"/>
        </w:rPr>
        <w:t> </w:t>
      </w:r>
      <w:r>
        <w:rPr>
          <w:vertAlign w:val="baseline"/>
        </w:rPr>
        <w:t>death file</w:t>
      </w:r>
      <w:r>
        <w:rPr>
          <w:spacing w:val="-2"/>
          <w:vertAlign w:val="baseline"/>
        </w:rPr>
        <w:t> </w:t>
      </w:r>
      <w:r>
        <w:rPr>
          <w:vertAlign w:val="baseline"/>
        </w:rPr>
        <w:t>is</w:t>
      </w:r>
      <w:r>
        <w:rPr>
          <w:spacing w:val="-2"/>
          <w:vertAlign w:val="baseline"/>
        </w:rPr>
        <w:t> </w:t>
      </w:r>
      <w:r>
        <w:rPr>
          <w:vertAlign w:val="baseline"/>
        </w:rPr>
        <w:t>not</w:t>
      </w:r>
      <w:r>
        <w:rPr>
          <w:spacing w:val="-2"/>
          <w:vertAlign w:val="baseline"/>
        </w:rPr>
        <w:t> </w:t>
      </w:r>
      <w:r>
        <w:rPr>
          <w:vertAlign w:val="baseline"/>
        </w:rPr>
        <w:t>yet</w:t>
      </w:r>
      <w:r>
        <w:rPr>
          <w:spacing w:val="-2"/>
          <w:vertAlign w:val="baseline"/>
        </w:rPr>
        <w:t> </w:t>
      </w:r>
      <w:r>
        <w:rPr>
          <w:vertAlign w:val="baseline"/>
        </w:rPr>
        <w:t>closed if</w:t>
      </w:r>
      <w:r>
        <w:rPr>
          <w:spacing w:val="-2"/>
          <w:vertAlign w:val="baseline"/>
        </w:rPr>
        <w:t> </w:t>
      </w:r>
      <w:r>
        <w:rPr>
          <w:vertAlign w:val="baseline"/>
        </w:rPr>
        <w:t>they</w:t>
      </w:r>
      <w:r>
        <w:rPr>
          <w:spacing w:val="-2"/>
          <w:vertAlign w:val="baseline"/>
        </w:rPr>
        <w:t> </w:t>
      </w:r>
      <w:r>
        <w:rPr>
          <w:vertAlign w:val="baseline"/>
        </w:rPr>
        <w:t>are</w:t>
      </w:r>
      <w:r>
        <w:rPr>
          <w:spacing w:val="-2"/>
          <w:vertAlign w:val="baseline"/>
        </w:rPr>
        <w:t> </w:t>
      </w:r>
      <w:r>
        <w:rPr>
          <w:vertAlign w:val="baseline"/>
        </w:rPr>
        <w:t>based</w:t>
      </w:r>
      <w:r>
        <w:rPr>
          <w:spacing w:val="-2"/>
          <w:vertAlign w:val="baseline"/>
        </w:rPr>
        <w:t> </w:t>
      </w:r>
      <w:r>
        <w:rPr>
          <w:vertAlign w:val="baseline"/>
        </w:rPr>
        <w:t>on</w:t>
      </w:r>
      <w:r>
        <w:rPr>
          <w:spacing w:val="-2"/>
          <w:vertAlign w:val="baseline"/>
        </w:rPr>
        <w:t> </w:t>
      </w:r>
      <w:r>
        <w:rPr>
          <w:vertAlign w:val="baseline"/>
        </w:rPr>
        <w:t>pending</w:t>
      </w:r>
      <w:r>
        <w:rPr>
          <w:spacing w:val="-1"/>
          <w:vertAlign w:val="baseline"/>
        </w:rPr>
        <w:t> </w:t>
      </w:r>
      <w:r>
        <w:rPr>
          <w:vertAlign w:val="baseline"/>
        </w:rPr>
        <w:t>cases.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deaths</w:t>
      </w:r>
      <w:r>
        <w:rPr>
          <w:spacing w:val="-2"/>
          <w:vertAlign w:val="baseline"/>
        </w:rPr>
        <w:t> </w:t>
      </w:r>
      <w:r>
        <w:rPr>
          <w:vertAlign w:val="baseline"/>
        </w:rPr>
        <w:t>listed</w:t>
      </w:r>
      <w:r>
        <w:rPr>
          <w:spacing w:val="-2"/>
          <w:vertAlign w:val="baseline"/>
        </w:rPr>
        <w:t> </w:t>
      </w:r>
      <w:r>
        <w:rPr>
          <w:vertAlign w:val="baseline"/>
        </w:rPr>
        <w:t>in</w:t>
      </w:r>
      <w:r>
        <w:rPr>
          <w:spacing w:val="-2"/>
          <w:vertAlign w:val="baseline"/>
        </w:rPr>
        <w:t> </w:t>
      </w:r>
      <w:r>
        <w:rPr>
          <w:vertAlign w:val="baseline"/>
        </w:rPr>
        <w:t>Nantucket</w:t>
      </w:r>
      <w:r>
        <w:rPr>
          <w:spacing w:val="-1"/>
          <w:vertAlign w:val="baseline"/>
        </w:rPr>
        <w:t> </w:t>
      </w:r>
      <w:r>
        <w:rPr>
          <w:vertAlign w:val="baseline"/>
        </w:rPr>
        <w:t>County</w:t>
      </w:r>
      <w:r>
        <w:rPr>
          <w:spacing w:val="-2"/>
          <w:vertAlign w:val="baseline"/>
        </w:rPr>
        <w:t> </w:t>
      </w:r>
      <w:r>
        <w:rPr>
          <w:vertAlign w:val="baseline"/>
        </w:rPr>
        <w:t>for</w:t>
      </w:r>
      <w:r>
        <w:rPr>
          <w:spacing w:val="40"/>
          <w:vertAlign w:val="baseline"/>
        </w:rPr>
        <w:t> </w:t>
      </w:r>
      <w:r>
        <w:rPr>
          <w:vertAlign w:val="baseline"/>
        </w:rPr>
        <w:t>2015 and 2016, and in Dukes County for 2016 are confirmed opioid overdose deaths.</w:t>
      </w:r>
    </w:p>
    <w:p>
      <w:pPr>
        <w:pStyle w:val="BodyText"/>
        <w:spacing w:before="1"/>
        <w:ind w:left="220" w:right="1385"/>
      </w:pPr>
      <w:r>
        <w:rPr>
          <w:vertAlign w:val="superscript"/>
        </w:rPr>
        <w:t>4</w:t>
      </w:r>
      <w:r>
        <w:rPr>
          <w:spacing w:val="-13"/>
          <w:vertAlign w:val="baseline"/>
        </w:rPr>
        <w:t> </w:t>
      </w:r>
      <w:r>
        <w:rPr>
          <w:vertAlign w:val="baseline"/>
        </w:rPr>
        <w:t>2001,</w:t>
      </w:r>
      <w:r>
        <w:rPr>
          <w:spacing w:val="-1"/>
          <w:vertAlign w:val="baseline"/>
        </w:rPr>
        <w:t> </w:t>
      </w:r>
      <w:r>
        <w:rPr>
          <w:vertAlign w:val="baseline"/>
        </w:rPr>
        <w:t>2005,</w:t>
      </w:r>
      <w:r>
        <w:rPr>
          <w:spacing w:val="-1"/>
          <w:vertAlign w:val="baseline"/>
        </w:rPr>
        <w:t> </w:t>
      </w:r>
      <w:r>
        <w:rPr>
          <w:vertAlign w:val="baseline"/>
        </w:rPr>
        <w:t>2008,</w:t>
      </w:r>
      <w:r>
        <w:rPr>
          <w:spacing w:val="-1"/>
          <w:vertAlign w:val="baseline"/>
        </w:rPr>
        <w:t> </w:t>
      </w:r>
      <w:r>
        <w:rPr>
          <w:vertAlign w:val="baseline"/>
        </w:rPr>
        <w:t>2012,</w:t>
      </w:r>
      <w:r>
        <w:rPr>
          <w:spacing w:val="-1"/>
          <w:vertAlign w:val="baseline"/>
        </w:rPr>
        <w:t> </w:t>
      </w:r>
      <w:r>
        <w:rPr>
          <w:vertAlign w:val="baseline"/>
        </w:rPr>
        <w:t>and</w:t>
      </w:r>
      <w:r>
        <w:rPr>
          <w:spacing w:val="-2"/>
          <w:vertAlign w:val="baseline"/>
        </w:rPr>
        <w:t> </w:t>
      </w:r>
      <w:r>
        <w:rPr>
          <w:vertAlign w:val="baseline"/>
        </w:rPr>
        <w:t>2014</w:t>
      </w:r>
      <w:r>
        <w:rPr>
          <w:spacing w:val="-1"/>
          <w:vertAlign w:val="baseline"/>
        </w:rPr>
        <w:t> </w:t>
      </w:r>
      <w:r>
        <w:rPr>
          <w:vertAlign w:val="baseline"/>
        </w:rPr>
        <w:t>include</w:t>
      </w:r>
      <w:r>
        <w:rPr>
          <w:spacing w:val="-2"/>
          <w:vertAlign w:val="baseline"/>
        </w:rPr>
        <w:t> </w:t>
      </w:r>
      <w:r>
        <w:rPr>
          <w:vertAlign w:val="baseline"/>
        </w:rPr>
        <w:t>1</w:t>
      </w:r>
      <w:r>
        <w:rPr>
          <w:spacing w:val="-1"/>
          <w:vertAlign w:val="baseline"/>
        </w:rPr>
        <w:t> </w:t>
      </w:r>
      <w:r>
        <w:rPr>
          <w:vertAlign w:val="baseline"/>
        </w:rPr>
        <w:t>death</w:t>
      </w:r>
      <w:r>
        <w:rPr>
          <w:spacing w:val="-2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vertAlign w:val="baseline"/>
        </w:rPr>
        <w:t>a</w:t>
      </w:r>
      <w:r>
        <w:rPr>
          <w:spacing w:val="-2"/>
          <w:vertAlign w:val="baseline"/>
        </w:rPr>
        <w:t> </w:t>
      </w:r>
      <w:r>
        <w:rPr>
          <w:vertAlign w:val="baseline"/>
        </w:rPr>
        <w:t>MA</w:t>
      </w:r>
      <w:r>
        <w:rPr>
          <w:spacing w:val="-1"/>
          <w:vertAlign w:val="baseline"/>
        </w:rPr>
        <w:t> </w:t>
      </w:r>
      <w:r>
        <w:rPr>
          <w:vertAlign w:val="baseline"/>
        </w:rPr>
        <w:t>resident</w:t>
      </w:r>
      <w:r>
        <w:rPr>
          <w:spacing w:val="-2"/>
          <w:vertAlign w:val="baseline"/>
        </w:rPr>
        <w:t> </w:t>
      </w:r>
      <w:r>
        <w:rPr>
          <w:vertAlign w:val="baseline"/>
        </w:rPr>
        <w:t>whose</w:t>
      </w:r>
      <w:r>
        <w:rPr>
          <w:spacing w:val="-2"/>
          <w:vertAlign w:val="baseline"/>
        </w:rPr>
        <w:t> </w:t>
      </w:r>
      <w:r>
        <w:rPr>
          <w:vertAlign w:val="baseline"/>
        </w:rPr>
        <w:t>city/town</w:t>
      </w:r>
      <w:r>
        <w:rPr>
          <w:spacing w:val="-2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vertAlign w:val="baseline"/>
        </w:rPr>
        <w:t>residence</w:t>
      </w:r>
      <w:r>
        <w:rPr>
          <w:spacing w:val="-2"/>
          <w:vertAlign w:val="baseline"/>
        </w:rPr>
        <w:t> </w:t>
      </w:r>
      <w:r>
        <w:rPr>
          <w:vertAlign w:val="baseline"/>
        </w:rPr>
        <w:t>was</w:t>
      </w:r>
      <w:r>
        <w:rPr>
          <w:spacing w:val="-2"/>
          <w:vertAlign w:val="baseline"/>
        </w:rPr>
        <w:t> </w:t>
      </w:r>
      <w:r>
        <w:rPr>
          <w:vertAlign w:val="baseline"/>
        </w:rPr>
        <w:t>not</w:t>
      </w:r>
      <w:r>
        <w:rPr>
          <w:spacing w:val="-2"/>
          <w:vertAlign w:val="baseline"/>
        </w:rPr>
        <w:t> </w:t>
      </w:r>
      <w:r>
        <w:rPr>
          <w:vertAlign w:val="baseline"/>
        </w:rPr>
        <w:t>known;</w:t>
      </w:r>
      <w:r>
        <w:rPr>
          <w:spacing w:val="-1"/>
          <w:vertAlign w:val="baseline"/>
        </w:rPr>
        <w:t> </w:t>
      </w:r>
      <w:r>
        <w:rPr>
          <w:vertAlign w:val="baseline"/>
        </w:rPr>
        <w:t>2006</w:t>
      </w:r>
      <w:r>
        <w:rPr>
          <w:spacing w:val="-1"/>
          <w:vertAlign w:val="baseline"/>
        </w:rPr>
        <w:t> </w:t>
      </w:r>
      <w:r>
        <w:rPr>
          <w:vertAlign w:val="baseline"/>
        </w:rPr>
        <w:t>includes</w:t>
      </w:r>
      <w:r>
        <w:rPr>
          <w:spacing w:val="-2"/>
          <w:vertAlign w:val="baseline"/>
        </w:rPr>
        <w:t> </w:t>
      </w:r>
      <w:r>
        <w:rPr>
          <w:vertAlign w:val="baseline"/>
        </w:rPr>
        <w:t>4</w:t>
      </w:r>
      <w:r>
        <w:rPr>
          <w:spacing w:val="-1"/>
          <w:vertAlign w:val="baseline"/>
        </w:rPr>
        <w:t> </w:t>
      </w:r>
      <w:r>
        <w:rPr>
          <w:vertAlign w:val="baseline"/>
        </w:rPr>
        <w:t>deaths</w:t>
      </w:r>
      <w:r>
        <w:rPr>
          <w:spacing w:val="-2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vertAlign w:val="baseline"/>
        </w:rPr>
        <w:t>a</w:t>
      </w:r>
      <w:r>
        <w:rPr>
          <w:spacing w:val="-2"/>
          <w:vertAlign w:val="baseline"/>
        </w:rPr>
        <w:t> </w:t>
      </w:r>
      <w:r>
        <w:rPr>
          <w:vertAlign w:val="baseline"/>
        </w:rPr>
        <w:t>MA</w:t>
      </w:r>
      <w:r>
        <w:rPr>
          <w:spacing w:val="-1"/>
          <w:vertAlign w:val="baseline"/>
        </w:rPr>
        <w:t> </w:t>
      </w:r>
      <w:r>
        <w:rPr>
          <w:vertAlign w:val="baseline"/>
        </w:rPr>
        <w:t>resident</w:t>
      </w:r>
      <w:r>
        <w:rPr>
          <w:spacing w:val="-3"/>
          <w:vertAlign w:val="baseline"/>
        </w:rPr>
        <w:t> </w:t>
      </w:r>
      <w:r>
        <w:rPr>
          <w:vertAlign w:val="baseline"/>
        </w:rPr>
        <w:t>whose</w:t>
      </w:r>
      <w:r>
        <w:rPr>
          <w:spacing w:val="-1"/>
          <w:vertAlign w:val="baseline"/>
        </w:rPr>
        <w:t> </w:t>
      </w:r>
      <w:r>
        <w:rPr>
          <w:vertAlign w:val="baseline"/>
        </w:rPr>
        <w:t>city/town</w:t>
      </w:r>
      <w:r>
        <w:rPr>
          <w:spacing w:val="-2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vertAlign w:val="baseline"/>
        </w:rPr>
        <w:t>residence was</w:t>
      </w:r>
      <w:r>
        <w:rPr>
          <w:spacing w:val="-2"/>
          <w:vertAlign w:val="baseline"/>
        </w:rPr>
        <w:t> </w:t>
      </w:r>
      <w:r>
        <w:rPr>
          <w:vertAlign w:val="baseline"/>
        </w:rPr>
        <w:t>not</w:t>
      </w:r>
      <w:r>
        <w:rPr>
          <w:spacing w:val="40"/>
          <w:vertAlign w:val="baseline"/>
        </w:rPr>
        <w:t> </w:t>
      </w:r>
      <w:r>
        <w:rPr>
          <w:vertAlign w:val="baseline"/>
        </w:rPr>
        <w:t>known. Also, total may not add up due to rounding.</w:t>
      </w:r>
    </w:p>
    <w:p>
      <w:pPr>
        <w:pStyle w:val="Heading1"/>
      </w:pPr>
      <w:r>
        <w:rPr/>
        <w:t>Please</w:t>
      </w:r>
      <w:r>
        <w:rPr>
          <w:spacing w:val="-3"/>
        </w:rPr>
        <w:t> </w:t>
      </w:r>
      <w:r>
        <w:rPr/>
        <w:t>note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there</w:t>
      </w:r>
      <w:r>
        <w:rPr>
          <w:spacing w:val="-3"/>
        </w:rPr>
        <w:t> </w:t>
      </w:r>
      <w:r>
        <w:rPr/>
        <w:t>is</w:t>
      </w:r>
      <w:r>
        <w:rPr>
          <w:spacing w:val="-6"/>
        </w:rPr>
        <w:t> </w:t>
      </w:r>
      <w:r>
        <w:rPr/>
        <w:t>rounding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/>
        <w:t>counts</w:t>
      </w:r>
      <w:r>
        <w:rPr>
          <w:spacing w:val="-3"/>
        </w:rPr>
        <w:t> </w:t>
      </w:r>
      <w:r>
        <w:rPr/>
        <w:t>for 2015-</w:t>
      </w:r>
      <w:r>
        <w:rPr>
          <w:spacing w:val="-2"/>
        </w:rPr>
        <w:t>2016.</w:t>
      </w:r>
    </w:p>
    <w:p>
      <w:pPr>
        <w:spacing w:after="0"/>
        <w:sectPr>
          <w:type w:val="continuous"/>
          <w:pgSz w:w="15840" w:h="12240" w:orient="landscape"/>
          <w:pgMar w:top="380" w:bottom="280" w:left="1220" w:right="60"/>
        </w:sectPr>
      </w:pPr>
    </w:p>
    <w:p>
      <w:pPr>
        <w:pStyle w:val="BodyText"/>
        <w:spacing w:before="10"/>
        <w:rPr>
          <w:b/>
        </w:rPr>
      </w:pPr>
    </w:p>
    <w:p>
      <w:pPr>
        <w:spacing w:line="195" w:lineRule="exact" w:before="0"/>
        <w:ind w:left="220" w:right="0" w:firstLine="0"/>
        <w:jc w:val="left"/>
        <w:rPr>
          <w:b/>
          <w:sz w:val="16"/>
        </w:rPr>
      </w:pPr>
      <w:r>
        <w:rPr>
          <w:b/>
          <w:sz w:val="16"/>
          <w:u w:val="single"/>
        </w:rPr>
        <w:t>Technical</w:t>
      </w:r>
      <w:r>
        <w:rPr>
          <w:b/>
          <w:spacing w:val="-5"/>
          <w:sz w:val="16"/>
          <w:u w:val="single"/>
        </w:rPr>
        <w:t> </w:t>
      </w:r>
      <w:r>
        <w:rPr>
          <w:b/>
          <w:spacing w:val="-2"/>
          <w:sz w:val="16"/>
          <w:u w:val="single"/>
        </w:rPr>
        <w:t>Notes:</w:t>
      </w:r>
    </w:p>
    <w:p>
      <w:pPr>
        <w:pStyle w:val="BodyText"/>
        <w:ind w:left="220" w:right="1385"/>
      </w:pPr>
      <w:r>
        <w:rPr/>
        <w:t>Cases were defined using the International Classification of Disease (ICD-10) codes for mortality. The following codes were selected from the underlying cause of death field to identify</w:t>
      </w:r>
      <w:r>
        <w:rPr>
          <w:spacing w:val="40"/>
        </w:rPr>
        <w:t> </w:t>
      </w:r>
      <w:r>
        <w:rPr/>
        <w:t>poisonings/overdoses:</w:t>
      </w:r>
      <w:r>
        <w:rPr>
          <w:spacing w:val="-2"/>
        </w:rPr>
        <w:t> </w:t>
      </w:r>
      <w:r>
        <w:rPr/>
        <w:t>X40-X49,</w:t>
      </w:r>
      <w:r>
        <w:rPr>
          <w:spacing w:val="-1"/>
        </w:rPr>
        <w:t> </w:t>
      </w:r>
      <w:r>
        <w:rPr/>
        <w:t>X60-X69,</w:t>
      </w:r>
      <w:r>
        <w:rPr>
          <w:spacing w:val="-1"/>
        </w:rPr>
        <w:t> </w:t>
      </w:r>
      <w:r>
        <w:rPr/>
        <w:t>X85-X90,</w:t>
      </w:r>
      <w:r>
        <w:rPr>
          <w:spacing w:val="-1"/>
        </w:rPr>
        <w:t> </w:t>
      </w:r>
      <w:r>
        <w:rPr/>
        <w:t>Y10-Y19,</w:t>
      </w:r>
      <w:r>
        <w:rPr>
          <w:spacing w:val="-1"/>
        </w:rPr>
        <w:t> </w:t>
      </w:r>
      <w:r>
        <w:rPr/>
        <w:t>and</w:t>
      </w:r>
      <w:r>
        <w:rPr>
          <w:spacing w:val="-5"/>
        </w:rPr>
        <w:t> </w:t>
      </w:r>
      <w:r>
        <w:rPr/>
        <w:t>Y35.2.</w:t>
      </w:r>
      <w:r>
        <w:rPr>
          <w:spacing w:val="-1"/>
        </w:rPr>
        <w:t> </w:t>
      </w:r>
      <w:r>
        <w:rPr/>
        <w:t>All</w:t>
      </w:r>
      <w:r>
        <w:rPr>
          <w:spacing w:val="-2"/>
        </w:rPr>
        <w:t> </w:t>
      </w:r>
      <w:r>
        <w:rPr/>
        <w:t>multiple</w:t>
      </w:r>
      <w:r>
        <w:rPr>
          <w:spacing w:val="-3"/>
        </w:rPr>
        <w:t> </w:t>
      </w:r>
      <w:r>
        <w:rPr/>
        <w:t>cause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death fields</w:t>
      </w:r>
      <w:r>
        <w:rPr>
          <w:spacing w:val="-2"/>
        </w:rPr>
        <w:t> </w:t>
      </w:r>
      <w:r>
        <w:rPr/>
        <w:t>were</w:t>
      </w:r>
      <w:r>
        <w:rPr>
          <w:spacing w:val="-2"/>
        </w:rPr>
        <w:t> </w:t>
      </w:r>
      <w:r>
        <w:rPr/>
        <w:t>then</w:t>
      </w:r>
      <w:r>
        <w:rPr>
          <w:spacing w:val="-2"/>
        </w:rPr>
        <w:t> </w:t>
      </w:r>
      <w:r>
        <w:rPr/>
        <w:t>used</w:t>
      </w:r>
      <w:r>
        <w:rPr>
          <w:spacing w:val="-2"/>
        </w:rPr>
        <w:t> </w:t>
      </w:r>
      <w:r>
        <w:rPr/>
        <w:t>to identify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opioid-related</w:t>
      </w:r>
      <w:r>
        <w:rPr>
          <w:spacing w:val="-2"/>
        </w:rPr>
        <w:t> </w:t>
      </w:r>
      <w:r>
        <w:rPr/>
        <w:t>death:</w:t>
      </w:r>
      <w:r>
        <w:rPr>
          <w:spacing w:val="-2"/>
        </w:rPr>
        <w:t> </w:t>
      </w:r>
      <w:r>
        <w:rPr/>
        <w:t>T40.0,</w:t>
      </w:r>
      <w:r>
        <w:rPr>
          <w:spacing w:val="-3"/>
        </w:rPr>
        <w:t> </w:t>
      </w:r>
      <w:r>
        <w:rPr/>
        <w:t>T40.1,</w:t>
      </w:r>
      <w:r>
        <w:rPr>
          <w:spacing w:val="-1"/>
        </w:rPr>
        <w:t> </w:t>
      </w:r>
      <w:r>
        <w:rPr/>
        <w:t>T40.2,</w:t>
      </w:r>
      <w:r>
        <w:rPr>
          <w:spacing w:val="-3"/>
        </w:rPr>
        <w:t> </w:t>
      </w:r>
      <w:r>
        <w:rPr/>
        <w:t>T40.3,</w:t>
      </w:r>
      <w:r>
        <w:rPr>
          <w:spacing w:val="-1"/>
        </w:rPr>
        <w:t> </w:t>
      </w:r>
      <w:r>
        <w:rPr/>
        <w:t>T40.4,</w:t>
      </w:r>
      <w:r>
        <w:rPr>
          <w:spacing w:val="-1"/>
        </w:rPr>
        <w:t> </w:t>
      </w:r>
      <w:r>
        <w:rPr/>
        <w:t>and</w:t>
      </w:r>
      <w:r>
        <w:rPr>
          <w:spacing w:val="40"/>
        </w:rPr>
        <w:t> </w:t>
      </w:r>
      <w:r>
        <w:rPr>
          <w:spacing w:val="-2"/>
        </w:rPr>
        <w:t>T40.6.</w:t>
      </w:r>
    </w:p>
    <w:p>
      <w:pPr>
        <w:pStyle w:val="BodyText"/>
        <w:spacing w:before="2"/>
        <w:ind w:left="220" w:right="1385"/>
      </w:pPr>
      <w:r>
        <w:rPr/>
        <w:t>This</w:t>
      </w:r>
      <w:r>
        <w:rPr>
          <w:spacing w:val="-2"/>
        </w:rPr>
        <w:t> </w:t>
      </w:r>
      <w:r>
        <w:rPr/>
        <w:t>report</w:t>
      </w:r>
      <w:r>
        <w:rPr>
          <w:spacing w:val="-1"/>
        </w:rPr>
        <w:t> </w:t>
      </w:r>
      <w:r>
        <w:rPr/>
        <w:t>tracks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opioid-related</w:t>
      </w:r>
      <w:r>
        <w:rPr>
          <w:spacing w:val="-2"/>
        </w:rPr>
        <w:t> </w:t>
      </w:r>
      <w:r>
        <w:rPr/>
        <w:t>overdoses</w:t>
      </w:r>
      <w:r>
        <w:rPr>
          <w:spacing w:val="-2"/>
        </w:rPr>
        <w:t> </w:t>
      </w:r>
      <w:r>
        <w:rPr/>
        <w:t>due to</w:t>
      </w:r>
      <w:r>
        <w:rPr>
          <w:spacing w:val="-2"/>
        </w:rPr>
        <w:t> </w:t>
      </w:r>
      <w:r>
        <w:rPr/>
        <w:t>difficulties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reporting</w:t>
      </w:r>
      <w:r>
        <w:rPr>
          <w:spacing w:val="-1"/>
        </w:rPr>
        <w:t> </w:t>
      </w:r>
      <w:r>
        <w:rPr/>
        <w:t>heroin-associated</w:t>
      </w:r>
      <w:r>
        <w:rPr>
          <w:spacing w:val="-2"/>
        </w:rPr>
        <w:t> </w:t>
      </w:r>
      <w:r>
        <w:rPr/>
        <w:t>overdoses</w:t>
      </w:r>
      <w:r>
        <w:rPr>
          <w:spacing w:val="-2"/>
        </w:rPr>
        <w:t> </w:t>
      </w:r>
      <w:r>
        <w:rPr/>
        <w:t>separately.</w:t>
      </w:r>
      <w:r>
        <w:rPr>
          <w:spacing w:val="-1"/>
        </w:rPr>
        <w:t> </w:t>
      </w:r>
      <w:r>
        <w:rPr/>
        <w:t>Many</w:t>
      </w:r>
      <w:r>
        <w:rPr>
          <w:spacing w:val="-2"/>
        </w:rPr>
        <w:t> </w:t>
      </w:r>
      <w:r>
        <w:rPr/>
        <w:t>deaths</w:t>
      </w:r>
      <w:r>
        <w:rPr>
          <w:spacing w:val="-2"/>
        </w:rPr>
        <w:t> </w:t>
      </w:r>
      <w:r>
        <w:rPr/>
        <w:t>related</w:t>
      </w:r>
      <w:r>
        <w:rPr>
          <w:spacing w:val="-2"/>
        </w:rPr>
        <w:t> </w:t>
      </w:r>
      <w:r>
        <w:rPr/>
        <w:t>to heroin are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specifically coded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such due to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fast</w:t>
      </w:r>
      <w:r>
        <w:rPr>
          <w:spacing w:val="40"/>
        </w:rPr>
        <w:t> </w:t>
      </w:r>
      <w:r>
        <w:rPr/>
        <w:t>metabolism of heroin into morphine.</w:t>
      </w:r>
    </w:p>
    <w:p>
      <w:pPr>
        <w:pStyle w:val="BodyText"/>
        <w:spacing w:line="193" w:lineRule="exact"/>
        <w:ind w:left="220"/>
      </w:pPr>
      <w:r>
        <w:rPr/>
        <w:t>To</w:t>
      </w:r>
      <w:r>
        <w:rPr>
          <w:spacing w:val="-7"/>
        </w:rPr>
        <w:t> </w:t>
      </w:r>
      <w:r>
        <w:rPr/>
        <w:t>maintain</w:t>
      </w:r>
      <w:r>
        <w:rPr>
          <w:spacing w:val="-5"/>
        </w:rPr>
        <w:t> </w:t>
      </w:r>
      <w:r>
        <w:rPr/>
        <w:t>consistency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NCHS</w:t>
      </w:r>
      <w:r>
        <w:rPr>
          <w:spacing w:val="-3"/>
        </w:rPr>
        <w:t> </w:t>
      </w:r>
      <w:r>
        <w:rPr/>
        <w:t>reporting,</w:t>
      </w:r>
      <w:r>
        <w:rPr>
          <w:spacing w:val="-4"/>
        </w:rPr>
        <w:t> </w:t>
      </w:r>
      <w:r>
        <w:rPr/>
        <w:t>we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include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ICD-10</w:t>
      </w:r>
      <w:r>
        <w:rPr>
          <w:spacing w:val="-4"/>
        </w:rPr>
        <w:t> </w:t>
      </w:r>
      <w:r>
        <w:rPr/>
        <w:t>code</w:t>
      </w:r>
      <w:r>
        <w:rPr>
          <w:spacing w:val="-6"/>
        </w:rPr>
        <w:t> </w:t>
      </w:r>
      <w:r>
        <w:rPr/>
        <w:t>F11.1,</w:t>
      </w:r>
      <w:r>
        <w:rPr>
          <w:spacing w:val="-4"/>
        </w:rPr>
        <w:t> </w:t>
      </w:r>
      <w:r>
        <w:rPr/>
        <w:t>which</w:t>
      </w:r>
      <w:r>
        <w:rPr>
          <w:spacing w:val="-5"/>
        </w:rPr>
        <w:t> </w:t>
      </w:r>
      <w:r>
        <w:rPr/>
        <w:t>may</w:t>
      </w:r>
      <w:r>
        <w:rPr>
          <w:spacing w:val="-4"/>
        </w:rPr>
        <w:t> </w:t>
      </w:r>
      <w:r>
        <w:rPr/>
        <w:t>include</w:t>
      </w:r>
      <w:r>
        <w:rPr>
          <w:spacing w:val="-5"/>
        </w:rPr>
        <w:t> </w:t>
      </w:r>
      <w:r>
        <w:rPr/>
        <w:t>opioid-related</w:t>
      </w:r>
      <w:r>
        <w:rPr>
          <w:spacing w:val="-5"/>
        </w:rPr>
        <w:t> </w:t>
      </w:r>
      <w:r>
        <w:rPr/>
        <w:t>overdose</w:t>
      </w:r>
      <w:r>
        <w:rPr>
          <w:spacing w:val="-5"/>
        </w:rPr>
        <w:t> </w:t>
      </w:r>
      <w:r>
        <w:rPr>
          <w:spacing w:val="-2"/>
        </w:rPr>
        <w:t>death.</w:t>
      </w:r>
    </w:p>
    <w:p>
      <w:pPr>
        <w:spacing w:before="49"/>
        <w:ind w:left="220" w:right="0" w:firstLine="0"/>
        <w:jc w:val="left"/>
        <w:rPr>
          <w:b/>
          <w:sz w:val="16"/>
        </w:rPr>
      </w:pPr>
      <w:r>
        <w:rPr>
          <w:b/>
          <w:sz w:val="16"/>
        </w:rPr>
        <w:t>Source: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Registry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of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Vital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Records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and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Statistics,</w:t>
      </w:r>
      <w:r>
        <w:rPr>
          <w:b/>
          <w:spacing w:val="-4"/>
          <w:sz w:val="16"/>
        </w:rPr>
        <w:t> MDPH.</w:t>
      </w:r>
    </w:p>
    <w:p>
      <w:pPr>
        <w:spacing w:after="0"/>
        <w:jc w:val="left"/>
        <w:rPr>
          <w:sz w:val="16"/>
        </w:rPr>
        <w:sectPr>
          <w:pgSz w:w="15840" w:h="12240" w:orient="landscape"/>
          <w:pgMar w:top="1380" w:bottom="280" w:left="1220" w:right="60"/>
        </w:sectPr>
      </w:pPr>
    </w:p>
    <w:p>
      <w:pPr>
        <w:spacing w:before="60"/>
        <w:ind w:left="2625" w:right="3014" w:firstLine="1072"/>
        <w:jc w:val="left"/>
        <w:rPr>
          <w:b/>
          <w:sz w:val="28"/>
        </w:rPr>
      </w:pPr>
      <w:r>
        <w:rPr>
          <w:b/>
          <w:sz w:val="28"/>
        </w:rPr>
        <w:t>Opioid Overdose Death Rates, All Intents, by County Massachusetts: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January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2011-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December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2013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(reference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time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period)</w:t>
      </w:r>
    </w:p>
    <w:p>
      <w:pPr>
        <w:spacing w:before="0"/>
        <w:ind w:left="3465" w:right="0" w:firstLine="0"/>
        <w:jc w:val="left"/>
        <w:rPr>
          <w:b/>
          <w:sz w:val="28"/>
        </w:rPr>
      </w:pPr>
      <w:r>
        <w:rPr>
          <w:b/>
          <w:sz w:val="28"/>
        </w:rPr>
        <w:t>vs.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January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2014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-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December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2016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(current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time</w:t>
      </w:r>
      <w:r>
        <w:rPr>
          <w:b/>
          <w:spacing w:val="-2"/>
          <w:sz w:val="28"/>
        </w:rPr>
        <w:t> period)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5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914400</wp:posOffset>
            </wp:positionH>
            <wp:positionV relativeFrom="paragraph">
              <wp:posOffset>186517</wp:posOffset>
            </wp:positionV>
            <wp:extent cx="3876548" cy="2889504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6548" cy="2889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5257800</wp:posOffset>
            </wp:positionH>
            <wp:positionV relativeFrom="paragraph">
              <wp:posOffset>186517</wp:posOffset>
            </wp:positionV>
            <wp:extent cx="3886893" cy="2829306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893" cy="2829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2"/>
        <w:rPr>
          <w:b/>
          <w:sz w:val="28"/>
        </w:rPr>
      </w:pPr>
    </w:p>
    <w:p>
      <w:pPr>
        <w:spacing w:before="0"/>
        <w:ind w:left="220" w:right="0" w:firstLine="0"/>
        <w:jc w:val="left"/>
        <w:rPr>
          <w:sz w:val="18"/>
        </w:rPr>
      </w:pPr>
      <w:r>
        <w:rPr>
          <w:spacing w:val="-2"/>
          <w:sz w:val="18"/>
          <w:u w:val="single"/>
        </w:rPr>
        <w:t>Notes</w:t>
      </w:r>
      <w:r>
        <w:rPr>
          <w:spacing w:val="-2"/>
          <w:sz w:val="18"/>
          <w:u w:val="none"/>
        </w:rPr>
        <w:t>: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240" w:lineRule="auto" w:before="1" w:after="0"/>
        <w:ind w:left="220" w:right="1390" w:firstLine="0"/>
        <w:jc w:val="left"/>
        <w:rPr>
          <w:sz w:val="18"/>
        </w:rPr>
      </w:pPr>
      <w:r>
        <w:rPr>
          <w:sz w:val="18"/>
        </w:rPr>
        <w:t>All data updated on 04/06/17. Cases were defined using the International Classification of Disease (ICD-10) codes for mortality using the following codes in the underlying cause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death</w:t>
      </w:r>
      <w:r>
        <w:rPr>
          <w:spacing w:val="-3"/>
          <w:sz w:val="18"/>
        </w:rPr>
        <w:t> </w:t>
      </w:r>
      <w:r>
        <w:rPr>
          <w:sz w:val="18"/>
        </w:rPr>
        <w:t>field:</w:t>
      </w:r>
      <w:r>
        <w:rPr>
          <w:spacing w:val="-1"/>
          <w:sz w:val="18"/>
        </w:rPr>
        <w:t> </w:t>
      </w:r>
      <w:r>
        <w:rPr>
          <w:sz w:val="18"/>
        </w:rPr>
        <w:t>X40-X49,</w:t>
      </w:r>
      <w:r>
        <w:rPr>
          <w:spacing w:val="-1"/>
          <w:sz w:val="18"/>
        </w:rPr>
        <w:t> </w:t>
      </w:r>
      <w:r>
        <w:rPr>
          <w:sz w:val="18"/>
        </w:rPr>
        <w:t>X60-X69,</w:t>
      </w:r>
      <w:r>
        <w:rPr>
          <w:spacing w:val="-1"/>
          <w:sz w:val="18"/>
        </w:rPr>
        <w:t> </w:t>
      </w:r>
      <w:r>
        <w:rPr>
          <w:sz w:val="18"/>
        </w:rPr>
        <w:t>X85-X90,</w:t>
      </w:r>
      <w:r>
        <w:rPr>
          <w:spacing w:val="-1"/>
          <w:sz w:val="18"/>
        </w:rPr>
        <w:t> </w:t>
      </w:r>
      <w:r>
        <w:rPr>
          <w:sz w:val="18"/>
        </w:rPr>
        <w:t>Y10-Y19,</w:t>
      </w:r>
      <w:r>
        <w:rPr>
          <w:spacing w:val="-1"/>
          <w:sz w:val="18"/>
        </w:rPr>
        <w:t> </w:t>
      </w:r>
      <w:r>
        <w:rPr>
          <w:sz w:val="18"/>
        </w:rPr>
        <w:t>Y35.2.</w:t>
      </w:r>
      <w:r>
        <w:rPr>
          <w:spacing w:val="35"/>
          <w:sz w:val="18"/>
        </w:rPr>
        <w:t> </w:t>
      </w:r>
      <w:r>
        <w:rPr>
          <w:sz w:val="18"/>
        </w:rPr>
        <w:t>All</w:t>
      </w:r>
      <w:r>
        <w:rPr>
          <w:spacing w:val="-2"/>
          <w:sz w:val="18"/>
        </w:rPr>
        <w:t> </w:t>
      </w:r>
      <w:r>
        <w:rPr>
          <w:sz w:val="18"/>
        </w:rPr>
        <w:t>multiple</w:t>
      </w:r>
      <w:r>
        <w:rPr>
          <w:spacing w:val="-2"/>
          <w:sz w:val="18"/>
        </w:rPr>
        <w:t> </w:t>
      </w:r>
      <w:r>
        <w:rPr>
          <w:sz w:val="18"/>
        </w:rPr>
        <w:t>cause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death</w:t>
      </w:r>
      <w:r>
        <w:rPr>
          <w:spacing w:val="-2"/>
          <w:sz w:val="18"/>
        </w:rPr>
        <w:t> </w:t>
      </w:r>
      <w:r>
        <w:rPr>
          <w:sz w:val="18"/>
        </w:rPr>
        <w:t>fields were</w:t>
      </w:r>
      <w:r>
        <w:rPr>
          <w:spacing w:val="-3"/>
          <w:sz w:val="18"/>
        </w:rPr>
        <w:t> </w:t>
      </w:r>
      <w:r>
        <w:rPr>
          <w:sz w:val="18"/>
        </w:rPr>
        <w:t>then</w:t>
      </w:r>
      <w:r>
        <w:rPr>
          <w:spacing w:val="-2"/>
          <w:sz w:val="18"/>
        </w:rPr>
        <w:t> </w:t>
      </w:r>
      <w:r>
        <w:rPr>
          <w:sz w:val="18"/>
        </w:rPr>
        <w:t>used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1"/>
          <w:sz w:val="18"/>
        </w:rPr>
        <w:t> </w:t>
      </w:r>
      <w:r>
        <w:rPr>
          <w:sz w:val="18"/>
        </w:rPr>
        <w:t>identify</w:t>
      </w:r>
      <w:r>
        <w:rPr>
          <w:spacing w:val="-1"/>
          <w:sz w:val="18"/>
        </w:rPr>
        <w:t> </w:t>
      </w:r>
      <w:r>
        <w:rPr>
          <w:sz w:val="18"/>
        </w:rPr>
        <w:t>an</w:t>
      </w:r>
      <w:r>
        <w:rPr>
          <w:spacing w:val="-2"/>
          <w:sz w:val="18"/>
        </w:rPr>
        <w:t> </w:t>
      </w:r>
      <w:r>
        <w:rPr>
          <w:sz w:val="18"/>
        </w:rPr>
        <w:t>opioid-related</w:t>
      </w:r>
      <w:r>
        <w:rPr>
          <w:spacing w:val="-2"/>
          <w:sz w:val="18"/>
        </w:rPr>
        <w:t> </w:t>
      </w:r>
      <w:r>
        <w:rPr>
          <w:sz w:val="18"/>
        </w:rPr>
        <w:t>death,</w:t>
      </w:r>
      <w:r>
        <w:rPr>
          <w:spacing w:val="-1"/>
          <w:sz w:val="18"/>
        </w:rPr>
        <w:t> </w:t>
      </w:r>
      <w:r>
        <w:rPr>
          <w:sz w:val="18"/>
        </w:rPr>
        <w:t>using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following</w:t>
      </w:r>
      <w:r>
        <w:rPr>
          <w:spacing w:val="-2"/>
          <w:sz w:val="18"/>
        </w:rPr>
        <w:t> </w:t>
      </w:r>
      <w:r>
        <w:rPr>
          <w:sz w:val="18"/>
        </w:rPr>
        <w:t>ICD-10 codes: T40.0, T40.1, T40.2, T40.3, T40.4, and T40.6.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219" w:lineRule="exact" w:before="0" w:after="0"/>
        <w:ind w:left="395" w:right="0" w:hanging="175"/>
        <w:jc w:val="left"/>
        <w:rPr>
          <w:sz w:val="18"/>
        </w:rPr>
      </w:pPr>
      <w:r>
        <w:rPr>
          <w:sz w:val="18"/>
        </w:rPr>
        <w:t>Opioids</w:t>
      </w:r>
      <w:r>
        <w:rPr>
          <w:spacing w:val="-7"/>
          <w:sz w:val="18"/>
        </w:rPr>
        <w:t> </w:t>
      </w:r>
      <w:r>
        <w:rPr>
          <w:sz w:val="18"/>
        </w:rPr>
        <w:t>include</w:t>
      </w:r>
      <w:r>
        <w:rPr>
          <w:spacing w:val="-3"/>
          <w:sz w:val="18"/>
        </w:rPr>
        <w:t> </w:t>
      </w:r>
      <w:r>
        <w:rPr>
          <w:sz w:val="18"/>
        </w:rPr>
        <w:t>heroin,</w:t>
      </w:r>
      <w:r>
        <w:rPr>
          <w:spacing w:val="-3"/>
          <w:sz w:val="18"/>
        </w:rPr>
        <w:t> </w:t>
      </w:r>
      <w:r>
        <w:rPr>
          <w:sz w:val="18"/>
        </w:rPr>
        <w:t>opioid-based</w:t>
      </w:r>
      <w:r>
        <w:rPr>
          <w:spacing w:val="-3"/>
          <w:sz w:val="18"/>
        </w:rPr>
        <w:t> </w:t>
      </w:r>
      <w:r>
        <w:rPr>
          <w:sz w:val="18"/>
        </w:rPr>
        <w:t>prescription</w:t>
      </w:r>
      <w:r>
        <w:rPr>
          <w:spacing w:val="-2"/>
          <w:sz w:val="18"/>
        </w:rPr>
        <w:t> </w:t>
      </w:r>
      <w:r>
        <w:rPr>
          <w:sz w:val="18"/>
        </w:rPr>
        <w:t>painkillers,</w:t>
      </w:r>
      <w:r>
        <w:rPr>
          <w:spacing w:val="-4"/>
          <w:sz w:val="18"/>
        </w:rPr>
        <w:t> </w:t>
      </w:r>
      <w:r>
        <w:rPr>
          <w:sz w:val="18"/>
        </w:rPr>
        <w:t>and</w:t>
      </w:r>
      <w:r>
        <w:rPr>
          <w:spacing w:val="-4"/>
          <w:sz w:val="18"/>
        </w:rPr>
        <w:t> </w:t>
      </w:r>
      <w:r>
        <w:rPr>
          <w:sz w:val="18"/>
        </w:rPr>
        <w:t>other</w:t>
      </w:r>
      <w:r>
        <w:rPr>
          <w:spacing w:val="-4"/>
          <w:sz w:val="18"/>
        </w:rPr>
        <w:t> </w:t>
      </w:r>
      <w:r>
        <w:rPr>
          <w:sz w:val="18"/>
        </w:rPr>
        <w:t>unspecified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opioids.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219" w:lineRule="exact" w:before="1" w:after="0"/>
        <w:ind w:left="395" w:right="0" w:hanging="175"/>
        <w:jc w:val="left"/>
        <w:rPr>
          <w:sz w:val="18"/>
        </w:rPr>
      </w:pPr>
      <w:r>
        <w:rPr>
          <w:sz w:val="18"/>
        </w:rPr>
        <w:t>Please</w:t>
      </w:r>
      <w:r>
        <w:rPr>
          <w:spacing w:val="-5"/>
          <w:sz w:val="18"/>
        </w:rPr>
        <w:t> </w:t>
      </w:r>
      <w:r>
        <w:rPr>
          <w:sz w:val="18"/>
        </w:rPr>
        <w:t>note</w:t>
      </w:r>
      <w:r>
        <w:rPr>
          <w:spacing w:val="-3"/>
          <w:sz w:val="18"/>
        </w:rPr>
        <w:t> </w:t>
      </w:r>
      <w:r>
        <w:rPr>
          <w:sz w:val="18"/>
        </w:rPr>
        <w:t>that</w:t>
      </w:r>
      <w:r>
        <w:rPr>
          <w:spacing w:val="-2"/>
          <w:sz w:val="18"/>
        </w:rPr>
        <w:t> </w:t>
      </w:r>
      <w:r>
        <w:rPr>
          <w:sz w:val="18"/>
        </w:rPr>
        <w:t>2015-2016</w:t>
      </w:r>
      <w:r>
        <w:rPr>
          <w:spacing w:val="-1"/>
          <w:sz w:val="18"/>
        </w:rPr>
        <w:t> </w:t>
      </w:r>
      <w:r>
        <w:rPr>
          <w:sz w:val="18"/>
        </w:rPr>
        <w:t>death</w:t>
      </w:r>
      <w:r>
        <w:rPr>
          <w:spacing w:val="-3"/>
          <w:sz w:val="18"/>
        </w:rPr>
        <w:t> </w:t>
      </w:r>
      <w:r>
        <w:rPr>
          <w:sz w:val="18"/>
        </w:rPr>
        <w:t>data</w:t>
      </w:r>
      <w:r>
        <w:rPr>
          <w:spacing w:val="-3"/>
          <w:sz w:val="18"/>
        </w:rPr>
        <w:t> </w:t>
      </w:r>
      <w:r>
        <w:rPr>
          <w:sz w:val="18"/>
        </w:rPr>
        <w:t>are preliminary</w:t>
      </w:r>
      <w:r>
        <w:rPr>
          <w:spacing w:val="-1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subject</w:t>
      </w:r>
      <w:r>
        <w:rPr>
          <w:spacing w:val="-1"/>
          <w:sz w:val="18"/>
        </w:rPr>
        <w:t> </w:t>
      </w:r>
      <w:r>
        <w:rPr>
          <w:sz w:val="18"/>
        </w:rPr>
        <w:t>to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updates.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219" w:lineRule="exact" w:before="0" w:after="0"/>
        <w:ind w:left="395" w:right="0" w:hanging="175"/>
        <w:jc w:val="left"/>
        <w:rPr>
          <w:sz w:val="18"/>
        </w:rPr>
      </w:pPr>
      <w:r>
        <w:rPr>
          <w:sz w:val="18"/>
        </w:rPr>
        <w:t>Rates</w:t>
      </w:r>
      <w:r>
        <w:rPr>
          <w:spacing w:val="-4"/>
          <w:sz w:val="18"/>
        </w:rPr>
        <w:t> </w:t>
      </w:r>
      <w:r>
        <w:rPr>
          <w:sz w:val="18"/>
        </w:rPr>
        <w:t>computed</w:t>
      </w:r>
      <w:r>
        <w:rPr>
          <w:spacing w:val="-3"/>
          <w:sz w:val="18"/>
        </w:rPr>
        <w:t> </w:t>
      </w:r>
      <w:r>
        <w:rPr>
          <w:sz w:val="18"/>
        </w:rPr>
        <w:t>for</w:t>
      </w:r>
      <w:r>
        <w:rPr>
          <w:spacing w:val="-2"/>
          <w:sz w:val="18"/>
        </w:rPr>
        <w:t> </w:t>
      </w:r>
      <w:r>
        <w:rPr>
          <w:sz w:val="18"/>
        </w:rPr>
        <w:t>smaller</w:t>
      </w:r>
      <w:r>
        <w:rPr>
          <w:spacing w:val="-2"/>
          <w:sz w:val="18"/>
        </w:rPr>
        <w:t> </w:t>
      </w:r>
      <w:r>
        <w:rPr>
          <w:sz w:val="18"/>
        </w:rPr>
        <w:t>counties</w:t>
      </w:r>
      <w:r>
        <w:rPr>
          <w:spacing w:val="-3"/>
          <w:sz w:val="18"/>
        </w:rPr>
        <w:t> </w:t>
      </w:r>
      <w:r>
        <w:rPr>
          <w:sz w:val="18"/>
        </w:rPr>
        <w:t>(populations</w:t>
      </w:r>
      <w:r>
        <w:rPr>
          <w:spacing w:val="-3"/>
          <w:sz w:val="18"/>
        </w:rPr>
        <w:t> </w:t>
      </w:r>
      <w:r>
        <w:rPr>
          <w:sz w:val="18"/>
        </w:rPr>
        <w:t>&lt;10,000)</w:t>
      </w:r>
      <w:r>
        <w:rPr>
          <w:spacing w:val="-2"/>
          <w:sz w:val="18"/>
        </w:rPr>
        <w:t> </w:t>
      </w:r>
      <w:r>
        <w:rPr>
          <w:sz w:val="18"/>
        </w:rPr>
        <w:t>are</w:t>
      </w:r>
      <w:r>
        <w:rPr>
          <w:spacing w:val="-1"/>
          <w:sz w:val="18"/>
        </w:rPr>
        <w:t> </w:t>
      </w:r>
      <w:r>
        <w:rPr>
          <w:sz w:val="18"/>
        </w:rPr>
        <w:t>likely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vary</w:t>
      </w:r>
      <w:r>
        <w:rPr>
          <w:spacing w:val="-2"/>
          <w:sz w:val="18"/>
        </w:rPr>
        <w:t> </w:t>
      </w:r>
      <w:r>
        <w:rPr>
          <w:sz w:val="18"/>
        </w:rPr>
        <w:t>significantly</w:t>
      </w:r>
      <w:r>
        <w:rPr>
          <w:spacing w:val="-2"/>
          <w:sz w:val="18"/>
        </w:rPr>
        <w:t> </w:t>
      </w:r>
      <w:r>
        <w:rPr>
          <w:sz w:val="18"/>
        </w:rPr>
        <w:t>from</w:t>
      </w:r>
      <w:r>
        <w:rPr>
          <w:spacing w:val="-2"/>
          <w:sz w:val="18"/>
        </w:rPr>
        <w:t> </w:t>
      </w:r>
      <w:r>
        <w:rPr>
          <w:sz w:val="18"/>
        </w:rPr>
        <w:t>year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year.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219" w:lineRule="exact" w:before="1" w:after="0"/>
        <w:ind w:left="395" w:right="0" w:hanging="175"/>
        <w:jc w:val="left"/>
        <w:rPr>
          <w:sz w:val="18"/>
        </w:rPr>
      </w:pPr>
      <w:r>
        <w:rPr>
          <w:sz w:val="18"/>
        </w:rPr>
        <w:t>Low</w:t>
      </w:r>
      <w:r>
        <w:rPr>
          <w:spacing w:val="-3"/>
          <w:sz w:val="18"/>
        </w:rPr>
        <w:t> </w:t>
      </w:r>
      <w:r>
        <w:rPr>
          <w:sz w:val="18"/>
        </w:rPr>
        <w:t>rates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opioid</w:t>
      </w:r>
      <w:r>
        <w:rPr>
          <w:spacing w:val="-2"/>
          <w:sz w:val="18"/>
        </w:rPr>
        <w:t> </w:t>
      </w:r>
      <w:r>
        <w:rPr>
          <w:sz w:val="18"/>
        </w:rPr>
        <w:t>overdose</w:t>
      </w:r>
      <w:r>
        <w:rPr>
          <w:spacing w:val="-2"/>
          <w:sz w:val="18"/>
        </w:rPr>
        <w:t> </w:t>
      </w:r>
      <w:r>
        <w:rPr>
          <w:sz w:val="18"/>
        </w:rPr>
        <w:t>deaths</w:t>
      </w:r>
      <w:r>
        <w:rPr>
          <w:spacing w:val="-2"/>
          <w:sz w:val="18"/>
        </w:rPr>
        <w:t> </w:t>
      </w:r>
      <w:r>
        <w:rPr>
          <w:sz w:val="18"/>
        </w:rPr>
        <w:t>in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1"/>
          <w:sz w:val="18"/>
        </w:rPr>
        <w:t> </w:t>
      </w:r>
      <w:r>
        <w:rPr>
          <w:sz w:val="18"/>
        </w:rPr>
        <w:t>county</w:t>
      </w:r>
      <w:r>
        <w:rPr>
          <w:spacing w:val="-1"/>
          <w:sz w:val="18"/>
        </w:rPr>
        <w:t> </w:t>
      </w:r>
      <w:r>
        <w:rPr>
          <w:sz w:val="18"/>
        </w:rPr>
        <w:t>should</w:t>
      </w:r>
      <w:r>
        <w:rPr>
          <w:spacing w:val="-2"/>
          <w:sz w:val="18"/>
        </w:rPr>
        <w:t> </w:t>
      </w:r>
      <w:r>
        <w:rPr>
          <w:sz w:val="18"/>
        </w:rPr>
        <w:t>not</w:t>
      </w:r>
      <w:r>
        <w:rPr>
          <w:spacing w:val="-1"/>
          <w:sz w:val="18"/>
        </w:rPr>
        <w:t> </w:t>
      </w:r>
      <w:r>
        <w:rPr>
          <w:sz w:val="18"/>
        </w:rPr>
        <w:t>be</w:t>
      </w:r>
      <w:r>
        <w:rPr>
          <w:spacing w:val="-2"/>
          <w:sz w:val="18"/>
        </w:rPr>
        <w:t> </w:t>
      </w:r>
      <w:r>
        <w:rPr>
          <w:sz w:val="18"/>
        </w:rPr>
        <w:t>taken</w:t>
      </w:r>
      <w:r>
        <w:rPr>
          <w:spacing w:val="-2"/>
          <w:sz w:val="18"/>
        </w:rPr>
        <w:t> </w:t>
      </w:r>
      <w:r>
        <w:rPr>
          <w:sz w:val="18"/>
        </w:rPr>
        <w:t>as</w:t>
      </w:r>
      <w:r>
        <w:rPr>
          <w:spacing w:val="-2"/>
          <w:sz w:val="18"/>
        </w:rPr>
        <w:t> </w:t>
      </w:r>
      <w:r>
        <w:rPr>
          <w:sz w:val="18"/>
        </w:rPr>
        <w:t>an</w:t>
      </w:r>
      <w:r>
        <w:rPr>
          <w:spacing w:val="-3"/>
          <w:sz w:val="18"/>
        </w:rPr>
        <w:t> </w:t>
      </w:r>
      <w:r>
        <w:rPr>
          <w:sz w:val="18"/>
        </w:rPr>
        <w:t>indication</w:t>
      </w:r>
      <w:r>
        <w:rPr>
          <w:spacing w:val="-2"/>
          <w:sz w:val="18"/>
        </w:rPr>
        <w:t> </w:t>
      </w:r>
      <w:r>
        <w:rPr>
          <w:sz w:val="18"/>
        </w:rPr>
        <w:t>that there</w:t>
      </w:r>
      <w:r>
        <w:rPr>
          <w:spacing w:val="-3"/>
          <w:sz w:val="18"/>
        </w:rPr>
        <w:t> </w:t>
      </w:r>
      <w:r>
        <w:rPr>
          <w:sz w:val="18"/>
        </w:rPr>
        <w:t>is</w:t>
      </w:r>
      <w:r>
        <w:rPr>
          <w:spacing w:val="-2"/>
          <w:sz w:val="18"/>
        </w:rPr>
        <w:t> </w:t>
      </w:r>
      <w:r>
        <w:rPr>
          <w:sz w:val="18"/>
        </w:rPr>
        <w:t>no</w:t>
      </w:r>
      <w:r>
        <w:rPr>
          <w:spacing w:val="-1"/>
          <w:sz w:val="18"/>
        </w:rPr>
        <w:t> </w:t>
      </w:r>
      <w:r>
        <w:rPr>
          <w:sz w:val="18"/>
        </w:rPr>
        <w:t>opioid</w:t>
      </w:r>
      <w:r>
        <w:rPr>
          <w:spacing w:val="-2"/>
          <w:sz w:val="18"/>
        </w:rPr>
        <w:t> </w:t>
      </w:r>
      <w:r>
        <w:rPr>
          <w:sz w:val="18"/>
        </w:rPr>
        <w:t>abuse</w:t>
      </w:r>
      <w:r>
        <w:rPr>
          <w:spacing w:val="-2"/>
          <w:sz w:val="18"/>
        </w:rPr>
        <w:t> </w:t>
      </w:r>
      <w:r>
        <w:rPr>
          <w:sz w:val="18"/>
        </w:rPr>
        <w:t>problem</w:t>
      </w:r>
      <w:r>
        <w:rPr>
          <w:spacing w:val="-1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that </w:t>
      </w:r>
      <w:r>
        <w:rPr>
          <w:spacing w:val="-2"/>
          <w:sz w:val="18"/>
        </w:rPr>
        <w:t>community.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240" w:lineRule="auto" w:before="0" w:after="0"/>
        <w:ind w:left="220" w:right="1915" w:firstLine="0"/>
        <w:jc w:val="left"/>
        <w:rPr>
          <w:sz w:val="18"/>
        </w:rPr>
      </w:pPr>
      <w:r>
        <w:rPr>
          <w:sz w:val="18"/>
        </w:rPr>
        <w:t>County</w:t>
      </w:r>
      <w:r>
        <w:rPr>
          <w:spacing w:val="-2"/>
          <w:sz w:val="18"/>
        </w:rPr>
        <w:t> </w:t>
      </w:r>
      <w:r>
        <w:rPr>
          <w:sz w:val="18"/>
        </w:rPr>
        <w:t>level</w:t>
      </w:r>
      <w:r>
        <w:rPr>
          <w:spacing w:val="-3"/>
          <w:sz w:val="18"/>
        </w:rPr>
        <w:t> </w:t>
      </w:r>
      <w:r>
        <w:rPr>
          <w:sz w:val="18"/>
        </w:rPr>
        <w:t>opioid</w:t>
      </w:r>
      <w:r>
        <w:rPr>
          <w:spacing w:val="-3"/>
          <w:sz w:val="18"/>
        </w:rPr>
        <w:t> </w:t>
      </w:r>
      <w:r>
        <w:rPr>
          <w:sz w:val="18"/>
        </w:rPr>
        <w:t>overdose</w:t>
      </w:r>
      <w:r>
        <w:rPr>
          <w:spacing w:val="-3"/>
          <w:sz w:val="18"/>
        </w:rPr>
        <w:t> </w:t>
      </w:r>
      <w:r>
        <w:rPr>
          <w:sz w:val="18"/>
        </w:rPr>
        <w:t>death</w:t>
      </w:r>
      <w:r>
        <w:rPr>
          <w:spacing w:val="-4"/>
          <w:sz w:val="18"/>
        </w:rPr>
        <w:t> </w:t>
      </w:r>
      <w:r>
        <w:rPr>
          <w:sz w:val="18"/>
        </w:rPr>
        <w:t>rates</w:t>
      </w:r>
      <w:r>
        <w:rPr>
          <w:spacing w:val="-3"/>
          <w:sz w:val="18"/>
        </w:rPr>
        <w:t> </w:t>
      </w:r>
      <w:r>
        <w:rPr>
          <w:sz w:val="18"/>
        </w:rPr>
        <w:t>are</w:t>
      </w:r>
      <w:r>
        <w:rPr>
          <w:spacing w:val="-3"/>
          <w:sz w:val="18"/>
        </w:rPr>
        <w:t> </w:t>
      </w:r>
      <w:r>
        <w:rPr>
          <w:sz w:val="18"/>
        </w:rPr>
        <w:t>computed</w:t>
      </w:r>
      <w:r>
        <w:rPr>
          <w:spacing w:val="-3"/>
          <w:sz w:val="18"/>
        </w:rPr>
        <w:t> </w:t>
      </w:r>
      <w:r>
        <w:rPr>
          <w:sz w:val="18"/>
        </w:rPr>
        <w:t>by</w:t>
      </w:r>
      <w:r>
        <w:rPr>
          <w:spacing w:val="-2"/>
          <w:sz w:val="18"/>
        </w:rPr>
        <w:t> </w:t>
      </w:r>
      <w:r>
        <w:rPr>
          <w:sz w:val="18"/>
        </w:rPr>
        <w:t>averaging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number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opioid-related</w:t>
      </w:r>
      <w:r>
        <w:rPr>
          <w:spacing w:val="-3"/>
          <w:sz w:val="18"/>
        </w:rPr>
        <w:t> </w:t>
      </w:r>
      <w:r>
        <w:rPr>
          <w:sz w:val="18"/>
        </w:rPr>
        <w:t>deaths</w:t>
      </w:r>
      <w:r>
        <w:rPr>
          <w:spacing w:val="-1"/>
          <w:sz w:val="18"/>
        </w:rPr>
        <w:t> </w:t>
      </w:r>
      <w:r>
        <w:rPr>
          <w:sz w:val="18"/>
        </w:rPr>
        <w:t>between</w:t>
      </w:r>
      <w:r>
        <w:rPr>
          <w:spacing w:val="-3"/>
          <w:sz w:val="18"/>
        </w:rPr>
        <w:t> </w:t>
      </w:r>
      <w:r>
        <w:rPr>
          <w:sz w:val="18"/>
        </w:rPr>
        <w:t>January</w:t>
      </w:r>
      <w:r>
        <w:rPr>
          <w:spacing w:val="-2"/>
          <w:sz w:val="18"/>
        </w:rPr>
        <w:t> </w:t>
      </w:r>
      <w:r>
        <w:rPr>
          <w:sz w:val="18"/>
        </w:rPr>
        <w:t>2011 and</w:t>
      </w:r>
      <w:r>
        <w:rPr>
          <w:spacing w:val="-3"/>
          <w:sz w:val="18"/>
        </w:rPr>
        <w:t> </w:t>
      </w:r>
      <w:r>
        <w:rPr>
          <w:sz w:val="18"/>
        </w:rPr>
        <w:t>December</w:t>
      </w:r>
      <w:r>
        <w:rPr>
          <w:spacing w:val="-2"/>
          <w:sz w:val="18"/>
        </w:rPr>
        <w:t> </w:t>
      </w:r>
      <w:r>
        <w:rPr>
          <w:sz w:val="18"/>
        </w:rPr>
        <w:t>2016</w:t>
      </w:r>
      <w:r>
        <w:rPr>
          <w:spacing w:val="-3"/>
          <w:sz w:val="18"/>
        </w:rPr>
        <w:t> </w:t>
      </w:r>
      <w:r>
        <w:rPr>
          <w:sz w:val="18"/>
        </w:rPr>
        <w:t>by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estimated population in the community in that same time period.</w:t>
      </w:r>
      <w:r>
        <w:rPr>
          <w:spacing w:val="40"/>
          <w:sz w:val="18"/>
        </w:rPr>
        <w:t> </w:t>
      </w:r>
      <w:r>
        <w:rPr>
          <w:sz w:val="18"/>
        </w:rPr>
        <w:t>County is based on county of residence for the decedent.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240" w:lineRule="auto" w:before="1" w:after="0"/>
        <w:ind w:left="395" w:right="0" w:hanging="175"/>
        <w:jc w:val="left"/>
        <w:rPr>
          <w:sz w:val="18"/>
        </w:rPr>
      </w:pP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rate</w:t>
      </w:r>
      <w:r>
        <w:rPr>
          <w:spacing w:val="-2"/>
          <w:sz w:val="18"/>
        </w:rPr>
        <w:t> </w:t>
      </w:r>
      <w:r>
        <w:rPr>
          <w:sz w:val="18"/>
        </w:rPr>
        <w:t>is</w:t>
      </w:r>
      <w:r>
        <w:rPr>
          <w:spacing w:val="-3"/>
          <w:sz w:val="18"/>
        </w:rPr>
        <w:t> </w:t>
      </w:r>
      <w:r>
        <w:rPr>
          <w:sz w:val="18"/>
        </w:rPr>
        <w:t>expressed</w:t>
      </w:r>
      <w:r>
        <w:rPr>
          <w:spacing w:val="-1"/>
          <w:sz w:val="18"/>
        </w:rPr>
        <w:t> </w:t>
      </w:r>
      <w:r>
        <w:rPr>
          <w:sz w:val="18"/>
        </w:rPr>
        <w:t>as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1"/>
          <w:sz w:val="18"/>
        </w:rPr>
        <w:t> </w:t>
      </w:r>
      <w:r>
        <w:rPr>
          <w:sz w:val="18"/>
        </w:rPr>
        <w:t>value</w:t>
      </w:r>
      <w:r>
        <w:rPr>
          <w:spacing w:val="-2"/>
          <w:sz w:val="18"/>
        </w:rPr>
        <w:t> </w:t>
      </w:r>
      <w:r>
        <w:rPr>
          <w:sz w:val="18"/>
        </w:rPr>
        <w:t>per 100,000 </w:t>
      </w:r>
      <w:r>
        <w:rPr>
          <w:spacing w:val="-2"/>
          <w:sz w:val="18"/>
        </w:rPr>
        <w:t>residents.</w:t>
      </w:r>
    </w:p>
    <w:sectPr>
      <w:pgSz w:w="15840" w:h="12240" w:orient="landscape"/>
      <w:pgMar w:top="1380" w:bottom="280" w:left="1220" w:right="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20" w:hanging="17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4" w:hanging="17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88" w:hanging="1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22" w:hanging="1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56" w:hanging="1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390" w:hanging="1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24" w:hanging="1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258" w:hanging="1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92" w:hanging="17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20"/>
      <w:outlineLvl w:val="1"/>
    </w:pPr>
    <w:rPr>
      <w:rFonts w:ascii="Calibri" w:hAnsi="Calibri" w:eastAsia="Calibri" w:cs="Calibri"/>
      <w:b/>
      <w:bCs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 w:line="219" w:lineRule="exact"/>
      <w:ind w:left="395" w:hanging="175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0"/>
      <w:ind w:right="92"/>
      <w:jc w:val="righ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dbernson</dc:creator>
  <dcterms:created xsi:type="dcterms:W3CDTF">2024-12-31T15:50:10Z</dcterms:created>
  <dcterms:modified xsi:type="dcterms:W3CDTF">2024-12-31T15:50:10Z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2024-12-31T00:00:00Z</vt:filetime>
  </property>
  <property fmtid="{D5CDD505-2E9C-101B-9397-08002B2CF9AE}" pid="5" name="Producer">
    <vt:lpwstr>Microsoft® Word 2010</vt:lpwstr>
  </property>
</Properties>
</file>