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F39FB" w14:textId="77777777" w:rsidR="005C52BB" w:rsidRPr="005C52BB" w:rsidRDefault="008215D2" w:rsidP="005C52BB">
      <w:pPr>
        <w:pStyle w:val="NoSpacing"/>
        <w:jc w:val="center"/>
        <w:rPr>
          <w:b/>
          <w:bCs/>
          <w:sz w:val="24"/>
          <w:szCs w:val="24"/>
        </w:rPr>
      </w:pPr>
      <w:r w:rsidRPr="005C52BB">
        <w:rPr>
          <w:b/>
          <w:bCs/>
          <w:sz w:val="24"/>
          <w:szCs w:val="24"/>
        </w:rPr>
        <w:t xml:space="preserve">Overdose Prevention Center </w:t>
      </w:r>
      <w:r w:rsidR="00607F10" w:rsidRPr="005C52BB">
        <w:rPr>
          <w:b/>
          <w:bCs/>
          <w:sz w:val="24"/>
          <w:szCs w:val="24"/>
        </w:rPr>
        <w:t xml:space="preserve">Feasibility </w:t>
      </w:r>
      <w:r w:rsidR="005B52D2" w:rsidRPr="005C52BB">
        <w:rPr>
          <w:b/>
          <w:bCs/>
          <w:sz w:val="24"/>
          <w:szCs w:val="24"/>
        </w:rPr>
        <w:t>Report</w:t>
      </w:r>
    </w:p>
    <w:p w14:paraId="360C50E2" w14:textId="6E7CF851" w:rsidR="0070260C" w:rsidRPr="005C52BB" w:rsidRDefault="0070260C" w:rsidP="005C52BB">
      <w:pPr>
        <w:pStyle w:val="NoSpacing"/>
        <w:jc w:val="center"/>
        <w:rPr>
          <w:b/>
          <w:bCs/>
          <w:sz w:val="24"/>
          <w:szCs w:val="24"/>
        </w:rPr>
      </w:pPr>
      <w:r w:rsidRPr="005C52BB">
        <w:rPr>
          <w:b/>
          <w:bCs/>
          <w:sz w:val="24"/>
          <w:szCs w:val="24"/>
        </w:rPr>
        <w:t xml:space="preserve">Massachusetts Department </w:t>
      </w:r>
      <w:r w:rsidR="003F1F36" w:rsidRPr="005C52BB">
        <w:rPr>
          <w:b/>
          <w:bCs/>
          <w:sz w:val="24"/>
          <w:szCs w:val="24"/>
        </w:rPr>
        <w:t>of</w:t>
      </w:r>
      <w:r w:rsidRPr="005C52BB">
        <w:rPr>
          <w:b/>
          <w:bCs/>
          <w:sz w:val="24"/>
          <w:szCs w:val="24"/>
        </w:rPr>
        <w:t xml:space="preserve"> Public Health</w:t>
      </w:r>
    </w:p>
    <w:p w14:paraId="143B904E" w14:textId="10F3CD2C" w:rsidR="005B52D2" w:rsidRPr="005C52BB" w:rsidRDefault="005B52D2" w:rsidP="005C52BB">
      <w:pPr>
        <w:pStyle w:val="NoSpacing"/>
        <w:jc w:val="center"/>
        <w:rPr>
          <w:b/>
          <w:bCs/>
          <w:sz w:val="24"/>
          <w:szCs w:val="24"/>
        </w:rPr>
      </w:pPr>
      <w:r w:rsidRPr="005C52BB">
        <w:rPr>
          <w:b/>
          <w:bCs/>
          <w:sz w:val="24"/>
          <w:szCs w:val="24"/>
        </w:rPr>
        <w:t>December 2023</w:t>
      </w:r>
    </w:p>
    <w:p w14:paraId="007D5F41" w14:textId="77777777" w:rsidR="000F6332" w:rsidRPr="00CB0A89" w:rsidRDefault="000F6332" w:rsidP="003E0AB2">
      <w:pPr>
        <w:spacing w:after="0"/>
        <w:rPr>
          <w:rFonts w:ascii="Times New Roman" w:hAnsi="Times New Roman" w:cs="Times New Roman"/>
        </w:rPr>
      </w:pPr>
    </w:p>
    <w:p w14:paraId="5F128F76" w14:textId="27E62A09" w:rsidR="00807D6B" w:rsidRPr="00CB0A89" w:rsidRDefault="007044DF" w:rsidP="003E0AB2">
      <w:pPr>
        <w:pStyle w:val="ListParagraph"/>
        <w:numPr>
          <w:ilvl w:val="0"/>
          <w:numId w:val="21"/>
        </w:numPr>
        <w:spacing w:after="0"/>
        <w:rPr>
          <w:rStyle w:val="normaltextrun"/>
          <w:rFonts w:ascii="Times New Roman" w:hAnsi="Times New Roman" w:cs="Times New Roman"/>
          <w:b/>
          <w:bCs/>
          <w:color w:val="000000"/>
          <w:shd w:val="clear" w:color="auto" w:fill="FFFFFF"/>
        </w:rPr>
      </w:pPr>
      <w:r w:rsidRPr="00CB0A89">
        <w:rPr>
          <w:rStyle w:val="normaltextrun"/>
          <w:rFonts w:ascii="Times New Roman" w:hAnsi="Times New Roman" w:cs="Times New Roman"/>
          <w:b/>
          <w:bCs/>
          <w:color w:val="000000"/>
          <w:shd w:val="clear" w:color="auto" w:fill="FFFFFF"/>
        </w:rPr>
        <w:t>Overview</w:t>
      </w:r>
      <w:r w:rsidR="00881BC6" w:rsidRPr="00CB0A89">
        <w:rPr>
          <w:rStyle w:val="normaltextrun"/>
          <w:rFonts w:ascii="Times New Roman" w:hAnsi="Times New Roman" w:cs="Times New Roman"/>
          <w:b/>
          <w:bCs/>
          <w:color w:val="000000"/>
          <w:shd w:val="clear" w:color="auto" w:fill="FFFFFF"/>
        </w:rPr>
        <w:t xml:space="preserve"> </w:t>
      </w:r>
    </w:p>
    <w:p w14:paraId="60C3F1F7" w14:textId="77777777" w:rsidR="00833D49" w:rsidRPr="00CB0A89" w:rsidRDefault="00833D49" w:rsidP="00304AE9">
      <w:pPr>
        <w:pStyle w:val="ListParagraph"/>
        <w:spacing w:after="0"/>
        <w:ind w:left="0"/>
        <w:rPr>
          <w:rStyle w:val="normaltextrun"/>
          <w:rFonts w:ascii="Times New Roman" w:hAnsi="Times New Roman" w:cs="Times New Roman"/>
          <w:b/>
          <w:bCs/>
          <w:color w:val="000000"/>
          <w:shd w:val="clear" w:color="auto" w:fill="FFFFFF"/>
        </w:rPr>
      </w:pPr>
    </w:p>
    <w:p w14:paraId="78BADFED" w14:textId="4A9B6DCA" w:rsidR="009831AF" w:rsidRPr="00CB0A89" w:rsidRDefault="186BFD85" w:rsidP="003E0AB2">
      <w:pPr>
        <w:spacing w:after="0"/>
        <w:rPr>
          <w:rFonts w:ascii="Times New Roman" w:hAnsi="Times New Roman" w:cs="Times New Roman"/>
        </w:rPr>
      </w:pPr>
      <w:r w:rsidRPr="00CB0A89">
        <w:rPr>
          <w:rStyle w:val="normaltextrun"/>
          <w:rFonts w:ascii="Times New Roman" w:hAnsi="Times New Roman" w:cs="Times New Roman"/>
          <w:color w:val="000000"/>
          <w:shd w:val="clear" w:color="auto" w:fill="FFFFFF"/>
        </w:rPr>
        <w:t>As part of the H</w:t>
      </w:r>
      <w:r w:rsidR="6FD3BF33" w:rsidRPr="00CB0A89">
        <w:rPr>
          <w:rStyle w:val="normaltextrun"/>
          <w:rFonts w:ascii="Times New Roman" w:hAnsi="Times New Roman" w:cs="Times New Roman"/>
          <w:color w:val="000000"/>
          <w:shd w:val="clear" w:color="auto" w:fill="FFFFFF"/>
        </w:rPr>
        <w:t>e</w:t>
      </w:r>
      <w:r w:rsidRPr="00CB0A89">
        <w:rPr>
          <w:rStyle w:val="normaltextrun"/>
          <w:rFonts w:ascii="Times New Roman" w:hAnsi="Times New Roman" w:cs="Times New Roman"/>
          <w:color w:val="000000"/>
          <w:shd w:val="clear" w:color="auto" w:fill="FFFFFF"/>
        </w:rPr>
        <w:t xml:space="preserve">aley Administration’s </w:t>
      </w:r>
      <w:hyperlink r:id="rId11" w:tgtFrame="_blank" w:history="1">
        <w:r w:rsidRPr="00CB0A89">
          <w:rPr>
            <w:rStyle w:val="normaltextrun"/>
            <w:rFonts w:ascii="Times New Roman" w:hAnsi="Times New Roman" w:cs="Times New Roman"/>
            <w:color w:val="0000FF"/>
            <w:u w:val="single"/>
            <w:shd w:val="clear" w:color="auto" w:fill="FFFFFF"/>
          </w:rPr>
          <w:t>Opioid Epidemic Strategy</w:t>
        </w:r>
      </w:hyperlink>
      <w:r w:rsidRPr="00CB0A89">
        <w:rPr>
          <w:rStyle w:val="normaltextrun"/>
          <w:rFonts w:ascii="Times New Roman" w:hAnsi="Times New Roman" w:cs="Times New Roman"/>
          <w:color w:val="000000"/>
          <w:shd w:val="clear" w:color="auto" w:fill="FFFFFF"/>
        </w:rPr>
        <w:t xml:space="preserve">, </w:t>
      </w:r>
      <w:r w:rsidR="414533F8">
        <w:rPr>
          <w:rStyle w:val="normaltextrun"/>
          <w:rFonts w:ascii="Times New Roman" w:hAnsi="Times New Roman" w:cs="Times New Roman"/>
          <w:color w:val="000000"/>
          <w:shd w:val="clear" w:color="auto" w:fill="FFFFFF"/>
        </w:rPr>
        <w:t xml:space="preserve">the </w:t>
      </w:r>
      <w:r w:rsidRPr="00CB0A89">
        <w:rPr>
          <w:rStyle w:val="normaltextrun"/>
          <w:rFonts w:ascii="Times New Roman" w:hAnsi="Times New Roman" w:cs="Times New Roman"/>
          <w:color w:val="000000"/>
          <w:shd w:val="clear" w:color="auto" w:fill="FFFFFF"/>
        </w:rPr>
        <w:t>D</w:t>
      </w:r>
      <w:r w:rsidR="414533F8">
        <w:rPr>
          <w:rStyle w:val="normaltextrun"/>
          <w:rFonts w:ascii="Times New Roman" w:hAnsi="Times New Roman" w:cs="Times New Roman"/>
          <w:color w:val="000000"/>
          <w:shd w:val="clear" w:color="auto" w:fill="FFFFFF"/>
        </w:rPr>
        <w:t xml:space="preserve">epartment of </w:t>
      </w:r>
      <w:r w:rsidRPr="00CB0A89">
        <w:rPr>
          <w:rStyle w:val="normaltextrun"/>
          <w:rFonts w:ascii="Times New Roman" w:hAnsi="Times New Roman" w:cs="Times New Roman"/>
          <w:color w:val="000000"/>
          <w:shd w:val="clear" w:color="auto" w:fill="FFFFFF"/>
        </w:rPr>
        <w:t>P</w:t>
      </w:r>
      <w:r w:rsidR="414533F8">
        <w:rPr>
          <w:rStyle w:val="normaltextrun"/>
          <w:rFonts w:ascii="Times New Roman" w:hAnsi="Times New Roman" w:cs="Times New Roman"/>
          <w:color w:val="000000"/>
          <w:shd w:val="clear" w:color="auto" w:fill="FFFFFF"/>
        </w:rPr>
        <w:t xml:space="preserve">ublic </w:t>
      </w:r>
      <w:r w:rsidRPr="00CB0A89">
        <w:rPr>
          <w:rStyle w:val="normaltextrun"/>
          <w:rFonts w:ascii="Times New Roman" w:hAnsi="Times New Roman" w:cs="Times New Roman"/>
          <w:color w:val="000000"/>
          <w:shd w:val="clear" w:color="auto" w:fill="FFFFFF"/>
        </w:rPr>
        <w:t>H</w:t>
      </w:r>
      <w:r w:rsidR="414533F8">
        <w:rPr>
          <w:rStyle w:val="normaltextrun"/>
          <w:rFonts w:ascii="Times New Roman" w:hAnsi="Times New Roman" w:cs="Times New Roman"/>
          <w:color w:val="000000"/>
          <w:shd w:val="clear" w:color="auto" w:fill="FFFFFF"/>
        </w:rPr>
        <w:t>ealth (</w:t>
      </w:r>
      <w:r w:rsidRPr="00CB0A89">
        <w:rPr>
          <w:rStyle w:val="normaltextrun"/>
          <w:rFonts w:ascii="Times New Roman" w:hAnsi="Times New Roman" w:cs="Times New Roman"/>
          <w:color w:val="000000"/>
          <w:shd w:val="clear" w:color="auto" w:fill="FFFFFF"/>
        </w:rPr>
        <w:t>DPH</w:t>
      </w:r>
      <w:r w:rsidR="414533F8">
        <w:rPr>
          <w:rStyle w:val="normaltextrun"/>
          <w:rFonts w:ascii="Times New Roman" w:hAnsi="Times New Roman" w:cs="Times New Roman"/>
          <w:color w:val="000000"/>
          <w:shd w:val="clear" w:color="auto" w:fill="FFFFFF"/>
        </w:rPr>
        <w:t>)</w:t>
      </w:r>
      <w:r w:rsidRPr="00CB0A89">
        <w:rPr>
          <w:rStyle w:val="normaltextrun"/>
          <w:rFonts w:ascii="Times New Roman" w:hAnsi="Times New Roman" w:cs="Times New Roman"/>
          <w:color w:val="000000"/>
          <w:shd w:val="clear" w:color="auto" w:fill="FFFFFF"/>
        </w:rPr>
        <w:t xml:space="preserve"> produced the following report outlining the feasibility of overdose prevention </w:t>
      </w:r>
      <w:r w:rsidR="716EDFBA" w:rsidRPr="00CB0A89">
        <w:rPr>
          <w:rStyle w:val="normaltextrun"/>
          <w:rFonts w:ascii="Times New Roman" w:hAnsi="Times New Roman" w:cs="Times New Roman"/>
          <w:color w:val="000000"/>
          <w:shd w:val="clear" w:color="auto" w:fill="FFFFFF"/>
        </w:rPr>
        <w:t>centers (OPCs)</w:t>
      </w:r>
      <w:r w:rsidR="7835EB8D" w:rsidRPr="00CB0A89">
        <w:rPr>
          <w:rStyle w:val="normaltextrun"/>
          <w:rFonts w:ascii="Times New Roman" w:hAnsi="Times New Roman" w:cs="Times New Roman"/>
          <w:color w:val="000000"/>
          <w:shd w:val="clear" w:color="auto" w:fill="FFFFFF"/>
        </w:rPr>
        <w:t xml:space="preserve">. </w:t>
      </w:r>
      <w:r w:rsidR="085C545A">
        <w:rPr>
          <w:rFonts w:ascii="Times New Roman" w:hAnsi="Times New Roman" w:cs="Times New Roman"/>
        </w:rPr>
        <w:t>OPCs</w:t>
      </w:r>
      <w:r w:rsidR="085C545A" w:rsidRPr="5CB72E2B">
        <w:rPr>
          <w:rFonts w:ascii="Times New Roman" w:hAnsi="Times New Roman" w:cs="Times New Roman"/>
        </w:rPr>
        <w:t xml:space="preserve"> represent an intervention for addressing fatal overdose rates and decreasing the harms associated with drug use that has not yet been pursued in Massachusetts. </w:t>
      </w:r>
      <w:r w:rsidR="7835EB8D" w:rsidRPr="00CB0A89">
        <w:rPr>
          <w:rStyle w:val="normaltextrun"/>
          <w:rFonts w:ascii="Times New Roman" w:hAnsi="Times New Roman" w:cs="Times New Roman"/>
          <w:color w:val="000000"/>
          <w:shd w:val="clear" w:color="auto" w:fill="FFFFFF"/>
        </w:rPr>
        <w:t xml:space="preserve">DPH </w:t>
      </w:r>
      <w:r w:rsidR="29E849F8">
        <w:rPr>
          <w:rStyle w:val="normaltextrun"/>
          <w:rFonts w:ascii="Times New Roman" w:hAnsi="Times New Roman" w:cs="Times New Roman"/>
          <w:color w:val="000000"/>
          <w:shd w:val="clear" w:color="auto" w:fill="FFFFFF"/>
        </w:rPr>
        <w:t>supported</w:t>
      </w:r>
      <w:r w:rsidR="716EDFBA" w:rsidRPr="00CB0A89">
        <w:rPr>
          <w:rStyle w:val="normaltextrun"/>
          <w:rFonts w:ascii="Times New Roman" w:hAnsi="Times New Roman" w:cs="Times New Roman"/>
          <w:color w:val="000000"/>
          <w:shd w:val="clear" w:color="auto" w:fill="FFFFFF"/>
        </w:rPr>
        <w:t xml:space="preserve"> </w:t>
      </w:r>
      <w:r w:rsidR="3B6287FF" w:rsidRPr="00CB0A89">
        <w:rPr>
          <w:rStyle w:val="normaltextrun"/>
          <w:rFonts w:ascii="Times New Roman" w:hAnsi="Times New Roman" w:cs="Times New Roman"/>
          <w:color w:val="000000"/>
          <w:shd w:val="clear" w:color="auto" w:fill="FFFFFF"/>
        </w:rPr>
        <w:t>the</w:t>
      </w:r>
      <w:r w:rsidR="1AC2B68C" w:rsidRPr="00CB0A89">
        <w:rPr>
          <w:rStyle w:val="normaltextrun"/>
          <w:rFonts w:ascii="Times New Roman" w:hAnsi="Times New Roman" w:cs="Times New Roman"/>
          <w:color w:val="000000"/>
          <w:shd w:val="clear" w:color="auto" w:fill="FFFFFF"/>
        </w:rPr>
        <w:t xml:space="preserve"> </w:t>
      </w:r>
      <w:r w:rsidR="4DB9A128" w:rsidRPr="00CB0A89">
        <w:rPr>
          <w:rStyle w:val="normaltextrun"/>
          <w:rFonts w:ascii="Times New Roman" w:hAnsi="Times New Roman" w:cs="Times New Roman"/>
          <w:color w:val="000000"/>
          <w:shd w:val="clear" w:color="auto" w:fill="FFFFFF"/>
        </w:rPr>
        <w:t>findings</w:t>
      </w:r>
      <w:r w:rsidR="31524913" w:rsidRPr="00CB0A89">
        <w:rPr>
          <w:rStyle w:val="normaltextrun"/>
          <w:rFonts w:ascii="Times New Roman" w:hAnsi="Times New Roman" w:cs="Times New Roman"/>
          <w:color w:val="000000"/>
          <w:shd w:val="clear" w:color="auto" w:fill="FFFFFF"/>
        </w:rPr>
        <w:t xml:space="preserve"> and analysis </w:t>
      </w:r>
      <w:r w:rsidR="2CFE336A" w:rsidRPr="00CB0A89">
        <w:rPr>
          <w:rStyle w:val="normaltextrun"/>
          <w:rFonts w:ascii="Times New Roman" w:hAnsi="Times New Roman" w:cs="Times New Roman"/>
          <w:color w:val="000000"/>
          <w:shd w:val="clear" w:color="auto" w:fill="FFFFFF"/>
        </w:rPr>
        <w:t>in this report</w:t>
      </w:r>
      <w:r w:rsidR="31524913" w:rsidRPr="00CB0A89">
        <w:rPr>
          <w:rStyle w:val="normaltextrun"/>
          <w:rFonts w:ascii="Times New Roman" w:hAnsi="Times New Roman" w:cs="Times New Roman"/>
          <w:color w:val="000000"/>
          <w:shd w:val="clear" w:color="auto" w:fill="FFFFFF"/>
        </w:rPr>
        <w:t xml:space="preserve"> </w:t>
      </w:r>
      <w:r w:rsidR="3D5E40AC" w:rsidRPr="00CB0A89">
        <w:rPr>
          <w:rStyle w:val="normaltextrun"/>
          <w:rFonts w:ascii="Times New Roman" w:hAnsi="Times New Roman" w:cs="Times New Roman"/>
          <w:color w:val="000000"/>
          <w:shd w:val="clear" w:color="auto" w:fill="FFFFFF"/>
        </w:rPr>
        <w:t xml:space="preserve">of harm reduction </w:t>
      </w:r>
      <w:r w:rsidR="179455BE" w:rsidRPr="00CB0A89">
        <w:rPr>
          <w:rStyle w:val="normaltextrun"/>
          <w:rFonts w:ascii="Times New Roman" w:hAnsi="Times New Roman" w:cs="Times New Roman"/>
          <w:color w:val="000000"/>
          <w:shd w:val="clear" w:color="auto" w:fill="FFFFFF"/>
        </w:rPr>
        <w:t xml:space="preserve">interventions </w:t>
      </w:r>
      <w:r w:rsidR="3D5E40AC" w:rsidRPr="00CB0A89">
        <w:rPr>
          <w:rStyle w:val="normaltextrun"/>
          <w:rFonts w:ascii="Times New Roman" w:hAnsi="Times New Roman" w:cs="Times New Roman"/>
          <w:color w:val="000000"/>
          <w:shd w:val="clear" w:color="auto" w:fill="FFFFFF"/>
        </w:rPr>
        <w:t>and</w:t>
      </w:r>
      <w:r w:rsidR="31524913" w:rsidRPr="00CB0A89">
        <w:rPr>
          <w:rStyle w:val="normaltextrun"/>
          <w:rFonts w:ascii="Times New Roman" w:hAnsi="Times New Roman" w:cs="Times New Roman"/>
          <w:color w:val="000000"/>
          <w:shd w:val="clear" w:color="auto" w:fill="FFFFFF"/>
        </w:rPr>
        <w:t xml:space="preserve"> </w:t>
      </w:r>
      <w:r w:rsidR="716EDFBA" w:rsidRPr="00CB0A89">
        <w:rPr>
          <w:rStyle w:val="normaltextrun"/>
          <w:rFonts w:ascii="Times New Roman" w:hAnsi="Times New Roman" w:cs="Times New Roman"/>
          <w:color w:val="000000"/>
          <w:shd w:val="clear" w:color="auto" w:fill="FFFFFF"/>
        </w:rPr>
        <w:t>current approaches to</w:t>
      </w:r>
      <w:r w:rsidR="31524913" w:rsidRPr="00CB0A89">
        <w:rPr>
          <w:rStyle w:val="normaltextrun"/>
          <w:rFonts w:ascii="Times New Roman" w:hAnsi="Times New Roman" w:cs="Times New Roman"/>
          <w:color w:val="000000"/>
          <w:shd w:val="clear" w:color="auto" w:fill="FFFFFF"/>
        </w:rPr>
        <w:t xml:space="preserve"> OPC </w:t>
      </w:r>
      <w:r w:rsidR="716EDFBA" w:rsidRPr="00CB0A89">
        <w:rPr>
          <w:rStyle w:val="normaltextrun"/>
          <w:rFonts w:ascii="Times New Roman" w:hAnsi="Times New Roman" w:cs="Times New Roman"/>
          <w:color w:val="000000"/>
          <w:shd w:val="clear" w:color="auto" w:fill="FFFFFF"/>
        </w:rPr>
        <w:t>establishment</w:t>
      </w:r>
      <w:r w:rsidR="31524913" w:rsidRPr="00CB0A89">
        <w:rPr>
          <w:rStyle w:val="normaltextrun"/>
          <w:rFonts w:ascii="Times New Roman" w:hAnsi="Times New Roman" w:cs="Times New Roman"/>
          <w:color w:val="000000"/>
          <w:shd w:val="clear" w:color="auto" w:fill="FFFFFF"/>
        </w:rPr>
        <w:t xml:space="preserve"> </w:t>
      </w:r>
      <w:r w:rsidR="7415C145" w:rsidRPr="00CB0A89">
        <w:rPr>
          <w:rStyle w:val="normaltextrun"/>
          <w:rFonts w:ascii="Times New Roman" w:hAnsi="Times New Roman" w:cs="Times New Roman"/>
          <w:color w:val="000000"/>
          <w:shd w:val="clear" w:color="auto" w:fill="FFFFFF"/>
        </w:rPr>
        <w:t xml:space="preserve">with </w:t>
      </w:r>
      <w:r w:rsidR="7835EB8D" w:rsidRPr="00CB0A89">
        <w:rPr>
          <w:rStyle w:val="normaltextrun"/>
          <w:rFonts w:ascii="Times New Roman" w:hAnsi="Times New Roman" w:cs="Times New Roman"/>
          <w:color w:val="000000"/>
          <w:shd w:val="clear" w:color="auto" w:fill="FFFFFF"/>
        </w:rPr>
        <w:t xml:space="preserve">findings </w:t>
      </w:r>
      <w:r w:rsidR="7415C145" w:rsidRPr="00CB0A89">
        <w:rPr>
          <w:rStyle w:val="normaltextrun"/>
          <w:rFonts w:ascii="Times New Roman" w:hAnsi="Times New Roman" w:cs="Times New Roman"/>
          <w:color w:val="000000"/>
          <w:shd w:val="clear" w:color="auto" w:fill="FFFFFF"/>
        </w:rPr>
        <w:t>from the 2019</w:t>
      </w:r>
      <w:r w:rsidR="7835EB8D" w:rsidRPr="00CB0A89">
        <w:rPr>
          <w:rStyle w:val="normaltextrun"/>
          <w:rFonts w:ascii="Times New Roman" w:hAnsi="Times New Roman" w:cs="Times New Roman"/>
          <w:color w:val="000000"/>
          <w:shd w:val="clear" w:color="auto" w:fill="FFFFFF"/>
        </w:rPr>
        <w:t xml:space="preserve"> Massachusetts Harm Reduction Commission</w:t>
      </w:r>
      <w:r w:rsidR="7415C145" w:rsidRPr="00CB0A89">
        <w:rPr>
          <w:rStyle w:val="normaltextrun"/>
          <w:rFonts w:ascii="Times New Roman" w:hAnsi="Times New Roman" w:cs="Times New Roman"/>
          <w:color w:val="000000"/>
          <w:shd w:val="clear" w:color="auto" w:fill="FFFFFF"/>
        </w:rPr>
        <w:t xml:space="preserve">, </w:t>
      </w:r>
      <w:r w:rsidR="510A86C6" w:rsidRPr="00CB0A89">
        <w:rPr>
          <w:rStyle w:val="normaltextrun"/>
          <w:rFonts w:ascii="Times New Roman" w:hAnsi="Times New Roman" w:cs="Times New Roman"/>
          <w:color w:val="000000"/>
          <w:shd w:val="clear" w:color="auto" w:fill="FFFFFF"/>
        </w:rPr>
        <w:t xml:space="preserve">a report </w:t>
      </w:r>
      <w:r w:rsidR="02A4B5CC" w:rsidRPr="00CB0A89">
        <w:rPr>
          <w:rStyle w:val="normaltextrun"/>
          <w:rFonts w:ascii="Times New Roman" w:hAnsi="Times New Roman" w:cs="Times New Roman"/>
          <w:color w:val="000000"/>
          <w:shd w:val="clear" w:color="auto" w:fill="FFFFFF"/>
        </w:rPr>
        <w:t>authored</w:t>
      </w:r>
      <w:r w:rsidR="510A86C6" w:rsidRPr="00CB0A89">
        <w:rPr>
          <w:rStyle w:val="normaltextrun"/>
          <w:rFonts w:ascii="Times New Roman" w:hAnsi="Times New Roman" w:cs="Times New Roman"/>
          <w:color w:val="000000"/>
          <w:shd w:val="clear" w:color="auto" w:fill="FFFFFF"/>
        </w:rPr>
        <w:t xml:space="preserve"> by JSI Research and Training</w:t>
      </w:r>
      <w:r w:rsidR="3D5E40AC" w:rsidRPr="00CB0A89">
        <w:rPr>
          <w:rStyle w:val="normaltextrun"/>
          <w:rFonts w:ascii="Times New Roman" w:hAnsi="Times New Roman" w:cs="Times New Roman"/>
          <w:color w:val="000000"/>
          <w:shd w:val="clear" w:color="auto" w:fill="FFFFFF"/>
        </w:rPr>
        <w:t xml:space="preserve"> Institute</w:t>
      </w:r>
      <w:r w:rsidR="716EDFBA" w:rsidRPr="00CB0A89">
        <w:rPr>
          <w:rStyle w:val="normaltextrun"/>
          <w:rFonts w:ascii="Times New Roman" w:hAnsi="Times New Roman" w:cs="Times New Roman"/>
          <w:color w:val="000000"/>
          <w:shd w:val="clear" w:color="auto" w:fill="FFFFFF"/>
        </w:rPr>
        <w:t>, Inc.</w:t>
      </w:r>
      <w:r w:rsidR="01BDBF3D" w:rsidRPr="00CB0A89">
        <w:rPr>
          <w:rStyle w:val="normaltextrun"/>
          <w:rFonts w:ascii="Times New Roman" w:hAnsi="Times New Roman" w:cs="Times New Roman"/>
          <w:color w:val="000000"/>
          <w:shd w:val="clear" w:color="auto" w:fill="FFFFFF"/>
        </w:rPr>
        <w:t xml:space="preserve"> </w:t>
      </w:r>
      <w:r w:rsidR="510A86C6" w:rsidRPr="00CB0A89">
        <w:rPr>
          <w:rStyle w:val="normaltextrun"/>
          <w:rFonts w:ascii="Times New Roman" w:hAnsi="Times New Roman" w:cs="Times New Roman"/>
          <w:color w:val="000000"/>
          <w:shd w:val="clear" w:color="auto" w:fill="FFFFFF"/>
        </w:rPr>
        <w:t>(JSI)</w:t>
      </w:r>
      <w:r w:rsidR="4774455B" w:rsidRPr="00CB0A89">
        <w:rPr>
          <w:rStyle w:val="normaltextrun"/>
          <w:rFonts w:ascii="Times New Roman" w:hAnsi="Times New Roman" w:cs="Times New Roman"/>
          <w:color w:val="000000"/>
          <w:shd w:val="clear" w:color="auto" w:fill="FFFFFF"/>
        </w:rPr>
        <w:t xml:space="preserve"> with DPH support</w:t>
      </w:r>
      <w:r w:rsidR="11671BE0" w:rsidRPr="00CB0A89">
        <w:rPr>
          <w:rStyle w:val="normaltextrun"/>
          <w:rFonts w:ascii="Times New Roman" w:hAnsi="Times New Roman" w:cs="Times New Roman"/>
          <w:color w:val="000000"/>
          <w:shd w:val="clear" w:color="auto" w:fill="FFFFFF"/>
        </w:rPr>
        <w:t xml:space="preserve">, and </w:t>
      </w:r>
      <w:r w:rsidR="3D5E40AC" w:rsidRPr="00CB0A89">
        <w:rPr>
          <w:rStyle w:val="normaltextrun"/>
          <w:rFonts w:ascii="Times New Roman" w:hAnsi="Times New Roman" w:cs="Times New Roman"/>
          <w:color w:val="000000"/>
          <w:shd w:val="clear" w:color="auto" w:fill="FFFFFF"/>
        </w:rPr>
        <w:t>discussions</w:t>
      </w:r>
      <w:r w:rsidR="11671BE0" w:rsidRPr="00CB0A89">
        <w:rPr>
          <w:rStyle w:val="normaltextrun"/>
          <w:rFonts w:ascii="Times New Roman" w:hAnsi="Times New Roman" w:cs="Times New Roman"/>
          <w:color w:val="000000"/>
          <w:shd w:val="clear" w:color="auto" w:fill="FFFFFF"/>
        </w:rPr>
        <w:t xml:space="preserve"> with advocates and external partners. </w:t>
      </w:r>
    </w:p>
    <w:p w14:paraId="4654B186" w14:textId="77777777" w:rsidR="00381872" w:rsidRPr="00CB0A89" w:rsidRDefault="00381872" w:rsidP="003E0AB2">
      <w:pPr>
        <w:pStyle w:val="Heading3"/>
        <w:numPr>
          <w:ilvl w:val="0"/>
          <w:numId w:val="0"/>
        </w:numPr>
        <w:spacing w:before="0"/>
        <w:rPr>
          <w:rFonts w:ascii="Times New Roman" w:hAnsi="Times New Roman" w:cs="Times New Roman"/>
          <w:color w:val="auto"/>
          <w:sz w:val="22"/>
          <w:szCs w:val="22"/>
        </w:rPr>
      </w:pPr>
    </w:p>
    <w:p w14:paraId="0E410E57" w14:textId="47E188DC" w:rsidR="00381872" w:rsidRPr="00CB0A89" w:rsidRDefault="009831AF" w:rsidP="00881BC6">
      <w:pPr>
        <w:pStyle w:val="Heading3"/>
        <w:numPr>
          <w:ilvl w:val="2"/>
          <w:numId w:val="0"/>
        </w:numPr>
        <w:spacing w:before="0"/>
        <w:rPr>
          <w:rFonts w:ascii="Times New Roman" w:hAnsi="Times New Roman" w:cs="Times New Roman"/>
          <w:color w:val="auto"/>
          <w:sz w:val="22"/>
          <w:szCs w:val="22"/>
        </w:rPr>
      </w:pPr>
      <w:r w:rsidRPr="00CB0A89">
        <w:rPr>
          <w:rFonts w:ascii="Times New Roman" w:hAnsi="Times New Roman" w:cs="Times New Roman"/>
          <w:color w:val="auto"/>
          <w:sz w:val="22"/>
          <w:szCs w:val="22"/>
        </w:rPr>
        <w:t xml:space="preserve">Data released in </w:t>
      </w:r>
      <w:r w:rsidR="00AA36D5" w:rsidRPr="00CB0A89">
        <w:rPr>
          <w:rFonts w:ascii="Times New Roman" w:hAnsi="Times New Roman" w:cs="Times New Roman"/>
          <w:color w:val="auto"/>
          <w:sz w:val="22"/>
          <w:szCs w:val="22"/>
        </w:rPr>
        <w:t>December</w:t>
      </w:r>
      <w:r w:rsidR="544BD83B" w:rsidRPr="00CB0A89">
        <w:rPr>
          <w:rFonts w:ascii="Times New Roman" w:hAnsi="Times New Roman" w:cs="Times New Roman"/>
          <w:color w:val="auto"/>
          <w:sz w:val="22"/>
          <w:szCs w:val="22"/>
        </w:rPr>
        <w:t xml:space="preserve"> 2023</w:t>
      </w:r>
      <w:r w:rsidRPr="00CB0A89">
        <w:rPr>
          <w:rFonts w:ascii="Times New Roman" w:hAnsi="Times New Roman" w:cs="Times New Roman"/>
          <w:color w:val="auto"/>
          <w:sz w:val="22"/>
          <w:szCs w:val="22"/>
        </w:rPr>
        <w:t xml:space="preserve"> show that in 2022 there were 2,35</w:t>
      </w:r>
      <w:r w:rsidR="00AA36D5" w:rsidRPr="00CB0A89">
        <w:rPr>
          <w:rFonts w:ascii="Times New Roman" w:hAnsi="Times New Roman" w:cs="Times New Roman"/>
          <w:color w:val="auto"/>
          <w:sz w:val="22"/>
          <w:szCs w:val="22"/>
        </w:rPr>
        <w:t>9</w:t>
      </w:r>
      <w:r w:rsidRPr="00CB0A89">
        <w:rPr>
          <w:rFonts w:ascii="Times New Roman" w:hAnsi="Times New Roman" w:cs="Times New Roman"/>
          <w:color w:val="auto"/>
          <w:sz w:val="22"/>
          <w:szCs w:val="22"/>
        </w:rPr>
        <w:t xml:space="preserve"> total confirmed and estimated opioid-related overdose deaths in Massachusetts.</w:t>
      </w:r>
      <w:r w:rsidR="00307073" w:rsidRPr="00CB0A89">
        <w:rPr>
          <w:rStyle w:val="FootnoteReference"/>
          <w:rFonts w:ascii="Times New Roman" w:hAnsi="Times New Roman" w:cs="Times New Roman"/>
          <w:color w:val="auto"/>
          <w:sz w:val="22"/>
          <w:szCs w:val="22"/>
        </w:rPr>
        <w:footnoteReference w:id="2"/>
      </w:r>
      <w:r w:rsidRPr="00CB0A89">
        <w:rPr>
          <w:rFonts w:ascii="Times New Roman" w:hAnsi="Times New Roman" w:cs="Times New Roman"/>
          <w:color w:val="auto"/>
          <w:sz w:val="22"/>
          <w:szCs w:val="22"/>
        </w:rPr>
        <w:t xml:space="preserve"> The statewide overdose death rate in 2022 was 3% higher than 2021 and represents the most fatal opioid-related overdoses ever recorded in the Commonwealth. Communities of color are disparately impacted by this crisis, due in part to historic failures to support substance use services in these communities. Black, American Indian, and Hispanic populations experienced the largest percentage increase in opioid-related overdose death rates from 2018 to 2022, increasing by 227%, 66%, and 44%, respectively. Opioid-related overdose deaths are driven by the overwhelming presence of fentanyl in the drug supply, with over 93% of fatal opioid-related overdoses in the Commonwealth testing positive for fentanyl</w:t>
      </w:r>
      <w:r w:rsidR="00AA36D5" w:rsidRPr="00CB0A89">
        <w:rPr>
          <w:rFonts w:ascii="Times New Roman" w:hAnsi="Times New Roman" w:cs="Times New Roman"/>
          <w:color w:val="auto"/>
          <w:sz w:val="22"/>
          <w:szCs w:val="22"/>
        </w:rPr>
        <w:t xml:space="preserve"> from January-April 2023</w:t>
      </w:r>
      <w:r w:rsidRPr="00CB0A89">
        <w:rPr>
          <w:rFonts w:ascii="Times New Roman" w:hAnsi="Times New Roman" w:cs="Times New Roman"/>
          <w:color w:val="auto"/>
          <w:sz w:val="22"/>
          <w:szCs w:val="22"/>
        </w:rPr>
        <w:t>.</w:t>
      </w:r>
      <w:r w:rsidR="00D41761" w:rsidRPr="00CB0A89">
        <w:rPr>
          <w:rStyle w:val="FootnoteReference"/>
          <w:rFonts w:ascii="Times New Roman" w:hAnsi="Times New Roman" w:cs="Times New Roman"/>
          <w:color w:val="auto"/>
          <w:sz w:val="22"/>
          <w:szCs w:val="22"/>
        </w:rPr>
        <w:t xml:space="preserve"> </w:t>
      </w:r>
      <w:r w:rsidR="00D41761" w:rsidRPr="00CB0A89">
        <w:rPr>
          <w:rStyle w:val="FootnoteReference"/>
          <w:rFonts w:ascii="Times New Roman" w:hAnsi="Times New Roman" w:cs="Times New Roman"/>
          <w:color w:val="auto"/>
          <w:sz w:val="22"/>
          <w:szCs w:val="22"/>
        </w:rPr>
        <w:footnoteReference w:id="3"/>
      </w:r>
    </w:p>
    <w:p w14:paraId="70CFD9BF" w14:textId="77777777" w:rsidR="00381872" w:rsidRPr="00CB0A89" w:rsidRDefault="00381872" w:rsidP="00381872">
      <w:pPr>
        <w:spacing w:after="0"/>
        <w:rPr>
          <w:rFonts w:ascii="Times New Roman" w:hAnsi="Times New Roman" w:cs="Times New Roman"/>
        </w:rPr>
      </w:pPr>
    </w:p>
    <w:p w14:paraId="70E172CA" w14:textId="13EB19A0" w:rsidR="00381872" w:rsidRPr="00CB0A89" w:rsidRDefault="00381872" w:rsidP="00381872">
      <w:pPr>
        <w:spacing w:after="0"/>
        <w:rPr>
          <w:rFonts w:ascii="Times New Roman" w:hAnsi="Times New Roman" w:cs="Times New Roman"/>
        </w:rPr>
      </w:pPr>
      <w:r w:rsidRPr="00CB0A89">
        <w:rPr>
          <w:rFonts w:ascii="Times New Roman" w:hAnsi="Times New Roman" w:cs="Times New Roman"/>
        </w:rPr>
        <w:t>The growing presence of xylazine in the drug supply may also increase an individual’s risk of fatal overdose and other harms.</w:t>
      </w:r>
      <w:r w:rsidR="005E66A7" w:rsidRPr="00CB0A89">
        <w:rPr>
          <w:rStyle w:val="FootnoteReference"/>
          <w:rFonts w:ascii="Times New Roman" w:hAnsi="Times New Roman" w:cs="Times New Roman"/>
        </w:rPr>
        <w:footnoteReference w:id="4"/>
      </w:r>
      <w:r w:rsidRPr="00CB0A89">
        <w:rPr>
          <w:rFonts w:ascii="Times New Roman" w:hAnsi="Times New Roman" w:cs="Times New Roman"/>
        </w:rPr>
        <w:t xml:space="preserve"> </w:t>
      </w:r>
      <w:r w:rsidR="7BA8E8CA" w:rsidRPr="5CB72E2B">
        <w:rPr>
          <w:rFonts w:ascii="Times New Roman" w:hAnsi="Times New Roman" w:cs="Times New Roman"/>
        </w:rPr>
        <w:t xml:space="preserve">As a long-acting sedating medication, xylazine, especially in combination with other sedating drugs like opioids, can increase overdose risk and has been linked to serious injuries from long periods of over-sedation, as well as skin ulcers and infections. </w:t>
      </w:r>
      <w:r w:rsidR="008609D3" w:rsidRPr="00CB0A89">
        <w:rPr>
          <w:rFonts w:ascii="Times New Roman" w:hAnsi="Times New Roman" w:cs="Times New Roman"/>
        </w:rPr>
        <w:t>Since June of 2022, xylazine was routinely reported among opioid-related overdose deaths. In the first quarter of 2023, xylazine was present in 7% of opioid-related overdose deaths where toxicology screening was available.</w:t>
      </w:r>
      <w:r w:rsidR="00E6230E" w:rsidRPr="00CB0A89">
        <w:rPr>
          <w:rStyle w:val="FootnoteReference"/>
          <w:rFonts w:ascii="Times New Roman" w:hAnsi="Times New Roman" w:cs="Times New Roman"/>
        </w:rPr>
        <w:footnoteReference w:id="5"/>
      </w:r>
      <w:r w:rsidR="00E6230E" w:rsidRPr="00CB0A89">
        <w:rPr>
          <w:rFonts w:ascii="Times New Roman" w:hAnsi="Times New Roman" w:cs="Times New Roman"/>
        </w:rPr>
        <w:t xml:space="preserve"> </w:t>
      </w:r>
      <w:r w:rsidR="00720117" w:rsidRPr="00CB0A89">
        <w:rPr>
          <w:rFonts w:ascii="Times New Roman" w:hAnsi="Times New Roman" w:cs="Times New Roman"/>
        </w:rPr>
        <w:t>From January-June 2022, xylazine was detected in 28% of tested opioid samples throughout Massachusetts.</w:t>
      </w:r>
      <w:r w:rsidR="00720117" w:rsidRPr="00CB0A89">
        <w:rPr>
          <w:rStyle w:val="FootnoteReference"/>
          <w:rFonts w:ascii="Times New Roman" w:hAnsi="Times New Roman" w:cs="Times New Roman"/>
        </w:rPr>
        <w:footnoteReference w:id="6"/>
      </w:r>
      <w:r w:rsidR="00720117" w:rsidRPr="00CB0A89">
        <w:rPr>
          <w:rFonts w:ascii="Times New Roman" w:hAnsi="Times New Roman" w:cs="Times New Roman"/>
        </w:rPr>
        <w:t xml:space="preserve"> </w:t>
      </w:r>
    </w:p>
    <w:p w14:paraId="79413F71" w14:textId="77777777" w:rsidR="00381872" w:rsidRPr="00CB0A89" w:rsidRDefault="00381872" w:rsidP="00381872">
      <w:pPr>
        <w:spacing w:after="0"/>
        <w:rPr>
          <w:rFonts w:ascii="Times New Roman" w:hAnsi="Times New Roman" w:cs="Times New Roman"/>
        </w:rPr>
      </w:pPr>
    </w:p>
    <w:p w14:paraId="5F5D246B" w14:textId="4983FD13" w:rsidR="003E0AB2" w:rsidRPr="00CB0A89" w:rsidRDefault="00381872" w:rsidP="003E0AB2">
      <w:pPr>
        <w:spacing w:after="0"/>
        <w:rPr>
          <w:rFonts w:ascii="Times New Roman" w:hAnsi="Times New Roman" w:cs="Times New Roman"/>
        </w:rPr>
      </w:pPr>
      <w:r w:rsidRPr="00CB0A89">
        <w:rPr>
          <w:rFonts w:ascii="Times New Roman" w:hAnsi="Times New Roman" w:cs="Times New Roman"/>
        </w:rPr>
        <w:t>Infection</w:t>
      </w:r>
      <w:r w:rsidR="486AD920" w:rsidRPr="00CB0A89">
        <w:rPr>
          <w:rFonts w:ascii="Times New Roman" w:hAnsi="Times New Roman" w:cs="Times New Roman"/>
        </w:rPr>
        <w:t>s</w:t>
      </w:r>
      <w:r w:rsidRPr="00CB0A89">
        <w:rPr>
          <w:rFonts w:ascii="Times New Roman" w:hAnsi="Times New Roman" w:cs="Times New Roman"/>
        </w:rPr>
        <w:t xml:space="preserve"> related to drug use </w:t>
      </w:r>
      <w:r w:rsidR="5BABE073" w:rsidRPr="00CB0A89">
        <w:rPr>
          <w:rFonts w:ascii="Times New Roman" w:hAnsi="Times New Roman" w:cs="Times New Roman"/>
        </w:rPr>
        <w:t>(</w:t>
      </w:r>
      <w:r w:rsidRPr="00CB0A89">
        <w:rPr>
          <w:rFonts w:ascii="Times New Roman" w:hAnsi="Times New Roman" w:cs="Times New Roman"/>
        </w:rPr>
        <w:t>including HIV, hepatitis C, and skin and soft-tissue infections</w:t>
      </w:r>
      <w:r w:rsidR="1F68E331" w:rsidRPr="00CB0A89">
        <w:rPr>
          <w:rFonts w:ascii="Times New Roman" w:hAnsi="Times New Roman" w:cs="Times New Roman"/>
        </w:rPr>
        <w:t>)</w:t>
      </w:r>
      <w:r w:rsidRPr="00CB0A89">
        <w:rPr>
          <w:rFonts w:ascii="Times New Roman" w:hAnsi="Times New Roman" w:cs="Times New Roman"/>
        </w:rPr>
        <w:t xml:space="preserve"> necessitate health care and public health intervention</w:t>
      </w:r>
      <w:r w:rsidR="3F7C7EE7" w:rsidRPr="00CB0A89">
        <w:rPr>
          <w:rFonts w:ascii="Times New Roman" w:hAnsi="Times New Roman" w:cs="Times New Roman"/>
        </w:rPr>
        <w:t>s, which are costly and tax an already overburdened system.</w:t>
      </w:r>
      <w:r w:rsidRPr="00CB0A89">
        <w:rPr>
          <w:rFonts w:ascii="Times New Roman" w:hAnsi="Times New Roman" w:cs="Times New Roman"/>
        </w:rPr>
        <w:t xml:space="preserve"> Notably, several recent HIV outbreaks </w:t>
      </w:r>
      <w:r w:rsidR="00C64104">
        <w:rPr>
          <w:rFonts w:ascii="Times New Roman" w:hAnsi="Times New Roman" w:cs="Times New Roman"/>
        </w:rPr>
        <w:t xml:space="preserve">in Massachusetts </w:t>
      </w:r>
      <w:r w:rsidRPr="00CB0A89">
        <w:rPr>
          <w:rFonts w:ascii="Times New Roman" w:hAnsi="Times New Roman" w:cs="Times New Roman"/>
        </w:rPr>
        <w:t>have been directly linked to people who inject drugs and increases in local polysubstance and stimulant use.</w:t>
      </w:r>
      <w:r w:rsidR="00980B41" w:rsidRPr="00CB0A89">
        <w:rPr>
          <w:rStyle w:val="FootnoteReference"/>
          <w:rFonts w:ascii="Times New Roman" w:hAnsi="Times New Roman" w:cs="Times New Roman"/>
        </w:rPr>
        <w:footnoteReference w:id="7"/>
      </w:r>
    </w:p>
    <w:p w14:paraId="560CE87D" w14:textId="58F35EE4" w:rsidR="00F44220" w:rsidRPr="00CB0A89" w:rsidRDefault="00F44220" w:rsidP="003E0AB2">
      <w:pPr>
        <w:spacing w:after="0"/>
        <w:rPr>
          <w:rFonts w:ascii="Times New Roman" w:hAnsi="Times New Roman" w:cs="Times New Roman"/>
        </w:rPr>
      </w:pPr>
    </w:p>
    <w:p w14:paraId="29F75F56" w14:textId="48B69FD0" w:rsidR="00101FB2" w:rsidRPr="00CB0A89" w:rsidRDefault="00101FB2" w:rsidP="00631DFE">
      <w:pPr>
        <w:pStyle w:val="Heading1"/>
        <w:numPr>
          <w:ilvl w:val="0"/>
          <w:numId w:val="21"/>
        </w:numPr>
        <w:spacing w:before="0"/>
        <w:rPr>
          <w:rFonts w:ascii="Times New Roman" w:hAnsi="Times New Roman" w:cs="Times New Roman"/>
          <w:b/>
          <w:bCs/>
          <w:color w:val="auto"/>
          <w:sz w:val="22"/>
          <w:szCs w:val="22"/>
        </w:rPr>
      </w:pPr>
      <w:r w:rsidRPr="00CB0A89">
        <w:rPr>
          <w:rFonts w:ascii="Times New Roman" w:hAnsi="Times New Roman" w:cs="Times New Roman"/>
          <w:b/>
          <w:bCs/>
          <w:color w:val="auto"/>
          <w:sz w:val="22"/>
          <w:szCs w:val="22"/>
        </w:rPr>
        <w:lastRenderedPageBreak/>
        <w:t>Harm Reduction Services in Massachusetts</w:t>
      </w:r>
    </w:p>
    <w:p w14:paraId="56661B7F" w14:textId="77777777" w:rsidR="00833D49" w:rsidRPr="00631DFE" w:rsidRDefault="00833D49" w:rsidP="003F6181">
      <w:pPr>
        <w:spacing w:after="0"/>
      </w:pPr>
    </w:p>
    <w:p w14:paraId="075FD254" w14:textId="2FDEC45E" w:rsidR="00AF4A19" w:rsidRPr="00AF4A19" w:rsidRDefault="00BF6EF1" w:rsidP="00AF4A19">
      <w:pPr>
        <w:spacing w:after="0" w:line="240" w:lineRule="auto"/>
        <w:jc w:val="both"/>
        <w:textAlignment w:val="baseline"/>
        <w:rPr>
          <w:rFonts w:ascii="Times New Roman" w:eastAsia="Times New Roman" w:hAnsi="Times New Roman" w:cs="Times New Roman"/>
          <w:kern w:val="0"/>
          <w14:ligatures w14:val="none"/>
        </w:rPr>
      </w:pPr>
      <w:r w:rsidRPr="00CB0A89">
        <w:rPr>
          <w:rFonts w:ascii="Times New Roman" w:eastAsia="Times New Roman" w:hAnsi="Times New Roman" w:cs="Times New Roman"/>
          <w:kern w:val="0"/>
          <w14:ligatures w14:val="none"/>
        </w:rPr>
        <w:t>H</w:t>
      </w:r>
      <w:r w:rsidR="00AF4A19" w:rsidRPr="00AF4A19">
        <w:rPr>
          <w:rFonts w:ascii="Times New Roman" w:eastAsia="Times New Roman" w:hAnsi="Times New Roman" w:cs="Times New Roman"/>
          <w:kern w:val="0"/>
          <w14:ligatures w14:val="none"/>
        </w:rPr>
        <w:t xml:space="preserve">arm reduction interventions </w:t>
      </w:r>
      <w:r w:rsidRPr="00CB0A89">
        <w:rPr>
          <w:rFonts w:ascii="Times New Roman" w:eastAsia="Times New Roman" w:hAnsi="Times New Roman" w:cs="Times New Roman"/>
          <w:kern w:val="0"/>
          <w14:ligatures w14:val="none"/>
        </w:rPr>
        <w:t xml:space="preserve">for people who use drugs (PWUD) </w:t>
      </w:r>
      <w:r w:rsidR="00AF4A19" w:rsidRPr="00AF4A19">
        <w:rPr>
          <w:rFonts w:ascii="Times New Roman" w:eastAsia="Times New Roman" w:hAnsi="Times New Roman" w:cs="Times New Roman"/>
          <w:kern w:val="0"/>
          <w14:ligatures w14:val="none"/>
        </w:rPr>
        <w:t xml:space="preserve">aim to decrease the negative consequences associated with </w:t>
      </w:r>
      <w:r w:rsidRPr="00CB0A89">
        <w:rPr>
          <w:rFonts w:ascii="Times New Roman" w:eastAsia="Times New Roman" w:hAnsi="Times New Roman" w:cs="Times New Roman"/>
          <w:kern w:val="0"/>
          <w14:ligatures w14:val="none"/>
        </w:rPr>
        <w:t>substance</w:t>
      </w:r>
      <w:r w:rsidR="00AF4A19" w:rsidRPr="00AF4A19">
        <w:rPr>
          <w:rFonts w:ascii="Times New Roman" w:eastAsia="Times New Roman" w:hAnsi="Times New Roman" w:cs="Times New Roman"/>
          <w:kern w:val="0"/>
          <w14:ligatures w14:val="none"/>
        </w:rPr>
        <w:t xml:space="preserve"> use by offering non-judgmental, person-centered care. Decades of research </w:t>
      </w:r>
      <w:r w:rsidR="6784ACEB" w:rsidRPr="00AF4A19">
        <w:rPr>
          <w:rFonts w:ascii="Times New Roman" w:eastAsia="Times New Roman" w:hAnsi="Times New Roman" w:cs="Times New Roman"/>
          <w:kern w:val="0"/>
          <w14:ligatures w14:val="none"/>
        </w:rPr>
        <w:t xml:space="preserve">have </w:t>
      </w:r>
      <w:r w:rsidR="00AF4A19" w:rsidRPr="00AF4A19">
        <w:rPr>
          <w:rFonts w:ascii="Times New Roman" w:eastAsia="Times New Roman" w:hAnsi="Times New Roman" w:cs="Times New Roman"/>
          <w:kern w:val="0"/>
          <w14:ligatures w14:val="none"/>
        </w:rPr>
        <w:t>shown that such harm reduction strategies work to prevent overdose deaths, prevent transmission of infectious disease</w:t>
      </w:r>
      <w:r w:rsidR="4C58B899" w:rsidRPr="00AF4A19">
        <w:rPr>
          <w:rFonts w:ascii="Times New Roman" w:eastAsia="Times New Roman" w:hAnsi="Times New Roman" w:cs="Times New Roman"/>
          <w:kern w:val="0"/>
          <w14:ligatures w14:val="none"/>
        </w:rPr>
        <w:t>s</w:t>
      </w:r>
      <w:r w:rsidR="00AF4A19" w:rsidRPr="00AF4A19">
        <w:rPr>
          <w:rFonts w:ascii="Times New Roman" w:eastAsia="Times New Roman" w:hAnsi="Times New Roman" w:cs="Times New Roman"/>
          <w:kern w:val="0"/>
          <w14:ligatures w14:val="none"/>
        </w:rPr>
        <w:t>, and reduce emergency department visits and other healthcare costs while creating opportunities for connection and engagement to compassionate care.</w:t>
      </w:r>
      <w:r w:rsidRPr="00CB0A89">
        <w:rPr>
          <w:rStyle w:val="FootnoteReference"/>
          <w:rFonts w:ascii="Times New Roman" w:eastAsia="Times New Roman" w:hAnsi="Times New Roman" w:cs="Times New Roman"/>
          <w:kern w:val="0"/>
          <w14:ligatures w14:val="none"/>
        </w:rPr>
        <w:footnoteReference w:id="8"/>
      </w:r>
      <w:r w:rsidR="00AF4A19" w:rsidRPr="00AF4A19">
        <w:rPr>
          <w:rFonts w:ascii="Times New Roman" w:eastAsia="Times New Roman" w:hAnsi="Times New Roman" w:cs="Times New Roman"/>
          <w:kern w:val="0"/>
          <w14:ligatures w14:val="none"/>
        </w:rPr>
        <w:t>  </w:t>
      </w:r>
    </w:p>
    <w:p w14:paraId="02149107" w14:textId="77777777" w:rsidR="00AF4A19" w:rsidRPr="00AF4A19" w:rsidRDefault="00AF4A19" w:rsidP="00AF4A19">
      <w:pPr>
        <w:spacing w:after="0" w:line="240" w:lineRule="auto"/>
        <w:jc w:val="both"/>
        <w:textAlignment w:val="baseline"/>
        <w:rPr>
          <w:rFonts w:ascii="Times New Roman" w:eastAsia="Times New Roman" w:hAnsi="Times New Roman" w:cs="Times New Roman"/>
          <w:kern w:val="0"/>
          <w14:ligatures w14:val="none"/>
        </w:rPr>
      </w:pPr>
      <w:r w:rsidRPr="00AF4A19">
        <w:rPr>
          <w:rFonts w:ascii="Times New Roman" w:eastAsia="Times New Roman" w:hAnsi="Times New Roman" w:cs="Times New Roman"/>
          <w:kern w:val="0"/>
          <w14:ligatures w14:val="none"/>
        </w:rPr>
        <w:t> </w:t>
      </w:r>
    </w:p>
    <w:p w14:paraId="7F2AACFB" w14:textId="090B4551" w:rsidR="00E70213" w:rsidRPr="00CB0A89" w:rsidRDefault="00E70213" w:rsidP="004F0B03">
      <w:pPr>
        <w:spacing w:after="0" w:line="240" w:lineRule="auto"/>
        <w:jc w:val="both"/>
        <w:textAlignment w:val="baseline"/>
        <w:rPr>
          <w:rFonts w:ascii="Times New Roman" w:eastAsia="Times New Roman" w:hAnsi="Times New Roman" w:cs="Times New Roman"/>
          <w:kern w:val="0"/>
          <w14:ligatures w14:val="none"/>
        </w:rPr>
      </w:pPr>
      <w:r w:rsidRPr="00CB0A89">
        <w:rPr>
          <w:rFonts w:ascii="Times New Roman" w:eastAsia="Times New Roman" w:hAnsi="Times New Roman" w:cs="Times New Roman"/>
          <w:kern w:val="0"/>
          <w14:ligatures w14:val="none"/>
        </w:rPr>
        <w:t>With leadership from the Healey-Driscoll Administration</w:t>
      </w:r>
      <w:r w:rsidR="000A67B3" w:rsidRPr="00CB0A89">
        <w:rPr>
          <w:rFonts w:ascii="Times New Roman" w:eastAsia="Times New Roman" w:hAnsi="Times New Roman" w:cs="Times New Roman"/>
          <w:kern w:val="0"/>
          <w14:ligatures w14:val="none"/>
        </w:rPr>
        <w:t xml:space="preserve">, </w:t>
      </w:r>
      <w:r w:rsidRPr="00CB0A89">
        <w:rPr>
          <w:rFonts w:ascii="Times New Roman" w:eastAsia="Times New Roman" w:hAnsi="Times New Roman" w:cs="Times New Roman"/>
          <w:kern w:val="0"/>
          <w14:ligatures w14:val="none"/>
        </w:rPr>
        <w:t xml:space="preserve">support from the Legislature, </w:t>
      </w:r>
      <w:r w:rsidR="000A67B3" w:rsidRPr="00CB0A89">
        <w:rPr>
          <w:rFonts w:ascii="Times New Roman" w:eastAsia="Times New Roman" w:hAnsi="Times New Roman" w:cs="Times New Roman"/>
          <w:kern w:val="0"/>
          <w14:ligatures w14:val="none"/>
        </w:rPr>
        <w:t xml:space="preserve">and federal block grant dollars, </w:t>
      </w:r>
      <w:r w:rsidRPr="00CB0A89">
        <w:rPr>
          <w:rFonts w:ascii="Times New Roman" w:eastAsia="Times New Roman" w:hAnsi="Times New Roman" w:cs="Times New Roman"/>
          <w:kern w:val="0"/>
          <w14:ligatures w14:val="none"/>
        </w:rPr>
        <w:t xml:space="preserve">DPH has invested in extensive evidence-based harm reduction programming to </w:t>
      </w:r>
      <w:r w:rsidR="611C6B8A" w:rsidRPr="00CB0A89">
        <w:rPr>
          <w:rFonts w:ascii="Times New Roman" w:eastAsia="Times New Roman" w:hAnsi="Times New Roman" w:cs="Times New Roman"/>
          <w:kern w:val="0"/>
          <w14:ligatures w14:val="none"/>
        </w:rPr>
        <w:t xml:space="preserve">address </w:t>
      </w:r>
      <w:r w:rsidRPr="00CB0A89">
        <w:rPr>
          <w:rFonts w:ascii="Times New Roman" w:eastAsia="Times New Roman" w:hAnsi="Times New Roman" w:cs="Times New Roman"/>
          <w:kern w:val="0"/>
          <w14:ligatures w14:val="none"/>
        </w:rPr>
        <w:t>fatal overdoses, increase awareness around the drug supply</w:t>
      </w:r>
      <w:r w:rsidR="6550E0AD" w:rsidRPr="00CB0A89">
        <w:rPr>
          <w:rFonts w:ascii="Times New Roman" w:eastAsia="Times New Roman" w:hAnsi="Times New Roman" w:cs="Times New Roman"/>
          <w:kern w:val="0"/>
          <w14:ligatures w14:val="none"/>
        </w:rPr>
        <w:t xml:space="preserve"> (including the widespread contamination of fentanyl)</w:t>
      </w:r>
      <w:r w:rsidRPr="00CB0A89">
        <w:rPr>
          <w:rFonts w:ascii="Times New Roman" w:eastAsia="Times New Roman" w:hAnsi="Times New Roman" w:cs="Times New Roman"/>
          <w:kern w:val="0"/>
          <w14:ligatures w14:val="none"/>
        </w:rPr>
        <w:t>, and increase access to low-threshold services</w:t>
      </w:r>
      <w:r w:rsidR="77992F82" w:rsidRPr="00CB0A89">
        <w:rPr>
          <w:rFonts w:ascii="Times New Roman" w:eastAsia="Times New Roman" w:hAnsi="Times New Roman" w:cs="Times New Roman"/>
          <w:kern w:val="0"/>
          <w14:ligatures w14:val="none"/>
        </w:rPr>
        <w:t xml:space="preserve"> </w:t>
      </w:r>
      <w:r w:rsidR="00FA3B29">
        <w:rPr>
          <w:rFonts w:ascii="Times New Roman" w:eastAsia="Times New Roman" w:hAnsi="Times New Roman" w:cs="Times New Roman"/>
          <w:kern w:val="0"/>
          <w14:ligatures w14:val="none"/>
        </w:rPr>
        <w:t xml:space="preserve">including mobile addiction services, </w:t>
      </w:r>
      <w:r w:rsidR="00BC24C0">
        <w:rPr>
          <w:rFonts w:ascii="Times New Roman" w:eastAsia="Times New Roman" w:hAnsi="Times New Roman" w:cs="Times New Roman"/>
          <w:kern w:val="0"/>
          <w14:ligatures w14:val="none"/>
        </w:rPr>
        <w:t>expanded access to syringe service programs</w:t>
      </w:r>
      <w:r w:rsidR="00F71340">
        <w:rPr>
          <w:rFonts w:ascii="Times New Roman" w:eastAsia="Times New Roman" w:hAnsi="Times New Roman" w:cs="Times New Roman"/>
          <w:kern w:val="0"/>
          <w14:ligatures w14:val="none"/>
        </w:rPr>
        <w:t>, and increased distribution of naloxone and fentanyl test strips</w:t>
      </w:r>
      <w:r w:rsidR="004D2293">
        <w:rPr>
          <w:rFonts w:ascii="Times New Roman" w:eastAsia="Times New Roman" w:hAnsi="Times New Roman" w:cs="Times New Roman"/>
          <w:kern w:val="0"/>
          <w14:ligatures w14:val="none"/>
        </w:rPr>
        <w:t>.</w:t>
      </w:r>
      <w:r w:rsidRPr="00CB0A89">
        <w:rPr>
          <w:rFonts w:ascii="Times New Roman" w:eastAsia="Times New Roman" w:hAnsi="Times New Roman" w:cs="Times New Roman"/>
          <w:kern w:val="0"/>
          <w14:ligatures w14:val="none"/>
        </w:rPr>
        <w:t xml:space="preserve">  </w:t>
      </w:r>
    </w:p>
    <w:p w14:paraId="1ABA4641" w14:textId="77777777" w:rsidR="004F0B03" w:rsidRPr="00CB0A89" w:rsidRDefault="004F0B03" w:rsidP="004F0B03">
      <w:pPr>
        <w:spacing w:after="0" w:line="240" w:lineRule="auto"/>
        <w:jc w:val="both"/>
        <w:textAlignment w:val="baseline"/>
        <w:rPr>
          <w:rFonts w:ascii="Times New Roman" w:eastAsia="Times New Roman" w:hAnsi="Times New Roman" w:cs="Times New Roman"/>
          <w:kern w:val="0"/>
          <w14:ligatures w14:val="none"/>
        </w:rPr>
      </w:pPr>
    </w:p>
    <w:p w14:paraId="43DCBC8A" w14:textId="335F82E6" w:rsidR="00AF4A19" w:rsidRPr="00AF4A19" w:rsidRDefault="00AF4A19" w:rsidP="004F0B03">
      <w:pPr>
        <w:spacing w:after="0" w:line="240" w:lineRule="auto"/>
        <w:jc w:val="both"/>
        <w:textAlignment w:val="baseline"/>
        <w:rPr>
          <w:rFonts w:ascii="Times New Roman" w:eastAsia="Times New Roman" w:hAnsi="Times New Roman" w:cs="Times New Roman"/>
          <w:kern w:val="0"/>
          <w14:ligatures w14:val="none"/>
        </w:rPr>
      </w:pPr>
      <w:r w:rsidRPr="00AF4A19">
        <w:rPr>
          <w:rFonts w:ascii="Times New Roman" w:eastAsia="Times New Roman" w:hAnsi="Times New Roman" w:cs="Times New Roman"/>
          <w:kern w:val="0"/>
          <w14:ligatures w14:val="none"/>
        </w:rPr>
        <w:t>There are 60 state-funded Syringe Service Programs (SSPs) across the Commonwealth that offer sterile consumption supplies for people who use drugs and comprehensive services which may include: an Overdose Education and Naloxone Distribution (OEND) Program that conducts outreach and engagement via street outreach, mobile outreach or other strategies; testing for HIV, viral hepatitis, STIs and other infectious disease</w:t>
      </w:r>
      <w:r w:rsidR="56958BAA" w:rsidRPr="00AF4A19">
        <w:rPr>
          <w:rFonts w:ascii="Times New Roman" w:eastAsia="Times New Roman" w:hAnsi="Times New Roman" w:cs="Times New Roman"/>
          <w:kern w:val="0"/>
          <w14:ligatures w14:val="none"/>
        </w:rPr>
        <w:t>s</w:t>
      </w:r>
      <w:r w:rsidRPr="00AF4A19">
        <w:rPr>
          <w:rFonts w:ascii="Times New Roman" w:eastAsia="Times New Roman" w:hAnsi="Times New Roman" w:cs="Times New Roman"/>
          <w:kern w:val="0"/>
          <w14:ligatures w14:val="none"/>
        </w:rPr>
        <w:t>; linkages to care; and navigation</w:t>
      </w:r>
      <w:r w:rsidR="2E69A09A" w:rsidRPr="00AF4A19">
        <w:rPr>
          <w:rFonts w:ascii="Times New Roman" w:eastAsia="Times New Roman" w:hAnsi="Times New Roman" w:cs="Times New Roman"/>
          <w:kern w:val="0"/>
          <w14:ligatures w14:val="none"/>
        </w:rPr>
        <w:t xml:space="preserve"> for prophylaxis against HIV</w:t>
      </w:r>
      <w:r w:rsidRPr="00AF4A19">
        <w:rPr>
          <w:rFonts w:ascii="Times New Roman" w:eastAsia="Times New Roman" w:hAnsi="Times New Roman" w:cs="Times New Roman"/>
          <w:kern w:val="0"/>
          <w14:ligatures w14:val="none"/>
        </w:rPr>
        <w:t>.</w:t>
      </w:r>
      <w:r w:rsidR="00E615CA" w:rsidRPr="00CB0A89">
        <w:rPr>
          <w:rFonts w:ascii="Times New Roman" w:eastAsia="Times New Roman" w:hAnsi="Times New Roman" w:cs="Times New Roman"/>
          <w:kern w:val="0"/>
          <w14:ligatures w14:val="none"/>
        </w:rPr>
        <w:t xml:space="preserve"> </w:t>
      </w:r>
      <w:r w:rsidR="00843566" w:rsidRPr="00AF4A19">
        <w:rPr>
          <w:rFonts w:ascii="Times New Roman" w:eastAsia="Times New Roman" w:hAnsi="Times New Roman" w:cs="Times New Roman"/>
          <w:kern w:val="0"/>
          <w14:ligatures w14:val="none"/>
        </w:rPr>
        <w:t xml:space="preserve">In partnership with host communities and public safety partners, </w:t>
      </w:r>
      <w:r w:rsidR="000E0A2D" w:rsidRPr="2FF8E0C0">
        <w:rPr>
          <w:rFonts w:ascii="Times New Roman" w:eastAsia="Times New Roman" w:hAnsi="Times New Roman" w:cs="Times New Roman"/>
        </w:rPr>
        <w:t xml:space="preserve">the Department of Public Health </w:t>
      </w:r>
      <w:r w:rsidR="00002482">
        <w:rPr>
          <w:rFonts w:ascii="Times New Roman" w:eastAsia="Times New Roman" w:hAnsi="Times New Roman" w:cs="Times New Roman"/>
        </w:rPr>
        <w:t>has</w:t>
      </w:r>
      <w:r w:rsidR="00843566" w:rsidRPr="00AF4A19">
        <w:rPr>
          <w:rFonts w:ascii="Times New Roman" w:eastAsia="Times New Roman" w:hAnsi="Times New Roman" w:cs="Times New Roman"/>
          <w:kern w:val="0"/>
          <w14:ligatures w14:val="none"/>
        </w:rPr>
        <w:t xml:space="preserve"> expanded drug checking using mass spectrometers in SSPs, enabling comprehensive public reporting on the contents of drug samples to track contaminations in the drug supply.</w:t>
      </w:r>
      <w:r w:rsidR="00843566" w:rsidRPr="00CB0A89">
        <w:rPr>
          <w:rFonts w:ascii="Times New Roman" w:eastAsia="Times New Roman" w:hAnsi="Times New Roman" w:cs="Times New Roman"/>
          <w:kern w:val="0"/>
          <w14:ligatures w14:val="none"/>
        </w:rPr>
        <w:t xml:space="preserve"> </w:t>
      </w:r>
      <w:r w:rsidR="00E615CA" w:rsidRPr="00AF4A19">
        <w:rPr>
          <w:rFonts w:ascii="Times New Roman" w:eastAsia="Times New Roman" w:hAnsi="Times New Roman" w:cs="Times New Roman"/>
          <w:kern w:val="0"/>
          <w14:ligatures w14:val="none"/>
        </w:rPr>
        <w:t xml:space="preserve">DPH </w:t>
      </w:r>
      <w:r w:rsidR="00E615CA" w:rsidRPr="00CB0A89">
        <w:rPr>
          <w:rFonts w:ascii="Times New Roman" w:eastAsia="Times New Roman" w:hAnsi="Times New Roman" w:cs="Times New Roman"/>
          <w:kern w:val="0"/>
          <w14:ligatures w14:val="none"/>
        </w:rPr>
        <w:t xml:space="preserve">also </w:t>
      </w:r>
      <w:r w:rsidR="00E615CA" w:rsidRPr="00AF4A19">
        <w:rPr>
          <w:rFonts w:ascii="Times New Roman" w:eastAsia="Times New Roman" w:hAnsi="Times New Roman" w:cs="Times New Roman"/>
          <w:kern w:val="0"/>
          <w14:ligatures w14:val="none"/>
        </w:rPr>
        <w:t>funds public-private partnerships that provide mobile harm</w:t>
      </w:r>
      <w:r w:rsidR="00880D1A">
        <w:rPr>
          <w:rFonts w:ascii="Times New Roman" w:eastAsia="Times New Roman" w:hAnsi="Times New Roman" w:cs="Times New Roman"/>
          <w:kern w:val="0"/>
          <w14:ligatures w14:val="none"/>
        </w:rPr>
        <w:t xml:space="preserve"> </w:t>
      </w:r>
      <w:r w:rsidR="00E615CA" w:rsidRPr="00AF4A19">
        <w:rPr>
          <w:rFonts w:ascii="Times New Roman" w:eastAsia="Times New Roman" w:hAnsi="Times New Roman" w:cs="Times New Roman"/>
          <w:kern w:val="0"/>
          <w14:ligatures w14:val="none"/>
        </w:rPr>
        <w:t>reduction outreach and engagement, preventative and primary care delivered by clinical staff, induction to buprenorphine (a medication for opioid use disorder) and referrals to ongoing care.  </w:t>
      </w:r>
    </w:p>
    <w:p w14:paraId="797C45B0" w14:textId="77777777" w:rsidR="004F0B03" w:rsidRPr="00CB0A89" w:rsidRDefault="004F0B03" w:rsidP="004F0B03">
      <w:pPr>
        <w:spacing w:after="0" w:line="240" w:lineRule="auto"/>
        <w:jc w:val="both"/>
        <w:textAlignment w:val="baseline"/>
        <w:rPr>
          <w:rFonts w:ascii="Times New Roman" w:eastAsia="Times New Roman" w:hAnsi="Times New Roman" w:cs="Times New Roman"/>
          <w:i/>
          <w:iCs/>
          <w:kern w:val="0"/>
          <w14:ligatures w14:val="none"/>
        </w:rPr>
      </w:pPr>
    </w:p>
    <w:p w14:paraId="3C822369" w14:textId="6293ED57" w:rsidR="00017300" w:rsidRPr="00AF4A19" w:rsidRDefault="00AF4A19" w:rsidP="00017300">
      <w:pPr>
        <w:spacing w:after="0" w:line="240" w:lineRule="auto"/>
        <w:jc w:val="both"/>
        <w:textAlignment w:val="baseline"/>
        <w:rPr>
          <w:rFonts w:ascii="Times New Roman" w:eastAsia="Times New Roman" w:hAnsi="Times New Roman" w:cs="Times New Roman"/>
          <w:kern w:val="0"/>
          <w:sz w:val="24"/>
          <w:szCs w:val="24"/>
          <w14:ligatures w14:val="none"/>
        </w:rPr>
      </w:pPr>
      <w:r w:rsidRPr="00AF4A19">
        <w:rPr>
          <w:rFonts w:ascii="Times New Roman" w:eastAsia="Times New Roman" w:hAnsi="Times New Roman" w:cs="Times New Roman"/>
          <w:kern w:val="0"/>
          <w14:ligatures w14:val="none"/>
        </w:rPr>
        <w:t xml:space="preserve">Since the start of the Healey-Driscoll Administration, DPH has funded and overseen the distribution of over </w:t>
      </w:r>
      <w:r w:rsidR="005F7584" w:rsidRPr="00CB0A89">
        <w:rPr>
          <w:rFonts w:ascii="Times New Roman" w:eastAsia="Times New Roman" w:hAnsi="Times New Roman" w:cs="Times New Roman"/>
          <w:kern w:val="0"/>
          <w14:ligatures w14:val="none"/>
        </w:rPr>
        <w:t>173</w:t>
      </w:r>
      <w:r w:rsidRPr="00AF4A19">
        <w:rPr>
          <w:rFonts w:ascii="Times New Roman" w:eastAsia="Times New Roman" w:hAnsi="Times New Roman" w:cs="Times New Roman"/>
          <w:kern w:val="0"/>
          <w14:ligatures w14:val="none"/>
        </w:rPr>
        <w:t>,</w:t>
      </w:r>
      <w:r w:rsidR="005F7584" w:rsidRPr="00CB0A89">
        <w:rPr>
          <w:rFonts w:ascii="Times New Roman" w:eastAsia="Times New Roman" w:hAnsi="Times New Roman" w:cs="Times New Roman"/>
          <w:kern w:val="0"/>
          <w14:ligatures w14:val="none"/>
        </w:rPr>
        <w:t>5</w:t>
      </w:r>
      <w:r w:rsidRPr="00AF4A19">
        <w:rPr>
          <w:rFonts w:ascii="Times New Roman" w:eastAsia="Times New Roman" w:hAnsi="Times New Roman" w:cs="Times New Roman"/>
          <w:kern w:val="0"/>
          <w14:ligatures w14:val="none"/>
        </w:rPr>
        <w:t xml:space="preserve">00 doses of </w:t>
      </w:r>
      <w:r w:rsidR="665616AA" w:rsidRPr="00AF4A19">
        <w:rPr>
          <w:rFonts w:ascii="Times New Roman" w:eastAsia="Times New Roman" w:hAnsi="Times New Roman" w:cs="Times New Roman"/>
          <w:kern w:val="0"/>
          <w14:ligatures w14:val="none"/>
        </w:rPr>
        <w:t>naloxone,</w:t>
      </w:r>
      <w:r w:rsidRPr="00AF4A19">
        <w:rPr>
          <w:rFonts w:ascii="Times New Roman" w:eastAsia="Times New Roman" w:hAnsi="Times New Roman" w:cs="Times New Roman"/>
          <w:kern w:val="0"/>
          <w14:ligatures w14:val="none"/>
        </w:rPr>
        <w:t xml:space="preserve"> the overdose reversal antidote</w:t>
      </w:r>
      <w:r w:rsidR="30048A94" w:rsidRPr="00AF4A19">
        <w:rPr>
          <w:rFonts w:ascii="Times New Roman" w:eastAsia="Times New Roman" w:hAnsi="Times New Roman" w:cs="Times New Roman"/>
          <w:kern w:val="0"/>
          <w14:ligatures w14:val="none"/>
        </w:rPr>
        <w:t>,</w:t>
      </w:r>
      <w:r w:rsidRPr="00AF4A19">
        <w:rPr>
          <w:rFonts w:ascii="Times New Roman" w:eastAsia="Times New Roman" w:hAnsi="Times New Roman" w:cs="Times New Roman"/>
          <w:kern w:val="0"/>
          <w14:ligatures w14:val="none"/>
        </w:rPr>
        <w:t xml:space="preserve"> to almost </w:t>
      </w:r>
      <w:r w:rsidR="005F7584" w:rsidRPr="00CB0A89">
        <w:rPr>
          <w:rFonts w:ascii="Times New Roman" w:eastAsia="Times New Roman" w:hAnsi="Times New Roman" w:cs="Times New Roman"/>
          <w:kern w:val="0"/>
          <w14:ligatures w14:val="none"/>
        </w:rPr>
        <w:t>52</w:t>
      </w:r>
      <w:r w:rsidRPr="00AF4A19">
        <w:rPr>
          <w:rFonts w:ascii="Times New Roman" w:eastAsia="Times New Roman" w:hAnsi="Times New Roman" w:cs="Times New Roman"/>
          <w:kern w:val="0"/>
          <w14:ligatures w14:val="none"/>
        </w:rPr>
        <w:t>,000 individuals, resulting in at least 2,</w:t>
      </w:r>
      <w:r w:rsidR="005F7584" w:rsidRPr="00CB0A89">
        <w:rPr>
          <w:rFonts w:ascii="Times New Roman" w:eastAsia="Times New Roman" w:hAnsi="Times New Roman" w:cs="Times New Roman"/>
          <w:kern w:val="0"/>
          <w14:ligatures w14:val="none"/>
        </w:rPr>
        <w:t xml:space="preserve">600 </w:t>
      </w:r>
      <w:r w:rsidRPr="00AF4A19">
        <w:rPr>
          <w:rFonts w:ascii="Times New Roman" w:eastAsia="Times New Roman" w:hAnsi="Times New Roman" w:cs="Times New Roman"/>
          <w:kern w:val="0"/>
          <w14:ligatures w14:val="none"/>
        </w:rPr>
        <w:t>overdose reversals. </w:t>
      </w:r>
      <w:r w:rsidR="000A67B3" w:rsidRPr="00CB0A89">
        <w:rPr>
          <w:rFonts w:ascii="Times New Roman" w:eastAsia="Times New Roman" w:hAnsi="Times New Roman" w:cs="Times New Roman"/>
          <w:kern w:val="0"/>
          <w14:ligatures w14:val="none"/>
        </w:rPr>
        <w:t>First responders and schools have ordered an additional 35,200 doses of DPH-funded naloxone to use for emergency response.</w:t>
      </w:r>
      <w:r w:rsidR="001E51F5" w:rsidRPr="00CB0A89">
        <w:rPr>
          <w:rFonts w:ascii="Times New Roman" w:eastAsia="Times New Roman" w:hAnsi="Times New Roman" w:cs="Times New Roman"/>
          <w:kern w:val="0"/>
          <w14:ligatures w14:val="none"/>
        </w:rPr>
        <w:t xml:space="preserve"> </w:t>
      </w:r>
      <w:r w:rsidRPr="00AF4A19">
        <w:rPr>
          <w:rFonts w:ascii="Times New Roman" w:eastAsia="Times New Roman" w:hAnsi="Times New Roman" w:cs="Times New Roman"/>
          <w:kern w:val="0"/>
          <w14:ligatures w14:val="none"/>
        </w:rPr>
        <w:t>Since 2007, over 820,000 free doses of naloxone have been distributed to over 168,000 individuals, resulting in at least 36,000 overdose reversals. </w:t>
      </w:r>
      <w:r w:rsidR="00017300" w:rsidRPr="00AF4A19">
        <w:rPr>
          <w:rFonts w:ascii="Times New Roman" w:eastAsia="Times New Roman" w:hAnsi="Times New Roman" w:cs="Times New Roman"/>
          <w:kern w:val="0"/>
          <w14:ligatures w14:val="none"/>
        </w:rPr>
        <w:t>DPH has</w:t>
      </w:r>
      <w:r w:rsidR="001E51F5" w:rsidRPr="00CB0A89">
        <w:rPr>
          <w:rFonts w:ascii="Times New Roman" w:eastAsia="Times New Roman" w:hAnsi="Times New Roman" w:cs="Times New Roman"/>
          <w:kern w:val="0"/>
          <w14:ligatures w14:val="none"/>
        </w:rPr>
        <w:t xml:space="preserve"> also</w:t>
      </w:r>
      <w:r w:rsidR="00017300" w:rsidRPr="00AF4A19">
        <w:rPr>
          <w:rFonts w:ascii="Times New Roman" w:eastAsia="Times New Roman" w:hAnsi="Times New Roman" w:cs="Times New Roman"/>
          <w:kern w:val="0"/>
          <w14:ligatures w14:val="none"/>
        </w:rPr>
        <w:t xml:space="preserve"> distributed </w:t>
      </w:r>
      <w:r w:rsidR="001E51F5" w:rsidRPr="00CB0A89">
        <w:rPr>
          <w:rFonts w:ascii="Times New Roman" w:eastAsia="Times New Roman" w:hAnsi="Times New Roman" w:cs="Times New Roman"/>
          <w:kern w:val="0"/>
          <w14:ligatures w14:val="none"/>
        </w:rPr>
        <w:t xml:space="preserve">over 233,000 </w:t>
      </w:r>
      <w:r w:rsidR="00017300" w:rsidRPr="00AF4A19">
        <w:rPr>
          <w:rFonts w:ascii="Times New Roman" w:eastAsia="Times New Roman" w:hAnsi="Times New Roman" w:cs="Times New Roman"/>
          <w:kern w:val="0"/>
          <w14:ligatures w14:val="none"/>
        </w:rPr>
        <w:t>fentanyl test strips</w:t>
      </w:r>
      <w:r w:rsidR="00017300" w:rsidRPr="00CB0A89">
        <w:rPr>
          <w:rFonts w:ascii="Times New Roman" w:eastAsia="Times New Roman" w:hAnsi="Times New Roman" w:cs="Times New Roman"/>
          <w:kern w:val="0"/>
          <w14:ligatures w14:val="none"/>
        </w:rPr>
        <w:t xml:space="preserve"> at no cost to consumers</w:t>
      </w:r>
      <w:r w:rsidR="00017300" w:rsidRPr="00AF4A19">
        <w:rPr>
          <w:rFonts w:ascii="Times New Roman" w:eastAsia="Times New Roman" w:hAnsi="Times New Roman" w:cs="Times New Roman"/>
          <w:kern w:val="0"/>
          <w14:ligatures w14:val="none"/>
        </w:rPr>
        <w:t xml:space="preserve"> to encourage widespread knowledge of and access to home-drug checking supplies.</w:t>
      </w:r>
      <w:r w:rsidR="001E51F5" w:rsidRPr="00CB0A89">
        <w:rPr>
          <w:rFonts w:ascii="Times New Roman" w:eastAsia="Times New Roman" w:hAnsi="Times New Roman" w:cs="Times New Roman"/>
          <w:kern w:val="0"/>
          <w14:ligatures w14:val="none"/>
        </w:rPr>
        <w:t xml:space="preserve"> </w:t>
      </w:r>
    </w:p>
    <w:p w14:paraId="69BC4AEF" w14:textId="77777777" w:rsidR="004F0B03" w:rsidRPr="00CB0A89" w:rsidRDefault="004F0B03" w:rsidP="004F0B03">
      <w:pPr>
        <w:spacing w:after="0" w:line="240" w:lineRule="auto"/>
        <w:jc w:val="both"/>
        <w:textAlignment w:val="baseline"/>
        <w:rPr>
          <w:rFonts w:ascii="Times New Roman" w:eastAsia="Times New Roman" w:hAnsi="Times New Roman" w:cs="Times New Roman"/>
          <w:i/>
          <w:iCs/>
          <w:kern w:val="0"/>
          <w14:ligatures w14:val="none"/>
        </w:rPr>
      </w:pPr>
    </w:p>
    <w:p w14:paraId="06AF4341" w14:textId="7447C279" w:rsidR="00A97260" w:rsidRPr="00CB0A89" w:rsidRDefault="00AF4A19" w:rsidP="00A97260">
      <w:pPr>
        <w:spacing w:after="0" w:line="240" w:lineRule="auto"/>
        <w:jc w:val="both"/>
        <w:textAlignment w:val="baseline"/>
        <w:rPr>
          <w:rFonts w:ascii="Times New Roman" w:eastAsia="Times New Roman" w:hAnsi="Times New Roman" w:cs="Times New Roman"/>
          <w:kern w:val="0"/>
          <w:sz w:val="24"/>
          <w:szCs w:val="24"/>
          <w14:ligatures w14:val="none"/>
        </w:rPr>
      </w:pPr>
      <w:r w:rsidRPr="00AF4A19">
        <w:rPr>
          <w:rFonts w:ascii="Times New Roman" w:eastAsia="Times New Roman" w:hAnsi="Times New Roman" w:cs="Times New Roman"/>
          <w:kern w:val="0"/>
          <w14:ligatures w14:val="none"/>
        </w:rPr>
        <w:t xml:space="preserve">The Healey-Driscoll Administration funded the expansion of a 24/7 </w:t>
      </w:r>
      <w:r w:rsidR="00FB4E87" w:rsidRPr="00CB0A89">
        <w:rPr>
          <w:rFonts w:ascii="Times New Roman" w:eastAsia="Times New Roman" w:hAnsi="Times New Roman" w:cs="Times New Roman"/>
          <w:kern w:val="0"/>
          <w14:ligatures w14:val="none"/>
        </w:rPr>
        <w:t xml:space="preserve">statewide </w:t>
      </w:r>
      <w:r w:rsidRPr="00AF4A19">
        <w:rPr>
          <w:rFonts w:ascii="Times New Roman" w:eastAsia="Times New Roman" w:hAnsi="Times New Roman" w:cs="Times New Roman"/>
          <w:kern w:val="0"/>
          <w14:ligatures w14:val="none"/>
        </w:rPr>
        <w:t>hotline for individuals to call</w:t>
      </w:r>
      <w:r w:rsidR="00FB4E87" w:rsidRPr="00CB0A89">
        <w:rPr>
          <w:rFonts w:ascii="Times New Roman" w:eastAsia="Times New Roman" w:hAnsi="Times New Roman" w:cs="Times New Roman"/>
          <w:kern w:val="0"/>
          <w14:ligatures w14:val="none"/>
        </w:rPr>
        <w:t xml:space="preserve"> </w:t>
      </w:r>
      <w:r w:rsidR="009D6B61" w:rsidRPr="00CB0A89">
        <w:rPr>
          <w:rFonts w:ascii="Times New Roman" w:eastAsia="Times New Roman" w:hAnsi="Times New Roman" w:cs="Times New Roman"/>
          <w:kern w:val="0"/>
          <w14:ligatures w14:val="none"/>
        </w:rPr>
        <w:t>for overdose prevention, detection, crisis response and reversal services for people who use drugs</w:t>
      </w:r>
      <w:r w:rsidRPr="00AF4A19">
        <w:rPr>
          <w:rFonts w:ascii="Times New Roman" w:eastAsia="Times New Roman" w:hAnsi="Times New Roman" w:cs="Times New Roman"/>
          <w:kern w:val="0"/>
          <w14:ligatures w14:val="none"/>
        </w:rPr>
        <w:t>. Helpline operators stay on the line with callers, alerting first responders only if the caller becomes unresponsive. </w:t>
      </w:r>
      <w:r w:rsidR="009D6B61" w:rsidRPr="00CB0A89">
        <w:rPr>
          <w:rFonts w:ascii="Times New Roman" w:eastAsia="Times New Roman" w:hAnsi="Times New Roman" w:cs="Times New Roman"/>
          <w:kern w:val="0"/>
          <w14:ligatures w14:val="none"/>
        </w:rPr>
        <w:t>From January-</w:t>
      </w:r>
      <w:r w:rsidR="00CD4F5C" w:rsidRPr="00CB0A89">
        <w:rPr>
          <w:rFonts w:ascii="Times New Roman" w:eastAsia="Times New Roman" w:hAnsi="Times New Roman" w:cs="Times New Roman"/>
          <w:kern w:val="0"/>
          <w14:ligatures w14:val="none"/>
        </w:rPr>
        <w:t>November</w:t>
      </w:r>
      <w:r w:rsidR="009D6B61" w:rsidRPr="00CB0A89">
        <w:rPr>
          <w:rFonts w:ascii="Times New Roman" w:eastAsia="Times New Roman" w:hAnsi="Times New Roman" w:cs="Times New Roman"/>
          <w:kern w:val="0"/>
          <w14:ligatures w14:val="none"/>
        </w:rPr>
        <w:t xml:space="preserve"> 2023, the hotline supervised </w:t>
      </w:r>
      <w:r w:rsidR="00CD4F5C" w:rsidRPr="00CB0A89">
        <w:rPr>
          <w:rFonts w:ascii="Times New Roman" w:eastAsia="Times New Roman" w:hAnsi="Times New Roman" w:cs="Times New Roman"/>
          <w:kern w:val="0"/>
          <w14:ligatures w14:val="none"/>
        </w:rPr>
        <w:t xml:space="preserve">over 1,050 use events and detected 9 overdoses. </w:t>
      </w:r>
    </w:p>
    <w:p w14:paraId="7ABB6EFE" w14:textId="5D5593D1" w:rsidR="5CB72E2B" w:rsidRDefault="5CB72E2B" w:rsidP="5CB72E2B">
      <w:pPr>
        <w:spacing w:after="0" w:line="240" w:lineRule="auto"/>
        <w:jc w:val="both"/>
        <w:rPr>
          <w:rFonts w:ascii="Times New Roman" w:eastAsia="Times New Roman" w:hAnsi="Times New Roman" w:cs="Times New Roman"/>
        </w:rPr>
      </w:pPr>
    </w:p>
    <w:p w14:paraId="0A0D4ABA" w14:textId="5E9115F9" w:rsidR="631537E3" w:rsidRDefault="68C867E8" w:rsidP="5CB72E2B">
      <w:pPr>
        <w:spacing w:after="0" w:line="240" w:lineRule="auto"/>
        <w:jc w:val="both"/>
        <w:rPr>
          <w:rFonts w:ascii="Times New Roman" w:eastAsia="Times New Roman" w:hAnsi="Times New Roman" w:cs="Times New Roman"/>
        </w:rPr>
      </w:pPr>
      <w:r w:rsidRPr="1C7089DB">
        <w:rPr>
          <w:rFonts w:ascii="Times New Roman" w:eastAsia="Times New Roman" w:hAnsi="Times New Roman" w:cs="Times New Roman"/>
        </w:rPr>
        <w:t xml:space="preserve">Despite </w:t>
      </w:r>
      <w:r w:rsidR="058709F5" w:rsidRPr="1C7089DB">
        <w:rPr>
          <w:rFonts w:ascii="Times New Roman" w:eastAsia="Times New Roman" w:hAnsi="Times New Roman" w:cs="Times New Roman"/>
        </w:rPr>
        <w:t xml:space="preserve">the state </w:t>
      </w:r>
      <w:r w:rsidR="64ACC550" w:rsidRPr="1C7089DB">
        <w:rPr>
          <w:rFonts w:ascii="Times New Roman" w:eastAsia="Times New Roman" w:hAnsi="Times New Roman" w:cs="Times New Roman"/>
        </w:rPr>
        <w:t>investing over $1</w:t>
      </w:r>
      <w:r w:rsidR="776D48F4" w:rsidRPr="1C7089DB">
        <w:rPr>
          <w:rFonts w:ascii="Times New Roman" w:eastAsia="Times New Roman" w:hAnsi="Times New Roman" w:cs="Times New Roman"/>
        </w:rPr>
        <w:t>.2</w:t>
      </w:r>
      <w:r w:rsidR="64ACC550" w:rsidRPr="1C7089DB">
        <w:rPr>
          <w:rFonts w:ascii="Times New Roman" w:eastAsia="Times New Roman" w:hAnsi="Times New Roman" w:cs="Times New Roman"/>
        </w:rPr>
        <w:t>B in substance use and harm reduction services from 20</w:t>
      </w:r>
      <w:r w:rsidR="22DACDE0" w:rsidRPr="1C7089DB">
        <w:rPr>
          <w:rFonts w:ascii="Times New Roman" w:eastAsia="Times New Roman" w:hAnsi="Times New Roman" w:cs="Times New Roman"/>
        </w:rPr>
        <w:t>1</w:t>
      </w:r>
      <w:r w:rsidR="34710431" w:rsidRPr="1C7089DB">
        <w:rPr>
          <w:rFonts w:ascii="Times New Roman" w:eastAsia="Times New Roman" w:hAnsi="Times New Roman" w:cs="Times New Roman"/>
        </w:rPr>
        <w:t>5</w:t>
      </w:r>
      <w:r w:rsidR="22DACDE0" w:rsidRPr="1C7089DB">
        <w:rPr>
          <w:rFonts w:ascii="Times New Roman" w:eastAsia="Times New Roman" w:hAnsi="Times New Roman" w:cs="Times New Roman"/>
        </w:rPr>
        <w:t xml:space="preserve">-2022, </w:t>
      </w:r>
      <w:r w:rsidR="34710431" w:rsidRPr="1C7089DB">
        <w:rPr>
          <w:rFonts w:ascii="Times New Roman" w:eastAsia="Times New Roman" w:hAnsi="Times New Roman" w:cs="Times New Roman"/>
        </w:rPr>
        <w:t xml:space="preserve">the rate of </w:t>
      </w:r>
      <w:r w:rsidRPr="1C7089DB">
        <w:rPr>
          <w:rFonts w:ascii="Times New Roman" w:eastAsia="Times New Roman" w:hAnsi="Times New Roman" w:cs="Times New Roman"/>
        </w:rPr>
        <w:t>opioid-related overdose death</w:t>
      </w:r>
      <w:r w:rsidR="1D177597" w:rsidRPr="1C7089DB">
        <w:rPr>
          <w:rFonts w:ascii="Times New Roman" w:eastAsia="Times New Roman" w:hAnsi="Times New Roman" w:cs="Times New Roman"/>
        </w:rPr>
        <w:t>s</w:t>
      </w:r>
      <w:r w:rsidRPr="1C7089DB">
        <w:rPr>
          <w:rFonts w:ascii="Times New Roman" w:eastAsia="Times New Roman" w:hAnsi="Times New Roman" w:cs="Times New Roman"/>
        </w:rPr>
        <w:t xml:space="preserve"> increased </w:t>
      </w:r>
      <w:r w:rsidR="34710431" w:rsidRPr="1C7089DB">
        <w:rPr>
          <w:rFonts w:ascii="Times New Roman" w:eastAsia="Times New Roman" w:hAnsi="Times New Roman" w:cs="Times New Roman"/>
        </w:rPr>
        <w:t>8</w:t>
      </w:r>
      <w:r w:rsidRPr="1C7089DB">
        <w:rPr>
          <w:rFonts w:ascii="Times New Roman" w:eastAsia="Times New Roman" w:hAnsi="Times New Roman" w:cs="Times New Roman"/>
        </w:rPr>
        <w:t xml:space="preserve">% </w:t>
      </w:r>
      <w:r w:rsidR="611FCB9C" w:rsidRPr="1C7089DB">
        <w:rPr>
          <w:rFonts w:ascii="Times New Roman" w:eastAsia="Times New Roman" w:hAnsi="Times New Roman" w:cs="Times New Roman"/>
        </w:rPr>
        <w:t>over the</w:t>
      </w:r>
      <w:r w:rsidR="769F764C" w:rsidRPr="1C7089DB">
        <w:rPr>
          <w:rFonts w:ascii="Times New Roman" w:eastAsia="Times New Roman" w:hAnsi="Times New Roman" w:cs="Times New Roman"/>
        </w:rPr>
        <w:t xml:space="preserve"> same time fram</w:t>
      </w:r>
      <w:r w:rsidR="0BF4707D" w:rsidRPr="1C7089DB">
        <w:rPr>
          <w:rFonts w:ascii="Times New Roman" w:eastAsia="Times New Roman" w:hAnsi="Times New Roman" w:cs="Times New Roman"/>
        </w:rPr>
        <w:t>e</w:t>
      </w:r>
      <w:r w:rsidRPr="1C7089DB">
        <w:rPr>
          <w:rFonts w:ascii="Times New Roman" w:eastAsia="Times New Roman" w:hAnsi="Times New Roman" w:cs="Times New Roman"/>
        </w:rPr>
        <w:t>.</w:t>
      </w:r>
    </w:p>
    <w:p w14:paraId="231E76D1" w14:textId="77777777" w:rsidR="00A97260" w:rsidRPr="00CB0A89" w:rsidRDefault="00A97260" w:rsidP="00A97260">
      <w:pPr>
        <w:spacing w:after="0" w:line="240" w:lineRule="auto"/>
        <w:jc w:val="both"/>
        <w:textAlignment w:val="baseline"/>
        <w:rPr>
          <w:rFonts w:ascii="Times New Roman" w:eastAsia="Times New Roman" w:hAnsi="Times New Roman" w:cs="Times New Roman"/>
          <w:kern w:val="0"/>
          <w14:ligatures w14:val="none"/>
        </w:rPr>
      </w:pPr>
    </w:p>
    <w:p w14:paraId="0B3AD666" w14:textId="254382A3" w:rsidR="00807D6B" w:rsidRPr="00CB0A89" w:rsidRDefault="675F8C25" w:rsidP="00631DFE">
      <w:pPr>
        <w:pStyle w:val="Heading1"/>
        <w:numPr>
          <w:ilvl w:val="0"/>
          <w:numId w:val="21"/>
        </w:numPr>
        <w:spacing w:before="0"/>
        <w:rPr>
          <w:rFonts w:ascii="Times New Roman" w:hAnsi="Times New Roman" w:cs="Times New Roman"/>
          <w:b/>
          <w:bCs/>
          <w:color w:val="auto"/>
          <w:sz w:val="22"/>
          <w:szCs w:val="22"/>
        </w:rPr>
      </w:pPr>
      <w:r w:rsidRPr="00CB0A89">
        <w:rPr>
          <w:rFonts w:ascii="Times New Roman" w:hAnsi="Times New Roman" w:cs="Times New Roman"/>
          <w:b/>
          <w:bCs/>
          <w:color w:val="auto"/>
          <w:sz w:val="22"/>
          <w:szCs w:val="22"/>
        </w:rPr>
        <w:t>Background</w:t>
      </w:r>
      <w:r w:rsidR="1EE4985F" w:rsidRPr="00CB0A89">
        <w:rPr>
          <w:rFonts w:ascii="Times New Roman" w:hAnsi="Times New Roman" w:cs="Times New Roman"/>
          <w:b/>
          <w:bCs/>
          <w:color w:val="auto"/>
          <w:sz w:val="22"/>
          <w:szCs w:val="22"/>
        </w:rPr>
        <w:t xml:space="preserve"> </w:t>
      </w:r>
      <w:r w:rsidR="00DB19AC" w:rsidRPr="00CB0A89">
        <w:rPr>
          <w:rFonts w:ascii="Times New Roman" w:hAnsi="Times New Roman" w:cs="Times New Roman"/>
          <w:b/>
          <w:bCs/>
          <w:color w:val="auto"/>
          <w:sz w:val="22"/>
          <w:szCs w:val="22"/>
        </w:rPr>
        <w:t xml:space="preserve">and Evidence </w:t>
      </w:r>
    </w:p>
    <w:p w14:paraId="4B7C55A3" w14:textId="4B974C36" w:rsidR="00C350C0" w:rsidRPr="00CB0A89" w:rsidRDefault="00C350C0" w:rsidP="1C7089DB">
      <w:pPr>
        <w:spacing w:after="0"/>
      </w:pPr>
    </w:p>
    <w:p w14:paraId="15764A66" w14:textId="63B8E44C" w:rsidR="00C350C0" w:rsidRPr="00CB0A89" w:rsidRDefault="00C350C0" w:rsidP="003E0AB2">
      <w:pPr>
        <w:spacing w:after="0"/>
        <w:rPr>
          <w:rFonts w:ascii="Times New Roman" w:eastAsia="Times New Roman" w:hAnsi="Times New Roman" w:cs="Times New Roman"/>
          <w:color w:val="000000" w:themeColor="text1"/>
        </w:rPr>
      </w:pPr>
      <w:r w:rsidRPr="00CB0A89">
        <w:rPr>
          <w:rFonts w:ascii="Times New Roman" w:eastAsia="Times New Roman" w:hAnsi="Times New Roman" w:cs="Times New Roman"/>
          <w:color w:val="000000" w:themeColor="text1"/>
        </w:rPr>
        <w:t xml:space="preserve">Overdose prevention centers (OPCs) - sometimes called supervised injection/consumption facilities, harm reduction centers, or safe consumption sites - are evidence-based harm reduction facilities where people who use drugs (PWUD) can consume pre-obtained drugs under the supervision of trained staff. Services provided at OPCs commonly include access to sterile supplies and overdose reversal medication; </w:t>
      </w:r>
      <w:r w:rsidRPr="00CB0A89">
        <w:rPr>
          <w:rFonts w:ascii="Times New Roman" w:eastAsia="Times New Roman" w:hAnsi="Times New Roman" w:cs="Times New Roman"/>
          <w:color w:val="000000" w:themeColor="text1"/>
        </w:rPr>
        <w:lastRenderedPageBreak/>
        <w:t xml:space="preserve">provision of harm reduction education; overdose monitoring; first aid administration; drug checking services, including analyzing samples and providing information back to people about the chemical composition; infectious disease testing; and referrals to health and social services including substance use disorder treatment.  </w:t>
      </w:r>
    </w:p>
    <w:p w14:paraId="24B17F4B" w14:textId="77777777" w:rsidR="00A12640" w:rsidRPr="00CB0A89" w:rsidRDefault="00A12640" w:rsidP="5CB72E2B">
      <w:pPr>
        <w:spacing w:after="0"/>
        <w:rPr>
          <w:rFonts w:ascii="Times New Roman" w:hAnsi="Times New Roman" w:cs="Times New Roman"/>
        </w:rPr>
      </w:pPr>
    </w:p>
    <w:p w14:paraId="0B41E2B6" w14:textId="6898D2EF" w:rsidR="00A12640" w:rsidRPr="00CB0A89" w:rsidRDefault="00C350C0" w:rsidP="00A12640">
      <w:pPr>
        <w:spacing w:after="0"/>
        <w:rPr>
          <w:rFonts w:ascii="Times New Roman" w:eastAsia="Times New Roman" w:hAnsi="Times New Roman" w:cs="Times New Roman"/>
          <w:color w:val="000000" w:themeColor="text1"/>
        </w:rPr>
      </w:pPr>
      <w:r w:rsidRPr="00CB0A89">
        <w:rPr>
          <w:rFonts w:ascii="Times New Roman" w:eastAsia="Times New Roman" w:hAnsi="Times New Roman" w:cs="Times New Roman"/>
          <w:color w:val="000000" w:themeColor="text1"/>
        </w:rPr>
        <w:t xml:space="preserve">OPCs are designed to reduce the negative health effects often associated with drug use </w:t>
      </w:r>
      <w:r w:rsidR="006B2E5A" w:rsidRPr="00CB0A89">
        <w:rPr>
          <w:rFonts w:ascii="Times New Roman" w:eastAsia="Times New Roman" w:hAnsi="Times New Roman" w:cs="Times New Roman"/>
          <w:color w:val="000000" w:themeColor="text1"/>
        </w:rPr>
        <w:t>including</w:t>
      </w:r>
      <w:r w:rsidRPr="00CB0A89">
        <w:rPr>
          <w:rFonts w:ascii="Times New Roman" w:eastAsia="Times New Roman" w:hAnsi="Times New Roman" w:cs="Times New Roman"/>
          <w:color w:val="000000" w:themeColor="text1"/>
        </w:rPr>
        <w:t xml:space="preserve"> </w:t>
      </w:r>
      <w:r w:rsidR="006B2E5A" w:rsidRPr="00CB0A89">
        <w:rPr>
          <w:rFonts w:ascii="Times New Roman" w:eastAsia="Times New Roman" w:hAnsi="Times New Roman" w:cs="Times New Roman"/>
          <w:color w:val="000000" w:themeColor="text1"/>
        </w:rPr>
        <w:t xml:space="preserve">fatal </w:t>
      </w:r>
      <w:r w:rsidRPr="00CB0A89">
        <w:rPr>
          <w:rFonts w:ascii="Times New Roman" w:eastAsia="Times New Roman" w:hAnsi="Times New Roman" w:cs="Times New Roman"/>
          <w:color w:val="000000" w:themeColor="text1"/>
        </w:rPr>
        <w:t>overdose, infectious disease transmission, and skin and soft tissue infections. OPCs have operated for more than 30 years in Canada, Australia, and much of Europe</w:t>
      </w:r>
      <w:r w:rsidR="42F9DA1B" w:rsidRPr="00CB0A89">
        <w:rPr>
          <w:rFonts w:ascii="Times New Roman" w:eastAsia="Times New Roman" w:hAnsi="Times New Roman" w:cs="Times New Roman"/>
          <w:color w:val="000000" w:themeColor="text1"/>
        </w:rPr>
        <w:t>; n</w:t>
      </w:r>
      <w:r w:rsidRPr="00CB0A89">
        <w:rPr>
          <w:rFonts w:ascii="Times New Roman" w:eastAsia="Times New Roman" w:hAnsi="Times New Roman" w:cs="Times New Roman"/>
          <w:color w:val="000000" w:themeColor="text1"/>
        </w:rPr>
        <w:t>o overdose death has ever been reported at a sanctioned OPC. There is significant evidence on the positive impact of OPCs on mortality, health outcomes, addiction treatment, crime, and cost,</w:t>
      </w:r>
      <w:r w:rsidR="00C74E0A" w:rsidRPr="00CB0A89">
        <w:rPr>
          <w:rStyle w:val="FootnoteReference"/>
          <w:rFonts w:ascii="Times New Roman" w:eastAsia="Times New Roman" w:hAnsi="Times New Roman" w:cs="Times New Roman"/>
          <w:color w:val="000000" w:themeColor="text1"/>
        </w:rPr>
        <w:footnoteReference w:id="9"/>
      </w:r>
      <w:r w:rsidRPr="00CB0A89">
        <w:rPr>
          <w:rFonts w:ascii="Times New Roman" w:eastAsia="Times New Roman" w:hAnsi="Times New Roman" w:cs="Times New Roman"/>
          <w:color w:val="000000" w:themeColor="text1"/>
          <w:vertAlign w:val="superscript"/>
          <w:lang w:val="en"/>
        </w:rPr>
        <w:t>,</w:t>
      </w:r>
      <w:r w:rsidRPr="00CB0A89">
        <w:rPr>
          <w:rStyle w:val="FootnoteReference"/>
          <w:rFonts w:ascii="Times New Roman" w:eastAsia="Times New Roman" w:hAnsi="Times New Roman" w:cs="Times New Roman"/>
          <w:color w:val="000000" w:themeColor="text1"/>
          <w:lang w:val="en"/>
        </w:rPr>
        <w:footnoteReference w:id="10"/>
      </w:r>
      <w:r w:rsidRPr="00CB0A89">
        <w:rPr>
          <w:rFonts w:ascii="Times New Roman" w:eastAsia="Times New Roman" w:hAnsi="Times New Roman" w:cs="Times New Roman"/>
          <w:color w:val="000000" w:themeColor="text1"/>
        </w:rPr>
        <w:t xml:space="preserve"> including:</w:t>
      </w:r>
    </w:p>
    <w:p w14:paraId="1D600DA8" w14:textId="77777777" w:rsidR="00E76956" w:rsidRPr="00CB0A89" w:rsidRDefault="00E76956" w:rsidP="00A12640">
      <w:pPr>
        <w:spacing w:after="0"/>
        <w:rPr>
          <w:rFonts w:ascii="Times New Roman" w:eastAsia="Times New Roman" w:hAnsi="Times New Roman" w:cs="Times New Roman"/>
          <w:color w:val="000000" w:themeColor="text1"/>
        </w:rPr>
      </w:pPr>
    </w:p>
    <w:p w14:paraId="336DF32C" w14:textId="5B85D091" w:rsidR="00A12640" w:rsidRPr="00CB0A89" w:rsidRDefault="1513D281" w:rsidP="00A12640">
      <w:pPr>
        <w:pStyle w:val="ListParagraph"/>
        <w:numPr>
          <w:ilvl w:val="0"/>
          <w:numId w:val="10"/>
        </w:numPr>
        <w:spacing w:after="0"/>
        <w:rPr>
          <w:rFonts w:ascii="Times New Roman" w:eastAsia="Times New Roman" w:hAnsi="Times New Roman" w:cs="Times New Roman"/>
          <w:color w:val="000000" w:themeColor="text1"/>
        </w:rPr>
      </w:pPr>
      <w:r w:rsidRPr="00CB0A89">
        <w:rPr>
          <w:rFonts w:ascii="Times New Roman" w:eastAsia="Times New Roman" w:hAnsi="Times New Roman" w:cs="Times New Roman"/>
          <w:color w:val="000000" w:themeColor="text1"/>
        </w:rPr>
        <w:t>Reduc</w:t>
      </w:r>
      <w:r w:rsidR="1BF594F5" w:rsidRPr="00CB0A89">
        <w:rPr>
          <w:rFonts w:ascii="Times New Roman" w:eastAsia="Times New Roman" w:hAnsi="Times New Roman" w:cs="Times New Roman"/>
          <w:color w:val="000000" w:themeColor="text1"/>
        </w:rPr>
        <w:t>ed</w:t>
      </w:r>
      <w:r w:rsidRPr="00CB0A89">
        <w:rPr>
          <w:rFonts w:ascii="Times New Roman" w:eastAsia="Times New Roman" w:hAnsi="Times New Roman" w:cs="Times New Roman"/>
          <w:color w:val="000000" w:themeColor="text1"/>
        </w:rPr>
        <w:t xml:space="preserve"> overdose mortality </w:t>
      </w:r>
      <w:r w:rsidR="76C513AB" w:rsidRPr="00CB0A89">
        <w:rPr>
          <w:rFonts w:ascii="Times New Roman" w:eastAsia="Times New Roman" w:hAnsi="Times New Roman" w:cs="Times New Roman"/>
          <w:color w:val="000000" w:themeColor="text1"/>
        </w:rPr>
        <w:t>by 35%</w:t>
      </w:r>
      <w:r w:rsidRPr="00CB0A89">
        <w:rPr>
          <w:rFonts w:ascii="Times New Roman" w:eastAsia="Times New Roman" w:hAnsi="Times New Roman" w:cs="Times New Roman"/>
          <w:color w:val="000000" w:themeColor="text1"/>
        </w:rPr>
        <w:t xml:space="preserve"> </w:t>
      </w:r>
      <w:r w:rsidR="2033D3AF">
        <w:rPr>
          <w:rFonts w:ascii="Times New Roman" w:eastAsia="Times New Roman" w:hAnsi="Times New Roman" w:cs="Times New Roman"/>
          <w:color w:val="000000" w:themeColor="text1"/>
        </w:rPr>
        <w:t xml:space="preserve">in the two years following </w:t>
      </w:r>
      <w:r w:rsidR="6D2DB3EE">
        <w:rPr>
          <w:rFonts w:ascii="Times New Roman" w:eastAsia="Times New Roman" w:hAnsi="Times New Roman" w:cs="Times New Roman"/>
          <w:color w:val="000000" w:themeColor="text1"/>
        </w:rPr>
        <w:t xml:space="preserve">the </w:t>
      </w:r>
      <w:r w:rsidR="2033D3AF">
        <w:rPr>
          <w:rFonts w:ascii="Times New Roman" w:eastAsia="Times New Roman" w:hAnsi="Times New Roman" w:cs="Times New Roman"/>
          <w:color w:val="000000" w:themeColor="text1"/>
        </w:rPr>
        <w:t xml:space="preserve">OPC </w:t>
      </w:r>
      <w:r w:rsidR="20E5B43B">
        <w:rPr>
          <w:rFonts w:ascii="Times New Roman" w:eastAsia="Times New Roman" w:hAnsi="Times New Roman" w:cs="Times New Roman"/>
          <w:color w:val="000000" w:themeColor="text1"/>
        </w:rPr>
        <w:t>opening</w:t>
      </w:r>
      <w:r w:rsidR="49411404">
        <w:rPr>
          <w:rFonts w:ascii="Times New Roman" w:eastAsia="Times New Roman" w:hAnsi="Times New Roman" w:cs="Times New Roman"/>
          <w:color w:val="000000" w:themeColor="text1"/>
        </w:rPr>
        <w:t xml:space="preserve"> as compared the two years prior </w:t>
      </w:r>
      <w:r w:rsidRPr="00CB0A89">
        <w:rPr>
          <w:rFonts w:ascii="Times New Roman" w:eastAsia="Times New Roman" w:hAnsi="Times New Roman" w:cs="Times New Roman"/>
          <w:color w:val="000000" w:themeColor="text1"/>
        </w:rPr>
        <w:t xml:space="preserve">and </w:t>
      </w:r>
      <w:r w:rsidR="1ECE4A60">
        <w:rPr>
          <w:rFonts w:ascii="Times New Roman" w:eastAsia="Times New Roman" w:hAnsi="Times New Roman" w:cs="Times New Roman"/>
          <w:color w:val="000000" w:themeColor="text1"/>
        </w:rPr>
        <w:t xml:space="preserve">reduced monthly </w:t>
      </w:r>
      <w:r w:rsidR="76C513AB" w:rsidRPr="00CB0A89">
        <w:rPr>
          <w:rFonts w:ascii="Times New Roman" w:eastAsia="Times New Roman" w:hAnsi="Times New Roman" w:cs="Times New Roman"/>
          <w:color w:val="000000" w:themeColor="text1"/>
        </w:rPr>
        <w:t xml:space="preserve">overdose-related </w:t>
      </w:r>
      <w:r w:rsidRPr="00CB0A89">
        <w:rPr>
          <w:rFonts w:ascii="Times New Roman" w:eastAsia="Times New Roman" w:hAnsi="Times New Roman" w:cs="Times New Roman"/>
          <w:color w:val="000000" w:themeColor="text1"/>
        </w:rPr>
        <w:t>ambulance calls by 67%</w:t>
      </w:r>
      <w:r w:rsidR="1ECE4A60">
        <w:rPr>
          <w:rFonts w:ascii="Times New Roman" w:eastAsia="Times New Roman" w:hAnsi="Times New Roman" w:cs="Times New Roman"/>
          <w:color w:val="000000" w:themeColor="text1"/>
        </w:rPr>
        <w:t xml:space="preserve"> </w:t>
      </w:r>
      <w:r w:rsidR="20E5B43B">
        <w:rPr>
          <w:rFonts w:ascii="Times New Roman" w:eastAsia="Times New Roman" w:hAnsi="Times New Roman" w:cs="Times New Roman"/>
          <w:color w:val="000000" w:themeColor="text1"/>
        </w:rPr>
        <w:t>in</w:t>
      </w:r>
      <w:r w:rsidR="1ECE4A60">
        <w:rPr>
          <w:rFonts w:ascii="Times New Roman" w:eastAsia="Times New Roman" w:hAnsi="Times New Roman" w:cs="Times New Roman"/>
          <w:color w:val="000000" w:themeColor="text1"/>
        </w:rPr>
        <w:t xml:space="preserve"> the five years following </w:t>
      </w:r>
      <w:r w:rsidR="20E5B43B">
        <w:rPr>
          <w:rFonts w:ascii="Times New Roman" w:eastAsia="Times New Roman" w:hAnsi="Times New Roman" w:cs="Times New Roman"/>
          <w:color w:val="000000" w:themeColor="text1"/>
        </w:rPr>
        <w:t xml:space="preserve">the </w:t>
      </w:r>
      <w:r w:rsidR="1ECE4A60">
        <w:rPr>
          <w:rFonts w:ascii="Times New Roman" w:eastAsia="Times New Roman" w:hAnsi="Times New Roman" w:cs="Times New Roman"/>
          <w:color w:val="000000" w:themeColor="text1"/>
        </w:rPr>
        <w:t>OPC</w:t>
      </w:r>
      <w:r w:rsidR="20E5B43B">
        <w:rPr>
          <w:rFonts w:ascii="Times New Roman" w:eastAsia="Times New Roman" w:hAnsi="Times New Roman" w:cs="Times New Roman"/>
          <w:color w:val="000000" w:themeColor="text1"/>
        </w:rPr>
        <w:t xml:space="preserve"> opening</w:t>
      </w:r>
      <w:r w:rsidR="1ECE4A60">
        <w:rPr>
          <w:rFonts w:ascii="Times New Roman" w:eastAsia="Times New Roman" w:hAnsi="Times New Roman" w:cs="Times New Roman"/>
          <w:color w:val="000000" w:themeColor="text1"/>
        </w:rPr>
        <w:t xml:space="preserve"> </w:t>
      </w:r>
      <w:r w:rsidR="20E5B43B">
        <w:rPr>
          <w:rFonts w:ascii="Times New Roman" w:eastAsia="Times New Roman" w:hAnsi="Times New Roman" w:cs="Times New Roman"/>
          <w:color w:val="000000" w:themeColor="text1"/>
        </w:rPr>
        <w:t>as compared to the 3 years prior</w:t>
      </w:r>
      <w:r w:rsidRPr="00CB0A89">
        <w:rPr>
          <w:rFonts w:ascii="Times New Roman" w:eastAsia="Times New Roman" w:hAnsi="Times New Roman" w:cs="Times New Roman"/>
          <w:color w:val="000000" w:themeColor="text1"/>
        </w:rPr>
        <w:t>.</w:t>
      </w:r>
      <w:r w:rsidR="00C350C0" w:rsidRPr="00CB0A89">
        <w:rPr>
          <w:rStyle w:val="FootnoteReference"/>
          <w:rFonts w:ascii="Times New Roman" w:eastAsia="Times New Roman" w:hAnsi="Times New Roman" w:cs="Times New Roman"/>
          <w:color w:val="000000" w:themeColor="text1"/>
          <w:lang w:val="en"/>
        </w:rPr>
        <w:footnoteReference w:id="11"/>
      </w:r>
      <w:r w:rsidRPr="00CB0A89">
        <w:rPr>
          <w:rFonts w:ascii="Times New Roman" w:eastAsia="Times New Roman" w:hAnsi="Times New Roman" w:cs="Times New Roman"/>
          <w:color w:val="000000" w:themeColor="text1"/>
          <w:vertAlign w:val="superscript"/>
        </w:rPr>
        <w:t>,</w:t>
      </w:r>
      <w:r w:rsidR="00C350C0" w:rsidRPr="00CB0A89">
        <w:rPr>
          <w:rStyle w:val="FootnoteReference"/>
          <w:rFonts w:ascii="Times New Roman" w:eastAsia="Times New Roman" w:hAnsi="Times New Roman" w:cs="Times New Roman"/>
          <w:color w:val="000000" w:themeColor="text1"/>
        </w:rPr>
        <w:footnoteReference w:id="12"/>
      </w:r>
    </w:p>
    <w:p w14:paraId="08C216D4" w14:textId="1EB4B46A" w:rsidR="00A12640" w:rsidRPr="00CB0A89" w:rsidRDefault="1513D281" w:rsidP="00A12640">
      <w:pPr>
        <w:pStyle w:val="ListParagraph"/>
        <w:numPr>
          <w:ilvl w:val="0"/>
          <w:numId w:val="10"/>
        </w:numPr>
        <w:spacing w:after="0"/>
        <w:rPr>
          <w:rFonts w:ascii="Times New Roman" w:eastAsia="Times New Roman" w:hAnsi="Times New Roman" w:cs="Times New Roman"/>
          <w:color w:val="000000" w:themeColor="text1"/>
        </w:rPr>
      </w:pPr>
      <w:r w:rsidRPr="00CB0A89">
        <w:rPr>
          <w:rFonts w:ascii="Times New Roman" w:eastAsia="Times New Roman" w:hAnsi="Times New Roman" w:cs="Times New Roman"/>
          <w:color w:val="000000" w:themeColor="text1"/>
        </w:rPr>
        <w:t>Decreas</w:t>
      </w:r>
      <w:r w:rsidR="1BF594F5" w:rsidRPr="00CB0A89">
        <w:rPr>
          <w:rFonts w:ascii="Times New Roman" w:eastAsia="Times New Roman" w:hAnsi="Times New Roman" w:cs="Times New Roman"/>
          <w:color w:val="000000" w:themeColor="text1"/>
        </w:rPr>
        <w:t>ed</w:t>
      </w:r>
      <w:r w:rsidRPr="00CB0A89">
        <w:rPr>
          <w:rFonts w:ascii="Times New Roman" w:eastAsia="Times New Roman" w:hAnsi="Times New Roman" w:cs="Times New Roman"/>
          <w:color w:val="000000" w:themeColor="text1"/>
        </w:rPr>
        <w:t xml:space="preserve"> harmful injection behaviors</w:t>
      </w:r>
      <w:r w:rsidR="3BCA5966" w:rsidRPr="00CB0A89">
        <w:rPr>
          <w:rFonts w:ascii="Times New Roman" w:eastAsia="Times New Roman" w:hAnsi="Times New Roman" w:cs="Times New Roman"/>
          <w:color w:val="000000" w:themeColor="text1"/>
        </w:rPr>
        <w:t>,</w:t>
      </w:r>
      <w:r w:rsidRPr="00CB0A89">
        <w:rPr>
          <w:rFonts w:ascii="Times New Roman" w:eastAsia="Times New Roman" w:hAnsi="Times New Roman" w:cs="Times New Roman"/>
          <w:color w:val="000000" w:themeColor="text1"/>
        </w:rPr>
        <w:t xml:space="preserve"> such as syringe sharing and re-use</w:t>
      </w:r>
      <w:r w:rsidR="4E79A52B" w:rsidRPr="00CB0A89">
        <w:rPr>
          <w:rFonts w:ascii="Times New Roman" w:eastAsia="Times New Roman" w:hAnsi="Times New Roman" w:cs="Times New Roman"/>
          <w:color w:val="000000" w:themeColor="text1"/>
        </w:rPr>
        <w:t>,</w:t>
      </w:r>
      <w:r w:rsidRPr="00CB0A89">
        <w:rPr>
          <w:rFonts w:ascii="Times New Roman" w:eastAsia="Times New Roman" w:hAnsi="Times New Roman" w:cs="Times New Roman"/>
          <w:color w:val="000000" w:themeColor="text1"/>
        </w:rPr>
        <w:t xml:space="preserve"> </w:t>
      </w:r>
      <w:r w:rsidR="4D55104C" w:rsidRPr="00CB0A89">
        <w:rPr>
          <w:rFonts w:ascii="Times New Roman" w:eastAsia="Times New Roman" w:hAnsi="Times New Roman" w:cs="Times New Roman"/>
          <w:color w:val="000000" w:themeColor="text1"/>
        </w:rPr>
        <w:t>resulting in</w:t>
      </w:r>
      <w:r w:rsidRPr="00CB0A89">
        <w:rPr>
          <w:rFonts w:ascii="Times New Roman" w:eastAsia="Times New Roman" w:hAnsi="Times New Roman" w:cs="Times New Roman"/>
          <w:color w:val="000000" w:themeColor="text1"/>
        </w:rPr>
        <w:t xml:space="preserve"> decrea</w:t>
      </w:r>
      <w:r w:rsidR="1BF594F5" w:rsidRPr="00CB0A89">
        <w:rPr>
          <w:rFonts w:ascii="Times New Roman" w:eastAsia="Times New Roman" w:hAnsi="Times New Roman" w:cs="Times New Roman"/>
          <w:color w:val="000000" w:themeColor="text1"/>
        </w:rPr>
        <w:t>sed</w:t>
      </w:r>
      <w:r w:rsidRPr="00CB0A89">
        <w:rPr>
          <w:rFonts w:ascii="Times New Roman" w:eastAsia="Times New Roman" w:hAnsi="Times New Roman" w:cs="Times New Roman"/>
          <w:color w:val="000000" w:themeColor="text1"/>
        </w:rPr>
        <w:t xml:space="preserve"> HIV infections.</w:t>
      </w:r>
      <w:r w:rsidR="00C350C0" w:rsidRPr="00CB0A89">
        <w:rPr>
          <w:rStyle w:val="FootnoteReference"/>
          <w:rFonts w:ascii="Times New Roman" w:eastAsia="Times New Roman" w:hAnsi="Times New Roman" w:cs="Times New Roman"/>
          <w:color w:val="000000" w:themeColor="text1"/>
        </w:rPr>
        <w:footnoteReference w:id="13"/>
      </w:r>
      <w:r w:rsidRPr="00CB0A89">
        <w:rPr>
          <w:rFonts w:ascii="Times New Roman" w:eastAsia="Times New Roman" w:hAnsi="Times New Roman" w:cs="Times New Roman"/>
          <w:color w:val="000000" w:themeColor="text1"/>
        </w:rPr>
        <w:t xml:space="preserve"> </w:t>
      </w:r>
    </w:p>
    <w:p w14:paraId="050077BB" w14:textId="16AF7614" w:rsidR="00A12640" w:rsidRPr="00CB0A89" w:rsidRDefault="00C350C0" w:rsidP="00A12640">
      <w:pPr>
        <w:pStyle w:val="ListParagraph"/>
        <w:numPr>
          <w:ilvl w:val="0"/>
          <w:numId w:val="10"/>
        </w:numPr>
        <w:spacing w:after="0"/>
        <w:rPr>
          <w:rFonts w:ascii="Times New Roman" w:eastAsia="Times New Roman" w:hAnsi="Times New Roman" w:cs="Times New Roman"/>
          <w:color w:val="000000" w:themeColor="text1"/>
        </w:rPr>
      </w:pPr>
      <w:r w:rsidRPr="00CB0A89">
        <w:rPr>
          <w:rFonts w:ascii="Times New Roman" w:eastAsia="Times New Roman" w:hAnsi="Times New Roman" w:cs="Times New Roman"/>
          <w:color w:val="000000" w:themeColor="text1"/>
        </w:rPr>
        <w:t>Increas</w:t>
      </w:r>
      <w:r w:rsidR="00DB19AC" w:rsidRPr="00CB0A89">
        <w:rPr>
          <w:rFonts w:ascii="Times New Roman" w:eastAsia="Times New Roman" w:hAnsi="Times New Roman" w:cs="Times New Roman"/>
          <w:color w:val="000000" w:themeColor="text1"/>
        </w:rPr>
        <w:t>ed</w:t>
      </w:r>
      <w:r w:rsidRPr="00CB0A89">
        <w:rPr>
          <w:rFonts w:ascii="Times New Roman" w:eastAsia="Times New Roman" w:hAnsi="Times New Roman" w:cs="Times New Roman"/>
          <w:color w:val="000000" w:themeColor="text1"/>
        </w:rPr>
        <w:t xml:space="preserve"> uptake in addiction treatment referral, detoxification, and methadone therapy.</w:t>
      </w:r>
      <w:r w:rsidRPr="00CB0A89">
        <w:rPr>
          <w:rStyle w:val="FootnoteReference"/>
          <w:rFonts w:ascii="Times New Roman" w:eastAsia="Times New Roman" w:hAnsi="Times New Roman" w:cs="Times New Roman"/>
          <w:color w:val="000000" w:themeColor="text1"/>
        </w:rPr>
        <w:footnoteReference w:id="14"/>
      </w:r>
    </w:p>
    <w:p w14:paraId="6A31AEAA" w14:textId="77777777" w:rsidR="00DB19AC" w:rsidRDefault="00C350C0" w:rsidP="00DB19AC">
      <w:pPr>
        <w:pStyle w:val="ListParagraph"/>
        <w:numPr>
          <w:ilvl w:val="0"/>
          <w:numId w:val="10"/>
        </w:numPr>
        <w:spacing w:after="0"/>
        <w:rPr>
          <w:rFonts w:ascii="Times New Roman" w:eastAsia="Times New Roman" w:hAnsi="Times New Roman" w:cs="Times New Roman"/>
          <w:color w:val="000000" w:themeColor="text1"/>
        </w:rPr>
      </w:pPr>
      <w:r w:rsidRPr="00CB0A89">
        <w:rPr>
          <w:rFonts w:ascii="Times New Roman" w:eastAsia="Times New Roman" w:hAnsi="Times New Roman" w:cs="Times New Roman"/>
          <w:color w:val="000000" w:themeColor="text1"/>
        </w:rPr>
        <w:t>Decreased public injection</w:t>
      </w:r>
      <w:r w:rsidR="00C77248" w:rsidRPr="00CB0A89">
        <w:rPr>
          <w:rFonts w:ascii="Times New Roman" w:eastAsia="Times New Roman" w:hAnsi="Times New Roman" w:cs="Times New Roman"/>
          <w:color w:val="000000" w:themeColor="text1"/>
        </w:rPr>
        <w:t xml:space="preserve">, public </w:t>
      </w:r>
      <w:r w:rsidRPr="00CB0A89">
        <w:rPr>
          <w:rFonts w:ascii="Times New Roman" w:eastAsia="Times New Roman" w:hAnsi="Times New Roman" w:cs="Times New Roman"/>
          <w:color w:val="000000" w:themeColor="text1"/>
        </w:rPr>
        <w:t>syringe</w:t>
      </w:r>
      <w:r w:rsidR="00C77248" w:rsidRPr="00CB0A89">
        <w:rPr>
          <w:rFonts w:ascii="Times New Roman" w:eastAsia="Times New Roman" w:hAnsi="Times New Roman" w:cs="Times New Roman"/>
          <w:color w:val="000000" w:themeColor="text1"/>
        </w:rPr>
        <w:t xml:space="preserve"> disposal,</w:t>
      </w:r>
      <w:r w:rsidRPr="00CB0A89">
        <w:rPr>
          <w:rFonts w:ascii="Times New Roman" w:eastAsia="Times New Roman" w:hAnsi="Times New Roman" w:cs="Times New Roman"/>
          <w:color w:val="000000" w:themeColor="text1"/>
        </w:rPr>
        <w:t xml:space="preserve"> and other drug paraphernalia “litter” in the surrounding area.</w:t>
      </w:r>
      <w:r w:rsidRPr="00CB0A89">
        <w:rPr>
          <w:rStyle w:val="FootnoteReference"/>
          <w:rFonts w:ascii="Times New Roman" w:eastAsia="Times New Roman" w:hAnsi="Times New Roman" w:cs="Times New Roman"/>
          <w:color w:val="000000" w:themeColor="text1"/>
        </w:rPr>
        <w:footnoteReference w:id="15"/>
      </w:r>
    </w:p>
    <w:p w14:paraId="28EA1BE2" w14:textId="66767586" w:rsidR="00D1099D" w:rsidRPr="00CB0A89" w:rsidRDefault="00D1099D" w:rsidP="00DB19AC">
      <w:pPr>
        <w:pStyle w:val="ListParagraph"/>
        <w:numPr>
          <w:ilvl w:val="0"/>
          <w:numId w:val="10"/>
        </w:numPr>
        <w:spacing w:after="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significant change in rates of crime or disorder in the surrounding neighborhoods.</w:t>
      </w:r>
      <w:r>
        <w:rPr>
          <w:rStyle w:val="FootnoteReference"/>
          <w:rFonts w:ascii="Times New Roman" w:eastAsia="Times New Roman" w:hAnsi="Times New Roman" w:cs="Times New Roman"/>
          <w:color w:val="000000" w:themeColor="text1"/>
        </w:rPr>
        <w:footnoteReference w:id="16"/>
      </w:r>
    </w:p>
    <w:p w14:paraId="246B19D6" w14:textId="14F0852C" w:rsidR="00C350C0" w:rsidRPr="00CB0A89" w:rsidRDefault="00C350C0" w:rsidP="00DB19AC">
      <w:pPr>
        <w:pStyle w:val="ListParagraph"/>
        <w:numPr>
          <w:ilvl w:val="0"/>
          <w:numId w:val="10"/>
        </w:numPr>
        <w:spacing w:after="0"/>
        <w:rPr>
          <w:rFonts w:ascii="Times New Roman" w:eastAsia="Times New Roman" w:hAnsi="Times New Roman" w:cs="Times New Roman"/>
          <w:color w:val="000000" w:themeColor="text1"/>
        </w:rPr>
      </w:pPr>
      <w:r w:rsidRPr="00CB0A89">
        <w:rPr>
          <w:rFonts w:ascii="Times New Roman" w:eastAsia="Times New Roman" w:hAnsi="Times New Roman" w:cs="Times New Roman"/>
          <w:color w:val="000000"/>
        </w:rPr>
        <w:t>Rebuilding service users’ connections with the health care system and other important services.</w:t>
      </w:r>
      <w:r w:rsidRPr="00CB0A89">
        <w:rPr>
          <w:rStyle w:val="FootnoteReference"/>
          <w:rFonts w:ascii="Times New Roman" w:eastAsia="Times New Roman" w:hAnsi="Times New Roman" w:cs="Times New Roman"/>
          <w:color w:val="000000"/>
        </w:rPr>
        <w:footnoteReference w:id="17"/>
      </w:r>
      <w:r w:rsidRPr="00CB0A89">
        <w:rPr>
          <w:rFonts w:ascii="Times New Roman" w:eastAsia="Times New Roman" w:hAnsi="Times New Roman" w:cs="Times New Roman"/>
          <w:color w:val="000000"/>
        </w:rPr>
        <w:t xml:space="preserve">  </w:t>
      </w:r>
    </w:p>
    <w:p w14:paraId="0E2C06F5" w14:textId="77777777" w:rsidR="00DB19AC" w:rsidRPr="00CB0A89" w:rsidRDefault="00DB19AC" w:rsidP="003E0AB2">
      <w:pPr>
        <w:spacing w:after="0"/>
        <w:rPr>
          <w:rFonts w:ascii="Times New Roman" w:eastAsia="Times New Roman" w:hAnsi="Times New Roman" w:cs="Times New Roman"/>
          <w:color w:val="000000" w:themeColor="text1"/>
        </w:rPr>
      </w:pPr>
    </w:p>
    <w:p w14:paraId="737B0179" w14:textId="0F06AD1E" w:rsidR="00C350C0" w:rsidRPr="00CB0A89" w:rsidRDefault="00C350C0" w:rsidP="003E0AB2">
      <w:pPr>
        <w:spacing w:after="0"/>
        <w:rPr>
          <w:rFonts w:ascii="Times New Roman" w:eastAsia="Times New Roman" w:hAnsi="Times New Roman" w:cs="Times New Roman"/>
          <w:color w:val="000000" w:themeColor="text1"/>
        </w:rPr>
      </w:pPr>
      <w:r w:rsidRPr="00CB0A89">
        <w:rPr>
          <w:rFonts w:ascii="Times New Roman" w:eastAsia="Times New Roman" w:hAnsi="Times New Roman" w:cs="Times New Roman"/>
          <w:color w:val="000000" w:themeColor="text1"/>
        </w:rPr>
        <w:t xml:space="preserve">A 2020 </w:t>
      </w:r>
      <w:r w:rsidRPr="00CB0A89">
        <w:rPr>
          <w:rFonts w:ascii="Times New Roman" w:eastAsia="Times New Roman" w:hAnsi="Times New Roman" w:cs="Times New Roman"/>
        </w:rPr>
        <w:t xml:space="preserve">Institute for Clinical and Economic Review </w:t>
      </w:r>
      <w:r w:rsidRPr="00CB0A89">
        <w:rPr>
          <w:rFonts w:ascii="Times New Roman" w:eastAsia="Times New Roman" w:hAnsi="Times New Roman" w:cs="Times New Roman"/>
          <w:color w:val="000000" w:themeColor="text1"/>
        </w:rPr>
        <w:t xml:space="preserve">study found that if all Boston syringe service programs (SSPs) became SSP and OPC facilities, </w:t>
      </w:r>
      <w:r w:rsidRPr="00CB0A89">
        <w:rPr>
          <w:rStyle w:val="normaltextrun"/>
          <w:rFonts w:ascii="Times New Roman" w:hAnsi="Times New Roman" w:cs="Times New Roman"/>
          <w:color w:val="000000"/>
          <w:shd w:val="clear" w:color="auto" w:fill="FFFFFF"/>
        </w:rPr>
        <w:t>the average cost savings to taxpayers in Boston would be $4 million each year, including 773 fewer ambulance rides, 551 fewer ED visits, and 264 fewer hospitalizations by preventing HIV, hepatitis C, hospitalizations for skin and soft-tissue infections and overdoses</w:t>
      </w:r>
      <w:r w:rsidRPr="00CB0A89">
        <w:rPr>
          <w:rFonts w:ascii="Times New Roman" w:eastAsia="Times New Roman" w:hAnsi="Times New Roman" w:cs="Times New Roman"/>
          <w:color w:val="000000" w:themeColor="text1"/>
        </w:rPr>
        <w:t>.</w:t>
      </w:r>
      <w:r w:rsidRPr="00CB0A89">
        <w:rPr>
          <w:rStyle w:val="FootnoteReference"/>
          <w:rFonts w:ascii="Times New Roman" w:eastAsia="Times New Roman" w:hAnsi="Times New Roman" w:cs="Times New Roman"/>
          <w:color w:val="000000" w:themeColor="text1"/>
        </w:rPr>
        <w:footnoteReference w:id="18"/>
      </w:r>
      <w:r w:rsidRPr="00CB0A89">
        <w:rPr>
          <w:rFonts w:ascii="Times New Roman" w:eastAsia="Times New Roman" w:hAnsi="Times New Roman" w:cs="Times New Roman"/>
          <w:color w:val="000000" w:themeColor="text1"/>
        </w:rPr>
        <w:t xml:space="preserve"> </w:t>
      </w:r>
    </w:p>
    <w:p w14:paraId="6D34F3B3" w14:textId="77777777" w:rsidR="00DB19AC" w:rsidRPr="00CB0A89" w:rsidRDefault="00DB19AC" w:rsidP="003E0AB2">
      <w:pPr>
        <w:spacing w:after="0"/>
        <w:rPr>
          <w:rFonts w:ascii="Times New Roman" w:eastAsia="Times New Roman" w:hAnsi="Times New Roman" w:cs="Times New Roman"/>
          <w:color w:val="000000" w:themeColor="text1"/>
        </w:rPr>
      </w:pPr>
    </w:p>
    <w:p w14:paraId="53D8BDB0" w14:textId="380BEA28" w:rsidR="00D36111" w:rsidRDefault="00A35424" w:rsidP="00D36111">
      <w:pPr>
        <w:spacing w:after="0"/>
        <w:rPr>
          <w:rFonts w:ascii="Times New Roman" w:eastAsia="Times New Roman" w:hAnsi="Times New Roman" w:cs="Times New Roman"/>
          <w:color w:val="000000" w:themeColor="text1"/>
        </w:rPr>
      </w:pPr>
      <w:hyperlink r:id="rId12">
        <w:r w:rsidR="00C350C0" w:rsidRPr="38183A5B">
          <w:rPr>
            <w:rStyle w:val="Hyperlink"/>
            <w:rFonts w:ascii="Times New Roman" w:eastAsia="Times New Roman" w:hAnsi="Times New Roman" w:cs="Times New Roman"/>
          </w:rPr>
          <w:t>Recent polling</w:t>
        </w:r>
      </w:hyperlink>
      <w:r w:rsidR="00C350C0" w:rsidRPr="00CB0A89">
        <w:rPr>
          <w:rFonts w:ascii="Times New Roman" w:eastAsia="Times New Roman" w:hAnsi="Times New Roman" w:cs="Times New Roman"/>
          <w:color w:val="000000" w:themeColor="text1"/>
        </w:rPr>
        <w:t xml:space="preserve"> </w:t>
      </w:r>
      <w:r w:rsidR="003D5ECD">
        <w:rPr>
          <w:rFonts w:ascii="Times New Roman" w:eastAsia="Times New Roman" w:hAnsi="Times New Roman" w:cs="Times New Roman"/>
          <w:color w:val="000000" w:themeColor="text1"/>
        </w:rPr>
        <w:t xml:space="preserve">conducted by </w:t>
      </w:r>
      <w:r w:rsidR="00595AF1">
        <w:rPr>
          <w:rFonts w:ascii="Times New Roman" w:eastAsia="Times New Roman" w:hAnsi="Times New Roman" w:cs="Times New Roman"/>
          <w:color w:val="000000" w:themeColor="text1"/>
        </w:rPr>
        <w:t xml:space="preserve">Massachusetts for </w:t>
      </w:r>
      <w:r w:rsidR="00893F0D">
        <w:rPr>
          <w:rFonts w:ascii="Times New Roman" w:eastAsia="Times New Roman" w:hAnsi="Times New Roman" w:cs="Times New Roman"/>
          <w:color w:val="000000" w:themeColor="text1"/>
        </w:rPr>
        <w:t>Overdose Prevention Centers (MA4OPC)</w:t>
      </w:r>
      <w:r w:rsidR="00FA36A4">
        <w:rPr>
          <w:rFonts w:ascii="Times New Roman" w:eastAsia="Times New Roman" w:hAnsi="Times New Roman" w:cs="Times New Roman"/>
          <w:color w:val="000000" w:themeColor="text1"/>
        </w:rPr>
        <w:t xml:space="preserve"> and Beacon Research</w:t>
      </w:r>
      <w:r w:rsidR="003D5ECD">
        <w:rPr>
          <w:rFonts w:ascii="Times New Roman" w:eastAsia="Times New Roman" w:hAnsi="Times New Roman" w:cs="Times New Roman"/>
          <w:color w:val="000000" w:themeColor="text1"/>
        </w:rPr>
        <w:t xml:space="preserve"> </w:t>
      </w:r>
      <w:r w:rsidR="00C350C0" w:rsidRPr="00CB0A89">
        <w:rPr>
          <w:rFonts w:ascii="Times New Roman" w:eastAsia="Times New Roman" w:hAnsi="Times New Roman" w:cs="Times New Roman"/>
          <w:color w:val="000000" w:themeColor="text1"/>
        </w:rPr>
        <w:t xml:space="preserve">suggests strong support for OPCs in the Commonwealth, with a majority (70%) of voters </w:t>
      </w:r>
      <w:r w:rsidR="00C350C0" w:rsidRPr="00CB0A89">
        <w:rPr>
          <w:rFonts w:ascii="Times New Roman" w:eastAsia="Times New Roman" w:hAnsi="Times New Roman" w:cs="Times New Roman"/>
          <w:color w:val="000000" w:themeColor="text1"/>
        </w:rPr>
        <w:lastRenderedPageBreak/>
        <w:t>surveyed supporting passage of legislation allowing cities and towns to establish overdose prevention centers. That support increased to 79% once respondents learned more about OPCs and the impact of the opioid crisis. Supporters identified the public safety benefits, the fact that OPCs facilitate recovery, the studies in support of OPCs, and the statistics about overdose deaths in Massachusetts as reasons to establish OPCs.</w:t>
      </w:r>
    </w:p>
    <w:p w14:paraId="74A6F524" w14:textId="7C01A984" w:rsidR="00833D49" w:rsidRPr="00D36111" w:rsidRDefault="00833D49" w:rsidP="00D36111">
      <w:pPr>
        <w:spacing w:after="0"/>
      </w:pPr>
    </w:p>
    <w:p w14:paraId="5B574453" w14:textId="62845E86" w:rsidR="00E76956" w:rsidRPr="00CB0A89" w:rsidRDefault="00E76956" w:rsidP="00631DFE">
      <w:pPr>
        <w:pStyle w:val="Heading1"/>
        <w:numPr>
          <w:ilvl w:val="0"/>
          <w:numId w:val="21"/>
        </w:numPr>
        <w:spacing w:before="0"/>
        <w:rPr>
          <w:rFonts w:ascii="Times New Roman" w:hAnsi="Times New Roman" w:cs="Times New Roman"/>
          <w:b/>
          <w:bCs/>
          <w:color w:val="auto"/>
          <w:sz w:val="22"/>
          <w:szCs w:val="22"/>
        </w:rPr>
      </w:pPr>
      <w:r w:rsidRPr="00CB0A89">
        <w:rPr>
          <w:rFonts w:ascii="Times New Roman" w:hAnsi="Times New Roman" w:cs="Times New Roman"/>
          <w:b/>
          <w:bCs/>
          <w:color w:val="auto"/>
          <w:sz w:val="22"/>
          <w:szCs w:val="22"/>
        </w:rPr>
        <w:t xml:space="preserve">Harm Reduction Commission Findings </w:t>
      </w:r>
    </w:p>
    <w:p w14:paraId="3C69F99E" w14:textId="77777777" w:rsidR="00833D49" w:rsidRPr="00631DFE" w:rsidRDefault="00833D49" w:rsidP="003F6181">
      <w:pPr>
        <w:spacing w:after="0"/>
      </w:pPr>
    </w:p>
    <w:p w14:paraId="3C8BBA67" w14:textId="11B7D5A7" w:rsidR="009413AB" w:rsidRPr="00CB0A89" w:rsidRDefault="009413AB" w:rsidP="003E0AB2">
      <w:pPr>
        <w:spacing w:after="0"/>
        <w:rPr>
          <w:rFonts w:ascii="Times New Roman" w:eastAsia="Times New Roman" w:hAnsi="Times New Roman" w:cs="Times New Roman"/>
          <w:color w:val="000000"/>
        </w:rPr>
      </w:pPr>
      <w:r w:rsidRPr="00CB0A89">
        <w:rPr>
          <w:rFonts w:ascii="Times New Roman" w:eastAsia="Times New Roman" w:hAnsi="Times New Roman" w:cs="Times New Roman"/>
          <w:color w:val="000000" w:themeColor="text1"/>
        </w:rPr>
        <w:t xml:space="preserve">The </w:t>
      </w:r>
      <w:hyperlink r:id="rId13">
        <w:r w:rsidRPr="00CB0A89">
          <w:rPr>
            <w:rStyle w:val="Hyperlink"/>
            <w:rFonts w:ascii="Times New Roman" w:eastAsia="Times New Roman" w:hAnsi="Times New Roman" w:cs="Times New Roman"/>
          </w:rPr>
          <w:t>Massachusetts Harm Reduction Commission</w:t>
        </w:r>
      </w:hyperlink>
      <w:r w:rsidRPr="00CB0A89">
        <w:rPr>
          <w:rFonts w:ascii="Times New Roman" w:eastAsia="Times New Roman" w:hAnsi="Times New Roman" w:cs="Times New Roman"/>
          <w:color w:val="000000" w:themeColor="text1"/>
        </w:rPr>
        <w:t>, as established by Section 100 of Chapter 208 of the Acts of 2018, was charged with reviewing and making recommendations regarding harm reduction opportunities to address substance use disorder.</w:t>
      </w:r>
      <w:r w:rsidRPr="00CB0A89">
        <w:rPr>
          <w:rFonts w:ascii="Times New Roman" w:eastAsia="Times New Roman" w:hAnsi="Times New Roman" w:cs="Times New Roman"/>
          <w:b/>
          <w:bCs/>
          <w:color w:val="000000" w:themeColor="text1"/>
        </w:rPr>
        <w:t xml:space="preserve"> </w:t>
      </w:r>
      <w:r w:rsidRPr="00CB0A89">
        <w:rPr>
          <w:rFonts w:ascii="Times New Roman" w:eastAsia="Times New Roman" w:hAnsi="Times New Roman" w:cs="Times New Roman"/>
          <w:color w:val="000000" w:themeColor="text1"/>
        </w:rPr>
        <w:t xml:space="preserve">The commission was comprised of policymakers, law enforcement officials, public health professionals, legal scholars, clinicians, and </w:t>
      </w:r>
      <w:proofErr w:type="gramStart"/>
      <w:r w:rsidRPr="00CB0A89">
        <w:rPr>
          <w:rFonts w:ascii="Times New Roman" w:eastAsia="Times New Roman" w:hAnsi="Times New Roman" w:cs="Times New Roman"/>
          <w:color w:val="000000" w:themeColor="text1"/>
        </w:rPr>
        <w:t>local residents</w:t>
      </w:r>
      <w:proofErr w:type="gramEnd"/>
      <w:r w:rsidRPr="00CB0A89">
        <w:rPr>
          <w:rFonts w:ascii="Times New Roman" w:eastAsia="Times New Roman" w:hAnsi="Times New Roman" w:cs="Times New Roman"/>
          <w:color w:val="000000" w:themeColor="text1"/>
        </w:rPr>
        <w:t xml:space="preserve">. The commission based their recommendations on existing harm reduction services in Massachusetts and drew from strategies being implemented in other states and countries. Their </w:t>
      </w:r>
      <w:hyperlink r:id="rId14">
        <w:r w:rsidRPr="00CB0A89">
          <w:rPr>
            <w:rStyle w:val="Hyperlink"/>
            <w:rFonts w:ascii="Times New Roman" w:eastAsia="Times New Roman" w:hAnsi="Times New Roman" w:cs="Times New Roman"/>
          </w:rPr>
          <w:t>report</w:t>
        </w:r>
      </w:hyperlink>
      <w:r w:rsidRPr="00CB0A89">
        <w:rPr>
          <w:rFonts w:ascii="Times New Roman" w:eastAsia="Times New Roman" w:hAnsi="Times New Roman" w:cs="Times New Roman"/>
          <w:color w:val="000000" w:themeColor="text1"/>
        </w:rPr>
        <w:t>, published in March 2019, recommended that the state develop a culture of harm reduction, expand harm reduction resources across the state, improve education of the public and health care providers, and pursue establishment of one or more overdose prevention centers (OPC).</w:t>
      </w:r>
    </w:p>
    <w:p w14:paraId="577AC3E1" w14:textId="77777777" w:rsidR="009413AB" w:rsidRPr="00CB0A89" w:rsidRDefault="009413AB" w:rsidP="003E0AB2">
      <w:pPr>
        <w:spacing w:after="0"/>
        <w:rPr>
          <w:rFonts w:ascii="Times New Roman" w:eastAsia="Times New Roman" w:hAnsi="Times New Roman" w:cs="Times New Roman"/>
          <w:color w:val="000000"/>
        </w:rPr>
      </w:pPr>
    </w:p>
    <w:p w14:paraId="5CD2128D" w14:textId="528C618B" w:rsidR="00364952" w:rsidRDefault="7E3011CC" w:rsidP="00F847DE">
      <w:pPr>
        <w:spacing w:after="0"/>
        <w:rPr>
          <w:rFonts w:ascii="Times New Roman" w:eastAsia="Times New Roman" w:hAnsi="Times New Roman" w:cs="Times New Roman"/>
          <w:color w:val="000000" w:themeColor="text1"/>
        </w:rPr>
      </w:pPr>
      <w:r w:rsidRPr="00CB0A89">
        <w:rPr>
          <w:rFonts w:ascii="Times New Roman" w:eastAsia="Times New Roman" w:hAnsi="Times New Roman" w:cs="Times New Roman"/>
          <w:color w:val="000000" w:themeColor="text1"/>
        </w:rPr>
        <w:t>The commission found that OPCs are an effective tool in countries where they have been implemented; these sites keep people who use drugs alive and help reduce disease transmission.</w:t>
      </w:r>
      <w:r w:rsidR="009413AB" w:rsidRPr="00CB0A89">
        <w:rPr>
          <w:rStyle w:val="FootnoteReference"/>
          <w:rFonts w:ascii="Times New Roman" w:eastAsia="Times New Roman" w:hAnsi="Times New Roman" w:cs="Times New Roman"/>
          <w:color w:val="000000" w:themeColor="text1"/>
        </w:rPr>
        <w:footnoteReference w:id="19"/>
      </w:r>
      <w:r w:rsidRPr="00CB0A89">
        <w:rPr>
          <w:rStyle w:val="FootnoteReference"/>
          <w:rFonts w:ascii="Times New Roman" w:eastAsia="Times New Roman" w:hAnsi="Times New Roman" w:cs="Times New Roman"/>
          <w:color w:val="000000" w:themeColor="text1"/>
        </w:rPr>
        <w:t>,</w:t>
      </w:r>
      <w:r w:rsidR="009413AB" w:rsidRPr="00CB0A89">
        <w:rPr>
          <w:rStyle w:val="FootnoteReference"/>
          <w:rFonts w:ascii="Times New Roman" w:eastAsia="Times New Roman" w:hAnsi="Times New Roman" w:cs="Times New Roman"/>
          <w:color w:val="000000" w:themeColor="text1"/>
        </w:rPr>
        <w:footnoteReference w:id="20"/>
      </w:r>
      <w:r w:rsidRPr="00CB0A89">
        <w:rPr>
          <w:rStyle w:val="FootnoteReference"/>
          <w:rFonts w:ascii="Times New Roman" w:eastAsia="Times New Roman" w:hAnsi="Times New Roman" w:cs="Times New Roman"/>
          <w:color w:val="000000" w:themeColor="text1"/>
        </w:rPr>
        <w:t>,</w:t>
      </w:r>
      <w:r w:rsidR="009413AB" w:rsidRPr="00CB0A89">
        <w:rPr>
          <w:rStyle w:val="FootnoteReference"/>
          <w:rFonts w:ascii="Times New Roman" w:eastAsia="Times New Roman" w:hAnsi="Times New Roman" w:cs="Times New Roman"/>
          <w:color w:val="000000" w:themeColor="text1"/>
        </w:rPr>
        <w:footnoteReference w:id="21"/>
      </w:r>
      <w:r w:rsidRPr="00CB0A89">
        <w:rPr>
          <w:rStyle w:val="FootnoteReference"/>
          <w:rFonts w:ascii="Times New Roman" w:eastAsia="Times New Roman" w:hAnsi="Times New Roman" w:cs="Times New Roman"/>
          <w:color w:val="000000" w:themeColor="text1"/>
        </w:rPr>
        <w:t>,</w:t>
      </w:r>
      <w:r w:rsidR="009413AB" w:rsidRPr="00CB0A89">
        <w:rPr>
          <w:rStyle w:val="FootnoteReference"/>
          <w:rFonts w:ascii="Times New Roman" w:eastAsia="Times New Roman" w:hAnsi="Times New Roman" w:cs="Times New Roman"/>
          <w:color w:val="000000" w:themeColor="text1"/>
        </w:rPr>
        <w:footnoteReference w:id="22"/>
      </w:r>
      <w:r w:rsidRPr="00CB0A89">
        <w:rPr>
          <w:rFonts w:ascii="Times New Roman" w:eastAsia="Times New Roman" w:hAnsi="Times New Roman" w:cs="Times New Roman"/>
          <w:color w:val="000000" w:themeColor="text1"/>
        </w:rPr>
        <w:t xml:space="preserve"> The commission recommended that programs receive local approval, and that the Commonwealth address gaps in legal </w:t>
      </w:r>
      <w:r w:rsidR="29A146DC">
        <w:rPr>
          <w:rFonts w:ascii="Times New Roman" w:eastAsia="Times New Roman" w:hAnsi="Times New Roman" w:cs="Times New Roman"/>
          <w:color w:val="000000" w:themeColor="text1"/>
        </w:rPr>
        <w:t xml:space="preserve">liability </w:t>
      </w:r>
      <w:r w:rsidRPr="00CB0A89">
        <w:rPr>
          <w:rFonts w:ascii="Times New Roman" w:eastAsia="Times New Roman" w:hAnsi="Times New Roman" w:cs="Times New Roman"/>
          <w:color w:val="000000" w:themeColor="text1"/>
        </w:rPr>
        <w:t>protections for organizations and individuals who staff an OPC, as well as those who utilize the site. The report also noted that widespread naloxone distribution, SSP expansion, and fentanyl testing</w:t>
      </w:r>
      <w:r w:rsidR="7AF11B5E" w:rsidRPr="00CB0A89">
        <w:rPr>
          <w:rFonts w:ascii="Times New Roman" w:eastAsia="Times New Roman" w:hAnsi="Times New Roman" w:cs="Times New Roman"/>
          <w:color w:val="000000" w:themeColor="text1"/>
        </w:rPr>
        <w:t xml:space="preserve"> are important harm reduction interventions to be implemented alongside OPCs.</w:t>
      </w:r>
      <w:r w:rsidR="7B967B58" w:rsidRPr="00CB0A89">
        <w:rPr>
          <w:rFonts w:ascii="Times New Roman" w:eastAsia="Times New Roman" w:hAnsi="Times New Roman" w:cs="Times New Roman"/>
          <w:color w:val="000000" w:themeColor="text1"/>
        </w:rPr>
        <w:t xml:space="preserve"> </w:t>
      </w:r>
    </w:p>
    <w:p w14:paraId="0C7DC5E9" w14:textId="77777777" w:rsidR="00F847DE" w:rsidRPr="00CB0A89" w:rsidRDefault="00F847DE" w:rsidP="00F847DE">
      <w:pPr>
        <w:spacing w:after="0"/>
        <w:rPr>
          <w:rFonts w:ascii="Times New Roman" w:eastAsia="Times New Roman" w:hAnsi="Times New Roman" w:cs="Times New Roman"/>
          <w:color w:val="000000" w:themeColor="text1"/>
        </w:rPr>
      </w:pPr>
    </w:p>
    <w:p w14:paraId="049AB605" w14:textId="07787175" w:rsidR="00364952" w:rsidRPr="00CB0A89" w:rsidRDefault="00364952" w:rsidP="00F847DE">
      <w:pPr>
        <w:pStyle w:val="Heading1"/>
        <w:numPr>
          <w:ilvl w:val="0"/>
          <w:numId w:val="21"/>
        </w:numPr>
        <w:spacing w:before="0"/>
        <w:rPr>
          <w:rFonts w:ascii="Times New Roman" w:hAnsi="Times New Roman" w:cs="Times New Roman"/>
          <w:b/>
          <w:bCs/>
          <w:color w:val="auto"/>
          <w:sz w:val="22"/>
          <w:szCs w:val="22"/>
        </w:rPr>
      </w:pPr>
      <w:r w:rsidRPr="00CB0A89">
        <w:rPr>
          <w:rFonts w:ascii="Times New Roman" w:hAnsi="Times New Roman" w:cs="Times New Roman"/>
          <w:b/>
          <w:bCs/>
          <w:color w:val="auto"/>
          <w:sz w:val="22"/>
          <w:szCs w:val="22"/>
        </w:rPr>
        <w:t xml:space="preserve">JSI Findings on Massachusetts Harm Reduction Drop-In &amp; Overdose Prevention Centers </w:t>
      </w:r>
    </w:p>
    <w:p w14:paraId="2AB49D93" w14:textId="77777777" w:rsidR="00833D49" w:rsidRPr="00631DFE" w:rsidRDefault="00833D49" w:rsidP="00F847DE">
      <w:pPr>
        <w:spacing w:after="0"/>
      </w:pPr>
    </w:p>
    <w:p w14:paraId="270D26E2" w14:textId="7A236EDC" w:rsidR="00522541" w:rsidRPr="00CB0A89" w:rsidRDefault="00522541" w:rsidP="00F847DE">
      <w:pPr>
        <w:pStyle w:val="ListParagraph"/>
        <w:spacing w:after="0" w:line="240" w:lineRule="auto"/>
        <w:ind w:left="0"/>
        <w:textAlignment w:val="baseline"/>
        <w:rPr>
          <w:rFonts w:ascii="Times New Roman" w:eastAsia="Times New Roman" w:hAnsi="Times New Roman" w:cs="Times New Roman"/>
          <w:kern w:val="0"/>
          <w:sz w:val="18"/>
          <w:szCs w:val="18"/>
          <w14:ligatures w14:val="none"/>
        </w:rPr>
      </w:pPr>
      <w:r w:rsidRPr="00CB0A89">
        <w:rPr>
          <w:rFonts w:ascii="Times New Roman" w:eastAsia="Times New Roman" w:hAnsi="Times New Roman" w:cs="Times New Roman"/>
          <w:color w:val="000000"/>
          <w:kern w:val="0"/>
          <w14:ligatures w14:val="none"/>
        </w:rPr>
        <w:t>JSI reviewed information submitted to the Department of Public Health from 22 harm reduction agencies and interviewed staff at six harm reduction drop-in centers to understand current opportunities and challenges in providing services. Harm reduction drop-in locations provide space for people who use drugs and those experiencing housing instability to access a safe and welcoming space to rest, eat, use the bathroom, take a shower, make a phone call, access services, and spend time with other members of their community.  </w:t>
      </w:r>
    </w:p>
    <w:p w14:paraId="541CF49B" w14:textId="77777777" w:rsidR="00522541" w:rsidRPr="00CB0A89" w:rsidRDefault="00522541" w:rsidP="003E0AB2">
      <w:pPr>
        <w:pStyle w:val="ListParagraph"/>
        <w:spacing w:after="0" w:line="240" w:lineRule="auto"/>
        <w:ind w:left="0"/>
        <w:textAlignment w:val="baseline"/>
        <w:rPr>
          <w:rFonts w:ascii="Times New Roman" w:eastAsia="Times New Roman" w:hAnsi="Times New Roman" w:cs="Times New Roman"/>
          <w:color w:val="000000"/>
          <w:kern w:val="0"/>
          <w14:ligatures w14:val="none"/>
        </w:rPr>
      </w:pPr>
    </w:p>
    <w:p w14:paraId="20025F43" w14:textId="12CCC136" w:rsidR="00522541" w:rsidRPr="00CB0A89" w:rsidRDefault="00522541" w:rsidP="003E0AB2">
      <w:pPr>
        <w:pStyle w:val="ListParagraph"/>
        <w:spacing w:after="0" w:line="240" w:lineRule="auto"/>
        <w:ind w:left="0"/>
        <w:textAlignment w:val="baseline"/>
        <w:rPr>
          <w:rFonts w:ascii="Times New Roman" w:eastAsia="Times New Roman" w:hAnsi="Times New Roman" w:cs="Times New Roman"/>
          <w:kern w:val="0"/>
          <w:sz w:val="18"/>
          <w:szCs w:val="18"/>
          <w14:ligatures w14:val="none"/>
        </w:rPr>
      </w:pPr>
      <w:r w:rsidRPr="00CB0A89">
        <w:rPr>
          <w:rFonts w:ascii="Times New Roman" w:eastAsia="Times New Roman" w:hAnsi="Times New Roman" w:cs="Times New Roman"/>
          <w:color w:val="000000"/>
          <w:kern w:val="0"/>
          <w14:ligatures w14:val="none"/>
        </w:rPr>
        <w:t>Harm reduction agencies expressed interest in expanding current service offerings in drop-in centers to include OPC activities (monitored drug consumption) as well as low barrier housing, wound care clinics, mobile outreach services, and on-demand drug checking. Most agencies and their staff found that the biggest challenge to expanding current services was a lack of community support and funding, and stigma against people who use their services. Staff spoke about the need to ensure they are meeting the needs of participants from all populations, such as women, LGBTQ+ individuals, and women who engage in sex work.  </w:t>
      </w:r>
    </w:p>
    <w:p w14:paraId="76E2D78F" w14:textId="77777777" w:rsidR="00522541" w:rsidRPr="00CB0A89" w:rsidRDefault="00522541" w:rsidP="003E0AB2">
      <w:pPr>
        <w:pStyle w:val="ListParagraph"/>
        <w:spacing w:after="0" w:line="240" w:lineRule="auto"/>
        <w:ind w:left="0"/>
        <w:textAlignment w:val="baseline"/>
        <w:rPr>
          <w:rFonts w:ascii="Times New Roman" w:eastAsia="Times New Roman" w:hAnsi="Times New Roman" w:cs="Times New Roman"/>
          <w:color w:val="000000"/>
          <w:kern w:val="0"/>
          <w14:ligatures w14:val="none"/>
        </w:rPr>
      </w:pPr>
    </w:p>
    <w:p w14:paraId="6B5101D6" w14:textId="04B515A0" w:rsidR="002D06D0" w:rsidRPr="00CB0A89" w:rsidRDefault="00522541" w:rsidP="002D06D0">
      <w:pPr>
        <w:pStyle w:val="ListParagraph"/>
        <w:spacing w:after="0" w:line="240" w:lineRule="auto"/>
        <w:ind w:left="0"/>
        <w:textAlignment w:val="baseline"/>
        <w:rPr>
          <w:rFonts w:ascii="Times New Roman" w:eastAsia="Times New Roman" w:hAnsi="Times New Roman" w:cs="Times New Roman"/>
          <w:color w:val="000000"/>
          <w:kern w:val="0"/>
          <w14:ligatures w14:val="none"/>
        </w:rPr>
      </w:pPr>
      <w:r w:rsidRPr="00CB0A89">
        <w:rPr>
          <w:rFonts w:ascii="Times New Roman" w:eastAsia="Times New Roman" w:hAnsi="Times New Roman" w:cs="Times New Roman"/>
          <w:color w:val="000000"/>
          <w:kern w:val="0"/>
          <w14:ligatures w14:val="none"/>
        </w:rPr>
        <w:t>JSI interviewed 356 participants of harm reduction drop-in services regarding their perspectives on existing and future service offerings.</w:t>
      </w:r>
      <w:r w:rsidRPr="00CB0A89">
        <w:rPr>
          <w:rFonts w:ascii="Times New Roman" w:eastAsia="Times New Roman" w:hAnsi="Times New Roman" w:cs="Times New Roman"/>
          <w:kern w:val="0"/>
          <w14:ligatures w14:val="none"/>
        </w:rPr>
        <w:t xml:space="preserve"> </w:t>
      </w:r>
      <w:r w:rsidRPr="00CB0A89">
        <w:rPr>
          <w:rFonts w:ascii="Times New Roman" w:eastAsia="Times New Roman" w:hAnsi="Times New Roman" w:cs="Times New Roman"/>
          <w:color w:val="000000"/>
          <w:kern w:val="0"/>
          <w14:ligatures w14:val="none"/>
        </w:rPr>
        <w:t xml:space="preserve">A majority (76 percent) of participants responded that they would go </w:t>
      </w:r>
      <w:r w:rsidRPr="00CB0A89">
        <w:rPr>
          <w:rFonts w:ascii="Times New Roman" w:eastAsia="Times New Roman" w:hAnsi="Times New Roman" w:cs="Times New Roman"/>
          <w:color w:val="000000"/>
          <w:kern w:val="0"/>
          <w14:ligatures w14:val="none"/>
        </w:rPr>
        <w:lastRenderedPageBreak/>
        <w:t>to an OPC if one was available. Almost all participants cited that enabling staff to monitor consumption would prevent overdose deaths and would increase feelings of safety.</w:t>
      </w:r>
    </w:p>
    <w:p w14:paraId="0D11BAD6" w14:textId="755E5655" w:rsidR="075CE925" w:rsidRDefault="075CE925" w:rsidP="075CE925">
      <w:pPr>
        <w:pStyle w:val="ListParagraph"/>
        <w:spacing w:after="0" w:line="240" w:lineRule="auto"/>
        <w:ind w:left="0"/>
        <w:rPr>
          <w:rFonts w:ascii="Times New Roman" w:eastAsia="Times New Roman" w:hAnsi="Times New Roman" w:cs="Times New Roman"/>
          <w:color w:val="000000" w:themeColor="text1"/>
        </w:rPr>
      </w:pPr>
    </w:p>
    <w:p w14:paraId="0682CF11" w14:textId="43BB938D" w:rsidR="002D06D0" w:rsidRPr="00CB0A89" w:rsidRDefault="002D06D0" w:rsidP="003F6181">
      <w:pPr>
        <w:pStyle w:val="Heading1"/>
        <w:numPr>
          <w:ilvl w:val="0"/>
          <w:numId w:val="21"/>
        </w:numPr>
        <w:spacing w:before="0"/>
        <w:rPr>
          <w:rFonts w:ascii="Times New Roman" w:hAnsi="Times New Roman" w:cs="Times New Roman"/>
          <w:b/>
          <w:bCs/>
          <w:color w:val="auto"/>
          <w:sz w:val="22"/>
          <w:szCs w:val="22"/>
        </w:rPr>
      </w:pPr>
      <w:r w:rsidRPr="00CB0A89">
        <w:rPr>
          <w:rFonts w:ascii="Times New Roman" w:hAnsi="Times New Roman" w:cs="Times New Roman"/>
          <w:b/>
          <w:bCs/>
          <w:color w:val="auto"/>
          <w:sz w:val="22"/>
          <w:szCs w:val="22"/>
        </w:rPr>
        <w:t>OPCs in Other Jurisdictions</w:t>
      </w:r>
    </w:p>
    <w:p w14:paraId="1D775BFC" w14:textId="77777777" w:rsidR="002D06D0" w:rsidRPr="00CB0A89" w:rsidRDefault="002D06D0" w:rsidP="002D06D0">
      <w:pPr>
        <w:pStyle w:val="ListParagraph"/>
        <w:spacing w:after="0" w:line="240" w:lineRule="auto"/>
        <w:ind w:left="0"/>
        <w:textAlignment w:val="baseline"/>
        <w:rPr>
          <w:rFonts w:ascii="Times New Roman" w:eastAsia="Times New Roman" w:hAnsi="Times New Roman" w:cs="Times New Roman"/>
          <w:i/>
          <w:iCs/>
          <w:kern w:val="0"/>
          <w14:ligatures w14:val="none"/>
        </w:rPr>
      </w:pPr>
    </w:p>
    <w:p w14:paraId="4259F471" w14:textId="2289D9DB" w:rsidR="00464E40" w:rsidRPr="00464E40" w:rsidRDefault="00464E40" w:rsidP="002D06D0">
      <w:pPr>
        <w:pStyle w:val="ListParagraph"/>
        <w:spacing w:after="0" w:line="240" w:lineRule="auto"/>
        <w:ind w:left="0"/>
        <w:textAlignment w:val="baseline"/>
        <w:rPr>
          <w:rFonts w:ascii="Times New Roman" w:eastAsia="Times New Roman" w:hAnsi="Times New Roman" w:cs="Times New Roman"/>
          <w:color w:val="000000"/>
          <w:kern w:val="0"/>
          <w14:ligatures w14:val="none"/>
        </w:rPr>
      </w:pPr>
      <w:r w:rsidRPr="00464E40">
        <w:rPr>
          <w:rFonts w:ascii="Times New Roman" w:eastAsia="Times New Roman" w:hAnsi="Times New Roman" w:cs="Times New Roman"/>
          <w:i/>
          <w:iCs/>
          <w:kern w:val="0"/>
          <w14:ligatures w14:val="none"/>
        </w:rPr>
        <w:t>New York City</w:t>
      </w:r>
      <w:r w:rsidRPr="00464E40">
        <w:rPr>
          <w:rFonts w:ascii="Times New Roman" w:eastAsia="Times New Roman" w:hAnsi="Times New Roman" w:cs="Times New Roman"/>
          <w:kern w:val="0"/>
          <w14:ligatures w14:val="none"/>
        </w:rPr>
        <w:t> </w:t>
      </w:r>
    </w:p>
    <w:p w14:paraId="1003584A" w14:textId="3EB369DD" w:rsidR="00464E40" w:rsidRPr="00464E40" w:rsidRDefault="00464E40" w:rsidP="003E0AB2">
      <w:pPr>
        <w:spacing w:after="0" w:line="240" w:lineRule="auto"/>
        <w:textAlignment w:val="baseline"/>
        <w:rPr>
          <w:rFonts w:ascii="Times New Roman" w:eastAsia="Times New Roman" w:hAnsi="Times New Roman" w:cs="Times New Roman"/>
          <w:kern w:val="0"/>
          <w:sz w:val="18"/>
          <w:szCs w:val="18"/>
          <w14:ligatures w14:val="none"/>
        </w:rPr>
      </w:pPr>
      <w:r w:rsidRPr="00464E40">
        <w:rPr>
          <w:rFonts w:ascii="Times New Roman" w:eastAsia="Times New Roman" w:hAnsi="Times New Roman" w:cs="Times New Roman"/>
          <w:kern w:val="0"/>
          <w14:ligatures w14:val="none"/>
        </w:rPr>
        <w:t xml:space="preserve">The nonprofit OnPoint NYC </w:t>
      </w:r>
      <w:r w:rsidR="00965EE2" w:rsidRPr="00CB0A89">
        <w:rPr>
          <w:rFonts w:ascii="Times New Roman" w:eastAsia="Times New Roman" w:hAnsi="Times New Roman" w:cs="Times New Roman"/>
          <w:kern w:val="0"/>
          <w14:ligatures w14:val="none"/>
        </w:rPr>
        <w:t xml:space="preserve">has </w:t>
      </w:r>
      <w:r w:rsidRPr="00464E40">
        <w:rPr>
          <w:rFonts w:ascii="Times New Roman" w:eastAsia="Times New Roman" w:hAnsi="Times New Roman" w:cs="Times New Roman"/>
          <w:kern w:val="0"/>
          <w14:ligatures w14:val="none"/>
        </w:rPr>
        <w:t>operate</w:t>
      </w:r>
      <w:r w:rsidR="00965EE2" w:rsidRPr="00CB0A89">
        <w:rPr>
          <w:rFonts w:ascii="Times New Roman" w:eastAsia="Times New Roman" w:hAnsi="Times New Roman" w:cs="Times New Roman"/>
          <w:kern w:val="0"/>
          <w14:ligatures w14:val="none"/>
        </w:rPr>
        <w:t>d</w:t>
      </w:r>
      <w:r w:rsidRPr="00464E40">
        <w:rPr>
          <w:rFonts w:ascii="Times New Roman" w:eastAsia="Times New Roman" w:hAnsi="Times New Roman" w:cs="Times New Roman"/>
          <w:kern w:val="0"/>
          <w14:ligatures w14:val="none"/>
        </w:rPr>
        <w:t xml:space="preserve"> two OPCs </w:t>
      </w:r>
      <w:r w:rsidR="00965EE2" w:rsidRPr="00CB0A89">
        <w:rPr>
          <w:rFonts w:ascii="Times New Roman" w:eastAsia="Times New Roman" w:hAnsi="Times New Roman" w:cs="Times New Roman"/>
          <w:kern w:val="0"/>
          <w14:ligatures w14:val="none"/>
        </w:rPr>
        <w:t>since 2021 without authorizing legislation</w:t>
      </w:r>
      <w:r w:rsidR="00A7592B" w:rsidRPr="00CB0A89">
        <w:rPr>
          <w:rFonts w:ascii="Times New Roman" w:eastAsia="Times New Roman" w:hAnsi="Times New Roman" w:cs="Times New Roman"/>
          <w:kern w:val="0"/>
          <w14:ligatures w14:val="none"/>
        </w:rPr>
        <w:t xml:space="preserve"> or explicit support from the federal or state government</w:t>
      </w:r>
      <w:r w:rsidRPr="00464E40">
        <w:rPr>
          <w:rFonts w:ascii="Times New Roman" w:eastAsia="Times New Roman" w:hAnsi="Times New Roman" w:cs="Times New Roman"/>
          <w:kern w:val="0"/>
          <w14:ligatures w14:val="none"/>
        </w:rPr>
        <w:t xml:space="preserve">. </w:t>
      </w:r>
      <w:r w:rsidR="00965EE2" w:rsidRPr="00CB0A89">
        <w:rPr>
          <w:rFonts w:ascii="Times New Roman" w:eastAsia="Times New Roman" w:hAnsi="Times New Roman" w:cs="Times New Roman"/>
          <w:kern w:val="0"/>
          <w14:ligatures w14:val="none"/>
        </w:rPr>
        <w:t>Prior to OPC establishment</w:t>
      </w:r>
      <w:r w:rsidR="00F40820" w:rsidRPr="00CB0A89">
        <w:rPr>
          <w:rFonts w:ascii="Times New Roman" w:eastAsia="Times New Roman" w:hAnsi="Times New Roman" w:cs="Times New Roman"/>
          <w:kern w:val="0"/>
          <w14:ligatures w14:val="none"/>
        </w:rPr>
        <w:t xml:space="preserve">, Mayor DiBlasio obtained commitments from local law enforcement and district attorneys that there would be no criminal actions </w:t>
      </w:r>
      <w:r w:rsidR="008670E2" w:rsidRPr="00CB0A89">
        <w:rPr>
          <w:rFonts w:ascii="Times New Roman" w:eastAsia="Times New Roman" w:hAnsi="Times New Roman" w:cs="Times New Roman"/>
          <w:kern w:val="0"/>
          <w14:ligatures w14:val="none"/>
        </w:rPr>
        <w:t xml:space="preserve">from the city </w:t>
      </w:r>
      <w:r w:rsidR="00F40820" w:rsidRPr="00CB0A89">
        <w:rPr>
          <w:rFonts w:ascii="Times New Roman" w:eastAsia="Times New Roman" w:hAnsi="Times New Roman" w:cs="Times New Roman"/>
          <w:kern w:val="0"/>
          <w14:ligatures w14:val="none"/>
        </w:rPr>
        <w:t xml:space="preserve">against OnPoint NYC or their </w:t>
      </w:r>
      <w:r w:rsidR="008670E2" w:rsidRPr="00CB0A89">
        <w:rPr>
          <w:rFonts w:ascii="Times New Roman" w:eastAsia="Times New Roman" w:hAnsi="Times New Roman" w:cs="Times New Roman"/>
          <w:kern w:val="0"/>
          <w14:ligatures w14:val="none"/>
        </w:rPr>
        <w:t>participants.</w:t>
      </w:r>
      <w:r w:rsidR="00901915" w:rsidRPr="00CB0A89">
        <w:rPr>
          <w:rStyle w:val="FootnoteReference"/>
          <w:rFonts w:ascii="Times New Roman" w:eastAsia="Times New Roman" w:hAnsi="Times New Roman" w:cs="Times New Roman"/>
          <w:kern w:val="0"/>
          <w14:ligatures w14:val="none"/>
        </w:rPr>
        <w:footnoteReference w:id="23"/>
      </w:r>
      <w:r w:rsidR="008670E2" w:rsidRPr="00CB0A89">
        <w:rPr>
          <w:rFonts w:ascii="Times New Roman" w:eastAsia="Times New Roman" w:hAnsi="Times New Roman" w:cs="Times New Roman"/>
          <w:kern w:val="0"/>
          <w14:ligatures w14:val="none"/>
        </w:rPr>
        <w:t xml:space="preserve"> </w:t>
      </w:r>
    </w:p>
    <w:p w14:paraId="6B5EBC10" w14:textId="77777777" w:rsidR="00464E40" w:rsidRPr="00464E40" w:rsidRDefault="00464E40" w:rsidP="003E0AB2">
      <w:pPr>
        <w:spacing w:after="0" w:line="240" w:lineRule="auto"/>
        <w:textAlignment w:val="baseline"/>
        <w:rPr>
          <w:rFonts w:ascii="Times New Roman" w:eastAsia="Times New Roman" w:hAnsi="Times New Roman" w:cs="Times New Roman"/>
          <w:kern w:val="0"/>
          <w:sz w:val="18"/>
          <w:szCs w:val="18"/>
          <w14:ligatures w14:val="none"/>
        </w:rPr>
      </w:pPr>
      <w:r w:rsidRPr="00464E40">
        <w:rPr>
          <w:rFonts w:ascii="Times New Roman" w:eastAsia="Times New Roman" w:hAnsi="Times New Roman" w:cs="Times New Roman"/>
          <w:kern w:val="0"/>
          <w14:ligatures w14:val="none"/>
        </w:rPr>
        <w:t> </w:t>
      </w:r>
    </w:p>
    <w:p w14:paraId="171D6766" w14:textId="75F42B46" w:rsidR="00B320F3" w:rsidRPr="00CB0A89" w:rsidRDefault="00464E40" w:rsidP="003E0AB2">
      <w:pPr>
        <w:spacing w:after="0" w:line="240" w:lineRule="auto"/>
        <w:textAlignment w:val="baseline"/>
        <w:rPr>
          <w:rFonts w:ascii="Times New Roman" w:eastAsia="Times New Roman" w:hAnsi="Times New Roman" w:cs="Times New Roman"/>
          <w:kern w:val="0"/>
          <w14:ligatures w14:val="none"/>
        </w:rPr>
      </w:pPr>
      <w:r w:rsidRPr="00464E40">
        <w:rPr>
          <w:rFonts w:ascii="Times New Roman" w:eastAsia="Times New Roman" w:hAnsi="Times New Roman" w:cs="Times New Roman"/>
          <w:kern w:val="0"/>
          <w14:ligatures w14:val="none"/>
        </w:rPr>
        <w:t xml:space="preserve">Since launching, the two </w:t>
      </w:r>
      <w:hyperlink r:id="rId15" w:tgtFrame="_blank" w:history="1">
        <w:r w:rsidRPr="00464E40">
          <w:rPr>
            <w:rFonts w:ascii="Times New Roman" w:eastAsia="Times New Roman" w:hAnsi="Times New Roman" w:cs="Times New Roman"/>
            <w:color w:val="0000FF"/>
            <w:kern w:val="0"/>
            <w:u w:val="single"/>
            <w14:ligatures w14:val="none"/>
          </w:rPr>
          <w:t>OnPoint facilities</w:t>
        </w:r>
      </w:hyperlink>
      <w:r w:rsidRPr="00464E40">
        <w:rPr>
          <w:rFonts w:ascii="Times New Roman" w:eastAsia="Times New Roman" w:hAnsi="Times New Roman" w:cs="Times New Roman"/>
          <w:kern w:val="0"/>
          <w14:ligatures w14:val="none"/>
        </w:rPr>
        <w:t xml:space="preserve"> have served 3,941 OPC participants who utilized the facility 93,695 times. Staff have intervened in 1,131 non-fatal overdoses and have collected over 2 million units of hazardous waste. A recent study found that the two OPCs did not increase crime or disorder in their New York City neighborhoods</w:t>
      </w:r>
      <w:r w:rsidR="452F337F" w:rsidRPr="00464E40">
        <w:rPr>
          <w:rFonts w:ascii="Times New Roman" w:eastAsia="Times New Roman" w:hAnsi="Times New Roman" w:cs="Times New Roman"/>
          <w:kern w:val="0"/>
          <w14:ligatures w14:val="none"/>
        </w:rPr>
        <w:t>; c</w:t>
      </w:r>
      <w:r w:rsidRPr="00464E40">
        <w:rPr>
          <w:rFonts w:ascii="Times New Roman" w:eastAsia="Times New Roman" w:hAnsi="Times New Roman" w:cs="Times New Roman"/>
          <w:kern w:val="0"/>
          <w14:ligatures w14:val="none"/>
        </w:rPr>
        <w:t>rime and law enforcement activity in the surrounding area of the two OnPoint locations decreased as did the calls to 311, the city’s information line, which often handles calls regarding complaints on drug use, syringes, noise, homelessness, and sanitary conditions.</w:t>
      </w:r>
      <w:r w:rsidR="00E02E5D" w:rsidRPr="00CB0A89">
        <w:rPr>
          <w:rStyle w:val="FootnoteReference"/>
          <w:rFonts w:ascii="Times New Roman" w:eastAsia="Times New Roman" w:hAnsi="Times New Roman" w:cs="Times New Roman"/>
          <w:kern w:val="0"/>
          <w14:ligatures w14:val="none"/>
        </w:rPr>
        <w:footnoteReference w:id="24"/>
      </w:r>
    </w:p>
    <w:p w14:paraId="1F4FDD10" w14:textId="61B21E64" w:rsidR="006A53C6" w:rsidRPr="00CB0A89" w:rsidRDefault="006A53C6" w:rsidP="003E0AB2">
      <w:pPr>
        <w:spacing w:after="0" w:line="240" w:lineRule="auto"/>
        <w:textAlignment w:val="baseline"/>
        <w:rPr>
          <w:rFonts w:ascii="Times New Roman" w:eastAsia="Times New Roman" w:hAnsi="Times New Roman" w:cs="Times New Roman"/>
          <w:color w:val="000000"/>
          <w:kern w:val="0"/>
          <w14:ligatures w14:val="none"/>
        </w:rPr>
      </w:pPr>
    </w:p>
    <w:p w14:paraId="179A3635" w14:textId="4AC3E06B" w:rsidR="006A53C6" w:rsidRPr="00CB0A89" w:rsidRDefault="00E02E5D" w:rsidP="003E0AB2">
      <w:pPr>
        <w:spacing w:after="0" w:line="240" w:lineRule="auto"/>
        <w:textAlignment w:val="baseline"/>
        <w:rPr>
          <w:rStyle w:val="eop"/>
          <w:rFonts w:ascii="Times New Roman" w:hAnsi="Times New Roman" w:cs="Times New Roman"/>
          <w:color w:val="000000"/>
          <w:shd w:val="clear" w:color="auto" w:fill="FFFFFF"/>
        </w:rPr>
      </w:pPr>
      <w:r w:rsidRPr="00464E40">
        <w:rPr>
          <w:rFonts w:ascii="Times New Roman" w:eastAsia="Times New Roman" w:hAnsi="Times New Roman" w:cs="Times New Roman"/>
          <w:kern w:val="0"/>
          <w14:ligatures w14:val="none"/>
        </w:rPr>
        <w:t>As determined by state and federal law, eligible OnPoint OPC activities are funded primarily by</w:t>
      </w:r>
      <w:r w:rsidR="00E70E58">
        <w:rPr>
          <w:rFonts w:ascii="Times New Roman" w:eastAsia="Times New Roman" w:hAnsi="Times New Roman" w:cs="Times New Roman"/>
          <w:kern w:val="0"/>
          <w14:ligatures w14:val="none"/>
        </w:rPr>
        <w:t xml:space="preserve"> the New York Department of Mental Health and </w:t>
      </w:r>
      <w:r w:rsidR="007363F1">
        <w:rPr>
          <w:rFonts w:ascii="Times New Roman" w:eastAsia="Times New Roman" w:hAnsi="Times New Roman" w:cs="Times New Roman"/>
          <w:kern w:val="0"/>
          <w14:ligatures w14:val="none"/>
        </w:rPr>
        <w:t>Hygiene</w:t>
      </w:r>
      <w:r w:rsidR="000E472C">
        <w:rPr>
          <w:rFonts w:ascii="Times New Roman" w:eastAsia="Times New Roman" w:hAnsi="Times New Roman" w:cs="Times New Roman"/>
          <w:kern w:val="0"/>
          <w14:ligatures w14:val="none"/>
        </w:rPr>
        <w:t xml:space="preserve"> (DOH</w:t>
      </w:r>
      <w:r w:rsidR="0082094E">
        <w:rPr>
          <w:rFonts w:ascii="Times New Roman" w:eastAsia="Times New Roman" w:hAnsi="Times New Roman" w:cs="Times New Roman"/>
          <w:kern w:val="0"/>
          <w14:ligatures w14:val="none"/>
        </w:rPr>
        <w:t>M</w:t>
      </w:r>
      <w:r w:rsidR="000E472C">
        <w:rPr>
          <w:rFonts w:ascii="Times New Roman" w:eastAsia="Times New Roman" w:hAnsi="Times New Roman" w:cs="Times New Roman"/>
          <w:kern w:val="0"/>
          <w14:ligatures w14:val="none"/>
        </w:rPr>
        <w:t>H)</w:t>
      </w:r>
      <w:r w:rsidRPr="00464E40">
        <w:rPr>
          <w:rFonts w:ascii="Times New Roman" w:eastAsia="Times New Roman" w:hAnsi="Times New Roman" w:cs="Times New Roman"/>
          <w:kern w:val="0"/>
          <w14:ligatures w14:val="none"/>
        </w:rPr>
        <w:t xml:space="preserve">. The only activity ineligible for funding is the observation of drug consumption, which is </w:t>
      </w:r>
      <w:r w:rsidRPr="00CB0A89">
        <w:rPr>
          <w:rFonts w:ascii="Times New Roman" w:eastAsia="Times New Roman" w:hAnsi="Times New Roman" w:cs="Times New Roman"/>
          <w:kern w:val="0"/>
          <w14:ligatures w14:val="none"/>
        </w:rPr>
        <w:t>provided</w:t>
      </w:r>
      <w:r w:rsidRPr="00464E40">
        <w:rPr>
          <w:rFonts w:ascii="Times New Roman" w:eastAsia="Times New Roman" w:hAnsi="Times New Roman" w:cs="Times New Roman"/>
          <w:kern w:val="0"/>
          <w14:ligatures w14:val="none"/>
        </w:rPr>
        <w:t xml:space="preserve"> using foundation and philanthropic funds.</w:t>
      </w:r>
      <w:r w:rsidR="006A53C6" w:rsidRPr="00CB0A89">
        <w:rPr>
          <w:rStyle w:val="normaltextrun"/>
          <w:rFonts w:ascii="Times New Roman" w:hAnsi="Times New Roman" w:cs="Times New Roman"/>
          <w:color w:val="000000"/>
          <w:shd w:val="clear" w:color="auto" w:fill="FFFFFF"/>
          <w:lang w:val="en"/>
        </w:rPr>
        <w:t xml:space="preserve"> To best serve the needs of people who use drugs in their community, </w:t>
      </w:r>
      <w:r w:rsidR="00AE0313" w:rsidRPr="00CB0A89">
        <w:rPr>
          <w:rStyle w:val="normaltextrun"/>
          <w:rFonts w:ascii="Times New Roman" w:hAnsi="Times New Roman" w:cs="Times New Roman"/>
          <w:color w:val="000000"/>
          <w:shd w:val="clear" w:color="auto" w:fill="FFFFFF"/>
          <w:lang w:val="en"/>
        </w:rPr>
        <w:t>OnPoint has</w:t>
      </w:r>
      <w:r w:rsidR="006A53C6" w:rsidRPr="00CB0A89">
        <w:rPr>
          <w:rStyle w:val="normaltextrun"/>
          <w:rFonts w:ascii="Times New Roman" w:hAnsi="Times New Roman" w:cs="Times New Roman"/>
          <w:color w:val="000000"/>
          <w:shd w:val="clear" w:color="auto" w:fill="FFFFFF"/>
          <w:lang w:val="en"/>
        </w:rPr>
        <w:t xml:space="preserve"> integrated clinical services into their harm reduction organization. A long-standing presence in the community, trusted program leadership, autonomy, and long contracts from funders have been helpful supports to promote sustainability of their OPCs.</w:t>
      </w:r>
      <w:r w:rsidR="00AB6E9A" w:rsidRPr="00CB0A89">
        <w:rPr>
          <w:rStyle w:val="FootnoteReference"/>
          <w:rFonts w:ascii="Times New Roman" w:hAnsi="Times New Roman" w:cs="Times New Roman"/>
          <w:color w:val="000000"/>
          <w:shd w:val="clear" w:color="auto" w:fill="FFFFFF"/>
          <w:lang w:val="en"/>
        </w:rPr>
        <w:footnoteReference w:id="25"/>
      </w:r>
      <w:r w:rsidR="006A53C6" w:rsidRPr="00CB0A89">
        <w:rPr>
          <w:rStyle w:val="normaltextrun"/>
          <w:rFonts w:ascii="Times New Roman" w:hAnsi="Times New Roman" w:cs="Times New Roman"/>
          <w:color w:val="000000"/>
          <w:shd w:val="clear" w:color="auto" w:fill="FFFFFF"/>
          <w:lang w:val="en"/>
        </w:rPr>
        <w:t> </w:t>
      </w:r>
      <w:r w:rsidR="006A53C6" w:rsidRPr="00CB0A89">
        <w:rPr>
          <w:rStyle w:val="eop"/>
          <w:rFonts w:ascii="Times New Roman" w:hAnsi="Times New Roman" w:cs="Times New Roman"/>
          <w:color w:val="000000"/>
          <w:shd w:val="clear" w:color="auto" w:fill="FFFFFF"/>
        </w:rPr>
        <w:t> </w:t>
      </w:r>
    </w:p>
    <w:p w14:paraId="2474AC47" w14:textId="77777777" w:rsidR="00817265" w:rsidRPr="00CB0A89" w:rsidRDefault="00817265" w:rsidP="003E0AB2">
      <w:pPr>
        <w:spacing w:after="0" w:line="240" w:lineRule="auto"/>
        <w:textAlignment w:val="baseline"/>
        <w:rPr>
          <w:rStyle w:val="eop"/>
          <w:rFonts w:ascii="Times New Roman" w:hAnsi="Times New Roman" w:cs="Times New Roman"/>
          <w:color w:val="000000"/>
          <w:shd w:val="clear" w:color="auto" w:fill="FFFFFF"/>
        </w:rPr>
      </w:pPr>
    </w:p>
    <w:p w14:paraId="01CD7BD4" w14:textId="3697FBC6" w:rsidR="00817265" w:rsidRPr="00CB0A89" w:rsidRDefault="00817265" w:rsidP="003E0AB2">
      <w:pPr>
        <w:spacing w:after="0" w:line="240" w:lineRule="auto"/>
        <w:textAlignment w:val="baseline"/>
        <w:rPr>
          <w:rFonts w:ascii="Times New Roman" w:eastAsia="Times New Roman" w:hAnsi="Times New Roman" w:cs="Times New Roman"/>
          <w:color w:val="000000"/>
          <w:kern w:val="0"/>
          <w14:ligatures w14:val="none"/>
        </w:rPr>
      </w:pPr>
      <w:r w:rsidRPr="00CB0A89">
        <w:rPr>
          <w:rFonts w:ascii="Times New Roman" w:eastAsia="Times New Roman" w:hAnsi="Times New Roman" w:cs="Times New Roman"/>
          <w:color w:val="000000"/>
          <w:kern w:val="0"/>
          <w14:ligatures w14:val="none"/>
        </w:rPr>
        <w:t>While New York City’s approach has successfully enabled the establishment of OPCs, without legislative authorization the OPC’s operators, participants, and staff are</w:t>
      </w:r>
      <w:r w:rsidRPr="00BF0C9D">
        <w:rPr>
          <w:rFonts w:ascii="Times New Roman" w:eastAsia="Times New Roman" w:hAnsi="Times New Roman" w:cs="Times New Roman"/>
          <w:color w:val="000000"/>
          <w:kern w:val="0"/>
          <w14:ligatures w14:val="none"/>
        </w:rPr>
        <w:t xml:space="preserve"> exposed to legal risk and liability. </w:t>
      </w:r>
      <w:r w:rsidRPr="00CB0A89">
        <w:rPr>
          <w:rFonts w:ascii="Times New Roman" w:eastAsia="Times New Roman" w:hAnsi="Times New Roman" w:cs="Times New Roman"/>
          <w:color w:val="000000"/>
          <w:kern w:val="0"/>
          <w14:ligatures w14:val="none"/>
        </w:rPr>
        <w:t xml:space="preserve">DOHMH has released </w:t>
      </w:r>
      <w:hyperlink r:id="rId16" w:history="1">
        <w:r w:rsidRPr="00CB0A89">
          <w:rPr>
            <w:rStyle w:val="Hyperlink"/>
            <w:rFonts w:ascii="Times New Roman" w:eastAsia="Times New Roman" w:hAnsi="Times New Roman" w:cs="Times New Roman"/>
            <w:kern w:val="0"/>
            <w14:ligatures w14:val="none"/>
          </w:rPr>
          <w:t>guidelines for OPCs</w:t>
        </w:r>
      </w:hyperlink>
      <w:r w:rsidRPr="00CB0A89">
        <w:rPr>
          <w:rFonts w:ascii="Times New Roman" w:eastAsia="Times New Roman" w:hAnsi="Times New Roman" w:cs="Times New Roman"/>
          <w:color w:val="000000"/>
          <w:kern w:val="0"/>
          <w14:ligatures w14:val="none"/>
        </w:rPr>
        <w:t>, but the city and state do not</w:t>
      </w:r>
      <w:r w:rsidRPr="00BF0C9D">
        <w:rPr>
          <w:rFonts w:ascii="Times New Roman" w:eastAsia="Times New Roman" w:hAnsi="Times New Roman" w:cs="Times New Roman"/>
          <w:color w:val="000000"/>
          <w:kern w:val="0"/>
          <w14:ligatures w14:val="none"/>
        </w:rPr>
        <w:t xml:space="preserve"> procure, regulat</w:t>
      </w:r>
      <w:r w:rsidRPr="00CB0A89">
        <w:rPr>
          <w:rFonts w:ascii="Times New Roman" w:eastAsia="Times New Roman" w:hAnsi="Times New Roman" w:cs="Times New Roman"/>
          <w:color w:val="000000"/>
          <w:kern w:val="0"/>
          <w14:ligatures w14:val="none"/>
        </w:rPr>
        <w:t>e</w:t>
      </w:r>
      <w:r w:rsidRPr="00BF0C9D">
        <w:rPr>
          <w:rFonts w:ascii="Times New Roman" w:eastAsia="Times New Roman" w:hAnsi="Times New Roman" w:cs="Times New Roman"/>
          <w:color w:val="000000"/>
          <w:kern w:val="0"/>
          <w14:ligatures w14:val="none"/>
        </w:rPr>
        <w:t xml:space="preserve">, or fund </w:t>
      </w:r>
      <w:r w:rsidRPr="00CB0A89">
        <w:rPr>
          <w:rFonts w:ascii="Times New Roman" w:eastAsia="Times New Roman" w:hAnsi="Times New Roman" w:cs="Times New Roman"/>
          <w:color w:val="000000"/>
          <w:kern w:val="0"/>
          <w14:ligatures w14:val="none"/>
        </w:rPr>
        <w:t xml:space="preserve">OPC </w:t>
      </w:r>
      <w:r w:rsidRPr="00BF0C9D">
        <w:rPr>
          <w:rFonts w:ascii="Times New Roman" w:eastAsia="Times New Roman" w:hAnsi="Times New Roman" w:cs="Times New Roman"/>
          <w:color w:val="000000"/>
          <w:kern w:val="0"/>
          <w14:ligatures w14:val="none"/>
        </w:rPr>
        <w:t>activities</w:t>
      </w:r>
      <w:r w:rsidRPr="00CB0A89">
        <w:rPr>
          <w:rFonts w:ascii="Times New Roman" w:eastAsia="Times New Roman" w:hAnsi="Times New Roman" w:cs="Times New Roman"/>
          <w:color w:val="000000"/>
          <w:kern w:val="0"/>
          <w14:ligatures w14:val="none"/>
        </w:rPr>
        <w:t xml:space="preserve">. This creates additional </w:t>
      </w:r>
      <w:r w:rsidRPr="00BF0C9D">
        <w:rPr>
          <w:rFonts w:ascii="Times New Roman" w:eastAsia="Times New Roman" w:hAnsi="Times New Roman" w:cs="Times New Roman"/>
          <w:color w:val="000000"/>
          <w:kern w:val="0"/>
          <w14:ligatures w14:val="none"/>
        </w:rPr>
        <w:t>limit</w:t>
      </w:r>
      <w:r w:rsidRPr="00CB0A89">
        <w:rPr>
          <w:rFonts w:ascii="Times New Roman" w:eastAsia="Times New Roman" w:hAnsi="Times New Roman" w:cs="Times New Roman"/>
          <w:color w:val="000000"/>
          <w:kern w:val="0"/>
          <w14:ligatures w14:val="none"/>
        </w:rPr>
        <w:t>ations on city and state</w:t>
      </w:r>
      <w:r w:rsidRPr="00BF0C9D">
        <w:rPr>
          <w:rFonts w:ascii="Times New Roman" w:eastAsia="Times New Roman" w:hAnsi="Times New Roman" w:cs="Times New Roman"/>
          <w:color w:val="000000"/>
          <w:kern w:val="0"/>
          <w14:ligatures w14:val="none"/>
        </w:rPr>
        <w:t xml:space="preserve"> oversight and data reporting.  </w:t>
      </w:r>
    </w:p>
    <w:p w14:paraId="38425471" w14:textId="3FC592BC" w:rsidR="00464E40" w:rsidRPr="00464E40" w:rsidRDefault="00464E40" w:rsidP="003E0AB2">
      <w:pPr>
        <w:spacing w:after="0" w:line="240" w:lineRule="auto"/>
        <w:textAlignment w:val="baseline"/>
        <w:rPr>
          <w:rFonts w:ascii="Times New Roman" w:eastAsia="Times New Roman" w:hAnsi="Times New Roman" w:cs="Times New Roman"/>
          <w:kern w:val="0"/>
          <w:sz w:val="18"/>
          <w:szCs w:val="18"/>
          <w14:ligatures w14:val="none"/>
        </w:rPr>
      </w:pPr>
    </w:p>
    <w:p w14:paraId="63AE561B" w14:textId="77777777" w:rsidR="00464E40" w:rsidRPr="00464E40" w:rsidRDefault="00464E40" w:rsidP="003E0AB2">
      <w:pPr>
        <w:spacing w:after="0" w:line="240" w:lineRule="auto"/>
        <w:textAlignment w:val="baseline"/>
        <w:rPr>
          <w:rFonts w:ascii="Times New Roman" w:eastAsia="Times New Roman" w:hAnsi="Times New Roman" w:cs="Times New Roman"/>
          <w:kern w:val="0"/>
          <w:sz w:val="18"/>
          <w:szCs w:val="18"/>
          <w14:ligatures w14:val="none"/>
        </w:rPr>
      </w:pPr>
      <w:r w:rsidRPr="00464E40">
        <w:rPr>
          <w:rFonts w:ascii="Times New Roman" w:eastAsia="Times New Roman" w:hAnsi="Times New Roman" w:cs="Times New Roman"/>
          <w:i/>
          <w:iCs/>
          <w:color w:val="000000"/>
          <w:kern w:val="0"/>
          <w14:ligatures w14:val="none"/>
        </w:rPr>
        <w:t>Rhode Island </w:t>
      </w:r>
      <w:r w:rsidRPr="00464E40">
        <w:rPr>
          <w:rFonts w:ascii="Times New Roman" w:eastAsia="Times New Roman" w:hAnsi="Times New Roman" w:cs="Times New Roman"/>
          <w:color w:val="000000"/>
          <w:kern w:val="0"/>
          <w14:ligatures w14:val="none"/>
        </w:rPr>
        <w:t> </w:t>
      </w:r>
    </w:p>
    <w:p w14:paraId="355FD4FC" w14:textId="42A40E5C" w:rsidR="00464E40" w:rsidRPr="00464E40" w:rsidRDefault="00464E40" w:rsidP="5CB72E2B">
      <w:pPr>
        <w:spacing w:after="0" w:line="240" w:lineRule="auto"/>
        <w:textAlignment w:val="baseline"/>
        <w:rPr>
          <w:rFonts w:ascii="Times New Roman" w:eastAsia="Times New Roman" w:hAnsi="Times New Roman" w:cs="Times New Roman"/>
          <w:sz w:val="18"/>
          <w:szCs w:val="18"/>
        </w:rPr>
      </w:pPr>
      <w:r w:rsidRPr="00464E40">
        <w:rPr>
          <w:rFonts w:ascii="Times New Roman" w:eastAsia="Times New Roman" w:hAnsi="Times New Roman" w:cs="Times New Roman"/>
          <w:color w:val="000000"/>
          <w:kern w:val="0"/>
          <w14:ligatures w14:val="none"/>
        </w:rPr>
        <w:t xml:space="preserve">The Rhode Island Legislature authorized establishment of a two-year pilot OPC, which </w:t>
      </w:r>
      <w:r w:rsidR="00467182" w:rsidRPr="00CB0A89">
        <w:rPr>
          <w:rFonts w:ascii="Times New Roman" w:eastAsia="Times New Roman" w:hAnsi="Times New Roman" w:cs="Times New Roman"/>
          <w:color w:val="000000"/>
          <w:kern w:val="0"/>
          <w14:ligatures w14:val="none"/>
        </w:rPr>
        <w:t>is anticipated to run from 2024</w:t>
      </w:r>
      <w:r w:rsidR="008A188D" w:rsidRPr="00CB0A89">
        <w:rPr>
          <w:rFonts w:ascii="Times New Roman" w:eastAsia="Times New Roman" w:hAnsi="Times New Roman" w:cs="Times New Roman"/>
          <w:color w:val="000000"/>
          <w:kern w:val="0"/>
          <w14:ligatures w14:val="none"/>
        </w:rPr>
        <w:t xml:space="preserve"> -</w:t>
      </w:r>
      <w:r w:rsidRPr="00464E40">
        <w:rPr>
          <w:rFonts w:ascii="Times New Roman" w:eastAsia="Times New Roman" w:hAnsi="Times New Roman" w:cs="Times New Roman"/>
          <w:color w:val="000000"/>
          <w:kern w:val="0"/>
          <w14:ligatures w14:val="none"/>
        </w:rPr>
        <w:t xml:space="preserve"> 2026. </w:t>
      </w:r>
      <w:r w:rsidR="00467182" w:rsidRPr="00CB0A89">
        <w:rPr>
          <w:rFonts w:ascii="Times New Roman" w:hAnsi="Times New Roman" w:cs="Times New Roman"/>
        </w:rPr>
        <w:t>L</w:t>
      </w:r>
      <w:r w:rsidRPr="00464E40">
        <w:rPr>
          <w:rFonts w:ascii="Times New Roman" w:hAnsi="Times New Roman" w:cs="Times New Roman"/>
        </w:rPr>
        <w:t>egislation</w:t>
      </w:r>
      <w:r w:rsidR="009F5A78" w:rsidRPr="00CB0A89">
        <w:rPr>
          <w:rFonts w:ascii="Times New Roman" w:hAnsi="Times New Roman" w:cs="Times New Roman"/>
        </w:rPr>
        <w:t xml:space="preserve"> created a framework</w:t>
      </w:r>
      <w:r w:rsidR="009F5A78" w:rsidRPr="00CB0A89">
        <w:rPr>
          <w:rFonts w:ascii="Times New Roman" w:eastAsia="Times New Roman" w:hAnsi="Times New Roman" w:cs="Times New Roman"/>
          <w:color w:val="000000"/>
          <w:kern w:val="0"/>
          <w14:ligatures w14:val="none"/>
        </w:rPr>
        <w:t xml:space="preserve"> for an advisory committee to inform the regulatory process, authorized the Department of Health to promulgate regulations,</w:t>
      </w:r>
      <w:r w:rsidR="00CF72EF" w:rsidRPr="00CB0A89">
        <w:rPr>
          <w:rFonts w:ascii="Times New Roman" w:eastAsia="Times New Roman" w:hAnsi="Times New Roman" w:cs="Times New Roman"/>
          <w:color w:val="000000"/>
          <w:kern w:val="0"/>
          <w14:ligatures w14:val="none"/>
        </w:rPr>
        <w:t xml:space="preserve"> and set forth legal protections.</w:t>
      </w:r>
      <w:r w:rsidR="008A188D" w:rsidRPr="00CB0A89">
        <w:rPr>
          <w:rStyle w:val="FootnoteReference"/>
          <w:rFonts w:ascii="Times New Roman" w:eastAsia="Times New Roman" w:hAnsi="Times New Roman" w:cs="Times New Roman"/>
          <w:color w:val="000000"/>
          <w:kern w:val="0"/>
          <w14:ligatures w14:val="none"/>
        </w:rPr>
        <w:footnoteReference w:id="26"/>
      </w:r>
      <w:r w:rsidR="00CF72EF" w:rsidRPr="00CB0A89">
        <w:rPr>
          <w:rFonts w:ascii="Times New Roman" w:eastAsia="Times New Roman" w:hAnsi="Times New Roman" w:cs="Times New Roman"/>
          <w:color w:val="000000"/>
          <w:kern w:val="0"/>
          <w14:ligatures w14:val="none"/>
        </w:rPr>
        <w:t xml:space="preserve"> Specifically, the bill </w:t>
      </w:r>
      <w:r w:rsidR="00CF476E" w:rsidRPr="00CB0A89">
        <w:rPr>
          <w:rFonts w:ascii="Times New Roman" w:eastAsia="Times New Roman" w:hAnsi="Times New Roman" w:cs="Times New Roman"/>
          <w:color w:val="000000"/>
          <w:kern w:val="0"/>
          <w14:ligatures w14:val="none"/>
        </w:rPr>
        <w:t xml:space="preserve">offered </w:t>
      </w:r>
      <w:r w:rsidRPr="00464E40">
        <w:rPr>
          <w:rFonts w:ascii="Times New Roman" w:eastAsia="Times New Roman" w:hAnsi="Times New Roman" w:cs="Times New Roman"/>
          <w:color w:val="000000"/>
          <w:kern w:val="0"/>
          <w14:ligatures w14:val="none"/>
        </w:rPr>
        <w:t>protections</w:t>
      </w:r>
      <w:r w:rsidR="00CF476E" w:rsidRPr="00CB0A89">
        <w:rPr>
          <w:rFonts w:ascii="Times New Roman" w:eastAsia="Times New Roman" w:hAnsi="Times New Roman" w:cs="Times New Roman"/>
          <w:color w:val="000000"/>
          <w:kern w:val="0"/>
          <w14:ligatures w14:val="none"/>
        </w:rPr>
        <w:t xml:space="preserve"> for </w:t>
      </w:r>
      <w:r w:rsidR="00D2062E" w:rsidRPr="00CB0A89">
        <w:rPr>
          <w:rFonts w:ascii="Times New Roman" w:eastAsia="Times New Roman" w:hAnsi="Times New Roman" w:cs="Times New Roman"/>
          <w:color w:val="000000"/>
          <w:kern w:val="0"/>
          <w14:ligatures w14:val="none"/>
        </w:rPr>
        <w:t xml:space="preserve">property owners, managers, employees, volunteers, clients, participants, and state, city or town employees against arrest, charges, </w:t>
      </w:r>
      <w:r w:rsidR="00A57A44" w:rsidRPr="00CB0A89">
        <w:rPr>
          <w:rFonts w:ascii="Times New Roman" w:eastAsia="Times New Roman" w:hAnsi="Times New Roman" w:cs="Times New Roman"/>
          <w:color w:val="000000"/>
          <w:kern w:val="0"/>
          <w14:ligatures w14:val="none"/>
        </w:rPr>
        <w:t xml:space="preserve">or </w:t>
      </w:r>
      <w:r w:rsidR="00D2062E" w:rsidRPr="00CB0A89">
        <w:rPr>
          <w:rFonts w:ascii="Times New Roman" w:eastAsia="Times New Roman" w:hAnsi="Times New Roman" w:cs="Times New Roman"/>
          <w:color w:val="000000"/>
          <w:kern w:val="0"/>
          <w14:ligatures w14:val="none"/>
        </w:rPr>
        <w:t>prosecution</w:t>
      </w:r>
      <w:r w:rsidR="00A57A44" w:rsidRPr="00CB0A89">
        <w:rPr>
          <w:rFonts w:ascii="Times New Roman" w:eastAsia="Times New Roman" w:hAnsi="Times New Roman" w:cs="Times New Roman"/>
          <w:color w:val="000000"/>
          <w:kern w:val="0"/>
          <w14:ligatures w14:val="none"/>
        </w:rPr>
        <w:t xml:space="preserve"> pursuant to </w:t>
      </w:r>
      <w:r w:rsidR="00996835" w:rsidRPr="00CB0A89">
        <w:rPr>
          <w:rFonts w:ascii="Times New Roman" w:eastAsia="Times New Roman" w:hAnsi="Times New Roman" w:cs="Times New Roman"/>
          <w:color w:val="000000"/>
          <w:kern w:val="0"/>
          <w14:ligatures w14:val="none"/>
        </w:rPr>
        <w:t>their state’s Controlled Substances Act</w:t>
      </w:r>
      <w:r w:rsidR="00D30E4E" w:rsidRPr="00CB0A89">
        <w:rPr>
          <w:rFonts w:ascii="Times New Roman" w:eastAsia="Times New Roman" w:hAnsi="Times New Roman" w:cs="Times New Roman"/>
          <w:color w:val="000000"/>
          <w:kern w:val="0"/>
          <w14:ligatures w14:val="none"/>
        </w:rPr>
        <w:t xml:space="preserve"> and protect</w:t>
      </w:r>
      <w:r w:rsidR="009F5A78" w:rsidRPr="00CB0A89">
        <w:rPr>
          <w:rFonts w:ascii="Times New Roman" w:eastAsia="Times New Roman" w:hAnsi="Times New Roman" w:cs="Times New Roman"/>
          <w:color w:val="000000"/>
          <w:kern w:val="0"/>
          <w14:ligatures w14:val="none"/>
        </w:rPr>
        <w:t>ed healthcare professionals from any civil administrative penalty, including disciplinary action by a professional licensing board.</w:t>
      </w:r>
      <w:r w:rsidR="001628ED" w:rsidRPr="00CB0A89">
        <w:rPr>
          <w:rStyle w:val="FootnoteReference"/>
          <w:rFonts w:ascii="Times New Roman" w:eastAsia="Times New Roman" w:hAnsi="Times New Roman" w:cs="Times New Roman"/>
          <w:color w:val="000000"/>
          <w:kern w:val="0"/>
          <w14:ligatures w14:val="none"/>
        </w:rPr>
        <w:footnoteReference w:id="27"/>
      </w:r>
      <w:r w:rsidRPr="00464E40">
        <w:rPr>
          <w:rFonts w:ascii="Times New Roman" w:eastAsia="Times New Roman" w:hAnsi="Times New Roman" w:cs="Times New Roman"/>
          <w:color w:val="000000"/>
          <w:kern w:val="0"/>
          <w14:ligatures w14:val="none"/>
        </w:rPr>
        <w:t xml:space="preserve">  </w:t>
      </w:r>
      <w:r w:rsidR="008A188D" w:rsidRPr="00CB0A89">
        <w:rPr>
          <w:rFonts w:ascii="Times New Roman" w:eastAsia="Times New Roman" w:hAnsi="Times New Roman" w:cs="Times New Roman"/>
          <w:color w:val="000000"/>
          <w:kern w:val="0"/>
          <w14:ligatures w14:val="none"/>
        </w:rPr>
        <w:t xml:space="preserve">Regulations </w:t>
      </w:r>
      <w:r w:rsidR="008A188D" w:rsidRPr="00CB0A89">
        <w:rPr>
          <w:rFonts w:ascii="Times New Roman" w:eastAsia="Times New Roman" w:hAnsi="Times New Roman" w:cs="Times New Roman"/>
          <w:color w:val="000000"/>
          <w:kern w:val="0"/>
          <w14:ligatures w14:val="none"/>
        </w:rPr>
        <w:lastRenderedPageBreak/>
        <w:t xml:space="preserve">were </w:t>
      </w:r>
      <w:r w:rsidR="00F8392D" w:rsidRPr="00CB0A89">
        <w:rPr>
          <w:rFonts w:ascii="Times New Roman" w:eastAsia="Times New Roman" w:hAnsi="Times New Roman" w:cs="Times New Roman"/>
          <w:color w:val="000000"/>
          <w:kern w:val="0"/>
          <w14:ligatures w14:val="none"/>
        </w:rPr>
        <w:t>passed in 2022</w:t>
      </w:r>
      <w:r w:rsidR="003D5002" w:rsidRPr="00CB0A89">
        <w:rPr>
          <w:rFonts w:ascii="Times New Roman" w:eastAsia="Times New Roman" w:hAnsi="Times New Roman" w:cs="Times New Roman"/>
          <w:color w:val="000000"/>
          <w:kern w:val="0"/>
          <w14:ligatures w14:val="none"/>
        </w:rPr>
        <w:t xml:space="preserve"> and set forth licensing procedures, management of services, physical plant requirements, and practices and procedures, among other </w:t>
      </w:r>
      <w:r w:rsidR="000F16F0" w:rsidRPr="00CB0A89">
        <w:rPr>
          <w:rFonts w:ascii="Times New Roman" w:eastAsia="Times New Roman" w:hAnsi="Times New Roman" w:cs="Times New Roman"/>
          <w:color w:val="000000"/>
          <w:kern w:val="0"/>
          <w14:ligatures w14:val="none"/>
        </w:rPr>
        <w:t>expectations</w:t>
      </w:r>
      <w:r w:rsidR="003D5002" w:rsidRPr="00CB0A89">
        <w:rPr>
          <w:rFonts w:ascii="Times New Roman" w:eastAsia="Times New Roman" w:hAnsi="Times New Roman" w:cs="Times New Roman"/>
          <w:color w:val="000000"/>
          <w:kern w:val="0"/>
          <w14:ligatures w14:val="none"/>
        </w:rPr>
        <w:t>.</w:t>
      </w:r>
      <w:r w:rsidR="000F16F0" w:rsidRPr="00CB0A89">
        <w:rPr>
          <w:rStyle w:val="FootnoteReference"/>
          <w:rFonts w:ascii="Times New Roman" w:eastAsia="Times New Roman" w:hAnsi="Times New Roman" w:cs="Times New Roman"/>
          <w:color w:val="000000"/>
          <w:kern w:val="0"/>
          <w14:ligatures w14:val="none"/>
        </w:rPr>
        <w:footnoteReference w:id="28"/>
      </w:r>
      <w:r w:rsidR="003D5002" w:rsidRPr="00CB0A89">
        <w:rPr>
          <w:rFonts w:ascii="Times New Roman" w:eastAsia="Times New Roman" w:hAnsi="Times New Roman" w:cs="Times New Roman"/>
          <w:color w:val="000000"/>
          <w:kern w:val="0"/>
          <w14:ligatures w14:val="none"/>
        </w:rPr>
        <w:t xml:space="preserve"> </w:t>
      </w:r>
      <w:r w:rsidR="009A0933">
        <w:rPr>
          <w:rFonts w:ascii="Times New Roman" w:eastAsia="Times New Roman" w:hAnsi="Times New Roman" w:cs="Times New Roman"/>
          <w:color w:val="000000"/>
          <w:kern w:val="0"/>
          <w14:ligatures w14:val="none"/>
        </w:rPr>
        <w:t xml:space="preserve">Rhode Island’s </w:t>
      </w:r>
      <w:r w:rsidR="00A96488" w:rsidRPr="00CB0A89">
        <w:rPr>
          <w:rFonts w:ascii="Times New Roman" w:eastAsia="Times New Roman" w:hAnsi="Times New Roman" w:cs="Times New Roman"/>
          <w:color w:val="000000"/>
          <w:kern w:val="0"/>
          <w14:ligatures w14:val="none"/>
        </w:rPr>
        <w:t xml:space="preserve">Department of Health </w:t>
      </w:r>
      <w:r w:rsidR="00F8392D" w:rsidRPr="00CB0A89">
        <w:rPr>
          <w:rFonts w:ascii="Times New Roman" w:eastAsia="Times New Roman" w:hAnsi="Times New Roman" w:cs="Times New Roman"/>
          <w:color w:val="000000"/>
          <w:kern w:val="0"/>
          <w14:ligatures w14:val="none"/>
        </w:rPr>
        <w:t>since released</w:t>
      </w:r>
      <w:r w:rsidRPr="00464E40">
        <w:rPr>
          <w:rFonts w:ascii="Times New Roman" w:eastAsia="Times New Roman" w:hAnsi="Times New Roman" w:cs="Times New Roman"/>
          <w:color w:val="000000"/>
          <w:kern w:val="0"/>
          <w14:ligatures w14:val="none"/>
        </w:rPr>
        <w:t xml:space="preserve"> a </w:t>
      </w:r>
      <w:hyperlink r:id="rId17" w:tgtFrame="_blank" w:history="1">
        <w:r w:rsidRPr="00464E40">
          <w:rPr>
            <w:rFonts w:ascii="Times New Roman" w:eastAsia="Times New Roman" w:hAnsi="Times New Roman" w:cs="Times New Roman"/>
            <w:color w:val="0000FF"/>
            <w:kern w:val="0"/>
            <w:u w:val="single"/>
            <w14:ligatures w14:val="none"/>
          </w:rPr>
          <w:t>procurement</w:t>
        </w:r>
      </w:hyperlink>
      <w:r w:rsidRPr="00464E40">
        <w:rPr>
          <w:rFonts w:ascii="Times New Roman" w:eastAsia="Times New Roman" w:hAnsi="Times New Roman" w:cs="Times New Roman"/>
          <w:color w:val="000000"/>
          <w:kern w:val="0"/>
          <w14:ligatures w14:val="none"/>
        </w:rPr>
        <w:t xml:space="preserve"> containing guiding principles and awarded a contract to </w:t>
      </w:r>
      <w:hyperlink r:id="rId18" w:tgtFrame="_blank" w:history="1">
        <w:r w:rsidRPr="00464E40">
          <w:rPr>
            <w:rFonts w:ascii="Times New Roman" w:eastAsia="Times New Roman" w:hAnsi="Times New Roman" w:cs="Times New Roman"/>
            <w:color w:val="0000FF"/>
            <w:kern w:val="0"/>
            <w:u w:val="single"/>
            <w14:ligatures w14:val="none"/>
          </w:rPr>
          <w:t>Project Weber/RENEW</w:t>
        </w:r>
      </w:hyperlink>
      <w:r w:rsidRPr="00464E40">
        <w:rPr>
          <w:rFonts w:ascii="Times New Roman" w:eastAsia="Times New Roman" w:hAnsi="Times New Roman" w:cs="Times New Roman"/>
          <w:color w:val="000000"/>
          <w:kern w:val="0"/>
          <w14:ligatures w14:val="none"/>
        </w:rPr>
        <w:t xml:space="preserve">, in partnership with CODAC Behavioral Healthcare, which is on track to open in early 2024 in Providence. </w:t>
      </w:r>
    </w:p>
    <w:p w14:paraId="72F4EB25" w14:textId="5F3D1C7B" w:rsidR="00464E40" w:rsidRPr="00464E40" w:rsidRDefault="00464E40" w:rsidP="5CB72E2B">
      <w:pPr>
        <w:spacing w:after="0" w:line="240" w:lineRule="auto"/>
        <w:textAlignment w:val="baseline"/>
        <w:rPr>
          <w:rFonts w:ascii="Times New Roman" w:eastAsia="Times New Roman" w:hAnsi="Times New Roman" w:cs="Times New Roman"/>
          <w:color w:val="000000" w:themeColor="text1"/>
        </w:rPr>
      </w:pPr>
    </w:p>
    <w:p w14:paraId="322A2898" w14:textId="2FF316D4" w:rsidR="00464E40" w:rsidRPr="00464E40" w:rsidRDefault="00464E40" w:rsidP="003E0AB2">
      <w:pPr>
        <w:spacing w:after="0" w:line="240" w:lineRule="auto"/>
        <w:textAlignment w:val="baseline"/>
        <w:rPr>
          <w:rFonts w:ascii="Times New Roman" w:eastAsia="Times New Roman" w:hAnsi="Times New Roman" w:cs="Times New Roman"/>
          <w:kern w:val="0"/>
          <w:sz w:val="18"/>
          <w:szCs w:val="18"/>
          <w14:ligatures w14:val="none"/>
        </w:rPr>
      </w:pPr>
      <w:r w:rsidRPr="00464E40">
        <w:rPr>
          <w:rFonts w:ascii="Times New Roman" w:eastAsia="Times New Roman" w:hAnsi="Times New Roman" w:cs="Times New Roman"/>
          <w:color w:val="000000"/>
          <w:kern w:val="0"/>
          <w14:ligatures w14:val="none"/>
        </w:rPr>
        <w:t xml:space="preserve">Rhode Island is utilizing </w:t>
      </w:r>
      <w:hyperlink r:id="rId19" w:tgtFrame="_blank" w:history="1">
        <w:r w:rsidRPr="00464E40">
          <w:rPr>
            <w:rFonts w:ascii="Times New Roman" w:eastAsia="Times New Roman" w:hAnsi="Times New Roman" w:cs="Times New Roman"/>
            <w:color w:val="0000FF"/>
            <w:kern w:val="0"/>
            <w:u w:val="single"/>
            <w14:ligatures w14:val="none"/>
          </w:rPr>
          <w:t>opioid settlement funds</w:t>
        </w:r>
      </w:hyperlink>
      <w:r w:rsidRPr="00464E40">
        <w:rPr>
          <w:rFonts w:ascii="Times New Roman" w:eastAsia="Times New Roman" w:hAnsi="Times New Roman" w:cs="Times New Roman"/>
          <w:color w:val="000000"/>
          <w:kern w:val="0"/>
          <w14:ligatures w14:val="none"/>
        </w:rPr>
        <w:t xml:space="preserve"> to establish the site - to date, $2.25M of opioid settlement dollars have been allocated for this purpose.  </w:t>
      </w:r>
    </w:p>
    <w:p w14:paraId="16642072" w14:textId="77777777" w:rsidR="00464E40" w:rsidRPr="00464E40" w:rsidRDefault="00464E40" w:rsidP="003E0AB2">
      <w:pPr>
        <w:spacing w:after="0" w:line="240" w:lineRule="auto"/>
        <w:textAlignment w:val="baseline"/>
        <w:rPr>
          <w:rFonts w:ascii="Times New Roman" w:eastAsia="Times New Roman" w:hAnsi="Times New Roman" w:cs="Times New Roman"/>
          <w:kern w:val="0"/>
          <w:sz w:val="18"/>
          <w:szCs w:val="18"/>
          <w14:ligatures w14:val="none"/>
        </w:rPr>
      </w:pPr>
      <w:r w:rsidRPr="00464E40">
        <w:rPr>
          <w:rFonts w:ascii="Times New Roman" w:eastAsia="Times New Roman" w:hAnsi="Times New Roman" w:cs="Times New Roman"/>
          <w:color w:val="000000"/>
          <w:kern w:val="0"/>
          <w14:ligatures w14:val="none"/>
        </w:rPr>
        <w:t> </w:t>
      </w:r>
    </w:p>
    <w:p w14:paraId="1A3D64FF" w14:textId="77777777" w:rsidR="00464E40" w:rsidRPr="00464E40" w:rsidRDefault="00464E40" w:rsidP="003E0AB2">
      <w:pPr>
        <w:spacing w:after="0" w:line="240" w:lineRule="auto"/>
        <w:textAlignment w:val="baseline"/>
        <w:rPr>
          <w:rFonts w:ascii="Times New Roman" w:eastAsia="Times New Roman" w:hAnsi="Times New Roman" w:cs="Times New Roman"/>
          <w:kern w:val="0"/>
          <w:sz w:val="18"/>
          <w:szCs w:val="18"/>
          <w14:ligatures w14:val="none"/>
        </w:rPr>
      </w:pPr>
      <w:r w:rsidRPr="00464E40">
        <w:rPr>
          <w:rFonts w:ascii="Times New Roman" w:eastAsia="Times New Roman" w:hAnsi="Times New Roman" w:cs="Times New Roman"/>
          <w:i/>
          <w:iCs/>
          <w:color w:val="000000"/>
          <w:kern w:val="0"/>
          <w14:ligatures w14:val="none"/>
        </w:rPr>
        <w:t>Minnesota</w:t>
      </w:r>
      <w:r w:rsidRPr="00464E40">
        <w:rPr>
          <w:rFonts w:ascii="Times New Roman" w:eastAsia="Times New Roman" w:hAnsi="Times New Roman" w:cs="Times New Roman"/>
          <w:color w:val="000000"/>
          <w:kern w:val="0"/>
          <w14:ligatures w14:val="none"/>
        </w:rPr>
        <w:t> </w:t>
      </w:r>
    </w:p>
    <w:p w14:paraId="7FA260E1" w14:textId="0EF3BE2D" w:rsidR="00464E40" w:rsidRPr="00464E40" w:rsidRDefault="00464E40" w:rsidP="5CB72E2B">
      <w:pPr>
        <w:spacing w:after="0" w:line="240" w:lineRule="auto"/>
        <w:textAlignment w:val="baseline"/>
        <w:rPr>
          <w:rFonts w:ascii="Times New Roman" w:eastAsia="Times New Roman" w:hAnsi="Times New Roman" w:cs="Times New Roman"/>
          <w:sz w:val="18"/>
          <w:szCs w:val="18"/>
        </w:rPr>
      </w:pPr>
      <w:r w:rsidRPr="00464E40">
        <w:rPr>
          <w:rFonts w:ascii="Times New Roman" w:eastAsia="Times New Roman" w:hAnsi="Times New Roman" w:cs="Times New Roman"/>
          <w:color w:val="000000"/>
          <w:kern w:val="0"/>
          <w14:ligatures w14:val="none"/>
        </w:rPr>
        <w:t xml:space="preserve">In 2023, the Minnesota Legislature required their Commissioner of Human Services to issue grants to establish “safe recovery sites.” </w:t>
      </w:r>
      <w:hyperlink r:id="rId20" w:tgtFrame="_blank" w:history="1">
        <w:r w:rsidRPr="00464E40">
          <w:rPr>
            <w:rFonts w:ascii="Times New Roman" w:eastAsia="Times New Roman" w:hAnsi="Times New Roman" w:cs="Times New Roman"/>
            <w:kern w:val="0"/>
            <w14:ligatures w14:val="none"/>
          </w:rPr>
          <w:t>The</w:t>
        </w:r>
        <w:r w:rsidR="00181D8D" w:rsidRPr="00CB0A89">
          <w:rPr>
            <w:rFonts w:ascii="Times New Roman" w:eastAsia="Times New Roman" w:hAnsi="Times New Roman" w:cs="Times New Roman"/>
            <w:kern w:val="0"/>
            <w14:ligatures w14:val="none"/>
          </w:rPr>
          <w:t xml:space="preserve"> appropriations language</w:t>
        </w:r>
      </w:hyperlink>
      <w:r w:rsidRPr="00464E40">
        <w:rPr>
          <w:rFonts w:ascii="Times New Roman" w:eastAsia="Times New Roman" w:hAnsi="Times New Roman" w:cs="Times New Roman"/>
          <w:kern w:val="0"/>
          <w14:ligatures w14:val="none"/>
        </w:rPr>
        <w:t xml:space="preserve"> includes </w:t>
      </w:r>
      <w:r w:rsidRPr="00464E40">
        <w:rPr>
          <w:rFonts w:ascii="Times New Roman" w:eastAsia="Times New Roman" w:hAnsi="Times New Roman" w:cs="Times New Roman"/>
          <w:color w:val="000000"/>
          <w:kern w:val="0"/>
          <w14:ligatures w14:val="none"/>
        </w:rPr>
        <w:t>$14M of state funding for start-up and capacity building grants and does not include language offering liability protections for OPC activities.</w:t>
      </w:r>
      <w:r w:rsidR="00181D8D" w:rsidRPr="00CB0A89">
        <w:rPr>
          <w:rStyle w:val="FootnoteReference"/>
          <w:rFonts w:ascii="Times New Roman" w:eastAsia="Times New Roman" w:hAnsi="Times New Roman" w:cs="Times New Roman"/>
          <w:color w:val="000000"/>
          <w:kern w:val="0"/>
          <w14:ligatures w14:val="none"/>
        </w:rPr>
        <w:footnoteReference w:id="29"/>
      </w:r>
      <w:r w:rsidRPr="00464E40">
        <w:rPr>
          <w:rFonts w:ascii="Times New Roman" w:eastAsia="Times New Roman" w:hAnsi="Times New Roman" w:cs="Times New Roman"/>
          <w:color w:val="000000"/>
          <w:kern w:val="0"/>
          <w14:ligatures w14:val="none"/>
        </w:rPr>
        <w:t> </w:t>
      </w:r>
    </w:p>
    <w:p w14:paraId="126B7682" w14:textId="76DEE14E" w:rsidR="00464E40" w:rsidRPr="00464E40" w:rsidRDefault="00464E40" w:rsidP="5CB72E2B">
      <w:pPr>
        <w:spacing w:after="0" w:line="240" w:lineRule="auto"/>
        <w:textAlignment w:val="baseline"/>
        <w:rPr>
          <w:rFonts w:ascii="Times New Roman" w:eastAsia="Times New Roman" w:hAnsi="Times New Roman" w:cs="Times New Roman"/>
          <w:color w:val="000000" w:themeColor="text1"/>
        </w:rPr>
      </w:pPr>
    </w:p>
    <w:p w14:paraId="40584B3A" w14:textId="0EF3BE2D" w:rsidR="00464E40" w:rsidRPr="00464E40" w:rsidRDefault="00172E44" w:rsidP="003E0AB2">
      <w:pPr>
        <w:spacing w:after="0" w:line="240" w:lineRule="auto"/>
        <w:textAlignment w:val="baseline"/>
        <w:rPr>
          <w:rFonts w:ascii="Times New Roman" w:eastAsia="Times New Roman" w:hAnsi="Times New Roman" w:cs="Times New Roman"/>
          <w:kern w:val="0"/>
          <w:sz w:val="18"/>
          <w:szCs w:val="18"/>
          <w14:ligatures w14:val="none"/>
        </w:rPr>
      </w:pPr>
      <w:r>
        <w:rPr>
          <w:rFonts w:ascii="Times New Roman" w:eastAsia="Times New Roman" w:hAnsi="Times New Roman" w:cs="Times New Roman"/>
          <w:color w:val="000000"/>
          <w:kern w:val="0"/>
          <w14:ligatures w14:val="none"/>
        </w:rPr>
        <w:t>Minnesota</w:t>
      </w:r>
      <w:r w:rsidR="000053EE">
        <w:rPr>
          <w:rFonts w:ascii="Times New Roman" w:eastAsia="Times New Roman" w:hAnsi="Times New Roman" w:cs="Times New Roman"/>
          <w:color w:val="000000"/>
          <w:kern w:val="0"/>
          <w14:ligatures w14:val="none"/>
        </w:rPr>
        <w:t>’s Health and Human Services</w:t>
      </w:r>
      <w:r>
        <w:rPr>
          <w:rFonts w:ascii="Times New Roman" w:eastAsia="Times New Roman" w:hAnsi="Times New Roman" w:cs="Times New Roman"/>
          <w:color w:val="000000"/>
          <w:kern w:val="0"/>
          <w14:ligatures w14:val="none"/>
        </w:rPr>
        <w:t xml:space="preserve"> has not yet</w:t>
      </w:r>
      <w:r w:rsidR="000053EE">
        <w:rPr>
          <w:rFonts w:ascii="Times New Roman" w:eastAsia="Times New Roman" w:hAnsi="Times New Roman" w:cs="Times New Roman"/>
          <w:color w:val="000000"/>
          <w:kern w:val="0"/>
          <w14:ligatures w14:val="none"/>
        </w:rPr>
        <w:t xml:space="preserve"> </w:t>
      </w:r>
      <w:r w:rsidR="00277037">
        <w:rPr>
          <w:rFonts w:ascii="Times New Roman" w:eastAsia="Times New Roman" w:hAnsi="Times New Roman" w:cs="Times New Roman"/>
          <w:color w:val="000000"/>
          <w:kern w:val="0"/>
          <w14:ligatures w14:val="none"/>
        </w:rPr>
        <w:t xml:space="preserve">created standards </w:t>
      </w:r>
      <w:r w:rsidR="00ED0265">
        <w:rPr>
          <w:rFonts w:ascii="Times New Roman" w:eastAsia="Times New Roman" w:hAnsi="Times New Roman" w:cs="Times New Roman"/>
          <w:color w:val="000000"/>
          <w:kern w:val="0"/>
          <w14:ligatures w14:val="none"/>
        </w:rPr>
        <w:t xml:space="preserve">for the sites </w:t>
      </w:r>
      <w:r w:rsidR="00277037">
        <w:rPr>
          <w:rFonts w:ascii="Times New Roman" w:eastAsia="Times New Roman" w:hAnsi="Times New Roman" w:cs="Times New Roman"/>
          <w:color w:val="000000"/>
          <w:kern w:val="0"/>
          <w14:ligatures w14:val="none"/>
        </w:rPr>
        <w:t>or awarded</w:t>
      </w:r>
      <w:r w:rsidR="00ED0265">
        <w:rPr>
          <w:rFonts w:ascii="Times New Roman" w:eastAsia="Times New Roman" w:hAnsi="Times New Roman" w:cs="Times New Roman"/>
          <w:color w:val="000000"/>
          <w:kern w:val="0"/>
          <w14:ligatures w14:val="none"/>
        </w:rPr>
        <w:t xml:space="preserve"> </w:t>
      </w:r>
      <w:r w:rsidR="0031550A">
        <w:rPr>
          <w:rFonts w:ascii="Times New Roman" w:eastAsia="Times New Roman" w:hAnsi="Times New Roman" w:cs="Times New Roman"/>
          <w:color w:val="000000"/>
          <w:kern w:val="0"/>
          <w14:ligatures w14:val="none"/>
        </w:rPr>
        <w:t>funding</w:t>
      </w:r>
      <w:r w:rsidR="00A456A3">
        <w:rPr>
          <w:rFonts w:ascii="Times New Roman" w:eastAsia="Times New Roman" w:hAnsi="Times New Roman" w:cs="Times New Roman"/>
          <w:color w:val="000000"/>
          <w:kern w:val="0"/>
          <w14:ligatures w14:val="none"/>
        </w:rPr>
        <w:t xml:space="preserve">, but without </w:t>
      </w:r>
      <w:r w:rsidR="00D80E8D">
        <w:rPr>
          <w:rFonts w:ascii="Times New Roman" w:eastAsia="Times New Roman" w:hAnsi="Times New Roman" w:cs="Times New Roman"/>
          <w:color w:val="000000"/>
          <w:kern w:val="0"/>
          <w14:ligatures w14:val="none"/>
        </w:rPr>
        <w:t>legal</w:t>
      </w:r>
      <w:r w:rsidR="00A456A3">
        <w:rPr>
          <w:rFonts w:ascii="Times New Roman" w:eastAsia="Times New Roman" w:hAnsi="Times New Roman" w:cs="Times New Roman"/>
          <w:color w:val="000000"/>
          <w:kern w:val="0"/>
          <w14:ligatures w14:val="none"/>
        </w:rPr>
        <w:t xml:space="preserve"> protections</w:t>
      </w:r>
      <w:r w:rsidR="00D80E8D">
        <w:rPr>
          <w:rFonts w:ascii="Times New Roman" w:eastAsia="Times New Roman" w:hAnsi="Times New Roman" w:cs="Times New Roman"/>
          <w:color w:val="000000"/>
          <w:kern w:val="0"/>
          <w14:ligatures w14:val="none"/>
        </w:rPr>
        <w:t xml:space="preserve">, </w:t>
      </w:r>
      <w:r w:rsidR="00D80E8D" w:rsidRPr="00D80E8D">
        <w:rPr>
          <w:rFonts w:ascii="Times New Roman" w:eastAsia="Times New Roman" w:hAnsi="Times New Roman" w:cs="Times New Roman"/>
          <w:color w:val="000000"/>
          <w:kern w:val="0"/>
          <w14:ligatures w14:val="none"/>
        </w:rPr>
        <w:t xml:space="preserve">those participating in, funding, working at and operating an OPC </w:t>
      </w:r>
      <w:r w:rsidR="00D80E8D">
        <w:rPr>
          <w:rFonts w:ascii="Times New Roman" w:eastAsia="Times New Roman" w:hAnsi="Times New Roman" w:cs="Times New Roman"/>
          <w:color w:val="000000"/>
          <w:kern w:val="0"/>
          <w14:ligatures w14:val="none"/>
        </w:rPr>
        <w:t>would remain</w:t>
      </w:r>
      <w:r w:rsidR="00D80E8D" w:rsidRPr="00D80E8D">
        <w:rPr>
          <w:rFonts w:ascii="Times New Roman" w:eastAsia="Times New Roman" w:hAnsi="Times New Roman" w:cs="Times New Roman"/>
          <w:color w:val="000000"/>
          <w:kern w:val="0"/>
          <w14:ligatures w14:val="none"/>
        </w:rPr>
        <w:t xml:space="preserve"> at significant legal risk</w:t>
      </w:r>
      <w:r w:rsidR="00D80E8D">
        <w:rPr>
          <w:rFonts w:ascii="Times New Roman" w:eastAsia="Times New Roman" w:hAnsi="Times New Roman" w:cs="Times New Roman"/>
          <w:color w:val="000000"/>
          <w:kern w:val="0"/>
          <w14:ligatures w14:val="none"/>
        </w:rPr>
        <w:t>.</w:t>
      </w:r>
      <w:r w:rsidR="00A456A3">
        <w:rPr>
          <w:rFonts w:ascii="Times New Roman" w:eastAsia="Times New Roman" w:hAnsi="Times New Roman" w:cs="Times New Roman"/>
          <w:color w:val="000000"/>
          <w:kern w:val="0"/>
          <w14:ligatures w14:val="none"/>
        </w:rPr>
        <w:t xml:space="preserve"> </w:t>
      </w:r>
      <w:r w:rsidR="000053EE">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 </w:t>
      </w:r>
    </w:p>
    <w:p w14:paraId="164AB994" w14:textId="77777777" w:rsidR="00464E40" w:rsidRPr="00464E40" w:rsidRDefault="00464E40" w:rsidP="003E0AB2">
      <w:pPr>
        <w:spacing w:after="0" w:line="240" w:lineRule="auto"/>
        <w:textAlignment w:val="baseline"/>
        <w:rPr>
          <w:rFonts w:ascii="Times New Roman" w:eastAsia="Times New Roman" w:hAnsi="Times New Roman" w:cs="Times New Roman"/>
          <w:kern w:val="0"/>
          <w:sz w:val="18"/>
          <w:szCs w:val="18"/>
          <w14:ligatures w14:val="none"/>
        </w:rPr>
      </w:pPr>
      <w:r w:rsidRPr="00464E40">
        <w:rPr>
          <w:rFonts w:ascii="Times New Roman" w:eastAsia="Times New Roman" w:hAnsi="Times New Roman" w:cs="Times New Roman"/>
          <w:kern w:val="0"/>
          <w14:ligatures w14:val="none"/>
        </w:rPr>
        <w:t> </w:t>
      </w:r>
    </w:p>
    <w:p w14:paraId="4BBE1D82" w14:textId="77777777" w:rsidR="00464E40" w:rsidRPr="00464E40" w:rsidRDefault="00464E40" w:rsidP="003E0AB2">
      <w:pPr>
        <w:spacing w:after="0" w:line="240" w:lineRule="auto"/>
        <w:textAlignment w:val="baseline"/>
        <w:rPr>
          <w:rFonts w:ascii="Times New Roman" w:eastAsia="Times New Roman" w:hAnsi="Times New Roman" w:cs="Times New Roman"/>
          <w:kern w:val="0"/>
          <w:sz w:val="18"/>
          <w:szCs w:val="18"/>
          <w14:ligatures w14:val="none"/>
        </w:rPr>
      </w:pPr>
      <w:r w:rsidRPr="00464E40">
        <w:rPr>
          <w:rFonts w:ascii="Times New Roman" w:eastAsia="Times New Roman" w:hAnsi="Times New Roman" w:cs="Times New Roman"/>
          <w:i/>
          <w:iCs/>
          <w:kern w:val="0"/>
          <w14:ligatures w14:val="none"/>
        </w:rPr>
        <w:t>Philadelphia </w:t>
      </w:r>
      <w:r w:rsidRPr="00464E40">
        <w:rPr>
          <w:rFonts w:ascii="Times New Roman" w:eastAsia="Times New Roman" w:hAnsi="Times New Roman" w:cs="Times New Roman"/>
          <w:kern w:val="0"/>
          <w14:ligatures w14:val="none"/>
        </w:rPr>
        <w:t> </w:t>
      </w:r>
    </w:p>
    <w:p w14:paraId="1764B858" w14:textId="2D91E661" w:rsidR="00B831DA" w:rsidRDefault="00464E40">
      <w:pPr>
        <w:pStyle w:val="ListParagraph"/>
        <w:spacing w:after="0" w:line="240" w:lineRule="auto"/>
        <w:ind w:left="0"/>
        <w:rPr>
          <w:rFonts w:ascii="Times New Roman" w:eastAsia="Times New Roman" w:hAnsi="Times New Roman" w:cs="Times New Roman"/>
        </w:rPr>
      </w:pPr>
      <w:r w:rsidRPr="00464E40">
        <w:rPr>
          <w:rFonts w:ascii="Times New Roman" w:eastAsia="Times New Roman" w:hAnsi="Times New Roman" w:cs="Times New Roman"/>
          <w:kern w:val="0"/>
          <w14:ligatures w14:val="none"/>
        </w:rPr>
        <w:t xml:space="preserve">The nonprofit </w:t>
      </w:r>
      <w:proofErr w:type="spellStart"/>
      <w:r w:rsidRPr="00464E40">
        <w:rPr>
          <w:rFonts w:ascii="Times New Roman" w:eastAsia="Times New Roman" w:hAnsi="Times New Roman" w:cs="Times New Roman"/>
          <w:kern w:val="0"/>
          <w14:ligatures w14:val="none"/>
        </w:rPr>
        <w:t>SafeHouse</w:t>
      </w:r>
      <w:proofErr w:type="spellEnd"/>
      <w:r w:rsidRPr="00464E40">
        <w:rPr>
          <w:rFonts w:ascii="Times New Roman" w:eastAsia="Times New Roman" w:hAnsi="Times New Roman" w:cs="Times New Roman"/>
          <w:kern w:val="0"/>
          <w14:ligatures w14:val="none"/>
        </w:rPr>
        <w:t xml:space="preserve"> </w:t>
      </w:r>
      <w:r w:rsidR="00420F9B" w:rsidRPr="22F5B3BF">
        <w:rPr>
          <w:rFonts w:ascii="Times New Roman" w:eastAsia="Times New Roman" w:hAnsi="Times New Roman" w:cs="Times New Roman"/>
        </w:rPr>
        <w:t xml:space="preserve">was sued by the </w:t>
      </w:r>
      <w:r w:rsidR="00420F9B" w:rsidRPr="00464E40">
        <w:rPr>
          <w:rFonts w:ascii="Times New Roman" w:eastAsia="Times New Roman" w:hAnsi="Times New Roman" w:cs="Times New Roman"/>
        </w:rPr>
        <w:t xml:space="preserve">U.S. Department of Justice </w:t>
      </w:r>
      <w:r w:rsidR="00A420BE">
        <w:rPr>
          <w:rFonts w:ascii="Times New Roman" w:eastAsia="Times New Roman" w:hAnsi="Times New Roman" w:cs="Times New Roman"/>
        </w:rPr>
        <w:t xml:space="preserve">(USDOJ) </w:t>
      </w:r>
      <w:r w:rsidR="2B3E0C76" w:rsidRPr="32A23FDD">
        <w:rPr>
          <w:rFonts w:ascii="Times New Roman" w:eastAsia="Times New Roman" w:hAnsi="Times New Roman" w:cs="Times New Roman"/>
        </w:rPr>
        <w:t xml:space="preserve">under </w:t>
      </w:r>
      <w:r w:rsidR="07EBF66F" w:rsidRPr="32A23FDD">
        <w:rPr>
          <w:rFonts w:ascii="Times New Roman" w:eastAsia="Times New Roman" w:hAnsi="Times New Roman" w:cs="Times New Roman"/>
        </w:rPr>
        <w:t>the</w:t>
      </w:r>
      <w:r w:rsidR="00420F9B" w:rsidRPr="32A23FDD">
        <w:rPr>
          <w:rFonts w:ascii="Times New Roman" w:eastAsia="Times New Roman" w:hAnsi="Times New Roman" w:cs="Times New Roman"/>
        </w:rPr>
        <w:t xml:space="preserve"> </w:t>
      </w:r>
      <w:r w:rsidR="07EBF66F" w:rsidRPr="32A23FDD">
        <w:rPr>
          <w:rFonts w:ascii="Times New Roman" w:eastAsia="Times New Roman" w:hAnsi="Times New Roman" w:cs="Times New Roman"/>
        </w:rPr>
        <w:t xml:space="preserve">Trump </w:t>
      </w:r>
      <w:r w:rsidR="07EBF66F" w:rsidRPr="01EA16D0">
        <w:rPr>
          <w:rFonts w:ascii="Times New Roman" w:eastAsia="Times New Roman" w:hAnsi="Times New Roman" w:cs="Times New Roman"/>
        </w:rPr>
        <w:t xml:space="preserve">Administration </w:t>
      </w:r>
      <w:r w:rsidR="00420F9B">
        <w:rPr>
          <w:rFonts w:ascii="Times New Roman" w:eastAsia="Times New Roman" w:hAnsi="Times New Roman" w:cs="Times New Roman"/>
        </w:rPr>
        <w:t xml:space="preserve">for pursuing establishment of an OPC in </w:t>
      </w:r>
      <w:r w:rsidR="00F1036B">
        <w:rPr>
          <w:rFonts w:ascii="Times New Roman" w:eastAsia="Times New Roman" w:hAnsi="Times New Roman" w:cs="Times New Roman"/>
        </w:rPr>
        <w:t>2019.</w:t>
      </w:r>
      <w:r w:rsidR="00F1036B" w:rsidRPr="22F5B3BF">
        <w:rPr>
          <w:rStyle w:val="FootnoteReference"/>
          <w:rFonts w:ascii="Times New Roman" w:eastAsia="Times New Roman" w:hAnsi="Times New Roman" w:cs="Times New Roman"/>
          <w:color w:val="000000" w:themeColor="text1"/>
        </w:rPr>
        <w:t xml:space="preserve"> </w:t>
      </w:r>
      <w:r w:rsidR="00F1036B">
        <w:rPr>
          <w:rStyle w:val="FootnoteReference"/>
          <w:rFonts w:ascii="Times New Roman" w:eastAsia="Times New Roman" w:hAnsi="Times New Roman" w:cs="Times New Roman"/>
          <w:color w:val="000000"/>
          <w:kern w:val="0"/>
          <w14:ligatures w14:val="none"/>
        </w:rPr>
        <w:footnoteReference w:id="30"/>
      </w:r>
      <w:r w:rsidR="00F1036B" w:rsidRPr="00464E40">
        <w:rPr>
          <w:rFonts w:ascii="Times New Roman" w:eastAsia="Times New Roman" w:hAnsi="Times New Roman" w:cs="Times New Roman"/>
          <w:color w:val="000000" w:themeColor="text1"/>
        </w:rPr>
        <w:t xml:space="preserve"> </w:t>
      </w:r>
      <w:r w:rsidR="00F1036B">
        <w:rPr>
          <w:rFonts w:ascii="Times New Roman" w:eastAsia="Times New Roman" w:hAnsi="Times New Roman" w:cs="Times New Roman"/>
        </w:rPr>
        <w:t xml:space="preserve"> </w:t>
      </w:r>
      <w:proofErr w:type="spellStart"/>
      <w:r w:rsidR="00F1036B">
        <w:rPr>
          <w:rFonts w:ascii="Times New Roman" w:eastAsia="Times New Roman" w:hAnsi="Times New Roman" w:cs="Times New Roman"/>
        </w:rPr>
        <w:t>SafeHouse</w:t>
      </w:r>
      <w:proofErr w:type="spellEnd"/>
      <w:r w:rsidR="00F1036B">
        <w:rPr>
          <w:rFonts w:ascii="Times New Roman" w:eastAsia="Times New Roman" w:hAnsi="Times New Roman" w:cs="Times New Roman"/>
        </w:rPr>
        <w:t xml:space="preserve"> </w:t>
      </w:r>
      <w:r w:rsidRPr="00464E40">
        <w:rPr>
          <w:rFonts w:ascii="Times New Roman" w:eastAsia="Times New Roman" w:hAnsi="Times New Roman" w:cs="Times New Roman"/>
          <w:kern w:val="0"/>
          <w14:ligatures w14:val="none"/>
        </w:rPr>
        <w:t>pursued establishment of an OPC without authorizing legislation</w:t>
      </w:r>
      <w:r w:rsidR="00F1036B" w:rsidRPr="22F5B3BF">
        <w:rPr>
          <w:rFonts w:ascii="Times New Roman" w:eastAsia="Times New Roman" w:hAnsi="Times New Roman" w:cs="Times New Roman"/>
        </w:rPr>
        <w:t xml:space="preserve"> or</w:t>
      </w:r>
      <w:r w:rsidR="00847D73" w:rsidRPr="22F5B3BF">
        <w:rPr>
          <w:rFonts w:ascii="Times New Roman" w:eastAsia="Times New Roman" w:hAnsi="Times New Roman" w:cs="Times New Roman"/>
        </w:rPr>
        <w:t xml:space="preserve"> </w:t>
      </w:r>
      <w:r w:rsidR="006F576A" w:rsidRPr="22F5B3BF">
        <w:rPr>
          <w:rFonts w:ascii="Times New Roman" w:eastAsia="Times New Roman" w:hAnsi="Times New Roman" w:cs="Times New Roman"/>
        </w:rPr>
        <w:t>an explicit</w:t>
      </w:r>
      <w:r w:rsidR="00A143C3" w:rsidRPr="22F5B3BF">
        <w:rPr>
          <w:rFonts w:ascii="Times New Roman" w:eastAsia="Times New Roman" w:hAnsi="Times New Roman" w:cs="Times New Roman"/>
        </w:rPr>
        <w:t xml:space="preserve"> location</w:t>
      </w:r>
      <w:r w:rsidRPr="00464E40">
        <w:rPr>
          <w:rFonts w:ascii="Times New Roman" w:eastAsia="Times New Roman" w:hAnsi="Times New Roman" w:cs="Times New Roman"/>
          <w:kern w:val="0"/>
          <w14:ligatures w14:val="none"/>
        </w:rPr>
        <w:t>.</w:t>
      </w:r>
      <w:r w:rsidRPr="00464E40">
        <w:rPr>
          <w:rFonts w:ascii="Times New Roman" w:eastAsia="Times New Roman" w:hAnsi="Times New Roman" w:cs="Times New Roman"/>
        </w:rPr>
        <w:t xml:space="preserve"> </w:t>
      </w:r>
      <w:r w:rsidR="73596A86" w:rsidRPr="2BB817AD">
        <w:rPr>
          <w:rFonts w:ascii="Times New Roman" w:eastAsia="Times New Roman" w:hAnsi="Times New Roman" w:cs="Times New Roman"/>
        </w:rPr>
        <w:t>L</w:t>
      </w:r>
      <w:r w:rsidR="3AF0B02A" w:rsidRPr="2BB817AD">
        <w:rPr>
          <w:rFonts w:ascii="Times New Roman" w:eastAsia="Times New Roman" w:hAnsi="Times New Roman" w:cs="Times New Roman"/>
        </w:rPr>
        <w:t>itigation</w:t>
      </w:r>
      <w:r w:rsidR="3AF0B02A" w:rsidRPr="5B10B16F">
        <w:rPr>
          <w:rFonts w:ascii="Times New Roman" w:eastAsia="Times New Roman" w:hAnsi="Times New Roman" w:cs="Times New Roman"/>
        </w:rPr>
        <w:t xml:space="preserve"> is ongoing, and in </w:t>
      </w:r>
      <w:r w:rsidR="1DBADABF" w:rsidRPr="5B10B16F">
        <w:rPr>
          <w:rFonts w:ascii="Times New Roman" w:eastAsia="Times New Roman" w:hAnsi="Times New Roman" w:cs="Times New Roman"/>
        </w:rPr>
        <w:t>2021, the</w:t>
      </w:r>
      <w:r w:rsidR="3AF0B02A" w:rsidRPr="5B10B16F">
        <w:rPr>
          <w:rFonts w:ascii="Times New Roman" w:eastAsia="Times New Roman" w:hAnsi="Times New Roman" w:cs="Times New Roman"/>
        </w:rPr>
        <w:t xml:space="preserve"> Third Circuit Court of Appeals</w:t>
      </w:r>
      <w:r w:rsidR="4DB1C009" w:rsidRPr="5B10B16F">
        <w:rPr>
          <w:rFonts w:ascii="Times New Roman" w:eastAsia="Times New Roman" w:hAnsi="Times New Roman" w:cs="Times New Roman"/>
        </w:rPr>
        <w:t xml:space="preserve"> found that offering medically supervised consumption</w:t>
      </w:r>
      <w:r w:rsidR="4FDCC423" w:rsidRPr="5B10B16F">
        <w:rPr>
          <w:rFonts w:ascii="Times New Roman" w:eastAsia="Times New Roman" w:hAnsi="Times New Roman" w:cs="Times New Roman"/>
        </w:rPr>
        <w:t xml:space="preserve"> violated federal law</w:t>
      </w:r>
      <w:r w:rsidR="003745EA" w:rsidRPr="5B10B16F">
        <w:rPr>
          <w:rFonts w:ascii="Times New Roman" w:eastAsia="Times New Roman" w:hAnsi="Times New Roman" w:cs="Times New Roman"/>
        </w:rPr>
        <w:t>.</w:t>
      </w:r>
      <w:r w:rsidR="00370EF2">
        <w:rPr>
          <w:rStyle w:val="FootnoteReference"/>
          <w:rFonts w:ascii="Times New Roman" w:eastAsia="Times New Roman" w:hAnsi="Times New Roman" w:cs="Times New Roman"/>
        </w:rPr>
        <w:footnoteReference w:id="31"/>
      </w:r>
      <w:r w:rsidR="04C4A93E" w:rsidRPr="5B10B16F">
        <w:rPr>
          <w:rFonts w:ascii="Times New Roman" w:eastAsia="Times New Roman" w:hAnsi="Times New Roman" w:cs="Times New Roman"/>
        </w:rPr>
        <w:t xml:space="preserve"> </w:t>
      </w:r>
      <w:r w:rsidR="728F1A4C" w:rsidRPr="5B10B16F">
        <w:rPr>
          <w:rFonts w:ascii="Times New Roman" w:eastAsia="Times New Roman" w:hAnsi="Times New Roman" w:cs="Times New Roman"/>
        </w:rPr>
        <w:t xml:space="preserve">Under the Biden administration, the USDOJ and </w:t>
      </w:r>
      <w:proofErr w:type="spellStart"/>
      <w:r w:rsidR="728F1A4C" w:rsidRPr="5B10B16F">
        <w:rPr>
          <w:rFonts w:ascii="Times New Roman" w:eastAsia="Times New Roman" w:hAnsi="Times New Roman" w:cs="Times New Roman"/>
        </w:rPr>
        <w:t>SafeHouse</w:t>
      </w:r>
      <w:proofErr w:type="spellEnd"/>
      <w:r w:rsidR="728F1A4C" w:rsidRPr="5B10B16F">
        <w:rPr>
          <w:rFonts w:ascii="Times New Roman" w:eastAsia="Times New Roman" w:hAnsi="Times New Roman" w:cs="Times New Roman"/>
        </w:rPr>
        <w:t xml:space="preserve"> entered settlement discussi</w:t>
      </w:r>
      <w:r w:rsidR="0D606463" w:rsidRPr="5B10B16F">
        <w:rPr>
          <w:rFonts w:ascii="Times New Roman" w:eastAsia="Times New Roman" w:hAnsi="Times New Roman" w:cs="Times New Roman"/>
        </w:rPr>
        <w:t xml:space="preserve">ons, which have not resolved. </w:t>
      </w:r>
      <w:r w:rsidR="03E3D219" w:rsidRPr="62B62692">
        <w:rPr>
          <w:rFonts w:ascii="Times New Roman" w:eastAsia="Times New Roman" w:hAnsi="Times New Roman" w:cs="Times New Roman"/>
        </w:rPr>
        <w:t>In 2023, Safehous</w:t>
      </w:r>
      <w:r w:rsidR="67F49226" w:rsidRPr="62B62692">
        <w:rPr>
          <w:rFonts w:ascii="Times New Roman" w:eastAsia="Times New Roman" w:hAnsi="Times New Roman" w:cs="Times New Roman"/>
        </w:rPr>
        <w:t xml:space="preserve">e filed amended counterclaims against </w:t>
      </w:r>
      <w:r w:rsidR="1E5AE2B9" w:rsidRPr="62B62692">
        <w:rPr>
          <w:rFonts w:ascii="Times New Roman" w:eastAsia="Times New Roman" w:hAnsi="Times New Roman" w:cs="Times New Roman"/>
        </w:rPr>
        <w:t>US</w:t>
      </w:r>
      <w:r w:rsidR="03E3D219" w:rsidRPr="62B62692">
        <w:rPr>
          <w:rFonts w:ascii="Times New Roman" w:eastAsia="Times New Roman" w:hAnsi="Times New Roman" w:cs="Times New Roman"/>
        </w:rPr>
        <w:t>DOJ</w:t>
      </w:r>
      <w:r w:rsidR="25A71CB3" w:rsidRPr="62B62692">
        <w:rPr>
          <w:rFonts w:ascii="Times New Roman" w:eastAsia="Times New Roman" w:hAnsi="Times New Roman" w:cs="Times New Roman"/>
        </w:rPr>
        <w:t xml:space="preserve">, </w:t>
      </w:r>
      <w:r w:rsidR="0331CC51" w:rsidRPr="62B62692">
        <w:rPr>
          <w:rFonts w:ascii="Times New Roman" w:eastAsia="Times New Roman" w:hAnsi="Times New Roman" w:cs="Times New Roman"/>
        </w:rPr>
        <w:t xml:space="preserve">and </w:t>
      </w:r>
      <w:r w:rsidR="7AC66673" w:rsidRPr="62B62692">
        <w:rPr>
          <w:rFonts w:ascii="Times New Roman" w:eastAsia="Times New Roman" w:hAnsi="Times New Roman" w:cs="Times New Roman"/>
        </w:rPr>
        <w:t>US</w:t>
      </w:r>
      <w:r w:rsidR="0331CC51" w:rsidRPr="62B62692">
        <w:rPr>
          <w:rFonts w:ascii="Times New Roman" w:eastAsia="Times New Roman" w:hAnsi="Times New Roman" w:cs="Times New Roman"/>
        </w:rPr>
        <w:t>DOJ has moved to dismiss the counterclaims.</w:t>
      </w:r>
      <w:r w:rsidRPr="2D8563E7">
        <w:rPr>
          <w:rStyle w:val="FootnoteReference"/>
          <w:rFonts w:ascii="Times New Roman" w:eastAsia="Times New Roman" w:hAnsi="Times New Roman" w:cs="Times New Roman"/>
        </w:rPr>
        <w:footnoteReference w:id="32"/>
      </w:r>
    </w:p>
    <w:p w14:paraId="6C9BFA63" w14:textId="20DD9A6A" w:rsidR="00D36111" w:rsidRPr="00CB0A89" w:rsidRDefault="00D36111" w:rsidP="008A5B3B">
      <w:pPr>
        <w:pStyle w:val="ListParagraph"/>
        <w:spacing w:after="0" w:line="240" w:lineRule="auto"/>
        <w:ind w:left="0"/>
        <w:rPr>
          <w:rFonts w:ascii="Times New Roman" w:eastAsia="Times New Roman" w:hAnsi="Times New Roman" w:cs="Times New Roman"/>
          <w:color w:val="000000" w:themeColor="text1"/>
        </w:rPr>
      </w:pPr>
    </w:p>
    <w:p w14:paraId="171D6CE2" w14:textId="71556359" w:rsidR="00D36111" w:rsidRPr="00D36111" w:rsidRDefault="00D36111" w:rsidP="00E13245">
      <w:pPr>
        <w:pStyle w:val="Heading1"/>
        <w:numPr>
          <w:ilvl w:val="0"/>
          <w:numId w:val="21"/>
        </w:numPr>
        <w:spacing w:before="0"/>
        <w:rPr>
          <w:rFonts w:ascii="Times New Roman" w:hAnsi="Times New Roman" w:cs="Times New Roman"/>
          <w:b/>
          <w:bCs/>
          <w:color w:val="auto"/>
          <w:sz w:val="22"/>
          <w:szCs w:val="22"/>
        </w:rPr>
      </w:pPr>
      <w:r>
        <w:rPr>
          <w:rFonts w:ascii="Times New Roman" w:hAnsi="Times New Roman" w:cs="Times New Roman"/>
          <w:b/>
          <w:bCs/>
          <w:color w:val="auto"/>
          <w:sz w:val="22"/>
          <w:szCs w:val="22"/>
        </w:rPr>
        <w:t>Legal Considerations</w:t>
      </w:r>
    </w:p>
    <w:p w14:paraId="0846411F" w14:textId="77777777" w:rsidR="00833D49" w:rsidRPr="00E13245" w:rsidRDefault="00833D49" w:rsidP="003F6181">
      <w:pPr>
        <w:spacing w:after="0"/>
      </w:pPr>
    </w:p>
    <w:p w14:paraId="5EE6DE49" w14:textId="77777777" w:rsidR="00D36111" w:rsidRPr="00CB0A89" w:rsidRDefault="00D36111" w:rsidP="00D36111">
      <w:pPr>
        <w:spacing w:after="0"/>
        <w:rPr>
          <w:rFonts w:ascii="Times New Roman" w:hAnsi="Times New Roman" w:cs="Times New Roman"/>
          <w:i/>
          <w:iCs/>
        </w:rPr>
      </w:pPr>
      <w:r w:rsidRPr="00CB0A89">
        <w:rPr>
          <w:rFonts w:ascii="Times New Roman" w:hAnsi="Times New Roman" w:cs="Times New Roman"/>
          <w:i/>
          <w:iCs/>
        </w:rPr>
        <w:t>Federal Law</w:t>
      </w:r>
    </w:p>
    <w:p w14:paraId="59EA7B99" w14:textId="64CE1619" w:rsidR="00D36111" w:rsidRPr="00CB0A89" w:rsidRDefault="00D36111" w:rsidP="00D36111">
      <w:pPr>
        <w:spacing w:after="0"/>
        <w:rPr>
          <w:rFonts w:ascii="Times New Roman" w:eastAsia="Times New Roman" w:hAnsi="Times New Roman" w:cs="Times New Roman"/>
        </w:rPr>
      </w:pPr>
      <w:r w:rsidRPr="00CB0A89">
        <w:rPr>
          <w:rFonts w:ascii="Times New Roman" w:eastAsia="Times New Roman" w:hAnsi="Times New Roman" w:cs="Times New Roman"/>
        </w:rPr>
        <w:t xml:space="preserve">Federal law prohibits the possession of illegal drugs by persons (21 U.S.C. § 844), prohibits organizations or spaces that facilitate drug use (21 U.S.C. § 856), provides for criminal penalties associated with conspiracy to violate the federal </w:t>
      </w:r>
      <w:r w:rsidR="4D2574AE" w:rsidRPr="5394FB6C">
        <w:rPr>
          <w:rFonts w:ascii="Times New Roman" w:eastAsia="Times New Roman" w:hAnsi="Times New Roman" w:cs="Times New Roman"/>
        </w:rPr>
        <w:t>Controlled Substance Act (</w:t>
      </w:r>
      <w:r w:rsidRPr="00CB0A89">
        <w:rPr>
          <w:rFonts w:ascii="Times New Roman" w:eastAsia="Times New Roman" w:hAnsi="Times New Roman" w:cs="Times New Roman"/>
        </w:rPr>
        <w:t>CSA</w:t>
      </w:r>
      <w:r w:rsidR="485241CF" w:rsidRPr="5394FB6C">
        <w:rPr>
          <w:rFonts w:ascii="Times New Roman" w:eastAsia="Times New Roman" w:hAnsi="Times New Roman" w:cs="Times New Roman"/>
        </w:rPr>
        <w:t>)</w:t>
      </w:r>
      <w:r w:rsidRPr="00CB0A89">
        <w:rPr>
          <w:rFonts w:ascii="Times New Roman" w:eastAsia="Times New Roman" w:hAnsi="Times New Roman" w:cs="Times New Roman"/>
        </w:rPr>
        <w:t xml:space="preserve"> (21 U.S.C. § 846) and for committing continued controlled substance violations that results in substantial income or resources (21 U.S.C. § 848). Controlled substances offenses may also implicate laws on criminal forfeiture (21 U.S.C. § 853), denial of federal benefits (21 U.S.C. § 862), and conspiracy under the federal RICO statute for supporting illegal activity</w:t>
      </w:r>
      <w:r w:rsidR="11446C80" w:rsidRPr="5394FB6C">
        <w:rPr>
          <w:rFonts w:ascii="Times New Roman" w:eastAsia="Times New Roman" w:hAnsi="Times New Roman" w:cs="Times New Roman"/>
        </w:rPr>
        <w:t xml:space="preserve"> </w:t>
      </w:r>
      <w:r w:rsidR="11446C80" w:rsidRPr="00E13245">
        <w:rPr>
          <w:rFonts w:ascii="Times New Roman" w:eastAsia="Times New Roman" w:hAnsi="Times New Roman" w:cs="Times New Roman"/>
          <w:i/>
          <w:iCs/>
        </w:rPr>
        <w:t>(</w:t>
      </w:r>
      <w:r w:rsidR="11446C80" w:rsidRPr="5394FB6C">
        <w:rPr>
          <w:rFonts w:ascii="Times New Roman" w:eastAsia="Times New Roman" w:hAnsi="Times New Roman" w:cs="Times New Roman"/>
          <w:i/>
          <w:iCs/>
        </w:rPr>
        <w:t>See Appendix A)</w:t>
      </w:r>
      <w:r w:rsidRPr="00E13245">
        <w:rPr>
          <w:rFonts w:ascii="Times New Roman" w:eastAsia="Times New Roman" w:hAnsi="Times New Roman" w:cs="Times New Roman"/>
          <w:i/>
          <w:iCs/>
        </w:rPr>
        <w:t>.</w:t>
      </w:r>
    </w:p>
    <w:p w14:paraId="139477B3" w14:textId="77777777" w:rsidR="00D36111" w:rsidRPr="00CB0A89" w:rsidRDefault="00D36111" w:rsidP="00D36111">
      <w:pPr>
        <w:spacing w:after="0"/>
        <w:rPr>
          <w:rFonts w:ascii="Times New Roman" w:eastAsia="Times New Roman" w:hAnsi="Times New Roman" w:cs="Times New Roman"/>
        </w:rPr>
      </w:pPr>
    </w:p>
    <w:p w14:paraId="41C0BCB5" w14:textId="0415A34B" w:rsidR="00D36111" w:rsidRPr="00CB0A89" w:rsidRDefault="00D36111" w:rsidP="00D36111">
      <w:pPr>
        <w:spacing w:after="0"/>
        <w:rPr>
          <w:rStyle w:val="normaltextrun"/>
          <w:rFonts w:ascii="Times New Roman" w:hAnsi="Times New Roman" w:cs="Times New Roman"/>
          <w:color w:val="000000" w:themeColor="text1"/>
        </w:rPr>
      </w:pPr>
      <w:r w:rsidRPr="00CB0A89">
        <w:rPr>
          <w:rStyle w:val="normaltextrun"/>
          <w:rFonts w:ascii="Times New Roman" w:hAnsi="Times New Roman" w:cs="Times New Roman"/>
          <w:color w:val="000000"/>
          <w:shd w:val="clear" w:color="auto" w:fill="FFFFFF"/>
        </w:rPr>
        <w:lastRenderedPageBreak/>
        <w:t xml:space="preserve">Although the Biden Administration has embraced harm reduction methods as a core principle and approach in </w:t>
      </w:r>
      <w:hyperlink r:id="rId21" w:tgtFrame="_blank" w:history="1">
        <w:r w:rsidRPr="00CB0A89">
          <w:rPr>
            <w:rStyle w:val="normaltextrun"/>
            <w:rFonts w:ascii="Times New Roman" w:hAnsi="Times New Roman" w:cs="Times New Roman"/>
            <w:color w:val="0000FF"/>
            <w:u w:val="single"/>
            <w:shd w:val="clear" w:color="auto" w:fill="FFFFFF"/>
          </w:rPr>
          <w:t>the National Drug Control Strategy</w:t>
        </w:r>
      </w:hyperlink>
      <w:r w:rsidRPr="00CB0A89">
        <w:rPr>
          <w:rStyle w:val="normaltextrun"/>
          <w:rFonts w:ascii="Times New Roman" w:hAnsi="Times New Roman" w:cs="Times New Roman"/>
          <w:color w:val="000000"/>
          <w:shd w:val="clear" w:color="auto" w:fill="FFFFFF"/>
        </w:rPr>
        <w:t xml:space="preserve">, it has not explicitly endorsed the use of OPCs. Absent a federal policy or statutory change, enforcement of federal law against OPCs is in the discretion of federal law enforcement officials and </w:t>
      </w:r>
      <w:r w:rsidR="597C6CD1" w:rsidRPr="17ED97F9">
        <w:rPr>
          <w:rStyle w:val="normaltextrun"/>
          <w:rFonts w:ascii="Times New Roman" w:hAnsi="Times New Roman" w:cs="Times New Roman"/>
          <w:color w:val="000000" w:themeColor="text1"/>
        </w:rPr>
        <w:t xml:space="preserve">actions </w:t>
      </w:r>
      <w:r w:rsidRPr="00CB0A89">
        <w:rPr>
          <w:rStyle w:val="normaltextrun"/>
          <w:rFonts w:ascii="Times New Roman" w:hAnsi="Times New Roman" w:cs="Times New Roman"/>
          <w:color w:val="000000"/>
          <w:shd w:val="clear" w:color="auto" w:fill="FFFFFF"/>
        </w:rPr>
        <w:t>ha</w:t>
      </w:r>
      <w:r w:rsidR="7A3C3569" w:rsidRPr="17ED97F9">
        <w:rPr>
          <w:rStyle w:val="normaltextrun"/>
          <w:rFonts w:ascii="Times New Roman" w:hAnsi="Times New Roman" w:cs="Times New Roman"/>
          <w:color w:val="000000" w:themeColor="text1"/>
        </w:rPr>
        <w:t>ve</w:t>
      </w:r>
      <w:r w:rsidRPr="00CB0A89">
        <w:rPr>
          <w:rStyle w:val="normaltextrun"/>
          <w:rFonts w:ascii="Times New Roman" w:hAnsi="Times New Roman" w:cs="Times New Roman"/>
          <w:color w:val="000000"/>
          <w:shd w:val="clear" w:color="auto" w:fill="FFFFFF"/>
        </w:rPr>
        <w:t xml:space="preserve"> a five-year statute of limitations. </w:t>
      </w:r>
    </w:p>
    <w:p w14:paraId="1A144BD1" w14:textId="77777777" w:rsidR="00D36111" w:rsidRPr="00CB0A89" w:rsidRDefault="00D36111" w:rsidP="00D36111">
      <w:pPr>
        <w:spacing w:after="0"/>
        <w:rPr>
          <w:rFonts w:ascii="Times New Roman" w:eastAsia="Times New Roman" w:hAnsi="Times New Roman" w:cs="Times New Roman"/>
          <w:i/>
          <w:iCs/>
        </w:rPr>
      </w:pPr>
    </w:p>
    <w:p w14:paraId="57B2201B" w14:textId="39B2CE30" w:rsidR="00776D3C" w:rsidRDefault="00D36111" w:rsidP="00776D3C">
      <w:pPr>
        <w:spacing w:after="0"/>
        <w:rPr>
          <w:rFonts w:ascii="Times New Roman" w:eastAsia="Times New Roman" w:hAnsi="Times New Roman" w:cs="Times New Roman"/>
        </w:rPr>
      </w:pPr>
      <w:r w:rsidRPr="00CB0A89">
        <w:rPr>
          <w:rFonts w:ascii="Times New Roman" w:eastAsia="Times New Roman" w:hAnsi="Times New Roman" w:cs="Times New Roman"/>
          <w:i/>
          <w:iCs/>
        </w:rPr>
        <w:t>State Law and Licensing</w:t>
      </w:r>
    </w:p>
    <w:p w14:paraId="6C5CBE24" w14:textId="42C718EA" w:rsidR="00D36111" w:rsidRPr="00CB0A89" w:rsidRDefault="00D36111" w:rsidP="00E13245">
      <w:pPr>
        <w:spacing w:after="0"/>
        <w:rPr>
          <w:rFonts w:ascii="Times New Roman" w:eastAsia="Times New Roman" w:hAnsi="Times New Roman" w:cs="Times New Roman"/>
        </w:rPr>
      </w:pPr>
      <w:r w:rsidRPr="00CB0A89">
        <w:rPr>
          <w:rFonts w:ascii="Times New Roman" w:eastAsia="Times New Roman" w:hAnsi="Times New Roman" w:cs="Times New Roman"/>
        </w:rPr>
        <w:t xml:space="preserve">In Massachusetts, it is a crime to manufacture, dispense or possess certain controlled substances without authorization. Clients accessing an OPC to use previously obtained illicit substances could face criminal possession charges. Staff and volunteers could also face criminal prosecution, either for possessing controlled substances during drug checking, or generally, as their actions could be interpreted as a conspiracy to violate MGL 94C. Under MGL c. 271A, OPC activities could be considered </w:t>
      </w:r>
      <w:proofErr w:type="gramStart"/>
      <w:r w:rsidRPr="00CB0A89">
        <w:rPr>
          <w:rFonts w:ascii="Times New Roman" w:eastAsia="Times New Roman" w:hAnsi="Times New Roman" w:cs="Times New Roman"/>
        </w:rPr>
        <w:t>a criminal</w:t>
      </w:r>
      <w:r w:rsidRPr="00CB0A89">
        <w:rPr>
          <w:rFonts w:ascii="Times New Roman" w:eastAsia="Times New Roman" w:hAnsi="Times New Roman" w:cs="Times New Roman"/>
          <w:i/>
          <w:iCs/>
        </w:rPr>
        <w:t xml:space="preserve"> </w:t>
      </w:r>
      <w:r w:rsidRPr="00CB0A89">
        <w:rPr>
          <w:rFonts w:ascii="Times New Roman" w:eastAsia="Times New Roman" w:hAnsi="Times New Roman" w:cs="Times New Roman"/>
        </w:rPr>
        <w:t>enterprise</w:t>
      </w:r>
      <w:proofErr w:type="gramEnd"/>
      <w:r w:rsidRPr="00CB0A89">
        <w:rPr>
          <w:rFonts w:ascii="Times New Roman" w:eastAsia="Times New Roman" w:hAnsi="Times New Roman" w:cs="Times New Roman"/>
        </w:rPr>
        <w:t>. Additionally, MGL 94C requires that all real property used to commit or facilitate the commission of a violation must be forfeited to the Commonwealth.</w:t>
      </w:r>
      <w:r w:rsidRPr="5CB72E2B">
        <w:rPr>
          <w:rFonts w:ascii="Times New Roman" w:eastAsia="Times New Roman" w:hAnsi="Times New Roman" w:cs="Times New Roman"/>
        </w:rPr>
        <w:t xml:space="preserve"> Absent </w:t>
      </w:r>
      <w:r w:rsidRPr="00CB0A89">
        <w:rPr>
          <w:rFonts w:ascii="Times New Roman" w:eastAsia="Times New Roman" w:hAnsi="Times New Roman" w:cs="Times New Roman"/>
          <w:i/>
          <w:iCs/>
        </w:rPr>
        <w:t>s</w:t>
      </w:r>
      <w:r w:rsidRPr="00CB0A89">
        <w:rPr>
          <w:rFonts w:ascii="Times New Roman" w:eastAsia="Times New Roman" w:hAnsi="Times New Roman" w:cs="Times New Roman"/>
        </w:rPr>
        <w:t>tate legislative criminal and civil liability protections, those participating in</w:t>
      </w:r>
      <w:r w:rsidRPr="00CB0A89">
        <w:rPr>
          <w:rFonts w:ascii="Times New Roman" w:eastAsia="Times New Roman" w:hAnsi="Times New Roman" w:cs="Times New Roman"/>
          <w:i/>
          <w:iCs/>
        </w:rPr>
        <w:t xml:space="preserve">, </w:t>
      </w:r>
      <w:r w:rsidRPr="5CB72E2B">
        <w:rPr>
          <w:rFonts w:ascii="Times New Roman" w:eastAsia="Times New Roman" w:hAnsi="Times New Roman" w:cs="Times New Roman"/>
        </w:rPr>
        <w:t>funding, working at</w:t>
      </w:r>
      <w:r w:rsidRPr="00CB0A89">
        <w:rPr>
          <w:rFonts w:ascii="Times New Roman" w:eastAsia="Times New Roman" w:hAnsi="Times New Roman" w:cs="Times New Roman"/>
        </w:rPr>
        <w:t xml:space="preserve"> and operating an OPC are at significant criminal legal risk, with both state and local authorities having the ability to charge, arrest and convict for drug offenses or for conspiracy to violate the state Controlled Substances Act.</w:t>
      </w:r>
    </w:p>
    <w:p w14:paraId="3CF75866" w14:textId="77777777" w:rsidR="00D36111" w:rsidRPr="00CB0A89" w:rsidRDefault="00D36111" w:rsidP="00D36111">
      <w:pPr>
        <w:pStyle w:val="Heading3"/>
        <w:numPr>
          <w:ilvl w:val="2"/>
          <w:numId w:val="0"/>
        </w:numPr>
        <w:spacing w:before="0"/>
        <w:rPr>
          <w:rFonts w:ascii="Times New Roman" w:eastAsia="Times New Roman" w:hAnsi="Times New Roman" w:cs="Times New Roman"/>
          <w:color w:val="auto"/>
          <w:sz w:val="22"/>
          <w:szCs w:val="22"/>
        </w:rPr>
      </w:pPr>
    </w:p>
    <w:p w14:paraId="3759E384" w14:textId="1C250DDF" w:rsidR="00D36111" w:rsidRDefault="21656309" w:rsidP="5E589721">
      <w:pPr>
        <w:pStyle w:val="Heading3"/>
        <w:keepNext w:val="0"/>
        <w:keepLines w:val="0"/>
        <w:numPr>
          <w:ilvl w:val="2"/>
          <w:numId w:val="0"/>
        </w:numPr>
        <w:spacing w:before="0"/>
        <w:rPr>
          <w:rFonts w:ascii="Times New Roman" w:eastAsia="Times New Roman" w:hAnsi="Times New Roman" w:cs="Times New Roman"/>
          <w:color w:val="auto"/>
          <w:sz w:val="22"/>
          <w:szCs w:val="22"/>
        </w:rPr>
      </w:pPr>
      <w:r w:rsidRPr="00CB0A89">
        <w:rPr>
          <w:rFonts w:ascii="Times New Roman" w:eastAsia="Times New Roman" w:hAnsi="Times New Roman" w:cs="Times New Roman"/>
          <w:color w:val="auto"/>
          <w:sz w:val="22"/>
          <w:szCs w:val="22"/>
        </w:rPr>
        <w:t xml:space="preserve">Professional licensure boards generally prohibit by regulation either committing or aiding a person in performing any act prohibited by </w:t>
      </w:r>
      <w:r w:rsidR="3CD62A85">
        <w:rPr>
          <w:rFonts w:ascii="Times New Roman" w:eastAsia="Times New Roman" w:hAnsi="Times New Roman" w:cs="Times New Roman"/>
          <w:color w:val="auto"/>
          <w:sz w:val="22"/>
          <w:szCs w:val="22"/>
        </w:rPr>
        <w:t xml:space="preserve">applicable federal and state </w:t>
      </w:r>
      <w:r w:rsidRPr="00CB0A89">
        <w:rPr>
          <w:rFonts w:ascii="Times New Roman" w:eastAsia="Times New Roman" w:hAnsi="Times New Roman" w:cs="Times New Roman"/>
          <w:color w:val="auto"/>
          <w:sz w:val="22"/>
          <w:szCs w:val="22"/>
        </w:rPr>
        <w:t>law or regulation (e.g., using illicit substances).</w:t>
      </w:r>
      <w:r w:rsidR="00D36111" w:rsidRPr="00CB0A89">
        <w:rPr>
          <w:rStyle w:val="FootnoteReference"/>
          <w:rFonts w:ascii="Times New Roman" w:eastAsia="Times New Roman" w:hAnsi="Times New Roman" w:cs="Times New Roman"/>
          <w:color w:val="auto"/>
          <w:sz w:val="22"/>
          <w:szCs w:val="22"/>
        </w:rPr>
        <w:footnoteReference w:id="33"/>
      </w:r>
      <w:r w:rsidRPr="00CB0A89">
        <w:rPr>
          <w:rFonts w:ascii="Times New Roman" w:eastAsia="Times New Roman" w:hAnsi="Times New Roman" w:cs="Times New Roman"/>
          <w:color w:val="auto"/>
          <w:sz w:val="22"/>
          <w:szCs w:val="22"/>
        </w:rPr>
        <w:t xml:space="preserve"> </w:t>
      </w:r>
      <w:r w:rsidRPr="00BD3BEE">
        <w:rPr>
          <w:rFonts w:ascii="Times New Roman" w:eastAsia="Times New Roman" w:hAnsi="Times New Roman" w:cs="Times New Roman"/>
          <w:color w:val="auto"/>
          <w:kern w:val="0"/>
          <w:sz w:val="22"/>
          <w:szCs w:val="22"/>
          <w14:ligatures w14:val="none"/>
        </w:rPr>
        <w:t xml:space="preserve">State legislation </w:t>
      </w:r>
      <w:r w:rsidR="00855E6A">
        <w:rPr>
          <w:rFonts w:ascii="Times New Roman" w:eastAsia="Times New Roman" w:hAnsi="Times New Roman" w:cs="Times New Roman"/>
          <w:color w:val="auto"/>
          <w:kern w:val="0"/>
          <w:sz w:val="22"/>
          <w:szCs w:val="22"/>
          <w14:ligatures w14:val="none"/>
        </w:rPr>
        <w:t>c</w:t>
      </w:r>
      <w:r w:rsidR="29139AAE">
        <w:rPr>
          <w:rFonts w:ascii="Times New Roman" w:eastAsia="Times New Roman" w:hAnsi="Times New Roman" w:cs="Times New Roman"/>
          <w:color w:val="auto"/>
          <w:kern w:val="0"/>
          <w:sz w:val="22"/>
          <w:szCs w:val="22"/>
          <w14:ligatures w14:val="none"/>
        </w:rPr>
        <w:t>ould</w:t>
      </w:r>
      <w:r w:rsidR="29139AAE" w:rsidRPr="00BD3BEE">
        <w:rPr>
          <w:rFonts w:ascii="Times New Roman" w:eastAsia="Times New Roman" w:hAnsi="Times New Roman" w:cs="Times New Roman"/>
          <w:color w:val="auto"/>
          <w:kern w:val="0"/>
          <w:sz w:val="22"/>
          <w:szCs w:val="22"/>
          <w14:ligatures w14:val="none"/>
        </w:rPr>
        <w:t xml:space="preserve"> </w:t>
      </w:r>
      <w:r w:rsidRPr="00BD3BEE">
        <w:rPr>
          <w:rFonts w:ascii="Times New Roman" w:eastAsia="Times New Roman" w:hAnsi="Times New Roman" w:cs="Times New Roman"/>
          <w:color w:val="auto"/>
          <w:kern w:val="0"/>
          <w:sz w:val="22"/>
          <w:szCs w:val="22"/>
          <w14:ligatures w14:val="none"/>
        </w:rPr>
        <w:t xml:space="preserve">protect health care professionals from disciplinary action by professional licensing boards. Absent legislation, DPH could revise professional licensing boards’ regulations or issue a guidance or waiver stating that professional licensing boards will not enforce certain provisions as they relate to OPCs. This is not without precedent - DPH and BORIM were recently required via </w:t>
      </w:r>
      <w:hyperlink r:id="rId22" w:tgtFrame="_blank" w:history="1">
        <w:r w:rsidRPr="00BD3BEE">
          <w:rPr>
            <w:rFonts w:ascii="Times New Roman" w:eastAsia="Times New Roman" w:hAnsi="Times New Roman" w:cs="Times New Roman"/>
            <w:color w:val="0000FF"/>
            <w:kern w:val="0"/>
            <w:sz w:val="22"/>
            <w:szCs w:val="22"/>
            <w:u w:val="single"/>
            <w14:ligatures w14:val="none"/>
          </w:rPr>
          <w:t>Executive Order</w:t>
        </w:r>
      </w:hyperlink>
      <w:r w:rsidRPr="00BD3BEE">
        <w:rPr>
          <w:rFonts w:ascii="Times New Roman" w:eastAsia="Times New Roman" w:hAnsi="Times New Roman" w:cs="Times New Roman"/>
          <w:kern w:val="0"/>
          <w:sz w:val="22"/>
          <w:szCs w:val="22"/>
          <w14:ligatures w14:val="none"/>
        </w:rPr>
        <w:t xml:space="preserve"> </w:t>
      </w:r>
      <w:r w:rsidRPr="00BD3BEE">
        <w:rPr>
          <w:rFonts w:ascii="Times New Roman" w:eastAsia="Times New Roman" w:hAnsi="Times New Roman" w:cs="Times New Roman"/>
          <w:color w:val="auto"/>
          <w:kern w:val="0"/>
          <w:sz w:val="22"/>
          <w:szCs w:val="22"/>
          <w14:ligatures w14:val="none"/>
        </w:rPr>
        <w:t>to issue guidance regarding the provision of reproductive health care services “provided that any such use, prescribing, dispensing, or administration is done in accordance with the acceptable standards of care and utilizing sound medical judgment”.</w:t>
      </w:r>
      <w:r w:rsidR="00D36111" w:rsidRPr="00CB0A89">
        <w:rPr>
          <w:rStyle w:val="FootnoteReference"/>
          <w:rFonts w:ascii="Times New Roman" w:eastAsia="Times New Roman" w:hAnsi="Times New Roman" w:cs="Times New Roman"/>
          <w:color w:val="auto"/>
          <w:kern w:val="0"/>
          <w:sz w:val="22"/>
          <w:szCs w:val="22"/>
          <w14:ligatures w14:val="none"/>
        </w:rPr>
        <w:footnoteReference w:id="34"/>
      </w:r>
    </w:p>
    <w:p w14:paraId="26A9A8B2" w14:textId="55DA1104" w:rsidR="6ED5E149" w:rsidRDefault="6ED5E149" w:rsidP="5E589721">
      <w:pPr>
        <w:spacing w:after="0"/>
      </w:pPr>
    </w:p>
    <w:p w14:paraId="1F0C8896" w14:textId="3A2B315E" w:rsidR="00D36111" w:rsidRPr="00D36111" w:rsidRDefault="00D36111" w:rsidP="5E589721">
      <w:pPr>
        <w:pStyle w:val="Heading1"/>
        <w:keepNext w:val="0"/>
        <w:keepLines w:val="0"/>
        <w:numPr>
          <w:ilvl w:val="0"/>
          <w:numId w:val="21"/>
        </w:numPr>
        <w:spacing w:before="0"/>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Currently Filed Legislation </w:t>
      </w:r>
    </w:p>
    <w:p w14:paraId="2C4ABFF8" w14:textId="77777777" w:rsidR="00833D49" w:rsidRPr="00E13245" w:rsidRDefault="00833D49" w:rsidP="003F6181">
      <w:pPr>
        <w:spacing w:after="0"/>
      </w:pPr>
    </w:p>
    <w:p w14:paraId="75F254FE" w14:textId="15E1F79E" w:rsidR="00776D3C" w:rsidRDefault="00A35424" w:rsidP="001D16D4">
      <w:pPr>
        <w:rPr>
          <w:rFonts w:ascii="Times New Roman" w:hAnsi="Times New Roman" w:cs="Times New Roman"/>
        </w:rPr>
      </w:pPr>
      <w:hyperlink r:id="rId23" w:history="1">
        <w:r w:rsidR="4BFABC7D" w:rsidRPr="00D44199">
          <w:rPr>
            <w:rStyle w:val="Hyperlink"/>
            <w:rFonts w:ascii="Times New Roman" w:hAnsi="Times New Roman" w:cs="Times New Roman"/>
          </w:rPr>
          <w:t>H.1981</w:t>
        </w:r>
      </w:hyperlink>
      <w:r w:rsidR="4BFABC7D" w:rsidRPr="00670363">
        <w:rPr>
          <w:rFonts w:ascii="Times New Roman" w:hAnsi="Times New Roman" w:cs="Times New Roman"/>
        </w:rPr>
        <w:t>/</w:t>
      </w:r>
      <w:hyperlink r:id="rId24" w:history="1">
        <w:r w:rsidR="4BFABC7D" w:rsidRPr="00670363">
          <w:rPr>
            <w:rStyle w:val="Hyperlink"/>
            <w:rFonts w:ascii="Times New Roman" w:hAnsi="Times New Roman" w:cs="Times New Roman"/>
          </w:rPr>
          <w:t>S.1242</w:t>
        </w:r>
      </w:hyperlink>
      <w:r w:rsidR="4BFABC7D" w:rsidRPr="00670363">
        <w:rPr>
          <w:rFonts w:ascii="Times New Roman" w:hAnsi="Times New Roman" w:cs="Times New Roman"/>
        </w:rPr>
        <w:t xml:space="preserve">, </w:t>
      </w:r>
      <w:r w:rsidR="4BFABC7D" w:rsidRPr="5B10B16F">
        <w:rPr>
          <w:rFonts w:ascii="Times New Roman" w:hAnsi="Times New Roman" w:cs="Times New Roman"/>
          <w:i/>
          <w:iCs/>
        </w:rPr>
        <w:t xml:space="preserve">An Act relative to preventing overdose deaths and increasing access to treatment, </w:t>
      </w:r>
      <w:r w:rsidR="4BFABC7D" w:rsidRPr="00670363">
        <w:rPr>
          <w:rFonts w:ascii="Times New Roman" w:hAnsi="Times New Roman" w:cs="Times New Roman"/>
        </w:rPr>
        <w:t>is currently pending before the legislature. These companion bills</w:t>
      </w:r>
      <w:r w:rsidR="449E5317" w:rsidRPr="00670363">
        <w:rPr>
          <w:rFonts w:ascii="Times New Roman" w:hAnsi="Times New Roman" w:cs="Times New Roman"/>
        </w:rPr>
        <w:t xml:space="preserve"> </w:t>
      </w:r>
      <w:r w:rsidR="1C5F86CC" w:rsidRPr="00670363">
        <w:rPr>
          <w:rFonts w:ascii="Times New Roman" w:hAnsi="Times New Roman" w:cs="Times New Roman"/>
        </w:rPr>
        <w:t xml:space="preserve">create a framework that would allow oversight and operation of OPCs, while reducing legal and other risk. </w:t>
      </w:r>
      <w:r w:rsidR="033AA9C9" w:rsidRPr="00670363">
        <w:rPr>
          <w:rFonts w:ascii="Times New Roman" w:hAnsi="Times New Roman" w:cs="Times New Roman"/>
        </w:rPr>
        <w:t>I</w:t>
      </w:r>
      <w:r w:rsidR="1C5F86CC" w:rsidRPr="00670363">
        <w:rPr>
          <w:rFonts w:ascii="Times New Roman" w:hAnsi="Times New Roman" w:cs="Times New Roman"/>
        </w:rPr>
        <w:t xml:space="preserve">f passed, the bills </w:t>
      </w:r>
      <w:r w:rsidR="449E5317" w:rsidRPr="00670363">
        <w:rPr>
          <w:rFonts w:ascii="Times New Roman" w:hAnsi="Times New Roman" w:cs="Times New Roman"/>
        </w:rPr>
        <w:t>would</w:t>
      </w:r>
      <w:r w:rsidR="356E17C9" w:rsidRPr="00670363">
        <w:rPr>
          <w:rFonts w:ascii="Times New Roman" w:hAnsi="Times New Roman" w:cs="Times New Roman"/>
        </w:rPr>
        <w:t xml:space="preserve"> require</w:t>
      </w:r>
      <w:r w:rsidR="4F6D9DBA">
        <w:rPr>
          <w:rFonts w:ascii="Times New Roman" w:hAnsi="Times New Roman" w:cs="Times New Roman"/>
        </w:rPr>
        <w:t xml:space="preserve"> </w:t>
      </w:r>
      <w:r w:rsidR="356E17C9" w:rsidRPr="00670363">
        <w:rPr>
          <w:rFonts w:ascii="Times New Roman" w:hAnsi="Times New Roman" w:cs="Times New Roman"/>
        </w:rPr>
        <w:t xml:space="preserve">DPH to promulgate regulations and </w:t>
      </w:r>
      <w:r w:rsidR="4F6D9DBA">
        <w:rPr>
          <w:rFonts w:ascii="Times New Roman" w:hAnsi="Times New Roman" w:cs="Times New Roman"/>
        </w:rPr>
        <w:t xml:space="preserve">establish a </w:t>
      </w:r>
      <w:r w:rsidR="356E17C9" w:rsidRPr="00670363">
        <w:rPr>
          <w:rFonts w:ascii="Times New Roman" w:hAnsi="Times New Roman" w:cs="Times New Roman"/>
        </w:rPr>
        <w:t xml:space="preserve">licensure process for authorization of </w:t>
      </w:r>
      <w:r w:rsidR="449E5317" w:rsidRPr="00670363">
        <w:rPr>
          <w:rFonts w:ascii="Times New Roman" w:hAnsi="Times New Roman" w:cs="Times New Roman"/>
        </w:rPr>
        <w:t xml:space="preserve">a 10-year </w:t>
      </w:r>
      <w:r w:rsidR="1C5F86CC" w:rsidRPr="00670363">
        <w:rPr>
          <w:rFonts w:ascii="Times New Roman" w:hAnsi="Times New Roman" w:cs="Times New Roman"/>
        </w:rPr>
        <w:t xml:space="preserve">OPC </w:t>
      </w:r>
      <w:r w:rsidR="449E5317" w:rsidRPr="00670363">
        <w:rPr>
          <w:rFonts w:ascii="Times New Roman" w:hAnsi="Times New Roman" w:cs="Times New Roman"/>
        </w:rPr>
        <w:t>pilot program</w:t>
      </w:r>
      <w:r w:rsidR="4F6D9DBA">
        <w:rPr>
          <w:rFonts w:ascii="Times New Roman" w:hAnsi="Times New Roman" w:cs="Times New Roman"/>
        </w:rPr>
        <w:t>. The bills additionally set forth</w:t>
      </w:r>
      <w:r w:rsidR="6395C75E" w:rsidRPr="00670363">
        <w:rPr>
          <w:rFonts w:ascii="Times New Roman" w:hAnsi="Times New Roman" w:cs="Times New Roman"/>
        </w:rPr>
        <w:t xml:space="preserve"> </w:t>
      </w:r>
      <w:r w:rsidR="033AA9C9" w:rsidRPr="00670363">
        <w:rPr>
          <w:rFonts w:ascii="Times New Roman" w:hAnsi="Times New Roman" w:cs="Times New Roman"/>
        </w:rPr>
        <w:t>legal protections</w:t>
      </w:r>
      <w:r w:rsidR="356E17C9" w:rsidRPr="00670363">
        <w:rPr>
          <w:rFonts w:ascii="Times New Roman" w:hAnsi="Times New Roman" w:cs="Times New Roman"/>
        </w:rPr>
        <w:t xml:space="preserve">, </w:t>
      </w:r>
      <w:r w:rsidR="41A81123" w:rsidRPr="00670363">
        <w:rPr>
          <w:rFonts w:ascii="Times New Roman" w:hAnsi="Times New Roman" w:cs="Times New Roman"/>
        </w:rPr>
        <w:t>minimum standards</w:t>
      </w:r>
      <w:r w:rsidR="2BF815F7" w:rsidRPr="00670363">
        <w:rPr>
          <w:rFonts w:ascii="Times New Roman" w:hAnsi="Times New Roman" w:cs="Times New Roman"/>
        </w:rPr>
        <w:t>,</w:t>
      </w:r>
      <w:r w:rsidR="41A81123" w:rsidRPr="00670363">
        <w:rPr>
          <w:rFonts w:ascii="Times New Roman" w:hAnsi="Times New Roman" w:cs="Times New Roman"/>
        </w:rPr>
        <w:t xml:space="preserve"> and</w:t>
      </w:r>
      <w:r w:rsidR="356E17C9" w:rsidRPr="00670363">
        <w:rPr>
          <w:rFonts w:ascii="Times New Roman" w:hAnsi="Times New Roman" w:cs="Times New Roman"/>
        </w:rPr>
        <w:t xml:space="preserve"> required</w:t>
      </w:r>
      <w:r w:rsidR="41A81123" w:rsidRPr="00670363">
        <w:rPr>
          <w:rFonts w:ascii="Times New Roman" w:hAnsi="Times New Roman" w:cs="Times New Roman"/>
        </w:rPr>
        <w:t xml:space="preserve"> </w:t>
      </w:r>
      <w:r w:rsidR="449E5317" w:rsidRPr="00670363">
        <w:rPr>
          <w:rFonts w:ascii="Times New Roman" w:hAnsi="Times New Roman" w:cs="Times New Roman"/>
        </w:rPr>
        <w:t>data collection</w:t>
      </w:r>
      <w:r w:rsidR="4F6D9DBA">
        <w:rPr>
          <w:rFonts w:ascii="Times New Roman" w:hAnsi="Times New Roman" w:cs="Times New Roman"/>
        </w:rPr>
        <w:t xml:space="preserve"> expectations</w:t>
      </w:r>
      <w:r w:rsidR="033AA9C9" w:rsidRPr="00670363">
        <w:rPr>
          <w:rFonts w:ascii="Times New Roman" w:hAnsi="Times New Roman" w:cs="Times New Roman"/>
        </w:rPr>
        <w:t>.</w:t>
      </w:r>
      <w:r w:rsidR="449E5317" w:rsidRPr="00670363">
        <w:rPr>
          <w:rFonts w:ascii="Times New Roman" w:hAnsi="Times New Roman" w:cs="Times New Roman"/>
        </w:rPr>
        <w:t xml:space="preserve"> </w:t>
      </w:r>
      <w:r w:rsidR="2177A712" w:rsidRPr="00670363">
        <w:rPr>
          <w:rFonts w:ascii="Times New Roman" w:hAnsi="Times New Roman" w:cs="Times New Roman"/>
        </w:rPr>
        <w:t xml:space="preserve">The liability protections </w:t>
      </w:r>
      <w:r w:rsidR="4F6D9DBA">
        <w:rPr>
          <w:rFonts w:ascii="Times New Roman" w:hAnsi="Times New Roman" w:cs="Times New Roman"/>
        </w:rPr>
        <w:t xml:space="preserve">established in H.1981/S.1242 </w:t>
      </w:r>
      <w:r w:rsidR="2177A712" w:rsidRPr="00670363">
        <w:rPr>
          <w:rFonts w:ascii="Times New Roman" w:hAnsi="Times New Roman" w:cs="Times New Roman"/>
        </w:rPr>
        <w:t>are in alignment with the approach in other states</w:t>
      </w:r>
      <w:r w:rsidR="092D4429">
        <w:rPr>
          <w:rFonts w:ascii="Times New Roman" w:hAnsi="Times New Roman" w:cs="Times New Roman"/>
        </w:rPr>
        <w:t>,</w:t>
      </w:r>
      <w:r w:rsidR="4F6D9DBA">
        <w:rPr>
          <w:rFonts w:ascii="Times New Roman" w:hAnsi="Times New Roman" w:cs="Times New Roman"/>
        </w:rPr>
        <w:t xml:space="preserve"> </w:t>
      </w:r>
      <w:r w:rsidR="2177A712" w:rsidRPr="00670363">
        <w:rPr>
          <w:rFonts w:ascii="Times New Roman" w:hAnsi="Times New Roman" w:cs="Times New Roman"/>
        </w:rPr>
        <w:t>exempt</w:t>
      </w:r>
      <w:r w:rsidR="092D4429">
        <w:rPr>
          <w:rFonts w:ascii="Times New Roman" w:hAnsi="Times New Roman" w:cs="Times New Roman"/>
        </w:rPr>
        <w:t>ing</w:t>
      </w:r>
      <w:r w:rsidR="2177A712" w:rsidRPr="00670363">
        <w:rPr>
          <w:rFonts w:ascii="Times New Roman" w:hAnsi="Times New Roman" w:cs="Times New Roman"/>
        </w:rPr>
        <w:t xml:space="preserve"> providers, staff and participants from </w:t>
      </w:r>
      <w:r w:rsidR="5C3EA877" w:rsidRPr="00670363">
        <w:rPr>
          <w:rFonts w:ascii="Times New Roman" w:hAnsi="Times New Roman" w:cs="Times New Roman"/>
        </w:rPr>
        <w:t>state</w:t>
      </w:r>
      <w:r w:rsidR="2177A712" w:rsidRPr="00670363">
        <w:rPr>
          <w:rFonts w:ascii="Times New Roman" w:hAnsi="Times New Roman" w:cs="Times New Roman"/>
        </w:rPr>
        <w:t xml:space="preserve"> civil, criminal, and professional licensure consequences resulting solely from engaging in OPC activities.</w:t>
      </w:r>
      <w:r w:rsidR="006D00D7" w:rsidRPr="00670363">
        <w:rPr>
          <w:rStyle w:val="FootnoteReference"/>
          <w:rFonts w:ascii="Times New Roman" w:hAnsi="Times New Roman" w:cs="Times New Roman"/>
        </w:rPr>
        <w:footnoteReference w:id="35"/>
      </w:r>
      <w:r w:rsidR="2177A712" w:rsidRPr="00670363">
        <w:rPr>
          <w:rFonts w:ascii="Times New Roman" w:hAnsi="Times New Roman" w:cs="Times New Roman"/>
        </w:rPr>
        <w:t xml:space="preserve"> Without this </w:t>
      </w:r>
      <w:r w:rsidR="2177A712" w:rsidRPr="00670363">
        <w:rPr>
          <w:rFonts w:ascii="Times New Roman" w:hAnsi="Times New Roman" w:cs="Times New Roman"/>
        </w:rPr>
        <w:lastRenderedPageBreak/>
        <w:t>language, individuals utilizing or participating in OPCs would be exposed to significant legal and professional licensure risk</w:t>
      </w:r>
      <w:r w:rsidR="258EF4DA">
        <w:rPr>
          <w:rFonts w:ascii="Times New Roman" w:hAnsi="Times New Roman" w:cs="Times New Roman"/>
        </w:rPr>
        <w:t xml:space="preserve">. </w:t>
      </w:r>
    </w:p>
    <w:p w14:paraId="7122A8BC" w14:textId="0E99E32E" w:rsidR="005148BD" w:rsidRPr="00D36111" w:rsidRDefault="00222743" w:rsidP="00E13245">
      <w:pPr>
        <w:pStyle w:val="Heading1"/>
        <w:numPr>
          <w:ilvl w:val="0"/>
          <w:numId w:val="21"/>
        </w:numPr>
        <w:spacing w:before="0"/>
        <w:rPr>
          <w:rFonts w:ascii="Times New Roman" w:hAnsi="Times New Roman" w:cs="Times New Roman"/>
          <w:b/>
          <w:bCs/>
          <w:color w:val="auto"/>
          <w:sz w:val="22"/>
          <w:szCs w:val="22"/>
        </w:rPr>
      </w:pPr>
      <w:r w:rsidRPr="00E13245">
        <w:rPr>
          <w:rFonts w:ascii="Times New Roman" w:hAnsi="Times New Roman" w:cs="Times New Roman"/>
          <w:b/>
          <w:color w:val="auto"/>
          <w:sz w:val="22"/>
          <w:szCs w:val="22"/>
        </w:rPr>
        <w:t>Feasibility</w:t>
      </w:r>
      <w:r w:rsidR="00321FF5">
        <w:rPr>
          <w:rFonts w:ascii="Times New Roman" w:hAnsi="Times New Roman" w:cs="Times New Roman"/>
          <w:b/>
          <w:bCs/>
          <w:color w:val="auto"/>
          <w:sz w:val="22"/>
          <w:szCs w:val="22"/>
        </w:rPr>
        <w:t xml:space="preserve"> and Findings</w:t>
      </w:r>
    </w:p>
    <w:p w14:paraId="35353299" w14:textId="77777777" w:rsidR="00833D49" w:rsidRPr="00E13245" w:rsidRDefault="00833D49" w:rsidP="003F6181">
      <w:pPr>
        <w:spacing w:after="0"/>
      </w:pPr>
    </w:p>
    <w:p w14:paraId="75A9BFC5" w14:textId="49692729" w:rsidR="0089588C" w:rsidRPr="00670363" w:rsidRDefault="00D27065" w:rsidP="00C102D0">
      <w:pPr>
        <w:spacing w:after="0" w:line="240" w:lineRule="auto"/>
        <w:textAlignment w:val="baseline"/>
        <w:rPr>
          <w:rStyle w:val="normaltextrun"/>
          <w:rFonts w:ascii="Times New Roman" w:hAnsi="Times New Roman" w:cs="Times New Roman"/>
        </w:rPr>
      </w:pPr>
      <w:r w:rsidRPr="00CB0A89">
        <w:rPr>
          <w:rStyle w:val="normaltextrun"/>
          <w:rFonts w:ascii="Times New Roman" w:hAnsi="Times New Roman" w:cs="Times New Roman"/>
        </w:rPr>
        <w:t xml:space="preserve">Faced with </w:t>
      </w:r>
      <w:r w:rsidR="00F67BE5" w:rsidRPr="00CB0A89">
        <w:rPr>
          <w:rStyle w:val="normaltextrun"/>
          <w:rFonts w:ascii="Times New Roman" w:hAnsi="Times New Roman" w:cs="Times New Roman"/>
        </w:rPr>
        <w:t xml:space="preserve">the urgency of the </w:t>
      </w:r>
      <w:r w:rsidRPr="00CB0A89">
        <w:rPr>
          <w:rStyle w:val="normaltextrun"/>
          <w:rFonts w:ascii="Times New Roman" w:hAnsi="Times New Roman" w:cs="Times New Roman"/>
        </w:rPr>
        <w:t xml:space="preserve">overdose crisis, </w:t>
      </w:r>
      <w:r w:rsidR="0089588C" w:rsidRPr="00CB0A89">
        <w:rPr>
          <w:rStyle w:val="normaltextrun"/>
          <w:rFonts w:ascii="Times New Roman" w:hAnsi="Times New Roman" w:cs="Times New Roman"/>
        </w:rPr>
        <w:t xml:space="preserve">OPCs </w:t>
      </w:r>
      <w:r w:rsidRPr="00CB0A89">
        <w:rPr>
          <w:rStyle w:val="normaltextrun"/>
          <w:rFonts w:ascii="Times New Roman" w:hAnsi="Times New Roman" w:cs="Times New Roman"/>
        </w:rPr>
        <w:t>represent</w:t>
      </w:r>
      <w:r w:rsidR="0089588C" w:rsidRPr="00CB0A89">
        <w:rPr>
          <w:rStyle w:val="normaltextrun"/>
          <w:rFonts w:ascii="Times New Roman" w:hAnsi="Times New Roman" w:cs="Times New Roman"/>
        </w:rPr>
        <w:t xml:space="preserve"> an evidence-based, life-saving tool that is aligned with a comprehensive, public health approa</w:t>
      </w:r>
      <w:r w:rsidRPr="00CB0A89">
        <w:rPr>
          <w:rStyle w:val="normaltextrun"/>
          <w:rFonts w:ascii="Times New Roman" w:hAnsi="Times New Roman" w:cs="Times New Roman"/>
        </w:rPr>
        <w:t xml:space="preserve">ch to </w:t>
      </w:r>
      <w:r w:rsidR="00D34989" w:rsidRPr="00CB0A89">
        <w:rPr>
          <w:rStyle w:val="normaltextrun"/>
          <w:rFonts w:ascii="Times New Roman" w:hAnsi="Times New Roman" w:cs="Times New Roman"/>
        </w:rPr>
        <w:t>reducing harm</w:t>
      </w:r>
      <w:r w:rsidR="00C503ED" w:rsidRPr="00CB0A89">
        <w:rPr>
          <w:rStyle w:val="normaltextrun"/>
          <w:rFonts w:ascii="Times New Roman" w:hAnsi="Times New Roman" w:cs="Times New Roman"/>
        </w:rPr>
        <w:t xml:space="preserve"> and im</w:t>
      </w:r>
      <w:r w:rsidR="00C503ED" w:rsidRPr="00670363">
        <w:rPr>
          <w:rStyle w:val="normaltextrun"/>
          <w:rFonts w:ascii="Times New Roman" w:hAnsi="Times New Roman" w:cs="Times New Roman"/>
        </w:rPr>
        <w:t>proving wellbeing in the Commonwealth</w:t>
      </w:r>
      <w:r w:rsidR="0089588C" w:rsidRPr="00670363">
        <w:rPr>
          <w:rStyle w:val="normaltextrun"/>
          <w:rFonts w:ascii="Times New Roman" w:hAnsi="Times New Roman" w:cs="Times New Roman"/>
        </w:rPr>
        <w:t>.</w:t>
      </w:r>
      <w:r w:rsidR="004C5304">
        <w:rPr>
          <w:rStyle w:val="normaltextrun"/>
          <w:rFonts w:ascii="Times New Roman" w:hAnsi="Times New Roman" w:cs="Times New Roman"/>
        </w:rPr>
        <w:t xml:space="preserve"> OPCs</w:t>
      </w:r>
      <w:r w:rsidR="004C5304" w:rsidRPr="004C5304">
        <w:rPr>
          <w:rStyle w:val="normaltextrun"/>
          <w:rFonts w:ascii="Times New Roman" w:hAnsi="Times New Roman" w:cs="Times New Roman"/>
        </w:rPr>
        <w:t xml:space="preserve"> are</w:t>
      </w:r>
      <w:r w:rsidR="004C5304">
        <w:rPr>
          <w:rStyle w:val="normaltextrun"/>
          <w:rFonts w:ascii="Times New Roman" w:hAnsi="Times New Roman" w:cs="Times New Roman"/>
        </w:rPr>
        <w:t xml:space="preserve"> also</w:t>
      </w:r>
      <w:r w:rsidR="004C5304" w:rsidRPr="004C5304">
        <w:rPr>
          <w:rStyle w:val="normaltextrun"/>
          <w:rFonts w:ascii="Times New Roman" w:hAnsi="Times New Roman" w:cs="Times New Roman"/>
        </w:rPr>
        <w:t xml:space="preserve"> well </w:t>
      </w:r>
      <w:r w:rsidR="004C5304" w:rsidRPr="5CB72E2B">
        <w:rPr>
          <w:rStyle w:val="normaltextrun"/>
          <w:rFonts w:ascii="Times New Roman" w:hAnsi="Times New Roman" w:cs="Times New Roman"/>
        </w:rPr>
        <w:t>support</w:t>
      </w:r>
      <w:r w:rsidR="098BB72B" w:rsidRPr="5CB72E2B">
        <w:rPr>
          <w:rStyle w:val="normaltextrun"/>
          <w:rFonts w:ascii="Times New Roman" w:hAnsi="Times New Roman" w:cs="Times New Roman"/>
        </w:rPr>
        <w:t>ed</w:t>
      </w:r>
      <w:r w:rsidR="004C5304" w:rsidRPr="004C5304">
        <w:rPr>
          <w:rStyle w:val="normaltextrun"/>
          <w:rFonts w:ascii="Times New Roman" w:hAnsi="Times New Roman" w:cs="Times New Roman"/>
        </w:rPr>
        <w:t xml:space="preserve"> among people who use drugs, agencies and staff of existing harm reduction programs, and </w:t>
      </w:r>
      <w:r w:rsidR="004C5304">
        <w:rPr>
          <w:rStyle w:val="normaltextrun"/>
          <w:rFonts w:ascii="Times New Roman" w:hAnsi="Times New Roman" w:cs="Times New Roman"/>
        </w:rPr>
        <w:t>a</w:t>
      </w:r>
      <w:r w:rsidR="004C5304" w:rsidRPr="004C5304">
        <w:rPr>
          <w:rStyle w:val="normaltextrun"/>
          <w:rFonts w:ascii="Times New Roman" w:hAnsi="Times New Roman" w:cs="Times New Roman"/>
        </w:rPr>
        <w:t xml:space="preserve"> majority of </w:t>
      </w:r>
      <w:r w:rsidR="00501DDF">
        <w:rPr>
          <w:rStyle w:val="normaltextrun"/>
          <w:rFonts w:ascii="Times New Roman" w:hAnsi="Times New Roman" w:cs="Times New Roman"/>
        </w:rPr>
        <w:t>C</w:t>
      </w:r>
      <w:r w:rsidR="004C5304" w:rsidRPr="004C5304">
        <w:rPr>
          <w:rStyle w:val="normaltextrun"/>
          <w:rFonts w:ascii="Times New Roman" w:hAnsi="Times New Roman" w:cs="Times New Roman"/>
        </w:rPr>
        <w:t xml:space="preserve">ommonwealth </w:t>
      </w:r>
      <w:r w:rsidR="00501DDF">
        <w:rPr>
          <w:rStyle w:val="normaltextrun"/>
          <w:rFonts w:ascii="Times New Roman" w:hAnsi="Times New Roman" w:cs="Times New Roman"/>
        </w:rPr>
        <w:t>voters</w:t>
      </w:r>
      <w:r w:rsidR="004C5304" w:rsidRPr="004C5304">
        <w:rPr>
          <w:rStyle w:val="normaltextrun"/>
          <w:rFonts w:ascii="Times New Roman" w:hAnsi="Times New Roman" w:cs="Times New Roman"/>
        </w:rPr>
        <w:t>.</w:t>
      </w:r>
      <w:r w:rsidR="004C5304">
        <w:rPr>
          <w:rStyle w:val="normaltextrun"/>
          <w:rFonts w:ascii="Times New Roman" w:hAnsi="Times New Roman" w:cs="Times New Roman"/>
        </w:rPr>
        <w:t xml:space="preserve"> </w:t>
      </w:r>
      <w:r w:rsidR="00AF4E64">
        <w:rPr>
          <w:rStyle w:val="normaltextrun"/>
          <w:rFonts w:ascii="Times New Roman" w:hAnsi="Times New Roman" w:cs="Times New Roman"/>
        </w:rPr>
        <w:t>After c</w:t>
      </w:r>
      <w:r w:rsidR="00D60589">
        <w:rPr>
          <w:rStyle w:val="normaltextrun"/>
          <w:rFonts w:ascii="Times New Roman" w:hAnsi="Times New Roman" w:cs="Times New Roman"/>
        </w:rPr>
        <w:t xml:space="preserve">onsidering existing resources and capacity, </w:t>
      </w:r>
      <w:r w:rsidR="0089588C" w:rsidRPr="00670363">
        <w:rPr>
          <w:rStyle w:val="normaltextrun"/>
          <w:rFonts w:ascii="Times New Roman" w:hAnsi="Times New Roman" w:cs="Times New Roman"/>
        </w:rPr>
        <w:t xml:space="preserve">DPH </w:t>
      </w:r>
      <w:r w:rsidR="008F03DF">
        <w:rPr>
          <w:rStyle w:val="normaltextrun"/>
          <w:rFonts w:ascii="Times New Roman" w:hAnsi="Times New Roman" w:cs="Times New Roman"/>
        </w:rPr>
        <w:t>believes</w:t>
      </w:r>
      <w:r w:rsidR="0089588C" w:rsidRPr="00670363">
        <w:rPr>
          <w:rStyle w:val="normaltextrun"/>
          <w:rFonts w:ascii="Times New Roman" w:hAnsi="Times New Roman" w:cs="Times New Roman"/>
        </w:rPr>
        <w:t xml:space="preserve"> that OP</w:t>
      </w:r>
      <w:r w:rsidR="00A10184" w:rsidRPr="00670363">
        <w:rPr>
          <w:rStyle w:val="normaltextrun"/>
          <w:rFonts w:ascii="Times New Roman" w:hAnsi="Times New Roman" w:cs="Times New Roman"/>
        </w:rPr>
        <w:t>C</w:t>
      </w:r>
      <w:r w:rsidR="00EE62AA">
        <w:rPr>
          <w:rStyle w:val="normaltextrun"/>
          <w:rFonts w:ascii="Times New Roman" w:hAnsi="Times New Roman" w:cs="Times New Roman"/>
        </w:rPr>
        <w:t xml:space="preserve"> </w:t>
      </w:r>
      <w:r w:rsidR="00F35F6E" w:rsidRPr="00670363">
        <w:rPr>
          <w:rStyle w:val="normaltextrun"/>
          <w:rFonts w:ascii="Times New Roman" w:hAnsi="Times New Roman" w:cs="Times New Roman"/>
        </w:rPr>
        <w:t xml:space="preserve">establishment </w:t>
      </w:r>
      <w:r w:rsidR="008F03DF">
        <w:rPr>
          <w:rStyle w:val="normaltextrun"/>
          <w:rFonts w:ascii="Times New Roman" w:hAnsi="Times New Roman" w:cs="Times New Roman"/>
        </w:rPr>
        <w:t>is feasible and necessary</w:t>
      </w:r>
      <w:r w:rsidR="4AB86031" w:rsidRPr="5CB72E2B">
        <w:rPr>
          <w:rStyle w:val="normaltextrun"/>
          <w:rFonts w:ascii="Times New Roman" w:hAnsi="Times New Roman" w:cs="Times New Roman"/>
        </w:rPr>
        <w:t>, pending legislative action to extend legal protections,</w:t>
      </w:r>
      <w:r w:rsidR="00EE62AA">
        <w:rPr>
          <w:rStyle w:val="normaltextrun"/>
          <w:rFonts w:ascii="Times New Roman" w:hAnsi="Times New Roman" w:cs="Times New Roman"/>
        </w:rPr>
        <w:t xml:space="preserve"> and </w:t>
      </w:r>
      <w:r w:rsidR="008F03DF">
        <w:rPr>
          <w:rStyle w:val="normaltextrun"/>
          <w:rFonts w:ascii="Times New Roman" w:hAnsi="Times New Roman" w:cs="Times New Roman"/>
        </w:rPr>
        <w:t xml:space="preserve">recommends that </w:t>
      </w:r>
      <w:r w:rsidR="7A6B3ECC" w:rsidRPr="5CB72E2B">
        <w:rPr>
          <w:rStyle w:val="normaltextrun"/>
          <w:rFonts w:ascii="Times New Roman" w:hAnsi="Times New Roman" w:cs="Times New Roman"/>
        </w:rPr>
        <w:t xml:space="preserve">OPCs </w:t>
      </w:r>
      <w:r w:rsidR="00F35F6E" w:rsidRPr="00670363">
        <w:rPr>
          <w:rStyle w:val="normaltextrun"/>
          <w:rFonts w:ascii="Times New Roman" w:hAnsi="Times New Roman" w:cs="Times New Roman"/>
        </w:rPr>
        <w:t>be pursued</w:t>
      </w:r>
      <w:r w:rsidR="00097AA3" w:rsidRPr="00670363">
        <w:rPr>
          <w:rStyle w:val="normaltextrun"/>
          <w:rFonts w:ascii="Times New Roman" w:hAnsi="Times New Roman" w:cs="Times New Roman"/>
        </w:rPr>
        <w:t xml:space="preserve"> as </w:t>
      </w:r>
      <w:r w:rsidR="00776D3C">
        <w:rPr>
          <w:rStyle w:val="normaltextrun"/>
          <w:rFonts w:ascii="Times New Roman" w:hAnsi="Times New Roman" w:cs="Times New Roman"/>
        </w:rPr>
        <w:t>an</w:t>
      </w:r>
      <w:r w:rsidR="00776D3C" w:rsidRPr="00670363">
        <w:rPr>
          <w:rStyle w:val="normaltextrun"/>
          <w:rFonts w:ascii="Times New Roman" w:hAnsi="Times New Roman" w:cs="Times New Roman"/>
        </w:rPr>
        <w:t xml:space="preserve"> additional</w:t>
      </w:r>
      <w:r w:rsidR="00097AA3" w:rsidRPr="00670363">
        <w:rPr>
          <w:rStyle w:val="normaltextrun"/>
          <w:rFonts w:ascii="Times New Roman" w:hAnsi="Times New Roman" w:cs="Times New Roman"/>
        </w:rPr>
        <w:t xml:space="preserve"> tool to address the harm</w:t>
      </w:r>
      <w:r w:rsidR="00323C55" w:rsidRPr="00670363">
        <w:rPr>
          <w:rStyle w:val="normaltextrun"/>
          <w:rFonts w:ascii="Times New Roman" w:hAnsi="Times New Roman" w:cs="Times New Roman"/>
        </w:rPr>
        <w:t>s</w:t>
      </w:r>
      <w:r w:rsidR="00097AA3" w:rsidRPr="00670363">
        <w:rPr>
          <w:rStyle w:val="normaltextrun"/>
          <w:rFonts w:ascii="Times New Roman" w:hAnsi="Times New Roman" w:cs="Times New Roman"/>
        </w:rPr>
        <w:t xml:space="preserve"> of substance use.</w:t>
      </w:r>
      <w:r w:rsidR="00F35F6E" w:rsidRPr="00670363">
        <w:rPr>
          <w:rStyle w:val="normaltextrun"/>
          <w:rFonts w:ascii="Times New Roman" w:hAnsi="Times New Roman" w:cs="Times New Roman"/>
        </w:rPr>
        <w:t xml:space="preserve"> </w:t>
      </w:r>
    </w:p>
    <w:p w14:paraId="49FC5BC4" w14:textId="77777777" w:rsidR="00097AA3" w:rsidRPr="00670363" w:rsidRDefault="00097AA3" w:rsidP="00C102D0">
      <w:pPr>
        <w:spacing w:after="0" w:line="240" w:lineRule="auto"/>
        <w:textAlignment w:val="baseline"/>
        <w:rPr>
          <w:rStyle w:val="normaltextrun"/>
          <w:rFonts w:ascii="Times New Roman" w:hAnsi="Times New Roman" w:cs="Times New Roman"/>
        </w:rPr>
      </w:pPr>
    </w:p>
    <w:p w14:paraId="331F3EDD" w14:textId="29984EBA" w:rsidR="2F2404C7" w:rsidRDefault="2F2404C7" w:rsidP="70320FC3">
      <w:pPr>
        <w:spacing w:after="0" w:line="240" w:lineRule="auto"/>
        <w:rPr>
          <w:rStyle w:val="normaltextrun"/>
          <w:rFonts w:ascii="Times New Roman" w:hAnsi="Times New Roman" w:cs="Times New Roman"/>
        </w:rPr>
      </w:pPr>
      <w:r w:rsidRPr="70B57278">
        <w:rPr>
          <w:rStyle w:val="normaltextrun"/>
          <w:rFonts w:ascii="Times New Roman" w:hAnsi="Times New Roman" w:cs="Times New Roman"/>
        </w:rPr>
        <w:t xml:space="preserve">Unless there are changes to federal law, OPC activities will remain prohibited at the federal level and subject to </w:t>
      </w:r>
      <w:r w:rsidR="742F805C" w:rsidRPr="70B57278">
        <w:rPr>
          <w:rStyle w:val="normaltextrun"/>
          <w:rFonts w:ascii="Times New Roman" w:hAnsi="Times New Roman" w:cs="Times New Roman"/>
        </w:rPr>
        <w:t xml:space="preserve">the </w:t>
      </w:r>
      <w:r w:rsidRPr="70B57278">
        <w:rPr>
          <w:rStyle w:val="normaltextrun"/>
          <w:rFonts w:ascii="Times New Roman" w:hAnsi="Times New Roman" w:cs="Times New Roman"/>
        </w:rPr>
        <w:t>discretion of federal law enforcement.</w:t>
      </w:r>
      <w:r w:rsidR="617FEF52" w:rsidRPr="70B57278">
        <w:rPr>
          <w:rStyle w:val="normaltextrun"/>
          <w:rFonts w:ascii="Times New Roman" w:hAnsi="Times New Roman" w:cs="Times New Roman"/>
        </w:rPr>
        <w:t xml:space="preserve"> </w:t>
      </w:r>
      <w:r w:rsidR="3941AC3A" w:rsidRPr="70B57278">
        <w:rPr>
          <w:rStyle w:val="normaltextrun"/>
          <w:rFonts w:ascii="Times New Roman" w:hAnsi="Times New Roman" w:cs="Times New Roman"/>
        </w:rPr>
        <w:t xml:space="preserve">However, </w:t>
      </w:r>
      <w:r w:rsidR="5DEC597E" w:rsidRPr="70B57278">
        <w:rPr>
          <w:rStyle w:val="normaltextrun"/>
          <w:rFonts w:ascii="Times New Roman" w:hAnsi="Times New Roman" w:cs="Times New Roman"/>
        </w:rPr>
        <w:t xml:space="preserve">enacting a state law that expressly permits OPCs may lead to federal policy development that will reduce exposure to federal enforcement or potentially to changes in federal law as with the legalization of marijuana. </w:t>
      </w:r>
      <w:r w:rsidR="70F5189D" w:rsidRPr="70B57278">
        <w:rPr>
          <w:rStyle w:val="normaltextrun"/>
          <w:rFonts w:ascii="Times New Roman" w:hAnsi="Times New Roman" w:cs="Times New Roman"/>
        </w:rPr>
        <w:t xml:space="preserve">Notably, OPCs have operated in NYC since 2021 without </w:t>
      </w:r>
      <w:r w:rsidR="005C52BB" w:rsidRPr="70B57278">
        <w:rPr>
          <w:rStyle w:val="normaltextrun"/>
          <w:rFonts w:ascii="Times New Roman" w:hAnsi="Times New Roman" w:cs="Times New Roman"/>
        </w:rPr>
        <w:t>federal enforcement</w:t>
      </w:r>
      <w:r w:rsidR="70F5189D" w:rsidRPr="70B57278">
        <w:rPr>
          <w:rStyle w:val="normaltextrun"/>
          <w:rFonts w:ascii="Times New Roman" w:hAnsi="Times New Roman" w:cs="Times New Roman"/>
        </w:rPr>
        <w:t xml:space="preserve"> intervention </w:t>
      </w:r>
      <w:r w:rsidR="43FE9090" w:rsidRPr="70B57278">
        <w:rPr>
          <w:rStyle w:val="normaltextrun"/>
          <w:rFonts w:ascii="Times New Roman" w:hAnsi="Times New Roman" w:cs="Times New Roman"/>
        </w:rPr>
        <w:t xml:space="preserve">and Rhode Island plans to open its first </w:t>
      </w:r>
      <w:proofErr w:type="gramStart"/>
      <w:r w:rsidR="43FE9090" w:rsidRPr="70B57278">
        <w:rPr>
          <w:rStyle w:val="normaltextrun"/>
          <w:rFonts w:ascii="Times New Roman" w:hAnsi="Times New Roman" w:cs="Times New Roman"/>
        </w:rPr>
        <w:t>state-regulated</w:t>
      </w:r>
      <w:proofErr w:type="gramEnd"/>
      <w:r w:rsidR="43FE9090" w:rsidRPr="70B57278">
        <w:rPr>
          <w:rStyle w:val="normaltextrun"/>
          <w:rFonts w:ascii="Times New Roman" w:hAnsi="Times New Roman" w:cs="Times New Roman"/>
        </w:rPr>
        <w:t xml:space="preserve"> OPC in March 2024.</w:t>
      </w:r>
    </w:p>
    <w:p w14:paraId="0EBFD247" w14:textId="6E714D61" w:rsidR="70320FC3" w:rsidRDefault="70320FC3" w:rsidP="70320FC3">
      <w:pPr>
        <w:spacing w:after="0" w:line="240" w:lineRule="auto"/>
        <w:rPr>
          <w:rStyle w:val="normaltextrun"/>
          <w:rFonts w:ascii="Times New Roman" w:hAnsi="Times New Roman" w:cs="Times New Roman"/>
        </w:rPr>
      </w:pPr>
    </w:p>
    <w:p w14:paraId="3D5FD355" w14:textId="60D2A03F" w:rsidR="00FE648C" w:rsidRPr="00670363" w:rsidRDefault="00A56B69" w:rsidP="70320FC3">
      <w:pPr>
        <w:spacing w:after="0" w:line="240" w:lineRule="auto"/>
        <w:textAlignment w:val="baseline"/>
        <w:rPr>
          <w:rStyle w:val="normaltextrun"/>
          <w:rFonts w:ascii="Times New Roman" w:hAnsi="Times New Roman" w:cs="Times New Roman"/>
        </w:rPr>
      </w:pPr>
      <w:r w:rsidRPr="70320FC3">
        <w:rPr>
          <w:rStyle w:val="normaltextrun"/>
          <w:rFonts w:ascii="Times New Roman" w:hAnsi="Times New Roman" w:cs="Times New Roman"/>
        </w:rPr>
        <w:t xml:space="preserve">Absent </w:t>
      </w:r>
      <w:r w:rsidR="2AFD7C83" w:rsidRPr="70320FC3">
        <w:rPr>
          <w:rStyle w:val="normaltextrun"/>
          <w:rFonts w:ascii="Times New Roman" w:hAnsi="Times New Roman" w:cs="Times New Roman"/>
        </w:rPr>
        <w:t xml:space="preserve">this legislation, </w:t>
      </w:r>
      <w:r w:rsidRPr="70320FC3">
        <w:rPr>
          <w:rStyle w:val="normaltextrun"/>
          <w:rFonts w:ascii="Times New Roman" w:hAnsi="Times New Roman" w:cs="Times New Roman"/>
        </w:rPr>
        <w:t xml:space="preserve">individuals and entities face significant </w:t>
      </w:r>
      <w:r w:rsidR="064D6D31" w:rsidRPr="70320FC3">
        <w:rPr>
          <w:rStyle w:val="normaltextrun"/>
          <w:rFonts w:ascii="Times New Roman" w:hAnsi="Times New Roman" w:cs="Times New Roman"/>
        </w:rPr>
        <w:t>exposure to both civil and criminal liability as well as risk to their professional licensure. This proposal significantly reduces those risks and provides a viable pathway for these sites to operat</w:t>
      </w:r>
      <w:r w:rsidR="10B68580" w:rsidRPr="70320FC3">
        <w:rPr>
          <w:rStyle w:val="normaltextrun"/>
          <w:rFonts w:ascii="Times New Roman" w:hAnsi="Times New Roman" w:cs="Times New Roman"/>
        </w:rPr>
        <w:t xml:space="preserve">e. </w:t>
      </w:r>
    </w:p>
    <w:p w14:paraId="79C07174" w14:textId="172453AC" w:rsidR="00FE648C" w:rsidRPr="00670363" w:rsidRDefault="00FE648C" w:rsidP="70320FC3">
      <w:pPr>
        <w:spacing w:after="0" w:line="240" w:lineRule="auto"/>
        <w:textAlignment w:val="baseline"/>
        <w:rPr>
          <w:rStyle w:val="normaltextrun"/>
          <w:rFonts w:ascii="Times New Roman" w:hAnsi="Times New Roman" w:cs="Times New Roman"/>
        </w:rPr>
      </w:pPr>
    </w:p>
    <w:p w14:paraId="6871020F" w14:textId="180E6CF1" w:rsidR="00FE648C" w:rsidRPr="00670363" w:rsidRDefault="70816611" w:rsidP="15CCBF84">
      <w:pPr>
        <w:spacing w:after="0" w:line="240" w:lineRule="auto"/>
        <w:textAlignment w:val="baseline"/>
        <w:rPr>
          <w:rStyle w:val="normaltextrun"/>
          <w:rFonts w:ascii="Times New Roman" w:hAnsi="Times New Roman" w:cs="Times New Roman"/>
        </w:rPr>
      </w:pPr>
      <w:r w:rsidRPr="70320FC3">
        <w:rPr>
          <w:rStyle w:val="normaltextrun"/>
          <w:rFonts w:ascii="Times New Roman" w:hAnsi="Times New Roman" w:cs="Times New Roman"/>
        </w:rPr>
        <w:t xml:space="preserve">For these reasons, </w:t>
      </w:r>
      <w:r w:rsidR="1B019E46" w:rsidRPr="70320FC3">
        <w:rPr>
          <w:rStyle w:val="normaltextrun"/>
          <w:rFonts w:ascii="Times New Roman" w:hAnsi="Times New Roman" w:cs="Times New Roman"/>
        </w:rPr>
        <w:t xml:space="preserve"> </w:t>
      </w:r>
      <w:r w:rsidR="007F421B" w:rsidRPr="70320FC3">
        <w:rPr>
          <w:rStyle w:val="normaltextrun"/>
          <w:rFonts w:ascii="Times New Roman" w:hAnsi="Times New Roman" w:cs="Times New Roman"/>
        </w:rPr>
        <w:t xml:space="preserve">DPH recommends that </w:t>
      </w:r>
      <w:r w:rsidR="1965CDE5" w:rsidRPr="70320FC3">
        <w:rPr>
          <w:rStyle w:val="normaltextrun"/>
          <w:rFonts w:ascii="Times New Roman" w:hAnsi="Times New Roman" w:cs="Times New Roman"/>
        </w:rPr>
        <w:t xml:space="preserve">Massachusetts enact </w:t>
      </w:r>
      <w:r w:rsidR="007F421B" w:rsidRPr="70320FC3">
        <w:rPr>
          <w:rStyle w:val="normaltextrun"/>
          <w:rFonts w:ascii="Times New Roman" w:hAnsi="Times New Roman" w:cs="Times New Roman"/>
        </w:rPr>
        <w:t>s</w:t>
      </w:r>
      <w:r w:rsidR="00263ECF" w:rsidRPr="70320FC3">
        <w:rPr>
          <w:rStyle w:val="normaltextrun"/>
          <w:rFonts w:ascii="Times New Roman" w:hAnsi="Times New Roman" w:cs="Times New Roman"/>
        </w:rPr>
        <w:t>tatutory language</w:t>
      </w:r>
      <w:r w:rsidR="008D30CF" w:rsidRPr="70320FC3">
        <w:rPr>
          <w:rStyle w:val="normaltextrun"/>
          <w:rFonts w:ascii="Times New Roman" w:hAnsi="Times New Roman" w:cs="Times New Roman"/>
        </w:rPr>
        <w:t xml:space="preserve"> </w:t>
      </w:r>
      <w:r w:rsidR="00A7321B" w:rsidRPr="70320FC3">
        <w:rPr>
          <w:rStyle w:val="normaltextrun"/>
          <w:rFonts w:ascii="Times New Roman" w:hAnsi="Times New Roman" w:cs="Times New Roman"/>
        </w:rPr>
        <w:t>offer</w:t>
      </w:r>
      <w:r w:rsidR="0CEED4CB" w:rsidRPr="70320FC3">
        <w:rPr>
          <w:rStyle w:val="normaltextrun"/>
          <w:rFonts w:ascii="Times New Roman" w:hAnsi="Times New Roman" w:cs="Times New Roman"/>
        </w:rPr>
        <w:t>ing</w:t>
      </w:r>
      <w:r w:rsidR="00A7321B" w:rsidRPr="70320FC3">
        <w:rPr>
          <w:rStyle w:val="normaltextrun"/>
          <w:rFonts w:ascii="Times New Roman" w:hAnsi="Times New Roman" w:cs="Times New Roman"/>
        </w:rPr>
        <w:t xml:space="preserve"> protection against arrest, charges, or prosecution of property owners, managers, employees, volunteers, clients or participants, and state, city or town government employees acting in the course and scope of employment pursuant to §32, §32A-D, 32I, § 34 § 40 of M.G.L. c. 94C or § 1-3 of M.G.L. c. 271A, including for attempting, aiding and abetting, or conspiring to commit a violation of any of those sections</w:t>
      </w:r>
      <w:r w:rsidR="003C0C50" w:rsidRPr="70320FC3">
        <w:rPr>
          <w:rStyle w:val="normaltextrun"/>
          <w:rFonts w:ascii="Times New Roman" w:hAnsi="Times New Roman" w:cs="Times New Roman"/>
        </w:rPr>
        <w:t xml:space="preserve">. </w:t>
      </w:r>
      <w:r w:rsidR="2F264B43" w:rsidRPr="70320FC3">
        <w:rPr>
          <w:rStyle w:val="normaltextrun"/>
          <w:rFonts w:ascii="Times New Roman" w:hAnsi="Times New Roman" w:cs="Times New Roman"/>
        </w:rPr>
        <w:t>Additionally,</w:t>
      </w:r>
      <w:r w:rsidR="4FD3D8AA" w:rsidRPr="70320FC3">
        <w:rPr>
          <w:rStyle w:val="normaltextrun"/>
          <w:rFonts w:ascii="Times New Roman" w:hAnsi="Times New Roman" w:cs="Times New Roman"/>
        </w:rPr>
        <w:t xml:space="preserve"> </w:t>
      </w:r>
      <w:r w:rsidR="7A7B0317" w:rsidRPr="70320FC3">
        <w:rPr>
          <w:rStyle w:val="normaltextrun"/>
          <w:rFonts w:ascii="Times New Roman" w:hAnsi="Times New Roman" w:cs="Times New Roman"/>
        </w:rPr>
        <w:t>i</w:t>
      </w:r>
      <w:r w:rsidR="003C0C50" w:rsidRPr="70320FC3">
        <w:rPr>
          <w:rStyle w:val="normaltextrun"/>
          <w:rFonts w:ascii="Times New Roman" w:hAnsi="Times New Roman" w:cs="Times New Roman"/>
        </w:rPr>
        <w:t xml:space="preserve">ndividuals and entities should be protected from </w:t>
      </w:r>
      <w:r w:rsidR="00A7321B" w:rsidRPr="70320FC3">
        <w:rPr>
          <w:rStyle w:val="normaltextrun"/>
          <w:rFonts w:ascii="Times New Roman" w:hAnsi="Times New Roman" w:cs="Times New Roman"/>
        </w:rPr>
        <w:t>property forfeiture</w:t>
      </w:r>
      <w:r w:rsidR="003C0C50" w:rsidRPr="70320FC3">
        <w:rPr>
          <w:rStyle w:val="normaltextrun"/>
          <w:rFonts w:ascii="Times New Roman" w:hAnsi="Times New Roman" w:cs="Times New Roman"/>
        </w:rPr>
        <w:t xml:space="preserve"> and </w:t>
      </w:r>
      <w:r w:rsidR="00A7321B" w:rsidRPr="70320FC3">
        <w:rPr>
          <w:rStyle w:val="normaltextrun"/>
          <w:rFonts w:ascii="Times New Roman" w:hAnsi="Times New Roman" w:cs="Times New Roman"/>
        </w:rPr>
        <w:t xml:space="preserve">civil </w:t>
      </w:r>
      <w:r w:rsidR="003C0C50" w:rsidRPr="70320FC3">
        <w:rPr>
          <w:rStyle w:val="normaltextrun"/>
          <w:rFonts w:ascii="Times New Roman" w:hAnsi="Times New Roman" w:cs="Times New Roman"/>
        </w:rPr>
        <w:t>and</w:t>
      </w:r>
      <w:r w:rsidR="00A7321B" w:rsidRPr="70320FC3">
        <w:rPr>
          <w:rStyle w:val="normaltextrun"/>
          <w:rFonts w:ascii="Times New Roman" w:hAnsi="Times New Roman" w:cs="Times New Roman"/>
        </w:rPr>
        <w:t xml:space="preserve"> administrative penalty, including, but not limited to disciplinary action by a professional licensing board, credentialing restrictions, contractual or civil liability, or other employment action</w:t>
      </w:r>
      <w:r w:rsidR="003C0C50" w:rsidRPr="70320FC3">
        <w:rPr>
          <w:rStyle w:val="normaltextrun"/>
          <w:rFonts w:ascii="Times New Roman" w:hAnsi="Times New Roman" w:cs="Times New Roman"/>
        </w:rPr>
        <w:t xml:space="preserve">. </w:t>
      </w:r>
      <w:r w:rsidR="0056448B" w:rsidRPr="70320FC3">
        <w:rPr>
          <w:rStyle w:val="normaltextrun"/>
          <w:rFonts w:ascii="Times New Roman" w:hAnsi="Times New Roman" w:cs="Times New Roman"/>
        </w:rPr>
        <w:t>Protection should not extend to</w:t>
      </w:r>
      <w:r w:rsidR="00A7321B" w:rsidRPr="70320FC3">
        <w:rPr>
          <w:rStyle w:val="normaltextrun"/>
          <w:rFonts w:ascii="Times New Roman" w:hAnsi="Times New Roman" w:cs="Times New Roman"/>
        </w:rPr>
        <w:t xml:space="preserve"> gross negligence or willful or wanton misconduct, </w:t>
      </w:r>
      <w:r w:rsidR="4622CE31" w:rsidRPr="70320FC3">
        <w:rPr>
          <w:rStyle w:val="normaltextrun"/>
          <w:rFonts w:ascii="Times New Roman" w:hAnsi="Times New Roman" w:cs="Times New Roman"/>
        </w:rPr>
        <w:t>and</w:t>
      </w:r>
      <w:r w:rsidR="0056448B" w:rsidRPr="70320FC3">
        <w:rPr>
          <w:rStyle w:val="normaltextrun"/>
          <w:rFonts w:ascii="Times New Roman" w:hAnsi="Times New Roman" w:cs="Times New Roman"/>
        </w:rPr>
        <w:t xml:space="preserve"> should </w:t>
      </w:r>
      <w:r w:rsidR="00A7321B" w:rsidRPr="70320FC3">
        <w:rPr>
          <w:rStyle w:val="normaltextrun"/>
          <w:rFonts w:ascii="Times New Roman" w:hAnsi="Times New Roman" w:cs="Times New Roman"/>
        </w:rPr>
        <w:t>relat</w:t>
      </w:r>
      <w:r w:rsidR="0056448B" w:rsidRPr="70320FC3">
        <w:rPr>
          <w:rStyle w:val="normaltextrun"/>
          <w:rFonts w:ascii="Times New Roman" w:hAnsi="Times New Roman" w:cs="Times New Roman"/>
        </w:rPr>
        <w:t>e</w:t>
      </w:r>
      <w:r w:rsidR="00A7321B" w:rsidRPr="70320FC3">
        <w:rPr>
          <w:rStyle w:val="normaltextrun"/>
          <w:rFonts w:ascii="Times New Roman" w:hAnsi="Times New Roman" w:cs="Times New Roman"/>
        </w:rPr>
        <w:t xml:space="preserve"> solely to the approval, participation, or operation of </w:t>
      </w:r>
      <w:r w:rsidR="0056448B" w:rsidRPr="70320FC3">
        <w:rPr>
          <w:rStyle w:val="normaltextrun"/>
          <w:rFonts w:ascii="Times New Roman" w:hAnsi="Times New Roman" w:cs="Times New Roman"/>
        </w:rPr>
        <w:t xml:space="preserve">an OPC. </w:t>
      </w:r>
    </w:p>
    <w:p w14:paraId="5F4F02E8" w14:textId="7E52EA1F" w:rsidR="00FE648C" w:rsidRPr="00670363" w:rsidRDefault="00FE648C" w:rsidP="2C344116">
      <w:pPr>
        <w:spacing w:after="0" w:line="240" w:lineRule="auto"/>
        <w:textAlignment w:val="baseline"/>
        <w:rPr>
          <w:rStyle w:val="normaltextrun"/>
          <w:rFonts w:ascii="Times New Roman" w:hAnsi="Times New Roman" w:cs="Times New Roman"/>
        </w:rPr>
      </w:pPr>
    </w:p>
    <w:p w14:paraId="2B2F74F0" w14:textId="0E89CB31" w:rsidR="00FE648C" w:rsidRPr="00670363" w:rsidRDefault="78A53D89" w:rsidP="00263ECF">
      <w:pPr>
        <w:spacing w:after="0" w:line="240" w:lineRule="auto"/>
        <w:textAlignment w:val="baseline"/>
        <w:rPr>
          <w:rStyle w:val="normaltextrun"/>
          <w:rFonts w:ascii="Times New Roman" w:hAnsi="Times New Roman" w:cs="Times New Roman"/>
        </w:rPr>
      </w:pPr>
      <w:r w:rsidRPr="1C7089DB">
        <w:rPr>
          <w:rStyle w:val="normaltextrun"/>
          <w:rFonts w:ascii="Times New Roman" w:hAnsi="Times New Roman" w:cs="Times New Roman"/>
        </w:rPr>
        <w:t>The statutory protections described would allow a municipal or private entity to operate an OPC without the threat of state enforcement solely for conducting approved activities and would allow participants and staff to access and deliver services without fear of state legal action. Without such protection, people who use drugs and utilize a site could be subject to arrest for possession of substances that they use/intended to use at an OPC. Staff, volunteers, property owners, operating entities, funders, and state, city and town employees could be subject to charges related to the operation of a site that enable</w:t>
      </w:r>
      <w:r w:rsidR="016E1F20" w:rsidRPr="1C7089DB">
        <w:rPr>
          <w:rStyle w:val="normaltextrun"/>
          <w:rFonts w:ascii="Times New Roman" w:hAnsi="Times New Roman" w:cs="Times New Roman"/>
        </w:rPr>
        <w:t>s</w:t>
      </w:r>
      <w:r w:rsidRPr="1C7089DB">
        <w:rPr>
          <w:rStyle w:val="normaltextrun"/>
          <w:rFonts w:ascii="Times New Roman" w:hAnsi="Times New Roman" w:cs="Times New Roman"/>
        </w:rPr>
        <w:t xml:space="preserve"> illicit substance use, including criminal conspiracy. Moreover, the property used to provide OPC services could be permanently seized by state law enforcement. Professionally licensed individuals providing services at an OPC could have their licenses revoked or suspended for assisting participants in committing prohibited drug use. Without legal protections, state law enforcement could terminate operations at an OPC at any time, discouraging other interested entities from opening new OPCs.  </w:t>
      </w:r>
      <w:r w:rsidR="38A02BA3" w:rsidRPr="1C7089DB">
        <w:rPr>
          <w:rStyle w:val="normaltextrun"/>
          <w:rFonts w:ascii="Times New Roman" w:hAnsi="Times New Roman" w:cs="Times New Roman"/>
        </w:rPr>
        <w:t xml:space="preserve">People who use drugs face immense barriers in accessing </w:t>
      </w:r>
      <w:r w:rsidR="6BA01C88" w:rsidRPr="1C7089DB">
        <w:rPr>
          <w:rStyle w:val="normaltextrun"/>
          <w:rFonts w:ascii="Times New Roman" w:hAnsi="Times New Roman" w:cs="Times New Roman"/>
        </w:rPr>
        <w:t xml:space="preserve">needed </w:t>
      </w:r>
      <w:r w:rsidR="38A02BA3" w:rsidRPr="1C7089DB">
        <w:rPr>
          <w:rStyle w:val="normaltextrun"/>
          <w:rFonts w:ascii="Times New Roman" w:hAnsi="Times New Roman" w:cs="Times New Roman"/>
        </w:rPr>
        <w:t>services, and</w:t>
      </w:r>
      <w:r w:rsidRPr="1C7089DB">
        <w:rPr>
          <w:rStyle w:val="normaltextrun"/>
          <w:rFonts w:ascii="Times New Roman" w:hAnsi="Times New Roman" w:cs="Times New Roman"/>
        </w:rPr>
        <w:t xml:space="preserve"> </w:t>
      </w:r>
      <w:r w:rsidR="1ABEDA8E" w:rsidRPr="1C7089DB">
        <w:rPr>
          <w:rStyle w:val="normaltextrun"/>
          <w:rFonts w:ascii="Times New Roman" w:hAnsi="Times New Roman" w:cs="Times New Roman"/>
        </w:rPr>
        <w:t>a</w:t>
      </w:r>
      <w:r w:rsidRPr="1C7089DB">
        <w:rPr>
          <w:rStyle w:val="normaltextrun"/>
          <w:rFonts w:ascii="Times New Roman" w:hAnsi="Times New Roman" w:cs="Times New Roman"/>
        </w:rPr>
        <w:t xml:space="preserve">long with protecting staff, volunteers, funders, operators, and </w:t>
      </w:r>
      <w:r w:rsidRPr="1C7089DB">
        <w:rPr>
          <w:rStyle w:val="normaltextrun"/>
          <w:rFonts w:ascii="Times New Roman" w:hAnsi="Times New Roman" w:cs="Times New Roman"/>
        </w:rPr>
        <w:lastRenderedPageBreak/>
        <w:t xml:space="preserve">participants from legal action, legal protections are necessary to </w:t>
      </w:r>
      <w:r w:rsidR="1CC964C7" w:rsidRPr="1C7089DB">
        <w:rPr>
          <w:rStyle w:val="normaltextrun"/>
          <w:rFonts w:ascii="Times New Roman" w:hAnsi="Times New Roman" w:cs="Times New Roman"/>
        </w:rPr>
        <w:t xml:space="preserve">expand </w:t>
      </w:r>
      <w:r w:rsidR="5AAE680F" w:rsidRPr="1C7089DB">
        <w:rPr>
          <w:rStyle w:val="normaltextrun"/>
          <w:rFonts w:ascii="Times New Roman" w:hAnsi="Times New Roman" w:cs="Times New Roman"/>
        </w:rPr>
        <w:t xml:space="preserve">the </w:t>
      </w:r>
      <w:r w:rsidR="3B8C3F25" w:rsidRPr="1C7089DB">
        <w:rPr>
          <w:rStyle w:val="normaltextrun"/>
          <w:rFonts w:ascii="Times New Roman" w:hAnsi="Times New Roman" w:cs="Times New Roman"/>
        </w:rPr>
        <w:t xml:space="preserve">harm reduction </w:t>
      </w:r>
      <w:r w:rsidRPr="1C7089DB">
        <w:rPr>
          <w:rStyle w:val="normaltextrun"/>
          <w:rFonts w:ascii="Times New Roman" w:hAnsi="Times New Roman" w:cs="Times New Roman"/>
        </w:rPr>
        <w:t xml:space="preserve">services </w:t>
      </w:r>
      <w:r w:rsidR="033ECB3D" w:rsidRPr="1C7089DB">
        <w:rPr>
          <w:rStyle w:val="normaltextrun"/>
          <w:rFonts w:ascii="Times New Roman" w:hAnsi="Times New Roman" w:cs="Times New Roman"/>
        </w:rPr>
        <w:t xml:space="preserve">available to </w:t>
      </w:r>
      <w:r w:rsidRPr="1C7089DB">
        <w:rPr>
          <w:rStyle w:val="normaltextrun"/>
          <w:rFonts w:ascii="Times New Roman" w:hAnsi="Times New Roman" w:cs="Times New Roman"/>
        </w:rPr>
        <w:t xml:space="preserve">a </w:t>
      </w:r>
      <w:r w:rsidR="1FA4FE45" w:rsidRPr="1C7089DB">
        <w:rPr>
          <w:rStyle w:val="normaltextrun"/>
          <w:rFonts w:ascii="Times New Roman" w:hAnsi="Times New Roman" w:cs="Times New Roman"/>
        </w:rPr>
        <w:t xml:space="preserve">stigmatized </w:t>
      </w:r>
      <w:r w:rsidRPr="1C7089DB">
        <w:rPr>
          <w:rStyle w:val="normaltextrun"/>
          <w:rFonts w:ascii="Times New Roman" w:hAnsi="Times New Roman" w:cs="Times New Roman"/>
        </w:rPr>
        <w:t>population</w:t>
      </w:r>
      <w:r w:rsidR="44985DF1" w:rsidRPr="1C7089DB">
        <w:rPr>
          <w:rStyle w:val="normaltextrun"/>
          <w:rFonts w:ascii="Times New Roman" w:hAnsi="Times New Roman" w:cs="Times New Roman"/>
        </w:rPr>
        <w:t>.</w:t>
      </w:r>
      <w:r w:rsidRPr="1C7089DB">
        <w:rPr>
          <w:rStyle w:val="normaltextrun"/>
          <w:rFonts w:ascii="Times New Roman" w:hAnsi="Times New Roman" w:cs="Times New Roman"/>
        </w:rPr>
        <w:t xml:space="preserve"> It is DPH’s position that OPC activities are a life-saving intervention and a component of healthcare, and that these activities should be protected as such. </w:t>
      </w:r>
    </w:p>
    <w:p w14:paraId="4A27816B" w14:textId="1A364EA0" w:rsidR="5CB72E2B" w:rsidRDefault="5CB72E2B" w:rsidP="5CB72E2B">
      <w:pPr>
        <w:spacing w:after="0"/>
        <w:rPr>
          <w:rFonts w:ascii="Times New Roman" w:hAnsi="Times New Roman" w:cs="Times New Roman"/>
        </w:rPr>
      </w:pPr>
    </w:p>
    <w:p w14:paraId="762AFF70" w14:textId="5DDD12B1" w:rsidR="009D2E0A" w:rsidRPr="00670363" w:rsidRDefault="099A6BB2" w:rsidP="5CB72E2B">
      <w:pPr>
        <w:spacing w:after="0"/>
        <w:rPr>
          <w:rFonts w:ascii="Times New Roman" w:hAnsi="Times New Roman" w:cs="Times New Roman"/>
        </w:rPr>
      </w:pPr>
      <w:r>
        <w:rPr>
          <w:rFonts w:ascii="Times New Roman" w:hAnsi="Times New Roman" w:cs="Times New Roman"/>
        </w:rPr>
        <w:t xml:space="preserve">It is critical that any statutory </w:t>
      </w:r>
      <w:r w:rsidR="3ED0BFDE" w:rsidRPr="00670363">
        <w:rPr>
          <w:rFonts w:ascii="Times New Roman" w:hAnsi="Times New Roman" w:cs="Times New Roman"/>
        </w:rPr>
        <w:t xml:space="preserve">language </w:t>
      </w:r>
      <w:r w:rsidR="14A671BB" w:rsidRPr="00670363">
        <w:rPr>
          <w:rFonts w:ascii="Times New Roman" w:hAnsi="Times New Roman" w:cs="Times New Roman"/>
        </w:rPr>
        <w:t xml:space="preserve">also </w:t>
      </w:r>
      <w:proofErr w:type="gramStart"/>
      <w:r w:rsidR="23766F25" w:rsidRPr="00670363">
        <w:rPr>
          <w:rStyle w:val="normaltextrun"/>
          <w:rFonts w:ascii="Times New Roman" w:hAnsi="Times New Roman" w:cs="Times New Roman"/>
        </w:rPr>
        <w:t>require</w:t>
      </w:r>
      <w:proofErr w:type="gramEnd"/>
      <w:r w:rsidR="3ED0BFDE" w:rsidRPr="00670363">
        <w:rPr>
          <w:rStyle w:val="normaltextrun"/>
          <w:rFonts w:ascii="Times New Roman" w:hAnsi="Times New Roman" w:cs="Times New Roman"/>
        </w:rPr>
        <w:t xml:space="preserve"> DPH to regulate and approve overdose prevention centers</w:t>
      </w:r>
      <w:r w:rsidR="4923F497" w:rsidRPr="00670363">
        <w:rPr>
          <w:rStyle w:val="normaltextrun"/>
          <w:rFonts w:ascii="Times New Roman" w:hAnsi="Times New Roman" w:cs="Times New Roman"/>
        </w:rPr>
        <w:t xml:space="preserve">, as it provides the </w:t>
      </w:r>
      <w:r w:rsidR="3ED0BFDE" w:rsidRPr="00670363">
        <w:rPr>
          <w:rStyle w:val="normaltextrun"/>
          <w:rFonts w:ascii="Times New Roman" w:hAnsi="Times New Roman" w:cs="Times New Roman"/>
        </w:rPr>
        <w:t xml:space="preserve">ability </w:t>
      </w:r>
      <w:r w:rsidR="0246E104" w:rsidRPr="00670363">
        <w:rPr>
          <w:rStyle w:val="normaltextrun"/>
          <w:rFonts w:ascii="Times New Roman" w:hAnsi="Times New Roman" w:cs="Times New Roman"/>
          <w:color w:val="000000"/>
          <w:bdr w:val="none" w:sz="0" w:space="0" w:color="auto" w:frame="1"/>
        </w:rPr>
        <w:t>for</w:t>
      </w:r>
      <w:r w:rsidR="3ED0BFDE" w:rsidRPr="00670363">
        <w:rPr>
          <w:rStyle w:val="normaltextrun"/>
          <w:rFonts w:ascii="Times New Roman" w:hAnsi="Times New Roman" w:cs="Times New Roman"/>
          <w:color w:val="000000"/>
          <w:bdr w:val="none" w:sz="0" w:space="0" w:color="auto" w:frame="1"/>
        </w:rPr>
        <w:t xml:space="preserve"> DPH to set forth minimum standards and reporting requirements</w:t>
      </w:r>
      <w:r w:rsidR="3ED0BFDE" w:rsidRPr="00670363">
        <w:rPr>
          <w:rStyle w:val="normaltextrun"/>
          <w:rFonts w:ascii="Times New Roman" w:hAnsi="Times New Roman" w:cs="Times New Roman"/>
        </w:rPr>
        <w:t xml:space="preserve">. </w:t>
      </w:r>
      <w:r w:rsidR="5ADAFC4C" w:rsidRPr="00670363">
        <w:rPr>
          <w:rFonts w:ascii="Times New Roman" w:hAnsi="Times New Roman" w:cs="Times New Roman"/>
        </w:rPr>
        <w:t xml:space="preserve"> </w:t>
      </w:r>
      <w:r w:rsidRPr="2C42AC5A" w:rsidDel="00FE648C">
        <w:rPr>
          <w:rFonts w:ascii="Times New Roman" w:hAnsi="Times New Roman" w:cs="Times New Roman"/>
        </w:rPr>
        <w:t xml:space="preserve"> </w:t>
      </w:r>
      <w:r w:rsidR="5ADAFC4C" w:rsidRPr="00670363">
        <w:rPr>
          <w:rFonts w:ascii="Times New Roman" w:hAnsi="Times New Roman" w:cs="Times New Roman"/>
        </w:rPr>
        <w:t>BSAS’ regulatory oversight</w:t>
      </w:r>
      <w:r w:rsidR="5D0E65A7" w:rsidRPr="00670363">
        <w:rPr>
          <w:rFonts w:ascii="Times New Roman" w:hAnsi="Times New Roman" w:cs="Times New Roman"/>
        </w:rPr>
        <w:t xml:space="preserve"> currently</w:t>
      </w:r>
      <w:r w:rsidR="5ADAFC4C" w:rsidRPr="00670363">
        <w:rPr>
          <w:rFonts w:ascii="Times New Roman" w:hAnsi="Times New Roman" w:cs="Times New Roman"/>
        </w:rPr>
        <w:t xml:space="preserve"> includes all licensed substance use </w:t>
      </w:r>
      <w:r w:rsidR="3D15F80F" w:rsidRPr="00670363">
        <w:rPr>
          <w:rFonts w:ascii="Times New Roman" w:hAnsi="Times New Roman" w:cs="Times New Roman"/>
        </w:rPr>
        <w:t>treatment</w:t>
      </w:r>
      <w:r w:rsidR="5ADAFC4C" w:rsidRPr="00670363">
        <w:rPr>
          <w:rFonts w:ascii="Times New Roman" w:hAnsi="Times New Roman" w:cs="Times New Roman"/>
        </w:rPr>
        <w:t xml:space="preserve"> programs in the Commonwealth, where they have established evidence-based and enforceable minimum standards to ensure quality treatment for </w:t>
      </w:r>
      <w:r w:rsidR="7D9AEDCF">
        <w:rPr>
          <w:rFonts w:ascii="Times New Roman" w:hAnsi="Times New Roman" w:cs="Times New Roman"/>
        </w:rPr>
        <w:t>individuals accessing</w:t>
      </w:r>
      <w:r w:rsidR="594DA90E" w:rsidRPr="00670363">
        <w:rPr>
          <w:rFonts w:ascii="Times New Roman" w:hAnsi="Times New Roman" w:cs="Times New Roman"/>
        </w:rPr>
        <w:t xml:space="preserve"> substance use disorder treatment</w:t>
      </w:r>
      <w:r w:rsidR="5ADAFC4C" w:rsidRPr="00670363">
        <w:rPr>
          <w:rFonts w:ascii="Times New Roman" w:hAnsi="Times New Roman" w:cs="Times New Roman"/>
        </w:rPr>
        <w:t xml:space="preserve">. </w:t>
      </w:r>
      <w:r w:rsidR="2435C1FD" w:rsidRPr="0AD9B74F">
        <w:rPr>
          <w:rFonts w:ascii="Times New Roman" w:hAnsi="Times New Roman" w:cs="Times New Roman"/>
        </w:rPr>
        <w:t xml:space="preserve">Without </w:t>
      </w:r>
      <w:r w:rsidR="50F065B0" w:rsidRPr="1C524DA5">
        <w:rPr>
          <w:rFonts w:ascii="Times New Roman" w:hAnsi="Times New Roman" w:cs="Times New Roman"/>
        </w:rPr>
        <w:t xml:space="preserve">additional </w:t>
      </w:r>
      <w:r w:rsidR="2435C1FD" w:rsidRPr="1C524DA5">
        <w:rPr>
          <w:rFonts w:ascii="Times New Roman" w:hAnsi="Times New Roman" w:cs="Times New Roman"/>
        </w:rPr>
        <w:t>regulations</w:t>
      </w:r>
      <w:r w:rsidR="2435C1FD" w:rsidRPr="0AD9B74F">
        <w:rPr>
          <w:rFonts w:ascii="Times New Roman" w:hAnsi="Times New Roman" w:cs="Times New Roman"/>
        </w:rPr>
        <w:t xml:space="preserve">, DPH’s only oversight and enforcement mechanism would be set forth through contracts with OPCs; however, OPCs could </w:t>
      </w:r>
      <w:r w:rsidR="2435C1FD" w:rsidRPr="7FD658DE">
        <w:rPr>
          <w:rFonts w:ascii="Times New Roman" w:hAnsi="Times New Roman" w:cs="Times New Roman"/>
        </w:rPr>
        <w:t>operate</w:t>
      </w:r>
      <w:r w:rsidR="2435C1FD" w:rsidRPr="0AD9B74F">
        <w:rPr>
          <w:rFonts w:ascii="Times New Roman" w:hAnsi="Times New Roman" w:cs="Times New Roman"/>
        </w:rPr>
        <w:t xml:space="preserve"> without contracting through DPH.  In that case, DPH would have no mechanism to enforce minimum standards or collect data and information.</w:t>
      </w:r>
      <w:r w:rsidR="63A0E3FE" w:rsidRPr="04FDCA15">
        <w:rPr>
          <w:rFonts w:ascii="Times New Roman" w:hAnsi="Times New Roman" w:cs="Times New Roman"/>
        </w:rPr>
        <w:t xml:space="preserve"> </w:t>
      </w:r>
      <w:r w:rsidR="63A0E3FE" w:rsidRPr="3DD96ABA">
        <w:rPr>
          <w:rFonts w:ascii="Times New Roman" w:hAnsi="Times New Roman" w:cs="Times New Roman"/>
        </w:rPr>
        <w:t xml:space="preserve">Regulations allow DPH to </w:t>
      </w:r>
      <w:r w:rsidR="63A0E3FE" w:rsidRPr="31FEB68C">
        <w:rPr>
          <w:rFonts w:ascii="Times New Roman" w:hAnsi="Times New Roman" w:cs="Times New Roman"/>
        </w:rPr>
        <w:t>standardize OPC activities</w:t>
      </w:r>
      <w:r w:rsidR="63A0E3FE" w:rsidRPr="05332068">
        <w:rPr>
          <w:rFonts w:ascii="Times New Roman" w:hAnsi="Times New Roman" w:cs="Times New Roman"/>
        </w:rPr>
        <w:t xml:space="preserve">, </w:t>
      </w:r>
      <w:r w:rsidR="63A0E3FE" w:rsidRPr="197378F7">
        <w:rPr>
          <w:rFonts w:ascii="Times New Roman" w:hAnsi="Times New Roman" w:cs="Times New Roman"/>
        </w:rPr>
        <w:t xml:space="preserve">ensure quality of care, and </w:t>
      </w:r>
      <w:r w:rsidR="63A0E3FE" w:rsidRPr="4DCEDE43">
        <w:rPr>
          <w:rFonts w:ascii="Times New Roman" w:hAnsi="Times New Roman" w:cs="Times New Roman"/>
        </w:rPr>
        <w:t xml:space="preserve">mandate the </w:t>
      </w:r>
      <w:r w:rsidR="63A0E3FE" w:rsidRPr="3A6B4B59">
        <w:rPr>
          <w:rFonts w:ascii="Times New Roman" w:hAnsi="Times New Roman" w:cs="Times New Roman"/>
        </w:rPr>
        <w:t>reporting of key data points.</w:t>
      </w:r>
    </w:p>
    <w:p w14:paraId="14A05E98" w14:textId="6F41EA07" w:rsidR="5CB72E2B" w:rsidRDefault="5CB72E2B" w:rsidP="5CB72E2B">
      <w:pPr>
        <w:spacing w:after="0"/>
        <w:rPr>
          <w:rFonts w:ascii="Times New Roman" w:hAnsi="Times New Roman" w:cs="Times New Roman"/>
        </w:rPr>
      </w:pPr>
    </w:p>
    <w:p w14:paraId="2AEBF7E4" w14:textId="2BC4B9D0" w:rsidR="00A04C87" w:rsidRDefault="00A04C87" w:rsidP="70B57278">
      <w:pPr>
        <w:spacing w:after="0" w:line="240" w:lineRule="auto"/>
        <w:textAlignment w:val="baseline"/>
        <w:rPr>
          <w:rStyle w:val="normaltextrun"/>
          <w:rFonts w:ascii="Times New Roman" w:hAnsi="Times New Roman" w:cs="Times New Roman"/>
        </w:rPr>
      </w:pPr>
    </w:p>
    <w:p w14:paraId="0151EFD9" w14:textId="3F1D2D63" w:rsidR="0081068B" w:rsidRPr="00D36111" w:rsidRDefault="0081068B" w:rsidP="001E43B6">
      <w:pPr>
        <w:pStyle w:val="Heading1"/>
        <w:numPr>
          <w:ilvl w:val="0"/>
          <w:numId w:val="21"/>
        </w:numPr>
        <w:spacing w:before="0"/>
        <w:rPr>
          <w:rFonts w:ascii="Times New Roman" w:hAnsi="Times New Roman" w:cs="Times New Roman"/>
          <w:b/>
          <w:bCs/>
          <w:color w:val="auto"/>
          <w:sz w:val="22"/>
          <w:szCs w:val="22"/>
        </w:rPr>
      </w:pPr>
      <w:r>
        <w:rPr>
          <w:rFonts w:ascii="Times New Roman" w:hAnsi="Times New Roman" w:cs="Times New Roman"/>
          <w:b/>
          <w:bCs/>
          <w:color w:val="auto"/>
          <w:sz w:val="22"/>
          <w:szCs w:val="22"/>
        </w:rPr>
        <w:t>Conclusion</w:t>
      </w:r>
    </w:p>
    <w:p w14:paraId="40E99350" w14:textId="77777777" w:rsidR="00833D49" w:rsidRPr="001E43B6" w:rsidRDefault="00833D49" w:rsidP="003F6181">
      <w:pPr>
        <w:spacing w:after="0"/>
      </w:pPr>
    </w:p>
    <w:p w14:paraId="262843AB" w14:textId="0A338114" w:rsidR="00A04C87" w:rsidRPr="0075690D" w:rsidRDefault="00C545AD" w:rsidP="00A939A5">
      <w:pPr>
        <w:spacing w:after="0" w:line="240" w:lineRule="auto"/>
        <w:jc w:val="both"/>
        <w:textAlignment w:val="baseline"/>
        <w:rPr>
          <w:rFonts w:ascii="Times New Roman" w:eastAsia="Times New Roman" w:hAnsi="Times New Roman" w:cs="Times New Roman"/>
          <w:kern w:val="0"/>
          <w14:ligatures w14:val="none"/>
        </w:rPr>
      </w:pPr>
      <w:r w:rsidRPr="0075690D">
        <w:rPr>
          <w:rFonts w:ascii="Times New Roman" w:eastAsia="Times New Roman" w:hAnsi="Times New Roman" w:cs="Times New Roman"/>
          <w:kern w:val="0"/>
          <w14:ligatures w14:val="none"/>
        </w:rPr>
        <w:t>Overdose deaths are preventable</w:t>
      </w:r>
      <w:r w:rsidR="3D9E1619" w:rsidRPr="0075690D">
        <w:rPr>
          <w:rFonts w:ascii="Times New Roman" w:eastAsia="Times New Roman" w:hAnsi="Times New Roman" w:cs="Times New Roman"/>
          <w:kern w:val="0"/>
          <w14:ligatures w14:val="none"/>
        </w:rPr>
        <w:t>. Despite significant investment in harm reduction services, the</w:t>
      </w:r>
      <w:r w:rsidR="00FC0ECD">
        <w:rPr>
          <w:rFonts w:ascii="Times New Roman" w:eastAsia="Times New Roman" w:hAnsi="Times New Roman" w:cs="Times New Roman"/>
          <w:kern w:val="0"/>
          <w14:ligatures w14:val="none"/>
        </w:rPr>
        <w:t xml:space="preserve"> Commonwealth </w:t>
      </w:r>
      <w:r w:rsidR="61B98E8B">
        <w:rPr>
          <w:rFonts w:ascii="Times New Roman" w:eastAsia="Times New Roman" w:hAnsi="Times New Roman" w:cs="Times New Roman"/>
          <w:kern w:val="0"/>
          <w14:ligatures w14:val="none"/>
        </w:rPr>
        <w:t xml:space="preserve">continues to observe missed </w:t>
      </w:r>
      <w:r w:rsidR="002B5477" w:rsidRPr="002B5477">
        <w:rPr>
          <w:rFonts w:ascii="Times New Roman" w:eastAsia="Times New Roman" w:hAnsi="Times New Roman" w:cs="Times New Roman"/>
          <w:kern w:val="0"/>
          <w14:ligatures w14:val="none"/>
        </w:rPr>
        <w:t xml:space="preserve">opportunities to adequately engage people who use drugs, meet their needs, and prevent fatal overdoses, with devastating impacts to our </w:t>
      </w:r>
      <w:r w:rsidR="00916031">
        <w:rPr>
          <w:rFonts w:ascii="Times New Roman" w:eastAsia="Times New Roman" w:hAnsi="Times New Roman" w:cs="Times New Roman"/>
          <w:kern w:val="0"/>
          <w14:ligatures w14:val="none"/>
        </w:rPr>
        <w:t>residents</w:t>
      </w:r>
      <w:r w:rsidR="002B5477" w:rsidRPr="002B5477">
        <w:rPr>
          <w:rFonts w:ascii="Times New Roman" w:eastAsia="Times New Roman" w:hAnsi="Times New Roman" w:cs="Times New Roman"/>
          <w:kern w:val="0"/>
          <w14:ligatures w14:val="none"/>
        </w:rPr>
        <w:t>. Establish</w:t>
      </w:r>
      <w:r w:rsidR="00AB15AA" w:rsidRPr="0075690D">
        <w:rPr>
          <w:rFonts w:ascii="Times New Roman" w:eastAsia="Times New Roman" w:hAnsi="Times New Roman" w:cs="Times New Roman"/>
          <w:kern w:val="0"/>
          <w14:ligatures w14:val="none"/>
        </w:rPr>
        <w:t>ing</w:t>
      </w:r>
      <w:r w:rsidR="002B5477" w:rsidRPr="002B5477">
        <w:rPr>
          <w:rFonts w:ascii="Times New Roman" w:eastAsia="Times New Roman" w:hAnsi="Times New Roman" w:cs="Times New Roman"/>
          <w:kern w:val="0"/>
          <w14:ligatures w14:val="none"/>
        </w:rPr>
        <w:t xml:space="preserve"> </w:t>
      </w:r>
      <w:r w:rsidR="1BCBEDD7" w:rsidRPr="002B5477">
        <w:rPr>
          <w:rFonts w:ascii="Times New Roman" w:eastAsia="Times New Roman" w:hAnsi="Times New Roman" w:cs="Times New Roman"/>
          <w:kern w:val="0"/>
          <w14:ligatures w14:val="none"/>
        </w:rPr>
        <w:t>OPCs</w:t>
      </w:r>
      <w:r w:rsidR="005255DF" w:rsidRPr="0075690D">
        <w:rPr>
          <w:rFonts w:ascii="Times New Roman" w:eastAsia="Times New Roman" w:hAnsi="Times New Roman" w:cs="Times New Roman"/>
          <w:kern w:val="0"/>
          <w14:ligatures w14:val="none"/>
        </w:rPr>
        <w:t xml:space="preserve"> would enable t</w:t>
      </w:r>
      <w:r w:rsidR="009F0FD6">
        <w:rPr>
          <w:rFonts w:ascii="Times New Roman" w:eastAsia="Times New Roman" w:hAnsi="Times New Roman" w:cs="Times New Roman"/>
          <w:kern w:val="0"/>
          <w14:ligatures w14:val="none"/>
        </w:rPr>
        <w:t>he</w:t>
      </w:r>
      <w:r w:rsidR="005255DF" w:rsidRPr="0075690D">
        <w:rPr>
          <w:rFonts w:ascii="Times New Roman" w:eastAsia="Times New Roman" w:hAnsi="Times New Roman" w:cs="Times New Roman"/>
          <w:kern w:val="0"/>
          <w14:ligatures w14:val="none"/>
        </w:rPr>
        <w:t xml:space="preserve"> Commonwealth to</w:t>
      </w:r>
      <w:r w:rsidR="002B5477" w:rsidRPr="002B5477">
        <w:rPr>
          <w:rFonts w:ascii="Times New Roman" w:eastAsia="Times New Roman" w:hAnsi="Times New Roman" w:cs="Times New Roman"/>
          <w:kern w:val="0"/>
          <w14:ligatures w14:val="none"/>
        </w:rPr>
        <w:t xml:space="preserve"> reach individuals who may not otherwise </w:t>
      </w:r>
      <w:r w:rsidR="005255DF" w:rsidRPr="0075690D">
        <w:rPr>
          <w:rFonts w:ascii="Times New Roman" w:eastAsia="Times New Roman" w:hAnsi="Times New Roman" w:cs="Times New Roman"/>
          <w:kern w:val="0"/>
          <w14:ligatures w14:val="none"/>
        </w:rPr>
        <w:t>be accessing</w:t>
      </w:r>
      <w:r w:rsidR="002B5477" w:rsidRPr="002B5477">
        <w:rPr>
          <w:rFonts w:ascii="Times New Roman" w:eastAsia="Times New Roman" w:hAnsi="Times New Roman" w:cs="Times New Roman"/>
          <w:kern w:val="0"/>
          <w14:ligatures w14:val="none"/>
        </w:rPr>
        <w:t xml:space="preserve"> healthcare service</w:t>
      </w:r>
      <w:r w:rsidR="00A939A5" w:rsidRPr="0075690D">
        <w:rPr>
          <w:rFonts w:ascii="Times New Roman" w:eastAsia="Times New Roman" w:hAnsi="Times New Roman" w:cs="Times New Roman"/>
          <w:kern w:val="0"/>
          <w14:ligatures w14:val="none"/>
        </w:rPr>
        <w:t>s</w:t>
      </w:r>
      <w:r w:rsidR="0075690D" w:rsidRPr="0075690D">
        <w:rPr>
          <w:rFonts w:ascii="Times New Roman" w:eastAsia="Times New Roman" w:hAnsi="Times New Roman" w:cs="Times New Roman"/>
          <w:kern w:val="0"/>
          <w14:ligatures w14:val="none"/>
        </w:rPr>
        <w:t>, reduce disease transmission, and prevent deaths</w:t>
      </w:r>
      <w:r w:rsidR="00A939A5" w:rsidRPr="0075690D">
        <w:rPr>
          <w:rFonts w:ascii="Times New Roman" w:eastAsia="Times New Roman" w:hAnsi="Times New Roman" w:cs="Times New Roman"/>
          <w:kern w:val="0"/>
          <w14:ligatures w14:val="none"/>
        </w:rPr>
        <w:t>.</w:t>
      </w:r>
    </w:p>
    <w:p w14:paraId="3E217BF2" w14:textId="77777777" w:rsidR="00F21E5D" w:rsidRPr="0075690D" w:rsidRDefault="00F21E5D" w:rsidP="00F21E5D">
      <w:pPr>
        <w:spacing w:after="0" w:line="240" w:lineRule="auto"/>
        <w:textAlignment w:val="baseline"/>
        <w:rPr>
          <w:rFonts w:ascii="Times New Roman" w:eastAsia="Times New Roman" w:hAnsi="Times New Roman" w:cs="Times New Roman"/>
          <w:kern w:val="0"/>
          <w14:ligatures w14:val="none"/>
        </w:rPr>
      </w:pPr>
    </w:p>
    <w:p w14:paraId="50C0CB26" w14:textId="4C9CFA8B" w:rsidR="00F21E5D" w:rsidRPr="00F21E5D" w:rsidRDefault="00F21E5D" w:rsidP="00AB15AA">
      <w:pPr>
        <w:spacing w:after="0" w:line="240" w:lineRule="auto"/>
        <w:textAlignment w:val="baseline"/>
        <w:rPr>
          <w:rFonts w:ascii="Times New Roman" w:eastAsia="Times New Roman" w:hAnsi="Times New Roman" w:cs="Times New Roman"/>
          <w:color w:val="000000"/>
          <w:kern w:val="0"/>
          <w14:ligatures w14:val="none"/>
        </w:rPr>
      </w:pPr>
      <w:r w:rsidRPr="00F21E5D">
        <w:rPr>
          <w:rFonts w:ascii="Times New Roman" w:eastAsia="Times New Roman" w:hAnsi="Times New Roman" w:cs="Times New Roman"/>
          <w:kern w:val="0"/>
          <w14:ligatures w14:val="none"/>
        </w:rPr>
        <w:t xml:space="preserve">The Healey-Driscoll Administration, the Legislature, advocates, and harm reduction providers and institutional partners have shown continued resolve in addressing the overdose crisis. </w:t>
      </w:r>
      <w:r w:rsidR="0075690D" w:rsidRPr="0075690D">
        <w:rPr>
          <w:rFonts w:ascii="Times New Roman" w:eastAsia="Times New Roman" w:hAnsi="Times New Roman" w:cs="Times New Roman"/>
          <w:kern w:val="0"/>
          <w14:ligatures w14:val="none"/>
        </w:rPr>
        <w:t xml:space="preserve">Individuals across the Commonwealth have been impacted by substance use disorder. </w:t>
      </w:r>
      <w:r w:rsidRPr="00F21E5D">
        <w:rPr>
          <w:rFonts w:ascii="Times New Roman" w:eastAsia="Times New Roman" w:hAnsi="Times New Roman" w:cs="Times New Roman"/>
          <w:kern w:val="0"/>
          <w14:ligatures w14:val="none"/>
        </w:rPr>
        <w:t xml:space="preserve">Collectively, we have ensured that there is a </w:t>
      </w:r>
      <w:r w:rsidR="0075690D" w:rsidRPr="0075690D">
        <w:rPr>
          <w:rFonts w:ascii="Times New Roman" w:eastAsia="Times New Roman" w:hAnsi="Times New Roman" w:cs="Times New Roman"/>
          <w:kern w:val="0"/>
          <w14:ligatures w14:val="none"/>
        </w:rPr>
        <w:t>culture of harm reduction</w:t>
      </w:r>
      <w:r w:rsidRPr="00F21E5D">
        <w:rPr>
          <w:rFonts w:ascii="Times New Roman" w:eastAsia="Times New Roman" w:hAnsi="Times New Roman" w:cs="Times New Roman"/>
          <w:kern w:val="0"/>
          <w14:ligatures w14:val="none"/>
        </w:rPr>
        <w:t xml:space="preserve"> </w:t>
      </w:r>
      <w:r w:rsidR="0075690D" w:rsidRPr="0075690D">
        <w:rPr>
          <w:rFonts w:ascii="Times New Roman" w:eastAsia="Times New Roman" w:hAnsi="Times New Roman" w:cs="Times New Roman"/>
          <w:kern w:val="0"/>
          <w14:ligatures w14:val="none"/>
        </w:rPr>
        <w:t xml:space="preserve">upon </w:t>
      </w:r>
      <w:r w:rsidRPr="00F21E5D">
        <w:rPr>
          <w:rFonts w:ascii="Times New Roman" w:eastAsia="Times New Roman" w:hAnsi="Times New Roman" w:cs="Times New Roman"/>
          <w:kern w:val="0"/>
          <w14:ligatures w14:val="none"/>
        </w:rPr>
        <w:t>which to build</w:t>
      </w:r>
      <w:r w:rsidR="0075690D" w:rsidRPr="0075690D">
        <w:rPr>
          <w:rFonts w:ascii="Times New Roman" w:eastAsia="Times New Roman" w:hAnsi="Times New Roman" w:cs="Times New Roman"/>
          <w:kern w:val="0"/>
          <w14:ligatures w14:val="none"/>
        </w:rPr>
        <w:t xml:space="preserve"> and </w:t>
      </w:r>
      <w:r w:rsidR="68E3F49D" w:rsidRPr="0075690D">
        <w:rPr>
          <w:rFonts w:ascii="Times New Roman" w:eastAsia="Times New Roman" w:hAnsi="Times New Roman" w:cs="Times New Roman"/>
          <w:kern w:val="0"/>
          <w14:ligatures w14:val="none"/>
        </w:rPr>
        <w:t>OPCs</w:t>
      </w:r>
      <w:r w:rsidRPr="00F21E5D">
        <w:rPr>
          <w:rFonts w:ascii="Times New Roman" w:eastAsia="Times New Roman" w:hAnsi="Times New Roman" w:cs="Times New Roman"/>
          <w:color w:val="000000"/>
          <w:kern w:val="0"/>
          <w14:ligatures w14:val="none"/>
        </w:rPr>
        <w:t xml:space="preserve"> </w:t>
      </w:r>
      <w:r w:rsidR="007E76F1">
        <w:rPr>
          <w:rFonts w:ascii="Times New Roman" w:eastAsia="Times New Roman" w:hAnsi="Times New Roman" w:cs="Times New Roman"/>
          <w:color w:val="000000"/>
          <w:kern w:val="0"/>
          <w14:ligatures w14:val="none"/>
        </w:rPr>
        <w:t>represent</w:t>
      </w:r>
      <w:r w:rsidRPr="00F21E5D">
        <w:rPr>
          <w:rFonts w:ascii="Times New Roman" w:eastAsia="Times New Roman" w:hAnsi="Times New Roman" w:cs="Times New Roman"/>
          <w:color w:val="000000"/>
          <w:kern w:val="0"/>
          <w14:ligatures w14:val="none"/>
        </w:rPr>
        <w:t xml:space="preserve"> </w:t>
      </w:r>
      <w:r w:rsidR="00AB15AA" w:rsidRPr="0075690D">
        <w:rPr>
          <w:rFonts w:ascii="Times New Roman" w:eastAsia="Times New Roman" w:hAnsi="Times New Roman" w:cs="Times New Roman"/>
          <w:color w:val="000000"/>
          <w:kern w:val="0"/>
          <w14:ligatures w14:val="none"/>
        </w:rPr>
        <w:t>one</w:t>
      </w:r>
      <w:r w:rsidRPr="00F21E5D">
        <w:rPr>
          <w:rFonts w:ascii="Times New Roman" w:eastAsia="Times New Roman" w:hAnsi="Times New Roman" w:cs="Times New Roman"/>
          <w:color w:val="000000"/>
          <w:kern w:val="0"/>
          <w14:ligatures w14:val="none"/>
        </w:rPr>
        <w:t xml:space="preserve"> additional tool to </w:t>
      </w:r>
      <w:r w:rsidR="007E76F1">
        <w:rPr>
          <w:rFonts w:ascii="Times New Roman" w:eastAsia="Times New Roman" w:hAnsi="Times New Roman" w:cs="Times New Roman"/>
          <w:color w:val="000000"/>
          <w:kern w:val="0"/>
          <w14:ligatures w14:val="none"/>
        </w:rPr>
        <w:t xml:space="preserve">pursue to </w:t>
      </w:r>
      <w:r w:rsidRPr="00F21E5D">
        <w:rPr>
          <w:rFonts w:ascii="Times New Roman" w:eastAsia="Times New Roman" w:hAnsi="Times New Roman" w:cs="Times New Roman"/>
          <w:color w:val="000000"/>
          <w:kern w:val="0"/>
          <w14:ligatures w14:val="none"/>
        </w:rPr>
        <w:t>prevent overdose deaths. </w:t>
      </w:r>
    </w:p>
    <w:p w14:paraId="5AF3F017" w14:textId="77777777" w:rsidR="00833D49" w:rsidRDefault="00833D49">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br w:type="page"/>
      </w:r>
    </w:p>
    <w:p w14:paraId="4834FAAF" w14:textId="77777777" w:rsidR="00125E9D" w:rsidRPr="00125E9D" w:rsidRDefault="00125E9D" w:rsidP="00125E9D">
      <w:pPr>
        <w:spacing w:after="0" w:line="240" w:lineRule="auto"/>
        <w:ind w:left="-645"/>
        <w:jc w:val="center"/>
        <w:textAlignment w:val="baseline"/>
        <w:rPr>
          <w:rFonts w:ascii="Times New Roman" w:eastAsia="Times New Roman" w:hAnsi="Times New Roman" w:cs="Times New Roman"/>
          <w:kern w:val="0"/>
          <w:sz w:val="18"/>
          <w:szCs w:val="18"/>
          <w14:ligatures w14:val="none"/>
        </w:rPr>
      </w:pPr>
      <w:r w:rsidRPr="00125E9D">
        <w:rPr>
          <w:rFonts w:ascii="Times New Roman" w:eastAsia="Times New Roman" w:hAnsi="Times New Roman" w:cs="Times New Roman"/>
          <w:color w:val="000000"/>
          <w:kern w:val="0"/>
          <w:u w:val="single"/>
          <w14:ligatures w14:val="none"/>
        </w:rPr>
        <w:lastRenderedPageBreak/>
        <w:t>Appendix A: Federal Statutes Potentially Applicable to OPC Operations</w:t>
      </w:r>
      <w:r w:rsidRPr="00125E9D">
        <w:rPr>
          <w:rFonts w:ascii="Times New Roman" w:eastAsia="Times New Roman" w:hAnsi="Times New Roman" w:cs="Times New Roman"/>
          <w:color w:val="000000"/>
          <w:kern w:val="0"/>
          <w14:ligatures w14:val="none"/>
        </w:rPr>
        <w:t> </w:t>
      </w:r>
    </w:p>
    <w:p w14:paraId="3381DD2C" w14:textId="77777777" w:rsidR="00125E9D" w:rsidRPr="00125E9D" w:rsidRDefault="00125E9D" w:rsidP="00125E9D">
      <w:pPr>
        <w:spacing w:after="0" w:line="240" w:lineRule="auto"/>
        <w:ind w:left="-645"/>
        <w:textAlignment w:val="baseline"/>
        <w:rPr>
          <w:rFonts w:ascii="Times New Roman" w:eastAsia="Times New Roman" w:hAnsi="Times New Roman" w:cs="Times New Roman"/>
          <w:kern w:val="0"/>
          <w:sz w:val="18"/>
          <w:szCs w:val="18"/>
          <w14:ligatures w14:val="none"/>
        </w:rPr>
      </w:pPr>
      <w:r w:rsidRPr="00125E9D">
        <w:rPr>
          <w:rFonts w:ascii="Times New Roman" w:eastAsia="Times New Roman" w:hAnsi="Times New Roman" w:cs="Times New Roman"/>
          <w:kern w:val="0"/>
          <w14:ligatures w14:val="none"/>
        </w:rPr>
        <w:t> </w:t>
      </w:r>
    </w:p>
    <w:p w14:paraId="180EB369" w14:textId="77777777" w:rsidR="00125E9D" w:rsidRPr="00125E9D" w:rsidRDefault="00125E9D" w:rsidP="00125E9D">
      <w:pPr>
        <w:spacing w:after="0" w:line="240" w:lineRule="auto"/>
        <w:ind w:left="-645"/>
        <w:textAlignment w:val="baseline"/>
        <w:rPr>
          <w:rFonts w:ascii="Times New Roman" w:eastAsia="Times New Roman" w:hAnsi="Times New Roman" w:cs="Times New Roman"/>
          <w:kern w:val="0"/>
          <w:sz w:val="18"/>
          <w:szCs w:val="18"/>
          <w14:ligatures w14:val="none"/>
        </w:rPr>
      </w:pPr>
      <w:r w:rsidRPr="00125E9D">
        <w:rPr>
          <w:rFonts w:ascii="Times New Roman" w:eastAsia="Times New Roman" w:hAnsi="Times New Roman" w:cs="Times New Roman"/>
          <w:b/>
          <w:bCs/>
          <w:kern w:val="0"/>
          <w14:ligatures w14:val="none"/>
        </w:rPr>
        <w:t xml:space="preserve">21 U.S. Code § 844 - Penalties for simple possession. </w:t>
      </w:r>
      <w:r w:rsidRPr="00125E9D">
        <w:rPr>
          <w:rFonts w:ascii="Times New Roman" w:eastAsia="Times New Roman" w:hAnsi="Times New Roman" w:cs="Times New Roman"/>
          <w:kern w:val="0"/>
          <w14:ligatures w14:val="none"/>
        </w:rPr>
        <w:t>It is illegal to possess a controlled substance unless it was obtained directly from a practitioner, or pursuant to a practitioner’s legal prescription.  Penalties include both fines and prison sentences of up to 3 years. </w:t>
      </w:r>
    </w:p>
    <w:p w14:paraId="07056F22" w14:textId="77777777" w:rsidR="00125E9D" w:rsidRPr="00125E9D" w:rsidRDefault="00125E9D" w:rsidP="00125E9D">
      <w:pPr>
        <w:spacing w:after="0" w:line="240" w:lineRule="auto"/>
        <w:ind w:left="-645"/>
        <w:textAlignment w:val="baseline"/>
        <w:rPr>
          <w:rFonts w:ascii="Times New Roman" w:eastAsia="Times New Roman" w:hAnsi="Times New Roman" w:cs="Times New Roman"/>
          <w:kern w:val="0"/>
          <w:sz w:val="18"/>
          <w:szCs w:val="18"/>
          <w14:ligatures w14:val="none"/>
        </w:rPr>
      </w:pPr>
      <w:r w:rsidRPr="00125E9D">
        <w:rPr>
          <w:rFonts w:ascii="Times New Roman" w:eastAsia="Times New Roman" w:hAnsi="Times New Roman" w:cs="Times New Roman"/>
          <w:kern w:val="0"/>
          <w14:ligatures w14:val="none"/>
        </w:rPr>
        <w:t> </w:t>
      </w:r>
    </w:p>
    <w:p w14:paraId="7685105D" w14:textId="77777777" w:rsidR="00125E9D" w:rsidRPr="00125E9D" w:rsidRDefault="00125E9D" w:rsidP="00125E9D">
      <w:pPr>
        <w:spacing w:after="0" w:line="240" w:lineRule="auto"/>
        <w:ind w:left="-645"/>
        <w:textAlignment w:val="baseline"/>
        <w:rPr>
          <w:rFonts w:ascii="Times New Roman" w:eastAsia="Times New Roman" w:hAnsi="Times New Roman" w:cs="Times New Roman"/>
          <w:kern w:val="0"/>
          <w:sz w:val="18"/>
          <w:szCs w:val="18"/>
          <w14:ligatures w14:val="none"/>
        </w:rPr>
      </w:pPr>
      <w:r w:rsidRPr="00125E9D">
        <w:rPr>
          <w:rFonts w:ascii="Times New Roman" w:eastAsia="Times New Roman" w:hAnsi="Times New Roman" w:cs="Times New Roman"/>
          <w:b/>
          <w:bCs/>
          <w:kern w:val="0"/>
          <w14:ligatures w14:val="none"/>
        </w:rPr>
        <w:t xml:space="preserve">21 U.S.C. § 848 - Continuing criminal enterprise. </w:t>
      </w:r>
      <w:r w:rsidRPr="00125E9D">
        <w:rPr>
          <w:rFonts w:ascii="Times New Roman" w:eastAsia="Times New Roman" w:hAnsi="Times New Roman" w:cs="Times New Roman"/>
          <w:kern w:val="0"/>
          <w14:ligatures w14:val="none"/>
        </w:rPr>
        <w:t>A person engages in a continuing criminal enterprise if they commit a controlled substance felony, and the violation is part of a continuing series of controlled substance violations which are undertaken in concert with five or more people with a management structure. The person must also obtain substantial income or resources from the enterprise. Penalties for individuals include fines of up to $2,000,000 and a prison term of 20 years to life; penalties for entities include fines of up to $5,000,000. </w:t>
      </w:r>
    </w:p>
    <w:p w14:paraId="69D1B5A5" w14:textId="77777777" w:rsidR="00125E9D" w:rsidRPr="00125E9D" w:rsidRDefault="00125E9D" w:rsidP="00125E9D">
      <w:pPr>
        <w:spacing w:after="0" w:line="240" w:lineRule="auto"/>
        <w:ind w:left="-645"/>
        <w:textAlignment w:val="baseline"/>
        <w:rPr>
          <w:rFonts w:ascii="Times New Roman" w:eastAsia="Times New Roman" w:hAnsi="Times New Roman" w:cs="Times New Roman"/>
          <w:kern w:val="0"/>
          <w:sz w:val="18"/>
          <w:szCs w:val="18"/>
          <w14:ligatures w14:val="none"/>
        </w:rPr>
      </w:pPr>
      <w:r w:rsidRPr="00125E9D">
        <w:rPr>
          <w:rFonts w:ascii="Times New Roman" w:eastAsia="Times New Roman" w:hAnsi="Times New Roman" w:cs="Times New Roman"/>
          <w:kern w:val="0"/>
          <w14:ligatures w14:val="none"/>
        </w:rPr>
        <w:t> </w:t>
      </w:r>
    </w:p>
    <w:p w14:paraId="2D327081" w14:textId="77777777" w:rsidR="00125E9D" w:rsidRPr="00125E9D" w:rsidRDefault="00125E9D" w:rsidP="00125E9D">
      <w:pPr>
        <w:spacing w:after="0" w:line="240" w:lineRule="auto"/>
        <w:ind w:left="-645"/>
        <w:textAlignment w:val="baseline"/>
        <w:rPr>
          <w:rFonts w:ascii="Times New Roman" w:eastAsia="Times New Roman" w:hAnsi="Times New Roman" w:cs="Times New Roman"/>
          <w:kern w:val="0"/>
          <w:sz w:val="18"/>
          <w:szCs w:val="18"/>
          <w14:ligatures w14:val="none"/>
        </w:rPr>
      </w:pPr>
      <w:r w:rsidRPr="00125E9D">
        <w:rPr>
          <w:rFonts w:ascii="Times New Roman" w:eastAsia="Times New Roman" w:hAnsi="Times New Roman" w:cs="Times New Roman"/>
          <w:b/>
          <w:bCs/>
          <w:kern w:val="0"/>
          <w14:ligatures w14:val="none"/>
        </w:rPr>
        <w:t xml:space="preserve">21 U.S. Code § 853 - Criminal forfeitures. </w:t>
      </w:r>
      <w:r w:rsidRPr="00125E9D">
        <w:rPr>
          <w:rFonts w:ascii="Times New Roman" w:eastAsia="Times New Roman" w:hAnsi="Times New Roman" w:cs="Times New Roman"/>
          <w:kern w:val="0"/>
          <w14:ligatures w14:val="none"/>
        </w:rPr>
        <w:t>For any drug offense which resulted in a prison sentence of 1 year or more, any property associated with the offense can be subject to forfeiture, including houses, cars, and other personal belongings.</w:t>
      </w:r>
      <w:r w:rsidRPr="00125E9D">
        <w:rPr>
          <w:rFonts w:ascii="Times New Roman" w:eastAsia="Times New Roman" w:hAnsi="Times New Roman" w:cs="Times New Roman"/>
          <w:kern w:val="0"/>
          <w:u w:val="single"/>
          <w14:ligatures w14:val="none"/>
        </w:rPr>
        <w:t>  </w:t>
      </w:r>
      <w:r w:rsidRPr="00125E9D">
        <w:rPr>
          <w:rFonts w:ascii="Times New Roman" w:eastAsia="Times New Roman" w:hAnsi="Times New Roman" w:cs="Times New Roman"/>
          <w:kern w:val="0"/>
          <w14:ligatures w14:val="none"/>
        </w:rPr>
        <w:t> </w:t>
      </w:r>
    </w:p>
    <w:p w14:paraId="0312DE7B" w14:textId="77777777" w:rsidR="00125E9D" w:rsidRPr="00125E9D" w:rsidRDefault="00125E9D" w:rsidP="00125E9D">
      <w:pPr>
        <w:spacing w:after="0" w:line="240" w:lineRule="auto"/>
        <w:ind w:left="-645"/>
        <w:textAlignment w:val="baseline"/>
        <w:rPr>
          <w:rFonts w:ascii="Times New Roman" w:eastAsia="Times New Roman" w:hAnsi="Times New Roman" w:cs="Times New Roman"/>
          <w:kern w:val="0"/>
          <w:sz w:val="18"/>
          <w:szCs w:val="18"/>
          <w14:ligatures w14:val="none"/>
        </w:rPr>
      </w:pPr>
      <w:r w:rsidRPr="00125E9D">
        <w:rPr>
          <w:rFonts w:ascii="Times New Roman" w:eastAsia="Times New Roman" w:hAnsi="Times New Roman" w:cs="Times New Roman"/>
          <w:kern w:val="0"/>
          <w14:ligatures w14:val="none"/>
        </w:rPr>
        <w:t> </w:t>
      </w:r>
    </w:p>
    <w:p w14:paraId="05EDD174" w14:textId="77777777" w:rsidR="00125E9D" w:rsidRPr="00125E9D" w:rsidRDefault="00125E9D" w:rsidP="00125E9D">
      <w:pPr>
        <w:spacing w:after="0" w:line="240" w:lineRule="auto"/>
        <w:ind w:left="-645"/>
        <w:textAlignment w:val="baseline"/>
        <w:rPr>
          <w:rFonts w:ascii="Times New Roman" w:eastAsia="Times New Roman" w:hAnsi="Times New Roman" w:cs="Times New Roman"/>
          <w:kern w:val="0"/>
          <w:sz w:val="18"/>
          <w:szCs w:val="18"/>
          <w14:ligatures w14:val="none"/>
        </w:rPr>
      </w:pPr>
      <w:r w:rsidRPr="00125E9D">
        <w:rPr>
          <w:rFonts w:ascii="Times New Roman" w:eastAsia="Times New Roman" w:hAnsi="Times New Roman" w:cs="Times New Roman"/>
          <w:b/>
          <w:bCs/>
          <w:kern w:val="0"/>
          <w14:ligatures w14:val="none"/>
        </w:rPr>
        <w:t xml:space="preserve">21 USC § 856 - Maintaining a Drug-Involved Premises. </w:t>
      </w:r>
      <w:r w:rsidRPr="00125E9D">
        <w:rPr>
          <w:rFonts w:ascii="Times New Roman" w:eastAsia="Times New Roman" w:hAnsi="Times New Roman" w:cs="Times New Roman"/>
          <w:kern w:val="0"/>
          <w14:ligatures w14:val="none"/>
        </w:rPr>
        <w:t xml:space="preserve">Twenty </w:t>
      </w:r>
      <w:proofErr w:type="gramStart"/>
      <w:r w:rsidRPr="00125E9D">
        <w:rPr>
          <w:rFonts w:ascii="Times New Roman" w:eastAsia="Times New Roman" w:hAnsi="Times New Roman" w:cs="Times New Roman"/>
          <w:kern w:val="0"/>
          <w14:ligatures w14:val="none"/>
        </w:rPr>
        <w:t>year</w:t>
      </w:r>
      <w:proofErr w:type="gramEnd"/>
      <w:r w:rsidRPr="00125E9D">
        <w:rPr>
          <w:rFonts w:ascii="Times New Roman" w:eastAsia="Times New Roman" w:hAnsi="Times New Roman" w:cs="Times New Roman"/>
          <w:kern w:val="0"/>
          <w14:ligatures w14:val="none"/>
        </w:rPr>
        <w:t xml:space="preserve"> maximum for opening, leasing, renting, or </w:t>
      </w:r>
      <w:proofErr w:type="gramStart"/>
      <w:r w:rsidRPr="00125E9D">
        <w:rPr>
          <w:rFonts w:ascii="Times New Roman" w:eastAsia="Times New Roman" w:hAnsi="Times New Roman" w:cs="Times New Roman"/>
          <w:kern w:val="0"/>
          <w14:ligatures w14:val="none"/>
        </w:rPr>
        <w:t>maintain</w:t>
      </w:r>
      <w:proofErr w:type="gramEnd"/>
      <w:r w:rsidRPr="00125E9D">
        <w:rPr>
          <w:rFonts w:ascii="Times New Roman" w:eastAsia="Times New Roman" w:hAnsi="Times New Roman" w:cs="Times New Roman"/>
          <w:kern w:val="0"/>
          <w14:ligatures w14:val="none"/>
        </w:rPr>
        <w:t xml:space="preserve"> a premises for drug manufacturing, use or distribution.  Penalties for persons include fines of up to $500,000 and imprisonment of up to 20 years; penalties for entities – fines up to $2,000,000. </w:t>
      </w:r>
    </w:p>
    <w:p w14:paraId="0F890E89" w14:textId="77777777" w:rsidR="00125E9D" w:rsidRPr="00125E9D" w:rsidRDefault="00125E9D" w:rsidP="00125E9D">
      <w:pPr>
        <w:spacing w:after="0" w:line="240" w:lineRule="auto"/>
        <w:ind w:left="-645"/>
        <w:textAlignment w:val="baseline"/>
        <w:rPr>
          <w:rFonts w:ascii="Times New Roman" w:eastAsia="Times New Roman" w:hAnsi="Times New Roman" w:cs="Times New Roman"/>
          <w:kern w:val="0"/>
          <w:sz w:val="18"/>
          <w:szCs w:val="18"/>
          <w14:ligatures w14:val="none"/>
        </w:rPr>
      </w:pPr>
      <w:r w:rsidRPr="00125E9D">
        <w:rPr>
          <w:rFonts w:ascii="Times New Roman" w:eastAsia="Times New Roman" w:hAnsi="Times New Roman" w:cs="Times New Roman"/>
          <w:kern w:val="0"/>
          <w14:ligatures w14:val="none"/>
        </w:rPr>
        <w:t> </w:t>
      </w:r>
    </w:p>
    <w:p w14:paraId="17FF5B81" w14:textId="77777777" w:rsidR="00125E9D" w:rsidRPr="00125E9D" w:rsidRDefault="00125E9D" w:rsidP="00125E9D">
      <w:pPr>
        <w:spacing w:after="0" w:line="240" w:lineRule="auto"/>
        <w:ind w:left="-645"/>
        <w:textAlignment w:val="baseline"/>
        <w:rPr>
          <w:rFonts w:ascii="Times New Roman" w:eastAsia="Times New Roman" w:hAnsi="Times New Roman" w:cs="Times New Roman"/>
          <w:kern w:val="0"/>
          <w:sz w:val="18"/>
          <w:szCs w:val="18"/>
          <w14:ligatures w14:val="none"/>
        </w:rPr>
      </w:pPr>
      <w:r w:rsidRPr="00125E9D">
        <w:rPr>
          <w:rFonts w:ascii="Times New Roman" w:eastAsia="Times New Roman" w:hAnsi="Times New Roman" w:cs="Times New Roman"/>
          <w:b/>
          <w:bCs/>
          <w:kern w:val="0"/>
          <w14:ligatures w14:val="none"/>
        </w:rPr>
        <w:t xml:space="preserve">21 U.S.C. 862 - Denial of Federal Benefits. </w:t>
      </w:r>
      <w:r w:rsidRPr="00125E9D">
        <w:rPr>
          <w:rFonts w:ascii="Times New Roman" w:eastAsia="Times New Roman" w:hAnsi="Times New Roman" w:cs="Times New Roman"/>
          <w:kern w:val="0"/>
          <w14:ligatures w14:val="none"/>
        </w:rPr>
        <w:t>An individual convicted of a federal drug offense may be declared ineligible for federal benefits for up to 5 years.  (Exemption for federal benefits related to SUD treatment). </w:t>
      </w:r>
    </w:p>
    <w:p w14:paraId="3A6621DE" w14:textId="77777777" w:rsidR="00125E9D" w:rsidRPr="00125E9D" w:rsidRDefault="00125E9D" w:rsidP="00125E9D">
      <w:pPr>
        <w:spacing w:after="0" w:line="240" w:lineRule="auto"/>
        <w:ind w:left="-645"/>
        <w:textAlignment w:val="baseline"/>
        <w:rPr>
          <w:rFonts w:ascii="Times New Roman" w:eastAsia="Times New Roman" w:hAnsi="Times New Roman" w:cs="Times New Roman"/>
          <w:kern w:val="0"/>
          <w:sz w:val="18"/>
          <w:szCs w:val="18"/>
          <w14:ligatures w14:val="none"/>
        </w:rPr>
      </w:pPr>
      <w:r w:rsidRPr="00125E9D">
        <w:rPr>
          <w:rFonts w:ascii="Times New Roman" w:eastAsia="Times New Roman" w:hAnsi="Times New Roman" w:cs="Times New Roman"/>
          <w:kern w:val="0"/>
          <w14:ligatures w14:val="none"/>
        </w:rPr>
        <w:t> </w:t>
      </w:r>
    </w:p>
    <w:p w14:paraId="7B2E141B" w14:textId="77777777" w:rsidR="00125E9D" w:rsidRPr="00125E9D" w:rsidRDefault="00125E9D" w:rsidP="00125E9D">
      <w:pPr>
        <w:spacing w:after="0" w:line="240" w:lineRule="auto"/>
        <w:ind w:left="-645"/>
        <w:textAlignment w:val="baseline"/>
        <w:rPr>
          <w:rFonts w:ascii="Times New Roman" w:eastAsia="Times New Roman" w:hAnsi="Times New Roman" w:cs="Times New Roman"/>
          <w:kern w:val="0"/>
          <w:sz w:val="18"/>
          <w:szCs w:val="18"/>
          <w14:ligatures w14:val="none"/>
        </w:rPr>
      </w:pPr>
      <w:r w:rsidRPr="00125E9D">
        <w:rPr>
          <w:rFonts w:ascii="Times New Roman" w:eastAsia="Times New Roman" w:hAnsi="Times New Roman" w:cs="Times New Roman"/>
          <w:b/>
          <w:bCs/>
          <w:kern w:val="0"/>
          <w14:ligatures w14:val="none"/>
        </w:rPr>
        <w:t xml:space="preserve">21 U.S.C. § 846 - Attempt and conspiracy. </w:t>
      </w:r>
      <w:r w:rsidRPr="00125E9D">
        <w:rPr>
          <w:rFonts w:ascii="Times New Roman" w:eastAsia="Times New Roman" w:hAnsi="Times New Roman" w:cs="Times New Roman"/>
          <w:kern w:val="0"/>
          <w14:ligatures w14:val="none"/>
        </w:rPr>
        <w:t>Conspiracy to commit any drug offense carries the same penalty as those assigned to the offense. </w:t>
      </w:r>
    </w:p>
    <w:p w14:paraId="31C638DC" w14:textId="77777777" w:rsidR="00125E9D" w:rsidRPr="00125E9D" w:rsidRDefault="00125E9D" w:rsidP="00125E9D">
      <w:pPr>
        <w:spacing w:after="0" w:line="240" w:lineRule="auto"/>
        <w:ind w:left="-645"/>
        <w:textAlignment w:val="baseline"/>
        <w:rPr>
          <w:rFonts w:ascii="Times New Roman" w:eastAsia="Times New Roman" w:hAnsi="Times New Roman" w:cs="Times New Roman"/>
          <w:kern w:val="0"/>
          <w:sz w:val="18"/>
          <w:szCs w:val="18"/>
          <w14:ligatures w14:val="none"/>
        </w:rPr>
      </w:pPr>
      <w:r w:rsidRPr="00125E9D">
        <w:rPr>
          <w:rFonts w:ascii="Times New Roman" w:eastAsia="Times New Roman" w:hAnsi="Times New Roman" w:cs="Times New Roman"/>
          <w:kern w:val="0"/>
          <w14:ligatures w14:val="none"/>
        </w:rPr>
        <w:t> </w:t>
      </w:r>
    </w:p>
    <w:p w14:paraId="1C801CE0" w14:textId="77777777" w:rsidR="00125E9D" w:rsidRPr="00125E9D" w:rsidRDefault="00125E9D" w:rsidP="00125E9D">
      <w:pPr>
        <w:spacing w:after="0" w:line="240" w:lineRule="auto"/>
        <w:ind w:left="-645"/>
        <w:textAlignment w:val="baseline"/>
        <w:rPr>
          <w:rFonts w:ascii="Times New Roman" w:eastAsia="Times New Roman" w:hAnsi="Times New Roman" w:cs="Times New Roman"/>
          <w:kern w:val="0"/>
          <w:sz w:val="18"/>
          <w:szCs w:val="18"/>
          <w14:ligatures w14:val="none"/>
        </w:rPr>
      </w:pPr>
      <w:r w:rsidRPr="00125E9D">
        <w:rPr>
          <w:rFonts w:ascii="Times New Roman" w:eastAsia="Times New Roman" w:hAnsi="Times New Roman" w:cs="Times New Roman"/>
          <w:b/>
          <w:bCs/>
          <w:kern w:val="0"/>
          <w14:ligatures w14:val="none"/>
        </w:rPr>
        <w:t xml:space="preserve">RICO. </w:t>
      </w:r>
      <w:r w:rsidRPr="00125E9D">
        <w:rPr>
          <w:rFonts w:ascii="Times New Roman" w:eastAsia="Times New Roman" w:hAnsi="Times New Roman" w:cs="Times New Roman"/>
          <w:kern w:val="0"/>
          <w14:ligatures w14:val="none"/>
        </w:rPr>
        <w:t xml:space="preserve">Federal RICO offenses include controlled substance offenses.  18 USC § 1961(1).  </w:t>
      </w:r>
      <w:proofErr w:type="gramStart"/>
      <w:r w:rsidRPr="00125E9D">
        <w:rPr>
          <w:rFonts w:ascii="Times New Roman" w:eastAsia="Times New Roman" w:hAnsi="Times New Roman" w:cs="Times New Roman"/>
          <w:kern w:val="0"/>
          <w14:ligatures w14:val="none"/>
        </w:rPr>
        <w:t>RICO Conspiracy charges,</w:t>
      </w:r>
      <w:proofErr w:type="gramEnd"/>
      <w:r w:rsidRPr="00125E9D">
        <w:rPr>
          <w:rFonts w:ascii="Times New Roman" w:eastAsia="Times New Roman" w:hAnsi="Times New Roman" w:cs="Times New Roman"/>
          <w:kern w:val="0"/>
          <w14:ligatures w14:val="none"/>
        </w:rPr>
        <w:t xml:space="preserve"> can include almost anyone/any entity supporting the illegal activity. RICO Conspiracy: The federal RICO statute expressly states that it is unlawful for any person to conspire to violate any of the subsections of 18 U.S.C.A. § 1962. The DOJ would not need not prove that a defendant agreed with every other conspirator, or knew </w:t>
      </w:r>
      <w:proofErr w:type="gramStart"/>
      <w:r w:rsidRPr="00125E9D">
        <w:rPr>
          <w:rFonts w:ascii="Times New Roman" w:eastAsia="Times New Roman" w:hAnsi="Times New Roman" w:cs="Times New Roman"/>
          <w:kern w:val="0"/>
          <w14:ligatures w14:val="none"/>
        </w:rPr>
        <w:t>all of</w:t>
      </w:r>
      <w:proofErr w:type="gramEnd"/>
      <w:r w:rsidRPr="00125E9D">
        <w:rPr>
          <w:rFonts w:ascii="Times New Roman" w:eastAsia="Times New Roman" w:hAnsi="Times New Roman" w:cs="Times New Roman"/>
          <w:kern w:val="0"/>
          <w14:ligatures w14:val="none"/>
        </w:rPr>
        <w:t xml:space="preserve"> the other conspirators, or had full knowledge of all the details of the conspiracy. </w:t>
      </w:r>
      <w:r w:rsidRPr="00125E9D">
        <w:rPr>
          <w:rFonts w:ascii="Times New Roman" w:eastAsia="Times New Roman" w:hAnsi="Times New Roman" w:cs="Times New Roman"/>
          <w:i/>
          <w:iCs/>
          <w:kern w:val="0"/>
          <w14:ligatures w14:val="none"/>
        </w:rPr>
        <w:t>United States v. Delano</w:t>
      </w:r>
      <w:r w:rsidRPr="00125E9D">
        <w:rPr>
          <w:rFonts w:ascii="Times New Roman" w:eastAsia="Times New Roman" w:hAnsi="Times New Roman" w:cs="Times New Roman"/>
          <w:kern w:val="0"/>
          <w14:ligatures w14:val="none"/>
        </w:rPr>
        <w:t xml:space="preserve">, 825 F. Supp. 534, 542 (W.D.N.Y. 1993), aff'd in part, </w:t>
      </w:r>
      <w:proofErr w:type="spellStart"/>
      <w:r w:rsidRPr="00125E9D">
        <w:rPr>
          <w:rFonts w:ascii="Times New Roman" w:eastAsia="Times New Roman" w:hAnsi="Times New Roman" w:cs="Times New Roman"/>
          <w:kern w:val="0"/>
          <w14:ligatures w14:val="none"/>
        </w:rPr>
        <w:t>rev'd</w:t>
      </w:r>
      <w:proofErr w:type="spellEnd"/>
      <w:r w:rsidRPr="00125E9D">
        <w:rPr>
          <w:rFonts w:ascii="Times New Roman" w:eastAsia="Times New Roman" w:hAnsi="Times New Roman" w:cs="Times New Roman"/>
          <w:kern w:val="0"/>
          <w14:ligatures w14:val="none"/>
        </w:rPr>
        <w:t xml:space="preserve"> in part, 55 F. 3d 720 (2d Cir. 1995) All the DOJ needs to show is that: (1) that the defendant agreed to commit the substantive racketeering offense through agreeing to participate in two racketeering acts; (2) that the defendant knew the general status of the conspiracy; and (3) that the defendant knew the conspiracy extended beyond his individual role. United States v. Rastelli, 870 F. 2d 822, 828 (2d Cir.), cert. denied, 493 U.S. 982, 110 S. Ct. 515, 107 L. Ed. 2d 516 (1989). </w:t>
      </w:r>
    </w:p>
    <w:p w14:paraId="79E085C1" w14:textId="77777777" w:rsidR="00125E9D" w:rsidRPr="00125E9D" w:rsidRDefault="00125E9D" w:rsidP="00125E9D">
      <w:pPr>
        <w:spacing w:after="0" w:line="240" w:lineRule="auto"/>
        <w:ind w:left="-645"/>
        <w:textAlignment w:val="baseline"/>
        <w:rPr>
          <w:rFonts w:ascii="Times New Roman" w:eastAsia="Times New Roman" w:hAnsi="Times New Roman" w:cs="Times New Roman"/>
          <w:kern w:val="0"/>
          <w:sz w:val="18"/>
          <w:szCs w:val="18"/>
          <w14:ligatures w14:val="none"/>
        </w:rPr>
      </w:pPr>
      <w:r w:rsidRPr="00125E9D">
        <w:rPr>
          <w:rFonts w:ascii="Times New Roman" w:eastAsia="Times New Roman" w:hAnsi="Times New Roman" w:cs="Times New Roman"/>
          <w:color w:val="000000"/>
          <w:kern w:val="0"/>
          <w14:ligatures w14:val="none"/>
        </w:rPr>
        <w:t> </w:t>
      </w:r>
    </w:p>
    <w:p w14:paraId="357828C9" w14:textId="77777777" w:rsidR="00125E9D" w:rsidRPr="00125E9D" w:rsidRDefault="00125E9D" w:rsidP="00125E9D">
      <w:pPr>
        <w:spacing w:after="0" w:line="240" w:lineRule="auto"/>
        <w:ind w:left="-645"/>
        <w:textAlignment w:val="baseline"/>
        <w:rPr>
          <w:rFonts w:ascii="Times New Roman" w:eastAsia="Times New Roman" w:hAnsi="Times New Roman" w:cs="Times New Roman"/>
          <w:kern w:val="0"/>
          <w:sz w:val="18"/>
          <w:szCs w:val="18"/>
          <w14:ligatures w14:val="none"/>
        </w:rPr>
      </w:pPr>
      <w:r w:rsidRPr="00125E9D">
        <w:rPr>
          <w:rFonts w:ascii="Times New Roman" w:eastAsia="Times New Roman" w:hAnsi="Times New Roman" w:cs="Times New Roman"/>
          <w:color w:val="000000"/>
          <w:kern w:val="0"/>
          <w14:ligatures w14:val="none"/>
        </w:rPr>
        <w:t> </w:t>
      </w:r>
    </w:p>
    <w:p w14:paraId="5DC1819B" w14:textId="77777777" w:rsidR="00125E9D" w:rsidRPr="00125E9D" w:rsidRDefault="00125E9D" w:rsidP="00125E9D">
      <w:pPr>
        <w:spacing w:after="0" w:line="240" w:lineRule="auto"/>
        <w:ind w:left="-645"/>
        <w:textAlignment w:val="baseline"/>
        <w:rPr>
          <w:rFonts w:ascii="Times New Roman" w:eastAsia="Times New Roman" w:hAnsi="Times New Roman" w:cs="Times New Roman"/>
          <w:kern w:val="0"/>
          <w:sz w:val="18"/>
          <w:szCs w:val="18"/>
          <w14:ligatures w14:val="none"/>
        </w:rPr>
      </w:pPr>
      <w:r w:rsidRPr="00125E9D">
        <w:rPr>
          <w:rFonts w:ascii="Times New Roman" w:eastAsia="Times New Roman" w:hAnsi="Times New Roman" w:cs="Times New Roman"/>
          <w:color w:val="000000"/>
          <w:kern w:val="0"/>
          <w14:ligatures w14:val="none"/>
        </w:rPr>
        <w:t> </w:t>
      </w:r>
    </w:p>
    <w:p w14:paraId="1EB70C5E" w14:textId="4E5ACDD5" w:rsidR="008215D2" w:rsidRPr="00CB0A89" w:rsidRDefault="008215D2" w:rsidP="003E0AB2">
      <w:pPr>
        <w:spacing w:after="0"/>
        <w:rPr>
          <w:rFonts w:ascii="Times New Roman" w:hAnsi="Times New Roman" w:cs="Times New Roman"/>
        </w:rPr>
      </w:pPr>
    </w:p>
    <w:p w14:paraId="6FE2F94E" w14:textId="6065198B" w:rsidR="008215D2" w:rsidRPr="00CB0A89" w:rsidRDefault="008215D2" w:rsidP="003E0AB2">
      <w:pPr>
        <w:spacing w:after="0"/>
        <w:rPr>
          <w:rFonts w:ascii="Times New Roman" w:hAnsi="Times New Roman" w:cs="Times New Roman"/>
        </w:rPr>
      </w:pPr>
    </w:p>
    <w:sectPr w:rsidR="008215D2" w:rsidRPr="00CB0A89">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85541" w14:textId="77777777" w:rsidR="00A75D15" w:rsidRDefault="00A75D15" w:rsidP="008215D2">
      <w:pPr>
        <w:spacing w:after="0" w:line="240" w:lineRule="auto"/>
      </w:pPr>
      <w:r>
        <w:separator/>
      </w:r>
    </w:p>
  </w:endnote>
  <w:endnote w:type="continuationSeparator" w:id="0">
    <w:p w14:paraId="664C0D1B" w14:textId="77777777" w:rsidR="00A75D15" w:rsidRDefault="00A75D15" w:rsidP="008215D2">
      <w:pPr>
        <w:spacing w:after="0" w:line="240" w:lineRule="auto"/>
      </w:pPr>
      <w:r>
        <w:continuationSeparator/>
      </w:r>
    </w:p>
  </w:endnote>
  <w:endnote w:type="continuationNotice" w:id="1">
    <w:p w14:paraId="1CF213D7" w14:textId="77777777" w:rsidR="00A75D15" w:rsidRDefault="00A75D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202172"/>
      <w:docPartObj>
        <w:docPartGallery w:val="Page Numbers (Bottom of Page)"/>
        <w:docPartUnique/>
      </w:docPartObj>
    </w:sdtPr>
    <w:sdtEndPr>
      <w:rPr>
        <w:rFonts w:ascii="Times New Roman" w:hAnsi="Times New Roman" w:cs="Times New Roman"/>
        <w:noProof/>
        <w:sz w:val="18"/>
        <w:szCs w:val="18"/>
      </w:rPr>
    </w:sdtEndPr>
    <w:sdtContent>
      <w:p w14:paraId="6707461E" w14:textId="0AF762FF" w:rsidR="00FA4AE1" w:rsidRDefault="00FA4AE1" w:rsidP="00FA4A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F2496" w14:textId="77777777" w:rsidR="00A75D15" w:rsidRDefault="00A75D15" w:rsidP="008215D2">
      <w:pPr>
        <w:spacing w:after="0" w:line="240" w:lineRule="auto"/>
      </w:pPr>
      <w:r>
        <w:separator/>
      </w:r>
    </w:p>
  </w:footnote>
  <w:footnote w:type="continuationSeparator" w:id="0">
    <w:p w14:paraId="6EB36219" w14:textId="77777777" w:rsidR="00A75D15" w:rsidRDefault="00A75D15" w:rsidP="008215D2">
      <w:pPr>
        <w:spacing w:after="0" w:line="240" w:lineRule="auto"/>
      </w:pPr>
      <w:r>
        <w:continuationSeparator/>
      </w:r>
    </w:p>
  </w:footnote>
  <w:footnote w:type="continuationNotice" w:id="1">
    <w:p w14:paraId="63D041D1" w14:textId="77777777" w:rsidR="00A75D15" w:rsidRDefault="00A75D15">
      <w:pPr>
        <w:spacing w:after="0" w:line="240" w:lineRule="auto"/>
      </w:pPr>
    </w:p>
  </w:footnote>
  <w:footnote w:id="2">
    <w:p w14:paraId="169647B3" w14:textId="3F768CAE" w:rsidR="00307073" w:rsidRPr="00F554C3" w:rsidRDefault="00307073">
      <w:pPr>
        <w:pStyle w:val="FootnoteText"/>
        <w:rPr>
          <w:rFonts w:ascii="Times New Roman" w:hAnsi="Times New Roman"/>
          <w:sz w:val="18"/>
          <w:szCs w:val="18"/>
        </w:rPr>
      </w:pPr>
      <w:r w:rsidRPr="00F554C3">
        <w:rPr>
          <w:rStyle w:val="FootnoteReference"/>
          <w:rFonts w:ascii="Times New Roman" w:hAnsi="Times New Roman"/>
          <w:sz w:val="18"/>
          <w:szCs w:val="18"/>
        </w:rPr>
        <w:footnoteRef/>
      </w:r>
      <w:r w:rsidRPr="00F554C3">
        <w:rPr>
          <w:rFonts w:ascii="Times New Roman" w:hAnsi="Times New Roman"/>
          <w:sz w:val="18"/>
          <w:szCs w:val="18"/>
        </w:rPr>
        <w:t xml:space="preserve"> </w:t>
      </w:r>
      <w:r w:rsidR="00B21FE8" w:rsidRPr="00F554C3">
        <w:rPr>
          <w:rFonts w:ascii="Times New Roman" w:hAnsi="Times New Roman"/>
          <w:sz w:val="18"/>
          <w:szCs w:val="18"/>
        </w:rPr>
        <w:t>Executive Office of Health and Human Services, Department of Public Health. Current Overdose Data. https://www.mass.gov/lists/current-overdose-data</w:t>
      </w:r>
    </w:p>
  </w:footnote>
  <w:footnote w:id="3">
    <w:p w14:paraId="4401EBF0" w14:textId="77777777" w:rsidR="00D41761" w:rsidRPr="00F554C3" w:rsidRDefault="00D41761" w:rsidP="00D41761">
      <w:pPr>
        <w:pStyle w:val="FootnoteText"/>
        <w:rPr>
          <w:rFonts w:ascii="Times New Roman" w:hAnsi="Times New Roman"/>
          <w:sz w:val="18"/>
          <w:szCs w:val="18"/>
        </w:rPr>
      </w:pPr>
      <w:r w:rsidRPr="00F554C3">
        <w:rPr>
          <w:rStyle w:val="FootnoteReference"/>
          <w:rFonts w:ascii="Times New Roman" w:hAnsi="Times New Roman"/>
          <w:sz w:val="18"/>
          <w:szCs w:val="18"/>
        </w:rPr>
        <w:footnoteRef/>
      </w:r>
      <w:r w:rsidRPr="00F554C3">
        <w:rPr>
          <w:rFonts w:ascii="Times New Roman" w:hAnsi="Times New Roman"/>
          <w:sz w:val="18"/>
          <w:szCs w:val="18"/>
        </w:rPr>
        <w:t xml:space="preserve"> See fn. 1</w:t>
      </w:r>
    </w:p>
  </w:footnote>
  <w:footnote w:id="4">
    <w:p w14:paraId="088A4E07" w14:textId="64FFDCF4" w:rsidR="005E66A7" w:rsidRPr="00F554C3" w:rsidRDefault="005E66A7">
      <w:pPr>
        <w:pStyle w:val="FootnoteText"/>
        <w:rPr>
          <w:rFonts w:ascii="Times New Roman" w:hAnsi="Times New Roman"/>
          <w:sz w:val="18"/>
          <w:szCs w:val="18"/>
        </w:rPr>
      </w:pPr>
      <w:r w:rsidRPr="00F554C3">
        <w:rPr>
          <w:rStyle w:val="FootnoteReference"/>
          <w:rFonts w:ascii="Times New Roman" w:hAnsi="Times New Roman"/>
          <w:sz w:val="18"/>
          <w:szCs w:val="18"/>
        </w:rPr>
        <w:footnoteRef/>
      </w:r>
      <w:r w:rsidRPr="00F554C3">
        <w:rPr>
          <w:rFonts w:ascii="Times New Roman" w:hAnsi="Times New Roman"/>
          <w:sz w:val="18"/>
          <w:szCs w:val="18"/>
        </w:rPr>
        <w:t xml:space="preserve"> </w:t>
      </w:r>
      <w:r w:rsidRPr="00F554C3">
        <w:rPr>
          <w:rStyle w:val="normaltextrun"/>
          <w:rFonts w:ascii="Times New Roman" w:hAnsi="Times New Roman"/>
          <w:color w:val="000000"/>
          <w:sz w:val="18"/>
          <w:szCs w:val="18"/>
          <w:shd w:val="clear" w:color="auto" w:fill="FFFFFF"/>
        </w:rPr>
        <w:t>National Institutes on Drug Abuse. https://nida.nih.gov/research-topics/xylazine</w:t>
      </w:r>
      <w:r w:rsidRPr="00F554C3">
        <w:rPr>
          <w:rStyle w:val="eop"/>
          <w:rFonts w:ascii="Times New Roman" w:hAnsi="Times New Roman"/>
          <w:color w:val="000000"/>
          <w:sz w:val="18"/>
          <w:szCs w:val="18"/>
          <w:shd w:val="clear" w:color="auto" w:fill="FFFFFF"/>
        </w:rPr>
        <w:t> </w:t>
      </w:r>
    </w:p>
  </w:footnote>
  <w:footnote w:id="5">
    <w:p w14:paraId="00A6CB24" w14:textId="77777777" w:rsidR="00E6230E" w:rsidRPr="00F554C3" w:rsidRDefault="00E6230E" w:rsidP="00E6230E">
      <w:pPr>
        <w:pStyle w:val="FootnoteText"/>
        <w:rPr>
          <w:rFonts w:ascii="Times New Roman" w:hAnsi="Times New Roman"/>
          <w:sz w:val="18"/>
          <w:szCs w:val="18"/>
        </w:rPr>
      </w:pPr>
      <w:r w:rsidRPr="00F554C3">
        <w:rPr>
          <w:rStyle w:val="FootnoteReference"/>
          <w:rFonts w:ascii="Times New Roman" w:hAnsi="Times New Roman"/>
          <w:sz w:val="18"/>
          <w:szCs w:val="18"/>
        </w:rPr>
        <w:footnoteRef/>
      </w:r>
      <w:r w:rsidRPr="00F554C3">
        <w:rPr>
          <w:rFonts w:ascii="Times New Roman" w:hAnsi="Times New Roman"/>
          <w:sz w:val="18"/>
          <w:szCs w:val="18"/>
        </w:rPr>
        <w:t xml:space="preserve"> See fn. 1</w:t>
      </w:r>
    </w:p>
  </w:footnote>
  <w:footnote w:id="6">
    <w:p w14:paraId="68BCBCF6" w14:textId="77777777" w:rsidR="00720117" w:rsidRPr="00F554C3" w:rsidRDefault="00720117" w:rsidP="00720117">
      <w:pPr>
        <w:pStyle w:val="FootnoteText"/>
        <w:rPr>
          <w:rFonts w:ascii="Times New Roman" w:hAnsi="Times New Roman"/>
          <w:sz w:val="18"/>
          <w:szCs w:val="18"/>
        </w:rPr>
      </w:pPr>
      <w:r w:rsidRPr="00F554C3">
        <w:rPr>
          <w:rStyle w:val="FootnoteReference"/>
          <w:rFonts w:ascii="Times New Roman" w:hAnsi="Times New Roman"/>
          <w:sz w:val="18"/>
          <w:szCs w:val="18"/>
        </w:rPr>
        <w:footnoteRef/>
      </w:r>
      <w:r w:rsidRPr="00F554C3">
        <w:rPr>
          <w:rFonts w:ascii="Times New Roman" w:hAnsi="Times New Roman"/>
          <w:sz w:val="18"/>
          <w:szCs w:val="18"/>
        </w:rPr>
        <w:t xml:space="preserve"> </w:t>
      </w:r>
      <w:r w:rsidRPr="00F554C3">
        <w:rPr>
          <w:rStyle w:val="normaltextrun"/>
          <w:rFonts w:ascii="Times New Roman" w:hAnsi="Times New Roman"/>
          <w:color w:val="000000"/>
          <w:sz w:val="18"/>
          <w:szCs w:val="18"/>
          <w:shd w:val="clear" w:color="auto" w:fill="FFFFFF"/>
        </w:rPr>
        <w:t>Massachusetts Drug Supply Stream (MADDS). Community Drug Supply Alert: Xylazine Present in Opioids. July 2022. https://heller.brandeis.edu/opioid-policy/pdfs/xylazine-update-for-providers_community_july-2022.pdf</w:t>
      </w:r>
      <w:r w:rsidRPr="00F554C3">
        <w:rPr>
          <w:rStyle w:val="eop"/>
          <w:rFonts w:ascii="Times New Roman" w:hAnsi="Times New Roman"/>
          <w:color w:val="000000"/>
          <w:sz w:val="18"/>
          <w:szCs w:val="18"/>
          <w:shd w:val="clear" w:color="auto" w:fill="FFFFFF"/>
        </w:rPr>
        <w:t> </w:t>
      </w:r>
    </w:p>
  </w:footnote>
  <w:footnote w:id="7">
    <w:p w14:paraId="0678B583" w14:textId="399B3452" w:rsidR="00980B41" w:rsidRPr="00F554C3" w:rsidRDefault="00980B41" w:rsidP="00980B41">
      <w:pPr>
        <w:pStyle w:val="FootnoteText"/>
        <w:rPr>
          <w:rFonts w:ascii="Times New Roman" w:hAnsi="Times New Roman"/>
          <w:sz w:val="18"/>
          <w:szCs w:val="18"/>
        </w:rPr>
      </w:pPr>
      <w:r w:rsidRPr="00F554C3">
        <w:rPr>
          <w:rStyle w:val="FootnoteReference"/>
          <w:rFonts w:ascii="Times New Roman" w:hAnsi="Times New Roman"/>
          <w:sz w:val="18"/>
          <w:szCs w:val="18"/>
        </w:rPr>
        <w:footnoteRef/>
      </w:r>
      <w:r w:rsidRPr="00F554C3">
        <w:rPr>
          <w:rFonts w:ascii="Times New Roman" w:hAnsi="Times New Roman"/>
          <w:sz w:val="18"/>
          <w:szCs w:val="18"/>
        </w:rPr>
        <w:t xml:space="preserve"> Massachusetts Department of Public Health Bureau of Infectious Disease and Laboratory Sciences. (2023, April). Massachusetts HIV Epidemiologic Profile: Data as of 1/1/2022, Population Report: Persons Who Inject Drugs. https://www.mass.gov/doc/persons-who-inject-drugs-data-as-of-112022/download  </w:t>
      </w:r>
    </w:p>
  </w:footnote>
  <w:footnote w:id="8">
    <w:p w14:paraId="6DC10351" w14:textId="689ADCDC" w:rsidR="00BF6EF1" w:rsidRPr="003F6181" w:rsidRDefault="00BF6EF1">
      <w:pPr>
        <w:pStyle w:val="FootnoteText"/>
        <w:rPr>
          <w:rFonts w:ascii="Times New Roman" w:hAnsi="Times New Roman"/>
        </w:rPr>
      </w:pPr>
      <w:r w:rsidRPr="003F6181">
        <w:rPr>
          <w:rStyle w:val="FootnoteReference"/>
          <w:rFonts w:ascii="Times New Roman" w:hAnsi="Times New Roman"/>
        </w:rPr>
        <w:footnoteRef/>
      </w:r>
      <w:r w:rsidRPr="003F6181">
        <w:rPr>
          <w:rFonts w:ascii="Times New Roman" w:hAnsi="Times New Roman"/>
        </w:rPr>
        <w:t xml:space="preserve"> </w:t>
      </w:r>
      <w:r w:rsidRPr="003F6181">
        <w:rPr>
          <w:rStyle w:val="normaltextrun"/>
          <w:rFonts w:ascii="Times New Roman" w:hAnsi="Times New Roman"/>
          <w:color w:val="000000"/>
          <w:sz w:val="18"/>
          <w:szCs w:val="18"/>
          <w:bdr w:val="none" w:sz="0" w:space="0" w:color="auto" w:frame="1"/>
        </w:rPr>
        <w:t>National Institute on Drug Abuse. https://nida.nih.gov/research-topics/harm-reduction</w:t>
      </w:r>
    </w:p>
  </w:footnote>
  <w:footnote w:id="9">
    <w:p w14:paraId="2470ED37" w14:textId="71498C2C" w:rsidR="00C74E0A" w:rsidRPr="00F554C3" w:rsidRDefault="00C74E0A" w:rsidP="00C74E0A">
      <w:pPr>
        <w:pStyle w:val="FootnoteText"/>
        <w:ind w:left="-630"/>
        <w:rPr>
          <w:rFonts w:ascii="Times New Roman" w:hAnsi="Times New Roman"/>
          <w:sz w:val="18"/>
          <w:szCs w:val="18"/>
        </w:rPr>
      </w:pPr>
      <w:r w:rsidRPr="00F554C3">
        <w:rPr>
          <w:rStyle w:val="FootnoteReference"/>
          <w:rFonts w:ascii="Times New Roman" w:hAnsi="Times New Roman"/>
          <w:sz w:val="18"/>
          <w:szCs w:val="18"/>
        </w:rPr>
        <w:footnoteRef/>
      </w:r>
      <w:r w:rsidRPr="00F554C3">
        <w:rPr>
          <w:rFonts w:ascii="Times New Roman" w:hAnsi="Times New Roman"/>
          <w:sz w:val="18"/>
          <w:szCs w:val="18"/>
        </w:rPr>
        <w:t xml:space="preserve"> </w:t>
      </w:r>
      <w:r w:rsidRPr="00F554C3">
        <w:rPr>
          <w:rFonts w:ascii="Times New Roman" w:eastAsia="Times New Roman" w:hAnsi="Times New Roman"/>
          <w:sz w:val="18"/>
          <w:szCs w:val="18"/>
        </w:rPr>
        <w:t xml:space="preserve">Department of Health and Human Services, National Institutes of Health, National Institute on Drug Abuse. </w:t>
      </w:r>
      <w:hyperlink r:id="rId1" w:history="1">
        <w:r w:rsidRPr="00F554C3">
          <w:rPr>
            <w:rStyle w:val="Hyperlink"/>
            <w:rFonts w:ascii="Times New Roman" w:eastAsia="Times New Roman" w:hAnsi="Times New Roman"/>
            <w:sz w:val="18"/>
            <w:szCs w:val="18"/>
          </w:rPr>
          <w:t>Overdose Prevention Centers</w:t>
        </w:r>
      </w:hyperlink>
      <w:r w:rsidRPr="00F554C3">
        <w:rPr>
          <w:rFonts w:ascii="Times New Roman" w:eastAsia="Times New Roman" w:hAnsi="Times New Roman"/>
          <w:sz w:val="18"/>
          <w:szCs w:val="18"/>
        </w:rPr>
        <w:t xml:space="preserve">. </w:t>
      </w:r>
      <w:r w:rsidRPr="00F554C3">
        <w:rPr>
          <w:rStyle w:val="normaltextrun"/>
          <w:rFonts w:ascii="Times New Roman" w:eastAsia="Times New Roman" w:hAnsi="Times New Roman"/>
          <w:sz w:val="18"/>
          <w:szCs w:val="18"/>
          <w:shd w:val="clear" w:color="auto" w:fill="FFFFFF"/>
        </w:rPr>
        <w:t>(</w:t>
      </w:r>
      <w:r w:rsidRPr="00F554C3">
        <w:rPr>
          <w:rFonts w:ascii="Times New Roman" w:eastAsia="Times New Roman" w:hAnsi="Times New Roman"/>
          <w:sz w:val="18"/>
          <w:szCs w:val="18"/>
        </w:rPr>
        <w:t>In Vancouver, an OPC resulted in a 35% decrease in overdose deaths within its high-use neighborhood)</w:t>
      </w:r>
    </w:p>
  </w:footnote>
  <w:footnote w:id="10">
    <w:p w14:paraId="55CB7E74" w14:textId="77777777" w:rsidR="00C350C0" w:rsidRPr="00F554C3" w:rsidRDefault="00C350C0" w:rsidP="00C350C0">
      <w:pPr>
        <w:pStyle w:val="FootnoteText"/>
        <w:ind w:left="-630"/>
        <w:rPr>
          <w:rFonts w:ascii="Times New Roman" w:hAnsi="Times New Roman"/>
          <w:sz w:val="18"/>
          <w:szCs w:val="18"/>
        </w:rPr>
      </w:pPr>
      <w:r w:rsidRPr="00F554C3">
        <w:rPr>
          <w:rStyle w:val="FootnoteReference"/>
          <w:rFonts w:ascii="Times New Roman" w:eastAsia="Times New Roman" w:hAnsi="Times New Roman"/>
          <w:sz w:val="18"/>
          <w:szCs w:val="18"/>
        </w:rPr>
        <w:footnoteRef/>
      </w:r>
      <w:r w:rsidRPr="00F554C3">
        <w:rPr>
          <w:rFonts w:ascii="Times New Roman" w:eastAsia="Times New Roman" w:hAnsi="Times New Roman"/>
          <w:sz w:val="18"/>
          <w:szCs w:val="18"/>
        </w:rPr>
        <w:t xml:space="preserve"> Potier C, et. al. </w:t>
      </w:r>
      <w:hyperlink r:id="rId2" w:history="1">
        <w:r w:rsidRPr="00F554C3">
          <w:rPr>
            <w:rStyle w:val="Hyperlink"/>
            <w:rFonts w:ascii="Times New Roman" w:eastAsia="Times New Roman" w:hAnsi="Times New Roman"/>
            <w:sz w:val="18"/>
            <w:szCs w:val="18"/>
          </w:rPr>
          <w:t>Supervised injection services: what has been demonstrated? A systematic literature review</w:t>
        </w:r>
      </w:hyperlink>
      <w:r w:rsidRPr="00F554C3">
        <w:rPr>
          <w:rFonts w:ascii="Times New Roman" w:eastAsia="Times New Roman" w:hAnsi="Times New Roman"/>
          <w:sz w:val="18"/>
          <w:szCs w:val="18"/>
        </w:rPr>
        <w:t xml:space="preserve">. Drug Alcohol Depend. 2014 </w:t>
      </w:r>
    </w:p>
  </w:footnote>
  <w:footnote w:id="11">
    <w:p w14:paraId="7ABF044D" w14:textId="77777777" w:rsidR="00C350C0" w:rsidRPr="00F554C3" w:rsidRDefault="00C350C0" w:rsidP="00C350C0">
      <w:pPr>
        <w:pStyle w:val="FootnoteText"/>
        <w:rPr>
          <w:rFonts w:ascii="Times New Roman" w:hAnsi="Times New Roman"/>
          <w:sz w:val="18"/>
          <w:szCs w:val="18"/>
        </w:rPr>
      </w:pPr>
      <w:r w:rsidRPr="00F554C3">
        <w:rPr>
          <w:rStyle w:val="FootnoteReference"/>
          <w:rFonts w:ascii="Times New Roman" w:eastAsia="Times New Roman" w:hAnsi="Times New Roman"/>
          <w:sz w:val="18"/>
          <w:szCs w:val="18"/>
        </w:rPr>
        <w:footnoteRef/>
      </w:r>
      <w:r w:rsidRPr="00F554C3">
        <w:rPr>
          <w:rFonts w:ascii="Times New Roman" w:eastAsia="Times New Roman" w:hAnsi="Times New Roman"/>
          <w:sz w:val="18"/>
          <w:szCs w:val="18"/>
        </w:rPr>
        <w:t xml:space="preserve"> Marshall BD, et. al. Reduction in overdose mortality after the opening of North America's first medically supervised safer injecting facility: a retrospective population-based study. Lancet. 2011;377(9775):1429-1437.</w:t>
      </w:r>
    </w:p>
  </w:footnote>
  <w:footnote w:id="12">
    <w:p w14:paraId="0D14E7DA" w14:textId="77777777" w:rsidR="00C350C0" w:rsidRPr="00F554C3" w:rsidRDefault="00C350C0" w:rsidP="00C350C0">
      <w:pPr>
        <w:pStyle w:val="FootnoteText"/>
        <w:rPr>
          <w:rFonts w:ascii="Times New Roman" w:hAnsi="Times New Roman"/>
          <w:sz w:val="18"/>
          <w:szCs w:val="18"/>
        </w:rPr>
      </w:pPr>
      <w:r w:rsidRPr="00F554C3">
        <w:rPr>
          <w:rStyle w:val="FootnoteReference"/>
          <w:rFonts w:ascii="Times New Roman" w:eastAsia="Times New Roman" w:hAnsi="Times New Roman"/>
          <w:sz w:val="18"/>
          <w:szCs w:val="18"/>
        </w:rPr>
        <w:footnoteRef/>
      </w:r>
      <w:r w:rsidRPr="00F554C3">
        <w:rPr>
          <w:rFonts w:ascii="Times New Roman" w:eastAsia="Times New Roman" w:hAnsi="Times New Roman"/>
          <w:sz w:val="18"/>
          <w:szCs w:val="18"/>
        </w:rPr>
        <w:t xml:space="preserve"> Ng J, Sutherland C, Kolber MR. Does evidence support supervised injection sites? Canadian family physician 2017;63(11):866.</w:t>
      </w:r>
    </w:p>
  </w:footnote>
  <w:footnote w:id="13">
    <w:p w14:paraId="760F3CA1" w14:textId="77777777" w:rsidR="00C350C0" w:rsidRPr="00F554C3" w:rsidRDefault="00C350C0" w:rsidP="00C350C0">
      <w:pPr>
        <w:pStyle w:val="FootnoteText"/>
        <w:ind w:left="-630"/>
        <w:rPr>
          <w:rFonts w:ascii="Times New Roman" w:hAnsi="Times New Roman"/>
          <w:sz w:val="18"/>
          <w:szCs w:val="18"/>
        </w:rPr>
      </w:pPr>
      <w:r w:rsidRPr="00F554C3">
        <w:rPr>
          <w:rStyle w:val="FootnoteReference"/>
          <w:rFonts w:ascii="Times New Roman" w:eastAsia="Times New Roman" w:hAnsi="Times New Roman"/>
          <w:sz w:val="18"/>
          <w:szCs w:val="18"/>
        </w:rPr>
        <w:footnoteRef/>
      </w:r>
      <w:r w:rsidRPr="00F554C3">
        <w:rPr>
          <w:rFonts w:ascii="Times New Roman" w:eastAsia="Times New Roman" w:hAnsi="Times New Roman"/>
          <w:sz w:val="18"/>
          <w:szCs w:val="18"/>
        </w:rPr>
        <w:t xml:space="preserve"> Wood E, Tyndall, et. al. </w:t>
      </w:r>
      <w:hyperlink r:id="rId3" w:history="1">
        <w:r w:rsidRPr="00F554C3">
          <w:rPr>
            <w:rStyle w:val="Hyperlink"/>
            <w:rFonts w:ascii="Times New Roman" w:eastAsia="Times New Roman" w:hAnsi="Times New Roman"/>
            <w:sz w:val="18"/>
            <w:szCs w:val="18"/>
          </w:rPr>
          <w:t>Summary of findings from the evaluation of a pilot medically supervised safer injecting facility</w:t>
        </w:r>
      </w:hyperlink>
      <w:r w:rsidRPr="00F554C3">
        <w:rPr>
          <w:rFonts w:ascii="Times New Roman" w:eastAsia="Times New Roman" w:hAnsi="Times New Roman"/>
          <w:sz w:val="18"/>
          <w:szCs w:val="18"/>
        </w:rPr>
        <w:t xml:space="preserve">. Canadian Medical Association journal 2006; </w:t>
      </w:r>
      <w:proofErr w:type="spellStart"/>
      <w:r w:rsidRPr="00F554C3">
        <w:rPr>
          <w:rFonts w:ascii="Times New Roman" w:eastAsia="Times New Roman" w:hAnsi="Times New Roman"/>
          <w:sz w:val="18"/>
          <w:szCs w:val="18"/>
        </w:rPr>
        <w:t>Ickowicz</w:t>
      </w:r>
      <w:proofErr w:type="spellEnd"/>
      <w:r w:rsidRPr="00F554C3">
        <w:rPr>
          <w:rFonts w:ascii="Times New Roman" w:eastAsia="Times New Roman" w:hAnsi="Times New Roman"/>
          <w:sz w:val="18"/>
          <w:szCs w:val="18"/>
        </w:rPr>
        <w:t xml:space="preserve"> S, Wood E, Dong H, et al. Association between public injecting and drug related harm among HIV-positive people who use injection drugs in a Canadian setting: A longitudinal analysis. Drug and alcohol dependence. </w:t>
      </w:r>
      <w:proofErr w:type="gramStart"/>
      <w:r w:rsidRPr="00F554C3">
        <w:rPr>
          <w:rFonts w:ascii="Times New Roman" w:eastAsia="Times New Roman" w:hAnsi="Times New Roman"/>
          <w:sz w:val="18"/>
          <w:szCs w:val="18"/>
        </w:rPr>
        <w:t>2017;180:33</w:t>
      </w:r>
      <w:proofErr w:type="gramEnd"/>
      <w:r w:rsidRPr="00F554C3">
        <w:rPr>
          <w:rFonts w:ascii="Times New Roman" w:eastAsia="Times New Roman" w:hAnsi="Times New Roman"/>
          <w:sz w:val="18"/>
          <w:szCs w:val="18"/>
        </w:rPr>
        <w:t>-38.</w:t>
      </w:r>
    </w:p>
  </w:footnote>
  <w:footnote w:id="14">
    <w:p w14:paraId="4195F3A9" w14:textId="1D7AF6E5" w:rsidR="00C350C0" w:rsidRPr="00F554C3" w:rsidRDefault="00C350C0" w:rsidP="00C350C0">
      <w:pPr>
        <w:pStyle w:val="FootnoteText"/>
        <w:ind w:left="-630"/>
        <w:rPr>
          <w:rFonts w:ascii="Times New Roman" w:hAnsi="Times New Roman"/>
          <w:sz w:val="18"/>
          <w:szCs w:val="18"/>
        </w:rPr>
      </w:pPr>
      <w:r w:rsidRPr="00F554C3">
        <w:rPr>
          <w:rStyle w:val="FootnoteReference"/>
          <w:rFonts w:ascii="Times New Roman" w:eastAsia="Times New Roman" w:hAnsi="Times New Roman"/>
          <w:sz w:val="18"/>
          <w:szCs w:val="18"/>
        </w:rPr>
        <w:footnoteRef/>
      </w:r>
      <w:r w:rsidRPr="00F554C3">
        <w:rPr>
          <w:rFonts w:ascii="Times New Roman" w:eastAsia="Times New Roman" w:hAnsi="Times New Roman"/>
          <w:sz w:val="18"/>
          <w:szCs w:val="18"/>
        </w:rPr>
        <w:t xml:space="preserve"> See fn. </w:t>
      </w:r>
      <w:r w:rsidR="003961B2">
        <w:rPr>
          <w:rFonts w:ascii="Times New Roman" w:eastAsia="Times New Roman" w:hAnsi="Times New Roman"/>
          <w:sz w:val="18"/>
          <w:szCs w:val="18"/>
        </w:rPr>
        <w:t>9</w:t>
      </w:r>
    </w:p>
  </w:footnote>
  <w:footnote w:id="15">
    <w:p w14:paraId="30B167F2" w14:textId="77777777" w:rsidR="00C350C0" w:rsidRPr="00F554C3" w:rsidRDefault="00C350C0" w:rsidP="00C350C0">
      <w:pPr>
        <w:pStyle w:val="FootnoteText"/>
        <w:rPr>
          <w:rFonts w:ascii="Times New Roman" w:hAnsi="Times New Roman"/>
          <w:sz w:val="18"/>
          <w:szCs w:val="18"/>
        </w:rPr>
      </w:pPr>
      <w:r w:rsidRPr="00F554C3">
        <w:rPr>
          <w:rStyle w:val="FootnoteReference"/>
          <w:rFonts w:ascii="Times New Roman" w:eastAsia="Times New Roman" w:hAnsi="Times New Roman"/>
          <w:sz w:val="18"/>
          <w:szCs w:val="18"/>
        </w:rPr>
        <w:footnoteRef/>
      </w:r>
      <w:r w:rsidRPr="00F554C3">
        <w:rPr>
          <w:rFonts w:ascii="Times New Roman" w:eastAsia="Times New Roman" w:hAnsi="Times New Roman"/>
          <w:sz w:val="18"/>
          <w:szCs w:val="18"/>
        </w:rPr>
        <w:t xml:space="preserve"> Potier C, </w:t>
      </w:r>
      <w:proofErr w:type="spellStart"/>
      <w:r w:rsidRPr="00F554C3">
        <w:rPr>
          <w:rFonts w:ascii="Times New Roman" w:eastAsia="Times New Roman" w:hAnsi="Times New Roman"/>
          <w:sz w:val="18"/>
          <w:szCs w:val="18"/>
        </w:rPr>
        <w:t>Laprévote</w:t>
      </w:r>
      <w:proofErr w:type="spellEnd"/>
      <w:r w:rsidRPr="00F554C3">
        <w:rPr>
          <w:rFonts w:ascii="Times New Roman" w:eastAsia="Times New Roman" w:hAnsi="Times New Roman"/>
          <w:sz w:val="18"/>
          <w:szCs w:val="18"/>
        </w:rPr>
        <w:t xml:space="preserve"> V, Dubois-Arber F, </w:t>
      </w:r>
      <w:proofErr w:type="spellStart"/>
      <w:r w:rsidRPr="00F554C3">
        <w:rPr>
          <w:rFonts w:ascii="Times New Roman" w:eastAsia="Times New Roman" w:hAnsi="Times New Roman"/>
          <w:sz w:val="18"/>
          <w:szCs w:val="18"/>
        </w:rPr>
        <w:t>Cottencin</w:t>
      </w:r>
      <w:proofErr w:type="spellEnd"/>
      <w:r w:rsidRPr="00F554C3">
        <w:rPr>
          <w:rFonts w:ascii="Times New Roman" w:eastAsia="Times New Roman" w:hAnsi="Times New Roman"/>
          <w:sz w:val="18"/>
          <w:szCs w:val="18"/>
        </w:rPr>
        <w:t xml:space="preserve"> O, Rolland B. Supervised injection services: what has been demonstrated? A systematic literature </w:t>
      </w:r>
      <w:proofErr w:type="gramStart"/>
      <w:r w:rsidRPr="00F554C3">
        <w:rPr>
          <w:rFonts w:ascii="Times New Roman" w:eastAsia="Times New Roman" w:hAnsi="Times New Roman"/>
          <w:sz w:val="18"/>
          <w:szCs w:val="18"/>
        </w:rPr>
        <w:t>review</w:t>
      </w:r>
      <w:proofErr w:type="gramEnd"/>
      <w:r w:rsidRPr="00F554C3">
        <w:rPr>
          <w:rFonts w:ascii="Times New Roman" w:eastAsia="Times New Roman" w:hAnsi="Times New Roman"/>
          <w:sz w:val="18"/>
          <w:szCs w:val="18"/>
        </w:rPr>
        <w:t xml:space="preserve">. Drug Alcohol Depend. </w:t>
      </w:r>
      <w:proofErr w:type="gramStart"/>
      <w:r w:rsidRPr="00F554C3">
        <w:rPr>
          <w:rFonts w:ascii="Times New Roman" w:eastAsia="Times New Roman" w:hAnsi="Times New Roman"/>
          <w:sz w:val="18"/>
          <w:szCs w:val="18"/>
        </w:rPr>
        <w:t>2014;145:48</w:t>
      </w:r>
      <w:proofErr w:type="gramEnd"/>
      <w:r w:rsidRPr="00F554C3">
        <w:rPr>
          <w:rFonts w:ascii="Times New Roman" w:eastAsia="Times New Roman" w:hAnsi="Times New Roman"/>
          <w:sz w:val="18"/>
          <w:szCs w:val="18"/>
        </w:rPr>
        <w:t xml:space="preserve">-68. </w:t>
      </w:r>
      <w:proofErr w:type="gramStart"/>
      <w:r w:rsidRPr="00F554C3">
        <w:rPr>
          <w:rFonts w:ascii="Times New Roman" w:eastAsia="Times New Roman" w:hAnsi="Times New Roman"/>
          <w:sz w:val="18"/>
          <w:szCs w:val="18"/>
        </w:rPr>
        <w:t>doi:10.1016/j.drugalcdep</w:t>
      </w:r>
      <w:proofErr w:type="gramEnd"/>
      <w:r w:rsidRPr="00F554C3">
        <w:rPr>
          <w:rFonts w:ascii="Times New Roman" w:eastAsia="Times New Roman" w:hAnsi="Times New Roman"/>
          <w:sz w:val="18"/>
          <w:szCs w:val="18"/>
        </w:rPr>
        <w:t>.2014.10.012</w:t>
      </w:r>
    </w:p>
  </w:footnote>
  <w:footnote w:id="16">
    <w:p w14:paraId="69878732" w14:textId="63433CBD" w:rsidR="00D1099D" w:rsidRDefault="00D1099D">
      <w:pPr>
        <w:pStyle w:val="FootnoteText"/>
      </w:pPr>
      <w:r>
        <w:rPr>
          <w:rStyle w:val="FootnoteReference"/>
        </w:rPr>
        <w:footnoteRef/>
      </w:r>
      <w:r>
        <w:t xml:space="preserve"> </w:t>
      </w:r>
      <w:r w:rsidR="007D3030" w:rsidRPr="00942E48">
        <w:rPr>
          <w:rFonts w:ascii="Times New Roman" w:hAnsi="Times New Roman"/>
          <w:sz w:val="18"/>
          <w:szCs w:val="18"/>
        </w:rPr>
        <w:t xml:space="preserve">Chalfin, Aaron, Brandon Del Pozo, and David </w:t>
      </w:r>
      <w:proofErr w:type="spellStart"/>
      <w:r w:rsidR="007D3030" w:rsidRPr="00942E48">
        <w:rPr>
          <w:rFonts w:ascii="Times New Roman" w:hAnsi="Times New Roman"/>
          <w:sz w:val="18"/>
          <w:szCs w:val="18"/>
        </w:rPr>
        <w:t>Mitre</w:t>
      </w:r>
      <w:proofErr w:type="spellEnd"/>
      <w:r w:rsidR="007D3030" w:rsidRPr="00942E48">
        <w:rPr>
          <w:rFonts w:ascii="Times New Roman" w:hAnsi="Times New Roman"/>
          <w:sz w:val="18"/>
          <w:szCs w:val="18"/>
        </w:rPr>
        <w:t>-Becerril. "Overdose Prevention Centers, Crime, and Disorder in New York City." JAMA Network Open 6.11 (2023): e2342228-e2342228.</w:t>
      </w:r>
    </w:p>
  </w:footnote>
  <w:footnote w:id="17">
    <w:p w14:paraId="20ED88AE" w14:textId="77777777" w:rsidR="00C350C0" w:rsidRPr="00F554C3" w:rsidRDefault="00C350C0" w:rsidP="00C350C0">
      <w:pPr>
        <w:pStyle w:val="FootnoteText"/>
        <w:rPr>
          <w:rFonts w:ascii="Times New Roman" w:hAnsi="Times New Roman"/>
          <w:sz w:val="18"/>
          <w:szCs w:val="18"/>
        </w:rPr>
      </w:pPr>
      <w:r w:rsidRPr="00F554C3">
        <w:rPr>
          <w:rStyle w:val="FootnoteReference"/>
          <w:rFonts w:ascii="Times New Roman" w:eastAsia="Times New Roman" w:hAnsi="Times New Roman"/>
          <w:sz w:val="18"/>
          <w:szCs w:val="18"/>
        </w:rPr>
        <w:footnoteRef/>
      </w:r>
      <w:r w:rsidRPr="00F554C3">
        <w:rPr>
          <w:rFonts w:ascii="Times New Roman" w:eastAsia="Times New Roman" w:hAnsi="Times New Roman"/>
          <w:sz w:val="18"/>
          <w:szCs w:val="18"/>
        </w:rPr>
        <w:t xml:space="preserve"> Kerman, N., Manoni-Millar, S., Cormier, L., Cahill, T., &amp; Sylvestre, J. (2020). "It's not just injecting drugs": Supervised consumption sites and the social determinants of health. Drug and alcohol dependence, 213, 108078. https://doi.org/10.1016/j.drugalcdep.2020.108078</w:t>
      </w:r>
    </w:p>
  </w:footnote>
  <w:footnote w:id="18">
    <w:p w14:paraId="53A145EA" w14:textId="77777777" w:rsidR="00C350C0" w:rsidRPr="00F554C3" w:rsidRDefault="00C350C0" w:rsidP="00C350C0">
      <w:pPr>
        <w:pStyle w:val="FootnoteText"/>
        <w:rPr>
          <w:rFonts w:ascii="Times New Roman" w:hAnsi="Times New Roman"/>
          <w:sz w:val="18"/>
          <w:szCs w:val="18"/>
        </w:rPr>
      </w:pPr>
      <w:r w:rsidRPr="00F554C3">
        <w:rPr>
          <w:rStyle w:val="FootnoteReference"/>
          <w:rFonts w:ascii="Times New Roman" w:eastAsia="Times New Roman" w:hAnsi="Times New Roman"/>
          <w:sz w:val="18"/>
          <w:szCs w:val="18"/>
        </w:rPr>
        <w:footnoteRef/>
      </w:r>
      <w:r w:rsidRPr="00F554C3">
        <w:rPr>
          <w:rFonts w:ascii="Times New Roman" w:eastAsia="Times New Roman" w:hAnsi="Times New Roman"/>
          <w:sz w:val="18"/>
          <w:szCs w:val="18"/>
        </w:rPr>
        <w:t xml:space="preserve"> Opioid Epidemic: Supervised Injection Facilities. ICER. Published December 2020. </w:t>
      </w:r>
      <w:hyperlink r:id="rId4" w:history="1">
        <w:r w:rsidRPr="00F554C3">
          <w:rPr>
            <w:rStyle w:val="Hyperlink"/>
            <w:rFonts w:ascii="Times New Roman" w:eastAsia="Times New Roman" w:hAnsi="Times New Roman"/>
            <w:sz w:val="18"/>
            <w:szCs w:val="18"/>
          </w:rPr>
          <w:t>https://icer.org/wp-content/uploads/2020/10/SIF-RAAG-010521.pdf</w:t>
        </w:r>
      </w:hyperlink>
    </w:p>
  </w:footnote>
  <w:footnote w:id="19">
    <w:p w14:paraId="514354A0" w14:textId="77777777" w:rsidR="009413AB" w:rsidRPr="00F554C3" w:rsidRDefault="009413AB" w:rsidP="009413AB">
      <w:pPr>
        <w:pStyle w:val="FootnoteText"/>
        <w:rPr>
          <w:rFonts w:ascii="Times New Roman" w:hAnsi="Times New Roman"/>
          <w:sz w:val="18"/>
          <w:szCs w:val="18"/>
        </w:rPr>
      </w:pPr>
      <w:r w:rsidRPr="00F554C3">
        <w:rPr>
          <w:rStyle w:val="FootnoteReference"/>
          <w:rFonts w:ascii="Times New Roman" w:eastAsia="Times New Roman" w:hAnsi="Times New Roman"/>
          <w:sz w:val="18"/>
          <w:szCs w:val="18"/>
        </w:rPr>
        <w:footnoteRef/>
      </w:r>
      <w:r w:rsidRPr="00F554C3">
        <w:rPr>
          <w:rFonts w:ascii="Times New Roman" w:eastAsia="Times New Roman" w:hAnsi="Times New Roman"/>
          <w:sz w:val="18"/>
          <w:szCs w:val="18"/>
        </w:rPr>
        <w:t xml:space="preserve"> </w:t>
      </w:r>
      <w:hyperlink r:id="rId5" w:history="1">
        <w:r w:rsidRPr="00F554C3">
          <w:rPr>
            <w:rStyle w:val="Hyperlink"/>
            <w:rFonts w:ascii="Times New Roman" w:eastAsia="Times New Roman" w:hAnsi="Times New Roman"/>
            <w:sz w:val="18"/>
            <w:szCs w:val="18"/>
          </w:rPr>
          <w:t>Presentation from Bonnie Henry, MD, MPH on supervised injection facilities and harm reduction in British Columbia.</w:t>
        </w:r>
      </w:hyperlink>
    </w:p>
  </w:footnote>
  <w:footnote w:id="20">
    <w:p w14:paraId="1F126275" w14:textId="77777777" w:rsidR="009413AB" w:rsidRPr="00F554C3" w:rsidRDefault="009413AB" w:rsidP="009413AB">
      <w:pPr>
        <w:pStyle w:val="FootnoteText"/>
        <w:rPr>
          <w:rFonts w:ascii="Times New Roman" w:hAnsi="Times New Roman"/>
          <w:sz w:val="18"/>
          <w:szCs w:val="18"/>
        </w:rPr>
      </w:pPr>
      <w:r w:rsidRPr="00F554C3">
        <w:rPr>
          <w:rStyle w:val="FootnoteReference"/>
          <w:rFonts w:ascii="Times New Roman" w:hAnsi="Times New Roman"/>
          <w:sz w:val="18"/>
          <w:szCs w:val="18"/>
        </w:rPr>
        <w:footnoteRef/>
      </w:r>
      <w:r w:rsidRPr="00F554C3">
        <w:rPr>
          <w:rFonts w:ascii="Times New Roman" w:hAnsi="Times New Roman"/>
          <w:sz w:val="18"/>
          <w:szCs w:val="18"/>
        </w:rPr>
        <w:t xml:space="preserve"> </w:t>
      </w:r>
      <w:hyperlink r:id="rId6" w:history="1">
        <w:r w:rsidRPr="00F554C3">
          <w:rPr>
            <w:rStyle w:val="Hyperlink"/>
            <w:rFonts w:ascii="Times New Roman" w:hAnsi="Times New Roman"/>
            <w:sz w:val="18"/>
            <w:szCs w:val="18"/>
          </w:rPr>
          <w:t>Presentation from Paul Loo on supervised consumption services in Canada.</w:t>
        </w:r>
      </w:hyperlink>
    </w:p>
  </w:footnote>
  <w:footnote w:id="21">
    <w:p w14:paraId="1F57DE4D" w14:textId="109D7526" w:rsidR="009413AB" w:rsidRPr="00F554C3" w:rsidRDefault="009413AB" w:rsidP="009413AB">
      <w:pPr>
        <w:pStyle w:val="FootnoteText"/>
        <w:rPr>
          <w:rFonts w:ascii="Times New Roman" w:hAnsi="Times New Roman"/>
          <w:sz w:val="18"/>
          <w:szCs w:val="18"/>
        </w:rPr>
      </w:pPr>
      <w:r w:rsidRPr="00F554C3">
        <w:rPr>
          <w:rStyle w:val="FootnoteReference"/>
          <w:rFonts w:ascii="Times New Roman" w:eastAsia="Times New Roman" w:hAnsi="Times New Roman"/>
          <w:sz w:val="18"/>
          <w:szCs w:val="18"/>
        </w:rPr>
        <w:footnoteRef/>
      </w:r>
      <w:hyperlink r:id="rId7" w:history="1">
        <w:r w:rsidRPr="00F4639C">
          <w:rPr>
            <w:rStyle w:val="Hyperlink"/>
            <w:rFonts w:ascii="Times New Roman" w:eastAsia="Times New Roman" w:hAnsi="Times New Roman"/>
            <w:sz w:val="18"/>
            <w:szCs w:val="18"/>
          </w:rPr>
          <w:t>Jessie Gaeta, MD presentation on supervised injection research</w:t>
        </w:r>
      </w:hyperlink>
      <w:r w:rsidRPr="00F554C3">
        <w:rPr>
          <w:rFonts w:ascii="Times New Roman" w:eastAsia="Times New Roman" w:hAnsi="Times New Roman"/>
          <w:sz w:val="18"/>
          <w:szCs w:val="18"/>
        </w:rPr>
        <w:t>.</w:t>
      </w:r>
    </w:p>
  </w:footnote>
  <w:footnote w:id="22">
    <w:p w14:paraId="08F7E181" w14:textId="77777777" w:rsidR="009413AB" w:rsidRPr="00F554C3" w:rsidRDefault="009413AB" w:rsidP="009413AB">
      <w:pPr>
        <w:pStyle w:val="FootnoteText"/>
        <w:rPr>
          <w:rFonts w:ascii="Times New Roman" w:hAnsi="Times New Roman"/>
          <w:sz w:val="18"/>
          <w:szCs w:val="18"/>
        </w:rPr>
      </w:pPr>
      <w:r w:rsidRPr="00F554C3">
        <w:rPr>
          <w:rStyle w:val="FootnoteReference"/>
          <w:rFonts w:ascii="Times New Roman" w:hAnsi="Times New Roman"/>
          <w:sz w:val="18"/>
          <w:szCs w:val="18"/>
        </w:rPr>
        <w:footnoteRef/>
      </w:r>
      <w:r w:rsidRPr="00F554C3">
        <w:rPr>
          <w:rFonts w:ascii="Times New Roman" w:hAnsi="Times New Roman"/>
          <w:sz w:val="18"/>
          <w:szCs w:val="18"/>
        </w:rPr>
        <w:t xml:space="preserve"> </w:t>
      </w:r>
      <w:hyperlink r:id="rId8">
        <w:r w:rsidRPr="00F554C3">
          <w:rPr>
            <w:rStyle w:val="Hyperlink"/>
            <w:rFonts w:ascii="Times New Roman" w:eastAsia="Times New Roman" w:hAnsi="Times New Roman"/>
            <w:sz w:val="18"/>
            <w:szCs w:val="18"/>
          </w:rPr>
          <w:t>Boston Users Union Presentation.</w:t>
        </w:r>
      </w:hyperlink>
    </w:p>
  </w:footnote>
  <w:footnote w:id="23">
    <w:p w14:paraId="43A50FA1" w14:textId="21E2C685" w:rsidR="00901915" w:rsidRPr="00F554C3" w:rsidRDefault="00901915">
      <w:pPr>
        <w:pStyle w:val="FootnoteText"/>
        <w:rPr>
          <w:rFonts w:ascii="Times New Roman" w:hAnsi="Times New Roman"/>
          <w:sz w:val="18"/>
          <w:szCs w:val="18"/>
        </w:rPr>
      </w:pPr>
      <w:r w:rsidRPr="00F554C3">
        <w:rPr>
          <w:rStyle w:val="FootnoteReference"/>
          <w:rFonts w:ascii="Times New Roman" w:hAnsi="Times New Roman"/>
          <w:sz w:val="18"/>
          <w:szCs w:val="18"/>
        </w:rPr>
        <w:footnoteRef/>
      </w:r>
      <w:r w:rsidRPr="00F554C3">
        <w:rPr>
          <w:rFonts w:ascii="Times New Roman" w:hAnsi="Times New Roman"/>
          <w:sz w:val="18"/>
          <w:szCs w:val="18"/>
        </w:rPr>
        <w:t xml:space="preserve"> Giglio, Rebecca E., et al. "The Nation’s First Publicly Recognized Overdose Prevention Centers: Lessons Learned in New York City." Journal of Urban Health 100.2 (2023): 245-254.</w:t>
      </w:r>
    </w:p>
  </w:footnote>
  <w:footnote w:id="24">
    <w:p w14:paraId="15F04044" w14:textId="7308A314" w:rsidR="00E02E5D" w:rsidRPr="00F554C3" w:rsidRDefault="00E02E5D">
      <w:pPr>
        <w:pStyle w:val="FootnoteText"/>
        <w:rPr>
          <w:rFonts w:ascii="Times New Roman" w:hAnsi="Times New Roman"/>
          <w:sz w:val="18"/>
          <w:szCs w:val="18"/>
        </w:rPr>
      </w:pPr>
      <w:r w:rsidRPr="00F554C3">
        <w:rPr>
          <w:rStyle w:val="FootnoteReference"/>
          <w:rFonts w:ascii="Times New Roman" w:hAnsi="Times New Roman"/>
          <w:sz w:val="18"/>
          <w:szCs w:val="18"/>
        </w:rPr>
        <w:footnoteRef/>
      </w:r>
      <w:r w:rsidRPr="00F554C3">
        <w:rPr>
          <w:rFonts w:ascii="Times New Roman" w:hAnsi="Times New Roman"/>
          <w:sz w:val="18"/>
          <w:szCs w:val="18"/>
        </w:rPr>
        <w:t xml:space="preserve"> </w:t>
      </w:r>
      <w:r w:rsidR="009620EF">
        <w:rPr>
          <w:rFonts w:ascii="Times New Roman" w:eastAsia="Times New Roman" w:hAnsi="Times New Roman"/>
          <w:color w:val="222222"/>
          <w:sz w:val="18"/>
          <w:szCs w:val="18"/>
        </w:rPr>
        <w:t>See fn. 15</w:t>
      </w:r>
    </w:p>
  </w:footnote>
  <w:footnote w:id="25">
    <w:p w14:paraId="6EBD10D4" w14:textId="0B648D1C" w:rsidR="00AB6E9A" w:rsidRPr="00F554C3" w:rsidRDefault="00AB6E9A">
      <w:pPr>
        <w:pStyle w:val="FootnoteText"/>
        <w:rPr>
          <w:rFonts w:ascii="Times New Roman" w:hAnsi="Times New Roman"/>
          <w:sz w:val="18"/>
          <w:szCs w:val="18"/>
        </w:rPr>
      </w:pPr>
      <w:r w:rsidRPr="00F554C3">
        <w:rPr>
          <w:rStyle w:val="FootnoteReference"/>
          <w:rFonts w:ascii="Times New Roman" w:hAnsi="Times New Roman"/>
          <w:sz w:val="18"/>
          <w:szCs w:val="18"/>
        </w:rPr>
        <w:footnoteRef/>
      </w:r>
      <w:r w:rsidRPr="00F554C3">
        <w:rPr>
          <w:rFonts w:ascii="Times New Roman" w:hAnsi="Times New Roman"/>
          <w:sz w:val="18"/>
          <w:szCs w:val="18"/>
        </w:rPr>
        <w:t xml:space="preserve"> </w:t>
      </w:r>
      <w:r w:rsidR="00B265F2" w:rsidRPr="00F554C3">
        <w:rPr>
          <w:rFonts w:ascii="Times New Roman" w:hAnsi="Times New Roman"/>
          <w:sz w:val="18"/>
          <w:szCs w:val="18"/>
        </w:rPr>
        <w:t xml:space="preserve">JSI Research and Training Institute, Inc. </w:t>
      </w:r>
      <w:r w:rsidR="00C13641" w:rsidRPr="00F554C3">
        <w:rPr>
          <w:rFonts w:ascii="Times New Roman" w:hAnsi="Times New Roman"/>
          <w:sz w:val="18"/>
          <w:szCs w:val="18"/>
        </w:rPr>
        <w:t xml:space="preserve">“We save each other every day”: Massachusetts Harm Reduction Drop-In &amp; Overdose Prevention Centers. December 2023. </w:t>
      </w:r>
    </w:p>
  </w:footnote>
  <w:footnote w:id="26">
    <w:p w14:paraId="3FEA5715" w14:textId="7BD15870" w:rsidR="008A188D" w:rsidRPr="00F554C3" w:rsidRDefault="008A188D">
      <w:pPr>
        <w:pStyle w:val="FootnoteText"/>
        <w:rPr>
          <w:rFonts w:ascii="Times New Roman" w:hAnsi="Times New Roman"/>
          <w:sz w:val="18"/>
          <w:szCs w:val="18"/>
        </w:rPr>
      </w:pPr>
      <w:r w:rsidRPr="00F554C3">
        <w:rPr>
          <w:rStyle w:val="FootnoteReference"/>
          <w:rFonts w:ascii="Times New Roman" w:hAnsi="Times New Roman"/>
          <w:sz w:val="18"/>
          <w:szCs w:val="18"/>
        </w:rPr>
        <w:footnoteRef/>
      </w:r>
      <w:r w:rsidRPr="00F554C3">
        <w:rPr>
          <w:rFonts w:ascii="Times New Roman" w:hAnsi="Times New Roman"/>
          <w:sz w:val="18"/>
          <w:szCs w:val="18"/>
        </w:rPr>
        <w:t xml:space="preserve"> State of Rhode Island General Laws. Chapter 12.10 Harm Reduction Center Advisory Committee and Pilot Program.</w:t>
      </w:r>
    </w:p>
  </w:footnote>
  <w:footnote w:id="27">
    <w:p w14:paraId="72546A37" w14:textId="5112B089" w:rsidR="001628ED" w:rsidRPr="008A5B3B" w:rsidRDefault="001628ED" w:rsidP="001628ED">
      <w:pPr>
        <w:pStyle w:val="FootnoteText"/>
        <w:rPr>
          <w:rFonts w:ascii="Times New Roman" w:hAnsi="Times New Roman"/>
          <w:sz w:val="18"/>
          <w:szCs w:val="18"/>
        </w:rPr>
      </w:pPr>
      <w:r w:rsidRPr="00F554C3">
        <w:rPr>
          <w:rStyle w:val="FootnoteReference"/>
          <w:rFonts w:ascii="Times New Roman" w:hAnsi="Times New Roman"/>
          <w:sz w:val="18"/>
          <w:szCs w:val="18"/>
        </w:rPr>
        <w:footnoteRef/>
      </w:r>
      <w:r w:rsidRPr="00F554C3">
        <w:rPr>
          <w:rFonts w:ascii="Times New Roman" w:hAnsi="Times New Roman"/>
          <w:sz w:val="18"/>
          <w:szCs w:val="18"/>
        </w:rPr>
        <w:t xml:space="preserve"> </w:t>
      </w:r>
      <w:r w:rsidR="008A188D" w:rsidRPr="00F554C3">
        <w:rPr>
          <w:rFonts w:ascii="Times New Roman" w:hAnsi="Times New Roman"/>
          <w:sz w:val="18"/>
          <w:szCs w:val="18"/>
        </w:rPr>
        <w:t xml:space="preserve">Chapter 12.10 </w:t>
      </w:r>
      <w:r w:rsidRPr="00F554C3">
        <w:rPr>
          <w:rFonts w:ascii="Times New Roman" w:hAnsi="Times New Roman"/>
          <w:sz w:val="18"/>
          <w:szCs w:val="18"/>
        </w:rPr>
        <w:t xml:space="preserve">§ 23-12.10-4. Liability protections. Notwithstanding any other law to the contrary, a person or entity, including, but not limited to, property owners, managers, employees, volunteers, clients or participants, and state, city, or town government employees acting in the course and scope of employment, shall not be arrested, charged, or prosecuted pursuant to § 21-28-4.01(c)(1), § 21-28-4.06, § 21-28-4.08, § 21-28-5.06, or § 21-28.5-2, including for attempting, aiding and abetting, or conspiracy to commit a violation of any of those sections; nor have their property subject to forfeiture; nor be subject to any civil or administrative penalty, including, but not limited to, disciplinary action by a professional licensing board, credentialing restrictions, contractual or civil liability, or medical staff or other employment action; nor be denied any right or privilege for actions, conduct, or omissions relating to the approval or operation of a harm </w:t>
      </w:r>
      <w:r w:rsidRPr="008A5B3B">
        <w:rPr>
          <w:rFonts w:ascii="Times New Roman" w:hAnsi="Times New Roman"/>
          <w:sz w:val="18"/>
          <w:szCs w:val="18"/>
        </w:rPr>
        <w:t>reduction center in compliance with this chapter and any rules and regulations promulgated pursuant to this chapter.</w:t>
      </w:r>
    </w:p>
  </w:footnote>
  <w:footnote w:id="28">
    <w:p w14:paraId="28A14A45" w14:textId="2A4E9A70" w:rsidR="000F16F0" w:rsidRPr="008A5B3B" w:rsidRDefault="000F16F0">
      <w:pPr>
        <w:pStyle w:val="FootnoteText"/>
        <w:rPr>
          <w:rFonts w:ascii="Times New Roman" w:hAnsi="Times New Roman"/>
          <w:sz w:val="18"/>
          <w:szCs w:val="18"/>
        </w:rPr>
      </w:pPr>
      <w:r w:rsidRPr="008A5B3B">
        <w:rPr>
          <w:rStyle w:val="FootnoteReference"/>
          <w:rFonts w:ascii="Times New Roman" w:hAnsi="Times New Roman"/>
          <w:sz w:val="18"/>
          <w:szCs w:val="18"/>
        </w:rPr>
        <w:footnoteRef/>
      </w:r>
      <w:r w:rsidRPr="008A5B3B">
        <w:rPr>
          <w:rFonts w:ascii="Times New Roman" w:hAnsi="Times New Roman"/>
          <w:sz w:val="18"/>
          <w:szCs w:val="18"/>
        </w:rPr>
        <w:t xml:space="preserve"> Rhode Island </w:t>
      </w:r>
      <w:r w:rsidR="00DE325E" w:rsidRPr="008A5B3B">
        <w:rPr>
          <w:rFonts w:ascii="Times New Roman" w:hAnsi="Times New Roman"/>
          <w:sz w:val="18"/>
          <w:szCs w:val="18"/>
        </w:rPr>
        <w:t xml:space="preserve">State Rules and Regulations. Harm Reduction Centers (216-RICR-40-10-25). </w:t>
      </w:r>
      <w:hyperlink r:id="rId9" w:history="1">
        <w:r w:rsidR="00DE325E" w:rsidRPr="008A5B3B">
          <w:rPr>
            <w:rStyle w:val="Hyperlink"/>
            <w:rFonts w:ascii="Times New Roman" w:hAnsi="Times New Roman"/>
            <w:sz w:val="18"/>
            <w:szCs w:val="18"/>
          </w:rPr>
          <w:t>https://rules.sos.ri.gov/regulations/part/216-40-10-25</w:t>
        </w:r>
      </w:hyperlink>
      <w:r w:rsidR="00DE325E" w:rsidRPr="008A5B3B">
        <w:rPr>
          <w:rFonts w:ascii="Times New Roman" w:hAnsi="Times New Roman"/>
          <w:sz w:val="18"/>
          <w:szCs w:val="18"/>
        </w:rPr>
        <w:t xml:space="preserve"> </w:t>
      </w:r>
    </w:p>
  </w:footnote>
  <w:footnote w:id="29">
    <w:p w14:paraId="05156BFF" w14:textId="40E829A8" w:rsidR="00181D8D" w:rsidRPr="008A5B3B" w:rsidRDefault="00181D8D">
      <w:pPr>
        <w:pStyle w:val="FootnoteText"/>
        <w:rPr>
          <w:rFonts w:ascii="Times New Roman" w:hAnsi="Times New Roman"/>
          <w:sz w:val="18"/>
          <w:szCs w:val="18"/>
        </w:rPr>
      </w:pPr>
      <w:r w:rsidRPr="008A5B3B">
        <w:rPr>
          <w:rStyle w:val="FootnoteReference"/>
          <w:rFonts w:ascii="Times New Roman" w:hAnsi="Times New Roman"/>
          <w:sz w:val="18"/>
          <w:szCs w:val="18"/>
        </w:rPr>
        <w:footnoteRef/>
      </w:r>
      <w:r w:rsidRPr="008A5B3B">
        <w:rPr>
          <w:rFonts w:ascii="Times New Roman" w:hAnsi="Times New Roman"/>
          <w:sz w:val="18"/>
          <w:szCs w:val="18"/>
        </w:rPr>
        <w:t xml:space="preserve"> </w:t>
      </w:r>
      <w:r w:rsidR="00745FC3" w:rsidRPr="008A5B3B">
        <w:rPr>
          <w:rFonts w:ascii="Times New Roman" w:hAnsi="Times New Roman"/>
          <w:sz w:val="18"/>
          <w:szCs w:val="18"/>
        </w:rPr>
        <w:t>Minnesota Session Laws</w:t>
      </w:r>
      <w:r w:rsidR="00A41C6C" w:rsidRPr="008A5B3B">
        <w:rPr>
          <w:rFonts w:ascii="Times New Roman" w:hAnsi="Times New Roman"/>
          <w:sz w:val="18"/>
          <w:szCs w:val="18"/>
        </w:rPr>
        <w:t xml:space="preserve">. 2023, Regular Session Chapter 61. </w:t>
      </w:r>
      <w:hyperlink r:id="rId10" w:history="1">
        <w:r w:rsidR="00A41C6C" w:rsidRPr="008A5B3B">
          <w:rPr>
            <w:rStyle w:val="Hyperlink"/>
            <w:rFonts w:ascii="Times New Roman" w:hAnsi="Times New Roman"/>
            <w:sz w:val="18"/>
            <w:szCs w:val="18"/>
          </w:rPr>
          <w:t>https://www.revisor.mn.gov/laws/2023/0/Session+Law/Chapter/61/</w:t>
        </w:r>
      </w:hyperlink>
      <w:r w:rsidR="00A41C6C" w:rsidRPr="008A5B3B">
        <w:rPr>
          <w:rFonts w:ascii="Times New Roman" w:hAnsi="Times New Roman"/>
          <w:sz w:val="18"/>
          <w:szCs w:val="18"/>
        </w:rPr>
        <w:t xml:space="preserve"> </w:t>
      </w:r>
    </w:p>
  </w:footnote>
  <w:footnote w:id="30">
    <w:p w14:paraId="3667B19F" w14:textId="0A5F9A68" w:rsidR="00F1036B" w:rsidRPr="008A5B3B" w:rsidRDefault="00F1036B" w:rsidP="00F1036B">
      <w:pPr>
        <w:pStyle w:val="FootnoteText"/>
        <w:rPr>
          <w:rFonts w:ascii="Times New Roman" w:hAnsi="Times New Roman"/>
          <w:sz w:val="18"/>
          <w:szCs w:val="18"/>
        </w:rPr>
      </w:pPr>
      <w:r w:rsidRPr="008A5B3B">
        <w:rPr>
          <w:rStyle w:val="FootnoteReference"/>
          <w:rFonts w:ascii="Times New Roman" w:hAnsi="Times New Roman"/>
          <w:sz w:val="18"/>
          <w:szCs w:val="18"/>
        </w:rPr>
        <w:footnoteRef/>
      </w:r>
      <w:r w:rsidR="70B57278" w:rsidRPr="008A5B3B">
        <w:rPr>
          <w:rFonts w:ascii="Times New Roman" w:hAnsi="Times New Roman"/>
          <w:sz w:val="18"/>
          <w:szCs w:val="18"/>
        </w:rPr>
        <w:t xml:space="preserve"> </w:t>
      </w:r>
      <w:r w:rsidR="70B57278" w:rsidRPr="008A5B3B">
        <w:rPr>
          <w:rFonts w:ascii="Times New Roman" w:eastAsia="Times New Roman" w:hAnsi="Times New Roman"/>
          <w:sz w:val="18"/>
          <w:szCs w:val="18"/>
        </w:rPr>
        <w:t xml:space="preserve">U.S. Attorney’s Office, Eastern District of Philadelphia. Civil Lawsuit Filed to Seek Judicial Declaration that Drug Injection site is Illegal Under Federal Law. 2019. </w:t>
      </w:r>
      <w:hyperlink r:id="rId11" w:history="1">
        <w:r w:rsidR="70B57278" w:rsidRPr="008A5B3B">
          <w:rPr>
            <w:rStyle w:val="Hyperlink"/>
            <w:rFonts w:ascii="Times New Roman" w:eastAsia="Times New Roman" w:hAnsi="Times New Roman"/>
            <w:sz w:val="18"/>
            <w:szCs w:val="18"/>
          </w:rPr>
          <w:t>https://www.justice.gov/usao-edpa/pr/civil-lawsuit-filed-seek-judicial-declaration-drug-injection-site-illegal-under-federal</w:t>
        </w:r>
      </w:hyperlink>
      <w:r w:rsidR="70B57278" w:rsidRPr="008A5B3B">
        <w:rPr>
          <w:rFonts w:ascii="Times New Roman" w:eastAsia="Times New Roman" w:hAnsi="Times New Roman"/>
          <w:sz w:val="18"/>
          <w:szCs w:val="18"/>
        </w:rPr>
        <w:t xml:space="preserve"> </w:t>
      </w:r>
    </w:p>
  </w:footnote>
  <w:footnote w:id="31">
    <w:p w14:paraId="306ACC92" w14:textId="7B50277E" w:rsidR="00370EF2" w:rsidRPr="008A5B3B" w:rsidRDefault="00370EF2">
      <w:pPr>
        <w:pStyle w:val="FootnoteText"/>
        <w:rPr>
          <w:rFonts w:ascii="Times New Roman" w:hAnsi="Times New Roman"/>
          <w:sz w:val="18"/>
          <w:szCs w:val="18"/>
        </w:rPr>
      </w:pPr>
      <w:r w:rsidRPr="008A5B3B">
        <w:rPr>
          <w:rStyle w:val="FootnoteReference"/>
          <w:rFonts w:ascii="Times New Roman" w:hAnsi="Times New Roman"/>
          <w:i/>
          <w:sz w:val="18"/>
          <w:szCs w:val="18"/>
        </w:rPr>
        <w:footnoteRef/>
      </w:r>
      <w:r w:rsidR="0058560B" w:rsidRPr="008A5B3B">
        <w:rPr>
          <w:rFonts w:ascii="Times New Roman" w:hAnsi="Times New Roman"/>
          <w:i/>
          <w:sz w:val="18"/>
          <w:szCs w:val="18"/>
        </w:rPr>
        <w:t xml:space="preserve"> Safehouse v. Department </w:t>
      </w:r>
      <w:r w:rsidR="00B0616D" w:rsidRPr="008A5B3B">
        <w:rPr>
          <w:rFonts w:ascii="Times New Roman" w:hAnsi="Times New Roman"/>
          <w:i/>
          <w:sz w:val="18"/>
          <w:szCs w:val="18"/>
        </w:rPr>
        <w:t>of Ju</w:t>
      </w:r>
      <w:r w:rsidR="00322F81" w:rsidRPr="008A5B3B">
        <w:rPr>
          <w:rFonts w:ascii="Times New Roman" w:hAnsi="Times New Roman"/>
          <w:i/>
          <w:sz w:val="18"/>
          <w:szCs w:val="18"/>
        </w:rPr>
        <w:t>stice</w:t>
      </w:r>
      <w:r w:rsidR="00322F81" w:rsidRPr="008A5B3B">
        <w:rPr>
          <w:rFonts w:ascii="Times New Roman" w:hAnsi="Times New Roman"/>
          <w:sz w:val="18"/>
          <w:szCs w:val="18"/>
        </w:rPr>
        <w:t xml:space="preserve">, </w:t>
      </w:r>
      <w:r w:rsidR="00547BFE" w:rsidRPr="008A5B3B">
        <w:rPr>
          <w:rFonts w:ascii="Times New Roman" w:hAnsi="Times New Roman"/>
          <w:sz w:val="18"/>
          <w:szCs w:val="18"/>
        </w:rPr>
        <w:t xml:space="preserve">142 S. Ct. </w:t>
      </w:r>
      <w:r w:rsidR="002C4D1F" w:rsidRPr="008A5B3B">
        <w:rPr>
          <w:rFonts w:ascii="Times New Roman" w:hAnsi="Times New Roman"/>
          <w:sz w:val="18"/>
          <w:szCs w:val="18"/>
        </w:rPr>
        <w:t xml:space="preserve">345 (October </w:t>
      </w:r>
      <w:r w:rsidR="002444EF" w:rsidRPr="008A5B3B">
        <w:rPr>
          <w:rFonts w:ascii="Times New Roman" w:hAnsi="Times New Roman"/>
          <w:sz w:val="18"/>
          <w:szCs w:val="18"/>
        </w:rPr>
        <w:t xml:space="preserve">2021) (Cert. denied); </w:t>
      </w:r>
      <w:r w:rsidR="002444EF" w:rsidRPr="008A5B3B">
        <w:rPr>
          <w:rFonts w:ascii="Times New Roman" w:hAnsi="Times New Roman"/>
          <w:i/>
          <w:sz w:val="18"/>
          <w:szCs w:val="18"/>
        </w:rPr>
        <w:t xml:space="preserve">United States v. </w:t>
      </w:r>
      <w:r w:rsidR="00AB4E97" w:rsidRPr="008A5B3B">
        <w:rPr>
          <w:rFonts w:ascii="Times New Roman" w:hAnsi="Times New Roman"/>
          <w:i/>
          <w:iCs/>
          <w:sz w:val="18"/>
          <w:szCs w:val="18"/>
        </w:rPr>
        <w:t>Safehouse</w:t>
      </w:r>
      <w:r w:rsidR="00AB4E97" w:rsidRPr="008A5B3B">
        <w:rPr>
          <w:rFonts w:ascii="Times New Roman" w:hAnsi="Times New Roman"/>
          <w:sz w:val="18"/>
          <w:szCs w:val="18"/>
        </w:rPr>
        <w:t xml:space="preserve">, </w:t>
      </w:r>
      <w:r w:rsidR="00842A56" w:rsidRPr="008A5B3B">
        <w:rPr>
          <w:rFonts w:ascii="Times New Roman" w:hAnsi="Times New Roman"/>
          <w:sz w:val="18"/>
          <w:szCs w:val="18"/>
        </w:rPr>
        <w:t>991 F.3d 503 (</w:t>
      </w:r>
      <w:r w:rsidR="00CF55B2" w:rsidRPr="008A5B3B">
        <w:rPr>
          <w:rFonts w:ascii="Times New Roman" w:hAnsi="Times New Roman"/>
          <w:sz w:val="18"/>
          <w:szCs w:val="18"/>
        </w:rPr>
        <w:t xml:space="preserve">March </w:t>
      </w:r>
      <w:r w:rsidR="00706690" w:rsidRPr="008A5B3B">
        <w:rPr>
          <w:rFonts w:ascii="Times New Roman" w:hAnsi="Times New Roman"/>
          <w:sz w:val="18"/>
          <w:szCs w:val="18"/>
        </w:rPr>
        <w:t>2021)</w:t>
      </w:r>
      <w:r w:rsidRPr="008A5B3B">
        <w:rPr>
          <w:rFonts w:ascii="Times New Roman" w:hAnsi="Times New Roman"/>
          <w:sz w:val="18"/>
          <w:szCs w:val="18"/>
        </w:rPr>
        <w:t xml:space="preserve"> </w:t>
      </w:r>
      <w:r w:rsidR="0033439D" w:rsidRPr="008A5B3B">
        <w:rPr>
          <w:rFonts w:ascii="Times New Roman" w:hAnsi="Times New Roman"/>
          <w:sz w:val="18"/>
          <w:szCs w:val="18"/>
        </w:rPr>
        <w:t xml:space="preserve">(Denying rehearing and rehearing </w:t>
      </w:r>
      <w:proofErr w:type="spellStart"/>
      <w:r w:rsidR="0033439D" w:rsidRPr="008A5B3B">
        <w:rPr>
          <w:rFonts w:ascii="Times New Roman" w:hAnsi="Times New Roman"/>
          <w:sz w:val="18"/>
          <w:szCs w:val="18"/>
        </w:rPr>
        <w:t>en</w:t>
      </w:r>
      <w:proofErr w:type="spellEnd"/>
      <w:r w:rsidR="0033439D" w:rsidRPr="008A5B3B">
        <w:rPr>
          <w:rFonts w:ascii="Times New Roman" w:hAnsi="Times New Roman"/>
          <w:sz w:val="18"/>
          <w:szCs w:val="18"/>
        </w:rPr>
        <w:t xml:space="preserve"> Banc);</w:t>
      </w:r>
      <w:r w:rsidRPr="008A5B3B">
        <w:rPr>
          <w:rFonts w:ascii="Times New Roman" w:hAnsi="Times New Roman"/>
          <w:sz w:val="18"/>
          <w:szCs w:val="18"/>
        </w:rPr>
        <w:t xml:space="preserve"> </w:t>
      </w:r>
      <w:r w:rsidRPr="008A5B3B">
        <w:rPr>
          <w:rFonts w:ascii="Times New Roman" w:hAnsi="Times New Roman"/>
          <w:i/>
          <w:sz w:val="18"/>
          <w:szCs w:val="18"/>
        </w:rPr>
        <w:t>United States v. Safehouse</w:t>
      </w:r>
      <w:r w:rsidRPr="008A5B3B">
        <w:rPr>
          <w:rFonts w:ascii="Times New Roman" w:hAnsi="Times New Roman"/>
          <w:sz w:val="18"/>
          <w:szCs w:val="18"/>
        </w:rPr>
        <w:t>,</w:t>
      </w:r>
      <w:r w:rsidR="00D45FB0" w:rsidRPr="008A5B3B">
        <w:rPr>
          <w:rFonts w:ascii="Times New Roman" w:hAnsi="Times New Roman"/>
          <w:sz w:val="18"/>
          <w:szCs w:val="18"/>
        </w:rPr>
        <w:t xml:space="preserve"> 985 F.3d 225 (3</w:t>
      </w:r>
      <w:r w:rsidR="00D45FB0" w:rsidRPr="008A5B3B">
        <w:rPr>
          <w:rFonts w:ascii="Times New Roman" w:hAnsi="Times New Roman"/>
          <w:sz w:val="18"/>
          <w:szCs w:val="18"/>
          <w:vertAlign w:val="superscript"/>
        </w:rPr>
        <w:t>rd</w:t>
      </w:r>
      <w:r w:rsidR="00D45FB0" w:rsidRPr="008A5B3B">
        <w:rPr>
          <w:rFonts w:ascii="Times New Roman" w:hAnsi="Times New Roman"/>
          <w:sz w:val="18"/>
          <w:szCs w:val="18"/>
        </w:rPr>
        <w:t xml:space="preserve"> Cir. 202</w:t>
      </w:r>
      <w:r w:rsidR="00F25957" w:rsidRPr="008A5B3B">
        <w:rPr>
          <w:rFonts w:ascii="Times New Roman" w:hAnsi="Times New Roman"/>
          <w:sz w:val="18"/>
          <w:szCs w:val="18"/>
        </w:rPr>
        <w:t>1)</w:t>
      </w:r>
      <w:r w:rsidR="00121F6B" w:rsidRPr="008A5B3B">
        <w:rPr>
          <w:rFonts w:ascii="Times New Roman" w:hAnsi="Times New Roman"/>
          <w:sz w:val="18"/>
          <w:szCs w:val="18"/>
        </w:rPr>
        <w:t xml:space="preserve"> (finding that </w:t>
      </w:r>
      <w:r w:rsidR="00921D4A" w:rsidRPr="008A5B3B">
        <w:rPr>
          <w:rFonts w:ascii="Times New Roman" w:hAnsi="Times New Roman"/>
          <w:sz w:val="18"/>
          <w:szCs w:val="18"/>
        </w:rPr>
        <w:t>proposed</w:t>
      </w:r>
      <w:r w:rsidR="00187B6F" w:rsidRPr="008A5B3B">
        <w:rPr>
          <w:rFonts w:ascii="Times New Roman" w:hAnsi="Times New Roman"/>
          <w:sz w:val="18"/>
          <w:szCs w:val="18"/>
        </w:rPr>
        <w:t xml:space="preserve"> medically supervised consumption would violate </w:t>
      </w:r>
      <w:r w:rsidR="00E06F24" w:rsidRPr="008A5B3B">
        <w:rPr>
          <w:rFonts w:ascii="Times New Roman" w:hAnsi="Times New Roman"/>
          <w:sz w:val="18"/>
          <w:szCs w:val="18"/>
        </w:rPr>
        <w:t>21 U.S.C. § 856)</w:t>
      </w:r>
      <w:r w:rsidR="0033439D" w:rsidRPr="008A5B3B">
        <w:rPr>
          <w:rFonts w:ascii="Times New Roman" w:hAnsi="Times New Roman"/>
          <w:sz w:val="18"/>
          <w:szCs w:val="18"/>
        </w:rPr>
        <w:t>.</w:t>
      </w:r>
    </w:p>
  </w:footnote>
  <w:footnote w:id="32">
    <w:p w14:paraId="2B094929" w14:textId="36979D53" w:rsidR="2D8563E7" w:rsidRPr="00A30B31" w:rsidRDefault="2D8563E7" w:rsidP="2D8563E7">
      <w:pPr>
        <w:pStyle w:val="FootnoteText"/>
        <w:rPr>
          <w:rFonts w:ascii="Times New Roman" w:hAnsi="Times New Roman"/>
        </w:rPr>
      </w:pPr>
      <w:r w:rsidRPr="008A5B3B">
        <w:rPr>
          <w:rStyle w:val="FootnoteReference"/>
          <w:rFonts w:ascii="Times New Roman" w:hAnsi="Times New Roman"/>
          <w:sz w:val="18"/>
          <w:szCs w:val="18"/>
        </w:rPr>
        <w:footnoteRef/>
      </w:r>
      <w:r w:rsidRPr="008A5B3B">
        <w:rPr>
          <w:rFonts w:ascii="Times New Roman" w:hAnsi="Times New Roman"/>
          <w:sz w:val="18"/>
          <w:szCs w:val="18"/>
        </w:rPr>
        <w:t xml:space="preserve"> </w:t>
      </w:r>
      <w:r w:rsidR="00E805F9" w:rsidRPr="008A5B3B">
        <w:rPr>
          <w:rFonts w:ascii="Times New Roman" w:hAnsi="Times New Roman"/>
          <w:sz w:val="18"/>
          <w:szCs w:val="18"/>
        </w:rPr>
        <w:t>https://whyy.org/articles/safehouse-supervised-injection-suit-department-justice-dismiss/</w:t>
      </w:r>
    </w:p>
  </w:footnote>
  <w:footnote w:id="33">
    <w:p w14:paraId="3C7AEB70" w14:textId="77777777" w:rsidR="00D36111" w:rsidRPr="00F554C3" w:rsidRDefault="00D36111" w:rsidP="00D36111">
      <w:pPr>
        <w:pStyle w:val="FootnoteText"/>
        <w:rPr>
          <w:rFonts w:ascii="Times New Roman" w:hAnsi="Times New Roman"/>
          <w:sz w:val="18"/>
          <w:szCs w:val="18"/>
        </w:rPr>
      </w:pPr>
      <w:r w:rsidRPr="00F554C3">
        <w:rPr>
          <w:rStyle w:val="FootnoteReference"/>
          <w:rFonts w:ascii="Times New Roman" w:hAnsi="Times New Roman"/>
          <w:sz w:val="18"/>
          <w:szCs w:val="18"/>
        </w:rPr>
        <w:footnoteRef/>
      </w:r>
      <w:r w:rsidRPr="00F554C3">
        <w:rPr>
          <w:rFonts w:ascii="Times New Roman" w:hAnsi="Times New Roman"/>
          <w:sz w:val="18"/>
          <w:szCs w:val="18"/>
        </w:rPr>
        <w:t xml:space="preserve"> </w:t>
      </w:r>
      <w:r w:rsidRPr="00F554C3">
        <w:rPr>
          <w:rStyle w:val="normaltextrun"/>
          <w:rFonts w:ascii="Times New Roman" w:hAnsi="Times New Roman"/>
          <w:color w:val="000000"/>
          <w:sz w:val="18"/>
          <w:szCs w:val="18"/>
          <w:shd w:val="clear" w:color="auto" w:fill="FFFFFF"/>
        </w:rPr>
        <w:t>244 CMR 9.03(7).</w:t>
      </w:r>
      <w:r w:rsidRPr="00F554C3">
        <w:rPr>
          <w:rStyle w:val="eop"/>
          <w:rFonts w:ascii="Times New Roman" w:hAnsi="Times New Roman"/>
          <w:color w:val="000000"/>
          <w:sz w:val="18"/>
          <w:szCs w:val="18"/>
          <w:shd w:val="clear" w:color="auto" w:fill="FFFFFF"/>
        </w:rPr>
        <w:t> </w:t>
      </w:r>
    </w:p>
  </w:footnote>
  <w:footnote w:id="34">
    <w:p w14:paraId="52A6F563" w14:textId="77777777" w:rsidR="00D36111" w:rsidRPr="00F554C3" w:rsidRDefault="00D36111" w:rsidP="00D36111">
      <w:pPr>
        <w:pStyle w:val="FootnoteText"/>
        <w:rPr>
          <w:rFonts w:ascii="Times New Roman" w:hAnsi="Times New Roman"/>
        </w:rPr>
      </w:pPr>
      <w:r w:rsidRPr="00F554C3">
        <w:rPr>
          <w:rStyle w:val="FootnoteReference"/>
          <w:rFonts w:ascii="Times New Roman" w:hAnsi="Times New Roman"/>
        </w:rPr>
        <w:footnoteRef/>
      </w:r>
      <w:r w:rsidRPr="00F554C3">
        <w:rPr>
          <w:rStyle w:val="normaltextrun"/>
          <w:rFonts w:ascii="Times New Roman" w:hAnsi="Times New Roman"/>
          <w:color w:val="000000"/>
          <w:sz w:val="18"/>
          <w:szCs w:val="18"/>
          <w:shd w:val="clear" w:color="auto" w:fill="FFFFFF"/>
        </w:rPr>
        <w:t>While the Boards and BORIM could have issued guidance on their own, a mandate from the Governor via Executive Order does not require legislative approval. </w:t>
      </w:r>
      <w:r w:rsidRPr="00F554C3">
        <w:rPr>
          <w:rStyle w:val="eop"/>
          <w:rFonts w:ascii="Times New Roman" w:hAnsi="Times New Roman"/>
          <w:color w:val="000000"/>
          <w:sz w:val="18"/>
          <w:szCs w:val="18"/>
          <w:shd w:val="clear" w:color="auto" w:fill="FFFFFF"/>
        </w:rPr>
        <w:t> </w:t>
      </w:r>
    </w:p>
  </w:footnote>
  <w:footnote w:id="35">
    <w:p w14:paraId="4F7DC3A9" w14:textId="019758C5" w:rsidR="006D00D7" w:rsidRPr="00B66587" w:rsidRDefault="006D00D7">
      <w:pPr>
        <w:pStyle w:val="FootnoteText"/>
        <w:rPr>
          <w:rFonts w:ascii="Times New Roman" w:hAnsi="Times New Roman"/>
          <w:sz w:val="18"/>
          <w:szCs w:val="18"/>
        </w:rPr>
      </w:pPr>
      <w:r w:rsidRPr="00B66587">
        <w:rPr>
          <w:rStyle w:val="FootnoteReference"/>
          <w:rFonts w:ascii="Times New Roman" w:hAnsi="Times New Roman"/>
          <w:sz w:val="18"/>
          <w:szCs w:val="18"/>
        </w:rPr>
        <w:footnoteRef/>
      </w:r>
      <w:r w:rsidRPr="00B66587">
        <w:rPr>
          <w:rFonts w:ascii="Times New Roman" w:hAnsi="Times New Roman"/>
          <w:sz w:val="18"/>
          <w:szCs w:val="18"/>
        </w:rPr>
        <w:t xml:space="preserve"> </w:t>
      </w:r>
      <w:r w:rsidR="00641FDD" w:rsidRPr="00B66587">
        <w:rPr>
          <w:rFonts w:ascii="Times New Roman" w:hAnsi="Times New Roman"/>
          <w:sz w:val="18"/>
          <w:szCs w:val="18"/>
        </w:rPr>
        <w:t xml:space="preserve">S.1242/H.1981 </w:t>
      </w:r>
      <w:r w:rsidR="003A2A46" w:rsidRPr="00B66587">
        <w:rPr>
          <w:rFonts w:ascii="Times New Roman" w:hAnsi="Times New Roman"/>
          <w:sz w:val="18"/>
          <w:szCs w:val="18"/>
        </w:rPr>
        <w:t>“</w:t>
      </w:r>
      <w:r w:rsidR="00641FDD" w:rsidRPr="00B66587">
        <w:rPr>
          <w:rFonts w:ascii="Times New Roman" w:hAnsi="Times New Roman"/>
          <w:sz w:val="18"/>
          <w:szCs w:val="18"/>
        </w:rPr>
        <w:t>Notwithstanding any general or special law or rule or regulation to the contrary, the following persons shall not be arrested, charged, or prosecuted for any criminal offense, including, but not limited to, charges pursuant to sections 13, 32I, 34, 43 or 47 of chapter 94C of the General Laws, or be subject to any civil or administrative penalty, including seizure or forfeiture of data records, assets or property or disciplinary action by a professional licensing board, credentialing restriction, contractual liability, and action against clinical staff or other employment action, or be denied any right or privilege, solely for participation or involvement in an overdose prevention center licensed by the department of public health pursuant to this section: (i) a participant; (ii) a staff</w:t>
      </w:r>
      <w:r w:rsidR="00641FDD" w:rsidRPr="00F554C3">
        <w:rPr>
          <w:rFonts w:ascii="Times New Roman" w:hAnsi="Times New Roman"/>
        </w:rPr>
        <w:t xml:space="preserve"> </w:t>
      </w:r>
      <w:r w:rsidR="00641FDD" w:rsidRPr="00B66587">
        <w:rPr>
          <w:rFonts w:ascii="Times New Roman" w:hAnsi="Times New Roman"/>
          <w:sz w:val="18"/>
          <w:szCs w:val="18"/>
        </w:rPr>
        <w:t>member or administrator of a licensed overdose prevention center, including a health-care professional, manager, employee, or volunteer; (iii) a property owner who owns property at which a licensed overdose prevention center is located and operates, (iv) the entity operating the licensed overdose prevention center. Entering or exiting a licensed overdose prevention center cannot serve as the basis for, or a fact contributing to the existence of, reasonable suspicion or probable cause to conduct a search or seizure.</w:t>
      </w:r>
      <w:r w:rsidR="003A2A46" w:rsidRPr="00B66587">
        <w:rPr>
          <w:rFonts w:ascii="Times New Roman" w:hAnsi="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BF9D"/>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9477DA"/>
    <w:multiLevelType w:val="multilevel"/>
    <w:tmpl w:val="4CC2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D13411"/>
    <w:multiLevelType w:val="multilevel"/>
    <w:tmpl w:val="39CCC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0D0FB1"/>
    <w:multiLevelType w:val="multilevel"/>
    <w:tmpl w:val="5A7255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85A62EB"/>
    <w:multiLevelType w:val="multilevel"/>
    <w:tmpl w:val="4116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975096"/>
    <w:multiLevelType w:val="multilevel"/>
    <w:tmpl w:val="80E2C5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C1D2E94"/>
    <w:multiLevelType w:val="hybridMultilevel"/>
    <w:tmpl w:val="52142CE0"/>
    <w:lvl w:ilvl="0" w:tplc="04090001">
      <w:start w:val="1"/>
      <w:numFmt w:val="bullet"/>
      <w:lvlText w:val=""/>
      <w:lvlJc w:val="left"/>
      <w:pPr>
        <w:ind w:left="86" w:hanging="360"/>
      </w:pPr>
      <w:rPr>
        <w:rFonts w:ascii="Symbol" w:hAnsi="Symbol" w:hint="default"/>
      </w:rPr>
    </w:lvl>
    <w:lvl w:ilvl="1" w:tplc="04090003">
      <w:start w:val="1"/>
      <w:numFmt w:val="bullet"/>
      <w:lvlText w:val="o"/>
      <w:lvlJc w:val="left"/>
      <w:pPr>
        <w:ind w:left="806" w:hanging="360"/>
      </w:pPr>
      <w:rPr>
        <w:rFonts w:ascii="Courier New" w:hAnsi="Courier New" w:cs="Courier New" w:hint="default"/>
      </w:rPr>
    </w:lvl>
    <w:lvl w:ilvl="2" w:tplc="04090005" w:tentative="1">
      <w:start w:val="1"/>
      <w:numFmt w:val="bullet"/>
      <w:lvlText w:val=""/>
      <w:lvlJc w:val="left"/>
      <w:pPr>
        <w:ind w:left="1526" w:hanging="360"/>
      </w:pPr>
      <w:rPr>
        <w:rFonts w:ascii="Wingdings" w:hAnsi="Wingdings" w:hint="default"/>
      </w:rPr>
    </w:lvl>
    <w:lvl w:ilvl="3" w:tplc="04090001" w:tentative="1">
      <w:start w:val="1"/>
      <w:numFmt w:val="bullet"/>
      <w:lvlText w:val=""/>
      <w:lvlJc w:val="left"/>
      <w:pPr>
        <w:ind w:left="2246" w:hanging="360"/>
      </w:pPr>
      <w:rPr>
        <w:rFonts w:ascii="Symbol" w:hAnsi="Symbol" w:hint="default"/>
      </w:rPr>
    </w:lvl>
    <w:lvl w:ilvl="4" w:tplc="04090003" w:tentative="1">
      <w:start w:val="1"/>
      <w:numFmt w:val="bullet"/>
      <w:lvlText w:val="o"/>
      <w:lvlJc w:val="left"/>
      <w:pPr>
        <w:ind w:left="2966" w:hanging="360"/>
      </w:pPr>
      <w:rPr>
        <w:rFonts w:ascii="Courier New" w:hAnsi="Courier New" w:cs="Courier New" w:hint="default"/>
      </w:rPr>
    </w:lvl>
    <w:lvl w:ilvl="5" w:tplc="04090005" w:tentative="1">
      <w:start w:val="1"/>
      <w:numFmt w:val="bullet"/>
      <w:lvlText w:val=""/>
      <w:lvlJc w:val="left"/>
      <w:pPr>
        <w:ind w:left="3686" w:hanging="360"/>
      </w:pPr>
      <w:rPr>
        <w:rFonts w:ascii="Wingdings" w:hAnsi="Wingdings" w:hint="default"/>
      </w:rPr>
    </w:lvl>
    <w:lvl w:ilvl="6" w:tplc="04090001" w:tentative="1">
      <w:start w:val="1"/>
      <w:numFmt w:val="bullet"/>
      <w:lvlText w:val=""/>
      <w:lvlJc w:val="left"/>
      <w:pPr>
        <w:ind w:left="4406" w:hanging="360"/>
      </w:pPr>
      <w:rPr>
        <w:rFonts w:ascii="Symbol" w:hAnsi="Symbol" w:hint="default"/>
      </w:rPr>
    </w:lvl>
    <w:lvl w:ilvl="7" w:tplc="04090003" w:tentative="1">
      <w:start w:val="1"/>
      <w:numFmt w:val="bullet"/>
      <w:lvlText w:val="o"/>
      <w:lvlJc w:val="left"/>
      <w:pPr>
        <w:ind w:left="5126" w:hanging="360"/>
      </w:pPr>
      <w:rPr>
        <w:rFonts w:ascii="Courier New" w:hAnsi="Courier New" w:cs="Courier New" w:hint="default"/>
      </w:rPr>
    </w:lvl>
    <w:lvl w:ilvl="8" w:tplc="04090005" w:tentative="1">
      <w:start w:val="1"/>
      <w:numFmt w:val="bullet"/>
      <w:lvlText w:val=""/>
      <w:lvlJc w:val="left"/>
      <w:pPr>
        <w:ind w:left="5846" w:hanging="360"/>
      </w:pPr>
      <w:rPr>
        <w:rFonts w:ascii="Wingdings" w:hAnsi="Wingdings" w:hint="default"/>
      </w:rPr>
    </w:lvl>
  </w:abstractNum>
  <w:abstractNum w:abstractNumId="7" w15:restartNumberingAfterBreak="0">
    <w:nsid w:val="1D9B02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E2A5D92"/>
    <w:multiLevelType w:val="multilevel"/>
    <w:tmpl w:val="EA9E3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A2048F"/>
    <w:multiLevelType w:val="hybridMultilevel"/>
    <w:tmpl w:val="8294D898"/>
    <w:lvl w:ilvl="0" w:tplc="04090001">
      <w:start w:val="1"/>
      <w:numFmt w:val="bullet"/>
      <w:lvlText w:val=""/>
      <w:lvlJc w:val="left"/>
      <w:pPr>
        <w:ind w:left="90" w:hanging="360"/>
      </w:pPr>
      <w:rPr>
        <w:rFonts w:ascii="Symbol" w:hAnsi="Symbol" w:hint="default"/>
      </w:rPr>
    </w:lvl>
    <w:lvl w:ilvl="1" w:tplc="04090001">
      <w:start w:val="1"/>
      <w:numFmt w:val="bullet"/>
      <w:lvlText w:val=""/>
      <w:lvlJc w:val="left"/>
      <w:pPr>
        <w:ind w:left="450" w:hanging="360"/>
      </w:pPr>
      <w:rPr>
        <w:rFonts w:ascii="Symbol" w:hAnsi="Symbol" w:hint="default"/>
      </w:rPr>
    </w:lvl>
    <w:lvl w:ilvl="2" w:tplc="04090003">
      <w:start w:val="1"/>
      <w:numFmt w:val="bullet"/>
      <w:lvlText w:val="o"/>
      <w:lvlJc w:val="left"/>
      <w:pPr>
        <w:ind w:left="1530" w:hanging="360"/>
      </w:pPr>
      <w:rPr>
        <w:rFonts w:ascii="Courier New" w:hAnsi="Courier New" w:cs="Courier New" w:hint="default"/>
      </w:rPr>
    </w:lvl>
    <w:lvl w:ilvl="3" w:tplc="0409000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0" w15:restartNumberingAfterBreak="0">
    <w:nsid w:val="2270672E"/>
    <w:multiLevelType w:val="multilevel"/>
    <w:tmpl w:val="248801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3467496"/>
    <w:multiLevelType w:val="hybridMultilevel"/>
    <w:tmpl w:val="2354915A"/>
    <w:lvl w:ilvl="0" w:tplc="04090001">
      <w:start w:val="1"/>
      <w:numFmt w:val="bullet"/>
      <w:lvlText w:val=""/>
      <w:lvlJc w:val="left"/>
      <w:pPr>
        <w:ind w:left="86" w:hanging="360"/>
      </w:pPr>
      <w:rPr>
        <w:rFonts w:ascii="Symbol" w:hAnsi="Symbol" w:hint="default"/>
      </w:rPr>
    </w:lvl>
    <w:lvl w:ilvl="1" w:tplc="04090003" w:tentative="1">
      <w:start w:val="1"/>
      <w:numFmt w:val="bullet"/>
      <w:lvlText w:val="o"/>
      <w:lvlJc w:val="left"/>
      <w:pPr>
        <w:ind w:left="806" w:hanging="360"/>
      </w:pPr>
      <w:rPr>
        <w:rFonts w:ascii="Courier New" w:hAnsi="Courier New" w:cs="Courier New" w:hint="default"/>
      </w:rPr>
    </w:lvl>
    <w:lvl w:ilvl="2" w:tplc="04090005" w:tentative="1">
      <w:start w:val="1"/>
      <w:numFmt w:val="bullet"/>
      <w:lvlText w:val=""/>
      <w:lvlJc w:val="left"/>
      <w:pPr>
        <w:ind w:left="1526" w:hanging="360"/>
      </w:pPr>
      <w:rPr>
        <w:rFonts w:ascii="Wingdings" w:hAnsi="Wingdings" w:hint="default"/>
      </w:rPr>
    </w:lvl>
    <w:lvl w:ilvl="3" w:tplc="04090001" w:tentative="1">
      <w:start w:val="1"/>
      <w:numFmt w:val="bullet"/>
      <w:lvlText w:val=""/>
      <w:lvlJc w:val="left"/>
      <w:pPr>
        <w:ind w:left="2246" w:hanging="360"/>
      </w:pPr>
      <w:rPr>
        <w:rFonts w:ascii="Symbol" w:hAnsi="Symbol" w:hint="default"/>
      </w:rPr>
    </w:lvl>
    <w:lvl w:ilvl="4" w:tplc="04090003" w:tentative="1">
      <w:start w:val="1"/>
      <w:numFmt w:val="bullet"/>
      <w:lvlText w:val="o"/>
      <w:lvlJc w:val="left"/>
      <w:pPr>
        <w:ind w:left="2966" w:hanging="360"/>
      </w:pPr>
      <w:rPr>
        <w:rFonts w:ascii="Courier New" w:hAnsi="Courier New" w:cs="Courier New" w:hint="default"/>
      </w:rPr>
    </w:lvl>
    <w:lvl w:ilvl="5" w:tplc="04090005" w:tentative="1">
      <w:start w:val="1"/>
      <w:numFmt w:val="bullet"/>
      <w:lvlText w:val=""/>
      <w:lvlJc w:val="left"/>
      <w:pPr>
        <w:ind w:left="3686" w:hanging="360"/>
      </w:pPr>
      <w:rPr>
        <w:rFonts w:ascii="Wingdings" w:hAnsi="Wingdings" w:hint="default"/>
      </w:rPr>
    </w:lvl>
    <w:lvl w:ilvl="6" w:tplc="04090001" w:tentative="1">
      <w:start w:val="1"/>
      <w:numFmt w:val="bullet"/>
      <w:lvlText w:val=""/>
      <w:lvlJc w:val="left"/>
      <w:pPr>
        <w:ind w:left="4406" w:hanging="360"/>
      </w:pPr>
      <w:rPr>
        <w:rFonts w:ascii="Symbol" w:hAnsi="Symbol" w:hint="default"/>
      </w:rPr>
    </w:lvl>
    <w:lvl w:ilvl="7" w:tplc="04090003" w:tentative="1">
      <w:start w:val="1"/>
      <w:numFmt w:val="bullet"/>
      <w:lvlText w:val="o"/>
      <w:lvlJc w:val="left"/>
      <w:pPr>
        <w:ind w:left="5126" w:hanging="360"/>
      </w:pPr>
      <w:rPr>
        <w:rFonts w:ascii="Courier New" w:hAnsi="Courier New" w:cs="Courier New" w:hint="default"/>
      </w:rPr>
    </w:lvl>
    <w:lvl w:ilvl="8" w:tplc="04090005" w:tentative="1">
      <w:start w:val="1"/>
      <w:numFmt w:val="bullet"/>
      <w:lvlText w:val=""/>
      <w:lvlJc w:val="left"/>
      <w:pPr>
        <w:ind w:left="5846" w:hanging="360"/>
      </w:pPr>
      <w:rPr>
        <w:rFonts w:ascii="Wingdings" w:hAnsi="Wingdings" w:hint="default"/>
      </w:rPr>
    </w:lvl>
  </w:abstractNum>
  <w:abstractNum w:abstractNumId="12" w15:restartNumberingAfterBreak="0">
    <w:nsid w:val="28725332"/>
    <w:multiLevelType w:val="hybridMultilevel"/>
    <w:tmpl w:val="FD9CF7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4140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4078BA"/>
    <w:multiLevelType w:val="multilevel"/>
    <w:tmpl w:val="A6383F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rPr>
        <w:rFonts w:hint="default"/>
      </w:rPr>
    </w:lvl>
    <w:lvl w:ilvl="2" w:tentative="1">
      <w:start w:val="1"/>
      <w:numFmt w:val="lowerRoman"/>
      <w:lvlText w:val="%3)"/>
      <w:lvlJc w:val="right"/>
      <w:pPr>
        <w:ind w:left="2160" w:hanging="360"/>
      </w:pPr>
      <w:rPr>
        <w:rFonts w:hint="default"/>
      </w:rPr>
    </w:lvl>
    <w:lvl w:ilvl="3" w:tentative="1">
      <w:start w:val="1"/>
      <w:numFmt w:val="decimal"/>
      <w:lvlText w:val="(%4)"/>
      <w:lvlJc w:val="left"/>
      <w:pPr>
        <w:ind w:left="2880" w:hanging="360"/>
      </w:pPr>
      <w:rPr>
        <w:rFonts w:hint="default"/>
      </w:rPr>
    </w:lvl>
    <w:lvl w:ilvl="4" w:tentative="1">
      <w:start w:val="1"/>
      <w:numFmt w:val="lowerLetter"/>
      <w:lvlText w:val="(%5)"/>
      <w:lvlJc w:val="left"/>
      <w:pPr>
        <w:ind w:left="3600" w:hanging="360"/>
      </w:pPr>
      <w:rPr>
        <w:rFonts w:hint="default"/>
      </w:rPr>
    </w:lvl>
    <w:lvl w:ilvl="5" w:tentative="1">
      <w:start w:val="1"/>
      <w:numFmt w:val="lowerRoman"/>
      <w:lvlText w:val="(%6)"/>
      <w:lvlJc w:val="right"/>
      <w:pPr>
        <w:ind w:left="4320" w:hanging="360"/>
      </w:pPr>
      <w:rPr>
        <w:rFonts w:hint="default"/>
      </w:rPr>
    </w:lvl>
    <w:lvl w:ilvl="6" w:tentative="1">
      <w:start w:val="1"/>
      <w:numFmt w:val="decimal"/>
      <w:lvlText w:val="%7."/>
      <w:lvlJc w:val="left"/>
      <w:pPr>
        <w:ind w:left="5040" w:hanging="360"/>
      </w:pPr>
      <w:rPr>
        <w:rFonts w:hint="default"/>
      </w:rPr>
    </w:lvl>
    <w:lvl w:ilvl="7" w:tentative="1">
      <w:start w:val="1"/>
      <w:numFmt w:val="lowerLetter"/>
      <w:lvlText w:val="%8."/>
      <w:lvlJc w:val="left"/>
      <w:pPr>
        <w:ind w:left="5760" w:hanging="360"/>
      </w:pPr>
      <w:rPr>
        <w:rFonts w:hint="default"/>
      </w:rPr>
    </w:lvl>
    <w:lvl w:ilvl="8" w:tentative="1">
      <w:start w:val="1"/>
      <w:numFmt w:val="lowerRoman"/>
      <w:lvlText w:val="%9."/>
      <w:lvlJc w:val="right"/>
      <w:pPr>
        <w:ind w:left="6480" w:hanging="360"/>
      </w:pPr>
      <w:rPr>
        <w:rFonts w:hint="default"/>
      </w:rPr>
    </w:lvl>
  </w:abstractNum>
  <w:abstractNum w:abstractNumId="15" w15:restartNumberingAfterBreak="0">
    <w:nsid w:val="377E08EF"/>
    <w:multiLevelType w:val="hybridMultilevel"/>
    <w:tmpl w:val="99781C24"/>
    <w:lvl w:ilvl="0" w:tplc="D0A6298A">
      <w:start w:val="1"/>
      <w:numFmt w:val="upperRoman"/>
      <w:lvlText w:val="%1."/>
      <w:lvlJc w:val="left"/>
      <w:pPr>
        <w:ind w:left="0" w:firstLine="0"/>
      </w:pPr>
      <w:rPr>
        <w:rFonts w:asciiTheme="minorHAnsi" w:hAnsiTheme="minorHAnsi" w:cstheme="minorHAnsi" w:hint="default"/>
      </w:rPr>
    </w:lvl>
    <w:lvl w:ilvl="1" w:tplc="DD4C5208">
      <w:start w:val="1"/>
      <w:numFmt w:val="upperLetter"/>
      <w:lvlText w:val="%2."/>
      <w:lvlJc w:val="left"/>
      <w:pPr>
        <w:ind w:left="720" w:firstLine="0"/>
      </w:pPr>
    </w:lvl>
    <w:lvl w:ilvl="2" w:tplc="832816A0">
      <w:start w:val="1"/>
      <w:numFmt w:val="decimal"/>
      <w:lvlText w:val="%3."/>
      <w:lvlJc w:val="left"/>
      <w:pPr>
        <w:ind w:left="1440" w:firstLine="0"/>
      </w:pPr>
    </w:lvl>
    <w:lvl w:ilvl="3" w:tplc="7654E6F8">
      <w:start w:val="1"/>
      <w:numFmt w:val="lowerLetter"/>
      <w:lvlText w:val="%4)"/>
      <w:lvlJc w:val="left"/>
      <w:pPr>
        <w:ind w:left="2160" w:firstLine="0"/>
      </w:pPr>
    </w:lvl>
    <w:lvl w:ilvl="4" w:tplc="77DA4896">
      <w:start w:val="1"/>
      <w:numFmt w:val="decimal"/>
      <w:lvlText w:val="(%5)"/>
      <w:lvlJc w:val="left"/>
      <w:pPr>
        <w:ind w:left="2880" w:firstLine="0"/>
      </w:pPr>
    </w:lvl>
    <w:lvl w:ilvl="5" w:tplc="2B642480">
      <w:start w:val="1"/>
      <w:numFmt w:val="lowerLetter"/>
      <w:lvlText w:val="(%6)"/>
      <w:lvlJc w:val="left"/>
      <w:pPr>
        <w:ind w:left="3600" w:firstLine="0"/>
      </w:pPr>
    </w:lvl>
    <w:lvl w:ilvl="6" w:tplc="8D5EEFAE">
      <w:start w:val="1"/>
      <w:numFmt w:val="lowerRoman"/>
      <w:lvlText w:val="(%7)"/>
      <w:lvlJc w:val="left"/>
      <w:pPr>
        <w:ind w:left="4320" w:firstLine="0"/>
      </w:pPr>
    </w:lvl>
    <w:lvl w:ilvl="7" w:tplc="ADEA9B18">
      <w:start w:val="1"/>
      <w:numFmt w:val="lowerLetter"/>
      <w:lvlText w:val="(%8)"/>
      <w:lvlJc w:val="left"/>
      <w:pPr>
        <w:ind w:left="5040" w:firstLine="0"/>
      </w:pPr>
    </w:lvl>
    <w:lvl w:ilvl="8" w:tplc="9856B05A">
      <w:start w:val="1"/>
      <w:numFmt w:val="lowerRoman"/>
      <w:lvlText w:val="(%9)"/>
      <w:lvlJc w:val="left"/>
      <w:pPr>
        <w:ind w:left="5760" w:firstLine="0"/>
      </w:pPr>
    </w:lvl>
  </w:abstractNum>
  <w:abstractNum w:abstractNumId="16" w15:restartNumberingAfterBreak="0">
    <w:nsid w:val="38543195"/>
    <w:multiLevelType w:val="multilevel"/>
    <w:tmpl w:val="A526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181520"/>
    <w:multiLevelType w:val="multilevel"/>
    <w:tmpl w:val="3060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41102F"/>
    <w:multiLevelType w:val="multilevel"/>
    <w:tmpl w:val="016E3B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47B7054"/>
    <w:multiLevelType w:val="multilevel"/>
    <w:tmpl w:val="34D402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4A2387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1" w15:restartNumberingAfterBreak="0">
    <w:nsid w:val="4AD50011"/>
    <w:multiLevelType w:val="multilevel"/>
    <w:tmpl w:val="63B6C0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1E80865"/>
    <w:multiLevelType w:val="multilevel"/>
    <w:tmpl w:val="5BA2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6C1620"/>
    <w:multiLevelType w:val="hybridMultilevel"/>
    <w:tmpl w:val="60E0D39E"/>
    <w:lvl w:ilvl="0" w:tplc="D1F43E22">
      <w:start w:val="1"/>
      <w:numFmt w:val="upperLetter"/>
      <w:lvlText w:val="%1."/>
      <w:lvlJc w:val="left"/>
      <w:pPr>
        <w:ind w:left="1440" w:hanging="360"/>
      </w:pPr>
    </w:lvl>
    <w:lvl w:ilvl="1" w:tplc="310AC5C8">
      <w:start w:val="1"/>
      <w:numFmt w:val="upperLetter"/>
      <w:lvlText w:val="%2."/>
      <w:lvlJc w:val="left"/>
      <w:pPr>
        <w:ind w:left="1440" w:hanging="360"/>
      </w:pPr>
    </w:lvl>
    <w:lvl w:ilvl="2" w:tplc="680E6722">
      <w:start w:val="1"/>
      <w:numFmt w:val="decimal"/>
      <w:lvlText w:val="%3."/>
      <w:lvlJc w:val="left"/>
      <w:pPr>
        <w:ind w:left="2160" w:hanging="360"/>
      </w:pPr>
    </w:lvl>
    <w:lvl w:ilvl="3" w:tplc="E66C56CA">
      <w:start w:val="1"/>
      <w:numFmt w:val="lowerLetter"/>
      <w:lvlText w:val="%4)"/>
      <w:lvlJc w:val="left"/>
      <w:pPr>
        <w:ind w:left="2880" w:hanging="360"/>
      </w:pPr>
    </w:lvl>
    <w:lvl w:ilvl="4" w:tplc="C19AC656">
      <w:start w:val="1"/>
      <w:numFmt w:val="upperLetter"/>
      <w:lvlText w:val="%5."/>
      <w:lvlJc w:val="left"/>
      <w:pPr>
        <w:ind w:left="1440" w:hanging="360"/>
      </w:pPr>
    </w:lvl>
    <w:lvl w:ilvl="5" w:tplc="644AFBAA">
      <w:start w:val="1"/>
      <w:numFmt w:val="upperLetter"/>
      <w:lvlText w:val="%6."/>
      <w:lvlJc w:val="left"/>
      <w:pPr>
        <w:ind w:left="1440" w:hanging="360"/>
      </w:pPr>
    </w:lvl>
    <w:lvl w:ilvl="6" w:tplc="37981440">
      <w:start w:val="1"/>
      <w:numFmt w:val="upperLetter"/>
      <w:lvlText w:val="%7."/>
      <w:lvlJc w:val="left"/>
      <w:pPr>
        <w:ind w:left="1440" w:hanging="360"/>
      </w:pPr>
    </w:lvl>
    <w:lvl w:ilvl="7" w:tplc="41AE3A1E">
      <w:start w:val="1"/>
      <w:numFmt w:val="upperLetter"/>
      <w:lvlText w:val="%8."/>
      <w:lvlJc w:val="left"/>
      <w:pPr>
        <w:ind w:left="1440" w:hanging="360"/>
      </w:pPr>
    </w:lvl>
    <w:lvl w:ilvl="8" w:tplc="E182BC2C">
      <w:start w:val="1"/>
      <w:numFmt w:val="upperLetter"/>
      <w:lvlText w:val="%9."/>
      <w:lvlJc w:val="left"/>
      <w:pPr>
        <w:ind w:left="1440" w:hanging="360"/>
      </w:pPr>
    </w:lvl>
  </w:abstractNum>
  <w:abstractNum w:abstractNumId="24" w15:restartNumberingAfterBreak="0">
    <w:nsid w:val="572328E2"/>
    <w:multiLevelType w:val="multilevel"/>
    <w:tmpl w:val="2B4E9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C0CD3"/>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6" w15:restartNumberingAfterBreak="0">
    <w:nsid w:val="63F86C30"/>
    <w:multiLevelType w:val="multilevel"/>
    <w:tmpl w:val="5412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9E0379"/>
    <w:multiLevelType w:val="hybridMultilevel"/>
    <w:tmpl w:val="B1988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5B4DAB"/>
    <w:multiLevelType w:val="multilevel"/>
    <w:tmpl w:val="BD944D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2783CC1"/>
    <w:multiLevelType w:val="multilevel"/>
    <w:tmpl w:val="FD2C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80710C"/>
    <w:multiLevelType w:val="multilevel"/>
    <w:tmpl w:val="7208FD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25624658">
    <w:abstractNumId w:val="0"/>
  </w:num>
  <w:num w:numId="2" w16cid:durableId="187724622">
    <w:abstractNumId w:val="14"/>
  </w:num>
  <w:num w:numId="3" w16cid:durableId="582446378">
    <w:abstractNumId w:val="15"/>
  </w:num>
  <w:num w:numId="4" w16cid:durableId="933057495">
    <w:abstractNumId w:val="6"/>
  </w:num>
  <w:num w:numId="5" w16cid:durableId="494419657">
    <w:abstractNumId w:val="11"/>
  </w:num>
  <w:num w:numId="6" w16cid:durableId="203644131">
    <w:abstractNumId w:val="13"/>
  </w:num>
  <w:num w:numId="7" w16cid:durableId="820269075">
    <w:abstractNumId w:val="23"/>
  </w:num>
  <w:num w:numId="8" w16cid:durableId="2116098393">
    <w:abstractNumId w:val="7"/>
  </w:num>
  <w:num w:numId="9" w16cid:durableId="1298954326">
    <w:abstractNumId w:val="9"/>
  </w:num>
  <w:num w:numId="10" w16cid:durableId="449905821">
    <w:abstractNumId w:val="12"/>
  </w:num>
  <w:num w:numId="11" w16cid:durableId="603000614">
    <w:abstractNumId w:val="25"/>
  </w:num>
  <w:num w:numId="12" w16cid:durableId="403143217">
    <w:abstractNumId w:val="27"/>
  </w:num>
  <w:num w:numId="13" w16cid:durableId="21257344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6503995">
    <w:abstractNumId w:val="2"/>
  </w:num>
  <w:num w:numId="15" w16cid:durableId="1058699102">
    <w:abstractNumId w:val="18"/>
  </w:num>
  <w:num w:numId="16" w16cid:durableId="1569075114">
    <w:abstractNumId w:val="1"/>
  </w:num>
  <w:num w:numId="17" w16cid:durableId="151027318">
    <w:abstractNumId w:val="19"/>
  </w:num>
  <w:num w:numId="18" w16cid:durableId="648440763">
    <w:abstractNumId w:val="4"/>
  </w:num>
  <w:num w:numId="19" w16cid:durableId="2001300828">
    <w:abstractNumId w:val="3"/>
  </w:num>
  <w:num w:numId="20" w16cid:durableId="1863132991">
    <w:abstractNumId w:val="22"/>
  </w:num>
  <w:num w:numId="21" w16cid:durableId="380136451">
    <w:abstractNumId w:val="20"/>
  </w:num>
  <w:num w:numId="22" w16cid:durableId="1811825695">
    <w:abstractNumId w:val="8"/>
  </w:num>
  <w:num w:numId="23" w16cid:durableId="847983200">
    <w:abstractNumId w:val="10"/>
  </w:num>
  <w:num w:numId="24" w16cid:durableId="261646566">
    <w:abstractNumId w:val="16"/>
  </w:num>
  <w:num w:numId="25" w16cid:durableId="1631786326">
    <w:abstractNumId w:val="21"/>
  </w:num>
  <w:num w:numId="26" w16cid:durableId="484007883">
    <w:abstractNumId w:val="29"/>
  </w:num>
  <w:num w:numId="27" w16cid:durableId="169294617">
    <w:abstractNumId w:val="5"/>
  </w:num>
  <w:num w:numId="28" w16cid:durableId="1646353213">
    <w:abstractNumId w:val="30"/>
  </w:num>
  <w:num w:numId="29" w16cid:durableId="1287156679">
    <w:abstractNumId w:val="17"/>
  </w:num>
  <w:num w:numId="30" w16cid:durableId="1207452211">
    <w:abstractNumId w:val="28"/>
  </w:num>
  <w:num w:numId="31" w16cid:durableId="789973710">
    <w:abstractNumId w:val="24"/>
  </w:num>
  <w:num w:numId="32" w16cid:durableId="159621258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5D2"/>
    <w:rsid w:val="00002482"/>
    <w:rsid w:val="000050DE"/>
    <w:rsid w:val="000053EE"/>
    <w:rsid w:val="0000668A"/>
    <w:rsid w:val="0000700D"/>
    <w:rsid w:val="00010C79"/>
    <w:rsid w:val="000110DF"/>
    <w:rsid w:val="00014ADE"/>
    <w:rsid w:val="0001504A"/>
    <w:rsid w:val="00017300"/>
    <w:rsid w:val="00020A0C"/>
    <w:rsid w:val="000218F1"/>
    <w:rsid w:val="00021D36"/>
    <w:rsid w:val="00025E75"/>
    <w:rsid w:val="00026F3F"/>
    <w:rsid w:val="000334F8"/>
    <w:rsid w:val="00035154"/>
    <w:rsid w:val="0003528D"/>
    <w:rsid w:val="00044E64"/>
    <w:rsid w:val="000456C9"/>
    <w:rsid w:val="00046680"/>
    <w:rsid w:val="000478A1"/>
    <w:rsid w:val="0005207F"/>
    <w:rsid w:val="000532F0"/>
    <w:rsid w:val="000553A4"/>
    <w:rsid w:val="00057C42"/>
    <w:rsid w:val="00061692"/>
    <w:rsid w:val="00062977"/>
    <w:rsid w:val="00063943"/>
    <w:rsid w:val="000639D5"/>
    <w:rsid w:val="000655B5"/>
    <w:rsid w:val="00066B46"/>
    <w:rsid w:val="000700A3"/>
    <w:rsid w:val="00071CF2"/>
    <w:rsid w:val="000747E6"/>
    <w:rsid w:val="00077DEF"/>
    <w:rsid w:val="00080DC3"/>
    <w:rsid w:val="00082110"/>
    <w:rsid w:val="00083B1F"/>
    <w:rsid w:val="0008587A"/>
    <w:rsid w:val="00085E38"/>
    <w:rsid w:val="00087EA5"/>
    <w:rsid w:val="00092EA0"/>
    <w:rsid w:val="0009706D"/>
    <w:rsid w:val="00097AA3"/>
    <w:rsid w:val="000A05C3"/>
    <w:rsid w:val="000A117E"/>
    <w:rsid w:val="000A1EA6"/>
    <w:rsid w:val="000A24D1"/>
    <w:rsid w:val="000A2C6A"/>
    <w:rsid w:val="000A49B1"/>
    <w:rsid w:val="000A5D29"/>
    <w:rsid w:val="000A5DD1"/>
    <w:rsid w:val="000A5F9D"/>
    <w:rsid w:val="000A62C3"/>
    <w:rsid w:val="000A6348"/>
    <w:rsid w:val="000A67B3"/>
    <w:rsid w:val="000B16D1"/>
    <w:rsid w:val="000B3B36"/>
    <w:rsid w:val="000B4C2E"/>
    <w:rsid w:val="000C0066"/>
    <w:rsid w:val="000C1B0D"/>
    <w:rsid w:val="000C1E4A"/>
    <w:rsid w:val="000C52F0"/>
    <w:rsid w:val="000C5932"/>
    <w:rsid w:val="000D1E7E"/>
    <w:rsid w:val="000E019B"/>
    <w:rsid w:val="000E0926"/>
    <w:rsid w:val="000E0A2D"/>
    <w:rsid w:val="000E16BC"/>
    <w:rsid w:val="000E3E2F"/>
    <w:rsid w:val="000E4402"/>
    <w:rsid w:val="000E472C"/>
    <w:rsid w:val="000E5271"/>
    <w:rsid w:val="000F16F0"/>
    <w:rsid w:val="000F3A0F"/>
    <w:rsid w:val="000F5A84"/>
    <w:rsid w:val="000F6274"/>
    <w:rsid w:val="000F6332"/>
    <w:rsid w:val="000F6A17"/>
    <w:rsid w:val="000F6E81"/>
    <w:rsid w:val="001003A1"/>
    <w:rsid w:val="00101FB2"/>
    <w:rsid w:val="001023A5"/>
    <w:rsid w:val="001031EC"/>
    <w:rsid w:val="00105D42"/>
    <w:rsid w:val="00106856"/>
    <w:rsid w:val="00115E47"/>
    <w:rsid w:val="001168E9"/>
    <w:rsid w:val="0011693A"/>
    <w:rsid w:val="00116E34"/>
    <w:rsid w:val="00116EDC"/>
    <w:rsid w:val="00120330"/>
    <w:rsid w:val="00121F6B"/>
    <w:rsid w:val="001251A9"/>
    <w:rsid w:val="001257E7"/>
    <w:rsid w:val="00125E9D"/>
    <w:rsid w:val="00126332"/>
    <w:rsid w:val="0012665D"/>
    <w:rsid w:val="001303CB"/>
    <w:rsid w:val="001308E6"/>
    <w:rsid w:val="00134FB7"/>
    <w:rsid w:val="00136C5E"/>
    <w:rsid w:val="0014108A"/>
    <w:rsid w:val="00143349"/>
    <w:rsid w:val="00144368"/>
    <w:rsid w:val="00144AB8"/>
    <w:rsid w:val="0014537A"/>
    <w:rsid w:val="00145660"/>
    <w:rsid w:val="001506C5"/>
    <w:rsid w:val="00153D7E"/>
    <w:rsid w:val="00154F84"/>
    <w:rsid w:val="001551DB"/>
    <w:rsid w:val="001628ED"/>
    <w:rsid w:val="00164F2E"/>
    <w:rsid w:val="00166E18"/>
    <w:rsid w:val="00171CD9"/>
    <w:rsid w:val="00172E44"/>
    <w:rsid w:val="00181D8D"/>
    <w:rsid w:val="00183B71"/>
    <w:rsid w:val="001856E2"/>
    <w:rsid w:val="001857B4"/>
    <w:rsid w:val="00185B95"/>
    <w:rsid w:val="0018644F"/>
    <w:rsid w:val="001865BB"/>
    <w:rsid w:val="001866D2"/>
    <w:rsid w:val="00187B6F"/>
    <w:rsid w:val="00193E03"/>
    <w:rsid w:val="001A0AB7"/>
    <w:rsid w:val="001A1694"/>
    <w:rsid w:val="001A4921"/>
    <w:rsid w:val="001A5E52"/>
    <w:rsid w:val="001A66C8"/>
    <w:rsid w:val="001B0D4B"/>
    <w:rsid w:val="001B2ACC"/>
    <w:rsid w:val="001B334C"/>
    <w:rsid w:val="001B6090"/>
    <w:rsid w:val="001B64A7"/>
    <w:rsid w:val="001B6E2B"/>
    <w:rsid w:val="001B73DC"/>
    <w:rsid w:val="001B7ECA"/>
    <w:rsid w:val="001C426B"/>
    <w:rsid w:val="001C50D3"/>
    <w:rsid w:val="001C5590"/>
    <w:rsid w:val="001D0ABD"/>
    <w:rsid w:val="001D157C"/>
    <w:rsid w:val="001D16D4"/>
    <w:rsid w:val="001D3394"/>
    <w:rsid w:val="001E003C"/>
    <w:rsid w:val="001E0F21"/>
    <w:rsid w:val="001E1EE8"/>
    <w:rsid w:val="001E2215"/>
    <w:rsid w:val="001E3CE0"/>
    <w:rsid w:val="001E43B6"/>
    <w:rsid w:val="001E51F5"/>
    <w:rsid w:val="001F3E04"/>
    <w:rsid w:val="001F3EAF"/>
    <w:rsid w:val="001F440A"/>
    <w:rsid w:val="001F4568"/>
    <w:rsid w:val="001F4796"/>
    <w:rsid w:val="001F5666"/>
    <w:rsid w:val="001F7369"/>
    <w:rsid w:val="00200995"/>
    <w:rsid w:val="0020163F"/>
    <w:rsid w:val="002062FC"/>
    <w:rsid w:val="002064ED"/>
    <w:rsid w:val="00210951"/>
    <w:rsid w:val="0021115B"/>
    <w:rsid w:val="00212B6A"/>
    <w:rsid w:val="00214403"/>
    <w:rsid w:val="00216059"/>
    <w:rsid w:val="00217ABE"/>
    <w:rsid w:val="00222743"/>
    <w:rsid w:val="00222BB6"/>
    <w:rsid w:val="002235D1"/>
    <w:rsid w:val="00224129"/>
    <w:rsid w:val="00226413"/>
    <w:rsid w:val="00226DB1"/>
    <w:rsid w:val="00226E45"/>
    <w:rsid w:val="00227D0A"/>
    <w:rsid w:val="00233121"/>
    <w:rsid w:val="002335F6"/>
    <w:rsid w:val="00234640"/>
    <w:rsid w:val="00237F9B"/>
    <w:rsid w:val="002401F3"/>
    <w:rsid w:val="0024181A"/>
    <w:rsid w:val="00241FE7"/>
    <w:rsid w:val="00242C47"/>
    <w:rsid w:val="002444EF"/>
    <w:rsid w:val="00244999"/>
    <w:rsid w:val="002455A4"/>
    <w:rsid w:val="0024562A"/>
    <w:rsid w:val="00245A45"/>
    <w:rsid w:val="00247684"/>
    <w:rsid w:val="00247935"/>
    <w:rsid w:val="00250B6F"/>
    <w:rsid w:val="00251421"/>
    <w:rsid w:val="0025235F"/>
    <w:rsid w:val="00252545"/>
    <w:rsid w:val="002553DE"/>
    <w:rsid w:val="00257952"/>
    <w:rsid w:val="00260984"/>
    <w:rsid w:val="00261BCE"/>
    <w:rsid w:val="00262A29"/>
    <w:rsid w:val="00263ECF"/>
    <w:rsid w:val="00264199"/>
    <w:rsid w:val="00266568"/>
    <w:rsid w:val="00267FCC"/>
    <w:rsid w:val="00271D30"/>
    <w:rsid w:val="00277037"/>
    <w:rsid w:val="00280C53"/>
    <w:rsid w:val="002814C7"/>
    <w:rsid w:val="0028153D"/>
    <w:rsid w:val="00281A7D"/>
    <w:rsid w:val="00287D54"/>
    <w:rsid w:val="00292A32"/>
    <w:rsid w:val="00293B2D"/>
    <w:rsid w:val="00294C17"/>
    <w:rsid w:val="002A0F4A"/>
    <w:rsid w:val="002A2DA9"/>
    <w:rsid w:val="002A4126"/>
    <w:rsid w:val="002A48B2"/>
    <w:rsid w:val="002A579B"/>
    <w:rsid w:val="002A674F"/>
    <w:rsid w:val="002A77BA"/>
    <w:rsid w:val="002B05D4"/>
    <w:rsid w:val="002B2F34"/>
    <w:rsid w:val="002B5477"/>
    <w:rsid w:val="002B5D6E"/>
    <w:rsid w:val="002B6654"/>
    <w:rsid w:val="002B696A"/>
    <w:rsid w:val="002C13EF"/>
    <w:rsid w:val="002C1517"/>
    <w:rsid w:val="002C4D1F"/>
    <w:rsid w:val="002C514F"/>
    <w:rsid w:val="002C54DA"/>
    <w:rsid w:val="002C5B28"/>
    <w:rsid w:val="002C6F32"/>
    <w:rsid w:val="002C7575"/>
    <w:rsid w:val="002D06D0"/>
    <w:rsid w:val="002D0B46"/>
    <w:rsid w:val="002D0FDC"/>
    <w:rsid w:val="002D127E"/>
    <w:rsid w:val="002D1426"/>
    <w:rsid w:val="002D1D88"/>
    <w:rsid w:val="002D33D1"/>
    <w:rsid w:val="002D5C8D"/>
    <w:rsid w:val="002D7D4E"/>
    <w:rsid w:val="002D7F93"/>
    <w:rsid w:val="002E2DE2"/>
    <w:rsid w:val="002E2F8B"/>
    <w:rsid w:val="002E51EC"/>
    <w:rsid w:val="002F6495"/>
    <w:rsid w:val="003003DE"/>
    <w:rsid w:val="00300705"/>
    <w:rsid w:val="00301C43"/>
    <w:rsid w:val="00301EB2"/>
    <w:rsid w:val="00302D79"/>
    <w:rsid w:val="00304AE9"/>
    <w:rsid w:val="003060F4"/>
    <w:rsid w:val="003062B8"/>
    <w:rsid w:val="00306381"/>
    <w:rsid w:val="00307073"/>
    <w:rsid w:val="00307C42"/>
    <w:rsid w:val="00307E41"/>
    <w:rsid w:val="003105DF"/>
    <w:rsid w:val="0031217F"/>
    <w:rsid w:val="003121CD"/>
    <w:rsid w:val="00314AF7"/>
    <w:rsid w:val="00315219"/>
    <w:rsid w:val="0031550A"/>
    <w:rsid w:val="00317219"/>
    <w:rsid w:val="00321FF5"/>
    <w:rsid w:val="00322F81"/>
    <w:rsid w:val="003237F3"/>
    <w:rsid w:val="00323C55"/>
    <w:rsid w:val="0032407C"/>
    <w:rsid w:val="00324EA8"/>
    <w:rsid w:val="00326663"/>
    <w:rsid w:val="00330D3C"/>
    <w:rsid w:val="00330F0A"/>
    <w:rsid w:val="00332564"/>
    <w:rsid w:val="00333132"/>
    <w:rsid w:val="0033439D"/>
    <w:rsid w:val="00335F48"/>
    <w:rsid w:val="003375AD"/>
    <w:rsid w:val="003401AD"/>
    <w:rsid w:val="00341110"/>
    <w:rsid w:val="00341CA3"/>
    <w:rsid w:val="003422C6"/>
    <w:rsid w:val="00342553"/>
    <w:rsid w:val="00344A03"/>
    <w:rsid w:val="00344C5B"/>
    <w:rsid w:val="00345319"/>
    <w:rsid w:val="00346CA5"/>
    <w:rsid w:val="00347ECE"/>
    <w:rsid w:val="0035136B"/>
    <w:rsid w:val="00352B86"/>
    <w:rsid w:val="00352E0C"/>
    <w:rsid w:val="00354618"/>
    <w:rsid w:val="00355D5F"/>
    <w:rsid w:val="0035650B"/>
    <w:rsid w:val="003613F5"/>
    <w:rsid w:val="003613FA"/>
    <w:rsid w:val="003622F9"/>
    <w:rsid w:val="00362D48"/>
    <w:rsid w:val="00363204"/>
    <w:rsid w:val="00363D0F"/>
    <w:rsid w:val="00364038"/>
    <w:rsid w:val="00364952"/>
    <w:rsid w:val="00364FB7"/>
    <w:rsid w:val="003668EB"/>
    <w:rsid w:val="00370E48"/>
    <w:rsid w:val="00370EF2"/>
    <w:rsid w:val="00373836"/>
    <w:rsid w:val="003745EA"/>
    <w:rsid w:val="00381872"/>
    <w:rsid w:val="0038319F"/>
    <w:rsid w:val="00383AF4"/>
    <w:rsid w:val="00383E74"/>
    <w:rsid w:val="003843CB"/>
    <w:rsid w:val="00386403"/>
    <w:rsid w:val="00387CED"/>
    <w:rsid w:val="0039063F"/>
    <w:rsid w:val="00394A16"/>
    <w:rsid w:val="00394D21"/>
    <w:rsid w:val="003960D0"/>
    <w:rsid w:val="003961B2"/>
    <w:rsid w:val="003A1811"/>
    <w:rsid w:val="003A2A46"/>
    <w:rsid w:val="003A4738"/>
    <w:rsid w:val="003C0AFB"/>
    <w:rsid w:val="003C0C50"/>
    <w:rsid w:val="003C5B87"/>
    <w:rsid w:val="003D32B7"/>
    <w:rsid w:val="003D4366"/>
    <w:rsid w:val="003D5002"/>
    <w:rsid w:val="003D5ECD"/>
    <w:rsid w:val="003E05E9"/>
    <w:rsid w:val="003E0AB2"/>
    <w:rsid w:val="003E0E45"/>
    <w:rsid w:val="003E1426"/>
    <w:rsid w:val="003E1CBE"/>
    <w:rsid w:val="003E3C92"/>
    <w:rsid w:val="003E46CD"/>
    <w:rsid w:val="003E7E41"/>
    <w:rsid w:val="003E7FBA"/>
    <w:rsid w:val="003F11FF"/>
    <w:rsid w:val="003F1F36"/>
    <w:rsid w:val="003F1FDF"/>
    <w:rsid w:val="003F22DD"/>
    <w:rsid w:val="003F2A2E"/>
    <w:rsid w:val="003F5AD0"/>
    <w:rsid w:val="003F6181"/>
    <w:rsid w:val="003F69FC"/>
    <w:rsid w:val="003F6CF9"/>
    <w:rsid w:val="003F744D"/>
    <w:rsid w:val="00403117"/>
    <w:rsid w:val="00403185"/>
    <w:rsid w:val="00406774"/>
    <w:rsid w:val="00410C35"/>
    <w:rsid w:val="00411556"/>
    <w:rsid w:val="00412933"/>
    <w:rsid w:val="00413CBB"/>
    <w:rsid w:val="004142A5"/>
    <w:rsid w:val="00420906"/>
    <w:rsid w:val="00420F9B"/>
    <w:rsid w:val="0042105E"/>
    <w:rsid w:val="004302E1"/>
    <w:rsid w:val="004335DB"/>
    <w:rsid w:val="00435284"/>
    <w:rsid w:val="00436A4C"/>
    <w:rsid w:val="00437AF9"/>
    <w:rsid w:val="00437EC8"/>
    <w:rsid w:val="00440872"/>
    <w:rsid w:val="00441134"/>
    <w:rsid w:val="004431B7"/>
    <w:rsid w:val="00445B0C"/>
    <w:rsid w:val="004465D6"/>
    <w:rsid w:val="0044690A"/>
    <w:rsid w:val="00447851"/>
    <w:rsid w:val="0045278C"/>
    <w:rsid w:val="00452D9E"/>
    <w:rsid w:val="00452EAE"/>
    <w:rsid w:val="00461F40"/>
    <w:rsid w:val="00464C2B"/>
    <w:rsid w:val="00464E40"/>
    <w:rsid w:val="00467182"/>
    <w:rsid w:val="004708A4"/>
    <w:rsid w:val="0047130C"/>
    <w:rsid w:val="00471EE4"/>
    <w:rsid w:val="00472B07"/>
    <w:rsid w:val="00473610"/>
    <w:rsid w:val="00474672"/>
    <w:rsid w:val="00474879"/>
    <w:rsid w:val="00474E64"/>
    <w:rsid w:val="004808CE"/>
    <w:rsid w:val="00480935"/>
    <w:rsid w:val="00480F1D"/>
    <w:rsid w:val="004815D3"/>
    <w:rsid w:val="00483FD6"/>
    <w:rsid w:val="00484C6D"/>
    <w:rsid w:val="004861FA"/>
    <w:rsid w:val="00487D6F"/>
    <w:rsid w:val="0049179B"/>
    <w:rsid w:val="00492271"/>
    <w:rsid w:val="0049359D"/>
    <w:rsid w:val="0049542A"/>
    <w:rsid w:val="004963A4"/>
    <w:rsid w:val="004965A3"/>
    <w:rsid w:val="004A32E2"/>
    <w:rsid w:val="004A602A"/>
    <w:rsid w:val="004A7EEC"/>
    <w:rsid w:val="004A7FEA"/>
    <w:rsid w:val="004B3C82"/>
    <w:rsid w:val="004B4325"/>
    <w:rsid w:val="004C0E5C"/>
    <w:rsid w:val="004C2BA1"/>
    <w:rsid w:val="004C3972"/>
    <w:rsid w:val="004C5304"/>
    <w:rsid w:val="004C7FAC"/>
    <w:rsid w:val="004D1C98"/>
    <w:rsid w:val="004D2293"/>
    <w:rsid w:val="004D4173"/>
    <w:rsid w:val="004D70FE"/>
    <w:rsid w:val="004E0CBC"/>
    <w:rsid w:val="004E25EB"/>
    <w:rsid w:val="004E749C"/>
    <w:rsid w:val="004F0A9A"/>
    <w:rsid w:val="004F0B03"/>
    <w:rsid w:val="00500452"/>
    <w:rsid w:val="00501DDF"/>
    <w:rsid w:val="00501FC7"/>
    <w:rsid w:val="005058ED"/>
    <w:rsid w:val="00506E49"/>
    <w:rsid w:val="00507AB3"/>
    <w:rsid w:val="0051253E"/>
    <w:rsid w:val="00513102"/>
    <w:rsid w:val="005148BD"/>
    <w:rsid w:val="005219D6"/>
    <w:rsid w:val="00522541"/>
    <w:rsid w:val="0052512A"/>
    <w:rsid w:val="005255DF"/>
    <w:rsid w:val="005260CC"/>
    <w:rsid w:val="0052668B"/>
    <w:rsid w:val="00527A41"/>
    <w:rsid w:val="00534285"/>
    <w:rsid w:val="00535A4C"/>
    <w:rsid w:val="0054053E"/>
    <w:rsid w:val="005407F3"/>
    <w:rsid w:val="005414E3"/>
    <w:rsid w:val="00541CEB"/>
    <w:rsid w:val="00547686"/>
    <w:rsid w:val="00547BFE"/>
    <w:rsid w:val="0055265D"/>
    <w:rsid w:val="00555644"/>
    <w:rsid w:val="00555A22"/>
    <w:rsid w:val="00556E9B"/>
    <w:rsid w:val="00557ACE"/>
    <w:rsid w:val="00563906"/>
    <w:rsid w:val="00563E35"/>
    <w:rsid w:val="005643A5"/>
    <w:rsid w:val="0056448B"/>
    <w:rsid w:val="00565494"/>
    <w:rsid w:val="005655C7"/>
    <w:rsid w:val="005670D1"/>
    <w:rsid w:val="0057220E"/>
    <w:rsid w:val="005741F3"/>
    <w:rsid w:val="00574E4A"/>
    <w:rsid w:val="00577EBB"/>
    <w:rsid w:val="00582116"/>
    <w:rsid w:val="00583D4E"/>
    <w:rsid w:val="00584579"/>
    <w:rsid w:val="0058560B"/>
    <w:rsid w:val="005864B5"/>
    <w:rsid w:val="00590B74"/>
    <w:rsid w:val="00590C2A"/>
    <w:rsid w:val="00595AD4"/>
    <w:rsid w:val="00595AF1"/>
    <w:rsid w:val="005A0975"/>
    <w:rsid w:val="005A0C43"/>
    <w:rsid w:val="005A1365"/>
    <w:rsid w:val="005A17F6"/>
    <w:rsid w:val="005A1DBA"/>
    <w:rsid w:val="005A473E"/>
    <w:rsid w:val="005A623A"/>
    <w:rsid w:val="005A6CF8"/>
    <w:rsid w:val="005A7F52"/>
    <w:rsid w:val="005B52D2"/>
    <w:rsid w:val="005B6758"/>
    <w:rsid w:val="005C4606"/>
    <w:rsid w:val="005C4FDB"/>
    <w:rsid w:val="005C52BB"/>
    <w:rsid w:val="005C6706"/>
    <w:rsid w:val="005C75BD"/>
    <w:rsid w:val="005D0C4F"/>
    <w:rsid w:val="005D0D74"/>
    <w:rsid w:val="005D33CB"/>
    <w:rsid w:val="005D796E"/>
    <w:rsid w:val="005E0E46"/>
    <w:rsid w:val="005E14AF"/>
    <w:rsid w:val="005E22CB"/>
    <w:rsid w:val="005E2886"/>
    <w:rsid w:val="005E2B76"/>
    <w:rsid w:val="005E364A"/>
    <w:rsid w:val="005E66A7"/>
    <w:rsid w:val="005E72F1"/>
    <w:rsid w:val="005F0DB5"/>
    <w:rsid w:val="005F1634"/>
    <w:rsid w:val="005F395E"/>
    <w:rsid w:val="005F5B10"/>
    <w:rsid w:val="005F6F50"/>
    <w:rsid w:val="005F7584"/>
    <w:rsid w:val="00600F6C"/>
    <w:rsid w:val="00601EF2"/>
    <w:rsid w:val="006036B4"/>
    <w:rsid w:val="0060790B"/>
    <w:rsid w:val="00607AA0"/>
    <w:rsid w:val="00607E4B"/>
    <w:rsid w:val="00607F10"/>
    <w:rsid w:val="006108C4"/>
    <w:rsid w:val="006119B1"/>
    <w:rsid w:val="00614BC9"/>
    <w:rsid w:val="00617688"/>
    <w:rsid w:val="00620591"/>
    <w:rsid w:val="0062212A"/>
    <w:rsid w:val="00623C6B"/>
    <w:rsid w:val="0062437C"/>
    <w:rsid w:val="0062437E"/>
    <w:rsid w:val="0062548F"/>
    <w:rsid w:val="00625B1F"/>
    <w:rsid w:val="00626B54"/>
    <w:rsid w:val="00627BC9"/>
    <w:rsid w:val="006307E4"/>
    <w:rsid w:val="00631DFE"/>
    <w:rsid w:val="006331DD"/>
    <w:rsid w:val="006336A7"/>
    <w:rsid w:val="00633B03"/>
    <w:rsid w:val="00634962"/>
    <w:rsid w:val="0063499F"/>
    <w:rsid w:val="00641C59"/>
    <w:rsid w:val="00641FDD"/>
    <w:rsid w:val="00642A18"/>
    <w:rsid w:val="00643E66"/>
    <w:rsid w:val="00644ABC"/>
    <w:rsid w:val="0064658D"/>
    <w:rsid w:val="006465A8"/>
    <w:rsid w:val="0065015E"/>
    <w:rsid w:val="00653998"/>
    <w:rsid w:val="006561FC"/>
    <w:rsid w:val="00656D0D"/>
    <w:rsid w:val="00661AA4"/>
    <w:rsid w:val="00661CC5"/>
    <w:rsid w:val="0066261F"/>
    <w:rsid w:val="00665590"/>
    <w:rsid w:val="00670363"/>
    <w:rsid w:val="006742FA"/>
    <w:rsid w:val="00674FBE"/>
    <w:rsid w:val="006754C9"/>
    <w:rsid w:val="00677A23"/>
    <w:rsid w:val="00680183"/>
    <w:rsid w:val="006808DC"/>
    <w:rsid w:val="00683966"/>
    <w:rsid w:val="0068398E"/>
    <w:rsid w:val="00690796"/>
    <w:rsid w:val="00691F67"/>
    <w:rsid w:val="00693FD0"/>
    <w:rsid w:val="006941C1"/>
    <w:rsid w:val="0069446A"/>
    <w:rsid w:val="006959AF"/>
    <w:rsid w:val="0069706A"/>
    <w:rsid w:val="006972E4"/>
    <w:rsid w:val="00697C20"/>
    <w:rsid w:val="006A27B0"/>
    <w:rsid w:val="006A53C6"/>
    <w:rsid w:val="006B0ECE"/>
    <w:rsid w:val="006B2BA4"/>
    <w:rsid w:val="006B2E5A"/>
    <w:rsid w:val="006B67F4"/>
    <w:rsid w:val="006C0FEE"/>
    <w:rsid w:val="006C39C4"/>
    <w:rsid w:val="006C4784"/>
    <w:rsid w:val="006C4DD0"/>
    <w:rsid w:val="006C562E"/>
    <w:rsid w:val="006C5B9F"/>
    <w:rsid w:val="006C71A9"/>
    <w:rsid w:val="006D009E"/>
    <w:rsid w:val="006D00D7"/>
    <w:rsid w:val="006D043E"/>
    <w:rsid w:val="006D0BFF"/>
    <w:rsid w:val="006D37FA"/>
    <w:rsid w:val="006D3C75"/>
    <w:rsid w:val="006D458D"/>
    <w:rsid w:val="006D4615"/>
    <w:rsid w:val="006D5B64"/>
    <w:rsid w:val="006D68DC"/>
    <w:rsid w:val="006E0F95"/>
    <w:rsid w:val="006E3B6A"/>
    <w:rsid w:val="006E41F8"/>
    <w:rsid w:val="006F375E"/>
    <w:rsid w:val="006F3ED6"/>
    <w:rsid w:val="006F576A"/>
    <w:rsid w:val="006F5E7C"/>
    <w:rsid w:val="007023E3"/>
    <w:rsid w:val="0070260C"/>
    <w:rsid w:val="0070408F"/>
    <w:rsid w:val="007044DF"/>
    <w:rsid w:val="00706690"/>
    <w:rsid w:val="00707467"/>
    <w:rsid w:val="00707C6D"/>
    <w:rsid w:val="007114AE"/>
    <w:rsid w:val="00713A03"/>
    <w:rsid w:val="00714A69"/>
    <w:rsid w:val="00714AB3"/>
    <w:rsid w:val="00715854"/>
    <w:rsid w:val="00715E4F"/>
    <w:rsid w:val="00716EA1"/>
    <w:rsid w:val="00720117"/>
    <w:rsid w:val="00722B42"/>
    <w:rsid w:val="00723062"/>
    <w:rsid w:val="00723BE4"/>
    <w:rsid w:val="00726306"/>
    <w:rsid w:val="007277A2"/>
    <w:rsid w:val="00730A56"/>
    <w:rsid w:val="00730B99"/>
    <w:rsid w:val="00730BAE"/>
    <w:rsid w:val="0073129B"/>
    <w:rsid w:val="00732895"/>
    <w:rsid w:val="00734E9B"/>
    <w:rsid w:val="00735471"/>
    <w:rsid w:val="007363F1"/>
    <w:rsid w:val="00743127"/>
    <w:rsid w:val="007450A5"/>
    <w:rsid w:val="00745FC3"/>
    <w:rsid w:val="0075288D"/>
    <w:rsid w:val="00754482"/>
    <w:rsid w:val="00755F60"/>
    <w:rsid w:val="0075690D"/>
    <w:rsid w:val="00756D98"/>
    <w:rsid w:val="00761976"/>
    <w:rsid w:val="0076536E"/>
    <w:rsid w:val="0076636D"/>
    <w:rsid w:val="00766495"/>
    <w:rsid w:val="00767806"/>
    <w:rsid w:val="007714C8"/>
    <w:rsid w:val="007718F6"/>
    <w:rsid w:val="0077326B"/>
    <w:rsid w:val="00773E40"/>
    <w:rsid w:val="0077478C"/>
    <w:rsid w:val="007762C0"/>
    <w:rsid w:val="00776D3C"/>
    <w:rsid w:val="00777823"/>
    <w:rsid w:val="007806A9"/>
    <w:rsid w:val="007839B2"/>
    <w:rsid w:val="00784C3A"/>
    <w:rsid w:val="007871F6"/>
    <w:rsid w:val="00790DD1"/>
    <w:rsid w:val="007921C4"/>
    <w:rsid w:val="00792C74"/>
    <w:rsid w:val="007945EC"/>
    <w:rsid w:val="00795004"/>
    <w:rsid w:val="007A2682"/>
    <w:rsid w:val="007A550E"/>
    <w:rsid w:val="007A68F4"/>
    <w:rsid w:val="007A7859"/>
    <w:rsid w:val="007B4257"/>
    <w:rsid w:val="007C06A4"/>
    <w:rsid w:val="007C2FE9"/>
    <w:rsid w:val="007C3B8F"/>
    <w:rsid w:val="007C70FE"/>
    <w:rsid w:val="007D2A99"/>
    <w:rsid w:val="007D3030"/>
    <w:rsid w:val="007D3FF0"/>
    <w:rsid w:val="007E1C6C"/>
    <w:rsid w:val="007E76F1"/>
    <w:rsid w:val="007F13B2"/>
    <w:rsid w:val="007F22BA"/>
    <w:rsid w:val="007F421B"/>
    <w:rsid w:val="007F571A"/>
    <w:rsid w:val="007F5E0A"/>
    <w:rsid w:val="008021D1"/>
    <w:rsid w:val="008034A6"/>
    <w:rsid w:val="00803A74"/>
    <w:rsid w:val="00803E87"/>
    <w:rsid w:val="00803E92"/>
    <w:rsid w:val="00804DFB"/>
    <w:rsid w:val="00804E46"/>
    <w:rsid w:val="008075A0"/>
    <w:rsid w:val="00807D6B"/>
    <w:rsid w:val="0081068B"/>
    <w:rsid w:val="00812014"/>
    <w:rsid w:val="008127F5"/>
    <w:rsid w:val="0081340F"/>
    <w:rsid w:val="00815014"/>
    <w:rsid w:val="00817265"/>
    <w:rsid w:val="008179A1"/>
    <w:rsid w:val="00817C92"/>
    <w:rsid w:val="0082094E"/>
    <w:rsid w:val="00820E33"/>
    <w:rsid w:val="008215D2"/>
    <w:rsid w:val="0082194B"/>
    <w:rsid w:val="00825846"/>
    <w:rsid w:val="00826384"/>
    <w:rsid w:val="00826978"/>
    <w:rsid w:val="008308D4"/>
    <w:rsid w:val="008312CB"/>
    <w:rsid w:val="0083214B"/>
    <w:rsid w:val="00832B1A"/>
    <w:rsid w:val="00833D49"/>
    <w:rsid w:val="00840210"/>
    <w:rsid w:val="00842024"/>
    <w:rsid w:val="00842603"/>
    <w:rsid w:val="00842A56"/>
    <w:rsid w:val="00843566"/>
    <w:rsid w:val="00843DCA"/>
    <w:rsid w:val="00847D73"/>
    <w:rsid w:val="00853EF6"/>
    <w:rsid w:val="0085468F"/>
    <w:rsid w:val="008546BD"/>
    <w:rsid w:val="0085495B"/>
    <w:rsid w:val="00854B75"/>
    <w:rsid w:val="00855E6A"/>
    <w:rsid w:val="0085736A"/>
    <w:rsid w:val="008609D3"/>
    <w:rsid w:val="008648CC"/>
    <w:rsid w:val="008670E2"/>
    <w:rsid w:val="00870251"/>
    <w:rsid w:val="00870342"/>
    <w:rsid w:val="00873089"/>
    <w:rsid w:val="0087349E"/>
    <w:rsid w:val="00875DA9"/>
    <w:rsid w:val="0087645F"/>
    <w:rsid w:val="008778BE"/>
    <w:rsid w:val="00877B1C"/>
    <w:rsid w:val="00880D1A"/>
    <w:rsid w:val="00881BC6"/>
    <w:rsid w:val="00882152"/>
    <w:rsid w:val="00883EA7"/>
    <w:rsid w:val="008878C5"/>
    <w:rsid w:val="00892EA8"/>
    <w:rsid w:val="00893F0D"/>
    <w:rsid w:val="008940AB"/>
    <w:rsid w:val="00894BB0"/>
    <w:rsid w:val="00894C38"/>
    <w:rsid w:val="0089588C"/>
    <w:rsid w:val="008A188D"/>
    <w:rsid w:val="008A29AA"/>
    <w:rsid w:val="008A2B9B"/>
    <w:rsid w:val="008A2CBD"/>
    <w:rsid w:val="008A4BA4"/>
    <w:rsid w:val="008A54E3"/>
    <w:rsid w:val="008A571D"/>
    <w:rsid w:val="008A5B3B"/>
    <w:rsid w:val="008A6F34"/>
    <w:rsid w:val="008B39CA"/>
    <w:rsid w:val="008B494A"/>
    <w:rsid w:val="008B577E"/>
    <w:rsid w:val="008B680C"/>
    <w:rsid w:val="008B747E"/>
    <w:rsid w:val="008C37C1"/>
    <w:rsid w:val="008C435C"/>
    <w:rsid w:val="008C4681"/>
    <w:rsid w:val="008D161D"/>
    <w:rsid w:val="008D2D5E"/>
    <w:rsid w:val="008D30CF"/>
    <w:rsid w:val="008D3137"/>
    <w:rsid w:val="008D5ABE"/>
    <w:rsid w:val="008E0FF9"/>
    <w:rsid w:val="008E1287"/>
    <w:rsid w:val="008E1FBE"/>
    <w:rsid w:val="008E4228"/>
    <w:rsid w:val="008E4622"/>
    <w:rsid w:val="008F03DF"/>
    <w:rsid w:val="008F0C1B"/>
    <w:rsid w:val="008F3AC9"/>
    <w:rsid w:val="008F42CF"/>
    <w:rsid w:val="008F437F"/>
    <w:rsid w:val="008F4FFC"/>
    <w:rsid w:val="008F6E64"/>
    <w:rsid w:val="008F7C7A"/>
    <w:rsid w:val="008F7F1B"/>
    <w:rsid w:val="00900765"/>
    <w:rsid w:val="00900B1C"/>
    <w:rsid w:val="009013E6"/>
    <w:rsid w:val="00901915"/>
    <w:rsid w:val="00902C4C"/>
    <w:rsid w:val="00902C6B"/>
    <w:rsid w:val="009033A6"/>
    <w:rsid w:val="009042EA"/>
    <w:rsid w:val="0090545C"/>
    <w:rsid w:val="009076A1"/>
    <w:rsid w:val="009102D1"/>
    <w:rsid w:val="00911F34"/>
    <w:rsid w:val="009122BA"/>
    <w:rsid w:val="00916031"/>
    <w:rsid w:val="00921D4A"/>
    <w:rsid w:val="009225F6"/>
    <w:rsid w:val="009232C5"/>
    <w:rsid w:val="009234B6"/>
    <w:rsid w:val="009236FD"/>
    <w:rsid w:val="0092504E"/>
    <w:rsid w:val="009256EF"/>
    <w:rsid w:val="009311CE"/>
    <w:rsid w:val="00933AA3"/>
    <w:rsid w:val="0093648C"/>
    <w:rsid w:val="00936BBB"/>
    <w:rsid w:val="009413AB"/>
    <w:rsid w:val="0094262F"/>
    <w:rsid w:val="00942E48"/>
    <w:rsid w:val="009438DD"/>
    <w:rsid w:val="009469AD"/>
    <w:rsid w:val="00946EDE"/>
    <w:rsid w:val="00947DE1"/>
    <w:rsid w:val="009505F8"/>
    <w:rsid w:val="00954F96"/>
    <w:rsid w:val="009574A2"/>
    <w:rsid w:val="00957D57"/>
    <w:rsid w:val="00960C05"/>
    <w:rsid w:val="009620EF"/>
    <w:rsid w:val="009625D3"/>
    <w:rsid w:val="00962F5A"/>
    <w:rsid w:val="00965257"/>
    <w:rsid w:val="00965EE2"/>
    <w:rsid w:val="0097184B"/>
    <w:rsid w:val="00971CE1"/>
    <w:rsid w:val="009725E2"/>
    <w:rsid w:val="009727A0"/>
    <w:rsid w:val="00974D13"/>
    <w:rsid w:val="009767D4"/>
    <w:rsid w:val="0097D64A"/>
    <w:rsid w:val="00980500"/>
    <w:rsid w:val="00980B41"/>
    <w:rsid w:val="00980EA5"/>
    <w:rsid w:val="0098161C"/>
    <w:rsid w:val="009831AF"/>
    <w:rsid w:val="00984BF8"/>
    <w:rsid w:val="00984DD9"/>
    <w:rsid w:val="00987D6D"/>
    <w:rsid w:val="00996835"/>
    <w:rsid w:val="009A0933"/>
    <w:rsid w:val="009A1D49"/>
    <w:rsid w:val="009A1F27"/>
    <w:rsid w:val="009A3A3A"/>
    <w:rsid w:val="009A57AB"/>
    <w:rsid w:val="009A7259"/>
    <w:rsid w:val="009A7CF8"/>
    <w:rsid w:val="009B30A2"/>
    <w:rsid w:val="009B38BB"/>
    <w:rsid w:val="009B4DA4"/>
    <w:rsid w:val="009B748F"/>
    <w:rsid w:val="009B7D5E"/>
    <w:rsid w:val="009B7DE2"/>
    <w:rsid w:val="009B7E2E"/>
    <w:rsid w:val="009B7E32"/>
    <w:rsid w:val="009C0357"/>
    <w:rsid w:val="009C35B5"/>
    <w:rsid w:val="009C4AD0"/>
    <w:rsid w:val="009C5FFC"/>
    <w:rsid w:val="009C7011"/>
    <w:rsid w:val="009D002C"/>
    <w:rsid w:val="009D17A2"/>
    <w:rsid w:val="009D1FBF"/>
    <w:rsid w:val="009D2E0A"/>
    <w:rsid w:val="009D2FFD"/>
    <w:rsid w:val="009D6B61"/>
    <w:rsid w:val="009E07E9"/>
    <w:rsid w:val="009E6C4C"/>
    <w:rsid w:val="009E7C56"/>
    <w:rsid w:val="009F0FD6"/>
    <w:rsid w:val="009F3D08"/>
    <w:rsid w:val="009F4619"/>
    <w:rsid w:val="009F4B17"/>
    <w:rsid w:val="009F4BC2"/>
    <w:rsid w:val="009F5668"/>
    <w:rsid w:val="009F5A78"/>
    <w:rsid w:val="009F6937"/>
    <w:rsid w:val="009F765A"/>
    <w:rsid w:val="00A00591"/>
    <w:rsid w:val="00A02249"/>
    <w:rsid w:val="00A03F8A"/>
    <w:rsid w:val="00A04593"/>
    <w:rsid w:val="00A04C87"/>
    <w:rsid w:val="00A062F2"/>
    <w:rsid w:val="00A0683D"/>
    <w:rsid w:val="00A10184"/>
    <w:rsid w:val="00A11C76"/>
    <w:rsid w:val="00A12640"/>
    <w:rsid w:val="00A143C3"/>
    <w:rsid w:val="00A17CE1"/>
    <w:rsid w:val="00A223E2"/>
    <w:rsid w:val="00A2515A"/>
    <w:rsid w:val="00A30B31"/>
    <w:rsid w:val="00A32397"/>
    <w:rsid w:val="00A3374A"/>
    <w:rsid w:val="00A35424"/>
    <w:rsid w:val="00A41C6C"/>
    <w:rsid w:val="00A420BE"/>
    <w:rsid w:val="00A456A3"/>
    <w:rsid w:val="00A479F9"/>
    <w:rsid w:val="00A509B4"/>
    <w:rsid w:val="00A52653"/>
    <w:rsid w:val="00A54AF7"/>
    <w:rsid w:val="00A55658"/>
    <w:rsid w:val="00A56833"/>
    <w:rsid w:val="00A56B69"/>
    <w:rsid w:val="00A56D86"/>
    <w:rsid w:val="00A57A44"/>
    <w:rsid w:val="00A60A8B"/>
    <w:rsid w:val="00A66921"/>
    <w:rsid w:val="00A66C97"/>
    <w:rsid w:val="00A710C0"/>
    <w:rsid w:val="00A713F9"/>
    <w:rsid w:val="00A7263F"/>
    <w:rsid w:val="00A7321B"/>
    <w:rsid w:val="00A7592B"/>
    <w:rsid w:val="00A75D15"/>
    <w:rsid w:val="00A77C5B"/>
    <w:rsid w:val="00A8669B"/>
    <w:rsid w:val="00A926FA"/>
    <w:rsid w:val="00A9272A"/>
    <w:rsid w:val="00A932AE"/>
    <w:rsid w:val="00A939A5"/>
    <w:rsid w:val="00A96488"/>
    <w:rsid w:val="00A96FD7"/>
    <w:rsid w:val="00A97260"/>
    <w:rsid w:val="00AA12C2"/>
    <w:rsid w:val="00AA20E3"/>
    <w:rsid w:val="00AA36D5"/>
    <w:rsid w:val="00AA4CD7"/>
    <w:rsid w:val="00AA5D92"/>
    <w:rsid w:val="00AA7D9C"/>
    <w:rsid w:val="00AB0ADF"/>
    <w:rsid w:val="00AB15AA"/>
    <w:rsid w:val="00AB15E9"/>
    <w:rsid w:val="00AB178B"/>
    <w:rsid w:val="00AB39BC"/>
    <w:rsid w:val="00AB4E97"/>
    <w:rsid w:val="00AB56F1"/>
    <w:rsid w:val="00AB608B"/>
    <w:rsid w:val="00AB6E9A"/>
    <w:rsid w:val="00AB75C7"/>
    <w:rsid w:val="00AC15A7"/>
    <w:rsid w:val="00AC45FF"/>
    <w:rsid w:val="00AC5336"/>
    <w:rsid w:val="00AC6DEE"/>
    <w:rsid w:val="00AC7086"/>
    <w:rsid w:val="00AD3812"/>
    <w:rsid w:val="00AD51B1"/>
    <w:rsid w:val="00AD6EAA"/>
    <w:rsid w:val="00AE0313"/>
    <w:rsid w:val="00AE618C"/>
    <w:rsid w:val="00AE6447"/>
    <w:rsid w:val="00AF122F"/>
    <w:rsid w:val="00AF1674"/>
    <w:rsid w:val="00AF1D12"/>
    <w:rsid w:val="00AF2584"/>
    <w:rsid w:val="00AF4A19"/>
    <w:rsid w:val="00AF4D05"/>
    <w:rsid w:val="00AF4E64"/>
    <w:rsid w:val="00B001A9"/>
    <w:rsid w:val="00B03766"/>
    <w:rsid w:val="00B0616D"/>
    <w:rsid w:val="00B061A1"/>
    <w:rsid w:val="00B14E3C"/>
    <w:rsid w:val="00B15211"/>
    <w:rsid w:val="00B162A1"/>
    <w:rsid w:val="00B16ADC"/>
    <w:rsid w:val="00B17367"/>
    <w:rsid w:val="00B21FE8"/>
    <w:rsid w:val="00B25385"/>
    <w:rsid w:val="00B25A35"/>
    <w:rsid w:val="00B26009"/>
    <w:rsid w:val="00B265F2"/>
    <w:rsid w:val="00B2678B"/>
    <w:rsid w:val="00B303CA"/>
    <w:rsid w:val="00B320F3"/>
    <w:rsid w:val="00B45B1E"/>
    <w:rsid w:val="00B46455"/>
    <w:rsid w:val="00B475F6"/>
    <w:rsid w:val="00B53E13"/>
    <w:rsid w:val="00B56BED"/>
    <w:rsid w:val="00B56C02"/>
    <w:rsid w:val="00B56C56"/>
    <w:rsid w:val="00B618C5"/>
    <w:rsid w:val="00B640EB"/>
    <w:rsid w:val="00B65DCD"/>
    <w:rsid w:val="00B66587"/>
    <w:rsid w:val="00B7224E"/>
    <w:rsid w:val="00B737D0"/>
    <w:rsid w:val="00B758C6"/>
    <w:rsid w:val="00B80558"/>
    <w:rsid w:val="00B809CD"/>
    <w:rsid w:val="00B82B66"/>
    <w:rsid w:val="00B831DA"/>
    <w:rsid w:val="00B854B9"/>
    <w:rsid w:val="00B8653B"/>
    <w:rsid w:val="00B8790E"/>
    <w:rsid w:val="00B908DD"/>
    <w:rsid w:val="00BA174B"/>
    <w:rsid w:val="00BA1EC8"/>
    <w:rsid w:val="00BA4067"/>
    <w:rsid w:val="00BA66BF"/>
    <w:rsid w:val="00BA6CF5"/>
    <w:rsid w:val="00BA744B"/>
    <w:rsid w:val="00BB257A"/>
    <w:rsid w:val="00BC0CE5"/>
    <w:rsid w:val="00BC10FC"/>
    <w:rsid w:val="00BC24C0"/>
    <w:rsid w:val="00BC29F1"/>
    <w:rsid w:val="00BC6A55"/>
    <w:rsid w:val="00BC7044"/>
    <w:rsid w:val="00BD110E"/>
    <w:rsid w:val="00BD146F"/>
    <w:rsid w:val="00BD3BEE"/>
    <w:rsid w:val="00BD6BF5"/>
    <w:rsid w:val="00BE0795"/>
    <w:rsid w:val="00BE0B0D"/>
    <w:rsid w:val="00BE2159"/>
    <w:rsid w:val="00BE5DA7"/>
    <w:rsid w:val="00BE6406"/>
    <w:rsid w:val="00BE6476"/>
    <w:rsid w:val="00BE6F89"/>
    <w:rsid w:val="00BF0C9D"/>
    <w:rsid w:val="00BF22F7"/>
    <w:rsid w:val="00BF41EE"/>
    <w:rsid w:val="00BF4531"/>
    <w:rsid w:val="00BF5A82"/>
    <w:rsid w:val="00BF6D2A"/>
    <w:rsid w:val="00BF6EF1"/>
    <w:rsid w:val="00C01087"/>
    <w:rsid w:val="00C03166"/>
    <w:rsid w:val="00C039AA"/>
    <w:rsid w:val="00C03DD5"/>
    <w:rsid w:val="00C04061"/>
    <w:rsid w:val="00C047CD"/>
    <w:rsid w:val="00C06CE1"/>
    <w:rsid w:val="00C102D0"/>
    <w:rsid w:val="00C125A8"/>
    <w:rsid w:val="00C13020"/>
    <w:rsid w:val="00C13641"/>
    <w:rsid w:val="00C138F4"/>
    <w:rsid w:val="00C22923"/>
    <w:rsid w:val="00C22B07"/>
    <w:rsid w:val="00C248F1"/>
    <w:rsid w:val="00C25653"/>
    <w:rsid w:val="00C25730"/>
    <w:rsid w:val="00C25EA1"/>
    <w:rsid w:val="00C266CD"/>
    <w:rsid w:val="00C27413"/>
    <w:rsid w:val="00C30A83"/>
    <w:rsid w:val="00C328A5"/>
    <w:rsid w:val="00C3408F"/>
    <w:rsid w:val="00C350C0"/>
    <w:rsid w:val="00C40485"/>
    <w:rsid w:val="00C40FF3"/>
    <w:rsid w:val="00C461E1"/>
    <w:rsid w:val="00C47F42"/>
    <w:rsid w:val="00C503ED"/>
    <w:rsid w:val="00C50608"/>
    <w:rsid w:val="00C52D18"/>
    <w:rsid w:val="00C54347"/>
    <w:rsid w:val="00C545AD"/>
    <w:rsid w:val="00C56730"/>
    <w:rsid w:val="00C64104"/>
    <w:rsid w:val="00C71842"/>
    <w:rsid w:val="00C72840"/>
    <w:rsid w:val="00C74A0D"/>
    <w:rsid w:val="00C74E0A"/>
    <w:rsid w:val="00C758DC"/>
    <w:rsid w:val="00C77248"/>
    <w:rsid w:val="00C77A71"/>
    <w:rsid w:val="00C82571"/>
    <w:rsid w:val="00C8426A"/>
    <w:rsid w:val="00C86297"/>
    <w:rsid w:val="00C87BB4"/>
    <w:rsid w:val="00C940CC"/>
    <w:rsid w:val="00CA0EF8"/>
    <w:rsid w:val="00CA19CC"/>
    <w:rsid w:val="00CA38EF"/>
    <w:rsid w:val="00CA7E22"/>
    <w:rsid w:val="00CB0A89"/>
    <w:rsid w:val="00CB1EB6"/>
    <w:rsid w:val="00CB23F6"/>
    <w:rsid w:val="00CC0CE4"/>
    <w:rsid w:val="00CC18B6"/>
    <w:rsid w:val="00CC2F21"/>
    <w:rsid w:val="00CC3643"/>
    <w:rsid w:val="00CC3A6E"/>
    <w:rsid w:val="00CC4AEB"/>
    <w:rsid w:val="00CC578A"/>
    <w:rsid w:val="00CC6839"/>
    <w:rsid w:val="00CD0F4B"/>
    <w:rsid w:val="00CD2367"/>
    <w:rsid w:val="00CD24D9"/>
    <w:rsid w:val="00CD4F5C"/>
    <w:rsid w:val="00CD5B68"/>
    <w:rsid w:val="00CD629A"/>
    <w:rsid w:val="00CD636B"/>
    <w:rsid w:val="00CE0687"/>
    <w:rsid w:val="00CE0DFA"/>
    <w:rsid w:val="00CE19BD"/>
    <w:rsid w:val="00CE20D5"/>
    <w:rsid w:val="00CE2BFE"/>
    <w:rsid w:val="00CE472F"/>
    <w:rsid w:val="00CE5D55"/>
    <w:rsid w:val="00CE70F0"/>
    <w:rsid w:val="00CF3684"/>
    <w:rsid w:val="00CF4021"/>
    <w:rsid w:val="00CF476E"/>
    <w:rsid w:val="00CF4B3D"/>
    <w:rsid w:val="00CF51F0"/>
    <w:rsid w:val="00CF55B2"/>
    <w:rsid w:val="00CF57C3"/>
    <w:rsid w:val="00CF6B74"/>
    <w:rsid w:val="00CF70D5"/>
    <w:rsid w:val="00CF72EF"/>
    <w:rsid w:val="00CF7FFD"/>
    <w:rsid w:val="00D00F23"/>
    <w:rsid w:val="00D0344B"/>
    <w:rsid w:val="00D04230"/>
    <w:rsid w:val="00D04657"/>
    <w:rsid w:val="00D055A7"/>
    <w:rsid w:val="00D069B9"/>
    <w:rsid w:val="00D1055A"/>
    <w:rsid w:val="00D1099D"/>
    <w:rsid w:val="00D11DC0"/>
    <w:rsid w:val="00D122E2"/>
    <w:rsid w:val="00D14BC3"/>
    <w:rsid w:val="00D15738"/>
    <w:rsid w:val="00D17F19"/>
    <w:rsid w:val="00D2062E"/>
    <w:rsid w:val="00D20FDC"/>
    <w:rsid w:val="00D21DE0"/>
    <w:rsid w:val="00D21FCD"/>
    <w:rsid w:val="00D2526E"/>
    <w:rsid w:val="00D26FA6"/>
    <w:rsid w:val="00D27065"/>
    <w:rsid w:val="00D303A0"/>
    <w:rsid w:val="00D30E4E"/>
    <w:rsid w:val="00D33209"/>
    <w:rsid w:val="00D34079"/>
    <w:rsid w:val="00D34989"/>
    <w:rsid w:val="00D350C5"/>
    <w:rsid w:val="00D36111"/>
    <w:rsid w:val="00D37F9A"/>
    <w:rsid w:val="00D404D1"/>
    <w:rsid w:val="00D41761"/>
    <w:rsid w:val="00D41AB2"/>
    <w:rsid w:val="00D425DE"/>
    <w:rsid w:val="00D44199"/>
    <w:rsid w:val="00D45FB0"/>
    <w:rsid w:val="00D52815"/>
    <w:rsid w:val="00D5322A"/>
    <w:rsid w:val="00D53511"/>
    <w:rsid w:val="00D55A25"/>
    <w:rsid w:val="00D60589"/>
    <w:rsid w:val="00D608E5"/>
    <w:rsid w:val="00D61AEB"/>
    <w:rsid w:val="00D636C6"/>
    <w:rsid w:val="00D64342"/>
    <w:rsid w:val="00D661A8"/>
    <w:rsid w:val="00D67E3B"/>
    <w:rsid w:val="00D701F5"/>
    <w:rsid w:val="00D708E1"/>
    <w:rsid w:val="00D71615"/>
    <w:rsid w:val="00D74166"/>
    <w:rsid w:val="00D7670C"/>
    <w:rsid w:val="00D8053B"/>
    <w:rsid w:val="00D80E8D"/>
    <w:rsid w:val="00D83DF7"/>
    <w:rsid w:val="00D872ED"/>
    <w:rsid w:val="00D90397"/>
    <w:rsid w:val="00D9170C"/>
    <w:rsid w:val="00D922FE"/>
    <w:rsid w:val="00D93F94"/>
    <w:rsid w:val="00D96756"/>
    <w:rsid w:val="00D96853"/>
    <w:rsid w:val="00DA12C4"/>
    <w:rsid w:val="00DA3C30"/>
    <w:rsid w:val="00DA52D1"/>
    <w:rsid w:val="00DA55C2"/>
    <w:rsid w:val="00DA6EDA"/>
    <w:rsid w:val="00DB19AC"/>
    <w:rsid w:val="00DB1B69"/>
    <w:rsid w:val="00DC12D9"/>
    <w:rsid w:val="00DC1910"/>
    <w:rsid w:val="00DC2727"/>
    <w:rsid w:val="00DC43F9"/>
    <w:rsid w:val="00DC6B61"/>
    <w:rsid w:val="00DC737B"/>
    <w:rsid w:val="00DC76E3"/>
    <w:rsid w:val="00DD00E4"/>
    <w:rsid w:val="00DD06E9"/>
    <w:rsid w:val="00DD0940"/>
    <w:rsid w:val="00DD1073"/>
    <w:rsid w:val="00DD1B8E"/>
    <w:rsid w:val="00DD6876"/>
    <w:rsid w:val="00DD705B"/>
    <w:rsid w:val="00DE0215"/>
    <w:rsid w:val="00DE2C77"/>
    <w:rsid w:val="00DE325E"/>
    <w:rsid w:val="00DE33D8"/>
    <w:rsid w:val="00DE406A"/>
    <w:rsid w:val="00DE4F25"/>
    <w:rsid w:val="00DE6C9D"/>
    <w:rsid w:val="00DF1C32"/>
    <w:rsid w:val="00DF1CCD"/>
    <w:rsid w:val="00DF3050"/>
    <w:rsid w:val="00DF36CD"/>
    <w:rsid w:val="00DF541B"/>
    <w:rsid w:val="00DF65EB"/>
    <w:rsid w:val="00DF6666"/>
    <w:rsid w:val="00E00024"/>
    <w:rsid w:val="00E00735"/>
    <w:rsid w:val="00E007EE"/>
    <w:rsid w:val="00E02171"/>
    <w:rsid w:val="00E02E5D"/>
    <w:rsid w:val="00E04EE2"/>
    <w:rsid w:val="00E05AF0"/>
    <w:rsid w:val="00E06F24"/>
    <w:rsid w:val="00E10261"/>
    <w:rsid w:val="00E11A49"/>
    <w:rsid w:val="00E123A8"/>
    <w:rsid w:val="00E1323F"/>
    <w:rsid w:val="00E13245"/>
    <w:rsid w:val="00E15E74"/>
    <w:rsid w:val="00E16D02"/>
    <w:rsid w:val="00E177E9"/>
    <w:rsid w:val="00E17C9A"/>
    <w:rsid w:val="00E21398"/>
    <w:rsid w:val="00E21CDF"/>
    <w:rsid w:val="00E22160"/>
    <w:rsid w:val="00E225B4"/>
    <w:rsid w:val="00E22BE6"/>
    <w:rsid w:val="00E22DFB"/>
    <w:rsid w:val="00E25701"/>
    <w:rsid w:val="00E25FAE"/>
    <w:rsid w:val="00E26BC2"/>
    <w:rsid w:val="00E26C0B"/>
    <w:rsid w:val="00E277FE"/>
    <w:rsid w:val="00E31EDD"/>
    <w:rsid w:val="00E33A76"/>
    <w:rsid w:val="00E41CAC"/>
    <w:rsid w:val="00E45DB0"/>
    <w:rsid w:val="00E46405"/>
    <w:rsid w:val="00E467E8"/>
    <w:rsid w:val="00E51802"/>
    <w:rsid w:val="00E52C91"/>
    <w:rsid w:val="00E550C0"/>
    <w:rsid w:val="00E55168"/>
    <w:rsid w:val="00E55C9E"/>
    <w:rsid w:val="00E56D0D"/>
    <w:rsid w:val="00E57321"/>
    <w:rsid w:val="00E6016F"/>
    <w:rsid w:val="00E615CA"/>
    <w:rsid w:val="00E620A4"/>
    <w:rsid w:val="00E6230E"/>
    <w:rsid w:val="00E626BB"/>
    <w:rsid w:val="00E62B81"/>
    <w:rsid w:val="00E631CD"/>
    <w:rsid w:val="00E637E4"/>
    <w:rsid w:val="00E63815"/>
    <w:rsid w:val="00E67441"/>
    <w:rsid w:val="00E70213"/>
    <w:rsid w:val="00E7022E"/>
    <w:rsid w:val="00E70391"/>
    <w:rsid w:val="00E70E58"/>
    <w:rsid w:val="00E7318D"/>
    <w:rsid w:val="00E7573C"/>
    <w:rsid w:val="00E76956"/>
    <w:rsid w:val="00E76F4F"/>
    <w:rsid w:val="00E77CB3"/>
    <w:rsid w:val="00E805F9"/>
    <w:rsid w:val="00E80B6F"/>
    <w:rsid w:val="00E853F9"/>
    <w:rsid w:val="00E874A2"/>
    <w:rsid w:val="00E953C2"/>
    <w:rsid w:val="00E95CA4"/>
    <w:rsid w:val="00E97299"/>
    <w:rsid w:val="00EA013F"/>
    <w:rsid w:val="00EA0767"/>
    <w:rsid w:val="00EA1157"/>
    <w:rsid w:val="00EA1E13"/>
    <w:rsid w:val="00EA1FC3"/>
    <w:rsid w:val="00EA3865"/>
    <w:rsid w:val="00EA7415"/>
    <w:rsid w:val="00EB0C10"/>
    <w:rsid w:val="00EB1792"/>
    <w:rsid w:val="00EB1A49"/>
    <w:rsid w:val="00EB49CA"/>
    <w:rsid w:val="00EB4F4B"/>
    <w:rsid w:val="00EB5E19"/>
    <w:rsid w:val="00EB60A7"/>
    <w:rsid w:val="00EB6A7E"/>
    <w:rsid w:val="00EB6DDA"/>
    <w:rsid w:val="00EC017F"/>
    <w:rsid w:val="00EC0CFE"/>
    <w:rsid w:val="00EC5396"/>
    <w:rsid w:val="00EC553A"/>
    <w:rsid w:val="00EC5F62"/>
    <w:rsid w:val="00EC67D6"/>
    <w:rsid w:val="00ED0265"/>
    <w:rsid w:val="00ED0D4E"/>
    <w:rsid w:val="00ED2362"/>
    <w:rsid w:val="00ED4E8E"/>
    <w:rsid w:val="00ED5051"/>
    <w:rsid w:val="00EE0517"/>
    <w:rsid w:val="00EE0644"/>
    <w:rsid w:val="00EE3EBD"/>
    <w:rsid w:val="00EE3F25"/>
    <w:rsid w:val="00EE5D97"/>
    <w:rsid w:val="00EE62AA"/>
    <w:rsid w:val="00EF0294"/>
    <w:rsid w:val="00EF203C"/>
    <w:rsid w:val="00F04761"/>
    <w:rsid w:val="00F1036B"/>
    <w:rsid w:val="00F10D6F"/>
    <w:rsid w:val="00F117E1"/>
    <w:rsid w:val="00F118ED"/>
    <w:rsid w:val="00F14944"/>
    <w:rsid w:val="00F14BD0"/>
    <w:rsid w:val="00F15BE9"/>
    <w:rsid w:val="00F16D39"/>
    <w:rsid w:val="00F20D7B"/>
    <w:rsid w:val="00F2115A"/>
    <w:rsid w:val="00F21E5D"/>
    <w:rsid w:val="00F23D6C"/>
    <w:rsid w:val="00F25957"/>
    <w:rsid w:val="00F270FF"/>
    <w:rsid w:val="00F32E30"/>
    <w:rsid w:val="00F3554C"/>
    <w:rsid w:val="00F35F6E"/>
    <w:rsid w:val="00F364A7"/>
    <w:rsid w:val="00F3653E"/>
    <w:rsid w:val="00F40820"/>
    <w:rsid w:val="00F42B1E"/>
    <w:rsid w:val="00F42C03"/>
    <w:rsid w:val="00F44220"/>
    <w:rsid w:val="00F4438B"/>
    <w:rsid w:val="00F45572"/>
    <w:rsid w:val="00F4639C"/>
    <w:rsid w:val="00F473C2"/>
    <w:rsid w:val="00F50257"/>
    <w:rsid w:val="00F5182D"/>
    <w:rsid w:val="00F523B1"/>
    <w:rsid w:val="00F537A9"/>
    <w:rsid w:val="00F554C3"/>
    <w:rsid w:val="00F55CC1"/>
    <w:rsid w:val="00F61C23"/>
    <w:rsid w:val="00F62A12"/>
    <w:rsid w:val="00F62DD0"/>
    <w:rsid w:val="00F630B4"/>
    <w:rsid w:val="00F63723"/>
    <w:rsid w:val="00F65CD9"/>
    <w:rsid w:val="00F65F70"/>
    <w:rsid w:val="00F67BE5"/>
    <w:rsid w:val="00F70407"/>
    <w:rsid w:val="00F71340"/>
    <w:rsid w:val="00F7172F"/>
    <w:rsid w:val="00F72E5D"/>
    <w:rsid w:val="00F730DC"/>
    <w:rsid w:val="00F81FC1"/>
    <w:rsid w:val="00F83053"/>
    <w:rsid w:val="00F8392D"/>
    <w:rsid w:val="00F847DE"/>
    <w:rsid w:val="00F84D8C"/>
    <w:rsid w:val="00F86E5E"/>
    <w:rsid w:val="00F876E6"/>
    <w:rsid w:val="00F92622"/>
    <w:rsid w:val="00F92FB4"/>
    <w:rsid w:val="00F93610"/>
    <w:rsid w:val="00F95D5F"/>
    <w:rsid w:val="00FA0815"/>
    <w:rsid w:val="00FA24BB"/>
    <w:rsid w:val="00FA2B26"/>
    <w:rsid w:val="00FA35F7"/>
    <w:rsid w:val="00FA36A4"/>
    <w:rsid w:val="00FA3B29"/>
    <w:rsid w:val="00FA4AE1"/>
    <w:rsid w:val="00FB12F6"/>
    <w:rsid w:val="00FB24C8"/>
    <w:rsid w:val="00FB27DD"/>
    <w:rsid w:val="00FB3A5F"/>
    <w:rsid w:val="00FB4E87"/>
    <w:rsid w:val="00FB5B99"/>
    <w:rsid w:val="00FC01D4"/>
    <w:rsid w:val="00FC0ECD"/>
    <w:rsid w:val="00FC18F2"/>
    <w:rsid w:val="00FC491E"/>
    <w:rsid w:val="00FC61E8"/>
    <w:rsid w:val="00FC7CA8"/>
    <w:rsid w:val="00FD1ABD"/>
    <w:rsid w:val="00FD4C2B"/>
    <w:rsid w:val="00FD5C35"/>
    <w:rsid w:val="00FD5F0E"/>
    <w:rsid w:val="00FD6BFF"/>
    <w:rsid w:val="00FD6F9C"/>
    <w:rsid w:val="00FE1380"/>
    <w:rsid w:val="00FE13A3"/>
    <w:rsid w:val="00FE5B9D"/>
    <w:rsid w:val="00FE5DB4"/>
    <w:rsid w:val="00FE648C"/>
    <w:rsid w:val="00FE64D7"/>
    <w:rsid w:val="00FF091E"/>
    <w:rsid w:val="00FF126C"/>
    <w:rsid w:val="00FF6BB6"/>
    <w:rsid w:val="01178D32"/>
    <w:rsid w:val="013C33BD"/>
    <w:rsid w:val="01518869"/>
    <w:rsid w:val="016E1F20"/>
    <w:rsid w:val="01BDBF3D"/>
    <w:rsid w:val="01C41688"/>
    <w:rsid w:val="01EA16D0"/>
    <w:rsid w:val="01FA7FD2"/>
    <w:rsid w:val="01FDBDF0"/>
    <w:rsid w:val="02280B88"/>
    <w:rsid w:val="0246E104"/>
    <w:rsid w:val="024EEEE5"/>
    <w:rsid w:val="028911B5"/>
    <w:rsid w:val="02A4B5CC"/>
    <w:rsid w:val="02CD49A6"/>
    <w:rsid w:val="03312A6E"/>
    <w:rsid w:val="0331CC51"/>
    <w:rsid w:val="03358150"/>
    <w:rsid w:val="033AA9C9"/>
    <w:rsid w:val="033ECB3D"/>
    <w:rsid w:val="03485965"/>
    <w:rsid w:val="03A99C28"/>
    <w:rsid w:val="03BA4087"/>
    <w:rsid w:val="03E3D219"/>
    <w:rsid w:val="04553766"/>
    <w:rsid w:val="04C4A93E"/>
    <w:rsid w:val="04CCFACF"/>
    <w:rsid w:val="04E429C6"/>
    <w:rsid w:val="04FDCA15"/>
    <w:rsid w:val="051E9EDA"/>
    <w:rsid w:val="052C39EE"/>
    <w:rsid w:val="05332068"/>
    <w:rsid w:val="053AB7B6"/>
    <w:rsid w:val="05409C99"/>
    <w:rsid w:val="058709F5"/>
    <w:rsid w:val="05B29069"/>
    <w:rsid w:val="05F7EDEB"/>
    <w:rsid w:val="0637CBA3"/>
    <w:rsid w:val="064D6D31"/>
    <w:rsid w:val="0660799F"/>
    <w:rsid w:val="066102FF"/>
    <w:rsid w:val="06BCF96D"/>
    <w:rsid w:val="073640C0"/>
    <w:rsid w:val="075CE925"/>
    <w:rsid w:val="07837E49"/>
    <w:rsid w:val="07EBF66F"/>
    <w:rsid w:val="07FC4A00"/>
    <w:rsid w:val="0808ED09"/>
    <w:rsid w:val="082DB7C1"/>
    <w:rsid w:val="083D99AD"/>
    <w:rsid w:val="085C545A"/>
    <w:rsid w:val="086601A6"/>
    <w:rsid w:val="0873F87B"/>
    <w:rsid w:val="08D19561"/>
    <w:rsid w:val="08F53B46"/>
    <w:rsid w:val="092D4429"/>
    <w:rsid w:val="092E9143"/>
    <w:rsid w:val="09548CE4"/>
    <w:rsid w:val="098BB72B"/>
    <w:rsid w:val="099A6BB2"/>
    <w:rsid w:val="09B46D0C"/>
    <w:rsid w:val="09C68373"/>
    <w:rsid w:val="0A400FBB"/>
    <w:rsid w:val="0A910BA7"/>
    <w:rsid w:val="0ABA27BE"/>
    <w:rsid w:val="0AC0AC3A"/>
    <w:rsid w:val="0ACADF2D"/>
    <w:rsid w:val="0AD9B74F"/>
    <w:rsid w:val="0B1633BC"/>
    <w:rsid w:val="0B272EF5"/>
    <w:rsid w:val="0B33EAC2"/>
    <w:rsid w:val="0B67EE12"/>
    <w:rsid w:val="0BA7D6C4"/>
    <w:rsid w:val="0BF4707D"/>
    <w:rsid w:val="0BF74CFE"/>
    <w:rsid w:val="0C2CDC08"/>
    <w:rsid w:val="0CCFBB23"/>
    <w:rsid w:val="0CE3C34B"/>
    <w:rsid w:val="0CEED4CB"/>
    <w:rsid w:val="0D5220C0"/>
    <w:rsid w:val="0D606463"/>
    <w:rsid w:val="0D770F36"/>
    <w:rsid w:val="0D872FE3"/>
    <w:rsid w:val="0E30C650"/>
    <w:rsid w:val="0E4F2675"/>
    <w:rsid w:val="0E6991EE"/>
    <w:rsid w:val="0E6B8B84"/>
    <w:rsid w:val="0E862EC8"/>
    <w:rsid w:val="0EAEDA03"/>
    <w:rsid w:val="0FE1BE40"/>
    <w:rsid w:val="0FFB214E"/>
    <w:rsid w:val="1017487D"/>
    <w:rsid w:val="10213535"/>
    <w:rsid w:val="1045E130"/>
    <w:rsid w:val="105571D7"/>
    <w:rsid w:val="10B68580"/>
    <w:rsid w:val="10E6DACB"/>
    <w:rsid w:val="10E8185A"/>
    <w:rsid w:val="11446C80"/>
    <w:rsid w:val="114F8A95"/>
    <w:rsid w:val="115D184E"/>
    <w:rsid w:val="115E3465"/>
    <w:rsid w:val="11671BE0"/>
    <w:rsid w:val="1173E45D"/>
    <w:rsid w:val="124D8EB1"/>
    <w:rsid w:val="12B13C45"/>
    <w:rsid w:val="12D23299"/>
    <w:rsid w:val="12FFE3C9"/>
    <w:rsid w:val="134EFF48"/>
    <w:rsid w:val="1383E9B1"/>
    <w:rsid w:val="13AB5455"/>
    <w:rsid w:val="146E02FA"/>
    <w:rsid w:val="14A671BB"/>
    <w:rsid w:val="14EA3831"/>
    <w:rsid w:val="14F71E2E"/>
    <w:rsid w:val="1513D281"/>
    <w:rsid w:val="152124EF"/>
    <w:rsid w:val="15851FA6"/>
    <w:rsid w:val="15CCBF84"/>
    <w:rsid w:val="163133BB"/>
    <w:rsid w:val="16495466"/>
    <w:rsid w:val="166B8471"/>
    <w:rsid w:val="167B9192"/>
    <w:rsid w:val="169A9D68"/>
    <w:rsid w:val="1739F402"/>
    <w:rsid w:val="174CFC02"/>
    <w:rsid w:val="17661A31"/>
    <w:rsid w:val="179455BE"/>
    <w:rsid w:val="17ED97F9"/>
    <w:rsid w:val="181A5B50"/>
    <w:rsid w:val="18234CD3"/>
    <w:rsid w:val="186BFD85"/>
    <w:rsid w:val="193C8480"/>
    <w:rsid w:val="1965CDE5"/>
    <w:rsid w:val="1971A8ED"/>
    <w:rsid w:val="197378F7"/>
    <w:rsid w:val="19B916C8"/>
    <w:rsid w:val="1A313334"/>
    <w:rsid w:val="1ABEDA8E"/>
    <w:rsid w:val="1AC2B68C"/>
    <w:rsid w:val="1B019E46"/>
    <w:rsid w:val="1BCBEDD7"/>
    <w:rsid w:val="1BF594F5"/>
    <w:rsid w:val="1BF91056"/>
    <w:rsid w:val="1C1A0F72"/>
    <w:rsid w:val="1C3F1654"/>
    <w:rsid w:val="1C524DA5"/>
    <w:rsid w:val="1C5F86CC"/>
    <w:rsid w:val="1C7089DB"/>
    <w:rsid w:val="1C991C25"/>
    <w:rsid w:val="1CA6C38B"/>
    <w:rsid w:val="1CC964C7"/>
    <w:rsid w:val="1CCBFD35"/>
    <w:rsid w:val="1CD7D60E"/>
    <w:rsid w:val="1CFF768F"/>
    <w:rsid w:val="1D06861E"/>
    <w:rsid w:val="1D177597"/>
    <w:rsid w:val="1DBADABF"/>
    <w:rsid w:val="1DFB1229"/>
    <w:rsid w:val="1E5AE2B9"/>
    <w:rsid w:val="1E67CD96"/>
    <w:rsid w:val="1E899CD4"/>
    <w:rsid w:val="1EC628E6"/>
    <w:rsid w:val="1ECE4A60"/>
    <w:rsid w:val="1EE4985F"/>
    <w:rsid w:val="1F68E331"/>
    <w:rsid w:val="1FA4FE45"/>
    <w:rsid w:val="2033D3AF"/>
    <w:rsid w:val="2054D683"/>
    <w:rsid w:val="20704398"/>
    <w:rsid w:val="20A0D882"/>
    <w:rsid w:val="20E5B43B"/>
    <w:rsid w:val="21452A58"/>
    <w:rsid w:val="215EC85E"/>
    <w:rsid w:val="21656309"/>
    <w:rsid w:val="2177A712"/>
    <w:rsid w:val="21EAAE7A"/>
    <w:rsid w:val="21F0A6E4"/>
    <w:rsid w:val="2271A3EF"/>
    <w:rsid w:val="22B49E56"/>
    <w:rsid w:val="22DACDE0"/>
    <w:rsid w:val="22EFE8B2"/>
    <w:rsid w:val="22F5B3BF"/>
    <w:rsid w:val="23247F02"/>
    <w:rsid w:val="23306650"/>
    <w:rsid w:val="23766F25"/>
    <w:rsid w:val="2379BEA9"/>
    <w:rsid w:val="237B5617"/>
    <w:rsid w:val="2399689D"/>
    <w:rsid w:val="2421F355"/>
    <w:rsid w:val="242B74DC"/>
    <w:rsid w:val="2435C1FD"/>
    <w:rsid w:val="24B851EE"/>
    <w:rsid w:val="24CCBA4B"/>
    <w:rsid w:val="24DA53E4"/>
    <w:rsid w:val="258EF4DA"/>
    <w:rsid w:val="25A71CB3"/>
    <w:rsid w:val="27227D16"/>
    <w:rsid w:val="275A0884"/>
    <w:rsid w:val="27BD74DF"/>
    <w:rsid w:val="280EAFDC"/>
    <w:rsid w:val="287040C9"/>
    <w:rsid w:val="28B2E2F9"/>
    <w:rsid w:val="28DCF70D"/>
    <w:rsid w:val="28DD57CE"/>
    <w:rsid w:val="29139AAE"/>
    <w:rsid w:val="296FECB2"/>
    <w:rsid w:val="29A146DC"/>
    <w:rsid w:val="29AA803D"/>
    <w:rsid w:val="29D05FF1"/>
    <w:rsid w:val="29D6B4B4"/>
    <w:rsid w:val="29DE5A7A"/>
    <w:rsid w:val="29E849F8"/>
    <w:rsid w:val="2A0DEC6B"/>
    <w:rsid w:val="2A1DA1EF"/>
    <w:rsid w:val="2A34AA1F"/>
    <w:rsid w:val="2A549BAA"/>
    <w:rsid w:val="2A559BFC"/>
    <w:rsid w:val="2A89841D"/>
    <w:rsid w:val="2AFD7C83"/>
    <w:rsid w:val="2B3E0C76"/>
    <w:rsid w:val="2B8E6FF0"/>
    <w:rsid w:val="2B9A982B"/>
    <w:rsid w:val="2BB19B3F"/>
    <w:rsid w:val="2BB817AD"/>
    <w:rsid w:val="2BBC728A"/>
    <w:rsid w:val="2BF815F7"/>
    <w:rsid w:val="2BF9F57B"/>
    <w:rsid w:val="2C344116"/>
    <w:rsid w:val="2C3BD3D5"/>
    <w:rsid w:val="2C42AC5A"/>
    <w:rsid w:val="2C69179C"/>
    <w:rsid w:val="2C8A0952"/>
    <w:rsid w:val="2CBE5795"/>
    <w:rsid w:val="2CD726A2"/>
    <w:rsid w:val="2CFE336A"/>
    <w:rsid w:val="2D1A1AD9"/>
    <w:rsid w:val="2D2997E6"/>
    <w:rsid w:val="2D3E87E8"/>
    <w:rsid w:val="2D479505"/>
    <w:rsid w:val="2D4E39C0"/>
    <w:rsid w:val="2D68D888"/>
    <w:rsid w:val="2D8563E7"/>
    <w:rsid w:val="2DCB6F28"/>
    <w:rsid w:val="2DDB7BA7"/>
    <w:rsid w:val="2DEF82D2"/>
    <w:rsid w:val="2E15873F"/>
    <w:rsid w:val="2E69A09A"/>
    <w:rsid w:val="2E98DACA"/>
    <w:rsid w:val="2EF45259"/>
    <w:rsid w:val="2EFFCDE7"/>
    <w:rsid w:val="2F2404C7"/>
    <w:rsid w:val="2F264B43"/>
    <w:rsid w:val="2F3F7299"/>
    <w:rsid w:val="2F6E2783"/>
    <w:rsid w:val="2F7578DD"/>
    <w:rsid w:val="2F82ACC5"/>
    <w:rsid w:val="2FF8E0C0"/>
    <w:rsid w:val="30048A94"/>
    <w:rsid w:val="3050AE3A"/>
    <w:rsid w:val="31091735"/>
    <w:rsid w:val="314C9089"/>
    <w:rsid w:val="31524913"/>
    <w:rsid w:val="3165957F"/>
    <w:rsid w:val="31ECC3C6"/>
    <w:rsid w:val="31FEB68C"/>
    <w:rsid w:val="32A23FDD"/>
    <w:rsid w:val="334E92B3"/>
    <w:rsid w:val="335A78D5"/>
    <w:rsid w:val="339705B0"/>
    <w:rsid w:val="33998B38"/>
    <w:rsid w:val="33A334B6"/>
    <w:rsid w:val="33C4CC65"/>
    <w:rsid w:val="34394DB4"/>
    <w:rsid w:val="3448FD15"/>
    <w:rsid w:val="344F22CD"/>
    <w:rsid w:val="34710431"/>
    <w:rsid w:val="3489CEB5"/>
    <w:rsid w:val="34A23814"/>
    <w:rsid w:val="34F8084E"/>
    <w:rsid w:val="350CE3A2"/>
    <w:rsid w:val="3546BD9D"/>
    <w:rsid w:val="3554B919"/>
    <w:rsid w:val="356E17C9"/>
    <w:rsid w:val="35FE274D"/>
    <w:rsid w:val="364AA620"/>
    <w:rsid w:val="36CEB8EF"/>
    <w:rsid w:val="376B346F"/>
    <w:rsid w:val="378C16D6"/>
    <w:rsid w:val="37D3A813"/>
    <w:rsid w:val="3808971F"/>
    <w:rsid w:val="38183A5B"/>
    <w:rsid w:val="38338436"/>
    <w:rsid w:val="388A0573"/>
    <w:rsid w:val="38A02BA3"/>
    <w:rsid w:val="38AA24B0"/>
    <w:rsid w:val="3941AC3A"/>
    <w:rsid w:val="396CC9FD"/>
    <w:rsid w:val="398C373E"/>
    <w:rsid w:val="39B959A3"/>
    <w:rsid w:val="3A08CCBC"/>
    <w:rsid w:val="3A6B241B"/>
    <w:rsid w:val="3A6B4B59"/>
    <w:rsid w:val="3A880A66"/>
    <w:rsid w:val="3AF0B02A"/>
    <w:rsid w:val="3AF1616B"/>
    <w:rsid w:val="3AFB19B7"/>
    <w:rsid w:val="3B6287FF"/>
    <w:rsid w:val="3B8C3F25"/>
    <w:rsid w:val="3B9BCADD"/>
    <w:rsid w:val="3BA49D1D"/>
    <w:rsid w:val="3BB5FF21"/>
    <w:rsid w:val="3BCA5966"/>
    <w:rsid w:val="3C413598"/>
    <w:rsid w:val="3CD62A85"/>
    <w:rsid w:val="3D15F80F"/>
    <w:rsid w:val="3D5425C0"/>
    <w:rsid w:val="3D5A36C9"/>
    <w:rsid w:val="3D5E40AC"/>
    <w:rsid w:val="3D693FE8"/>
    <w:rsid w:val="3D6C2F5B"/>
    <w:rsid w:val="3D7D1240"/>
    <w:rsid w:val="3D9E1619"/>
    <w:rsid w:val="3DC23CF9"/>
    <w:rsid w:val="3DCE155F"/>
    <w:rsid w:val="3DD96ABA"/>
    <w:rsid w:val="3DD9F2AE"/>
    <w:rsid w:val="3DDB0CC0"/>
    <w:rsid w:val="3E0704FB"/>
    <w:rsid w:val="3E1AD5C6"/>
    <w:rsid w:val="3EB41B47"/>
    <w:rsid w:val="3EBBB410"/>
    <w:rsid w:val="3ED0BFDE"/>
    <w:rsid w:val="3ED353D0"/>
    <w:rsid w:val="3F059ED0"/>
    <w:rsid w:val="3F2BF8A6"/>
    <w:rsid w:val="3F64321A"/>
    <w:rsid w:val="3F7C7EE7"/>
    <w:rsid w:val="3F8F095F"/>
    <w:rsid w:val="3F96BF42"/>
    <w:rsid w:val="3FF302B1"/>
    <w:rsid w:val="4029EC15"/>
    <w:rsid w:val="403E8118"/>
    <w:rsid w:val="40762C99"/>
    <w:rsid w:val="40E5E2D1"/>
    <w:rsid w:val="40F24E0F"/>
    <w:rsid w:val="410725B8"/>
    <w:rsid w:val="414533F8"/>
    <w:rsid w:val="4153A48B"/>
    <w:rsid w:val="415A94F7"/>
    <w:rsid w:val="415C1D54"/>
    <w:rsid w:val="41797DC8"/>
    <w:rsid w:val="4180A080"/>
    <w:rsid w:val="41866F1C"/>
    <w:rsid w:val="41A81123"/>
    <w:rsid w:val="421555D0"/>
    <w:rsid w:val="421BCC27"/>
    <w:rsid w:val="42532A91"/>
    <w:rsid w:val="42C47CB4"/>
    <w:rsid w:val="42F9D9FC"/>
    <w:rsid w:val="42F9DA1B"/>
    <w:rsid w:val="43323175"/>
    <w:rsid w:val="4374410E"/>
    <w:rsid w:val="43B79C88"/>
    <w:rsid w:val="43FE9090"/>
    <w:rsid w:val="4410D5C6"/>
    <w:rsid w:val="442E62B5"/>
    <w:rsid w:val="4468789E"/>
    <w:rsid w:val="44985DF1"/>
    <w:rsid w:val="449E5317"/>
    <w:rsid w:val="44F557CB"/>
    <w:rsid w:val="451EE664"/>
    <w:rsid w:val="452F337F"/>
    <w:rsid w:val="455F6C21"/>
    <w:rsid w:val="45B26388"/>
    <w:rsid w:val="4622CE31"/>
    <w:rsid w:val="46E34E8C"/>
    <w:rsid w:val="46E3E604"/>
    <w:rsid w:val="471B7019"/>
    <w:rsid w:val="473F6A07"/>
    <w:rsid w:val="4740017F"/>
    <w:rsid w:val="4774455B"/>
    <w:rsid w:val="481CAF3D"/>
    <w:rsid w:val="4840438F"/>
    <w:rsid w:val="485241CF"/>
    <w:rsid w:val="486AD920"/>
    <w:rsid w:val="4876142A"/>
    <w:rsid w:val="48879E7A"/>
    <w:rsid w:val="4905E59D"/>
    <w:rsid w:val="491C233A"/>
    <w:rsid w:val="4923F497"/>
    <w:rsid w:val="493EE7B5"/>
    <w:rsid w:val="49411404"/>
    <w:rsid w:val="494CEEB9"/>
    <w:rsid w:val="495F25C5"/>
    <w:rsid w:val="49A6ED57"/>
    <w:rsid w:val="49CA4FA9"/>
    <w:rsid w:val="4A254CE7"/>
    <w:rsid w:val="4A41EDEB"/>
    <w:rsid w:val="4A429F52"/>
    <w:rsid w:val="4AB86031"/>
    <w:rsid w:val="4B12F9E8"/>
    <w:rsid w:val="4BC2AE6D"/>
    <w:rsid w:val="4BFABC7D"/>
    <w:rsid w:val="4C0237F8"/>
    <w:rsid w:val="4C58B899"/>
    <w:rsid w:val="4CB217A4"/>
    <w:rsid w:val="4CF89929"/>
    <w:rsid w:val="4D05EDC3"/>
    <w:rsid w:val="4D2574AE"/>
    <w:rsid w:val="4D55104C"/>
    <w:rsid w:val="4D678AC6"/>
    <w:rsid w:val="4D809908"/>
    <w:rsid w:val="4DB1C009"/>
    <w:rsid w:val="4DB9A128"/>
    <w:rsid w:val="4DCEDE43"/>
    <w:rsid w:val="4E0BD052"/>
    <w:rsid w:val="4E0DD3BB"/>
    <w:rsid w:val="4E79A52B"/>
    <w:rsid w:val="4EFD0B92"/>
    <w:rsid w:val="4F138B57"/>
    <w:rsid w:val="4F3071FB"/>
    <w:rsid w:val="4F6D9DBA"/>
    <w:rsid w:val="4FCECABF"/>
    <w:rsid w:val="4FD3D8AA"/>
    <w:rsid w:val="4FDCC423"/>
    <w:rsid w:val="4FFCD940"/>
    <w:rsid w:val="507CF20A"/>
    <w:rsid w:val="50D8E784"/>
    <w:rsid w:val="50E81D4D"/>
    <w:rsid w:val="50F065B0"/>
    <w:rsid w:val="510A86C6"/>
    <w:rsid w:val="5132592A"/>
    <w:rsid w:val="5142C9DC"/>
    <w:rsid w:val="51664AEF"/>
    <w:rsid w:val="5195AFC9"/>
    <w:rsid w:val="52318550"/>
    <w:rsid w:val="52798D8D"/>
    <w:rsid w:val="52CC6F93"/>
    <w:rsid w:val="533043EB"/>
    <w:rsid w:val="536EBCD9"/>
    <w:rsid w:val="5394FB6C"/>
    <w:rsid w:val="53AB166E"/>
    <w:rsid w:val="53F42180"/>
    <w:rsid w:val="53F6DABE"/>
    <w:rsid w:val="544BD83B"/>
    <w:rsid w:val="5467B3F3"/>
    <w:rsid w:val="556119BA"/>
    <w:rsid w:val="55A9F9FF"/>
    <w:rsid w:val="5606FD14"/>
    <w:rsid w:val="561BB092"/>
    <w:rsid w:val="56958BAA"/>
    <w:rsid w:val="569E7B33"/>
    <w:rsid w:val="56D419D3"/>
    <w:rsid w:val="56F07EE2"/>
    <w:rsid w:val="572A7F15"/>
    <w:rsid w:val="575EF7BD"/>
    <w:rsid w:val="57C6891B"/>
    <w:rsid w:val="58C501DA"/>
    <w:rsid w:val="58F1B08B"/>
    <w:rsid w:val="59068BA0"/>
    <w:rsid w:val="5915A4E0"/>
    <w:rsid w:val="594DA90E"/>
    <w:rsid w:val="5963C752"/>
    <w:rsid w:val="597C6CD1"/>
    <w:rsid w:val="5A3B84A2"/>
    <w:rsid w:val="5A5B2F6B"/>
    <w:rsid w:val="5A79223B"/>
    <w:rsid w:val="5AAE680F"/>
    <w:rsid w:val="5AB64B5A"/>
    <w:rsid w:val="5ADAFC4C"/>
    <w:rsid w:val="5AE0CDEC"/>
    <w:rsid w:val="5AEB192C"/>
    <w:rsid w:val="5B0F49D5"/>
    <w:rsid w:val="5B10B16F"/>
    <w:rsid w:val="5B1F7D3D"/>
    <w:rsid w:val="5B4DED69"/>
    <w:rsid w:val="5B4E413D"/>
    <w:rsid w:val="5BA42805"/>
    <w:rsid w:val="5BABE073"/>
    <w:rsid w:val="5C3EA877"/>
    <w:rsid w:val="5C763CE6"/>
    <w:rsid w:val="5CAB7311"/>
    <w:rsid w:val="5CB72E2B"/>
    <w:rsid w:val="5D0E65A7"/>
    <w:rsid w:val="5D21A605"/>
    <w:rsid w:val="5DEC597E"/>
    <w:rsid w:val="5DEDEC1C"/>
    <w:rsid w:val="5E1853AE"/>
    <w:rsid w:val="5E3522E0"/>
    <w:rsid w:val="5E589721"/>
    <w:rsid w:val="5F61A8AE"/>
    <w:rsid w:val="5F61CE20"/>
    <w:rsid w:val="5FB9FA26"/>
    <w:rsid w:val="5FEEAE2A"/>
    <w:rsid w:val="603422A2"/>
    <w:rsid w:val="607FA338"/>
    <w:rsid w:val="611C6B8A"/>
    <w:rsid w:val="611FCB9C"/>
    <w:rsid w:val="6134E9EC"/>
    <w:rsid w:val="617FEF52"/>
    <w:rsid w:val="619BAECA"/>
    <w:rsid w:val="61B98E8B"/>
    <w:rsid w:val="620DD64F"/>
    <w:rsid w:val="622C4BB5"/>
    <w:rsid w:val="623850A1"/>
    <w:rsid w:val="624EF3E0"/>
    <w:rsid w:val="6257B4D7"/>
    <w:rsid w:val="628B94F2"/>
    <w:rsid w:val="62AF581F"/>
    <w:rsid w:val="62B62692"/>
    <w:rsid w:val="631537E3"/>
    <w:rsid w:val="63547B5E"/>
    <w:rsid w:val="6372AEE9"/>
    <w:rsid w:val="6383DAF3"/>
    <w:rsid w:val="6395C75E"/>
    <w:rsid w:val="63A0E3FE"/>
    <w:rsid w:val="63A79DDD"/>
    <w:rsid w:val="63C81C16"/>
    <w:rsid w:val="63EB65DC"/>
    <w:rsid w:val="642433FD"/>
    <w:rsid w:val="64ACC550"/>
    <w:rsid w:val="64F0D839"/>
    <w:rsid w:val="65061C4E"/>
    <w:rsid w:val="6525C4AF"/>
    <w:rsid w:val="65380894"/>
    <w:rsid w:val="6550E0AD"/>
    <w:rsid w:val="65BBCFCC"/>
    <w:rsid w:val="65C753BF"/>
    <w:rsid w:val="65C76247"/>
    <w:rsid w:val="661692BB"/>
    <w:rsid w:val="6629A0F0"/>
    <w:rsid w:val="665616AA"/>
    <w:rsid w:val="6682F45A"/>
    <w:rsid w:val="6716D81E"/>
    <w:rsid w:val="6749D392"/>
    <w:rsid w:val="674FDFDF"/>
    <w:rsid w:val="675F8C25"/>
    <w:rsid w:val="676811B6"/>
    <w:rsid w:val="6784ACEB"/>
    <w:rsid w:val="67F49226"/>
    <w:rsid w:val="683DBD10"/>
    <w:rsid w:val="6862185F"/>
    <w:rsid w:val="68C867E8"/>
    <w:rsid w:val="68E3F49D"/>
    <w:rsid w:val="693134F7"/>
    <w:rsid w:val="69317711"/>
    <w:rsid w:val="693F93AC"/>
    <w:rsid w:val="6947DC32"/>
    <w:rsid w:val="6980B156"/>
    <w:rsid w:val="69E8C718"/>
    <w:rsid w:val="69F21FFC"/>
    <w:rsid w:val="6A15C1C2"/>
    <w:rsid w:val="6A17826C"/>
    <w:rsid w:val="6A68C8F1"/>
    <w:rsid w:val="6A89EADB"/>
    <w:rsid w:val="6AA2B1DE"/>
    <w:rsid w:val="6ACD2B1B"/>
    <w:rsid w:val="6AD3C2FD"/>
    <w:rsid w:val="6AF5B36F"/>
    <w:rsid w:val="6B54465B"/>
    <w:rsid w:val="6B7C6A18"/>
    <w:rsid w:val="6BA01C88"/>
    <w:rsid w:val="6C414763"/>
    <w:rsid w:val="6CE98ABE"/>
    <w:rsid w:val="6CFA6F01"/>
    <w:rsid w:val="6D2DB3EE"/>
    <w:rsid w:val="6D48FE28"/>
    <w:rsid w:val="6D73EA4A"/>
    <w:rsid w:val="6D772F39"/>
    <w:rsid w:val="6D7DD1B6"/>
    <w:rsid w:val="6D957CF0"/>
    <w:rsid w:val="6DBE5E8E"/>
    <w:rsid w:val="6E4C389B"/>
    <w:rsid w:val="6E963F62"/>
    <w:rsid w:val="6ED5E149"/>
    <w:rsid w:val="6F19A217"/>
    <w:rsid w:val="6F26273E"/>
    <w:rsid w:val="6FBF6FE3"/>
    <w:rsid w:val="6FD3BF33"/>
    <w:rsid w:val="6FEF176E"/>
    <w:rsid w:val="6FF4C60D"/>
    <w:rsid w:val="700B84F7"/>
    <w:rsid w:val="70143BCB"/>
    <w:rsid w:val="70223C84"/>
    <w:rsid w:val="70320FC3"/>
    <w:rsid w:val="7047065C"/>
    <w:rsid w:val="7049FEB9"/>
    <w:rsid w:val="70621C5F"/>
    <w:rsid w:val="70816611"/>
    <w:rsid w:val="70B474B1"/>
    <w:rsid w:val="70B57278"/>
    <w:rsid w:val="70BCA1D8"/>
    <w:rsid w:val="70DD99C8"/>
    <w:rsid w:val="70E9257F"/>
    <w:rsid w:val="70EA8D33"/>
    <w:rsid w:val="70F5189D"/>
    <w:rsid w:val="70FE8273"/>
    <w:rsid w:val="716EDFBA"/>
    <w:rsid w:val="7174C830"/>
    <w:rsid w:val="7183D95D"/>
    <w:rsid w:val="718AC95F"/>
    <w:rsid w:val="72164B3E"/>
    <w:rsid w:val="728F1A4C"/>
    <w:rsid w:val="72AF07C7"/>
    <w:rsid w:val="72F0F4D4"/>
    <w:rsid w:val="72F813F0"/>
    <w:rsid w:val="7326A92A"/>
    <w:rsid w:val="732E91DE"/>
    <w:rsid w:val="73596A86"/>
    <w:rsid w:val="7372F52C"/>
    <w:rsid w:val="73959930"/>
    <w:rsid w:val="73A0C2D0"/>
    <w:rsid w:val="73A6D4AB"/>
    <w:rsid w:val="73FAE5FA"/>
    <w:rsid w:val="7409C954"/>
    <w:rsid w:val="7415C145"/>
    <w:rsid w:val="742F805C"/>
    <w:rsid w:val="74306AAB"/>
    <w:rsid w:val="74A48BD1"/>
    <w:rsid w:val="750526AA"/>
    <w:rsid w:val="754DEC00"/>
    <w:rsid w:val="7580131C"/>
    <w:rsid w:val="75973A5D"/>
    <w:rsid w:val="75A4982E"/>
    <w:rsid w:val="768142E9"/>
    <w:rsid w:val="769F764C"/>
    <w:rsid w:val="76C513AB"/>
    <w:rsid w:val="77353EAB"/>
    <w:rsid w:val="773A59BF"/>
    <w:rsid w:val="7748F0C5"/>
    <w:rsid w:val="77611CA7"/>
    <w:rsid w:val="776D48F4"/>
    <w:rsid w:val="776FB85E"/>
    <w:rsid w:val="777634CC"/>
    <w:rsid w:val="77992F82"/>
    <w:rsid w:val="780F0EF8"/>
    <w:rsid w:val="7835EB8D"/>
    <w:rsid w:val="789EF5F5"/>
    <w:rsid w:val="78A53D89"/>
    <w:rsid w:val="78AFAD64"/>
    <w:rsid w:val="7959131B"/>
    <w:rsid w:val="79863404"/>
    <w:rsid w:val="7A3C3569"/>
    <w:rsid w:val="7A6B3ECC"/>
    <w:rsid w:val="7A7ACFAF"/>
    <w:rsid w:val="7A7B0317"/>
    <w:rsid w:val="7A7C951C"/>
    <w:rsid w:val="7A93CD80"/>
    <w:rsid w:val="7AC66673"/>
    <w:rsid w:val="7ACFC579"/>
    <w:rsid w:val="7AF11B5E"/>
    <w:rsid w:val="7B232B44"/>
    <w:rsid w:val="7B527E04"/>
    <w:rsid w:val="7B65EFDE"/>
    <w:rsid w:val="7B6AFB3A"/>
    <w:rsid w:val="7B967B58"/>
    <w:rsid w:val="7BA8E8CA"/>
    <w:rsid w:val="7BF0531D"/>
    <w:rsid w:val="7CAD1204"/>
    <w:rsid w:val="7CF62A93"/>
    <w:rsid w:val="7D075A7D"/>
    <w:rsid w:val="7D0E0315"/>
    <w:rsid w:val="7D272B72"/>
    <w:rsid w:val="7D6DE2E3"/>
    <w:rsid w:val="7D9838C7"/>
    <w:rsid w:val="7D9AEDCF"/>
    <w:rsid w:val="7E3011CC"/>
    <w:rsid w:val="7E30CDD0"/>
    <w:rsid w:val="7E404F11"/>
    <w:rsid w:val="7E470D61"/>
    <w:rsid w:val="7EA9D376"/>
    <w:rsid w:val="7ECB0FE4"/>
    <w:rsid w:val="7ED91665"/>
    <w:rsid w:val="7EE11018"/>
    <w:rsid w:val="7EE88990"/>
    <w:rsid w:val="7EF1323C"/>
    <w:rsid w:val="7F88CE95"/>
    <w:rsid w:val="7FCCE680"/>
    <w:rsid w:val="7FD658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8B44"/>
  <w15:docId w15:val="{1AEB6862-813D-49EC-9E85-E34E89E6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5D2"/>
    <w:pPr>
      <w:keepNext/>
      <w:keepLines/>
      <w:numPr>
        <w:numId w:val="1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5D2"/>
    <w:pPr>
      <w:keepNext/>
      <w:keepLines/>
      <w:numPr>
        <w:ilvl w:val="1"/>
        <w:numId w:val="13"/>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215D2"/>
    <w:pPr>
      <w:keepNext/>
      <w:keepLines/>
      <w:numPr>
        <w:ilvl w:val="2"/>
        <w:numId w:val="1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215D2"/>
    <w:pPr>
      <w:keepNext/>
      <w:keepLines/>
      <w:numPr>
        <w:ilvl w:val="3"/>
        <w:numId w:val="1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215D2"/>
    <w:pPr>
      <w:keepNext/>
      <w:keepLines/>
      <w:numPr>
        <w:ilvl w:val="4"/>
        <w:numId w:val="1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215D2"/>
    <w:pPr>
      <w:keepNext/>
      <w:keepLines/>
      <w:numPr>
        <w:ilvl w:val="5"/>
        <w:numId w:val="1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215D2"/>
    <w:pPr>
      <w:keepNext/>
      <w:keepLines/>
      <w:numPr>
        <w:ilvl w:val="6"/>
        <w:numId w:val="1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215D2"/>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215D2"/>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5D2"/>
    <w:pPr>
      <w:ind w:left="720"/>
      <w:contextualSpacing/>
    </w:pPr>
  </w:style>
  <w:style w:type="character" w:customStyle="1" w:styleId="Heading1Char">
    <w:name w:val="Heading 1 Char"/>
    <w:basedOn w:val="DefaultParagraphFont"/>
    <w:link w:val="Heading1"/>
    <w:uiPriority w:val="9"/>
    <w:rsid w:val="008215D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215D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215D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215D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215D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215D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215D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215D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215D2"/>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8215D2"/>
    <w:rPr>
      <w:sz w:val="16"/>
      <w:szCs w:val="16"/>
    </w:rPr>
  </w:style>
  <w:style w:type="paragraph" w:styleId="CommentText">
    <w:name w:val="annotation text"/>
    <w:basedOn w:val="Normal"/>
    <w:link w:val="CommentTextChar"/>
    <w:uiPriority w:val="99"/>
    <w:unhideWhenUsed/>
    <w:rsid w:val="008215D2"/>
    <w:pPr>
      <w:spacing w:line="240" w:lineRule="auto"/>
    </w:pPr>
    <w:rPr>
      <w:sz w:val="20"/>
      <w:szCs w:val="20"/>
    </w:rPr>
  </w:style>
  <w:style w:type="character" w:customStyle="1" w:styleId="CommentTextChar">
    <w:name w:val="Comment Text Char"/>
    <w:basedOn w:val="DefaultParagraphFont"/>
    <w:link w:val="CommentText"/>
    <w:uiPriority w:val="99"/>
    <w:rsid w:val="008215D2"/>
    <w:rPr>
      <w:sz w:val="20"/>
      <w:szCs w:val="20"/>
    </w:rPr>
  </w:style>
  <w:style w:type="paragraph" w:styleId="CommentSubject">
    <w:name w:val="annotation subject"/>
    <w:basedOn w:val="CommentText"/>
    <w:next w:val="CommentText"/>
    <w:link w:val="CommentSubjectChar"/>
    <w:uiPriority w:val="99"/>
    <w:semiHidden/>
    <w:unhideWhenUsed/>
    <w:rsid w:val="008215D2"/>
    <w:rPr>
      <w:b/>
      <w:bCs/>
    </w:rPr>
  </w:style>
  <w:style w:type="character" w:customStyle="1" w:styleId="CommentSubjectChar">
    <w:name w:val="Comment Subject Char"/>
    <w:basedOn w:val="CommentTextChar"/>
    <w:link w:val="CommentSubject"/>
    <w:uiPriority w:val="99"/>
    <w:semiHidden/>
    <w:rsid w:val="008215D2"/>
    <w:rPr>
      <w:b/>
      <w:bCs/>
      <w:sz w:val="20"/>
      <w:szCs w:val="20"/>
    </w:rPr>
  </w:style>
  <w:style w:type="character" w:customStyle="1" w:styleId="normaltextrun">
    <w:name w:val="normaltextrun"/>
    <w:basedOn w:val="DefaultParagraphFont"/>
    <w:rsid w:val="008215D2"/>
  </w:style>
  <w:style w:type="paragraph" w:customStyle="1" w:styleId="paragraph">
    <w:name w:val="paragraph"/>
    <w:basedOn w:val="Normal"/>
    <w:rsid w:val="008215D2"/>
    <w:pPr>
      <w:spacing w:before="100" w:beforeAutospacing="1" w:after="100" w:afterAutospacing="1" w:line="240" w:lineRule="auto"/>
      <w:ind w:left="-634"/>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215D2"/>
    <w:rPr>
      <w:color w:val="0000FF"/>
      <w:u w:val="single"/>
    </w:rPr>
  </w:style>
  <w:style w:type="character" w:styleId="FootnoteReference">
    <w:name w:val="footnote reference"/>
    <w:basedOn w:val="DefaultParagraphFont"/>
    <w:uiPriority w:val="99"/>
    <w:semiHidden/>
    <w:unhideWhenUsed/>
    <w:rsid w:val="008215D2"/>
    <w:rPr>
      <w:vertAlign w:val="superscript"/>
    </w:rPr>
  </w:style>
  <w:style w:type="character" w:customStyle="1" w:styleId="FootnoteTextChar">
    <w:name w:val="Footnote Text Char"/>
    <w:basedOn w:val="DefaultParagraphFont"/>
    <w:link w:val="FootnoteText"/>
    <w:uiPriority w:val="99"/>
    <w:rsid w:val="008215D2"/>
    <w:rPr>
      <w:rFonts w:ascii="Calibri" w:hAnsi="Calibri" w:cs="Times New Roman"/>
      <w:sz w:val="20"/>
      <w:szCs w:val="20"/>
    </w:rPr>
  </w:style>
  <w:style w:type="paragraph" w:styleId="FootnoteText">
    <w:name w:val="footnote text"/>
    <w:basedOn w:val="Normal"/>
    <w:link w:val="FootnoteTextChar"/>
    <w:uiPriority w:val="99"/>
    <w:unhideWhenUsed/>
    <w:rsid w:val="008215D2"/>
    <w:pPr>
      <w:spacing w:after="0" w:line="240" w:lineRule="auto"/>
      <w:ind w:left="-634"/>
    </w:pPr>
    <w:rPr>
      <w:rFonts w:ascii="Calibri" w:hAnsi="Calibri" w:cs="Times New Roman"/>
      <w:sz w:val="20"/>
      <w:szCs w:val="20"/>
    </w:rPr>
  </w:style>
  <w:style w:type="character" w:customStyle="1" w:styleId="FootnoteTextChar1">
    <w:name w:val="Footnote Text Char1"/>
    <w:basedOn w:val="DefaultParagraphFont"/>
    <w:uiPriority w:val="99"/>
    <w:semiHidden/>
    <w:rsid w:val="008215D2"/>
    <w:rPr>
      <w:sz w:val="20"/>
      <w:szCs w:val="20"/>
    </w:rPr>
  </w:style>
  <w:style w:type="character" w:customStyle="1" w:styleId="eop">
    <w:name w:val="eop"/>
    <w:basedOn w:val="DefaultParagraphFont"/>
    <w:rsid w:val="008215D2"/>
  </w:style>
  <w:style w:type="paragraph" w:styleId="Header">
    <w:name w:val="header"/>
    <w:basedOn w:val="Normal"/>
    <w:link w:val="HeaderChar"/>
    <w:uiPriority w:val="99"/>
    <w:unhideWhenUsed/>
    <w:rsid w:val="00CF7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0D5"/>
  </w:style>
  <w:style w:type="paragraph" w:styleId="Footer">
    <w:name w:val="footer"/>
    <w:basedOn w:val="Normal"/>
    <w:link w:val="FooterChar"/>
    <w:uiPriority w:val="99"/>
    <w:unhideWhenUsed/>
    <w:rsid w:val="00CF7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0D5"/>
  </w:style>
  <w:style w:type="character" w:customStyle="1" w:styleId="superscript">
    <w:name w:val="superscript"/>
    <w:basedOn w:val="DefaultParagraphFont"/>
    <w:rsid w:val="00464E40"/>
  </w:style>
  <w:style w:type="character" w:customStyle="1" w:styleId="spellingerror">
    <w:name w:val="spellingerror"/>
    <w:basedOn w:val="DefaultParagraphFont"/>
    <w:rsid w:val="00464E40"/>
  </w:style>
  <w:style w:type="character" w:customStyle="1" w:styleId="advancedproofingissue">
    <w:name w:val="advancedproofingissue"/>
    <w:basedOn w:val="DefaultParagraphFont"/>
    <w:rsid w:val="00BF0C9D"/>
  </w:style>
  <w:style w:type="character" w:styleId="UnresolvedMention">
    <w:name w:val="Unresolved Mention"/>
    <w:basedOn w:val="DefaultParagraphFont"/>
    <w:uiPriority w:val="99"/>
    <w:semiHidden/>
    <w:unhideWhenUsed/>
    <w:rsid w:val="001D0ABD"/>
    <w:rPr>
      <w:color w:val="605E5C"/>
      <w:shd w:val="clear" w:color="auto" w:fill="E1DFDD"/>
    </w:rPr>
  </w:style>
  <w:style w:type="character" w:customStyle="1" w:styleId="contextualspellingandgrammarerror">
    <w:name w:val="contextualspellingandgrammarerror"/>
    <w:basedOn w:val="DefaultParagraphFont"/>
    <w:rsid w:val="00125E9D"/>
  </w:style>
  <w:style w:type="character" w:styleId="FollowedHyperlink">
    <w:name w:val="FollowedHyperlink"/>
    <w:basedOn w:val="DefaultParagraphFont"/>
    <w:uiPriority w:val="99"/>
    <w:semiHidden/>
    <w:unhideWhenUsed/>
    <w:rsid w:val="00D44199"/>
    <w:rPr>
      <w:color w:val="954F72" w:themeColor="followedHyperlink"/>
      <w:u w:val="single"/>
    </w:rPr>
  </w:style>
  <w:style w:type="paragraph" w:styleId="Revision">
    <w:name w:val="Revision"/>
    <w:hidden/>
    <w:uiPriority w:val="99"/>
    <w:semiHidden/>
    <w:rsid w:val="00330D3C"/>
    <w:pPr>
      <w:spacing w:after="0" w:line="240" w:lineRule="auto"/>
    </w:pPr>
  </w:style>
  <w:style w:type="character" w:styleId="Mention">
    <w:name w:val="Mention"/>
    <w:basedOn w:val="DefaultParagraphFont"/>
    <w:uiPriority w:val="99"/>
    <w:unhideWhenUsed/>
    <w:rsid w:val="007762C0"/>
    <w:rPr>
      <w:color w:val="2B579A"/>
      <w:shd w:val="clear" w:color="auto" w:fill="E1DFDD"/>
    </w:rPr>
  </w:style>
  <w:style w:type="paragraph" w:styleId="NoSpacing">
    <w:name w:val="No Spacing"/>
    <w:uiPriority w:val="1"/>
    <w:qFormat/>
    <w:rsid w:val="005C52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460">
      <w:bodyDiv w:val="1"/>
      <w:marLeft w:val="0"/>
      <w:marRight w:val="0"/>
      <w:marTop w:val="0"/>
      <w:marBottom w:val="0"/>
      <w:divBdr>
        <w:top w:val="none" w:sz="0" w:space="0" w:color="auto"/>
        <w:left w:val="none" w:sz="0" w:space="0" w:color="auto"/>
        <w:bottom w:val="none" w:sz="0" w:space="0" w:color="auto"/>
        <w:right w:val="none" w:sz="0" w:space="0" w:color="auto"/>
      </w:divBdr>
      <w:divsChild>
        <w:div w:id="501702601">
          <w:marLeft w:val="0"/>
          <w:marRight w:val="0"/>
          <w:marTop w:val="0"/>
          <w:marBottom w:val="0"/>
          <w:divBdr>
            <w:top w:val="none" w:sz="0" w:space="0" w:color="auto"/>
            <w:left w:val="none" w:sz="0" w:space="0" w:color="auto"/>
            <w:bottom w:val="none" w:sz="0" w:space="0" w:color="auto"/>
            <w:right w:val="none" w:sz="0" w:space="0" w:color="auto"/>
          </w:divBdr>
        </w:div>
        <w:div w:id="622198851">
          <w:marLeft w:val="0"/>
          <w:marRight w:val="0"/>
          <w:marTop w:val="0"/>
          <w:marBottom w:val="0"/>
          <w:divBdr>
            <w:top w:val="none" w:sz="0" w:space="0" w:color="auto"/>
            <w:left w:val="none" w:sz="0" w:space="0" w:color="auto"/>
            <w:bottom w:val="none" w:sz="0" w:space="0" w:color="auto"/>
            <w:right w:val="none" w:sz="0" w:space="0" w:color="auto"/>
          </w:divBdr>
        </w:div>
        <w:div w:id="889800780">
          <w:marLeft w:val="0"/>
          <w:marRight w:val="0"/>
          <w:marTop w:val="0"/>
          <w:marBottom w:val="0"/>
          <w:divBdr>
            <w:top w:val="none" w:sz="0" w:space="0" w:color="auto"/>
            <w:left w:val="none" w:sz="0" w:space="0" w:color="auto"/>
            <w:bottom w:val="none" w:sz="0" w:space="0" w:color="auto"/>
            <w:right w:val="none" w:sz="0" w:space="0" w:color="auto"/>
          </w:divBdr>
        </w:div>
        <w:div w:id="1272859588">
          <w:marLeft w:val="0"/>
          <w:marRight w:val="0"/>
          <w:marTop w:val="0"/>
          <w:marBottom w:val="0"/>
          <w:divBdr>
            <w:top w:val="none" w:sz="0" w:space="0" w:color="auto"/>
            <w:left w:val="none" w:sz="0" w:space="0" w:color="auto"/>
            <w:bottom w:val="none" w:sz="0" w:space="0" w:color="auto"/>
            <w:right w:val="none" w:sz="0" w:space="0" w:color="auto"/>
          </w:divBdr>
        </w:div>
      </w:divsChild>
    </w:div>
    <w:div w:id="377167606">
      <w:bodyDiv w:val="1"/>
      <w:marLeft w:val="0"/>
      <w:marRight w:val="0"/>
      <w:marTop w:val="0"/>
      <w:marBottom w:val="0"/>
      <w:divBdr>
        <w:top w:val="none" w:sz="0" w:space="0" w:color="auto"/>
        <w:left w:val="none" w:sz="0" w:space="0" w:color="auto"/>
        <w:bottom w:val="none" w:sz="0" w:space="0" w:color="auto"/>
        <w:right w:val="none" w:sz="0" w:space="0" w:color="auto"/>
      </w:divBdr>
      <w:divsChild>
        <w:div w:id="32969831">
          <w:marLeft w:val="0"/>
          <w:marRight w:val="0"/>
          <w:marTop w:val="0"/>
          <w:marBottom w:val="0"/>
          <w:divBdr>
            <w:top w:val="none" w:sz="0" w:space="0" w:color="auto"/>
            <w:left w:val="none" w:sz="0" w:space="0" w:color="auto"/>
            <w:bottom w:val="none" w:sz="0" w:space="0" w:color="auto"/>
            <w:right w:val="none" w:sz="0" w:space="0" w:color="auto"/>
          </w:divBdr>
          <w:divsChild>
            <w:div w:id="772362730">
              <w:marLeft w:val="0"/>
              <w:marRight w:val="0"/>
              <w:marTop w:val="0"/>
              <w:marBottom w:val="0"/>
              <w:divBdr>
                <w:top w:val="none" w:sz="0" w:space="0" w:color="auto"/>
                <w:left w:val="none" w:sz="0" w:space="0" w:color="auto"/>
                <w:bottom w:val="none" w:sz="0" w:space="0" w:color="auto"/>
                <w:right w:val="none" w:sz="0" w:space="0" w:color="auto"/>
              </w:divBdr>
            </w:div>
            <w:div w:id="908929292">
              <w:marLeft w:val="0"/>
              <w:marRight w:val="0"/>
              <w:marTop w:val="0"/>
              <w:marBottom w:val="0"/>
              <w:divBdr>
                <w:top w:val="none" w:sz="0" w:space="0" w:color="auto"/>
                <w:left w:val="none" w:sz="0" w:space="0" w:color="auto"/>
                <w:bottom w:val="none" w:sz="0" w:space="0" w:color="auto"/>
                <w:right w:val="none" w:sz="0" w:space="0" w:color="auto"/>
              </w:divBdr>
            </w:div>
            <w:div w:id="944504885">
              <w:marLeft w:val="0"/>
              <w:marRight w:val="0"/>
              <w:marTop w:val="0"/>
              <w:marBottom w:val="0"/>
              <w:divBdr>
                <w:top w:val="none" w:sz="0" w:space="0" w:color="auto"/>
                <w:left w:val="none" w:sz="0" w:space="0" w:color="auto"/>
                <w:bottom w:val="none" w:sz="0" w:space="0" w:color="auto"/>
                <w:right w:val="none" w:sz="0" w:space="0" w:color="auto"/>
              </w:divBdr>
            </w:div>
            <w:div w:id="1286347842">
              <w:marLeft w:val="0"/>
              <w:marRight w:val="0"/>
              <w:marTop w:val="0"/>
              <w:marBottom w:val="0"/>
              <w:divBdr>
                <w:top w:val="none" w:sz="0" w:space="0" w:color="auto"/>
                <w:left w:val="none" w:sz="0" w:space="0" w:color="auto"/>
                <w:bottom w:val="none" w:sz="0" w:space="0" w:color="auto"/>
                <w:right w:val="none" w:sz="0" w:space="0" w:color="auto"/>
              </w:divBdr>
            </w:div>
          </w:divsChild>
        </w:div>
        <w:div w:id="104925929">
          <w:marLeft w:val="0"/>
          <w:marRight w:val="0"/>
          <w:marTop w:val="0"/>
          <w:marBottom w:val="0"/>
          <w:divBdr>
            <w:top w:val="none" w:sz="0" w:space="0" w:color="auto"/>
            <w:left w:val="none" w:sz="0" w:space="0" w:color="auto"/>
            <w:bottom w:val="none" w:sz="0" w:space="0" w:color="auto"/>
            <w:right w:val="none" w:sz="0" w:space="0" w:color="auto"/>
          </w:divBdr>
          <w:divsChild>
            <w:div w:id="581649376">
              <w:marLeft w:val="0"/>
              <w:marRight w:val="0"/>
              <w:marTop w:val="0"/>
              <w:marBottom w:val="0"/>
              <w:divBdr>
                <w:top w:val="none" w:sz="0" w:space="0" w:color="auto"/>
                <w:left w:val="none" w:sz="0" w:space="0" w:color="auto"/>
                <w:bottom w:val="none" w:sz="0" w:space="0" w:color="auto"/>
                <w:right w:val="none" w:sz="0" w:space="0" w:color="auto"/>
              </w:divBdr>
            </w:div>
            <w:div w:id="1480343103">
              <w:marLeft w:val="0"/>
              <w:marRight w:val="0"/>
              <w:marTop w:val="0"/>
              <w:marBottom w:val="0"/>
              <w:divBdr>
                <w:top w:val="none" w:sz="0" w:space="0" w:color="auto"/>
                <w:left w:val="none" w:sz="0" w:space="0" w:color="auto"/>
                <w:bottom w:val="none" w:sz="0" w:space="0" w:color="auto"/>
                <w:right w:val="none" w:sz="0" w:space="0" w:color="auto"/>
              </w:divBdr>
            </w:div>
          </w:divsChild>
        </w:div>
        <w:div w:id="1718506133">
          <w:marLeft w:val="0"/>
          <w:marRight w:val="0"/>
          <w:marTop w:val="0"/>
          <w:marBottom w:val="0"/>
          <w:divBdr>
            <w:top w:val="none" w:sz="0" w:space="0" w:color="auto"/>
            <w:left w:val="none" w:sz="0" w:space="0" w:color="auto"/>
            <w:bottom w:val="none" w:sz="0" w:space="0" w:color="auto"/>
            <w:right w:val="none" w:sz="0" w:space="0" w:color="auto"/>
          </w:divBdr>
          <w:divsChild>
            <w:div w:id="376978707">
              <w:marLeft w:val="0"/>
              <w:marRight w:val="0"/>
              <w:marTop w:val="0"/>
              <w:marBottom w:val="0"/>
              <w:divBdr>
                <w:top w:val="none" w:sz="0" w:space="0" w:color="auto"/>
                <w:left w:val="none" w:sz="0" w:space="0" w:color="auto"/>
                <w:bottom w:val="none" w:sz="0" w:space="0" w:color="auto"/>
                <w:right w:val="none" w:sz="0" w:space="0" w:color="auto"/>
              </w:divBdr>
            </w:div>
            <w:div w:id="915744090">
              <w:marLeft w:val="0"/>
              <w:marRight w:val="0"/>
              <w:marTop w:val="0"/>
              <w:marBottom w:val="0"/>
              <w:divBdr>
                <w:top w:val="none" w:sz="0" w:space="0" w:color="auto"/>
                <w:left w:val="none" w:sz="0" w:space="0" w:color="auto"/>
                <w:bottom w:val="none" w:sz="0" w:space="0" w:color="auto"/>
                <w:right w:val="none" w:sz="0" w:space="0" w:color="auto"/>
              </w:divBdr>
            </w:div>
            <w:div w:id="1571622829">
              <w:marLeft w:val="0"/>
              <w:marRight w:val="0"/>
              <w:marTop w:val="0"/>
              <w:marBottom w:val="0"/>
              <w:divBdr>
                <w:top w:val="none" w:sz="0" w:space="0" w:color="auto"/>
                <w:left w:val="none" w:sz="0" w:space="0" w:color="auto"/>
                <w:bottom w:val="none" w:sz="0" w:space="0" w:color="auto"/>
                <w:right w:val="none" w:sz="0" w:space="0" w:color="auto"/>
              </w:divBdr>
            </w:div>
            <w:div w:id="2109815035">
              <w:marLeft w:val="0"/>
              <w:marRight w:val="0"/>
              <w:marTop w:val="0"/>
              <w:marBottom w:val="0"/>
              <w:divBdr>
                <w:top w:val="none" w:sz="0" w:space="0" w:color="auto"/>
                <w:left w:val="none" w:sz="0" w:space="0" w:color="auto"/>
                <w:bottom w:val="none" w:sz="0" w:space="0" w:color="auto"/>
                <w:right w:val="none" w:sz="0" w:space="0" w:color="auto"/>
              </w:divBdr>
            </w:div>
          </w:divsChild>
        </w:div>
        <w:div w:id="2018460707">
          <w:marLeft w:val="0"/>
          <w:marRight w:val="0"/>
          <w:marTop w:val="0"/>
          <w:marBottom w:val="0"/>
          <w:divBdr>
            <w:top w:val="none" w:sz="0" w:space="0" w:color="auto"/>
            <w:left w:val="none" w:sz="0" w:space="0" w:color="auto"/>
            <w:bottom w:val="none" w:sz="0" w:space="0" w:color="auto"/>
            <w:right w:val="none" w:sz="0" w:space="0" w:color="auto"/>
          </w:divBdr>
          <w:divsChild>
            <w:div w:id="591084087">
              <w:marLeft w:val="0"/>
              <w:marRight w:val="0"/>
              <w:marTop w:val="0"/>
              <w:marBottom w:val="0"/>
              <w:divBdr>
                <w:top w:val="none" w:sz="0" w:space="0" w:color="auto"/>
                <w:left w:val="none" w:sz="0" w:space="0" w:color="auto"/>
                <w:bottom w:val="none" w:sz="0" w:space="0" w:color="auto"/>
                <w:right w:val="none" w:sz="0" w:space="0" w:color="auto"/>
              </w:divBdr>
            </w:div>
            <w:div w:id="173974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702733">
      <w:bodyDiv w:val="1"/>
      <w:marLeft w:val="0"/>
      <w:marRight w:val="0"/>
      <w:marTop w:val="0"/>
      <w:marBottom w:val="0"/>
      <w:divBdr>
        <w:top w:val="none" w:sz="0" w:space="0" w:color="auto"/>
        <w:left w:val="none" w:sz="0" w:space="0" w:color="auto"/>
        <w:bottom w:val="none" w:sz="0" w:space="0" w:color="auto"/>
        <w:right w:val="none" w:sz="0" w:space="0" w:color="auto"/>
      </w:divBdr>
      <w:divsChild>
        <w:div w:id="404034969">
          <w:marLeft w:val="0"/>
          <w:marRight w:val="0"/>
          <w:marTop w:val="0"/>
          <w:marBottom w:val="0"/>
          <w:divBdr>
            <w:top w:val="none" w:sz="0" w:space="0" w:color="auto"/>
            <w:left w:val="none" w:sz="0" w:space="0" w:color="auto"/>
            <w:bottom w:val="none" w:sz="0" w:space="0" w:color="auto"/>
            <w:right w:val="none" w:sz="0" w:space="0" w:color="auto"/>
          </w:divBdr>
        </w:div>
        <w:div w:id="1305964559">
          <w:marLeft w:val="0"/>
          <w:marRight w:val="0"/>
          <w:marTop w:val="0"/>
          <w:marBottom w:val="0"/>
          <w:divBdr>
            <w:top w:val="none" w:sz="0" w:space="0" w:color="auto"/>
            <w:left w:val="none" w:sz="0" w:space="0" w:color="auto"/>
            <w:bottom w:val="none" w:sz="0" w:space="0" w:color="auto"/>
            <w:right w:val="none" w:sz="0" w:space="0" w:color="auto"/>
          </w:divBdr>
        </w:div>
        <w:div w:id="1585068425">
          <w:marLeft w:val="0"/>
          <w:marRight w:val="0"/>
          <w:marTop w:val="0"/>
          <w:marBottom w:val="0"/>
          <w:divBdr>
            <w:top w:val="none" w:sz="0" w:space="0" w:color="auto"/>
            <w:left w:val="none" w:sz="0" w:space="0" w:color="auto"/>
            <w:bottom w:val="none" w:sz="0" w:space="0" w:color="auto"/>
            <w:right w:val="none" w:sz="0" w:space="0" w:color="auto"/>
          </w:divBdr>
        </w:div>
        <w:div w:id="1606158358">
          <w:marLeft w:val="0"/>
          <w:marRight w:val="0"/>
          <w:marTop w:val="0"/>
          <w:marBottom w:val="0"/>
          <w:divBdr>
            <w:top w:val="none" w:sz="0" w:space="0" w:color="auto"/>
            <w:left w:val="none" w:sz="0" w:space="0" w:color="auto"/>
            <w:bottom w:val="none" w:sz="0" w:space="0" w:color="auto"/>
            <w:right w:val="none" w:sz="0" w:space="0" w:color="auto"/>
          </w:divBdr>
        </w:div>
      </w:divsChild>
    </w:div>
    <w:div w:id="444538486">
      <w:bodyDiv w:val="1"/>
      <w:marLeft w:val="0"/>
      <w:marRight w:val="0"/>
      <w:marTop w:val="0"/>
      <w:marBottom w:val="0"/>
      <w:divBdr>
        <w:top w:val="none" w:sz="0" w:space="0" w:color="auto"/>
        <w:left w:val="none" w:sz="0" w:space="0" w:color="auto"/>
        <w:bottom w:val="none" w:sz="0" w:space="0" w:color="auto"/>
        <w:right w:val="none" w:sz="0" w:space="0" w:color="auto"/>
      </w:divBdr>
    </w:div>
    <w:div w:id="526525461">
      <w:bodyDiv w:val="1"/>
      <w:marLeft w:val="0"/>
      <w:marRight w:val="0"/>
      <w:marTop w:val="0"/>
      <w:marBottom w:val="0"/>
      <w:divBdr>
        <w:top w:val="none" w:sz="0" w:space="0" w:color="auto"/>
        <w:left w:val="none" w:sz="0" w:space="0" w:color="auto"/>
        <w:bottom w:val="none" w:sz="0" w:space="0" w:color="auto"/>
        <w:right w:val="none" w:sz="0" w:space="0" w:color="auto"/>
      </w:divBdr>
    </w:div>
    <w:div w:id="609705670">
      <w:bodyDiv w:val="1"/>
      <w:marLeft w:val="0"/>
      <w:marRight w:val="0"/>
      <w:marTop w:val="0"/>
      <w:marBottom w:val="0"/>
      <w:divBdr>
        <w:top w:val="none" w:sz="0" w:space="0" w:color="auto"/>
        <w:left w:val="none" w:sz="0" w:space="0" w:color="auto"/>
        <w:bottom w:val="none" w:sz="0" w:space="0" w:color="auto"/>
        <w:right w:val="none" w:sz="0" w:space="0" w:color="auto"/>
      </w:divBdr>
      <w:divsChild>
        <w:div w:id="54160699">
          <w:marLeft w:val="0"/>
          <w:marRight w:val="0"/>
          <w:marTop w:val="0"/>
          <w:marBottom w:val="0"/>
          <w:divBdr>
            <w:top w:val="none" w:sz="0" w:space="0" w:color="auto"/>
            <w:left w:val="none" w:sz="0" w:space="0" w:color="auto"/>
            <w:bottom w:val="none" w:sz="0" w:space="0" w:color="auto"/>
            <w:right w:val="none" w:sz="0" w:space="0" w:color="auto"/>
          </w:divBdr>
        </w:div>
        <w:div w:id="820194562">
          <w:marLeft w:val="0"/>
          <w:marRight w:val="0"/>
          <w:marTop w:val="0"/>
          <w:marBottom w:val="0"/>
          <w:divBdr>
            <w:top w:val="none" w:sz="0" w:space="0" w:color="auto"/>
            <w:left w:val="none" w:sz="0" w:space="0" w:color="auto"/>
            <w:bottom w:val="none" w:sz="0" w:space="0" w:color="auto"/>
            <w:right w:val="none" w:sz="0" w:space="0" w:color="auto"/>
          </w:divBdr>
        </w:div>
        <w:div w:id="1214848038">
          <w:marLeft w:val="0"/>
          <w:marRight w:val="0"/>
          <w:marTop w:val="0"/>
          <w:marBottom w:val="0"/>
          <w:divBdr>
            <w:top w:val="none" w:sz="0" w:space="0" w:color="auto"/>
            <w:left w:val="none" w:sz="0" w:space="0" w:color="auto"/>
            <w:bottom w:val="none" w:sz="0" w:space="0" w:color="auto"/>
            <w:right w:val="none" w:sz="0" w:space="0" w:color="auto"/>
          </w:divBdr>
        </w:div>
        <w:div w:id="2085687958">
          <w:marLeft w:val="0"/>
          <w:marRight w:val="0"/>
          <w:marTop w:val="0"/>
          <w:marBottom w:val="0"/>
          <w:divBdr>
            <w:top w:val="none" w:sz="0" w:space="0" w:color="auto"/>
            <w:left w:val="none" w:sz="0" w:space="0" w:color="auto"/>
            <w:bottom w:val="none" w:sz="0" w:space="0" w:color="auto"/>
            <w:right w:val="none" w:sz="0" w:space="0" w:color="auto"/>
          </w:divBdr>
        </w:div>
      </w:divsChild>
    </w:div>
    <w:div w:id="774713153">
      <w:bodyDiv w:val="1"/>
      <w:marLeft w:val="0"/>
      <w:marRight w:val="0"/>
      <w:marTop w:val="0"/>
      <w:marBottom w:val="0"/>
      <w:divBdr>
        <w:top w:val="none" w:sz="0" w:space="0" w:color="auto"/>
        <w:left w:val="none" w:sz="0" w:space="0" w:color="auto"/>
        <w:bottom w:val="none" w:sz="0" w:space="0" w:color="auto"/>
        <w:right w:val="none" w:sz="0" w:space="0" w:color="auto"/>
      </w:divBdr>
    </w:div>
    <w:div w:id="847864337">
      <w:bodyDiv w:val="1"/>
      <w:marLeft w:val="0"/>
      <w:marRight w:val="0"/>
      <w:marTop w:val="0"/>
      <w:marBottom w:val="0"/>
      <w:divBdr>
        <w:top w:val="none" w:sz="0" w:space="0" w:color="auto"/>
        <w:left w:val="none" w:sz="0" w:space="0" w:color="auto"/>
        <w:bottom w:val="none" w:sz="0" w:space="0" w:color="auto"/>
        <w:right w:val="none" w:sz="0" w:space="0" w:color="auto"/>
      </w:divBdr>
      <w:divsChild>
        <w:div w:id="755906989">
          <w:marLeft w:val="0"/>
          <w:marRight w:val="0"/>
          <w:marTop w:val="0"/>
          <w:marBottom w:val="0"/>
          <w:divBdr>
            <w:top w:val="none" w:sz="0" w:space="0" w:color="auto"/>
            <w:left w:val="none" w:sz="0" w:space="0" w:color="auto"/>
            <w:bottom w:val="none" w:sz="0" w:space="0" w:color="auto"/>
            <w:right w:val="none" w:sz="0" w:space="0" w:color="auto"/>
          </w:divBdr>
        </w:div>
        <w:div w:id="1223711915">
          <w:marLeft w:val="0"/>
          <w:marRight w:val="0"/>
          <w:marTop w:val="0"/>
          <w:marBottom w:val="0"/>
          <w:divBdr>
            <w:top w:val="none" w:sz="0" w:space="0" w:color="auto"/>
            <w:left w:val="none" w:sz="0" w:space="0" w:color="auto"/>
            <w:bottom w:val="none" w:sz="0" w:space="0" w:color="auto"/>
            <w:right w:val="none" w:sz="0" w:space="0" w:color="auto"/>
          </w:divBdr>
        </w:div>
      </w:divsChild>
    </w:div>
    <w:div w:id="861935385">
      <w:bodyDiv w:val="1"/>
      <w:marLeft w:val="0"/>
      <w:marRight w:val="0"/>
      <w:marTop w:val="0"/>
      <w:marBottom w:val="0"/>
      <w:divBdr>
        <w:top w:val="none" w:sz="0" w:space="0" w:color="auto"/>
        <w:left w:val="none" w:sz="0" w:space="0" w:color="auto"/>
        <w:bottom w:val="none" w:sz="0" w:space="0" w:color="auto"/>
        <w:right w:val="none" w:sz="0" w:space="0" w:color="auto"/>
      </w:divBdr>
    </w:div>
    <w:div w:id="967974920">
      <w:bodyDiv w:val="1"/>
      <w:marLeft w:val="0"/>
      <w:marRight w:val="0"/>
      <w:marTop w:val="0"/>
      <w:marBottom w:val="0"/>
      <w:divBdr>
        <w:top w:val="none" w:sz="0" w:space="0" w:color="auto"/>
        <w:left w:val="none" w:sz="0" w:space="0" w:color="auto"/>
        <w:bottom w:val="none" w:sz="0" w:space="0" w:color="auto"/>
        <w:right w:val="none" w:sz="0" w:space="0" w:color="auto"/>
      </w:divBdr>
      <w:divsChild>
        <w:div w:id="98910784">
          <w:marLeft w:val="0"/>
          <w:marRight w:val="0"/>
          <w:marTop w:val="0"/>
          <w:marBottom w:val="0"/>
          <w:divBdr>
            <w:top w:val="none" w:sz="0" w:space="0" w:color="auto"/>
            <w:left w:val="none" w:sz="0" w:space="0" w:color="auto"/>
            <w:bottom w:val="none" w:sz="0" w:space="0" w:color="auto"/>
            <w:right w:val="none" w:sz="0" w:space="0" w:color="auto"/>
          </w:divBdr>
        </w:div>
        <w:div w:id="166141814">
          <w:marLeft w:val="0"/>
          <w:marRight w:val="0"/>
          <w:marTop w:val="0"/>
          <w:marBottom w:val="0"/>
          <w:divBdr>
            <w:top w:val="none" w:sz="0" w:space="0" w:color="auto"/>
            <w:left w:val="none" w:sz="0" w:space="0" w:color="auto"/>
            <w:bottom w:val="none" w:sz="0" w:space="0" w:color="auto"/>
            <w:right w:val="none" w:sz="0" w:space="0" w:color="auto"/>
          </w:divBdr>
        </w:div>
        <w:div w:id="235407575">
          <w:marLeft w:val="0"/>
          <w:marRight w:val="0"/>
          <w:marTop w:val="0"/>
          <w:marBottom w:val="0"/>
          <w:divBdr>
            <w:top w:val="none" w:sz="0" w:space="0" w:color="auto"/>
            <w:left w:val="none" w:sz="0" w:space="0" w:color="auto"/>
            <w:bottom w:val="none" w:sz="0" w:space="0" w:color="auto"/>
            <w:right w:val="none" w:sz="0" w:space="0" w:color="auto"/>
          </w:divBdr>
        </w:div>
        <w:div w:id="299043702">
          <w:marLeft w:val="0"/>
          <w:marRight w:val="0"/>
          <w:marTop w:val="0"/>
          <w:marBottom w:val="0"/>
          <w:divBdr>
            <w:top w:val="none" w:sz="0" w:space="0" w:color="auto"/>
            <w:left w:val="none" w:sz="0" w:space="0" w:color="auto"/>
            <w:bottom w:val="none" w:sz="0" w:space="0" w:color="auto"/>
            <w:right w:val="none" w:sz="0" w:space="0" w:color="auto"/>
          </w:divBdr>
        </w:div>
        <w:div w:id="607615333">
          <w:marLeft w:val="0"/>
          <w:marRight w:val="0"/>
          <w:marTop w:val="0"/>
          <w:marBottom w:val="0"/>
          <w:divBdr>
            <w:top w:val="none" w:sz="0" w:space="0" w:color="auto"/>
            <w:left w:val="none" w:sz="0" w:space="0" w:color="auto"/>
            <w:bottom w:val="none" w:sz="0" w:space="0" w:color="auto"/>
            <w:right w:val="none" w:sz="0" w:space="0" w:color="auto"/>
          </w:divBdr>
        </w:div>
        <w:div w:id="783616244">
          <w:marLeft w:val="0"/>
          <w:marRight w:val="0"/>
          <w:marTop w:val="0"/>
          <w:marBottom w:val="0"/>
          <w:divBdr>
            <w:top w:val="none" w:sz="0" w:space="0" w:color="auto"/>
            <w:left w:val="none" w:sz="0" w:space="0" w:color="auto"/>
            <w:bottom w:val="none" w:sz="0" w:space="0" w:color="auto"/>
            <w:right w:val="none" w:sz="0" w:space="0" w:color="auto"/>
          </w:divBdr>
        </w:div>
        <w:div w:id="869149360">
          <w:marLeft w:val="0"/>
          <w:marRight w:val="0"/>
          <w:marTop w:val="0"/>
          <w:marBottom w:val="0"/>
          <w:divBdr>
            <w:top w:val="none" w:sz="0" w:space="0" w:color="auto"/>
            <w:left w:val="none" w:sz="0" w:space="0" w:color="auto"/>
            <w:bottom w:val="none" w:sz="0" w:space="0" w:color="auto"/>
            <w:right w:val="none" w:sz="0" w:space="0" w:color="auto"/>
          </w:divBdr>
        </w:div>
        <w:div w:id="889926079">
          <w:marLeft w:val="0"/>
          <w:marRight w:val="0"/>
          <w:marTop w:val="0"/>
          <w:marBottom w:val="0"/>
          <w:divBdr>
            <w:top w:val="none" w:sz="0" w:space="0" w:color="auto"/>
            <w:left w:val="none" w:sz="0" w:space="0" w:color="auto"/>
            <w:bottom w:val="none" w:sz="0" w:space="0" w:color="auto"/>
            <w:right w:val="none" w:sz="0" w:space="0" w:color="auto"/>
          </w:divBdr>
        </w:div>
        <w:div w:id="945816851">
          <w:marLeft w:val="0"/>
          <w:marRight w:val="0"/>
          <w:marTop w:val="0"/>
          <w:marBottom w:val="0"/>
          <w:divBdr>
            <w:top w:val="none" w:sz="0" w:space="0" w:color="auto"/>
            <w:left w:val="none" w:sz="0" w:space="0" w:color="auto"/>
            <w:bottom w:val="none" w:sz="0" w:space="0" w:color="auto"/>
            <w:right w:val="none" w:sz="0" w:space="0" w:color="auto"/>
          </w:divBdr>
        </w:div>
        <w:div w:id="1011106872">
          <w:marLeft w:val="0"/>
          <w:marRight w:val="0"/>
          <w:marTop w:val="0"/>
          <w:marBottom w:val="0"/>
          <w:divBdr>
            <w:top w:val="none" w:sz="0" w:space="0" w:color="auto"/>
            <w:left w:val="none" w:sz="0" w:space="0" w:color="auto"/>
            <w:bottom w:val="none" w:sz="0" w:space="0" w:color="auto"/>
            <w:right w:val="none" w:sz="0" w:space="0" w:color="auto"/>
          </w:divBdr>
        </w:div>
        <w:div w:id="1204707610">
          <w:marLeft w:val="0"/>
          <w:marRight w:val="0"/>
          <w:marTop w:val="0"/>
          <w:marBottom w:val="0"/>
          <w:divBdr>
            <w:top w:val="none" w:sz="0" w:space="0" w:color="auto"/>
            <w:left w:val="none" w:sz="0" w:space="0" w:color="auto"/>
            <w:bottom w:val="none" w:sz="0" w:space="0" w:color="auto"/>
            <w:right w:val="none" w:sz="0" w:space="0" w:color="auto"/>
          </w:divBdr>
        </w:div>
        <w:div w:id="1213035604">
          <w:marLeft w:val="0"/>
          <w:marRight w:val="0"/>
          <w:marTop w:val="0"/>
          <w:marBottom w:val="0"/>
          <w:divBdr>
            <w:top w:val="none" w:sz="0" w:space="0" w:color="auto"/>
            <w:left w:val="none" w:sz="0" w:space="0" w:color="auto"/>
            <w:bottom w:val="none" w:sz="0" w:space="0" w:color="auto"/>
            <w:right w:val="none" w:sz="0" w:space="0" w:color="auto"/>
          </w:divBdr>
        </w:div>
        <w:div w:id="1377895138">
          <w:marLeft w:val="0"/>
          <w:marRight w:val="0"/>
          <w:marTop w:val="0"/>
          <w:marBottom w:val="0"/>
          <w:divBdr>
            <w:top w:val="none" w:sz="0" w:space="0" w:color="auto"/>
            <w:left w:val="none" w:sz="0" w:space="0" w:color="auto"/>
            <w:bottom w:val="none" w:sz="0" w:space="0" w:color="auto"/>
            <w:right w:val="none" w:sz="0" w:space="0" w:color="auto"/>
          </w:divBdr>
        </w:div>
        <w:div w:id="1549295858">
          <w:marLeft w:val="0"/>
          <w:marRight w:val="0"/>
          <w:marTop w:val="0"/>
          <w:marBottom w:val="0"/>
          <w:divBdr>
            <w:top w:val="none" w:sz="0" w:space="0" w:color="auto"/>
            <w:left w:val="none" w:sz="0" w:space="0" w:color="auto"/>
            <w:bottom w:val="none" w:sz="0" w:space="0" w:color="auto"/>
            <w:right w:val="none" w:sz="0" w:space="0" w:color="auto"/>
          </w:divBdr>
        </w:div>
      </w:divsChild>
    </w:div>
    <w:div w:id="1188832601">
      <w:bodyDiv w:val="1"/>
      <w:marLeft w:val="0"/>
      <w:marRight w:val="0"/>
      <w:marTop w:val="0"/>
      <w:marBottom w:val="0"/>
      <w:divBdr>
        <w:top w:val="none" w:sz="0" w:space="0" w:color="auto"/>
        <w:left w:val="none" w:sz="0" w:space="0" w:color="auto"/>
        <w:bottom w:val="none" w:sz="0" w:space="0" w:color="auto"/>
        <w:right w:val="none" w:sz="0" w:space="0" w:color="auto"/>
      </w:divBdr>
      <w:divsChild>
        <w:div w:id="1101297217">
          <w:marLeft w:val="0"/>
          <w:marRight w:val="0"/>
          <w:marTop w:val="0"/>
          <w:marBottom w:val="0"/>
          <w:divBdr>
            <w:top w:val="none" w:sz="0" w:space="0" w:color="auto"/>
            <w:left w:val="none" w:sz="0" w:space="0" w:color="auto"/>
            <w:bottom w:val="none" w:sz="0" w:space="0" w:color="auto"/>
            <w:right w:val="none" w:sz="0" w:space="0" w:color="auto"/>
          </w:divBdr>
        </w:div>
        <w:div w:id="1163857299">
          <w:marLeft w:val="0"/>
          <w:marRight w:val="0"/>
          <w:marTop w:val="0"/>
          <w:marBottom w:val="0"/>
          <w:divBdr>
            <w:top w:val="none" w:sz="0" w:space="0" w:color="auto"/>
            <w:left w:val="none" w:sz="0" w:space="0" w:color="auto"/>
            <w:bottom w:val="none" w:sz="0" w:space="0" w:color="auto"/>
            <w:right w:val="none" w:sz="0" w:space="0" w:color="auto"/>
          </w:divBdr>
        </w:div>
        <w:div w:id="1414352777">
          <w:marLeft w:val="0"/>
          <w:marRight w:val="0"/>
          <w:marTop w:val="0"/>
          <w:marBottom w:val="0"/>
          <w:divBdr>
            <w:top w:val="none" w:sz="0" w:space="0" w:color="auto"/>
            <w:left w:val="none" w:sz="0" w:space="0" w:color="auto"/>
            <w:bottom w:val="none" w:sz="0" w:space="0" w:color="auto"/>
            <w:right w:val="none" w:sz="0" w:space="0" w:color="auto"/>
          </w:divBdr>
        </w:div>
        <w:div w:id="1554078484">
          <w:marLeft w:val="0"/>
          <w:marRight w:val="0"/>
          <w:marTop w:val="0"/>
          <w:marBottom w:val="0"/>
          <w:divBdr>
            <w:top w:val="none" w:sz="0" w:space="0" w:color="auto"/>
            <w:left w:val="none" w:sz="0" w:space="0" w:color="auto"/>
            <w:bottom w:val="none" w:sz="0" w:space="0" w:color="auto"/>
            <w:right w:val="none" w:sz="0" w:space="0" w:color="auto"/>
          </w:divBdr>
        </w:div>
      </w:divsChild>
    </w:div>
    <w:div w:id="1342321013">
      <w:bodyDiv w:val="1"/>
      <w:marLeft w:val="0"/>
      <w:marRight w:val="0"/>
      <w:marTop w:val="0"/>
      <w:marBottom w:val="0"/>
      <w:divBdr>
        <w:top w:val="none" w:sz="0" w:space="0" w:color="auto"/>
        <w:left w:val="none" w:sz="0" w:space="0" w:color="auto"/>
        <w:bottom w:val="none" w:sz="0" w:space="0" w:color="auto"/>
        <w:right w:val="none" w:sz="0" w:space="0" w:color="auto"/>
      </w:divBdr>
    </w:div>
    <w:div w:id="1364013830">
      <w:bodyDiv w:val="1"/>
      <w:marLeft w:val="0"/>
      <w:marRight w:val="0"/>
      <w:marTop w:val="0"/>
      <w:marBottom w:val="0"/>
      <w:divBdr>
        <w:top w:val="none" w:sz="0" w:space="0" w:color="auto"/>
        <w:left w:val="none" w:sz="0" w:space="0" w:color="auto"/>
        <w:bottom w:val="none" w:sz="0" w:space="0" w:color="auto"/>
        <w:right w:val="none" w:sz="0" w:space="0" w:color="auto"/>
      </w:divBdr>
    </w:div>
    <w:div w:id="1409576204">
      <w:bodyDiv w:val="1"/>
      <w:marLeft w:val="0"/>
      <w:marRight w:val="0"/>
      <w:marTop w:val="0"/>
      <w:marBottom w:val="0"/>
      <w:divBdr>
        <w:top w:val="none" w:sz="0" w:space="0" w:color="auto"/>
        <w:left w:val="none" w:sz="0" w:space="0" w:color="auto"/>
        <w:bottom w:val="none" w:sz="0" w:space="0" w:color="auto"/>
        <w:right w:val="none" w:sz="0" w:space="0" w:color="auto"/>
      </w:divBdr>
    </w:div>
    <w:div w:id="1542399803">
      <w:bodyDiv w:val="1"/>
      <w:marLeft w:val="0"/>
      <w:marRight w:val="0"/>
      <w:marTop w:val="0"/>
      <w:marBottom w:val="0"/>
      <w:divBdr>
        <w:top w:val="none" w:sz="0" w:space="0" w:color="auto"/>
        <w:left w:val="none" w:sz="0" w:space="0" w:color="auto"/>
        <w:bottom w:val="none" w:sz="0" w:space="0" w:color="auto"/>
        <w:right w:val="none" w:sz="0" w:space="0" w:color="auto"/>
      </w:divBdr>
      <w:divsChild>
        <w:div w:id="495387038">
          <w:marLeft w:val="0"/>
          <w:marRight w:val="0"/>
          <w:marTop w:val="0"/>
          <w:marBottom w:val="0"/>
          <w:divBdr>
            <w:top w:val="none" w:sz="0" w:space="0" w:color="auto"/>
            <w:left w:val="none" w:sz="0" w:space="0" w:color="auto"/>
            <w:bottom w:val="none" w:sz="0" w:space="0" w:color="auto"/>
            <w:right w:val="none" w:sz="0" w:space="0" w:color="auto"/>
          </w:divBdr>
        </w:div>
        <w:div w:id="626352571">
          <w:marLeft w:val="0"/>
          <w:marRight w:val="0"/>
          <w:marTop w:val="0"/>
          <w:marBottom w:val="0"/>
          <w:divBdr>
            <w:top w:val="none" w:sz="0" w:space="0" w:color="auto"/>
            <w:left w:val="none" w:sz="0" w:space="0" w:color="auto"/>
            <w:bottom w:val="none" w:sz="0" w:space="0" w:color="auto"/>
            <w:right w:val="none" w:sz="0" w:space="0" w:color="auto"/>
          </w:divBdr>
        </w:div>
        <w:div w:id="1433235773">
          <w:marLeft w:val="0"/>
          <w:marRight w:val="0"/>
          <w:marTop w:val="0"/>
          <w:marBottom w:val="0"/>
          <w:divBdr>
            <w:top w:val="none" w:sz="0" w:space="0" w:color="auto"/>
            <w:left w:val="none" w:sz="0" w:space="0" w:color="auto"/>
            <w:bottom w:val="none" w:sz="0" w:space="0" w:color="auto"/>
            <w:right w:val="none" w:sz="0" w:space="0" w:color="auto"/>
          </w:divBdr>
        </w:div>
        <w:div w:id="1579633587">
          <w:marLeft w:val="0"/>
          <w:marRight w:val="0"/>
          <w:marTop w:val="0"/>
          <w:marBottom w:val="0"/>
          <w:divBdr>
            <w:top w:val="none" w:sz="0" w:space="0" w:color="auto"/>
            <w:left w:val="none" w:sz="0" w:space="0" w:color="auto"/>
            <w:bottom w:val="none" w:sz="0" w:space="0" w:color="auto"/>
            <w:right w:val="none" w:sz="0" w:space="0" w:color="auto"/>
          </w:divBdr>
        </w:div>
      </w:divsChild>
    </w:div>
    <w:div w:id="1564944176">
      <w:bodyDiv w:val="1"/>
      <w:marLeft w:val="0"/>
      <w:marRight w:val="0"/>
      <w:marTop w:val="0"/>
      <w:marBottom w:val="0"/>
      <w:divBdr>
        <w:top w:val="none" w:sz="0" w:space="0" w:color="auto"/>
        <w:left w:val="none" w:sz="0" w:space="0" w:color="auto"/>
        <w:bottom w:val="none" w:sz="0" w:space="0" w:color="auto"/>
        <w:right w:val="none" w:sz="0" w:space="0" w:color="auto"/>
      </w:divBdr>
      <w:divsChild>
        <w:div w:id="206380296">
          <w:marLeft w:val="0"/>
          <w:marRight w:val="0"/>
          <w:marTop w:val="0"/>
          <w:marBottom w:val="0"/>
          <w:divBdr>
            <w:top w:val="none" w:sz="0" w:space="0" w:color="auto"/>
            <w:left w:val="none" w:sz="0" w:space="0" w:color="auto"/>
            <w:bottom w:val="none" w:sz="0" w:space="0" w:color="auto"/>
            <w:right w:val="none" w:sz="0" w:space="0" w:color="auto"/>
          </w:divBdr>
        </w:div>
        <w:div w:id="1719432994">
          <w:marLeft w:val="0"/>
          <w:marRight w:val="0"/>
          <w:marTop w:val="0"/>
          <w:marBottom w:val="0"/>
          <w:divBdr>
            <w:top w:val="none" w:sz="0" w:space="0" w:color="auto"/>
            <w:left w:val="none" w:sz="0" w:space="0" w:color="auto"/>
            <w:bottom w:val="none" w:sz="0" w:space="0" w:color="auto"/>
            <w:right w:val="none" w:sz="0" w:space="0" w:color="auto"/>
          </w:divBdr>
        </w:div>
        <w:div w:id="1961449278">
          <w:marLeft w:val="0"/>
          <w:marRight w:val="0"/>
          <w:marTop w:val="0"/>
          <w:marBottom w:val="0"/>
          <w:divBdr>
            <w:top w:val="none" w:sz="0" w:space="0" w:color="auto"/>
            <w:left w:val="none" w:sz="0" w:space="0" w:color="auto"/>
            <w:bottom w:val="none" w:sz="0" w:space="0" w:color="auto"/>
            <w:right w:val="none" w:sz="0" w:space="0" w:color="auto"/>
          </w:divBdr>
        </w:div>
        <w:div w:id="2044018732">
          <w:marLeft w:val="0"/>
          <w:marRight w:val="0"/>
          <w:marTop w:val="0"/>
          <w:marBottom w:val="0"/>
          <w:divBdr>
            <w:top w:val="none" w:sz="0" w:space="0" w:color="auto"/>
            <w:left w:val="none" w:sz="0" w:space="0" w:color="auto"/>
            <w:bottom w:val="none" w:sz="0" w:space="0" w:color="auto"/>
            <w:right w:val="none" w:sz="0" w:space="0" w:color="auto"/>
          </w:divBdr>
        </w:div>
      </w:divsChild>
    </w:div>
    <w:div w:id="1630941149">
      <w:bodyDiv w:val="1"/>
      <w:marLeft w:val="0"/>
      <w:marRight w:val="0"/>
      <w:marTop w:val="0"/>
      <w:marBottom w:val="0"/>
      <w:divBdr>
        <w:top w:val="none" w:sz="0" w:space="0" w:color="auto"/>
        <w:left w:val="none" w:sz="0" w:space="0" w:color="auto"/>
        <w:bottom w:val="none" w:sz="0" w:space="0" w:color="auto"/>
        <w:right w:val="none" w:sz="0" w:space="0" w:color="auto"/>
      </w:divBdr>
      <w:divsChild>
        <w:div w:id="33430051">
          <w:marLeft w:val="0"/>
          <w:marRight w:val="0"/>
          <w:marTop w:val="0"/>
          <w:marBottom w:val="0"/>
          <w:divBdr>
            <w:top w:val="none" w:sz="0" w:space="0" w:color="auto"/>
            <w:left w:val="none" w:sz="0" w:space="0" w:color="auto"/>
            <w:bottom w:val="none" w:sz="0" w:space="0" w:color="auto"/>
            <w:right w:val="none" w:sz="0" w:space="0" w:color="auto"/>
          </w:divBdr>
        </w:div>
        <w:div w:id="79913571">
          <w:marLeft w:val="0"/>
          <w:marRight w:val="0"/>
          <w:marTop w:val="0"/>
          <w:marBottom w:val="0"/>
          <w:divBdr>
            <w:top w:val="none" w:sz="0" w:space="0" w:color="auto"/>
            <w:left w:val="none" w:sz="0" w:space="0" w:color="auto"/>
            <w:bottom w:val="none" w:sz="0" w:space="0" w:color="auto"/>
            <w:right w:val="none" w:sz="0" w:space="0" w:color="auto"/>
          </w:divBdr>
        </w:div>
        <w:div w:id="96096508">
          <w:marLeft w:val="0"/>
          <w:marRight w:val="0"/>
          <w:marTop w:val="0"/>
          <w:marBottom w:val="0"/>
          <w:divBdr>
            <w:top w:val="none" w:sz="0" w:space="0" w:color="auto"/>
            <w:left w:val="none" w:sz="0" w:space="0" w:color="auto"/>
            <w:bottom w:val="none" w:sz="0" w:space="0" w:color="auto"/>
            <w:right w:val="none" w:sz="0" w:space="0" w:color="auto"/>
          </w:divBdr>
        </w:div>
        <w:div w:id="317613057">
          <w:marLeft w:val="0"/>
          <w:marRight w:val="0"/>
          <w:marTop w:val="0"/>
          <w:marBottom w:val="0"/>
          <w:divBdr>
            <w:top w:val="none" w:sz="0" w:space="0" w:color="auto"/>
            <w:left w:val="none" w:sz="0" w:space="0" w:color="auto"/>
            <w:bottom w:val="none" w:sz="0" w:space="0" w:color="auto"/>
            <w:right w:val="none" w:sz="0" w:space="0" w:color="auto"/>
          </w:divBdr>
        </w:div>
        <w:div w:id="951472797">
          <w:marLeft w:val="0"/>
          <w:marRight w:val="0"/>
          <w:marTop w:val="0"/>
          <w:marBottom w:val="0"/>
          <w:divBdr>
            <w:top w:val="none" w:sz="0" w:space="0" w:color="auto"/>
            <w:left w:val="none" w:sz="0" w:space="0" w:color="auto"/>
            <w:bottom w:val="none" w:sz="0" w:space="0" w:color="auto"/>
            <w:right w:val="none" w:sz="0" w:space="0" w:color="auto"/>
          </w:divBdr>
        </w:div>
        <w:div w:id="1273054774">
          <w:marLeft w:val="0"/>
          <w:marRight w:val="0"/>
          <w:marTop w:val="0"/>
          <w:marBottom w:val="0"/>
          <w:divBdr>
            <w:top w:val="none" w:sz="0" w:space="0" w:color="auto"/>
            <w:left w:val="none" w:sz="0" w:space="0" w:color="auto"/>
            <w:bottom w:val="none" w:sz="0" w:space="0" w:color="auto"/>
            <w:right w:val="none" w:sz="0" w:space="0" w:color="auto"/>
          </w:divBdr>
        </w:div>
        <w:div w:id="1538615194">
          <w:marLeft w:val="0"/>
          <w:marRight w:val="0"/>
          <w:marTop w:val="0"/>
          <w:marBottom w:val="0"/>
          <w:divBdr>
            <w:top w:val="none" w:sz="0" w:space="0" w:color="auto"/>
            <w:left w:val="none" w:sz="0" w:space="0" w:color="auto"/>
            <w:bottom w:val="none" w:sz="0" w:space="0" w:color="auto"/>
            <w:right w:val="none" w:sz="0" w:space="0" w:color="auto"/>
          </w:divBdr>
        </w:div>
        <w:div w:id="1676884672">
          <w:marLeft w:val="0"/>
          <w:marRight w:val="0"/>
          <w:marTop w:val="0"/>
          <w:marBottom w:val="0"/>
          <w:divBdr>
            <w:top w:val="none" w:sz="0" w:space="0" w:color="auto"/>
            <w:left w:val="none" w:sz="0" w:space="0" w:color="auto"/>
            <w:bottom w:val="none" w:sz="0" w:space="0" w:color="auto"/>
            <w:right w:val="none" w:sz="0" w:space="0" w:color="auto"/>
          </w:divBdr>
        </w:div>
      </w:divsChild>
    </w:div>
    <w:div w:id="1842160256">
      <w:bodyDiv w:val="1"/>
      <w:marLeft w:val="0"/>
      <w:marRight w:val="0"/>
      <w:marTop w:val="0"/>
      <w:marBottom w:val="0"/>
      <w:divBdr>
        <w:top w:val="none" w:sz="0" w:space="0" w:color="auto"/>
        <w:left w:val="none" w:sz="0" w:space="0" w:color="auto"/>
        <w:bottom w:val="none" w:sz="0" w:space="0" w:color="auto"/>
        <w:right w:val="none" w:sz="0" w:space="0" w:color="auto"/>
      </w:divBdr>
      <w:divsChild>
        <w:div w:id="164513806">
          <w:marLeft w:val="0"/>
          <w:marRight w:val="0"/>
          <w:marTop w:val="0"/>
          <w:marBottom w:val="0"/>
          <w:divBdr>
            <w:top w:val="none" w:sz="0" w:space="0" w:color="auto"/>
            <w:left w:val="none" w:sz="0" w:space="0" w:color="auto"/>
            <w:bottom w:val="none" w:sz="0" w:space="0" w:color="auto"/>
            <w:right w:val="none" w:sz="0" w:space="0" w:color="auto"/>
          </w:divBdr>
        </w:div>
        <w:div w:id="278686321">
          <w:marLeft w:val="0"/>
          <w:marRight w:val="0"/>
          <w:marTop w:val="0"/>
          <w:marBottom w:val="0"/>
          <w:divBdr>
            <w:top w:val="none" w:sz="0" w:space="0" w:color="auto"/>
            <w:left w:val="none" w:sz="0" w:space="0" w:color="auto"/>
            <w:bottom w:val="none" w:sz="0" w:space="0" w:color="auto"/>
            <w:right w:val="none" w:sz="0" w:space="0" w:color="auto"/>
          </w:divBdr>
        </w:div>
        <w:div w:id="657811179">
          <w:marLeft w:val="0"/>
          <w:marRight w:val="0"/>
          <w:marTop w:val="0"/>
          <w:marBottom w:val="0"/>
          <w:divBdr>
            <w:top w:val="none" w:sz="0" w:space="0" w:color="auto"/>
            <w:left w:val="none" w:sz="0" w:space="0" w:color="auto"/>
            <w:bottom w:val="none" w:sz="0" w:space="0" w:color="auto"/>
            <w:right w:val="none" w:sz="0" w:space="0" w:color="auto"/>
          </w:divBdr>
        </w:div>
        <w:div w:id="1037849076">
          <w:marLeft w:val="0"/>
          <w:marRight w:val="0"/>
          <w:marTop w:val="0"/>
          <w:marBottom w:val="0"/>
          <w:divBdr>
            <w:top w:val="none" w:sz="0" w:space="0" w:color="auto"/>
            <w:left w:val="none" w:sz="0" w:space="0" w:color="auto"/>
            <w:bottom w:val="none" w:sz="0" w:space="0" w:color="auto"/>
            <w:right w:val="none" w:sz="0" w:space="0" w:color="auto"/>
          </w:divBdr>
        </w:div>
        <w:div w:id="1694653411">
          <w:marLeft w:val="0"/>
          <w:marRight w:val="0"/>
          <w:marTop w:val="0"/>
          <w:marBottom w:val="0"/>
          <w:divBdr>
            <w:top w:val="none" w:sz="0" w:space="0" w:color="auto"/>
            <w:left w:val="none" w:sz="0" w:space="0" w:color="auto"/>
            <w:bottom w:val="none" w:sz="0" w:space="0" w:color="auto"/>
            <w:right w:val="none" w:sz="0" w:space="0" w:color="auto"/>
          </w:divBdr>
        </w:div>
      </w:divsChild>
    </w:div>
    <w:div w:id="1860924887">
      <w:bodyDiv w:val="1"/>
      <w:marLeft w:val="0"/>
      <w:marRight w:val="0"/>
      <w:marTop w:val="0"/>
      <w:marBottom w:val="0"/>
      <w:divBdr>
        <w:top w:val="none" w:sz="0" w:space="0" w:color="auto"/>
        <w:left w:val="none" w:sz="0" w:space="0" w:color="auto"/>
        <w:bottom w:val="none" w:sz="0" w:space="0" w:color="auto"/>
        <w:right w:val="none" w:sz="0" w:space="0" w:color="auto"/>
      </w:divBdr>
    </w:div>
    <w:div w:id="2140565160">
      <w:bodyDiv w:val="1"/>
      <w:marLeft w:val="0"/>
      <w:marRight w:val="0"/>
      <w:marTop w:val="0"/>
      <w:marBottom w:val="0"/>
      <w:divBdr>
        <w:top w:val="none" w:sz="0" w:space="0" w:color="auto"/>
        <w:left w:val="none" w:sz="0" w:space="0" w:color="auto"/>
        <w:bottom w:val="none" w:sz="0" w:space="0" w:color="auto"/>
        <w:right w:val="none" w:sz="0" w:space="0" w:color="auto"/>
      </w:divBdr>
      <w:divsChild>
        <w:div w:id="496504632">
          <w:marLeft w:val="0"/>
          <w:marRight w:val="0"/>
          <w:marTop w:val="0"/>
          <w:marBottom w:val="0"/>
          <w:divBdr>
            <w:top w:val="none" w:sz="0" w:space="0" w:color="auto"/>
            <w:left w:val="none" w:sz="0" w:space="0" w:color="auto"/>
            <w:bottom w:val="none" w:sz="0" w:space="0" w:color="auto"/>
            <w:right w:val="none" w:sz="0" w:space="0" w:color="auto"/>
          </w:divBdr>
        </w:div>
        <w:div w:id="541089955">
          <w:marLeft w:val="0"/>
          <w:marRight w:val="0"/>
          <w:marTop w:val="0"/>
          <w:marBottom w:val="0"/>
          <w:divBdr>
            <w:top w:val="none" w:sz="0" w:space="0" w:color="auto"/>
            <w:left w:val="none" w:sz="0" w:space="0" w:color="auto"/>
            <w:bottom w:val="none" w:sz="0" w:space="0" w:color="auto"/>
            <w:right w:val="none" w:sz="0" w:space="0" w:color="auto"/>
          </w:divBdr>
        </w:div>
        <w:div w:id="610209538">
          <w:marLeft w:val="0"/>
          <w:marRight w:val="0"/>
          <w:marTop w:val="0"/>
          <w:marBottom w:val="0"/>
          <w:divBdr>
            <w:top w:val="none" w:sz="0" w:space="0" w:color="auto"/>
            <w:left w:val="none" w:sz="0" w:space="0" w:color="auto"/>
            <w:bottom w:val="none" w:sz="0" w:space="0" w:color="auto"/>
            <w:right w:val="none" w:sz="0" w:space="0" w:color="auto"/>
          </w:divBdr>
        </w:div>
        <w:div w:id="658387397">
          <w:marLeft w:val="0"/>
          <w:marRight w:val="0"/>
          <w:marTop w:val="0"/>
          <w:marBottom w:val="0"/>
          <w:divBdr>
            <w:top w:val="none" w:sz="0" w:space="0" w:color="auto"/>
            <w:left w:val="none" w:sz="0" w:space="0" w:color="auto"/>
            <w:bottom w:val="none" w:sz="0" w:space="0" w:color="auto"/>
            <w:right w:val="none" w:sz="0" w:space="0" w:color="auto"/>
          </w:divBdr>
        </w:div>
        <w:div w:id="668023388">
          <w:marLeft w:val="0"/>
          <w:marRight w:val="0"/>
          <w:marTop w:val="0"/>
          <w:marBottom w:val="0"/>
          <w:divBdr>
            <w:top w:val="none" w:sz="0" w:space="0" w:color="auto"/>
            <w:left w:val="none" w:sz="0" w:space="0" w:color="auto"/>
            <w:bottom w:val="none" w:sz="0" w:space="0" w:color="auto"/>
            <w:right w:val="none" w:sz="0" w:space="0" w:color="auto"/>
          </w:divBdr>
        </w:div>
        <w:div w:id="733771615">
          <w:marLeft w:val="0"/>
          <w:marRight w:val="0"/>
          <w:marTop w:val="0"/>
          <w:marBottom w:val="0"/>
          <w:divBdr>
            <w:top w:val="none" w:sz="0" w:space="0" w:color="auto"/>
            <w:left w:val="none" w:sz="0" w:space="0" w:color="auto"/>
            <w:bottom w:val="none" w:sz="0" w:space="0" w:color="auto"/>
            <w:right w:val="none" w:sz="0" w:space="0" w:color="auto"/>
          </w:divBdr>
        </w:div>
        <w:div w:id="1331912697">
          <w:marLeft w:val="0"/>
          <w:marRight w:val="0"/>
          <w:marTop w:val="0"/>
          <w:marBottom w:val="0"/>
          <w:divBdr>
            <w:top w:val="none" w:sz="0" w:space="0" w:color="auto"/>
            <w:left w:val="none" w:sz="0" w:space="0" w:color="auto"/>
            <w:bottom w:val="none" w:sz="0" w:space="0" w:color="auto"/>
            <w:right w:val="none" w:sz="0" w:space="0" w:color="auto"/>
          </w:divBdr>
        </w:div>
        <w:div w:id="1365904979">
          <w:marLeft w:val="0"/>
          <w:marRight w:val="0"/>
          <w:marTop w:val="0"/>
          <w:marBottom w:val="0"/>
          <w:divBdr>
            <w:top w:val="none" w:sz="0" w:space="0" w:color="auto"/>
            <w:left w:val="none" w:sz="0" w:space="0" w:color="auto"/>
            <w:bottom w:val="none" w:sz="0" w:space="0" w:color="auto"/>
            <w:right w:val="none" w:sz="0" w:space="0" w:color="auto"/>
          </w:divBdr>
        </w:div>
        <w:div w:id="1414274660">
          <w:marLeft w:val="0"/>
          <w:marRight w:val="0"/>
          <w:marTop w:val="0"/>
          <w:marBottom w:val="0"/>
          <w:divBdr>
            <w:top w:val="none" w:sz="0" w:space="0" w:color="auto"/>
            <w:left w:val="none" w:sz="0" w:space="0" w:color="auto"/>
            <w:bottom w:val="none" w:sz="0" w:space="0" w:color="auto"/>
            <w:right w:val="none" w:sz="0" w:space="0" w:color="auto"/>
          </w:divBdr>
        </w:div>
        <w:div w:id="1423062534">
          <w:marLeft w:val="0"/>
          <w:marRight w:val="0"/>
          <w:marTop w:val="0"/>
          <w:marBottom w:val="0"/>
          <w:divBdr>
            <w:top w:val="none" w:sz="0" w:space="0" w:color="auto"/>
            <w:left w:val="none" w:sz="0" w:space="0" w:color="auto"/>
            <w:bottom w:val="none" w:sz="0" w:space="0" w:color="auto"/>
            <w:right w:val="none" w:sz="0" w:space="0" w:color="auto"/>
          </w:divBdr>
        </w:div>
        <w:div w:id="1478456604">
          <w:marLeft w:val="0"/>
          <w:marRight w:val="0"/>
          <w:marTop w:val="0"/>
          <w:marBottom w:val="0"/>
          <w:divBdr>
            <w:top w:val="none" w:sz="0" w:space="0" w:color="auto"/>
            <w:left w:val="none" w:sz="0" w:space="0" w:color="auto"/>
            <w:bottom w:val="none" w:sz="0" w:space="0" w:color="auto"/>
            <w:right w:val="none" w:sz="0" w:space="0" w:color="auto"/>
          </w:divBdr>
        </w:div>
        <w:div w:id="1518538925">
          <w:marLeft w:val="0"/>
          <w:marRight w:val="0"/>
          <w:marTop w:val="0"/>
          <w:marBottom w:val="0"/>
          <w:divBdr>
            <w:top w:val="none" w:sz="0" w:space="0" w:color="auto"/>
            <w:left w:val="none" w:sz="0" w:space="0" w:color="auto"/>
            <w:bottom w:val="none" w:sz="0" w:space="0" w:color="auto"/>
            <w:right w:val="none" w:sz="0" w:space="0" w:color="auto"/>
          </w:divBdr>
        </w:div>
        <w:div w:id="1679041817">
          <w:marLeft w:val="0"/>
          <w:marRight w:val="0"/>
          <w:marTop w:val="0"/>
          <w:marBottom w:val="0"/>
          <w:divBdr>
            <w:top w:val="none" w:sz="0" w:space="0" w:color="auto"/>
            <w:left w:val="none" w:sz="0" w:space="0" w:color="auto"/>
            <w:bottom w:val="none" w:sz="0" w:space="0" w:color="auto"/>
            <w:right w:val="none" w:sz="0" w:space="0" w:color="auto"/>
          </w:divBdr>
        </w:div>
        <w:div w:id="1744795022">
          <w:marLeft w:val="0"/>
          <w:marRight w:val="0"/>
          <w:marTop w:val="0"/>
          <w:marBottom w:val="0"/>
          <w:divBdr>
            <w:top w:val="none" w:sz="0" w:space="0" w:color="auto"/>
            <w:left w:val="none" w:sz="0" w:space="0" w:color="auto"/>
            <w:bottom w:val="none" w:sz="0" w:space="0" w:color="auto"/>
            <w:right w:val="none" w:sz="0" w:space="0" w:color="auto"/>
          </w:divBdr>
        </w:div>
        <w:div w:id="1962957099">
          <w:marLeft w:val="0"/>
          <w:marRight w:val="0"/>
          <w:marTop w:val="0"/>
          <w:marBottom w:val="0"/>
          <w:divBdr>
            <w:top w:val="none" w:sz="0" w:space="0" w:color="auto"/>
            <w:left w:val="none" w:sz="0" w:space="0" w:color="auto"/>
            <w:bottom w:val="none" w:sz="0" w:space="0" w:color="auto"/>
            <w:right w:val="none" w:sz="0" w:space="0" w:color="auto"/>
          </w:divBdr>
        </w:div>
        <w:div w:id="2049716679">
          <w:marLeft w:val="0"/>
          <w:marRight w:val="0"/>
          <w:marTop w:val="0"/>
          <w:marBottom w:val="0"/>
          <w:divBdr>
            <w:top w:val="none" w:sz="0" w:space="0" w:color="auto"/>
            <w:left w:val="none" w:sz="0" w:space="0" w:color="auto"/>
            <w:bottom w:val="none" w:sz="0" w:space="0" w:color="auto"/>
            <w:right w:val="none" w:sz="0" w:space="0" w:color="auto"/>
          </w:divBdr>
        </w:div>
        <w:div w:id="2077119845">
          <w:marLeft w:val="0"/>
          <w:marRight w:val="0"/>
          <w:marTop w:val="0"/>
          <w:marBottom w:val="0"/>
          <w:divBdr>
            <w:top w:val="none" w:sz="0" w:space="0" w:color="auto"/>
            <w:left w:val="none" w:sz="0" w:space="0" w:color="auto"/>
            <w:bottom w:val="none" w:sz="0" w:space="0" w:color="auto"/>
            <w:right w:val="none" w:sz="0" w:space="0" w:color="auto"/>
          </w:divBdr>
        </w:div>
        <w:div w:id="21315887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orgs/harm-reduction-commission" TargetMode="External"/><Relationship Id="rId18" Type="http://schemas.openxmlformats.org/officeDocument/2006/relationships/hyperlink" Target="https://weberrenew.org/advocacy/project-weber-renew-to-open-the-countrys-first-state-regulated-overdose-prevention-cente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whitehouse.gov/wp-content/uploads/2022/04/National-Drug-Control-2022Strategy.pdf" TargetMode="External"/><Relationship Id="rId7" Type="http://schemas.openxmlformats.org/officeDocument/2006/relationships/settings" Target="settings.xml"/><Relationship Id="rId12" Type="http://schemas.openxmlformats.org/officeDocument/2006/relationships/hyperlink" Target="https://ma4opc.org/wp-content/uploads/2023/10/Key-Findings-from-Survey-of-MA-Voters-10.5.23.pdf" TargetMode="External"/><Relationship Id="rId17" Type="http://schemas.openxmlformats.org/officeDocument/2006/relationships/hyperlink" Target="https://drive.google.com/file/d/1bGecR7EV1DWiKLqopG73i55NabNOlMoO/view"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yc.gov/site/doh/providers/health-topics/alcohol-and-drugs.page" TargetMode="External"/><Relationship Id="rId20" Type="http://schemas.openxmlformats.org/officeDocument/2006/relationships/hyperlink" Target="https://www.revisor.mn.gov/bills/bill.php?b=Senate&amp;f=SF2934&amp;ssn=0&amp;y=202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news/massachusetts-opioid-related-overdose-deaths-rose-25-percent-in-2022" TargetMode="External"/><Relationship Id="rId24" Type="http://schemas.openxmlformats.org/officeDocument/2006/relationships/hyperlink" Target="https://malegislature.gov/Bills/193/S1242" TargetMode="External"/><Relationship Id="rId5" Type="http://schemas.openxmlformats.org/officeDocument/2006/relationships/numbering" Target="numbering.xml"/><Relationship Id="rId15" Type="http://schemas.openxmlformats.org/officeDocument/2006/relationships/hyperlink" Target="https://onpointnyc.org/" TargetMode="External"/><Relationship Id="rId23" Type="http://schemas.openxmlformats.org/officeDocument/2006/relationships/hyperlink" Target="https://malegislature.gov/Bills/193/H1981" TargetMode="External"/><Relationship Id="rId10" Type="http://schemas.openxmlformats.org/officeDocument/2006/relationships/endnotes" Target="endnotes.xml"/><Relationship Id="rId19" Type="http://schemas.openxmlformats.org/officeDocument/2006/relationships/hyperlink" Target="https://eohhs.ri.gov/Opioid-Settlement-Advisory-Committ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harm-reduction-commission-report-3-1-2019/download" TargetMode="External"/><Relationship Id="rId22" Type="http://schemas.openxmlformats.org/officeDocument/2006/relationships/hyperlink" Target="https://www.mass.gov/news/guidance-implementing-executive-order-609-regarding-reproductive-health-medications."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mass.gov/files/documents/2019/01/29/BUU%20HRC%20presentation%201-28-2019.pdf" TargetMode="External"/><Relationship Id="rId3" Type="http://schemas.openxmlformats.org/officeDocument/2006/relationships/hyperlink" Target="https://www.ncbi.nlm.nih.gov/pmc/articles/PMC1635777/" TargetMode="External"/><Relationship Id="rId7" Type="http://schemas.openxmlformats.org/officeDocument/2006/relationships/hyperlink" Target="https://www.mass.gov/files/documents/2019/01/17/HRC%20Gaeta%20research%20overview%201-9-2019.pdf" TargetMode="External"/><Relationship Id="rId2" Type="http://schemas.openxmlformats.org/officeDocument/2006/relationships/hyperlink" Target="https://pubmed.ncbi.nlm.nih.gov/25456324/" TargetMode="External"/><Relationship Id="rId1" Type="http://schemas.openxmlformats.org/officeDocument/2006/relationships/hyperlink" Target="https://nida.nih.gov/sites/default/files/NIH-RTC-Overdose-Prevention-Centers.pdf" TargetMode="External"/><Relationship Id="rId6" Type="http://schemas.openxmlformats.org/officeDocument/2006/relationships/hyperlink" Target="Presentation%20from%20Paul%20Loo%20on%20supervised%20consumption%20services%20in%20Canada." TargetMode="External"/><Relationship Id="rId11" Type="http://schemas.openxmlformats.org/officeDocument/2006/relationships/hyperlink" Target="https://www.justice.gov/usao-edpa/pr/civil-lawsuit-filed-seek-judicial-declaration-drug-injection-site-illegal-under-federal" TargetMode="External"/><Relationship Id="rId5" Type="http://schemas.openxmlformats.org/officeDocument/2006/relationships/hyperlink" Target="https://www.mass.gov/files/documents/2018/12/20/Henry%20HRC%20Dec%2017%202018.pdf" TargetMode="External"/><Relationship Id="rId10" Type="http://schemas.openxmlformats.org/officeDocument/2006/relationships/hyperlink" Target="https://www.revisor.mn.gov/laws/2023/0/Session+Law/Chapter/61/" TargetMode="External"/><Relationship Id="rId4" Type="http://schemas.openxmlformats.org/officeDocument/2006/relationships/hyperlink" Target="https://icer.org/wp-content/uploads/2020/10/SIF-RAAG-010521.pdf" TargetMode="External"/><Relationship Id="rId9" Type="http://schemas.openxmlformats.org/officeDocument/2006/relationships/hyperlink" Target="https://rules.sos.ri.gov/regulations/part/216-40-1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b48b6f9-1f49-404a-b0a5-2410e8fa0a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4B564A66DD9143A6B855F0042D4E9C" ma:contentTypeVersion="7" ma:contentTypeDescription="Create a new document." ma:contentTypeScope="" ma:versionID="06e2558a6e0b268564cb1dea99d68141">
  <xsd:schema xmlns:xsd="http://www.w3.org/2001/XMLSchema" xmlns:xs="http://www.w3.org/2001/XMLSchema" xmlns:p="http://schemas.microsoft.com/office/2006/metadata/properties" xmlns:ns3="0b48b6f9-1f49-404a-b0a5-2410e8fa0a87" xmlns:ns4="333a539c-50f0-4c1e-ae74-accc131f6fb2" targetNamespace="http://schemas.microsoft.com/office/2006/metadata/properties" ma:root="true" ma:fieldsID="bdc1c0c766cf33667c69b8fc4924375e" ns3:_="" ns4:_="">
    <xsd:import namespace="0b48b6f9-1f49-404a-b0a5-2410e8fa0a87"/>
    <xsd:import namespace="333a539c-50f0-4c1e-ae74-accc131f6fb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8b6f9-1f49-404a-b0a5-2410e8fa0a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3a539c-50f0-4c1e-ae74-accc131f6f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A283FE-6548-477E-B55D-8528AFFCF6D1}">
  <ds:schemaRefs>
    <ds:schemaRef ds:uri="http://schemas.openxmlformats.org/package/2006/metadata/core-properties"/>
    <ds:schemaRef ds:uri="http://purl.org/dc/elements/1.1/"/>
    <ds:schemaRef ds:uri="333a539c-50f0-4c1e-ae74-accc131f6fb2"/>
    <ds:schemaRef ds:uri="http://schemas.microsoft.com/office/infopath/2007/PartnerControls"/>
    <ds:schemaRef ds:uri="http://schemas.microsoft.com/office/2006/documentManagement/types"/>
    <ds:schemaRef ds:uri="http://www.w3.org/XML/1998/namespace"/>
    <ds:schemaRef ds:uri="http://purl.org/dc/dcmitype/"/>
    <ds:schemaRef ds:uri="http://purl.org/dc/terms/"/>
    <ds:schemaRef ds:uri="0b48b6f9-1f49-404a-b0a5-2410e8fa0a87"/>
    <ds:schemaRef ds:uri="http://schemas.microsoft.com/office/2006/metadata/properties"/>
  </ds:schemaRefs>
</ds:datastoreItem>
</file>

<file path=customXml/itemProps2.xml><?xml version="1.0" encoding="utf-8"?>
<ds:datastoreItem xmlns:ds="http://schemas.openxmlformats.org/officeDocument/2006/customXml" ds:itemID="{BB59B57D-0BE9-4032-9DF7-0925C3A2C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8b6f9-1f49-404a-b0a5-2410e8fa0a87"/>
    <ds:schemaRef ds:uri="333a539c-50f0-4c1e-ae74-accc131f6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BC613-FF72-4517-952C-4FF39E25E70F}">
  <ds:schemaRefs>
    <ds:schemaRef ds:uri="http://schemas.openxmlformats.org/officeDocument/2006/bibliography"/>
  </ds:schemaRefs>
</ds:datastoreItem>
</file>

<file path=customXml/itemProps4.xml><?xml version="1.0" encoding="utf-8"?>
<ds:datastoreItem xmlns:ds="http://schemas.openxmlformats.org/officeDocument/2006/customXml" ds:itemID="{BC13A1D8-8C8B-489E-8E91-B82A59E7C8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4511</Words>
  <Characters>26441</Characters>
  <Application>Microsoft Office Word</Application>
  <DocSecurity>0</DocSecurity>
  <Lines>413</Lines>
  <Paragraphs>90</Paragraphs>
  <ScaleCrop>false</ScaleCrop>
  <Company>Commonwealth of Massachusetts</Company>
  <LinksUpToDate>false</LinksUpToDate>
  <CharactersWithSpaces>30862</CharactersWithSpaces>
  <SharedDoc>false</SharedDoc>
  <HLinks>
    <vt:vector size="174" baseType="variant">
      <vt:variant>
        <vt:i4>4259851</vt:i4>
      </vt:variant>
      <vt:variant>
        <vt:i4>39</vt:i4>
      </vt:variant>
      <vt:variant>
        <vt:i4>0</vt:i4>
      </vt:variant>
      <vt:variant>
        <vt:i4>5</vt:i4>
      </vt:variant>
      <vt:variant>
        <vt:lpwstr>https://malegislature.gov/Bills/193/S1242</vt:lpwstr>
      </vt:variant>
      <vt:variant>
        <vt:lpwstr/>
      </vt:variant>
      <vt:variant>
        <vt:i4>5046299</vt:i4>
      </vt:variant>
      <vt:variant>
        <vt:i4>36</vt:i4>
      </vt:variant>
      <vt:variant>
        <vt:i4>0</vt:i4>
      </vt:variant>
      <vt:variant>
        <vt:i4>5</vt:i4>
      </vt:variant>
      <vt:variant>
        <vt:lpwstr>https://malegislature.gov/Bills/193/H1981</vt:lpwstr>
      </vt:variant>
      <vt:variant>
        <vt:lpwstr/>
      </vt:variant>
      <vt:variant>
        <vt:i4>7405625</vt:i4>
      </vt:variant>
      <vt:variant>
        <vt:i4>33</vt:i4>
      </vt:variant>
      <vt:variant>
        <vt:i4>0</vt:i4>
      </vt:variant>
      <vt:variant>
        <vt:i4>5</vt:i4>
      </vt:variant>
      <vt:variant>
        <vt:lpwstr>https://www.mass.gov/news/guidance-implementing-executive-order-609-regarding-reproductive-health-medications.</vt:lpwstr>
      </vt:variant>
      <vt:variant>
        <vt:lpwstr/>
      </vt:variant>
      <vt:variant>
        <vt:i4>393298</vt:i4>
      </vt:variant>
      <vt:variant>
        <vt:i4>30</vt:i4>
      </vt:variant>
      <vt:variant>
        <vt:i4>0</vt:i4>
      </vt:variant>
      <vt:variant>
        <vt:i4>5</vt:i4>
      </vt:variant>
      <vt:variant>
        <vt:lpwstr>https://www.whitehouse.gov/wp-content/uploads/2022/04/National-Drug-Control-2022Strategy.pdf</vt:lpwstr>
      </vt:variant>
      <vt:variant>
        <vt:lpwstr/>
      </vt:variant>
      <vt:variant>
        <vt:i4>4718662</vt:i4>
      </vt:variant>
      <vt:variant>
        <vt:i4>27</vt:i4>
      </vt:variant>
      <vt:variant>
        <vt:i4>0</vt:i4>
      </vt:variant>
      <vt:variant>
        <vt:i4>5</vt:i4>
      </vt:variant>
      <vt:variant>
        <vt:lpwstr>https://www.revisor.mn.gov/bills/bill.php?b=Senate&amp;f=SF2934&amp;ssn=0&amp;y=2023</vt:lpwstr>
      </vt:variant>
      <vt:variant>
        <vt:lpwstr/>
      </vt:variant>
      <vt:variant>
        <vt:i4>5177364</vt:i4>
      </vt:variant>
      <vt:variant>
        <vt:i4>24</vt:i4>
      </vt:variant>
      <vt:variant>
        <vt:i4>0</vt:i4>
      </vt:variant>
      <vt:variant>
        <vt:i4>5</vt:i4>
      </vt:variant>
      <vt:variant>
        <vt:lpwstr>https://eohhs.ri.gov/Opioid-Settlement-Advisory-Committee</vt:lpwstr>
      </vt:variant>
      <vt:variant>
        <vt:lpwstr/>
      </vt:variant>
      <vt:variant>
        <vt:i4>7667757</vt:i4>
      </vt:variant>
      <vt:variant>
        <vt:i4>21</vt:i4>
      </vt:variant>
      <vt:variant>
        <vt:i4>0</vt:i4>
      </vt:variant>
      <vt:variant>
        <vt:i4>5</vt:i4>
      </vt:variant>
      <vt:variant>
        <vt:lpwstr>https://weberrenew.org/advocacy/project-weber-renew-to-open-the-countrys-first-state-regulated-overdose-prevention-center/</vt:lpwstr>
      </vt:variant>
      <vt:variant>
        <vt:lpwstr/>
      </vt:variant>
      <vt:variant>
        <vt:i4>3670051</vt:i4>
      </vt:variant>
      <vt:variant>
        <vt:i4>18</vt:i4>
      </vt:variant>
      <vt:variant>
        <vt:i4>0</vt:i4>
      </vt:variant>
      <vt:variant>
        <vt:i4>5</vt:i4>
      </vt:variant>
      <vt:variant>
        <vt:lpwstr>https://drive.google.com/file/d/1bGecR7EV1DWiKLqopG73i55NabNOlMoO/view</vt:lpwstr>
      </vt:variant>
      <vt:variant>
        <vt:lpwstr/>
      </vt:variant>
      <vt:variant>
        <vt:i4>7078008</vt:i4>
      </vt:variant>
      <vt:variant>
        <vt:i4>15</vt:i4>
      </vt:variant>
      <vt:variant>
        <vt:i4>0</vt:i4>
      </vt:variant>
      <vt:variant>
        <vt:i4>5</vt:i4>
      </vt:variant>
      <vt:variant>
        <vt:lpwstr>https://www.nyc.gov/site/doh/providers/health-topics/alcohol-and-drugs.page</vt:lpwstr>
      </vt:variant>
      <vt:variant>
        <vt:lpwstr/>
      </vt:variant>
      <vt:variant>
        <vt:i4>8061031</vt:i4>
      </vt:variant>
      <vt:variant>
        <vt:i4>12</vt:i4>
      </vt:variant>
      <vt:variant>
        <vt:i4>0</vt:i4>
      </vt:variant>
      <vt:variant>
        <vt:i4>5</vt:i4>
      </vt:variant>
      <vt:variant>
        <vt:lpwstr>https://onpointnyc.org/</vt:lpwstr>
      </vt:variant>
      <vt:variant>
        <vt:lpwstr/>
      </vt:variant>
      <vt:variant>
        <vt:i4>6357094</vt:i4>
      </vt:variant>
      <vt:variant>
        <vt:i4>9</vt:i4>
      </vt:variant>
      <vt:variant>
        <vt:i4>0</vt:i4>
      </vt:variant>
      <vt:variant>
        <vt:i4>5</vt:i4>
      </vt:variant>
      <vt:variant>
        <vt:lpwstr>https://www.mass.gov/doc/harm-reduction-commission-report-3-1-2019/download</vt:lpwstr>
      </vt:variant>
      <vt:variant>
        <vt:lpwstr/>
      </vt:variant>
      <vt:variant>
        <vt:i4>6881336</vt:i4>
      </vt:variant>
      <vt:variant>
        <vt:i4>6</vt:i4>
      </vt:variant>
      <vt:variant>
        <vt:i4>0</vt:i4>
      </vt:variant>
      <vt:variant>
        <vt:i4>5</vt:i4>
      </vt:variant>
      <vt:variant>
        <vt:lpwstr>https://www.mass.gov/orgs/harm-reduction-commission</vt:lpwstr>
      </vt:variant>
      <vt:variant>
        <vt:lpwstr/>
      </vt:variant>
      <vt:variant>
        <vt:i4>3670048</vt:i4>
      </vt:variant>
      <vt:variant>
        <vt:i4>3</vt:i4>
      </vt:variant>
      <vt:variant>
        <vt:i4>0</vt:i4>
      </vt:variant>
      <vt:variant>
        <vt:i4>5</vt:i4>
      </vt:variant>
      <vt:variant>
        <vt:lpwstr>https://ma4opc.org/wp-content/uploads/2023/10/Key-Findings-from-Survey-of-MA-Voters-10.5.23.pdf</vt:lpwstr>
      </vt:variant>
      <vt:variant>
        <vt:lpwstr/>
      </vt:variant>
      <vt:variant>
        <vt:i4>3014715</vt:i4>
      </vt:variant>
      <vt:variant>
        <vt:i4>0</vt:i4>
      </vt:variant>
      <vt:variant>
        <vt:i4>0</vt:i4>
      </vt:variant>
      <vt:variant>
        <vt:i4>5</vt:i4>
      </vt:variant>
      <vt:variant>
        <vt:lpwstr>https://www.mass.gov/news/massachusetts-opioid-related-overdose-deaths-rose-25-percent-in-2022</vt:lpwstr>
      </vt:variant>
      <vt:variant>
        <vt:lpwstr/>
      </vt:variant>
      <vt:variant>
        <vt:i4>4390981</vt:i4>
      </vt:variant>
      <vt:variant>
        <vt:i4>30</vt:i4>
      </vt:variant>
      <vt:variant>
        <vt:i4>0</vt:i4>
      </vt:variant>
      <vt:variant>
        <vt:i4>5</vt:i4>
      </vt:variant>
      <vt:variant>
        <vt:lpwstr>https://www.justice.gov/usao-edpa/pr/civil-lawsuit-filed-seek-judicial-declaration-drug-injection-site-illegal-under-federal</vt:lpwstr>
      </vt:variant>
      <vt:variant>
        <vt:lpwstr/>
      </vt:variant>
      <vt:variant>
        <vt:i4>8126507</vt:i4>
      </vt:variant>
      <vt:variant>
        <vt:i4>27</vt:i4>
      </vt:variant>
      <vt:variant>
        <vt:i4>0</vt:i4>
      </vt:variant>
      <vt:variant>
        <vt:i4>5</vt:i4>
      </vt:variant>
      <vt:variant>
        <vt:lpwstr>https://www.revisor.mn.gov/laws/2023/0/Session+Law/Chapter/61/</vt:lpwstr>
      </vt:variant>
      <vt:variant>
        <vt:lpwstr/>
      </vt:variant>
      <vt:variant>
        <vt:i4>3080290</vt:i4>
      </vt:variant>
      <vt:variant>
        <vt:i4>24</vt:i4>
      </vt:variant>
      <vt:variant>
        <vt:i4>0</vt:i4>
      </vt:variant>
      <vt:variant>
        <vt:i4>5</vt:i4>
      </vt:variant>
      <vt:variant>
        <vt:lpwstr>https://rules.sos.ri.gov/regulations/part/216-40-10-25</vt:lpwstr>
      </vt:variant>
      <vt:variant>
        <vt:lpwstr/>
      </vt:variant>
      <vt:variant>
        <vt:i4>7995495</vt:i4>
      </vt:variant>
      <vt:variant>
        <vt:i4>21</vt:i4>
      </vt:variant>
      <vt:variant>
        <vt:i4>0</vt:i4>
      </vt:variant>
      <vt:variant>
        <vt:i4>5</vt:i4>
      </vt:variant>
      <vt:variant>
        <vt:lpwstr>https://www.mass.gov/files/documents/2019/01/29/BUU HRC presentation 1-28-2019.pdf</vt:lpwstr>
      </vt:variant>
      <vt:variant>
        <vt:lpwstr/>
      </vt:variant>
      <vt:variant>
        <vt:i4>1900550</vt:i4>
      </vt:variant>
      <vt:variant>
        <vt:i4>18</vt:i4>
      </vt:variant>
      <vt:variant>
        <vt:i4>0</vt:i4>
      </vt:variant>
      <vt:variant>
        <vt:i4>5</vt:i4>
      </vt:variant>
      <vt:variant>
        <vt:lpwstr>https://www.mass.gov/files/documents/2019/01/17/HRC Gaeta research overview 1-9-2019.pdf</vt:lpwstr>
      </vt:variant>
      <vt:variant>
        <vt:lpwstr/>
      </vt:variant>
      <vt:variant>
        <vt:i4>1769496</vt:i4>
      </vt:variant>
      <vt:variant>
        <vt:i4>15</vt:i4>
      </vt:variant>
      <vt:variant>
        <vt:i4>0</vt:i4>
      </vt:variant>
      <vt:variant>
        <vt:i4>5</vt:i4>
      </vt:variant>
      <vt:variant>
        <vt:lpwstr>Presentation from Paul Loo on supervised consumption services in Canada.</vt:lpwstr>
      </vt:variant>
      <vt:variant>
        <vt:lpwstr/>
      </vt:variant>
      <vt:variant>
        <vt:i4>1572875</vt:i4>
      </vt:variant>
      <vt:variant>
        <vt:i4>12</vt:i4>
      </vt:variant>
      <vt:variant>
        <vt:i4>0</vt:i4>
      </vt:variant>
      <vt:variant>
        <vt:i4>5</vt:i4>
      </vt:variant>
      <vt:variant>
        <vt:lpwstr>https://www.mass.gov/files/documents/2018/12/20/Henry HRC Dec 17 2018.pdf</vt:lpwstr>
      </vt:variant>
      <vt:variant>
        <vt:lpwstr/>
      </vt:variant>
      <vt:variant>
        <vt:i4>7864361</vt:i4>
      </vt:variant>
      <vt:variant>
        <vt:i4>9</vt:i4>
      </vt:variant>
      <vt:variant>
        <vt:i4>0</vt:i4>
      </vt:variant>
      <vt:variant>
        <vt:i4>5</vt:i4>
      </vt:variant>
      <vt:variant>
        <vt:lpwstr>https://icer.org/wp-content/uploads/2020/10/SIF-RAAG-010521.pdf</vt:lpwstr>
      </vt:variant>
      <vt:variant>
        <vt:lpwstr/>
      </vt:variant>
      <vt:variant>
        <vt:i4>1441862</vt:i4>
      </vt:variant>
      <vt:variant>
        <vt:i4>6</vt:i4>
      </vt:variant>
      <vt:variant>
        <vt:i4>0</vt:i4>
      </vt:variant>
      <vt:variant>
        <vt:i4>5</vt:i4>
      </vt:variant>
      <vt:variant>
        <vt:lpwstr>https://www.ncbi.nlm.nih.gov/pmc/articles/PMC1635777/</vt:lpwstr>
      </vt:variant>
      <vt:variant>
        <vt:lpwstr/>
      </vt:variant>
      <vt:variant>
        <vt:i4>851973</vt:i4>
      </vt:variant>
      <vt:variant>
        <vt:i4>3</vt:i4>
      </vt:variant>
      <vt:variant>
        <vt:i4>0</vt:i4>
      </vt:variant>
      <vt:variant>
        <vt:i4>5</vt:i4>
      </vt:variant>
      <vt:variant>
        <vt:lpwstr>https://pubmed.ncbi.nlm.nih.gov/25456324/</vt:lpwstr>
      </vt:variant>
      <vt:variant>
        <vt:lpwstr/>
      </vt:variant>
      <vt:variant>
        <vt:i4>4653144</vt:i4>
      </vt:variant>
      <vt:variant>
        <vt:i4>0</vt:i4>
      </vt:variant>
      <vt:variant>
        <vt:i4>0</vt:i4>
      </vt:variant>
      <vt:variant>
        <vt:i4>5</vt:i4>
      </vt:variant>
      <vt:variant>
        <vt:lpwstr>https://nida.nih.gov/sites/default/files/NIH-RTC-Overdose-Prevention-Centers.pdf</vt:lpwstr>
      </vt:variant>
      <vt:variant>
        <vt:lpwstr/>
      </vt:variant>
      <vt:variant>
        <vt:i4>4980835</vt:i4>
      </vt:variant>
      <vt:variant>
        <vt:i4>9</vt:i4>
      </vt:variant>
      <vt:variant>
        <vt:i4>0</vt:i4>
      </vt:variant>
      <vt:variant>
        <vt:i4>5</vt:i4>
      </vt:variant>
      <vt:variant>
        <vt:lpwstr>mailto:beth.d.mclaughlin@mass.gov</vt:lpwstr>
      </vt:variant>
      <vt:variant>
        <vt:lpwstr/>
      </vt:variant>
      <vt:variant>
        <vt:i4>5832776</vt:i4>
      </vt:variant>
      <vt:variant>
        <vt:i4>6</vt:i4>
      </vt:variant>
      <vt:variant>
        <vt:i4>0</vt:i4>
      </vt:variant>
      <vt:variant>
        <vt:i4>5</vt:i4>
      </vt:variant>
      <vt:variant>
        <vt:lpwstr>https://whyy.org/articles/safehouse-supervised-injection-suit-department-justice-dismiss/</vt:lpwstr>
      </vt:variant>
      <vt:variant>
        <vt:lpwstr/>
      </vt:variant>
      <vt:variant>
        <vt:i4>5308526</vt:i4>
      </vt:variant>
      <vt:variant>
        <vt:i4>3</vt:i4>
      </vt:variant>
      <vt:variant>
        <vt:i4>0</vt:i4>
      </vt:variant>
      <vt:variant>
        <vt:i4>5</vt:i4>
      </vt:variant>
      <vt:variant>
        <vt:lpwstr>mailto:Mary.A.Beckman@mass.gov</vt:lpwstr>
      </vt:variant>
      <vt:variant>
        <vt:lpwstr/>
      </vt:variant>
      <vt:variant>
        <vt:i4>4980835</vt:i4>
      </vt:variant>
      <vt:variant>
        <vt:i4>0</vt:i4>
      </vt:variant>
      <vt:variant>
        <vt:i4>0</vt:i4>
      </vt:variant>
      <vt:variant>
        <vt:i4>5</vt:i4>
      </vt:variant>
      <vt:variant>
        <vt:lpwstr>mailto:beth.d.mclaughlin@mass.gov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dc:creator>
  <cp:keywords/>
  <dc:description/>
  <cp:lastModifiedBy>Abigail</cp:lastModifiedBy>
  <cp:revision>3</cp:revision>
  <dcterms:created xsi:type="dcterms:W3CDTF">2023-12-12T17:08:00Z</dcterms:created>
  <dcterms:modified xsi:type="dcterms:W3CDTF">2023-12-12T17:10:00Z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0x010100354B564A66DD9143A6B855F0042D4E9C</vt:lpwstr>
  </property>
  <property fmtid="{D5CDD505-2E9C-101B-9397-08002B2CF9AE}" pid="3" name="MediaServiceImageTags">
    <vt:lpwstr/>
  </property>
</Properties>
</file>