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B8250" w14:textId="77777777" w:rsidR="000537DA" w:rsidRDefault="000537DA" w:rsidP="00404683">
      <w:pPr>
        <w:framePr w:w="6926" w:hSpace="187" w:wrap="notBeside" w:vAnchor="page" w:hAnchor="page" w:x="2866" w:y="764"/>
        <w:jc w:val="center"/>
        <w:rPr>
          <w:rFonts w:ascii="Arial" w:hAnsi="Arial"/>
          <w:sz w:val="36"/>
        </w:rPr>
      </w:pPr>
      <w:r>
        <w:rPr>
          <w:rFonts w:ascii="Arial" w:hAnsi="Arial"/>
          <w:sz w:val="36"/>
        </w:rPr>
        <w:t>The Commonwealth of Massachusetts</w:t>
      </w:r>
    </w:p>
    <w:p w14:paraId="4AA325BC" w14:textId="77777777" w:rsidR="000537DA" w:rsidRDefault="000537DA" w:rsidP="00404683">
      <w:pPr>
        <w:pStyle w:val="ExecOffice"/>
        <w:framePr w:w="6926" w:wrap="notBeside" w:vAnchor="page" w:x="2866" w:y="764"/>
      </w:pPr>
      <w:r>
        <w:t>Executive Office of Health and Human Services</w:t>
      </w:r>
    </w:p>
    <w:p w14:paraId="6FEB72A3" w14:textId="77777777" w:rsidR="000537DA" w:rsidRDefault="000537DA" w:rsidP="00404683">
      <w:pPr>
        <w:pStyle w:val="ExecOffice"/>
        <w:framePr w:w="6926" w:wrap="notBeside" w:vAnchor="page" w:x="2866" w:y="764"/>
      </w:pPr>
      <w:r>
        <w:t>Department of Public Health</w:t>
      </w:r>
    </w:p>
    <w:p w14:paraId="3699D326" w14:textId="77777777" w:rsidR="00404683" w:rsidRDefault="00404683" w:rsidP="00404683">
      <w:pPr>
        <w:pStyle w:val="ExecOffice"/>
        <w:framePr w:w="6926" w:wrap="notBeside" w:vAnchor="page" w:x="2866" w:y="764"/>
      </w:pPr>
      <w:r>
        <w:t>Bureau of Infectious Disease and Laboratory Sciences</w:t>
      </w:r>
    </w:p>
    <w:p w14:paraId="46461D10" w14:textId="77777777" w:rsidR="006D06D9" w:rsidRDefault="00404683" w:rsidP="00404683">
      <w:pPr>
        <w:pStyle w:val="ExecOffice"/>
        <w:framePr w:w="6926" w:wrap="notBeside" w:vAnchor="page" w:x="2866" w:y="764"/>
      </w:pPr>
      <w:r>
        <w:t>305 South Street</w:t>
      </w:r>
      <w:r w:rsidR="000537DA">
        <w:t>, Boston, MA 021</w:t>
      </w:r>
      <w:r>
        <w:t>30</w:t>
      </w:r>
    </w:p>
    <w:p w14:paraId="0AD5DADD" w14:textId="76F1C3B8" w:rsidR="00BA4055" w:rsidRDefault="00F85812" w:rsidP="00BA4055">
      <w:pPr>
        <w:framePr w:w="1927" w:hSpace="180" w:wrap="auto" w:vAnchor="text" w:hAnchor="page" w:x="940" w:y="-951"/>
        <w:rPr>
          <w:rFonts w:ascii="LinePrinter" w:hAnsi="LinePrinter"/>
        </w:rPr>
      </w:pPr>
      <w:r>
        <w:rPr>
          <w:rFonts w:ascii="LinePrinter" w:hAnsi="LinePrinter"/>
          <w:noProof/>
        </w:rPr>
        <w:drawing>
          <wp:inline distT="0" distB="0" distL="0" distR="0" wp14:anchorId="59808B3F" wp14:editId="001315BC">
            <wp:extent cx="962025" cy="115252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493A00EA" w14:textId="6CB05241" w:rsidR="009908FF" w:rsidRDefault="00F85812" w:rsidP="0072610D">
      <w:r>
        <w:rPr>
          <w:noProof/>
        </w:rPr>
        <mc:AlternateContent>
          <mc:Choice Requires="wps">
            <w:drawing>
              <wp:anchor distT="0" distB="0" distL="114300" distR="114300" simplePos="0" relativeHeight="251658240" behindDoc="0" locked="0" layoutInCell="1" allowOverlap="1" wp14:anchorId="56CF72C3" wp14:editId="773571DC">
                <wp:simplePos x="0" y="0"/>
                <wp:positionH relativeFrom="column">
                  <wp:posOffset>5114925</wp:posOffset>
                </wp:positionH>
                <wp:positionV relativeFrom="paragraph">
                  <wp:posOffset>465455</wp:posOffset>
                </wp:positionV>
                <wp:extent cx="1814195" cy="1197610"/>
                <wp:effectExtent l="0" t="0" r="0" b="3810"/>
                <wp:wrapNone/>
                <wp:docPr id="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97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D6DBB7" w14:textId="77777777" w:rsidR="00FC6B42" w:rsidRDefault="00FC6B42" w:rsidP="00FC6B42">
                            <w:pPr>
                              <w:pStyle w:val="Governor"/>
                              <w:spacing w:after="0"/>
                              <w:rPr>
                                <w:sz w:val="16"/>
                              </w:rPr>
                            </w:pPr>
                          </w:p>
                          <w:p w14:paraId="67B7E294" w14:textId="77777777" w:rsidR="00FC6B42" w:rsidRDefault="00FC6B42" w:rsidP="00FC6B42">
                            <w:pPr>
                              <w:pStyle w:val="Governor"/>
                            </w:pPr>
                          </w:p>
                          <w:p w14:paraId="147C4593" w14:textId="77777777" w:rsidR="002D1C21" w:rsidRDefault="002D1C21" w:rsidP="00FC6B42">
                            <w:pPr>
                              <w:pStyle w:val="Governor"/>
                            </w:pPr>
                          </w:p>
                          <w:p w14:paraId="7E85CAE7" w14:textId="77777777" w:rsidR="00FC6B42" w:rsidRDefault="002D1C21"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6DC5EA17" w14:textId="77777777" w:rsidR="004813AC" w:rsidRDefault="004813AC" w:rsidP="00FC6B42">
                            <w:pPr>
                              <w:jc w:val="center"/>
                              <w:rPr>
                                <w:rFonts w:ascii="Arial Rounded MT Bold" w:hAnsi="Arial Rounded MT Bold"/>
                                <w:sz w:val="14"/>
                                <w:szCs w:val="14"/>
                              </w:rPr>
                            </w:pPr>
                          </w:p>
                          <w:p w14:paraId="5CB25D07"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41A7CC4E"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5D55A25A"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6CF72C3" id="_x0000_t202" coordsize="21600,21600" o:spt="202" path="m,l,21600r21600,l21600,xe">
                <v:stroke joinstyle="miter"/>
                <v:path gradientshapeok="t" o:connecttype="rect"/>
              </v:shapetype>
              <v:shape id="Text Box 2" o:spid="_x0000_s1026" type="#_x0000_t202" alt="&quot;&quot;" style="position:absolute;margin-left:402.75pt;margin-top:36.65pt;width:142.85pt;height:94.3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" stroked="f">
                <v:textbox style="mso-fit-shape-to-text:t">
                  <w:txbxContent>
                    <w:p w14:paraId="62D6DBB7" w14:textId="77777777" w:rsidR="00FC6B42" w:rsidRDefault="00FC6B42" w:rsidP="00FC6B42">
                      <w:pPr>
                        <w:pStyle w:val="Governor"/>
                        <w:spacing w:after="0"/>
                        <w:rPr>
                          <w:sz w:val="16"/>
                        </w:rPr>
                      </w:pPr>
                    </w:p>
                    <w:p w14:paraId="67B7E294" w14:textId="77777777" w:rsidR="00FC6B42" w:rsidRDefault="00FC6B42" w:rsidP="00FC6B42">
                      <w:pPr>
                        <w:pStyle w:val="Governor"/>
                      </w:pPr>
                    </w:p>
                    <w:p w14:paraId="147C4593" w14:textId="77777777" w:rsidR="002D1C21" w:rsidRDefault="002D1C21" w:rsidP="00FC6B42">
                      <w:pPr>
                        <w:pStyle w:val="Governor"/>
                      </w:pPr>
                    </w:p>
                    <w:p w14:paraId="7E85CAE7" w14:textId="77777777" w:rsidR="00FC6B42" w:rsidRDefault="002D1C21"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6DC5EA17" w14:textId="77777777" w:rsidR="004813AC" w:rsidRDefault="004813AC" w:rsidP="00FC6B42">
                      <w:pPr>
                        <w:jc w:val="center"/>
                        <w:rPr>
                          <w:rFonts w:ascii="Arial Rounded MT Bold" w:hAnsi="Arial Rounded MT Bold"/>
                          <w:sz w:val="14"/>
                          <w:szCs w:val="14"/>
                        </w:rPr>
                      </w:pPr>
                    </w:p>
                    <w:p w14:paraId="5CB25D07"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41A7CC4E"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5D55A25A"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6F728C90" wp14:editId="585DF756">
                <wp:simplePos x="0" y="0"/>
                <wp:positionH relativeFrom="column">
                  <wp:posOffset>-704850</wp:posOffset>
                </wp:positionH>
                <wp:positionV relativeFrom="paragraph">
                  <wp:posOffset>828040</wp:posOffset>
                </wp:positionV>
                <wp:extent cx="1572895" cy="802005"/>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4F26C8" w14:textId="77777777" w:rsidR="00FC6B42" w:rsidRDefault="00FC6B42" w:rsidP="00FC6B42">
                            <w:pPr>
                              <w:pStyle w:val="Governor"/>
                              <w:spacing w:after="0"/>
                              <w:rPr>
                                <w:sz w:val="16"/>
                              </w:rPr>
                            </w:pPr>
                          </w:p>
                          <w:p w14:paraId="7D8FA822" w14:textId="77777777" w:rsidR="00FC6B42" w:rsidRDefault="002D1C21" w:rsidP="00FC6B42">
                            <w:pPr>
                              <w:pStyle w:val="Governor"/>
                              <w:spacing w:after="0"/>
                              <w:rPr>
                                <w:sz w:val="16"/>
                              </w:rPr>
                            </w:pPr>
                            <w:r>
                              <w:rPr>
                                <w:sz w:val="16"/>
                              </w:rPr>
                              <w:t>MAURA T. HEALEY</w:t>
                            </w:r>
                          </w:p>
                          <w:p w14:paraId="0B322C9F" w14:textId="77777777" w:rsidR="00FC6B42" w:rsidRDefault="00FC6B42" w:rsidP="00FC6B42">
                            <w:pPr>
                              <w:pStyle w:val="Governor"/>
                            </w:pPr>
                            <w:r>
                              <w:t>Governor</w:t>
                            </w:r>
                          </w:p>
                          <w:p w14:paraId="1EE68470" w14:textId="77777777" w:rsidR="00FC6B42" w:rsidRDefault="002D1C21" w:rsidP="00FC6B42">
                            <w:pPr>
                              <w:pStyle w:val="Governor"/>
                              <w:spacing w:after="0"/>
                              <w:rPr>
                                <w:sz w:val="16"/>
                              </w:rPr>
                            </w:pPr>
                            <w:r>
                              <w:rPr>
                                <w:sz w:val="16"/>
                              </w:rPr>
                              <w:t>KIMBERLEY L. DRISCOLL</w:t>
                            </w:r>
                          </w:p>
                          <w:p w14:paraId="0C738AC4"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F728C90" id="_x0000_s1027" type="#_x0000_t202" alt="&quot;&quot;" style="position:absolute;margin-left:-55.5pt;margin-top:65.2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" stroked="f">
                <v:textbox style="mso-fit-shape-to-text:t">
                  <w:txbxContent>
                    <w:p w14:paraId="3E4F26C8" w14:textId="77777777" w:rsidR="00FC6B42" w:rsidRDefault="00FC6B42" w:rsidP="00FC6B42">
                      <w:pPr>
                        <w:pStyle w:val="Governor"/>
                        <w:spacing w:after="0"/>
                        <w:rPr>
                          <w:sz w:val="16"/>
                        </w:rPr>
                      </w:pPr>
                    </w:p>
                    <w:p w14:paraId="7D8FA822" w14:textId="77777777" w:rsidR="00FC6B42" w:rsidRDefault="002D1C21" w:rsidP="00FC6B42">
                      <w:pPr>
                        <w:pStyle w:val="Governor"/>
                        <w:spacing w:after="0"/>
                        <w:rPr>
                          <w:sz w:val="16"/>
                        </w:rPr>
                      </w:pPr>
                      <w:r>
                        <w:rPr>
                          <w:sz w:val="16"/>
                        </w:rPr>
                        <w:t>MAURA T. HEALEY</w:t>
                      </w:r>
                    </w:p>
                    <w:p w14:paraId="0B322C9F" w14:textId="77777777" w:rsidR="00FC6B42" w:rsidRDefault="00FC6B42" w:rsidP="00FC6B42">
                      <w:pPr>
                        <w:pStyle w:val="Governor"/>
                      </w:pPr>
                      <w:r>
                        <w:t>Governor</w:t>
                      </w:r>
                    </w:p>
                    <w:p w14:paraId="1EE68470" w14:textId="77777777" w:rsidR="00FC6B42" w:rsidRDefault="002D1C21" w:rsidP="00FC6B42">
                      <w:pPr>
                        <w:pStyle w:val="Governor"/>
                        <w:spacing w:after="0"/>
                        <w:rPr>
                          <w:sz w:val="16"/>
                        </w:rPr>
                      </w:pPr>
                      <w:r>
                        <w:rPr>
                          <w:sz w:val="16"/>
                        </w:rPr>
                        <w:t>KIMBERLEY L. DRISCOLL</w:t>
                      </w:r>
                    </w:p>
                    <w:p w14:paraId="0C738AC4" w14:textId="77777777" w:rsidR="00FC6B42" w:rsidRDefault="00FC6B42" w:rsidP="00FC6B42">
                      <w:pPr>
                        <w:pStyle w:val="Governor"/>
                      </w:pPr>
                      <w:r>
                        <w:t>Lieutenant Governor</w:t>
                      </w:r>
                    </w:p>
                  </w:txbxContent>
                </v:textbox>
              </v:shape>
            </w:pict>
          </mc:Fallback>
        </mc:AlternateContent>
      </w:r>
    </w:p>
    <w:p w14:paraId="5141E66D" w14:textId="77777777" w:rsidR="00FC6B42" w:rsidRDefault="00FC6B42" w:rsidP="0072610D"/>
    <w:p w14:paraId="6831C022" w14:textId="77777777" w:rsidR="00FC6B42" w:rsidRDefault="00FC6B42" w:rsidP="0072610D"/>
    <w:p w14:paraId="57A4BEB4" w14:textId="77777777" w:rsidR="00033154" w:rsidRDefault="00033154" w:rsidP="0072610D"/>
    <w:p w14:paraId="6634DDE0" w14:textId="77777777" w:rsidR="00033154" w:rsidRDefault="00033154" w:rsidP="0072610D"/>
    <w:p w14:paraId="1530B617" w14:textId="77777777" w:rsidR="003B538D" w:rsidRDefault="003B538D" w:rsidP="003B538D">
      <w:pPr>
        <w:spacing w:after="160" w:line="256" w:lineRule="auto"/>
        <w:jc w:val="center"/>
        <w:rPr>
          <w:rFonts w:eastAsia="Calibri"/>
          <w:b/>
          <w:bCs/>
          <w:sz w:val="22"/>
          <w:szCs w:val="22"/>
        </w:rPr>
      </w:pPr>
      <w:r w:rsidRPr="003B538D">
        <w:rPr>
          <w:rFonts w:eastAsia="Calibri"/>
          <w:b/>
          <w:bCs/>
          <w:sz w:val="22"/>
          <w:szCs w:val="22"/>
        </w:rPr>
        <w:t>MEMORANDUM</w:t>
      </w:r>
    </w:p>
    <w:p w14:paraId="08C6506C" w14:textId="77777777" w:rsidR="007779E7" w:rsidRPr="003B538D" w:rsidRDefault="007779E7" w:rsidP="007779E7">
      <w:pPr>
        <w:spacing w:before="120" w:after="120" w:line="252" w:lineRule="auto"/>
        <w:rPr>
          <w:rFonts w:eastAsia="Calibri"/>
          <w:szCs w:val="24"/>
        </w:rPr>
      </w:pPr>
      <w:r w:rsidRPr="003B538D">
        <w:rPr>
          <w:rFonts w:eastAsia="Calibri"/>
          <w:szCs w:val="24"/>
        </w:rPr>
        <w:t>January 6, 2023</w:t>
      </w:r>
    </w:p>
    <w:p w14:paraId="3B07FE53" w14:textId="77777777" w:rsidR="003B538D" w:rsidRPr="003B538D" w:rsidRDefault="003B538D" w:rsidP="003B538D">
      <w:pPr>
        <w:spacing w:before="120" w:after="120" w:line="252" w:lineRule="auto"/>
        <w:rPr>
          <w:rFonts w:eastAsia="Calibri"/>
          <w:szCs w:val="24"/>
        </w:rPr>
      </w:pPr>
      <w:r w:rsidRPr="003B538D">
        <w:rPr>
          <w:rFonts w:eastAsia="Calibri"/>
          <w:b/>
          <w:bCs/>
          <w:szCs w:val="24"/>
        </w:rPr>
        <w:t>TO:</w:t>
      </w:r>
      <w:r w:rsidRPr="003B538D">
        <w:rPr>
          <w:rFonts w:eastAsia="Calibri"/>
          <w:szCs w:val="24"/>
        </w:rPr>
        <w:t xml:space="preserve"> </w:t>
      </w:r>
      <w:r w:rsidRPr="003B538D">
        <w:rPr>
          <w:rFonts w:eastAsia="Calibri"/>
          <w:szCs w:val="24"/>
        </w:rPr>
        <w:tab/>
        <w:t>ESP Reporting Facilities</w:t>
      </w:r>
    </w:p>
    <w:p w14:paraId="3CB48DBE" w14:textId="77777777" w:rsidR="003B538D" w:rsidRPr="003B538D" w:rsidRDefault="003B538D" w:rsidP="003B538D">
      <w:pPr>
        <w:spacing w:before="120" w:after="120" w:line="252" w:lineRule="auto"/>
        <w:ind w:left="720" w:hanging="720"/>
        <w:rPr>
          <w:rFonts w:eastAsia="Calibri"/>
          <w:szCs w:val="24"/>
        </w:rPr>
      </w:pPr>
      <w:r w:rsidRPr="003B538D">
        <w:rPr>
          <w:rFonts w:eastAsia="Calibri"/>
          <w:b/>
          <w:bCs/>
          <w:szCs w:val="24"/>
        </w:rPr>
        <w:t>FR:</w:t>
      </w:r>
      <w:r w:rsidRPr="003B538D">
        <w:rPr>
          <w:rFonts w:eastAsia="Calibri"/>
          <w:b/>
          <w:bCs/>
          <w:szCs w:val="24"/>
        </w:rPr>
        <w:tab/>
      </w:r>
      <w:r w:rsidRPr="003B538D">
        <w:rPr>
          <w:rFonts w:eastAsia="Calibri"/>
          <w:szCs w:val="24"/>
        </w:rPr>
        <w:t>Kevin Cranston, MDiv, Assistant Commissioner, Director, Bureau of Infectious Disease and Laboratory Sciences</w:t>
      </w:r>
    </w:p>
    <w:p w14:paraId="75AE98D2" w14:textId="77777777" w:rsidR="003B538D" w:rsidRPr="003B538D" w:rsidRDefault="003B538D" w:rsidP="003B538D">
      <w:pPr>
        <w:spacing w:before="120" w:after="120" w:line="252" w:lineRule="auto"/>
        <w:ind w:firstLine="720"/>
        <w:rPr>
          <w:rFonts w:eastAsia="Calibri"/>
          <w:szCs w:val="24"/>
        </w:rPr>
      </w:pPr>
      <w:r w:rsidRPr="003B538D">
        <w:rPr>
          <w:rFonts w:eastAsia="Calibri"/>
          <w:szCs w:val="24"/>
        </w:rPr>
        <w:t>Catherine Brown, DVM, MSc, MPH, State Epidemiologist</w:t>
      </w:r>
    </w:p>
    <w:p w14:paraId="4629B895" w14:textId="77777777" w:rsidR="003B538D" w:rsidRPr="003B538D" w:rsidRDefault="003B538D" w:rsidP="003B538D">
      <w:pPr>
        <w:spacing w:before="120" w:after="120" w:line="252" w:lineRule="auto"/>
        <w:rPr>
          <w:rFonts w:eastAsia="Calibri"/>
          <w:szCs w:val="24"/>
        </w:rPr>
      </w:pPr>
      <w:r w:rsidRPr="003B538D">
        <w:rPr>
          <w:rFonts w:eastAsia="Calibri"/>
          <w:b/>
          <w:bCs/>
          <w:szCs w:val="24"/>
        </w:rPr>
        <w:t>RE:</w:t>
      </w:r>
      <w:r w:rsidRPr="003B538D">
        <w:rPr>
          <w:rFonts w:eastAsia="Calibri"/>
          <w:b/>
          <w:bCs/>
          <w:szCs w:val="24"/>
        </w:rPr>
        <w:tab/>
      </w:r>
      <w:r w:rsidRPr="003B538D">
        <w:rPr>
          <w:rFonts w:eastAsia="Calibri"/>
          <w:szCs w:val="24"/>
        </w:rPr>
        <w:t>Update and Clarification on Notifiable Disease Reporting Processes for ESP Facilities</w:t>
      </w:r>
    </w:p>
    <w:p w14:paraId="499B158E" w14:textId="77777777" w:rsidR="003B538D" w:rsidRPr="003B538D" w:rsidRDefault="003B538D" w:rsidP="003B538D">
      <w:pPr>
        <w:spacing w:before="120" w:after="120" w:line="252" w:lineRule="auto"/>
        <w:rPr>
          <w:rFonts w:eastAsia="Calibri"/>
          <w:szCs w:val="24"/>
        </w:rPr>
      </w:pPr>
      <w:r w:rsidRPr="003B538D">
        <w:rPr>
          <w:rFonts w:eastAsia="Calibri"/>
          <w:szCs w:val="24"/>
        </w:rPr>
        <w:t xml:space="preserve">This serves as an update on and further clarification of notifiable infectious disease reporting requirements and related processes for health care facilities participating in the </w:t>
      </w:r>
      <w:r w:rsidRPr="003B538D">
        <w:rPr>
          <w:rFonts w:eastAsia="Calibri"/>
          <w:b/>
          <w:bCs/>
          <w:szCs w:val="24"/>
        </w:rPr>
        <w:t>E</w:t>
      </w:r>
      <w:r w:rsidRPr="003B538D">
        <w:rPr>
          <w:rFonts w:eastAsia="Calibri"/>
          <w:szCs w:val="24"/>
        </w:rPr>
        <w:t xml:space="preserve">lectronic medical record </w:t>
      </w:r>
      <w:r w:rsidRPr="003B538D">
        <w:rPr>
          <w:rFonts w:eastAsia="Calibri"/>
          <w:b/>
          <w:bCs/>
          <w:szCs w:val="24"/>
        </w:rPr>
        <w:t>S</w:t>
      </w:r>
      <w:r w:rsidRPr="003B538D">
        <w:rPr>
          <w:rFonts w:eastAsia="Calibri"/>
          <w:szCs w:val="24"/>
        </w:rPr>
        <w:t xml:space="preserve">upport for </w:t>
      </w:r>
      <w:r w:rsidRPr="003B538D">
        <w:rPr>
          <w:rFonts w:eastAsia="Calibri"/>
          <w:b/>
          <w:bCs/>
          <w:szCs w:val="24"/>
        </w:rPr>
        <w:t>P</w:t>
      </w:r>
      <w:r w:rsidRPr="003B538D">
        <w:rPr>
          <w:rFonts w:eastAsia="Calibri"/>
          <w:szCs w:val="24"/>
        </w:rPr>
        <w:t xml:space="preserve">ublic Health (ESP) system. The primary goals of ESP implementation are to facilitate more timely, complete, and accurate reporting to inform public health actions and to reduce provider reporting burden. Facilities reporting data through ESP must still meet the regulatory requirements of </w:t>
      </w:r>
      <w:r w:rsidRPr="003B538D">
        <w:rPr>
          <w:rFonts w:eastAsia="Calibri"/>
          <w:i/>
          <w:iCs/>
          <w:szCs w:val="24"/>
        </w:rPr>
        <w:t>105 CMR 300: Reportable diseases, surveillance, and isolation and quarantine requirements</w:t>
      </w:r>
      <w:r w:rsidRPr="003B538D">
        <w:rPr>
          <w:rFonts w:eastAsia="Calibri"/>
          <w:szCs w:val="24"/>
        </w:rPr>
        <w:t xml:space="preserve">. </w:t>
      </w:r>
      <w:hyperlink r:id="rId7" w:history="1">
        <w:r w:rsidRPr="003B538D">
          <w:rPr>
            <w:rStyle w:val="Hyperlink"/>
            <w:rFonts w:eastAsia="Calibri"/>
            <w:szCs w:val="24"/>
          </w:rPr>
          <w:t>(105 CMR 300.00: Reportable diseases, surveillance, and isolation and quarantine requirements | Mass.gov</w:t>
        </w:r>
      </w:hyperlink>
      <w:r w:rsidRPr="003B538D">
        <w:rPr>
          <w:rFonts w:eastAsia="Calibri"/>
          <w:szCs w:val="24"/>
        </w:rPr>
        <w:t>).</w:t>
      </w:r>
    </w:p>
    <w:p w14:paraId="5D96B1DD" w14:textId="77777777" w:rsidR="003B538D" w:rsidRPr="003B538D" w:rsidRDefault="003B538D" w:rsidP="003B538D">
      <w:pPr>
        <w:spacing w:before="120" w:after="120" w:line="252" w:lineRule="auto"/>
        <w:rPr>
          <w:rFonts w:eastAsia="Calibri"/>
          <w:szCs w:val="24"/>
        </w:rPr>
      </w:pPr>
      <w:r w:rsidRPr="003B538D">
        <w:rPr>
          <w:rFonts w:eastAsia="Calibri"/>
          <w:szCs w:val="24"/>
        </w:rPr>
        <w:t xml:space="preserve">For facilities providing information on reportable conditions through ESP, DPH will continue to adapt the mechanisms used to obtain data essential to protect the public health. ESP considerably reduces the daily burden of infectious disease reporting for participating facilities, particularly for initial reporting of relatively high-volume infections such as latent tuberculosis infection (LTBI), chlamydia, syphilis, and gonorrhea.  At the same time, more information on cases and the circumstances surrounding their incidence than is routinely contained in structured fields in electronic medical records may require state and local health departments to request supplementary data from clinicians to inform public health actions.  </w:t>
      </w:r>
    </w:p>
    <w:p w14:paraId="79325DD9" w14:textId="77777777" w:rsidR="003B538D" w:rsidRPr="003B538D" w:rsidRDefault="003B538D" w:rsidP="003B538D">
      <w:pPr>
        <w:spacing w:before="120" w:after="120" w:line="252" w:lineRule="auto"/>
        <w:rPr>
          <w:rFonts w:eastAsia="Calibri"/>
          <w:szCs w:val="24"/>
        </w:rPr>
      </w:pPr>
      <w:r w:rsidRPr="003B538D">
        <w:rPr>
          <w:rFonts w:eastAsia="Calibri"/>
          <w:szCs w:val="24"/>
        </w:rPr>
        <w:t xml:space="preserve">The ESP-specific processes for latent tuberculosis infection, active tuberculosis disease, chlamydia, syphilis, gonorrhea, hepatitis A, and HIV are summarized below. The ESP-associated data collection mechanisms for each condition are effective immediately upon a facility going “live” reporting that condition via ESP. The accompanying table summarizes initial case report form (CRF) submission requirements, if any, for </w:t>
      </w:r>
      <w:r w:rsidRPr="003B538D">
        <w:rPr>
          <w:rStyle w:val="cf01"/>
          <w:rFonts w:ascii="Times New Roman" w:hAnsi="Times New Roman" w:cs="Times New Roman"/>
          <w:sz w:val="24"/>
          <w:szCs w:val="24"/>
        </w:rPr>
        <w:t xml:space="preserve">providers in ESP reporting facilities (ESP providers) and describes </w:t>
      </w:r>
      <w:r w:rsidRPr="003B538D">
        <w:rPr>
          <w:rFonts w:eastAsia="Calibri"/>
          <w:szCs w:val="24"/>
        </w:rPr>
        <w:t xml:space="preserve">supplementary data needed for public health action that may necessitate follow-up engagement of reporting clinicians. </w:t>
      </w:r>
    </w:p>
    <w:p w14:paraId="1C47439F" w14:textId="77777777" w:rsidR="003B538D" w:rsidRPr="003B538D" w:rsidRDefault="003B538D" w:rsidP="003B538D">
      <w:pPr>
        <w:spacing w:before="120" w:after="120" w:line="252" w:lineRule="auto"/>
        <w:rPr>
          <w:rFonts w:eastAsia="Calibri"/>
          <w:szCs w:val="24"/>
        </w:rPr>
      </w:pPr>
      <w:r w:rsidRPr="003B538D">
        <w:rPr>
          <w:rFonts w:eastAsia="Calibri"/>
          <w:szCs w:val="24"/>
        </w:rPr>
        <w:t xml:space="preserve">We are currently finalizing plans for changes to reporting for other conditions reportable through ESP, including hepatitis B and hepatitis C, and will communicate those to you </w:t>
      </w:r>
      <w:proofErr w:type="gramStart"/>
      <w:r w:rsidRPr="003B538D">
        <w:rPr>
          <w:rFonts w:eastAsia="Calibri"/>
          <w:szCs w:val="24"/>
        </w:rPr>
        <w:t>in the near future</w:t>
      </w:r>
      <w:proofErr w:type="gramEnd"/>
      <w:r w:rsidRPr="003B538D">
        <w:rPr>
          <w:rFonts w:eastAsia="Calibri"/>
          <w:szCs w:val="24"/>
        </w:rPr>
        <w:t xml:space="preserve">.  </w:t>
      </w:r>
      <w:r w:rsidRPr="003B538D">
        <w:rPr>
          <w:rFonts w:eastAsia="Calibri"/>
          <w:szCs w:val="24"/>
        </w:rPr>
        <w:lastRenderedPageBreak/>
        <w:t>We sincerely appreciate your engagement with the ESP process and look forward to continuing to work with you to develop new detection algorithms for submitting data on additional reportable diseases and to refining these data collection mechanisms.</w:t>
      </w:r>
    </w:p>
    <w:p w14:paraId="74F9F2EA" w14:textId="77777777" w:rsidR="003B538D" w:rsidRPr="003B538D" w:rsidRDefault="003B538D" w:rsidP="003B538D">
      <w:pPr>
        <w:spacing w:before="120" w:after="120" w:line="252" w:lineRule="auto"/>
        <w:rPr>
          <w:rFonts w:eastAsia="Calibri"/>
          <w:szCs w:val="24"/>
        </w:rPr>
      </w:pPr>
      <w:r w:rsidRPr="003B538D">
        <w:rPr>
          <w:rFonts w:eastAsia="Calibri"/>
          <w:b/>
          <w:bCs/>
          <w:i/>
          <w:iCs/>
          <w:szCs w:val="24"/>
        </w:rPr>
        <w:t>Tuberculosis (latent tuberculosis infection and active tuberculosis disease):</w:t>
      </w:r>
      <w:r w:rsidRPr="003B538D">
        <w:rPr>
          <w:rFonts w:eastAsia="Calibri"/>
          <w:szCs w:val="24"/>
        </w:rPr>
        <w:t xml:space="preserve"> ESP providers are not required to submit CRFs on cases of LTBI. </w:t>
      </w:r>
      <w:r w:rsidRPr="003B538D">
        <w:rPr>
          <w:rFonts w:eastAsia="Calibri"/>
          <w:b/>
          <w:bCs/>
          <w:szCs w:val="24"/>
        </w:rPr>
        <w:t xml:space="preserve">Suspected or confirmed cases of active TB disease, however, must be reported to DPH within 24 hours by </w:t>
      </w:r>
      <w:hyperlink r:id="rId8" w:history="1">
        <w:r w:rsidRPr="003B538D">
          <w:rPr>
            <w:rStyle w:val="Hyperlink"/>
            <w:rFonts w:eastAsia="Calibri"/>
            <w:b/>
            <w:bCs/>
            <w:szCs w:val="24"/>
          </w:rPr>
          <w:t>initial CRF</w:t>
        </w:r>
      </w:hyperlink>
      <w:r w:rsidRPr="003B538D">
        <w:rPr>
          <w:rFonts w:eastAsia="Calibri"/>
          <w:b/>
          <w:bCs/>
          <w:szCs w:val="24"/>
        </w:rPr>
        <w:t xml:space="preserve"> faxed to 617-983-6813 or by phone at 617-983-6801.</w:t>
      </w:r>
      <w:r w:rsidRPr="003B538D">
        <w:rPr>
          <w:rFonts w:eastAsia="Calibri"/>
          <w:szCs w:val="24"/>
        </w:rPr>
        <w:t xml:space="preserve">  Clinicians reporting LTBI cases may be contacted for additional information (e.g., regarding high-priority LTBI cases such as children or possible unreported active TB).  Clinicians treating cases of active TB disease will submit regular clinic notes by fax to 617-983-6813 or by a mechanism determined by contractual relationship with DPH, as applicable, and assist with health department case management.</w:t>
      </w:r>
    </w:p>
    <w:p w14:paraId="33E8F824" w14:textId="77777777" w:rsidR="003B538D" w:rsidRPr="003B538D" w:rsidRDefault="003B538D" w:rsidP="003B538D">
      <w:pPr>
        <w:spacing w:before="120" w:after="120" w:line="252" w:lineRule="auto"/>
        <w:rPr>
          <w:rFonts w:eastAsia="Calibri"/>
          <w:szCs w:val="24"/>
        </w:rPr>
      </w:pPr>
      <w:r w:rsidRPr="003B538D">
        <w:rPr>
          <w:rFonts w:eastAsia="Calibri"/>
          <w:b/>
          <w:bCs/>
          <w:i/>
          <w:iCs/>
          <w:szCs w:val="24"/>
        </w:rPr>
        <w:t>Chlamydia:</w:t>
      </w:r>
      <w:r w:rsidRPr="003B538D">
        <w:rPr>
          <w:rFonts w:eastAsia="Calibri"/>
          <w:i/>
          <w:iCs/>
          <w:szCs w:val="24"/>
        </w:rPr>
        <w:t xml:space="preserve"> </w:t>
      </w:r>
      <w:r w:rsidRPr="003B538D">
        <w:rPr>
          <w:rFonts w:eastAsia="Calibri"/>
          <w:szCs w:val="24"/>
        </w:rPr>
        <w:t xml:space="preserve">ESP providers are not required to submit CRFs on cases of chlamydia. DPH may request additional information on a small, random sample of ESP-reported cases to request data not reported via ESP.  </w:t>
      </w:r>
    </w:p>
    <w:p w14:paraId="0B843DBF" w14:textId="77777777" w:rsidR="003B538D" w:rsidRPr="003B538D" w:rsidRDefault="003B538D" w:rsidP="003B538D">
      <w:pPr>
        <w:spacing w:before="120" w:after="120" w:line="252" w:lineRule="auto"/>
        <w:rPr>
          <w:rFonts w:eastAsia="Calibri"/>
          <w:szCs w:val="24"/>
        </w:rPr>
      </w:pPr>
      <w:r w:rsidRPr="003B538D">
        <w:rPr>
          <w:rFonts w:eastAsia="Calibri"/>
          <w:b/>
          <w:bCs/>
          <w:i/>
          <w:iCs/>
          <w:szCs w:val="24"/>
        </w:rPr>
        <w:t>Syphilis:</w:t>
      </w:r>
      <w:r w:rsidRPr="003B538D">
        <w:rPr>
          <w:rFonts w:eastAsia="Calibri"/>
          <w:szCs w:val="24"/>
        </w:rPr>
        <w:t xml:space="preserve"> ESP providers are not required to submit CRFs on cases of syphilis</w:t>
      </w:r>
      <w:bookmarkStart w:id="0" w:name="_Hlk117003848"/>
      <w:r w:rsidRPr="003B538D">
        <w:rPr>
          <w:rFonts w:eastAsia="Calibri"/>
          <w:szCs w:val="24"/>
        </w:rPr>
        <w:t>.</w:t>
      </w:r>
      <w:r w:rsidRPr="003B538D">
        <w:rPr>
          <w:szCs w:val="24"/>
        </w:rPr>
        <w:t xml:space="preserve"> </w:t>
      </w:r>
      <w:r w:rsidRPr="003B538D">
        <w:rPr>
          <w:rFonts w:eastAsia="Calibri"/>
          <w:szCs w:val="24"/>
        </w:rPr>
        <w:t xml:space="preserve">Reporting clinicians may be contacted by DPH to request data not reported via ESP. Priority cases may prompt follow-up by DPH staff to inform public health actions. </w:t>
      </w:r>
      <w:bookmarkEnd w:id="0"/>
    </w:p>
    <w:p w14:paraId="6B41727E" w14:textId="77777777" w:rsidR="003B538D" w:rsidRPr="003B538D" w:rsidRDefault="003B538D" w:rsidP="003B538D">
      <w:pPr>
        <w:spacing w:before="120" w:after="120" w:line="252" w:lineRule="auto"/>
        <w:rPr>
          <w:rFonts w:eastAsia="Calibri"/>
          <w:szCs w:val="24"/>
        </w:rPr>
      </w:pPr>
      <w:r w:rsidRPr="003B538D">
        <w:rPr>
          <w:rFonts w:eastAsia="Calibri"/>
          <w:b/>
          <w:bCs/>
          <w:i/>
          <w:iCs/>
          <w:szCs w:val="24"/>
        </w:rPr>
        <w:t>Gonorrhea:</w:t>
      </w:r>
      <w:r w:rsidRPr="003B538D">
        <w:rPr>
          <w:rFonts w:eastAsia="Calibri"/>
          <w:i/>
          <w:iCs/>
          <w:szCs w:val="24"/>
        </w:rPr>
        <w:t xml:space="preserve"> </w:t>
      </w:r>
      <w:r w:rsidRPr="003B538D">
        <w:rPr>
          <w:rFonts w:eastAsia="Calibri"/>
          <w:szCs w:val="24"/>
        </w:rPr>
        <w:t xml:space="preserve">ESP providers are not required to submit CRFs on cases of gonorrhea.  Reporting clinicians may be contacted by DPH to request data not reported via ESP. Priority cases (e.g., antibiotic resistance, disseminated infection, or outbreaks or clusters of concern) may prompt follow-up by DPH staff to inform public health actions. </w:t>
      </w:r>
    </w:p>
    <w:p w14:paraId="48D24F1F" w14:textId="77777777" w:rsidR="003B538D" w:rsidRPr="003B538D" w:rsidRDefault="003B538D" w:rsidP="003B538D">
      <w:pPr>
        <w:spacing w:before="120" w:after="120" w:line="252" w:lineRule="auto"/>
        <w:rPr>
          <w:rFonts w:eastAsia="Calibri"/>
          <w:szCs w:val="24"/>
        </w:rPr>
      </w:pPr>
      <w:r w:rsidRPr="003B538D">
        <w:rPr>
          <w:rFonts w:eastAsia="Calibri"/>
          <w:b/>
          <w:bCs/>
          <w:i/>
          <w:iCs/>
          <w:szCs w:val="24"/>
        </w:rPr>
        <w:t>Hepatitis A:</w:t>
      </w:r>
      <w:r w:rsidRPr="003B538D">
        <w:rPr>
          <w:rFonts w:eastAsia="Calibri"/>
          <w:szCs w:val="24"/>
        </w:rPr>
        <w:t xml:space="preserve"> ESP providers are not required to submit CRFs on cases of Hepatitis A.  </w:t>
      </w:r>
      <w:r w:rsidRPr="003B538D">
        <w:rPr>
          <w:rFonts w:eastAsia="Calibri"/>
          <w:b/>
          <w:bCs/>
          <w:szCs w:val="24"/>
        </w:rPr>
        <w:t>Cases of Hepatitis A, however, must be reported immediately by phone to the Division of Epidemiology at 617-983-6800 (available 24/7).</w:t>
      </w:r>
      <w:r w:rsidRPr="003B538D">
        <w:rPr>
          <w:rFonts w:eastAsia="Calibri"/>
          <w:szCs w:val="24"/>
        </w:rPr>
        <w:t xml:space="preserve">  A DPH epidemiologist may contact the reporting clinician to gather critical case information not received through ESP (e.g., whether the case is a food handler).</w:t>
      </w:r>
    </w:p>
    <w:p w14:paraId="47324223" w14:textId="77777777" w:rsidR="00A30E2E" w:rsidRDefault="003B538D" w:rsidP="003B538D">
      <w:pPr>
        <w:spacing w:before="120" w:after="120" w:line="252" w:lineRule="auto"/>
        <w:rPr>
          <w:rFonts w:eastAsia="Calibri"/>
          <w:szCs w:val="24"/>
        </w:rPr>
        <w:sectPr w:rsidR="00A30E2E">
          <w:headerReference w:type="default" r:id="rId9"/>
          <w:pgSz w:w="12240" w:h="15840"/>
          <w:pgMar w:top="1440" w:right="1440" w:bottom="1440" w:left="1440" w:header="720" w:footer="720" w:gutter="0"/>
          <w:cols w:space="720"/>
        </w:sectPr>
      </w:pPr>
      <w:r w:rsidRPr="003B538D">
        <w:rPr>
          <w:rFonts w:eastAsia="Calibri"/>
          <w:b/>
          <w:bCs/>
          <w:i/>
          <w:iCs/>
          <w:szCs w:val="24"/>
        </w:rPr>
        <w:t>HIV:</w:t>
      </w:r>
      <w:r w:rsidRPr="003B538D">
        <w:rPr>
          <w:rFonts w:eastAsia="Calibri"/>
          <w:szCs w:val="24"/>
        </w:rPr>
        <w:t xml:space="preserve"> ESP providers are not required to submit CRFs on cases of HIV. Reporting clinicians may be contacted by DPH to request data not reported via ESP (</w:t>
      </w:r>
      <w:proofErr w:type="spellStart"/>
      <w:r w:rsidRPr="003B538D">
        <w:rPr>
          <w:rFonts w:eastAsia="Calibri"/>
          <w:szCs w:val="24"/>
        </w:rPr>
        <w:t>e.g</w:t>
      </w:r>
      <w:proofErr w:type="spellEnd"/>
      <w:r w:rsidRPr="003B538D">
        <w:rPr>
          <w:rFonts w:eastAsia="Calibri"/>
          <w:szCs w:val="24"/>
        </w:rPr>
        <w:t>, exposure mode). Clinicians who do not respond to telephone requests for information will receive a CRF via US mail, fax, or other approved reporting method, and are required to complete and submit it</w:t>
      </w: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674"/>
        <w:gridCol w:w="1826"/>
        <w:gridCol w:w="2622"/>
      </w:tblGrid>
      <w:tr w:rsidR="00A30E2E" w14:paraId="3F0DC6F2" w14:textId="77777777" w:rsidTr="00A30E2E">
        <w:trPr>
          <w:trHeight w:val="1070"/>
        </w:trPr>
        <w:tc>
          <w:tcPr>
            <w:tcW w:w="2245" w:type="dxa"/>
            <w:shd w:val="clear" w:color="auto" w:fill="auto"/>
          </w:tcPr>
          <w:p w14:paraId="6E200570" w14:textId="77777777" w:rsidR="00A30E2E" w:rsidRPr="00A30E2E" w:rsidRDefault="00A30E2E">
            <w:pPr>
              <w:rPr>
                <w:rFonts w:ascii="Calibri" w:eastAsia="Calibri" w:hAnsi="Calibri"/>
                <w:b/>
                <w:bCs/>
                <w:sz w:val="22"/>
                <w:szCs w:val="22"/>
              </w:rPr>
            </w:pPr>
            <w:r w:rsidRPr="00A30E2E">
              <w:rPr>
                <w:rFonts w:ascii="Calibri" w:eastAsia="Calibri" w:hAnsi="Calibri"/>
                <w:b/>
                <w:bCs/>
                <w:sz w:val="22"/>
                <w:szCs w:val="22"/>
              </w:rPr>
              <w:lastRenderedPageBreak/>
              <w:t>Reportable Disease</w:t>
            </w:r>
          </w:p>
        </w:tc>
        <w:tc>
          <w:tcPr>
            <w:tcW w:w="2674" w:type="dxa"/>
            <w:shd w:val="clear" w:color="auto" w:fill="auto"/>
          </w:tcPr>
          <w:p w14:paraId="5D7D99E3" w14:textId="77777777" w:rsidR="00A30E2E" w:rsidRPr="00A30E2E" w:rsidRDefault="00A30E2E">
            <w:pPr>
              <w:rPr>
                <w:rFonts w:ascii="Calibri" w:eastAsia="Calibri" w:hAnsi="Calibri"/>
                <w:b/>
                <w:bCs/>
                <w:sz w:val="22"/>
                <w:szCs w:val="22"/>
              </w:rPr>
            </w:pPr>
            <w:r w:rsidRPr="00A30E2E">
              <w:rPr>
                <w:rFonts w:ascii="Calibri" w:eastAsia="Calibri" w:hAnsi="Calibri"/>
                <w:b/>
                <w:bCs/>
                <w:sz w:val="22"/>
                <w:szCs w:val="22"/>
              </w:rPr>
              <w:t>Regulatory requirement</w:t>
            </w:r>
          </w:p>
        </w:tc>
        <w:tc>
          <w:tcPr>
            <w:tcW w:w="1826" w:type="dxa"/>
            <w:shd w:val="clear" w:color="auto" w:fill="auto"/>
          </w:tcPr>
          <w:p w14:paraId="36859193" w14:textId="77777777" w:rsidR="00A30E2E" w:rsidRPr="00A30E2E" w:rsidRDefault="00A30E2E">
            <w:pPr>
              <w:rPr>
                <w:rFonts w:ascii="Calibri" w:eastAsia="Calibri" w:hAnsi="Calibri"/>
                <w:b/>
                <w:bCs/>
                <w:sz w:val="22"/>
                <w:szCs w:val="22"/>
              </w:rPr>
            </w:pPr>
            <w:r w:rsidRPr="00A30E2E">
              <w:rPr>
                <w:rFonts w:ascii="Calibri" w:eastAsia="Calibri" w:hAnsi="Calibri"/>
                <w:b/>
                <w:bCs/>
                <w:sz w:val="22"/>
                <w:szCs w:val="22"/>
              </w:rPr>
              <w:t>Initial reporting</w:t>
            </w:r>
          </w:p>
        </w:tc>
        <w:tc>
          <w:tcPr>
            <w:tcW w:w="2622" w:type="dxa"/>
            <w:shd w:val="clear" w:color="auto" w:fill="auto"/>
          </w:tcPr>
          <w:p w14:paraId="3D2E94C3" w14:textId="77777777" w:rsidR="00A30E2E" w:rsidRPr="00A30E2E" w:rsidRDefault="00A30E2E">
            <w:pPr>
              <w:rPr>
                <w:rFonts w:ascii="Calibri" w:eastAsia="Calibri" w:hAnsi="Calibri"/>
                <w:b/>
                <w:bCs/>
                <w:sz w:val="22"/>
                <w:szCs w:val="22"/>
              </w:rPr>
            </w:pPr>
            <w:r w:rsidRPr="00A30E2E">
              <w:rPr>
                <w:rFonts w:ascii="Calibri" w:eastAsia="Calibri" w:hAnsi="Calibri"/>
                <w:b/>
                <w:bCs/>
                <w:sz w:val="22"/>
                <w:szCs w:val="22"/>
              </w:rPr>
              <w:t>Follow-up reporting</w:t>
            </w:r>
          </w:p>
        </w:tc>
      </w:tr>
      <w:tr w:rsidR="00A30E2E" w14:paraId="0D4B5EDD" w14:textId="77777777" w:rsidTr="00A30E2E">
        <w:trPr>
          <w:trHeight w:val="284"/>
        </w:trPr>
        <w:tc>
          <w:tcPr>
            <w:tcW w:w="2245" w:type="dxa"/>
            <w:shd w:val="clear" w:color="auto" w:fill="auto"/>
          </w:tcPr>
          <w:p w14:paraId="0E95FE0B" w14:textId="77777777" w:rsidR="00A30E2E" w:rsidRPr="00A30E2E" w:rsidRDefault="00A30E2E">
            <w:pPr>
              <w:rPr>
                <w:rFonts w:ascii="Calibri" w:eastAsia="Calibri" w:hAnsi="Calibri"/>
                <w:b/>
                <w:bCs/>
                <w:sz w:val="22"/>
                <w:szCs w:val="22"/>
              </w:rPr>
            </w:pPr>
            <w:r w:rsidRPr="00A30E2E">
              <w:rPr>
                <w:rFonts w:ascii="Calibri" w:eastAsia="Calibri" w:hAnsi="Calibri"/>
                <w:b/>
                <w:bCs/>
                <w:sz w:val="22"/>
                <w:szCs w:val="22"/>
              </w:rPr>
              <w:t>Latent TB Infection</w:t>
            </w:r>
          </w:p>
        </w:tc>
        <w:tc>
          <w:tcPr>
            <w:tcW w:w="2674" w:type="dxa"/>
            <w:shd w:val="clear" w:color="auto" w:fill="auto"/>
          </w:tcPr>
          <w:p w14:paraId="2B3FB474" w14:textId="77777777" w:rsidR="00A30E2E" w:rsidRPr="00A30E2E" w:rsidRDefault="00A30E2E">
            <w:pPr>
              <w:rPr>
                <w:rFonts w:ascii="Calibri" w:eastAsia="Calibri" w:hAnsi="Calibri"/>
                <w:sz w:val="22"/>
                <w:szCs w:val="22"/>
              </w:rPr>
            </w:pPr>
            <w:r w:rsidRPr="00A30E2E">
              <w:rPr>
                <w:rFonts w:ascii="Calibri" w:eastAsia="Calibri" w:hAnsi="Calibri"/>
                <w:sz w:val="22"/>
                <w:szCs w:val="22"/>
              </w:rPr>
              <w:t xml:space="preserve">Notification to DPH within 24 hours; full demographic, epidemiologic, clinical, and laboratory information on the case </w:t>
            </w:r>
          </w:p>
          <w:p w14:paraId="45FA926B" w14:textId="77777777" w:rsidR="00A30E2E" w:rsidRPr="00A30E2E" w:rsidRDefault="00A30E2E">
            <w:pPr>
              <w:rPr>
                <w:rFonts w:ascii="Calibri" w:eastAsia="Calibri" w:hAnsi="Calibri"/>
                <w:sz w:val="22"/>
                <w:szCs w:val="22"/>
              </w:rPr>
            </w:pPr>
            <w:r w:rsidRPr="00A30E2E">
              <w:rPr>
                <w:rFonts w:ascii="Calibri" w:eastAsia="Calibri" w:hAnsi="Calibri"/>
                <w:sz w:val="22"/>
                <w:szCs w:val="22"/>
              </w:rPr>
              <w:t>(105 CMR 300.180 (B))</w:t>
            </w:r>
          </w:p>
        </w:tc>
        <w:tc>
          <w:tcPr>
            <w:tcW w:w="1826" w:type="dxa"/>
            <w:shd w:val="clear" w:color="auto" w:fill="auto"/>
          </w:tcPr>
          <w:p w14:paraId="38CFE944" w14:textId="77777777" w:rsidR="00A30E2E" w:rsidRPr="00A30E2E" w:rsidRDefault="00A30E2E">
            <w:pPr>
              <w:rPr>
                <w:rFonts w:ascii="Calibri" w:eastAsia="Calibri" w:hAnsi="Calibri"/>
                <w:sz w:val="22"/>
                <w:szCs w:val="22"/>
              </w:rPr>
            </w:pPr>
            <w:r w:rsidRPr="00A30E2E">
              <w:rPr>
                <w:rFonts w:ascii="Calibri" w:eastAsia="Calibri" w:hAnsi="Calibri"/>
                <w:sz w:val="22"/>
                <w:szCs w:val="22"/>
              </w:rPr>
              <w:t>ESP is sufficient for initial reporting requirement. No CRF is required.</w:t>
            </w:r>
          </w:p>
          <w:p w14:paraId="1B3499BE" w14:textId="77777777" w:rsidR="00A30E2E" w:rsidRPr="00A30E2E" w:rsidRDefault="00A30E2E">
            <w:pPr>
              <w:rPr>
                <w:rFonts w:ascii="Calibri" w:eastAsia="Calibri" w:hAnsi="Calibri"/>
                <w:sz w:val="22"/>
                <w:szCs w:val="22"/>
              </w:rPr>
            </w:pPr>
          </w:p>
          <w:p w14:paraId="4BFABECD" w14:textId="77777777" w:rsidR="00A30E2E" w:rsidRPr="00A30E2E" w:rsidRDefault="00A30E2E">
            <w:pPr>
              <w:rPr>
                <w:rFonts w:ascii="Calibri" w:eastAsia="Calibri" w:hAnsi="Calibri"/>
                <w:sz w:val="22"/>
                <w:szCs w:val="22"/>
              </w:rPr>
            </w:pPr>
          </w:p>
          <w:p w14:paraId="6D76A1D3" w14:textId="77777777" w:rsidR="00A30E2E" w:rsidRPr="00A30E2E" w:rsidRDefault="00A30E2E" w:rsidP="00A30E2E">
            <w:pPr>
              <w:jc w:val="center"/>
              <w:rPr>
                <w:rFonts w:ascii="Calibri" w:eastAsia="Calibri" w:hAnsi="Calibri"/>
                <w:sz w:val="22"/>
                <w:szCs w:val="22"/>
              </w:rPr>
            </w:pPr>
          </w:p>
        </w:tc>
        <w:tc>
          <w:tcPr>
            <w:tcW w:w="2622" w:type="dxa"/>
            <w:shd w:val="clear" w:color="auto" w:fill="auto"/>
          </w:tcPr>
          <w:p w14:paraId="7B2B164F" w14:textId="77777777" w:rsidR="00A30E2E" w:rsidRPr="00A30E2E" w:rsidRDefault="00A30E2E">
            <w:pPr>
              <w:rPr>
                <w:rFonts w:ascii="Calibri" w:eastAsia="Calibri" w:hAnsi="Calibri"/>
                <w:sz w:val="22"/>
                <w:szCs w:val="22"/>
              </w:rPr>
            </w:pPr>
            <w:r w:rsidRPr="00A30E2E">
              <w:rPr>
                <w:rFonts w:ascii="Calibri" w:eastAsia="Calibri" w:hAnsi="Calibri"/>
                <w:sz w:val="22"/>
                <w:szCs w:val="22"/>
              </w:rPr>
              <w:t xml:space="preserve">DPH may contact the reporting clinician for additional information on high-priority latent TB cases (e.g., children) as needed for case management per 105 CMR 365. </w:t>
            </w:r>
          </w:p>
          <w:p w14:paraId="3F03BBE0" w14:textId="77777777" w:rsidR="00A30E2E" w:rsidRPr="00A30E2E" w:rsidRDefault="00A30E2E">
            <w:pPr>
              <w:rPr>
                <w:rFonts w:ascii="Calibri" w:eastAsia="Calibri" w:hAnsi="Calibri"/>
                <w:sz w:val="22"/>
                <w:szCs w:val="22"/>
              </w:rPr>
            </w:pPr>
          </w:p>
        </w:tc>
      </w:tr>
      <w:tr w:rsidR="00A30E2E" w14:paraId="34FA1300" w14:textId="77777777" w:rsidTr="00A30E2E">
        <w:trPr>
          <w:trHeight w:val="587"/>
        </w:trPr>
        <w:tc>
          <w:tcPr>
            <w:tcW w:w="2245" w:type="dxa"/>
            <w:shd w:val="clear" w:color="auto" w:fill="auto"/>
          </w:tcPr>
          <w:p w14:paraId="1F82F9A3" w14:textId="77777777" w:rsidR="00A30E2E" w:rsidRPr="00A30E2E" w:rsidRDefault="00A30E2E">
            <w:pPr>
              <w:rPr>
                <w:rFonts w:ascii="Calibri" w:eastAsia="Calibri" w:hAnsi="Calibri"/>
                <w:b/>
                <w:bCs/>
                <w:sz w:val="22"/>
                <w:szCs w:val="22"/>
              </w:rPr>
            </w:pPr>
            <w:r w:rsidRPr="00A30E2E">
              <w:rPr>
                <w:rFonts w:ascii="Calibri" w:eastAsia="Calibri" w:hAnsi="Calibri"/>
                <w:b/>
                <w:bCs/>
                <w:sz w:val="22"/>
                <w:szCs w:val="22"/>
              </w:rPr>
              <w:t>Suspected/Confirmed Active TB Disease</w:t>
            </w:r>
          </w:p>
        </w:tc>
        <w:tc>
          <w:tcPr>
            <w:tcW w:w="2674" w:type="dxa"/>
            <w:shd w:val="clear" w:color="auto" w:fill="auto"/>
          </w:tcPr>
          <w:p w14:paraId="7EAFA246" w14:textId="77777777" w:rsidR="00A30E2E" w:rsidRPr="00A30E2E" w:rsidRDefault="00A30E2E">
            <w:pPr>
              <w:rPr>
                <w:rFonts w:ascii="Calibri" w:eastAsia="Calibri" w:hAnsi="Calibri"/>
                <w:sz w:val="22"/>
                <w:szCs w:val="22"/>
              </w:rPr>
            </w:pPr>
            <w:r w:rsidRPr="00A30E2E">
              <w:rPr>
                <w:rFonts w:ascii="Calibri" w:eastAsia="Calibri" w:hAnsi="Calibri"/>
                <w:sz w:val="22"/>
                <w:szCs w:val="22"/>
              </w:rPr>
              <w:t xml:space="preserve">Notification to DPH within 24 hours; full demographic, epidemiologic, clinical, and laboratory information on the case </w:t>
            </w:r>
          </w:p>
          <w:p w14:paraId="32F1633F" w14:textId="77777777" w:rsidR="00A30E2E" w:rsidRPr="00A30E2E" w:rsidRDefault="00A30E2E">
            <w:pPr>
              <w:rPr>
                <w:rFonts w:ascii="Calibri" w:eastAsia="Calibri" w:hAnsi="Calibri"/>
                <w:sz w:val="22"/>
                <w:szCs w:val="22"/>
              </w:rPr>
            </w:pPr>
            <w:r w:rsidRPr="00A30E2E">
              <w:rPr>
                <w:rFonts w:ascii="Calibri" w:eastAsia="Calibri" w:hAnsi="Calibri"/>
                <w:sz w:val="22"/>
                <w:szCs w:val="22"/>
              </w:rPr>
              <w:t>(105 CMR 300.180 (A))</w:t>
            </w:r>
          </w:p>
        </w:tc>
        <w:tc>
          <w:tcPr>
            <w:tcW w:w="1826" w:type="dxa"/>
            <w:shd w:val="clear" w:color="auto" w:fill="auto"/>
          </w:tcPr>
          <w:p w14:paraId="71793FA0" w14:textId="77777777" w:rsidR="00A30E2E" w:rsidRPr="00A30E2E" w:rsidRDefault="00A30E2E">
            <w:pPr>
              <w:rPr>
                <w:rFonts w:ascii="Calibri" w:eastAsia="Calibri" w:hAnsi="Calibri"/>
                <w:sz w:val="22"/>
                <w:szCs w:val="22"/>
              </w:rPr>
            </w:pPr>
            <w:r w:rsidRPr="00A30E2E">
              <w:rPr>
                <w:rFonts w:ascii="Calibri" w:eastAsia="Calibri" w:hAnsi="Calibri"/>
                <w:sz w:val="22"/>
                <w:szCs w:val="22"/>
              </w:rPr>
              <w:t xml:space="preserve">ESP is </w:t>
            </w:r>
            <w:r w:rsidRPr="00A30E2E">
              <w:rPr>
                <w:rFonts w:ascii="Calibri" w:eastAsia="Calibri" w:hAnsi="Calibri"/>
                <w:b/>
                <w:bCs/>
                <w:sz w:val="22"/>
                <w:szCs w:val="22"/>
              </w:rPr>
              <w:t>not</w:t>
            </w:r>
            <w:r w:rsidRPr="00A30E2E">
              <w:rPr>
                <w:rFonts w:ascii="Calibri" w:eastAsia="Calibri" w:hAnsi="Calibri"/>
                <w:sz w:val="22"/>
                <w:szCs w:val="22"/>
              </w:rPr>
              <w:t xml:space="preserve"> sufficient for reporting. </w:t>
            </w:r>
            <w:r w:rsidRPr="00A30E2E">
              <w:rPr>
                <w:rFonts w:ascii="Calibri" w:eastAsia="Calibri" w:hAnsi="Calibri"/>
                <w:b/>
                <w:bCs/>
                <w:sz w:val="22"/>
                <w:szCs w:val="22"/>
              </w:rPr>
              <w:t>Initial case report is required within 24 hours</w:t>
            </w:r>
            <w:r w:rsidRPr="00A30E2E">
              <w:rPr>
                <w:rFonts w:ascii="Calibri" w:eastAsia="Calibri" w:hAnsi="Calibri"/>
                <w:sz w:val="22"/>
                <w:szCs w:val="22"/>
              </w:rPr>
              <w:t xml:space="preserve"> (either by phone call to DPH at </w:t>
            </w:r>
          </w:p>
          <w:p w14:paraId="538AD1DD" w14:textId="77777777" w:rsidR="00A30E2E" w:rsidRPr="00A30E2E" w:rsidRDefault="00A30E2E">
            <w:pPr>
              <w:rPr>
                <w:rFonts w:ascii="Calibri" w:eastAsia="Calibri" w:hAnsi="Calibri"/>
                <w:sz w:val="22"/>
                <w:szCs w:val="22"/>
              </w:rPr>
            </w:pPr>
            <w:r w:rsidRPr="00A30E2E">
              <w:rPr>
                <w:rFonts w:ascii="Calibri" w:eastAsia="Calibri" w:hAnsi="Calibri"/>
                <w:sz w:val="22"/>
                <w:szCs w:val="22"/>
              </w:rPr>
              <w:t xml:space="preserve">617-983-6801 or by completing </w:t>
            </w:r>
            <w:hyperlink r:id="rId10" w:history="1">
              <w:r w:rsidRPr="00A30E2E">
                <w:rPr>
                  <w:rStyle w:val="Hyperlink"/>
                  <w:rFonts w:ascii="Calibri" w:eastAsia="Calibri" w:hAnsi="Calibri"/>
                  <w:sz w:val="22"/>
                  <w:szCs w:val="22"/>
                </w:rPr>
                <w:t>initial CRF</w:t>
              </w:r>
            </w:hyperlink>
            <w:r w:rsidRPr="00A30E2E">
              <w:rPr>
                <w:rFonts w:ascii="Calibri" w:eastAsia="Calibri" w:hAnsi="Calibri"/>
                <w:sz w:val="22"/>
                <w:szCs w:val="22"/>
              </w:rPr>
              <w:t xml:space="preserve"> and faxing to </w:t>
            </w:r>
          </w:p>
          <w:p w14:paraId="0FA1E521" w14:textId="77777777" w:rsidR="00A30E2E" w:rsidRPr="00A30E2E" w:rsidRDefault="00A30E2E">
            <w:pPr>
              <w:rPr>
                <w:rFonts w:ascii="Calibri" w:eastAsia="Calibri" w:hAnsi="Calibri"/>
                <w:sz w:val="22"/>
                <w:szCs w:val="22"/>
              </w:rPr>
            </w:pPr>
            <w:r w:rsidRPr="00A30E2E">
              <w:rPr>
                <w:rFonts w:ascii="Calibri" w:eastAsia="Calibri" w:hAnsi="Calibri"/>
                <w:sz w:val="22"/>
                <w:szCs w:val="22"/>
              </w:rPr>
              <w:t xml:space="preserve">617-983-6813). </w:t>
            </w:r>
          </w:p>
        </w:tc>
        <w:tc>
          <w:tcPr>
            <w:tcW w:w="2622" w:type="dxa"/>
            <w:shd w:val="clear" w:color="auto" w:fill="auto"/>
          </w:tcPr>
          <w:p w14:paraId="50DFCE4C" w14:textId="77777777" w:rsidR="00A30E2E" w:rsidRPr="00A30E2E" w:rsidRDefault="00A30E2E">
            <w:pPr>
              <w:rPr>
                <w:rFonts w:ascii="Calibri" w:eastAsia="Calibri" w:hAnsi="Calibri"/>
                <w:sz w:val="22"/>
                <w:szCs w:val="22"/>
              </w:rPr>
            </w:pPr>
            <w:r w:rsidRPr="00A30E2E">
              <w:rPr>
                <w:rFonts w:ascii="Calibri" w:eastAsia="Calibri" w:hAnsi="Calibri"/>
                <w:sz w:val="22"/>
                <w:szCs w:val="22"/>
              </w:rPr>
              <w:t>DPH may contact the reporting clinician for additional information related to disease investigation as needed. After initial CRF, treating clinician will submit regular visit notes by fax to 617-983-6813 or by a mechanism determined by contractual relationship with DPH, as applicable. DPH staff may follow up with treating clinician as needed for case management per 105 CMR 365.</w:t>
            </w:r>
          </w:p>
        </w:tc>
      </w:tr>
      <w:tr w:rsidR="00A30E2E" w14:paraId="47370CAB" w14:textId="77777777" w:rsidTr="00A30E2E">
        <w:trPr>
          <w:trHeight w:val="293"/>
        </w:trPr>
        <w:tc>
          <w:tcPr>
            <w:tcW w:w="2245" w:type="dxa"/>
            <w:shd w:val="clear" w:color="auto" w:fill="auto"/>
          </w:tcPr>
          <w:p w14:paraId="78B7B539" w14:textId="77777777" w:rsidR="00A30E2E" w:rsidRPr="00A30E2E" w:rsidRDefault="00A30E2E">
            <w:pPr>
              <w:rPr>
                <w:rFonts w:ascii="Calibri" w:eastAsia="Calibri" w:hAnsi="Calibri"/>
                <w:b/>
                <w:bCs/>
                <w:sz w:val="22"/>
                <w:szCs w:val="22"/>
              </w:rPr>
            </w:pPr>
            <w:r w:rsidRPr="00A30E2E">
              <w:rPr>
                <w:rFonts w:ascii="Calibri" w:eastAsia="Calibri" w:hAnsi="Calibri"/>
                <w:b/>
                <w:bCs/>
                <w:sz w:val="22"/>
                <w:szCs w:val="22"/>
              </w:rPr>
              <w:t>Chlamydia</w:t>
            </w:r>
          </w:p>
        </w:tc>
        <w:tc>
          <w:tcPr>
            <w:tcW w:w="2674" w:type="dxa"/>
            <w:shd w:val="clear" w:color="auto" w:fill="auto"/>
          </w:tcPr>
          <w:p w14:paraId="3AB03DD3" w14:textId="77777777" w:rsidR="00A30E2E" w:rsidRPr="00A30E2E" w:rsidRDefault="00A30E2E">
            <w:pPr>
              <w:rPr>
                <w:rFonts w:ascii="Calibri" w:eastAsia="Calibri" w:hAnsi="Calibri"/>
                <w:sz w:val="22"/>
                <w:szCs w:val="22"/>
              </w:rPr>
            </w:pPr>
            <w:r w:rsidRPr="00A30E2E">
              <w:rPr>
                <w:rFonts w:ascii="Calibri" w:eastAsia="Calibri" w:hAnsi="Calibri"/>
                <w:sz w:val="22"/>
                <w:szCs w:val="22"/>
              </w:rPr>
              <w:t xml:space="preserve">Notification to DPH within 24 hours; full demographic, epidemiologic, clinical, and laboratory information on the case </w:t>
            </w:r>
          </w:p>
          <w:p w14:paraId="164093B5" w14:textId="77777777" w:rsidR="00A30E2E" w:rsidRPr="00A30E2E" w:rsidRDefault="00A30E2E">
            <w:pPr>
              <w:rPr>
                <w:rFonts w:ascii="Calibri" w:eastAsia="Calibri" w:hAnsi="Calibri"/>
                <w:sz w:val="22"/>
                <w:szCs w:val="22"/>
              </w:rPr>
            </w:pPr>
            <w:r w:rsidRPr="00A30E2E">
              <w:rPr>
                <w:rFonts w:ascii="Calibri" w:eastAsia="Calibri" w:hAnsi="Calibri"/>
                <w:sz w:val="22"/>
                <w:szCs w:val="22"/>
              </w:rPr>
              <w:t>(105 CMR 300.180 (C))</w:t>
            </w:r>
          </w:p>
        </w:tc>
        <w:tc>
          <w:tcPr>
            <w:tcW w:w="1826" w:type="dxa"/>
            <w:shd w:val="clear" w:color="auto" w:fill="auto"/>
          </w:tcPr>
          <w:p w14:paraId="466F483E" w14:textId="77777777" w:rsidR="00A30E2E" w:rsidRPr="00A30E2E" w:rsidRDefault="00A30E2E">
            <w:pPr>
              <w:rPr>
                <w:rFonts w:ascii="Calibri" w:eastAsia="Calibri" w:hAnsi="Calibri"/>
                <w:sz w:val="22"/>
                <w:szCs w:val="22"/>
              </w:rPr>
            </w:pPr>
            <w:r w:rsidRPr="00A30E2E">
              <w:rPr>
                <w:rFonts w:ascii="Calibri" w:eastAsia="Calibri" w:hAnsi="Calibri"/>
                <w:sz w:val="22"/>
                <w:szCs w:val="22"/>
              </w:rPr>
              <w:t>ESP is sufficient for the initial reporting requirement. No CRF is required.</w:t>
            </w:r>
          </w:p>
        </w:tc>
        <w:tc>
          <w:tcPr>
            <w:tcW w:w="2622" w:type="dxa"/>
            <w:shd w:val="clear" w:color="auto" w:fill="auto"/>
          </w:tcPr>
          <w:p w14:paraId="363342EC" w14:textId="77777777" w:rsidR="00A30E2E" w:rsidRPr="00A30E2E" w:rsidRDefault="00A30E2E">
            <w:pPr>
              <w:rPr>
                <w:rFonts w:ascii="Calibri" w:eastAsia="Calibri" w:hAnsi="Calibri"/>
                <w:sz w:val="22"/>
                <w:szCs w:val="22"/>
              </w:rPr>
            </w:pPr>
            <w:r w:rsidRPr="00A30E2E">
              <w:rPr>
                <w:rFonts w:ascii="Calibri" w:eastAsia="Calibri" w:hAnsi="Calibri"/>
                <w:sz w:val="22"/>
                <w:szCs w:val="22"/>
              </w:rPr>
              <w:t>For a small, random sample of cases, DPH may request a CRF from the reporting clinician to supplement information not reported via ESP.</w:t>
            </w:r>
          </w:p>
          <w:p w14:paraId="679B2DC0" w14:textId="77777777" w:rsidR="00A30E2E" w:rsidRPr="00A30E2E" w:rsidRDefault="00A30E2E">
            <w:pPr>
              <w:rPr>
                <w:rFonts w:ascii="Calibri" w:eastAsia="Calibri" w:hAnsi="Calibri"/>
                <w:sz w:val="22"/>
                <w:szCs w:val="22"/>
              </w:rPr>
            </w:pPr>
          </w:p>
        </w:tc>
      </w:tr>
      <w:tr w:rsidR="00A30E2E" w14:paraId="1E582863" w14:textId="77777777" w:rsidTr="00A30E2E">
        <w:trPr>
          <w:trHeight w:val="284"/>
        </w:trPr>
        <w:tc>
          <w:tcPr>
            <w:tcW w:w="2245" w:type="dxa"/>
            <w:shd w:val="clear" w:color="auto" w:fill="auto"/>
          </w:tcPr>
          <w:p w14:paraId="25EDE7DF" w14:textId="77777777" w:rsidR="00A30E2E" w:rsidRPr="00A30E2E" w:rsidRDefault="00A30E2E">
            <w:pPr>
              <w:rPr>
                <w:rFonts w:ascii="Calibri" w:eastAsia="Calibri" w:hAnsi="Calibri"/>
                <w:b/>
                <w:bCs/>
                <w:sz w:val="22"/>
                <w:szCs w:val="22"/>
              </w:rPr>
            </w:pPr>
            <w:r w:rsidRPr="00A30E2E">
              <w:rPr>
                <w:rFonts w:ascii="Calibri" w:eastAsia="Calibri" w:hAnsi="Calibri"/>
                <w:b/>
                <w:bCs/>
                <w:sz w:val="22"/>
                <w:szCs w:val="22"/>
              </w:rPr>
              <w:t>Suspected, Probable, and Confirmed Syphilis</w:t>
            </w:r>
          </w:p>
        </w:tc>
        <w:tc>
          <w:tcPr>
            <w:tcW w:w="2674" w:type="dxa"/>
            <w:shd w:val="clear" w:color="auto" w:fill="auto"/>
          </w:tcPr>
          <w:p w14:paraId="32E51122" w14:textId="77777777" w:rsidR="00A30E2E" w:rsidRPr="00A30E2E" w:rsidRDefault="00A30E2E">
            <w:pPr>
              <w:rPr>
                <w:rFonts w:ascii="Calibri" w:eastAsia="Calibri" w:hAnsi="Calibri"/>
                <w:sz w:val="22"/>
                <w:szCs w:val="22"/>
              </w:rPr>
            </w:pPr>
            <w:r w:rsidRPr="00A30E2E">
              <w:rPr>
                <w:rFonts w:ascii="Calibri" w:eastAsia="Calibri" w:hAnsi="Calibri"/>
                <w:sz w:val="22"/>
                <w:szCs w:val="22"/>
              </w:rPr>
              <w:t>Notification to DPH within 24 hours; full demographic, epidemiologic, clinical, and laboratory information on the case (105 CMR 300.180 (C))</w:t>
            </w:r>
          </w:p>
        </w:tc>
        <w:tc>
          <w:tcPr>
            <w:tcW w:w="1826" w:type="dxa"/>
            <w:shd w:val="clear" w:color="auto" w:fill="auto"/>
          </w:tcPr>
          <w:p w14:paraId="18CF04E5" w14:textId="77777777" w:rsidR="00A30E2E" w:rsidRPr="00A30E2E" w:rsidRDefault="00A30E2E">
            <w:pPr>
              <w:rPr>
                <w:rFonts w:ascii="Calibri" w:eastAsia="Calibri" w:hAnsi="Calibri"/>
                <w:sz w:val="22"/>
                <w:szCs w:val="22"/>
              </w:rPr>
            </w:pPr>
            <w:r w:rsidRPr="00A30E2E">
              <w:rPr>
                <w:rFonts w:ascii="Calibri" w:eastAsia="Calibri" w:hAnsi="Calibri"/>
                <w:sz w:val="22"/>
                <w:szCs w:val="22"/>
              </w:rPr>
              <w:t>ESP is sufficient for the initial reporting requirement. No CRF is required.</w:t>
            </w:r>
          </w:p>
        </w:tc>
        <w:tc>
          <w:tcPr>
            <w:tcW w:w="2622" w:type="dxa"/>
            <w:shd w:val="clear" w:color="auto" w:fill="auto"/>
          </w:tcPr>
          <w:p w14:paraId="58FB79DD" w14:textId="77777777" w:rsidR="00A30E2E" w:rsidRPr="00A30E2E" w:rsidRDefault="00A30E2E">
            <w:pPr>
              <w:rPr>
                <w:rFonts w:ascii="Calibri" w:eastAsia="Calibri" w:hAnsi="Calibri"/>
                <w:sz w:val="22"/>
                <w:szCs w:val="22"/>
              </w:rPr>
            </w:pPr>
            <w:r w:rsidRPr="00A30E2E">
              <w:rPr>
                <w:rFonts w:ascii="Calibri" w:eastAsia="Calibri" w:hAnsi="Calibri"/>
                <w:sz w:val="22"/>
                <w:szCs w:val="22"/>
              </w:rPr>
              <w:t>DPH may contact the reporting clinician for additional information on a subset of cases.</w:t>
            </w:r>
          </w:p>
          <w:p w14:paraId="427F07B9" w14:textId="77777777" w:rsidR="00A30E2E" w:rsidRPr="00A30E2E" w:rsidRDefault="00A30E2E">
            <w:pPr>
              <w:rPr>
                <w:rFonts w:ascii="Calibri" w:eastAsia="Calibri" w:hAnsi="Calibri"/>
                <w:sz w:val="22"/>
                <w:szCs w:val="22"/>
              </w:rPr>
            </w:pPr>
          </w:p>
        </w:tc>
      </w:tr>
      <w:tr w:rsidR="00A30E2E" w14:paraId="001DDC7B" w14:textId="77777777" w:rsidTr="00A30E2E">
        <w:trPr>
          <w:trHeight w:val="293"/>
        </w:trPr>
        <w:tc>
          <w:tcPr>
            <w:tcW w:w="2245" w:type="dxa"/>
            <w:shd w:val="clear" w:color="auto" w:fill="auto"/>
          </w:tcPr>
          <w:p w14:paraId="3712322F" w14:textId="77777777" w:rsidR="00A30E2E" w:rsidRPr="00A30E2E" w:rsidRDefault="00A30E2E">
            <w:pPr>
              <w:rPr>
                <w:rFonts w:ascii="Calibri" w:eastAsia="Calibri" w:hAnsi="Calibri"/>
                <w:b/>
                <w:bCs/>
                <w:sz w:val="22"/>
                <w:szCs w:val="22"/>
              </w:rPr>
            </w:pPr>
            <w:r w:rsidRPr="00A30E2E">
              <w:rPr>
                <w:rFonts w:ascii="Calibri" w:eastAsia="Calibri" w:hAnsi="Calibri"/>
                <w:b/>
                <w:bCs/>
                <w:sz w:val="22"/>
                <w:szCs w:val="22"/>
              </w:rPr>
              <w:t>Gonorrhea</w:t>
            </w:r>
          </w:p>
          <w:p w14:paraId="501C1535" w14:textId="77777777" w:rsidR="00A30E2E" w:rsidRPr="00A30E2E" w:rsidRDefault="00A30E2E">
            <w:pPr>
              <w:rPr>
                <w:rFonts w:ascii="Calibri" w:eastAsia="Calibri" w:hAnsi="Calibri"/>
                <w:sz w:val="22"/>
                <w:szCs w:val="22"/>
              </w:rPr>
            </w:pPr>
          </w:p>
          <w:p w14:paraId="60666DD1" w14:textId="77777777" w:rsidR="00A30E2E" w:rsidRPr="00A30E2E" w:rsidRDefault="00A30E2E">
            <w:pPr>
              <w:rPr>
                <w:rFonts w:ascii="Calibri" w:eastAsia="Calibri" w:hAnsi="Calibri"/>
                <w:sz w:val="22"/>
                <w:szCs w:val="22"/>
              </w:rPr>
            </w:pPr>
          </w:p>
          <w:p w14:paraId="548FC36A" w14:textId="77777777" w:rsidR="00A30E2E" w:rsidRPr="00A30E2E" w:rsidRDefault="00A30E2E">
            <w:pPr>
              <w:rPr>
                <w:rFonts w:ascii="Calibri" w:eastAsia="Calibri" w:hAnsi="Calibri"/>
                <w:b/>
                <w:bCs/>
                <w:sz w:val="22"/>
                <w:szCs w:val="22"/>
              </w:rPr>
            </w:pPr>
          </w:p>
          <w:p w14:paraId="2A48A734" w14:textId="77777777" w:rsidR="00A30E2E" w:rsidRPr="00A30E2E" w:rsidRDefault="00A30E2E" w:rsidP="00A30E2E">
            <w:pPr>
              <w:jc w:val="center"/>
              <w:rPr>
                <w:rFonts w:ascii="Calibri" w:eastAsia="Calibri" w:hAnsi="Calibri"/>
                <w:sz w:val="22"/>
                <w:szCs w:val="22"/>
              </w:rPr>
            </w:pPr>
          </w:p>
        </w:tc>
        <w:tc>
          <w:tcPr>
            <w:tcW w:w="2674" w:type="dxa"/>
            <w:shd w:val="clear" w:color="auto" w:fill="auto"/>
          </w:tcPr>
          <w:p w14:paraId="40434CBC" w14:textId="77777777" w:rsidR="00A30E2E" w:rsidRPr="00A30E2E" w:rsidRDefault="00A30E2E">
            <w:pPr>
              <w:rPr>
                <w:rFonts w:ascii="Calibri" w:eastAsia="Calibri" w:hAnsi="Calibri"/>
                <w:sz w:val="22"/>
                <w:szCs w:val="22"/>
              </w:rPr>
            </w:pPr>
            <w:r w:rsidRPr="00A30E2E">
              <w:rPr>
                <w:rFonts w:ascii="Calibri" w:eastAsia="Calibri" w:hAnsi="Calibri"/>
                <w:sz w:val="22"/>
                <w:szCs w:val="22"/>
              </w:rPr>
              <w:lastRenderedPageBreak/>
              <w:t xml:space="preserve">Notification to DPH within 24 hours; full demographic, epidemiologic, clinical, and laboratory information on </w:t>
            </w:r>
            <w:r w:rsidRPr="00A30E2E">
              <w:rPr>
                <w:rFonts w:ascii="Calibri" w:eastAsia="Calibri" w:hAnsi="Calibri"/>
                <w:sz w:val="22"/>
                <w:szCs w:val="22"/>
              </w:rPr>
              <w:lastRenderedPageBreak/>
              <w:t>the case (105 CMR 300.180 (C))</w:t>
            </w:r>
          </w:p>
        </w:tc>
        <w:tc>
          <w:tcPr>
            <w:tcW w:w="1826" w:type="dxa"/>
            <w:shd w:val="clear" w:color="auto" w:fill="auto"/>
          </w:tcPr>
          <w:p w14:paraId="70E38FC7" w14:textId="77777777" w:rsidR="00A30E2E" w:rsidRPr="00A30E2E" w:rsidRDefault="00A30E2E">
            <w:pPr>
              <w:rPr>
                <w:rFonts w:ascii="Calibri" w:eastAsia="Calibri" w:hAnsi="Calibri"/>
                <w:sz w:val="22"/>
                <w:szCs w:val="22"/>
              </w:rPr>
            </w:pPr>
            <w:r w:rsidRPr="00A30E2E">
              <w:rPr>
                <w:rFonts w:ascii="Calibri" w:eastAsia="Calibri" w:hAnsi="Calibri"/>
                <w:sz w:val="22"/>
                <w:szCs w:val="22"/>
              </w:rPr>
              <w:lastRenderedPageBreak/>
              <w:t xml:space="preserve">ESP is sufficient for the initial reporting </w:t>
            </w:r>
            <w:r w:rsidRPr="00A30E2E">
              <w:rPr>
                <w:rFonts w:ascii="Calibri" w:eastAsia="Calibri" w:hAnsi="Calibri"/>
                <w:sz w:val="22"/>
                <w:szCs w:val="22"/>
              </w:rPr>
              <w:lastRenderedPageBreak/>
              <w:t>requirement. No CRF is required.</w:t>
            </w:r>
          </w:p>
        </w:tc>
        <w:tc>
          <w:tcPr>
            <w:tcW w:w="2622" w:type="dxa"/>
            <w:shd w:val="clear" w:color="auto" w:fill="auto"/>
          </w:tcPr>
          <w:p w14:paraId="650FAA12" w14:textId="77777777" w:rsidR="00A30E2E" w:rsidRPr="00A30E2E" w:rsidRDefault="00A30E2E">
            <w:pPr>
              <w:rPr>
                <w:rFonts w:ascii="Calibri" w:eastAsia="Calibri" w:hAnsi="Calibri"/>
                <w:sz w:val="22"/>
                <w:szCs w:val="22"/>
              </w:rPr>
            </w:pPr>
            <w:r w:rsidRPr="00A30E2E">
              <w:rPr>
                <w:rFonts w:ascii="Calibri" w:eastAsia="Calibri" w:hAnsi="Calibri"/>
                <w:sz w:val="22"/>
                <w:szCs w:val="22"/>
              </w:rPr>
              <w:lastRenderedPageBreak/>
              <w:t xml:space="preserve">For a small, random sampling of reported cases DPH may request a CRF from the reporting </w:t>
            </w:r>
            <w:r w:rsidRPr="00A30E2E">
              <w:rPr>
                <w:rFonts w:ascii="Calibri" w:eastAsia="Calibri" w:hAnsi="Calibri"/>
                <w:sz w:val="22"/>
                <w:szCs w:val="22"/>
              </w:rPr>
              <w:lastRenderedPageBreak/>
              <w:t>clinician to supplement information not reported via ESP.</w:t>
            </w:r>
          </w:p>
          <w:p w14:paraId="24FC5A38" w14:textId="77777777" w:rsidR="00A30E2E" w:rsidRPr="00A30E2E" w:rsidRDefault="00A30E2E">
            <w:pPr>
              <w:rPr>
                <w:rFonts w:ascii="Calibri" w:eastAsia="Calibri" w:hAnsi="Calibri" w:cs="Calibri"/>
                <w:sz w:val="22"/>
                <w:szCs w:val="22"/>
              </w:rPr>
            </w:pPr>
            <w:r w:rsidRPr="00A30E2E">
              <w:rPr>
                <w:rStyle w:val="cf01"/>
                <w:rFonts w:ascii="Calibri" w:eastAsia="Calibri" w:hAnsi="Calibri" w:cs="Calibri"/>
                <w:sz w:val="22"/>
                <w:szCs w:val="22"/>
              </w:rPr>
              <w:t xml:space="preserve">DPH may also contact the </w:t>
            </w:r>
            <w:r w:rsidRPr="00A30E2E">
              <w:rPr>
                <w:rFonts w:ascii="Calibri" w:eastAsia="Calibri" w:hAnsi="Calibri" w:cs="Calibri"/>
                <w:sz w:val="22"/>
                <w:szCs w:val="22"/>
              </w:rPr>
              <w:t xml:space="preserve">reporting clinician </w:t>
            </w:r>
            <w:r w:rsidRPr="00A30E2E">
              <w:rPr>
                <w:rStyle w:val="cf01"/>
                <w:rFonts w:ascii="Calibri" w:eastAsia="Calibri" w:hAnsi="Calibri" w:cs="Calibri"/>
                <w:sz w:val="22"/>
                <w:szCs w:val="22"/>
              </w:rPr>
              <w:t xml:space="preserve">in scenarios of public health importance, including antibiotic resistance, disseminated infection or for outbreaks or clusters of concern. </w:t>
            </w:r>
          </w:p>
        </w:tc>
      </w:tr>
      <w:tr w:rsidR="00A30E2E" w14:paraId="5C97A0A0" w14:textId="77777777" w:rsidTr="00A30E2E">
        <w:trPr>
          <w:trHeight w:val="293"/>
        </w:trPr>
        <w:tc>
          <w:tcPr>
            <w:tcW w:w="2245" w:type="dxa"/>
            <w:shd w:val="clear" w:color="auto" w:fill="auto"/>
          </w:tcPr>
          <w:p w14:paraId="14A00EC3" w14:textId="77777777" w:rsidR="00A30E2E" w:rsidRPr="00A30E2E" w:rsidRDefault="00A30E2E">
            <w:pPr>
              <w:rPr>
                <w:rFonts w:ascii="Calibri" w:eastAsia="Calibri" w:hAnsi="Calibri"/>
                <w:b/>
                <w:bCs/>
                <w:sz w:val="22"/>
                <w:szCs w:val="22"/>
              </w:rPr>
            </w:pPr>
            <w:r w:rsidRPr="00A30E2E">
              <w:rPr>
                <w:rFonts w:ascii="Calibri" w:eastAsia="Calibri" w:hAnsi="Calibri"/>
                <w:b/>
                <w:bCs/>
                <w:sz w:val="22"/>
                <w:szCs w:val="22"/>
              </w:rPr>
              <w:lastRenderedPageBreak/>
              <w:t>Hepatitis A</w:t>
            </w:r>
          </w:p>
        </w:tc>
        <w:tc>
          <w:tcPr>
            <w:tcW w:w="2674" w:type="dxa"/>
            <w:shd w:val="clear" w:color="auto" w:fill="auto"/>
          </w:tcPr>
          <w:p w14:paraId="5B630B88" w14:textId="77777777" w:rsidR="00A30E2E" w:rsidRPr="00A30E2E" w:rsidRDefault="00A30E2E">
            <w:pPr>
              <w:rPr>
                <w:rFonts w:ascii="Calibri" w:eastAsia="Calibri" w:hAnsi="Calibri"/>
                <w:sz w:val="22"/>
                <w:szCs w:val="22"/>
              </w:rPr>
            </w:pPr>
            <w:r w:rsidRPr="00A30E2E">
              <w:rPr>
                <w:rFonts w:ascii="Calibri" w:eastAsia="Calibri" w:hAnsi="Calibri"/>
                <w:sz w:val="22"/>
                <w:szCs w:val="22"/>
              </w:rPr>
              <w:t>Notification to DPH within 24 hours; full demographic, epidemiologic, clinical, and laboratory information on the case (105 CMR 300.180 (C))</w:t>
            </w:r>
          </w:p>
        </w:tc>
        <w:tc>
          <w:tcPr>
            <w:tcW w:w="1826" w:type="dxa"/>
            <w:shd w:val="clear" w:color="auto" w:fill="auto"/>
          </w:tcPr>
          <w:p w14:paraId="01BE4D90" w14:textId="77777777" w:rsidR="00A30E2E" w:rsidRPr="00A30E2E" w:rsidRDefault="00A30E2E">
            <w:pPr>
              <w:rPr>
                <w:rFonts w:ascii="Calibri" w:eastAsia="Calibri" w:hAnsi="Calibri"/>
                <w:sz w:val="22"/>
                <w:szCs w:val="22"/>
              </w:rPr>
            </w:pPr>
            <w:r w:rsidRPr="00A30E2E">
              <w:rPr>
                <w:rFonts w:ascii="Calibri" w:eastAsia="Calibri" w:hAnsi="Calibri"/>
                <w:sz w:val="22"/>
                <w:szCs w:val="22"/>
              </w:rPr>
              <w:t xml:space="preserve">ESP is sufficient for the initial reporting requirement. No CRF is required. </w:t>
            </w:r>
            <w:r w:rsidRPr="00A30E2E">
              <w:rPr>
                <w:rFonts w:ascii="Calibri" w:eastAsia="Calibri" w:hAnsi="Calibri"/>
                <w:b/>
                <w:bCs/>
                <w:sz w:val="22"/>
                <w:szCs w:val="22"/>
              </w:rPr>
              <w:t>Providers are required to report cases of Hepatitis A</w:t>
            </w:r>
            <w:r w:rsidRPr="00A30E2E">
              <w:rPr>
                <w:rFonts w:ascii="Calibri" w:eastAsia="Calibri" w:hAnsi="Calibri"/>
                <w:sz w:val="22"/>
                <w:szCs w:val="22"/>
              </w:rPr>
              <w:t xml:space="preserve"> </w:t>
            </w:r>
            <w:r w:rsidRPr="00A30E2E">
              <w:rPr>
                <w:rFonts w:ascii="Calibri" w:eastAsia="Calibri" w:hAnsi="Calibri"/>
                <w:b/>
                <w:bCs/>
                <w:sz w:val="22"/>
                <w:szCs w:val="22"/>
              </w:rPr>
              <w:t>immediately by phone</w:t>
            </w:r>
            <w:r w:rsidRPr="00A30E2E">
              <w:rPr>
                <w:rFonts w:ascii="Calibri" w:eastAsia="Calibri" w:hAnsi="Calibri"/>
                <w:sz w:val="22"/>
                <w:szCs w:val="22"/>
              </w:rPr>
              <w:t xml:space="preserve"> to the Division of Epidemiology at 617-983-6800 (available 24/7).</w:t>
            </w:r>
          </w:p>
        </w:tc>
        <w:tc>
          <w:tcPr>
            <w:tcW w:w="2622" w:type="dxa"/>
            <w:shd w:val="clear" w:color="auto" w:fill="auto"/>
          </w:tcPr>
          <w:p w14:paraId="7CB23B3D" w14:textId="77777777" w:rsidR="00A30E2E" w:rsidRPr="00A30E2E" w:rsidRDefault="00A30E2E">
            <w:pPr>
              <w:rPr>
                <w:rFonts w:ascii="Calibri" w:eastAsia="Calibri" w:hAnsi="Calibri"/>
                <w:sz w:val="22"/>
                <w:szCs w:val="22"/>
              </w:rPr>
            </w:pPr>
            <w:r w:rsidRPr="00A30E2E">
              <w:rPr>
                <w:rFonts w:ascii="Calibri" w:eastAsia="Calibri" w:hAnsi="Calibri"/>
                <w:sz w:val="22"/>
                <w:szCs w:val="22"/>
              </w:rPr>
              <w:t>DPH may contact the reporting clinician to gather critical case information (e.g., whether case is a food handler) not reported via ESP.</w:t>
            </w:r>
          </w:p>
        </w:tc>
      </w:tr>
      <w:tr w:rsidR="00A30E2E" w14:paraId="4A730633" w14:textId="77777777" w:rsidTr="00A30E2E">
        <w:trPr>
          <w:trHeight w:val="293"/>
        </w:trPr>
        <w:tc>
          <w:tcPr>
            <w:tcW w:w="2245" w:type="dxa"/>
            <w:shd w:val="clear" w:color="auto" w:fill="auto"/>
          </w:tcPr>
          <w:p w14:paraId="3FFA08A5" w14:textId="77777777" w:rsidR="00A30E2E" w:rsidRPr="00A30E2E" w:rsidRDefault="00A30E2E">
            <w:pPr>
              <w:rPr>
                <w:rFonts w:ascii="Calibri" w:eastAsia="Calibri" w:hAnsi="Calibri"/>
                <w:b/>
                <w:bCs/>
                <w:sz w:val="22"/>
                <w:szCs w:val="22"/>
              </w:rPr>
            </w:pPr>
            <w:r w:rsidRPr="00A30E2E">
              <w:rPr>
                <w:rFonts w:ascii="Calibri" w:eastAsia="Calibri" w:hAnsi="Calibri"/>
                <w:b/>
                <w:bCs/>
                <w:sz w:val="22"/>
                <w:szCs w:val="22"/>
              </w:rPr>
              <w:t>HIV</w:t>
            </w:r>
          </w:p>
        </w:tc>
        <w:tc>
          <w:tcPr>
            <w:tcW w:w="2674" w:type="dxa"/>
            <w:shd w:val="clear" w:color="auto" w:fill="auto"/>
          </w:tcPr>
          <w:p w14:paraId="762A78B5" w14:textId="77777777" w:rsidR="00A30E2E" w:rsidRPr="00A30E2E" w:rsidRDefault="00A30E2E">
            <w:pPr>
              <w:rPr>
                <w:rFonts w:ascii="Calibri" w:eastAsia="Calibri" w:hAnsi="Calibri"/>
                <w:sz w:val="22"/>
                <w:szCs w:val="22"/>
              </w:rPr>
            </w:pPr>
            <w:r w:rsidRPr="00A30E2E">
              <w:rPr>
                <w:rFonts w:ascii="Calibri" w:eastAsia="Calibri" w:hAnsi="Calibri"/>
                <w:sz w:val="22"/>
                <w:szCs w:val="22"/>
              </w:rPr>
              <w:t>Notification to DPH within 24 hours; full demographic, epidemiologic, clinical, and laboratory information on the case (105 CMR 300.180 (C))</w:t>
            </w:r>
          </w:p>
        </w:tc>
        <w:tc>
          <w:tcPr>
            <w:tcW w:w="1826" w:type="dxa"/>
            <w:shd w:val="clear" w:color="auto" w:fill="auto"/>
          </w:tcPr>
          <w:p w14:paraId="56659EA1" w14:textId="77777777" w:rsidR="00A30E2E" w:rsidRPr="00A30E2E" w:rsidRDefault="00A30E2E">
            <w:pPr>
              <w:rPr>
                <w:rFonts w:ascii="Calibri" w:eastAsia="Calibri" w:hAnsi="Calibri"/>
                <w:sz w:val="22"/>
                <w:szCs w:val="22"/>
              </w:rPr>
            </w:pPr>
            <w:r w:rsidRPr="00A30E2E">
              <w:rPr>
                <w:rFonts w:ascii="Calibri" w:eastAsia="Calibri" w:hAnsi="Calibri"/>
                <w:sz w:val="22"/>
                <w:szCs w:val="22"/>
              </w:rPr>
              <w:t>ESP is sufficient for the initial reporting requirement. No CRF is required.</w:t>
            </w:r>
          </w:p>
        </w:tc>
        <w:tc>
          <w:tcPr>
            <w:tcW w:w="2622" w:type="dxa"/>
            <w:shd w:val="clear" w:color="auto" w:fill="auto"/>
          </w:tcPr>
          <w:p w14:paraId="13836F77" w14:textId="77777777" w:rsidR="00A30E2E" w:rsidRPr="00A30E2E" w:rsidRDefault="00A30E2E">
            <w:pPr>
              <w:rPr>
                <w:rFonts w:ascii="Calibri" w:eastAsia="Calibri" w:hAnsi="Calibri"/>
                <w:sz w:val="22"/>
                <w:szCs w:val="22"/>
              </w:rPr>
            </w:pPr>
            <w:r w:rsidRPr="00A30E2E">
              <w:rPr>
                <w:rFonts w:ascii="Calibri" w:eastAsia="Calibri" w:hAnsi="Calibri"/>
                <w:sz w:val="22"/>
                <w:szCs w:val="22"/>
              </w:rPr>
              <w:t>DPH may contact the reporting clinician to request additional information not reported via ESP (e.g., exposure mode). Providers who do not respond to telephone requests for information will receive a CRF via US mail or fax and are required to complete and submit it.</w:t>
            </w:r>
          </w:p>
          <w:p w14:paraId="3457EE11" w14:textId="77777777" w:rsidR="00A30E2E" w:rsidRPr="00A30E2E" w:rsidRDefault="00A30E2E">
            <w:pPr>
              <w:rPr>
                <w:rFonts w:ascii="Calibri" w:eastAsia="Calibri" w:hAnsi="Calibri"/>
                <w:sz w:val="22"/>
                <w:szCs w:val="22"/>
              </w:rPr>
            </w:pPr>
          </w:p>
          <w:p w14:paraId="2C54C0BE" w14:textId="77777777" w:rsidR="00A30E2E" w:rsidRPr="00A30E2E" w:rsidRDefault="00A30E2E">
            <w:pPr>
              <w:rPr>
                <w:rFonts w:ascii="Calibri" w:eastAsia="Calibri" w:hAnsi="Calibri"/>
                <w:sz w:val="22"/>
                <w:szCs w:val="22"/>
              </w:rPr>
            </w:pPr>
          </w:p>
        </w:tc>
      </w:tr>
    </w:tbl>
    <w:p w14:paraId="39C1AFD0" w14:textId="77777777" w:rsidR="003B538D" w:rsidRPr="003B538D" w:rsidRDefault="003B538D" w:rsidP="003B538D">
      <w:pPr>
        <w:rPr>
          <w:szCs w:val="24"/>
        </w:rPr>
      </w:pPr>
      <w:r w:rsidRPr="003B538D">
        <w:rPr>
          <w:szCs w:val="24"/>
        </w:rPr>
        <w:t xml:space="preserve"> </w:t>
      </w:r>
    </w:p>
    <w:p w14:paraId="56829DDF" w14:textId="77777777" w:rsidR="00033154" w:rsidRPr="003B538D" w:rsidRDefault="00033154" w:rsidP="0072610D">
      <w:pPr>
        <w:rPr>
          <w:szCs w:val="24"/>
        </w:rPr>
      </w:pPr>
    </w:p>
    <w:p w14:paraId="6BEF4FA6" w14:textId="77777777" w:rsidR="00033154" w:rsidRPr="003B538D" w:rsidRDefault="00033154" w:rsidP="0072610D">
      <w:pPr>
        <w:rPr>
          <w:szCs w:val="24"/>
        </w:rPr>
      </w:pPr>
    </w:p>
    <w:sectPr w:rsidR="00033154" w:rsidRPr="003B538D">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532AA" w14:textId="77777777" w:rsidR="00326CE1" w:rsidRDefault="00326CE1" w:rsidP="00A30E2E">
      <w:r>
        <w:separator/>
      </w:r>
    </w:p>
  </w:endnote>
  <w:endnote w:type="continuationSeparator" w:id="0">
    <w:p w14:paraId="4195D331" w14:textId="77777777" w:rsidR="00326CE1" w:rsidRDefault="00326CE1" w:rsidP="00A30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CAA0D" w14:textId="77777777" w:rsidR="00A30E2E" w:rsidRPr="003A51BB" w:rsidRDefault="00A30E2E" w:rsidP="00A30E2E">
    <w:pPr>
      <w:pStyle w:val="Footer"/>
      <w:rPr>
        <w:i/>
        <w:iCs/>
        <w:sz w:val="20"/>
      </w:rPr>
    </w:pPr>
    <w:r w:rsidRPr="00A30E2E">
      <w:rPr>
        <w:i/>
        <w:iCs/>
        <w:color w:val="A6A6A6"/>
        <w:sz w:val="20"/>
      </w:rPr>
      <w:t>January 6, 2023</w:t>
    </w:r>
  </w:p>
  <w:p w14:paraId="7F34A93C" w14:textId="77777777" w:rsidR="00A30E2E" w:rsidRPr="00A30E2E" w:rsidRDefault="00A30E2E" w:rsidP="00A30E2E">
    <w:pPr>
      <w:pStyle w:val="Footer"/>
    </w:pPr>
  </w:p>
  <w:p w14:paraId="224D4E05" w14:textId="77777777" w:rsidR="00A30E2E" w:rsidRPr="00A30E2E" w:rsidRDefault="00A30E2E" w:rsidP="00A30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75578" w14:textId="77777777" w:rsidR="00326CE1" w:rsidRDefault="00326CE1" w:rsidP="00A30E2E">
      <w:r>
        <w:separator/>
      </w:r>
    </w:p>
  </w:footnote>
  <w:footnote w:type="continuationSeparator" w:id="0">
    <w:p w14:paraId="1B73C5BB" w14:textId="77777777" w:rsidR="00326CE1" w:rsidRDefault="00326CE1" w:rsidP="00A30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0F402" w14:textId="77777777" w:rsidR="00A30E2E" w:rsidRDefault="00A30E2E">
    <w:pPr>
      <w:pStyle w:val="Header"/>
    </w:pPr>
  </w:p>
  <w:p w14:paraId="2C0DECE2" w14:textId="77777777" w:rsidR="00A30E2E" w:rsidRDefault="00A30E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0F784" w14:textId="77777777" w:rsidR="00A30E2E" w:rsidRPr="00A30E2E" w:rsidRDefault="00A30E2E" w:rsidP="00A30E2E">
    <w:pPr>
      <w:pStyle w:val="Header"/>
      <w:jc w:val="center"/>
      <w:rPr>
        <w:rFonts w:ascii="Calibri" w:hAnsi="Calibri" w:cs="Calibri"/>
      </w:rPr>
    </w:pPr>
    <w:r w:rsidRPr="00A30E2E">
      <w:rPr>
        <w:rFonts w:ascii="Calibri" w:hAnsi="Calibri" w:cs="Calibri"/>
      </w:rPr>
      <w:t>Overview of DPH Reporting Requirements and ESP Reporting Sufficiency for</w:t>
    </w:r>
  </w:p>
  <w:p w14:paraId="0F045F31" w14:textId="77777777" w:rsidR="00A30E2E" w:rsidRPr="00A30E2E" w:rsidRDefault="00A30E2E" w:rsidP="00A30E2E">
    <w:pPr>
      <w:pStyle w:val="Header"/>
      <w:jc w:val="center"/>
      <w:rPr>
        <w:rFonts w:ascii="Calibri" w:hAnsi="Calibri" w:cs="Calibri"/>
      </w:rPr>
    </w:pPr>
    <w:r w:rsidRPr="00A30E2E">
      <w:rPr>
        <w:rFonts w:ascii="Calibri" w:hAnsi="Calibri" w:cs="Calibri"/>
      </w:rPr>
      <w:t xml:space="preserve">LTBI, Suspect/Confirmed Active TB, Chlamydia, Syphilis, Gonorrhea, Hepatitis A, and HIV </w:t>
    </w:r>
  </w:p>
  <w:p w14:paraId="35C4A548" w14:textId="77777777" w:rsidR="00A30E2E" w:rsidRDefault="00A30E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33154"/>
    <w:rsid w:val="00042048"/>
    <w:rsid w:val="000537DA"/>
    <w:rsid w:val="000A1DE1"/>
    <w:rsid w:val="000F315B"/>
    <w:rsid w:val="0015268B"/>
    <w:rsid w:val="0016218D"/>
    <w:rsid w:val="00177C77"/>
    <w:rsid w:val="00260D54"/>
    <w:rsid w:val="00276957"/>
    <w:rsid w:val="00276DCC"/>
    <w:rsid w:val="002A132F"/>
    <w:rsid w:val="002D1C21"/>
    <w:rsid w:val="00326CE1"/>
    <w:rsid w:val="00375EAD"/>
    <w:rsid w:val="00385812"/>
    <w:rsid w:val="00392D0B"/>
    <w:rsid w:val="003A7AFC"/>
    <w:rsid w:val="003B538D"/>
    <w:rsid w:val="003C60EF"/>
    <w:rsid w:val="00404683"/>
    <w:rsid w:val="004813AC"/>
    <w:rsid w:val="004B37A0"/>
    <w:rsid w:val="004D6B39"/>
    <w:rsid w:val="005448AA"/>
    <w:rsid w:val="00570CED"/>
    <w:rsid w:val="00572492"/>
    <w:rsid w:val="00586DA6"/>
    <w:rsid w:val="006D06D9"/>
    <w:rsid w:val="006D77A6"/>
    <w:rsid w:val="00702109"/>
    <w:rsid w:val="0072610D"/>
    <w:rsid w:val="007779E7"/>
    <w:rsid w:val="007B3F4B"/>
    <w:rsid w:val="007B7347"/>
    <w:rsid w:val="007D10F3"/>
    <w:rsid w:val="007F441C"/>
    <w:rsid w:val="00841B92"/>
    <w:rsid w:val="009908FF"/>
    <w:rsid w:val="00995505"/>
    <w:rsid w:val="00A30E2E"/>
    <w:rsid w:val="00A65101"/>
    <w:rsid w:val="00B403BF"/>
    <w:rsid w:val="00B608D9"/>
    <w:rsid w:val="00BA4055"/>
    <w:rsid w:val="00BA7FB6"/>
    <w:rsid w:val="00C20BFE"/>
    <w:rsid w:val="00CC1778"/>
    <w:rsid w:val="00CE575B"/>
    <w:rsid w:val="00CF3DE8"/>
    <w:rsid w:val="00D0493F"/>
    <w:rsid w:val="00D56F91"/>
    <w:rsid w:val="00D8671C"/>
    <w:rsid w:val="00DA57C3"/>
    <w:rsid w:val="00DC3855"/>
    <w:rsid w:val="00E242A8"/>
    <w:rsid w:val="00E274B8"/>
    <w:rsid w:val="00E72707"/>
    <w:rsid w:val="00F0586E"/>
    <w:rsid w:val="00F43932"/>
    <w:rsid w:val="00F85812"/>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7FE6EFA"/>
  <w15:chartTrackingRefBased/>
  <w15:docId w15:val="{214292A4-AA1F-4968-8618-961643F7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cf01">
    <w:name w:val="cf01"/>
    <w:rsid w:val="003B538D"/>
    <w:rPr>
      <w:rFonts w:ascii="Segoe UI" w:hAnsi="Segoe UI" w:cs="Segoe UI" w:hint="default"/>
      <w:sz w:val="18"/>
      <w:szCs w:val="18"/>
    </w:rPr>
  </w:style>
  <w:style w:type="character" w:styleId="UnresolvedMention">
    <w:name w:val="Unresolved Mention"/>
    <w:uiPriority w:val="99"/>
    <w:semiHidden/>
    <w:unhideWhenUsed/>
    <w:rsid w:val="003B538D"/>
    <w:rPr>
      <w:color w:val="605E5C"/>
      <w:shd w:val="clear" w:color="auto" w:fill="E1DFDD"/>
    </w:rPr>
  </w:style>
  <w:style w:type="table" w:styleId="TableGrid">
    <w:name w:val="Table Grid"/>
    <w:basedOn w:val="TableNormal"/>
    <w:uiPriority w:val="39"/>
    <w:rsid w:val="00A30E2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30E2E"/>
    <w:pPr>
      <w:tabs>
        <w:tab w:val="center" w:pos="4680"/>
        <w:tab w:val="right" w:pos="9360"/>
      </w:tabs>
    </w:pPr>
  </w:style>
  <w:style w:type="character" w:customStyle="1" w:styleId="HeaderChar">
    <w:name w:val="Header Char"/>
    <w:link w:val="Header"/>
    <w:uiPriority w:val="99"/>
    <w:rsid w:val="00A30E2E"/>
    <w:rPr>
      <w:sz w:val="24"/>
    </w:rPr>
  </w:style>
  <w:style w:type="paragraph" w:styleId="Footer">
    <w:name w:val="footer"/>
    <w:basedOn w:val="Normal"/>
    <w:link w:val="FooterChar"/>
    <w:rsid w:val="00A30E2E"/>
    <w:pPr>
      <w:tabs>
        <w:tab w:val="center" w:pos="4680"/>
        <w:tab w:val="right" w:pos="9360"/>
      </w:tabs>
    </w:pPr>
  </w:style>
  <w:style w:type="character" w:customStyle="1" w:styleId="FooterChar">
    <w:name w:val="Footer Char"/>
    <w:link w:val="Footer"/>
    <w:rsid w:val="00A30E2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691108">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active-tb-case-report-form/downloa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ass.gov/regulations/105-CMR-30000-reportable-diseases-surveillance-and-isolation-and-quarantine-requirements"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yperlink" Target="https://www.mass.gov/doc/active-tb-case-report-form/download" TargetMode="Externa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DPH Letterhead</Template>
  <TotalTime>1</TotalTime>
  <Pages>4</Pages>
  <Words>1286</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9063</CharactersWithSpaces>
  <SharedDoc>false</SharedDoc>
  <HLinks>
    <vt:vector size="18" baseType="variant">
      <vt:variant>
        <vt:i4>1179651</vt:i4>
      </vt:variant>
      <vt:variant>
        <vt:i4>6</vt:i4>
      </vt:variant>
      <vt:variant>
        <vt:i4>0</vt:i4>
      </vt:variant>
      <vt:variant>
        <vt:i4>5</vt:i4>
      </vt:variant>
      <vt:variant>
        <vt:lpwstr>https://www.mass.gov/doc/active-tb-case-report-form/download</vt:lpwstr>
      </vt:variant>
      <vt:variant>
        <vt:lpwstr/>
      </vt:variant>
      <vt:variant>
        <vt:i4>1179651</vt:i4>
      </vt:variant>
      <vt:variant>
        <vt:i4>3</vt:i4>
      </vt:variant>
      <vt:variant>
        <vt:i4>0</vt:i4>
      </vt:variant>
      <vt:variant>
        <vt:i4>5</vt:i4>
      </vt:variant>
      <vt:variant>
        <vt:lpwstr>https://www.mass.gov/doc/active-tb-case-report-form/download</vt:lpwstr>
      </vt:variant>
      <vt:variant>
        <vt:lpwstr/>
      </vt:variant>
      <vt:variant>
        <vt:i4>5570580</vt:i4>
      </vt:variant>
      <vt:variant>
        <vt:i4>0</vt:i4>
      </vt:variant>
      <vt:variant>
        <vt:i4>0</vt:i4>
      </vt:variant>
      <vt:variant>
        <vt:i4>5</vt:i4>
      </vt:variant>
      <vt:variant>
        <vt:lpwstr>https://www.mass.gov/regulations/105-CMR-30000-reportable-diseases-surveillance-and-isolation-and-quarantine-requirements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ESP Reporting Requirements Update January 2023</dc:title>
  <dc:subject>ESP;Massachusetts;2023</dc:subject>
  <dc:creator>Kyle Marshall</dc:creator>
  <cp:keywords>ESP;Reporting</cp:keywords>
  <cp:lastModifiedBy>Yeaple, Jennifer (DPH)</cp:lastModifiedBy>
  <cp:revision>2</cp:revision>
  <cp:lastPrinted>2015-01-29T14:50:00Z</cp:lastPrinted>
  <dcterms:created xsi:type="dcterms:W3CDTF">2023-01-26T20:18:00Z</dcterms:created>
  <dcterms:modified xsi:type="dcterms:W3CDTF">2023-01-26T20:18:00Z</dcterms:modified>
</cp:coreProperties>
</file>