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3D" w:rsidRPr="00814072" w:rsidRDefault="005B3A3D" w:rsidP="00B56BB1">
      <w:pPr>
        <w:jc w:val="center"/>
        <w:rPr>
          <w:rFonts w:ascii="Gill Sans MT" w:hAnsi="Gill Sans MT"/>
          <w:b/>
          <w:sz w:val="24"/>
          <w:u w:val="single"/>
        </w:rPr>
      </w:pPr>
      <w:r>
        <w:rPr>
          <w:rFonts w:ascii="Gill Sans MT" w:hAnsi="Gill Sans MT"/>
          <w:b/>
          <w:sz w:val="24"/>
          <w:u w:val="single"/>
        </w:rPr>
        <w:t xml:space="preserve">Overview of </w:t>
      </w:r>
      <w:r w:rsidR="00AE7197">
        <w:rPr>
          <w:rFonts w:ascii="Gill Sans MT" w:hAnsi="Gill Sans MT"/>
          <w:b/>
          <w:sz w:val="24"/>
          <w:u w:val="single"/>
        </w:rPr>
        <w:t xml:space="preserve">International </w:t>
      </w:r>
      <w:r w:rsidRPr="00814072">
        <w:rPr>
          <w:rFonts w:ascii="Gill Sans MT" w:hAnsi="Gill Sans MT"/>
          <w:b/>
          <w:sz w:val="24"/>
          <w:u w:val="single"/>
        </w:rPr>
        <w:t>S</w:t>
      </w:r>
      <w:r w:rsidR="00E755D5">
        <w:rPr>
          <w:rFonts w:ascii="Gill Sans MT" w:hAnsi="Gill Sans MT"/>
          <w:b/>
          <w:sz w:val="24"/>
          <w:u w:val="single"/>
        </w:rPr>
        <w:t>IF</w:t>
      </w:r>
      <w:r w:rsidRPr="00814072">
        <w:rPr>
          <w:rFonts w:ascii="Gill Sans MT" w:hAnsi="Gill Sans MT"/>
          <w:b/>
          <w:sz w:val="24"/>
          <w:u w:val="single"/>
        </w:rPr>
        <w:t xml:space="preserve"> Models</w:t>
      </w:r>
      <w:r>
        <w:rPr>
          <w:rStyle w:val="FootnoteReference"/>
          <w:rFonts w:ascii="Gill Sans MT" w:hAnsi="Gill Sans MT"/>
          <w:sz w:val="24"/>
        </w:rPr>
        <w:footnoteReference w:id="1"/>
      </w:r>
    </w:p>
    <w:p w:rsidR="00E755D5" w:rsidRDefault="005B3A3D" w:rsidP="00B56BB1">
      <w:pPr>
        <w:rPr>
          <w:rFonts w:ascii="Gill Sans MT" w:hAnsi="Gill Sans MT"/>
          <w:sz w:val="24"/>
        </w:rPr>
      </w:pPr>
      <w:r w:rsidRPr="00814072">
        <w:rPr>
          <w:rFonts w:ascii="Gill Sans MT" w:hAnsi="Gill Sans MT"/>
          <w:sz w:val="24"/>
        </w:rPr>
        <w:t>S</w:t>
      </w:r>
      <w:r w:rsidR="00E755D5" w:rsidRPr="00E755D5">
        <w:rPr>
          <w:rFonts w:ascii="Gill Sans MT" w:hAnsi="Gill Sans MT"/>
          <w:sz w:val="24"/>
        </w:rPr>
        <w:t xml:space="preserve">afe or </w:t>
      </w:r>
      <w:r w:rsidR="00E755D5">
        <w:rPr>
          <w:rFonts w:ascii="Gill Sans MT" w:hAnsi="Gill Sans MT"/>
          <w:sz w:val="24"/>
        </w:rPr>
        <w:t>s</w:t>
      </w:r>
      <w:r w:rsidR="00E755D5" w:rsidRPr="00E755D5">
        <w:rPr>
          <w:rFonts w:ascii="Gill Sans MT" w:hAnsi="Gill Sans MT"/>
          <w:sz w:val="24"/>
        </w:rPr>
        <w:t xml:space="preserve">upervised </w:t>
      </w:r>
      <w:r w:rsidR="00E755D5">
        <w:rPr>
          <w:rFonts w:ascii="Gill Sans MT" w:hAnsi="Gill Sans MT"/>
          <w:sz w:val="24"/>
        </w:rPr>
        <w:t>i</w:t>
      </w:r>
      <w:r w:rsidR="00E755D5" w:rsidRPr="00E755D5">
        <w:rPr>
          <w:rFonts w:ascii="Gill Sans MT" w:hAnsi="Gill Sans MT"/>
          <w:sz w:val="24"/>
        </w:rPr>
        <w:t>njection</w:t>
      </w:r>
      <w:r w:rsidR="00E755D5">
        <w:rPr>
          <w:rFonts w:ascii="Gill Sans MT" w:hAnsi="Gill Sans MT"/>
          <w:sz w:val="24"/>
        </w:rPr>
        <w:t xml:space="preserve"> f</w:t>
      </w:r>
      <w:r w:rsidR="00E755D5" w:rsidRPr="00E755D5">
        <w:rPr>
          <w:rFonts w:ascii="Gill Sans MT" w:hAnsi="Gill Sans MT"/>
          <w:sz w:val="24"/>
        </w:rPr>
        <w:t>acilit</w:t>
      </w:r>
      <w:r w:rsidR="00E755D5">
        <w:rPr>
          <w:rFonts w:ascii="Gill Sans MT" w:hAnsi="Gill Sans MT"/>
          <w:sz w:val="24"/>
        </w:rPr>
        <w:t>ies</w:t>
      </w:r>
      <w:r w:rsidR="00E755D5" w:rsidRPr="00E755D5">
        <w:rPr>
          <w:rFonts w:ascii="Gill Sans MT" w:hAnsi="Gill Sans MT"/>
          <w:sz w:val="24"/>
        </w:rPr>
        <w:t xml:space="preserve"> </w:t>
      </w:r>
      <w:r w:rsidR="00E755D5">
        <w:rPr>
          <w:rFonts w:ascii="Gill Sans MT" w:hAnsi="Gill Sans MT"/>
          <w:sz w:val="24"/>
        </w:rPr>
        <w:t>(S</w:t>
      </w:r>
      <w:r w:rsidRPr="00814072">
        <w:rPr>
          <w:rFonts w:ascii="Gill Sans MT" w:hAnsi="Gill Sans MT"/>
          <w:sz w:val="24"/>
        </w:rPr>
        <w:t>IFs</w:t>
      </w:r>
      <w:r w:rsidR="00E755D5">
        <w:rPr>
          <w:rFonts w:ascii="Gill Sans MT" w:hAnsi="Gill Sans MT"/>
          <w:sz w:val="24"/>
        </w:rPr>
        <w:t>)</w:t>
      </w:r>
      <w:r w:rsidRPr="00814072">
        <w:rPr>
          <w:rFonts w:ascii="Gill Sans MT" w:hAnsi="Gill Sans MT"/>
          <w:sz w:val="24"/>
        </w:rPr>
        <w:t xml:space="preserve"> vary in size, level of organization, number of services provided, and staffing patterns. There are three basic models of SIF</w:t>
      </w:r>
      <w:r>
        <w:rPr>
          <w:rFonts w:ascii="Gill Sans MT" w:hAnsi="Gill Sans MT"/>
          <w:sz w:val="24"/>
        </w:rPr>
        <w:t xml:space="preserve">s: 1) </w:t>
      </w:r>
      <w:r w:rsidRPr="0080173D">
        <w:rPr>
          <w:rFonts w:ascii="Gill Sans MT" w:hAnsi="Gill Sans MT"/>
          <w:b/>
          <w:sz w:val="24"/>
        </w:rPr>
        <w:t>integrated</w:t>
      </w:r>
      <w:r w:rsidR="00E755D5">
        <w:rPr>
          <w:rFonts w:ascii="Gill Sans MT" w:hAnsi="Gill Sans MT"/>
          <w:sz w:val="24"/>
        </w:rPr>
        <w:t>,</w:t>
      </w:r>
      <w:r w:rsidRPr="00814072">
        <w:rPr>
          <w:rFonts w:ascii="Gill Sans MT" w:hAnsi="Gill Sans MT"/>
          <w:sz w:val="24"/>
        </w:rPr>
        <w:t xml:space="preserve"> 2) </w:t>
      </w:r>
      <w:r w:rsidRPr="0080173D">
        <w:rPr>
          <w:rFonts w:ascii="Gill Sans MT" w:hAnsi="Gill Sans MT"/>
          <w:b/>
          <w:sz w:val="24"/>
        </w:rPr>
        <w:t>specialized</w:t>
      </w:r>
      <w:r w:rsidR="00E755D5">
        <w:rPr>
          <w:rFonts w:ascii="Gill Sans MT" w:hAnsi="Gill Sans MT"/>
          <w:sz w:val="24"/>
        </w:rPr>
        <w:t>,</w:t>
      </w:r>
      <w:r w:rsidRPr="00814072">
        <w:rPr>
          <w:rFonts w:ascii="Gill Sans MT" w:hAnsi="Gill Sans MT"/>
          <w:sz w:val="24"/>
        </w:rPr>
        <w:t xml:space="preserve"> and 3) </w:t>
      </w:r>
      <w:r w:rsidRPr="0080173D">
        <w:rPr>
          <w:rFonts w:ascii="Gill Sans MT" w:hAnsi="Gill Sans MT"/>
          <w:b/>
          <w:sz w:val="24"/>
        </w:rPr>
        <w:t>mobile</w:t>
      </w:r>
      <w:r w:rsidRPr="00814072">
        <w:rPr>
          <w:rFonts w:ascii="Gill Sans MT" w:hAnsi="Gill Sans MT"/>
          <w:sz w:val="24"/>
        </w:rPr>
        <w:t>.</w:t>
      </w:r>
      <w:r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>These variations are deeply driven by the</w:t>
      </w:r>
      <w:r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>context in which the S</w:t>
      </w:r>
      <w:r>
        <w:rPr>
          <w:rFonts w:ascii="Gill Sans MT" w:hAnsi="Gill Sans MT"/>
          <w:sz w:val="24"/>
        </w:rPr>
        <w:t>IF</w:t>
      </w:r>
      <w:r w:rsidRPr="00814072">
        <w:rPr>
          <w:rFonts w:ascii="Gill Sans MT" w:hAnsi="Gill Sans MT"/>
          <w:sz w:val="24"/>
        </w:rPr>
        <w:t xml:space="preserve"> exists, underscoring</w:t>
      </w:r>
      <w:r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>the importance of the social, economic, and</w:t>
      </w:r>
      <w:r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>political environments in which a S</w:t>
      </w:r>
      <w:r>
        <w:rPr>
          <w:rFonts w:ascii="Gill Sans MT" w:hAnsi="Gill Sans MT"/>
          <w:sz w:val="24"/>
        </w:rPr>
        <w:t>IF</w:t>
      </w:r>
      <w:r w:rsidRPr="00814072">
        <w:rPr>
          <w:rFonts w:ascii="Gill Sans MT" w:hAnsi="Gill Sans MT"/>
          <w:sz w:val="24"/>
        </w:rPr>
        <w:t xml:space="preserve"> is</w:t>
      </w:r>
      <w:r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>developed and operated.</w:t>
      </w:r>
    </w:p>
    <w:p w:rsidR="007868A1" w:rsidRDefault="005B3A3D" w:rsidP="00B56BB1">
      <w:pPr>
        <w:rPr>
          <w:rFonts w:ascii="Gill Sans MT" w:hAnsi="Gill Sans MT"/>
          <w:sz w:val="24"/>
        </w:rPr>
      </w:pPr>
      <w:r w:rsidRPr="00814072">
        <w:rPr>
          <w:rFonts w:ascii="Gill Sans MT" w:hAnsi="Gill Sans MT"/>
          <w:sz w:val="24"/>
        </w:rPr>
        <w:t>There are several</w:t>
      </w:r>
      <w:r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 xml:space="preserve">organizational and geographic commonalities across all three models. </w:t>
      </w:r>
      <w:r w:rsidR="00E755D5">
        <w:rPr>
          <w:rFonts w:ascii="Gill Sans MT" w:hAnsi="Gill Sans MT"/>
          <w:sz w:val="24"/>
        </w:rPr>
        <w:t xml:space="preserve">With the exception of some mobile </w:t>
      </w:r>
      <w:r w:rsidR="00901F5B">
        <w:rPr>
          <w:rFonts w:ascii="Gill Sans MT" w:hAnsi="Gill Sans MT"/>
          <w:sz w:val="24"/>
        </w:rPr>
        <w:t>units</w:t>
      </w:r>
      <w:r w:rsidR="00E755D5">
        <w:rPr>
          <w:rFonts w:ascii="Gill Sans MT" w:hAnsi="Gill Sans MT"/>
          <w:sz w:val="24"/>
        </w:rPr>
        <w:t xml:space="preserve">, </w:t>
      </w:r>
      <w:r w:rsidRPr="00814072">
        <w:rPr>
          <w:rFonts w:ascii="Gill Sans MT" w:hAnsi="Gill Sans MT"/>
          <w:sz w:val="24"/>
        </w:rPr>
        <w:t>a</w:t>
      </w:r>
      <w:r w:rsidR="00E755D5">
        <w:rPr>
          <w:rFonts w:ascii="Gill Sans MT" w:hAnsi="Gill Sans MT"/>
          <w:sz w:val="24"/>
        </w:rPr>
        <w:t>t a</w:t>
      </w:r>
      <w:r w:rsidRPr="00814072">
        <w:rPr>
          <w:rFonts w:ascii="Gill Sans MT" w:hAnsi="Gill Sans MT"/>
          <w:sz w:val="24"/>
        </w:rPr>
        <w:t xml:space="preserve"> minimum, </w:t>
      </w:r>
      <w:r w:rsidR="00E755D5">
        <w:rPr>
          <w:rFonts w:ascii="Gill Sans MT" w:hAnsi="Gill Sans MT"/>
          <w:sz w:val="24"/>
        </w:rPr>
        <w:t>SIF</w:t>
      </w:r>
      <w:r w:rsidR="0080173D">
        <w:rPr>
          <w:rFonts w:ascii="Gill Sans MT" w:hAnsi="Gill Sans MT"/>
          <w:sz w:val="24"/>
        </w:rPr>
        <w:t>s</w:t>
      </w:r>
      <w:r w:rsidR="00E755D5">
        <w:rPr>
          <w:rFonts w:ascii="Gill Sans MT" w:hAnsi="Gill Sans MT"/>
          <w:sz w:val="24"/>
        </w:rPr>
        <w:t xml:space="preserve"> provid</w:t>
      </w:r>
      <w:r w:rsidRPr="00814072">
        <w:rPr>
          <w:rFonts w:ascii="Gill Sans MT" w:hAnsi="Gill Sans MT"/>
          <w:sz w:val="24"/>
        </w:rPr>
        <w:t>e designated hygienic booths</w:t>
      </w:r>
      <w:r w:rsidR="00E755D5"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>or divided spaces</w:t>
      </w:r>
      <w:r w:rsidR="00E755D5">
        <w:rPr>
          <w:rFonts w:ascii="Gill Sans MT" w:hAnsi="Gill Sans MT"/>
          <w:sz w:val="24"/>
        </w:rPr>
        <w:t xml:space="preserve"> </w:t>
      </w:r>
      <w:r w:rsidRPr="00814072">
        <w:rPr>
          <w:rFonts w:ascii="Gill Sans MT" w:hAnsi="Gill Sans MT"/>
          <w:sz w:val="24"/>
        </w:rPr>
        <w:t>where individuals can inject</w:t>
      </w:r>
      <w:r w:rsidR="00E755D5">
        <w:rPr>
          <w:rFonts w:ascii="Gill Sans MT" w:hAnsi="Gill Sans MT"/>
          <w:sz w:val="24"/>
        </w:rPr>
        <w:t xml:space="preserve"> pre-obtained substances</w:t>
      </w:r>
      <w:r w:rsidR="00901F5B">
        <w:rPr>
          <w:rFonts w:ascii="Gill Sans MT" w:hAnsi="Gill Sans MT"/>
          <w:sz w:val="24"/>
        </w:rPr>
        <w:t xml:space="preserve"> </w:t>
      </w:r>
      <w:r w:rsidR="00165B5D">
        <w:rPr>
          <w:rFonts w:ascii="Gill Sans MT" w:hAnsi="Gill Sans MT"/>
          <w:sz w:val="24"/>
        </w:rPr>
        <w:t>i</w:t>
      </w:r>
      <w:r w:rsidR="00901F5B">
        <w:rPr>
          <w:rFonts w:ascii="Gill Sans MT" w:hAnsi="Gill Sans MT"/>
          <w:sz w:val="24"/>
        </w:rPr>
        <w:t>n</w:t>
      </w:r>
      <w:r w:rsidR="00165B5D">
        <w:rPr>
          <w:rFonts w:ascii="Gill Sans MT" w:hAnsi="Gill Sans MT"/>
          <w:sz w:val="24"/>
        </w:rPr>
        <w:t xml:space="preserve"> the presence of</w:t>
      </w:r>
      <w:r w:rsidR="007868A1">
        <w:rPr>
          <w:rFonts w:ascii="Gill Sans MT" w:hAnsi="Gill Sans MT"/>
          <w:sz w:val="24"/>
        </w:rPr>
        <w:t xml:space="preserve"> </w:t>
      </w:r>
      <w:r w:rsidR="00165B5D">
        <w:rPr>
          <w:rFonts w:ascii="Gill Sans MT" w:hAnsi="Gill Sans MT"/>
          <w:sz w:val="24"/>
        </w:rPr>
        <w:t xml:space="preserve">trained </w:t>
      </w:r>
      <w:r w:rsidR="007868A1">
        <w:rPr>
          <w:rFonts w:ascii="Gill Sans MT" w:hAnsi="Gill Sans MT"/>
          <w:sz w:val="24"/>
        </w:rPr>
        <w:t>staff</w:t>
      </w:r>
      <w:r w:rsidR="00165B5D">
        <w:rPr>
          <w:rFonts w:ascii="Gill Sans MT" w:hAnsi="Gill Sans MT"/>
          <w:sz w:val="24"/>
        </w:rPr>
        <w:t xml:space="preserve"> </w:t>
      </w:r>
      <w:proofErr w:type="gramStart"/>
      <w:r w:rsidR="00165B5D">
        <w:rPr>
          <w:rFonts w:ascii="Gill Sans MT" w:hAnsi="Gill Sans MT"/>
          <w:sz w:val="24"/>
        </w:rPr>
        <w:t>who</w:t>
      </w:r>
      <w:proofErr w:type="gramEnd"/>
      <w:r w:rsidR="00165B5D">
        <w:rPr>
          <w:rFonts w:ascii="Gill Sans MT" w:hAnsi="Gill Sans MT"/>
          <w:sz w:val="24"/>
        </w:rPr>
        <w:t xml:space="preserve"> a</w:t>
      </w:r>
      <w:r w:rsidR="007868A1">
        <w:rPr>
          <w:rFonts w:ascii="Gill Sans MT" w:hAnsi="Gill Sans MT"/>
          <w:sz w:val="24"/>
        </w:rPr>
        <w:t xml:space="preserve">re able to </w:t>
      </w:r>
      <w:r w:rsidR="007868A1" w:rsidRPr="007868A1">
        <w:rPr>
          <w:rFonts w:ascii="Gill Sans MT" w:hAnsi="Gill Sans MT"/>
          <w:sz w:val="24"/>
        </w:rPr>
        <w:t xml:space="preserve">provide </w:t>
      </w:r>
      <w:r w:rsidR="00997626">
        <w:rPr>
          <w:rFonts w:ascii="Gill Sans MT" w:hAnsi="Gill Sans MT"/>
          <w:sz w:val="24"/>
        </w:rPr>
        <w:t>immediate emergency care. D</w:t>
      </w:r>
      <w:r w:rsidR="00997626">
        <w:rPr>
          <w:rFonts w:ascii="Gill Sans MT" w:hAnsi="Gill Sans MT"/>
          <w:sz w:val="24"/>
        </w:rPr>
        <w:t xml:space="preserve">epending on the </w:t>
      </w:r>
      <w:r w:rsidR="00D3052D">
        <w:rPr>
          <w:rFonts w:ascii="Gill Sans MT" w:hAnsi="Gill Sans MT"/>
          <w:sz w:val="24"/>
        </w:rPr>
        <w:t>type of</w:t>
      </w:r>
      <w:r w:rsidR="00997626">
        <w:rPr>
          <w:rFonts w:ascii="Gill Sans MT" w:hAnsi="Gill Sans MT"/>
          <w:sz w:val="24"/>
        </w:rPr>
        <w:t xml:space="preserve"> facility, eg, integrated vs. mobile unit</w:t>
      </w:r>
      <w:r w:rsidR="00997626">
        <w:rPr>
          <w:rFonts w:ascii="Gill Sans MT" w:hAnsi="Gill Sans MT"/>
          <w:sz w:val="24"/>
        </w:rPr>
        <w:t xml:space="preserve">, SIFs </w:t>
      </w:r>
      <w:r w:rsidR="00D3052D">
        <w:rPr>
          <w:rFonts w:ascii="Gill Sans MT" w:hAnsi="Gill Sans MT"/>
          <w:sz w:val="24"/>
        </w:rPr>
        <w:t xml:space="preserve">may </w:t>
      </w:r>
      <w:r w:rsidR="00997626">
        <w:rPr>
          <w:rFonts w:ascii="Gill Sans MT" w:hAnsi="Gill Sans MT"/>
          <w:sz w:val="24"/>
        </w:rPr>
        <w:t xml:space="preserve">offer </w:t>
      </w:r>
      <w:r w:rsidR="007868A1">
        <w:rPr>
          <w:rFonts w:ascii="Gill Sans MT" w:hAnsi="Gill Sans MT"/>
          <w:sz w:val="24"/>
        </w:rPr>
        <w:t>a</w:t>
      </w:r>
      <w:r w:rsidR="007868A1" w:rsidRPr="007868A1">
        <w:rPr>
          <w:rFonts w:ascii="Gill Sans MT" w:hAnsi="Gill Sans MT"/>
          <w:sz w:val="24"/>
        </w:rPr>
        <w:t xml:space="preserve">dditional services such as syringe exchange, </w:t>
      </w:r>
      <w:r w:rsidR="003F1E1E">
        <w:rPr>
          <w:rFonts w:ascii="Gill Sans MT" w:hAnsi="Gill Sans MT"/>
          <w:sz w:val="24"/>
        </w:rPr>
        <w:t>drug</w:t>
      </w:r>
      <w:r w:rsidR="005D77FE">
        <w:rPr>
          <w:rFonts w:ascii="Gill Sans MT" w:hAnsi="Gill Sans MT"/>
          <w:sz w:val="24"/>
        </w:rPr>
        <w:t xml:space="preserve"> checking</w:t>
      </w:r>
      <w:r w:rsidR="003F1E1E">
        <w:rPr>
          <w:rFonts w:ascii="Gill Sans MT" w:hAnsi="Gill Sans MT"/>
          <w:sz w:val="24"/>
        </w:rPr>
        <w:t xml:space="preserve">, </w:t>
      </w:r>
      <w:r w:rsidR="007868A1" w:rsidRPr="007868A1">
        <w:rPr>
          <w:rFonts w:ascii="Gill Sans MT" w:hAnsi="Gill Sans MT"/>
          <w:sz w:val="24"/>
        </w:rPr>
        <w:t xml:space="preserve">blood-borne virus </w:t>
      </w:r>
      <w:r w:rsidR="003F1E1E">
        <w:rPr>
          <w:rFonts w:ascii="Gill Sans MT" w:hAnsi="Gill Sans MT"/>
          <w:sz w:val="24"/>
        </w:rPr>
        <w:t>t</w:t>
      </w:r>
      <w:r w:rsidR="007868A1" w:rsidRPr="007868A1">
        <w:rPr>
          <w:rFonts w:ascii="Gill Sans MT" w:hAnsi="Gill Sans MT"/>
          <w:sz w:val="24"/>
        </w:rPr>
        <w:t>e</w:t>
      </w:r>
      <w:r w:rsidR="003F1E1E">
        <w:rPr>
          <w:rFonts w:ascii="Gill Sans MT" w:hAnsi="Gill Sans MT"/>
          <w:sz w:val="24"/>
        </w:rPr>
        <w:t>st</w:t>
      </w:r>
      <w:r w:rsidR="007868A1" w:rsidRPr="007868A1">
        <w:rPr>
          <w:rFonts w:ascii="Gill Sans MT" w:hAnsi="Gill Sans MT"/>
          <w:sz w:val="24"/>
        </w:rPr>
        <w:t>ing, and referrals</w:t>
      </w:r>
      <w:r w:rsidR="00997626">
        <w:rPr>
          <w:rFonts w:ascii="Gill Sans MT" w:hAnsi="Gill Sans MT"/>
          <w:sz w:val="24"/>
        </w:rPr>
        <w:t xml:space="preserve"> for </w:t>
      </w:r>
      <w:r w:rsidR="00D6435A" w:rsidRPr="00D6435A">
        <w:rPr>
          <w:rFonts w:ascii="Gill Sans MT" w:hAnsi="Gill Sans MT"/>
          <w:sz w:val="24"/>
        </w:rPr>
        <w:t>health and social services.</w:t>
      </w:r>
    </w:p>
    <w:p w:rsidR="00901F5B" w:rsidRDefault="005B3A3D" w:rsidP="00901F5B">
      <w:pPr>
        <w:rPr>
          <w:rFonts w:ascii="Gill Sans MT" w:hAnsi="Gill Sans MT"/>
          <w:sz w:val="24"/>
        </w:rPr>
      </w:pPr>
      <w:r w:rsidRPr="00814072">
        <w:rPr>
          <w:rFonts w:ascii="Gill Sans MT" w:hAnsi="Gill Sans MT"/>
          <w:sz w:val="24"/>
        </w:rPr>
        <w:t>S</w:t>
      </w:r>
      <w:r w:rsidR="00C76A4C">
        <w:rPr>
          <w:rFonts w:ascii="Gill Sans MT" w:hAnsi="Gill Sans MT"/>
          <w:sz w:val="24"/>
        </w:rPr>
        <w:t>IFs</w:t>
      </w:r>
      <w:r w:rsidRPr="00814072">
        <w:rPr>
          <w:rFonts w:ascii="Gill Sans MT" w:hAnsi="Gill Sans MT"/>
          <w:sz w:val="24"/>
        </w:rPr>
        <w:t xml:space="preserve"> are primarily located in high drug-use neighborhoods or near open-air drug markets. Most </w:t>
      </w:r>
      <w:r w:rsidR="00C76A4C">
        <w:rPr>
          <w:rFonts w:ascii="Gill Sans MT" w:hAnsi="Gill Sans MT"/>
          <w:sz w:val="24"/>
        </w:rPr>
        <w:t>SIF</w:t>
      </w:r>
      <w:r w:rsidRPr="00814072">
        <w:rPr>
          <w:rFonts w:ascii="Gill Sans MT" w:hAnsi="Gill Sans MT"/>
          <w:sz w:val="24"/>
        </w:rPr>
        <w:t>s have a registration system whereby people register upon first use and check in subsequently</w:t>
      </w:r>
      <w:r w:rsidR="00E755D5">
        <w:rPr>
          <w:rFonts w:ascii="Gill Sans MT" w:hAnsi="Gill Sans MT"/>
          <w:sz w:val="24"/>
        </w:rPr>
        <w:t xml:space="preserve">, although policies </w:t>
      </w:r>
      <w:r w:rsidR="00196EDD">
        <w:rPr>
          <w:rFonts w:ascii="Gill Sans MT" w:hAnsi="Gill Sans MT"/>
          <w:sz w:val="24"/>
        </w:rPr>
        <w:t xml:space="preserve">may </w:t>
      </w:r>
      <w:r w:rsidR="00E755D5">
        <w:rPr>
          <w:rFonts w:ascii="Gill Sans MT" w:hAnsi="Gill Sans MT"/>
          <w:sz w:val="24"/>
        </w:rPr>
        <w:t>var</w:t>
      </w:r>
      <w:r w:rsidR="00255B5B">
        <w:rPr>
          <w:rFonts w:ascii="Gill Sans MT" w:hAnsi="Gill Sans MT"/>
          <w:sz w:val="24"/>
        </w:rPr>
        <w:t xml:space="preserve">y </w:t>
      </w:r>
      <w:r w:rsidR="00E755D5">
        <w:rPr>
          <w:rFonts w:ascii="Gill Sans MT" w:hAnsi="Gill Sans MT"/>
          <w:sz w:val="24"/>
        </w:rPr>
        <w:t>within countries</w:t>
      </w:r>
      <w:r w:rsidR="002249C0">
        <w:rPr>
          <w:rFonts w:ascii="Gill Sans MT" w:hAnsi="Gill Sans MT"/>
          <w:sz w:val="24"/>
        </w:rPr>
        <w:t xml:space="preserve"> and geographic regions</w:t>
      </w:r>
      <w:r w:rsidRPr="00814072">
        <w:rPr>
          <w:rFonts w:ascii="Gill Sans MT" w:hAnsi="Gill Sans MT"/>
          <w:sz w:val="24"/>
        </w:rPr>
        <w:t xml:space="preserve">. </w:t>
      </w:r>
      <w:r w:rsidR="00901F5B">
        <w:rPr>
          <w:rFonts w:ascii="Gill Sans MT" w:hAnsi="Gill Sans MT"/>
          <w:sz w:val="24"/>
        </w:rPr>
        <w:t xml:space="preserve">A distinction is made between </w:t>
      </w:r>
      <w:r w:rsidR="000E713F">
        <w:rPr>
          <w:rFonts w:ascii="Gill Sans MT" w:hAnsi="Gill Sans MT"/>
          <w:sz w:val="24"/>
        </w:rPr>
        <w:t xml:space="preserve">facilities </w:t>
      </w:r>
      <w:r w:rsidR="00901F5B">
        <w:rPr>
          <w:rFonts w:ascii="Gill Sans MT" w:hAnsi="Gill Sans MT"/>
          <w:sz w:val="24"/>
        </w:rPr>
        <w:t>that permit consumption of pre-obtained substances through injection only</w:t>
      </w:r>
      <w:r w:rsidR="00D921B9">
        <w:rPr>
          <w:rFonts w:ascii="Gill Sans MT" w:hAnsi="Gill Sans MT"/>
          <w:sz w:val="24"/>
        </w:rPr>
        <w:t xml:space="preserve"> </w:t>
      </w:r>
      <w:r w:rsidR="000E713F">
        <w:rPr>
          <w:rFonts w:ascii="Gill Sans MT" w:hAnsi="Gill Sans MT"/>
          <w:sz w:val="24"/>
        </w:rPr>
        <w:t>(</w:t>
      </w:r>
      <w:r w:rsidR="00D921B9">
        <w:rPr>
          <w:rFonts w:ascii="Gill Sans MT" w:hAnsi="Gill Sans MT"/>
          <w:sz w:val="24"/>
        </w:rPr>
        <w:t>SI</w:t>
      </w:r>
      <w:r w:rsidR="000E713F">
        <w:rPr>
          <w:rFonts w:ascii="Gill Sans MT" w:hAnsi="Gill Sans MT"/>
          <w:sz w:val="24"/>
        </w:rPr>
        <w:t xml:space="preserve">Fs) </w:t>
      </w:r>
      <w:r w:rsidR="00901F5B">
        <w:rPr>
          <w:rFonts w:ascii="Gill Sans MT" w:hAnsi="Gill Sans MT"/>
          <w:sz w:val="24"/>
        </w:rPr>
        <w:t>a</w:t>
      </w:r>
      <w:r w:rsidR="00E0238E">
        <w:rPr>
          <w:rFonts w:ascii="Gill Sans MT" w:hAnsi="Gill Sans MT"/>
          <w:sz w:val="24"/>
        </w:rPr>
        <w:t xml:space="preserve">nd drug consumption </w:t>
      </w:r>
      <w:r w:rsidR="00901F5B">
        <w:rPr>
          <w:rFonts w:ascii="Gill Sans MT" w:hAnsi="Gill Sans MT"/>
          <w:sz w:val="24"/>
        </w:rPr>
        <w:t xml:space="preserve">rooms </w:t>
      </w:r>
      <w:r w:rsidR="00E0238E">
        <w:rPr>
          <w:rFonts w:ascii="Gill Sans MT" w:hAnsi="Gill Sans MT"/>
          <w:sz w:val="24"/>
        </w:rPr>
        <w:t xml:space="preserve">(DCRs) </w:t>
      </w:r>
      <w:r w:rsidR="000E713F">
        <w:rPr>
          <w:rFonts w:ascii="Gill Sans MT" w:hAnsi="Gill Sans MT"/>
          <w:sz w:val="24"/>
        </w:rPr>
        <w:t>or supervised consumption sites (</w:t>
      </w:r>
      <w:proofErr w:type="spellStart"/>
      <w:r w:rsidR="000E713F">
        <w:rPr>
          <w:rFonts w:ascii="Gill Sans MT" w:hAnsi="Gill Sans MT"/>
          <w:sz w:val="24"/>
        </w:rPr>
        <w:t>SCS</w:t>
      </w:r>
      <w:proofErr w:type="spellEnd"/>
      <w:r w:rsidR="000E713F">
        <w:rPr>
          <w:rFonts w:ascii="Gill Sans MT" w:hAnsi="Gill Sans MT"/>
          <w:sz w:val="24"/>
        </w:rPr>
        <w:t xml:space="preserve">) </w:t>
      </w:r>
      <w:r w:rsidR="002249C0">
        <w:rPr>
          <w:rFonts w:ascii="Gill Sans MT" w:hAnsi="Gill Sans MT"/>
          <w:sz w:val="24"/>
        </w:rPr>
        <w:t>w</w:t>
      </w:r>
      <w:r w:rsidR="00901F5B">
        <w:rPr>
          <w:rFonts w:ascii="Gill Sans MT" w:hAnsi="Gill Sans MT"/>
          <w:sz w:val="24"/>
        </w:rPr>
        <w:t>h</w:t>
      </w:r>
      <w:r w:rsidR="002249C0">
        <w:rPr>
          <w:rFonts w:ascii="Gill Sans MT" w:hAnsi="Gill Sans MT"/>
          <w:sz w:val="24"/>
        </w:rPr>
        <w:t xml:space="preserve">ere other </w:t>
      </w:r>
      <w:r w:rsidR="00901F5B">
        <w:rPr>
          <w:rFonts w:ascii="Gill Sans MT" w:hAnsi="Gill Sans MT"/>
          <w:sz w:val="24"/>
        </w:rPr>
        <w:t>consumption</w:t>
      </w:r>
      <w:r w:rsidR="002249C0">
        <w:rPr>
          <w:rFonts w:ascii="Gill Sans MT" w:hAnsi="Gill Sans MT"/>
          <w:sz w:val="24"/>
        </w:rPr>
        <w:t xml:space="preserve"> methods, such as</w:t>
      </w:r>
      <w:r w:rsidR="00901F5B">
        <w:rPr>
          <w:rFonts w:ascii="Gill Sans MT" w:hAnsi="Gill Sans MT"/>
          <w:sz w:val="24"/>
        </w:rPr>
        <w:t xml:space="preserve"> smoking or </w:t>
      </w:r>
      <w:r w:rsidR="00901F5B" w:rsidRPr="00814072">
        <w:rPr>
          <w:rFonts w:ascii="Gill Sans MT" w:hAnsi="Gill Sans MT"/>
          <w:sz w:val="24"/>
        </w:rPr>
        <w:t>ingest</w:t>
      </w:r>
      <w:r w:rsidR="00901F5B">
        <w:rPr>
          <w:rFonts w:ascii="Gill Sans MT" w:hAnsi="Gill Sans MT"/>
          <w:sz w:val="24"/>
        </w:rPr>
        <w:t>ion</w:t>
      </w:r>
      <w:r w:rsidR="002249C0">
        <w:rPr>
          <w:rFonts w:ascii="Gill Sans MT" w:hAnsi="Gill Sans MT"/>
          <w:sz w:val="24"/>
        </w:rPr>
        <w:t xml:space="preserve">, </w:t>
      </w:r>
      <w:r w:rsidR="00E0238E">
        <w:rPr>
          <w:rFonts w:ascii="Gill Sans MT" w:hAnsi="Gill Sans MT"/>
          <w:sz w:val="24"/>
        </w:rPr>
        <w:t>m</w:t>
      </w:r>
      <w:r w:rsidR="002249C0">
        <w:rPr>
          <w:rFonts w:ascii="Gill Sans MT" w:hAnsi="Gill Sans MT"/>
          <w:sz w:val="24"/>
        </w:rPr>
        <w:t>a</w:t>
      </w:r>
      <w:r w:rsidR="00E0238E">
        <w:rPr>
          <w:rFonts w:ascii="Gill Sans MT" w:hAnsi="Gill Sans MT"/>
          <w:sz w:val="24"/>
        </w:rPr>
        <w:t>y b</w:t>
      </w:r>
      <w:r w:rsidR="002249C0">
        <w:rPr>
          <w:rFonts w:ascii="Gill Sans MT" w:hAnsi="Gill Sans MT"/>
          <w:sz w:val="24"/>
        </w:rPr>
        <w:t>e permitted</w:t>
      </w:r>
      <w:r w:rsidR="00901F5B">
        <w:rPr>
          <w:rFonts w:ascii="Gill Sans MT" w:hAnsi="Gill Sans MT"/>
          <w:sz w:val="24"/>
        </w:rPr>
        <w:t>.</w:t>
      </w:r>
    </w:p>
    <w:p w:rsidR="00320538" w:rsidRDefault="00320538" w:rsidP="00B56BB1">
      <w:pPr>
        <w:rPr>
          <w:rFonts w:ascii="Gill Sans MT" w:hAnsi="Gill Sans MT"/>
          <w:b/>
          <w:sz w:val="24"/>
        </w:rPr>
      </w:pPr>
    </w:p>
    <w:p w:rsidR="005B3A3D" w:rsidRDefault="005B3A3D" w:rsidP="00B56BB1">
      <w:pPr>
        <w:rPr>
          <w:rFonts w:ascii="Gill Sans MT" w:hAnsi="Gill Sans MT"/>
          <w:sz w:val="24"/>
        </w:rPr>
      </w:pPr>
      <w:r w:rsidRPr="00814072">
        <w:rPr>
          <w:rFonts w:ascii="Gill Sans MT" w:hAnsi="Gill Sans MT"/>
          <w:b/>
          <w:sz w:val="24"/>
        </w:rPr>
        <w:t>Integrated:</w:t>
      </w:r>
      <w:r w:rsidRPr="00814072">
        <w:rPr>
          <w:rFonts w:ascii="Gill Sans MT" w:hAnsi="Gill Sans MT"/>
          <w:sz w:val="24"/>
        </w:rPr>
        <w:t xml:space="preserve"> The integration of S</w:t>
      </w:r>
      <w:r w:rsidR="00C76A4C">
        <w:rPr>
          <w:rFonts w:ascii="Gill Sans MT" w:hAnsi="Gill Sans MT"/>
          <w:sz w:val="24"/>
        </w:rPr>
        <w:t>IF</w:t>
      </w:r>
      <w:r w:rsidRPr="00814072">
        <w:rPr>
          <w:rFonts w:ascii="Gill Sans MT" w:hAnsi="Gill Sans MT"/>
          <w:sz w:val="24"/>
        </w:rPr>
        <w:t>s into other services is the most common model. Most SIFs are community-based organizations that are part of a comprehensive package offering services that include drug treatment, MAT, and syringe services programs (</w:t>
      </w:r>
      <w:proofErr w:type="spellStart"/>
      <w:r w:rsidRPr="00814072">
        <w:rPr>
          <w:rFonts w:ascii="Gill Sans MT" w:hAnsi="Gill Sans MT"/>
          <w:sz w:val="24"/>
        </w:rPr>
        <w:t>SSPs</w:t>
      </w:r>
      <w:proofErr w:type="spellEnd"/>
      <w:r w:rsidRPr="00814072">
        <w:rPr>
          <w:rFonts w:ascii="Gill Sans MT" w:hAnsi="Gill Sans MT"/>
          <w:sz w:val="24"/>
        </w:rPr>
        <w:t>), as well as medical services</w:t>
      </w:r>
      <w:r w:rsidR="00286E60">
        <w:rPr>
          <w:rFonts w:ascii="Gill Sans MT" w:hAnsi="Gill Sans MT"/>
          <w:sz w:val="24"/>
        </w:rPr>
        <w:t xml:space="preserve"> th</w:t>
      </w:r>
      <w:r w:rsidRPr="00814072">
        <w:rPr>
          <w:rFonts w:ascii="Gill Sans MT" w:hAnsi="Gill Sans MT"/>
          <w:sz w:val="24"/>
        </w:rPr>
        <w:t>at include primary care, testing for blood-borne viral infections, and wound care. Additional services may include a drop-in center with showers, laundry facilities, employment programs, and case management.</w:t>
      </w:r>
    </w:p>
    <w:p w:rsidR="00F019E4" w:rsidRPr="00F019E4" w:rsidRDefault="00F019E4" w:rsidP="00F019E4">
      <w:pPr>
        <w:pStyle w:val="ListParagraph"/>
        <w:numPr>
          <w:ilvl w:val="0"/>
          <w:numId w:val="1"/>
        </w:numPr>
        <w:rPr>
          <w:rFonts w:ascii="Gill Sans MT" w:hAnsi="Gill Sans MT"/>
          <w:i/>
          <w:sz w:val="24"/>
        </w:rPr>
      </w:pPr>
      <w:r w:rsidRPr="00F019E4">
        <w:rPr>
          <w:rFonts w:ascii="Gill Sans MT" w:hAnsi="Gill Sans MT"/>
          <w:i/>
          <w:sz w:val="24"/>
        </w:rPr>
        <w:t>Example</w:t>
      </w:r>
      <w:r w:rsidR="00E10C68">
        <w:rPr>
          <w:rFonts w:ascii="Gill Sans MT" w:hAnsi="Gill Sans MT"/>
          <w:i/>
          <w:sz w:val="24"/>
        </w:rPr>
        <w:t>s</w:t>
      </w:r>
      <w:r w:rsidRPr="00F019E4">
        <w:rPr>
          <w:rFonts w:ascii="Gill Sans MT" w:hAnsi="Gill Sans MT"/>
          <w:i/>
          <w:sz w:val="24"/>
        </w:rPr>
        <w:t>: Dr. Peter Centre in Vancouver</w:t>
      </w:r>
      <w:r w:rsidR="00AE1CB2">
        <w:rPr>
          <w:rFonts w:ascii="Gill Sans MT" w:hAnsi="Gill Sans MT"/>
          <w:i/>
          <w:sz w:val="24"/>
        </w:rPr>
        <w:t>, British Columbia</w:t>
      </w:r>
      <w:r w:rsidR="00DB2381">
        <w:rPr>
          <w:rFonts w:ascii="Gill Sans MT" w:hAnsi="Gill Sans MT"/>
          <w:i/>
          <w:sz w:val="24"/>
        </w:rPr>
        <w:t>, Canada</w:t>
      </w:r>
      <w:r w:rsidR="00E10C68">
        <w:rPr>
          <w:rFonts w:ascii="Gill Sans MT" w:hAnsi="Gill Sans MT"/>
          <w:i/>
          <w:sz w:val="24"/>
        </w:rPr>
        <w:t>; Royal Alexandra Hospital in Edmonton, Alberta</w:t>
      </w:r>
      <w:r w:rsidR="00DB2381">
        <w:rPr>
          <w:rFonts w:ascii="Gill Sans MT" w:hAnsi="Gill Sans MT"/>
          <w:i/>
          <w:sz w:val="24"/>
        </w:rPr>
        <w:t>, Canada</w:t>
      </w:r>
      <w:r w:rsidR="00E10C68">
        <w:rPr>
          <w:rFonts w:ascii="Gill Sans MT" w:hAnsi="Gill Sans MT"/>
          <w:i/>
          <w:sz w:val="24"/>
        </w:rPr>
        <w:t>.</w:t>
      </w:r>
      <w:r w:rsidRPr="00F019E4">
        <w:rPr>
          <w:rFonts w:ascii="Gill Sans MT" w:hAnsi="Gill Sans MT"/>
          <w:i/>
          <w:sz w:val="24"/>
        </w:rPr>
        <w:t xml:space="preserve"> </w:t>
      </w:r>
    </w:p>
    <w:p w:rsidR="005B3A3D" w:rsidRDefault="005B3A3D" w:rsidP="00B56BB1">
      <w:pPr>
        <w:rPr>
          <w:rFonts w:ascii="Gill Sans MT" w:hAnsi="Gill Sans MT"/>
          <w:sz w:val="24"/>
        </w:rPr>
      </w:pPr>
      <w:r w:rsidRPr="00814072">
        <w:rPr>
          <w:rFonts w:ascii="Gill Sans MT" w:hAnsi="Gill Sans MT"/>
          <w:b/>
          <w:sz w:val="24"/>
        </w:rPr>
        <w:t>Specialized:</w:t>
      </w:r>
      <w:r w:rsidRPr="00814072">
        <w:rPr>
          <w:rFonts w:ascii="Gill Sans MT" w:hAnsi="Gill Sans MT"/>
          <w:sz w:val="24"/>
        </w:rPr>
        <w:t xml:space="preserve"> Specialized models solely provide a space for the hygienic consumption of drugs, with referrals made for other </w:t>
      </w:r>
      <w:r w:rsidR="00286E60">
        <w:rPr>
          <w:rFonts w:ascii="Gill Sans MT" w:hAnsi="Gill Sans MT"/>
          <w:sz w:val="24"/>
        </w:rPr>
        <w:t xml:space="preserve">medical or social </w:t>
      </w:r>
      <w:r w:rsidRPr="00814072">
        <w:rPr>
          <w:rFonts w:ascii="Gill Sans MT" w:hAnsi="Gill Sans MT"/>
          <w:sz w:val="24"/>
        </w:rPr>
        <w:t>services. These models are often located in close proximity to other services that are utilized by people who use drugs.</w:t>
      </w:r>
    </w:p>
    <w:p w:rsidR="00F019E4" w:rsidRPr="00F019E4" w:rsidRDefault="00F019E4" w:rsidP="00F95A38">
      <w:pPr>
        <w:pStyle w:val="ListParagraph"/>
        <w:numPr>
          <w:ilvl w:val="0"/>
          <w:numId w:val="1"/>
        </w:numPr>
        <w:rPr>
          <w:rFonts w:ascii="Gill Sans MT" w:hAnsi="Gill Sans MT"/>
          <w:i/>
          <w:sz w:val="24"/>
        </w:rPr>
      </w:pPr>
      <w:r w:rsidRPr="00F019E4">
        <w:rPr>
          <w:rFonts w:ascii="Gill Sans MT" w:hAnsi="Gill Sans MT"/>
          <w:i/>
          <w:sz w:val="24"/>
        </w:rPr>
        <w:t>Example</w:t>
      </w:r>
      <w:r w:rsidR="00901F5B">
        <w:rPr>
          <w:rFonts w:ascii="Gill Sans MT" w:hAnsi="Gill Sans MT"/>
          <w:i/>
          <w:sz w:val="24"/>
        </w:rPr>
        <w:t>s</w:t>
      </w:r>
      <w:r w:rsidRPr="00F019E4">
        <w:rPr>
          <w:rFonts w:ascii="Gill Sans MT" w:hAnsi="Gill Sans MT"/>
          <w:i/>
          <w:sz w:val="24"/>
        </w:rPr>
        <w:t xml:space="preserve">: </w:t>
      </w:r>
      <w:proofErr w:type="spellStart"/>
      <w:r w:rsidR="00AF3061">
        <w:rPr>
          <w:rFonts w:ascii="Gill Sans MT" w:hAnsi="Gill Sans MT"/>
          <w:i/>
          <w:sz w:val="24"/>
        </w:rPr>
        <w:t>H17</w:t>
      </w:r>
      <w:proofErr w:type="spellEnd"/>
      <w:r w:rsidR="00AF3061">
        <w:rPr>
          <w:rFonts w:ascii="Gill Sans MT" w:hAnsi="Gill Sans MT"/>
          <w:i/>
          <w:sz w:val="24"/>
        </w:rPr>
        <w:t xml:space="preserve"> in Cope</w:t>
      </w:r>
      <w:r w:rsidR="00AF3061" w:rsidRPr="00F95A38">
        <w:rPr>
          <w:rFonts w:ascii="Gill Sans MT" w:hAnsi="Gill Sans MT"/>
          <w:i/>
          <w:sz w:val="24"/>
        </w:rPr>
        <w:t>n</w:t>
      </w:r>
      <w:r w:rsidR="00AF3061">
        <w:rPr>
          <w:rFonts w:ascii="Gill Sans MT" w:hAnsi="Gill Sans MT"/>
          <w:i/>
          <w:sz w:val="24"/>
        </w:rPr>
        <w:t>hagen, Denmark</w:t>
      </w:r>
      <w:r w:rsidR="00AF3061">
        <w:rPr>
          <w:rFonts w:ascii="Gill Sans MT" w:hAnsi="Gill Sans MT"/>
          <w:i/>
          <w:sz w:val="24"/>
        </w:rPr>
        <w:t xml:space="preserve">; </w:t>
      </w:r>
      <w:r w:rsidR="00DB2381">
        <w:rPr>
          <w:rFonts w:ascii="Gill Sans MT" w:hAnsi="Gill Sans MT"/>
          <w:i/>
          <w:sz w:val="24"/>
        </w:rPr>
        <w:t>Uniting Medically Supervised Injecting Centre Kings Cross</w:t>
      </w:r>
      <w:r w:rsidR="00135933">
        <w:rPr>
          <w:rFonts w:ascii="Gill Sans MT" w:hAnsi="Gill Sans MT"/>
          <w:i/>
          <w:sz w:val="24"/>
        </w:rPr>
        <w:t xml:space="preserve"> in S</w:t>
      </w:r>
      <w:r w:rsidR="00DB2381">
        <w:rPr>
          <w:rFonts w:ascii="Gill Sans MT" w:hAnsi="Gill Sans MT"/>
          <w:i/>
          <w:sz w:val="24"/>
        </w:rPr>
        <w:t>ydney, Australia</w:t>
      </w:r>
      <w:r w:rsidR="00F95A38">
        <w:rPr>
          <w:rFonts w:ascii="Gill Sans MT" w:hAnsi="Gill Sans MT"/>
          <w:i/>
          <w:sz w:val="24"/>
        </w:rPr>
        <w:t>;</w:t>
      </w:r>
      <w:r w:rsidR="00DB2381" w:rsidRPr="00F019E4">
        <w:rPr>
          <w:rFonts w:ascii="Gill Sans MT" w:hAnsi="Gill Sans MT"/>
          <w:i/>
          <w:sz w:val="24"/>
        </w:rPr>
        <w:t xml:space="preserve"> </w:t>
      </w:r>
      <w:r w:rsidRPr="00F019E4">
        <w:rPr>
          <w:rFonts w:ascii="Gill Sans MT" w:hAnsi="Gill Sans MT"/>
          <w:i/>
          <w:sz w:val="24"/>
        </w:rPr>
        <w:t>Insite in Vancouver</w:t>
      </w:r>
      <w:r w:rsidR="00AE1CB2" w:rsidRPr="00AE1CB2">
        <w:rPr>
          <w:rFonts w:ascii="Gill Sans MT" w:hAnsi="Gill Sans MT"/>
          <w:i/>
          <w:sz w:val="24"/>
        </w:rPr>
        <w:t xml:space="preserve">, </w:t>
      </w:r>
      <w:r w:rsidR="000E66BB">
        <w:rPr>
          <w:rFonts w:ascii="Gill Sans MT" w:hAnsi="Gill Sans MT"/>
          <w:i/>
          <w:sz w:val="24"/>
        </w:rPr>
        <w:t>Canada</w:t>
      </w:r>
      <w:r w:rsidR="00C30956">
        <w:rPr>
          <w:rFonts w:ascii="Gill Sans MT" w:hAnsi="Gill Sans MT"/>
          <w:i/>
          <w:sz w:val="24"/>
        </w:rPr>
        <w:t xml:space="preserve">; ARCHES in Lethbridge, </w:t>
      </w:r>
      <w:r w:rsidR="000E66BB">
        <w:rPr>
          <w:rFonts w:ascii="Gill Sans MT" w:hAnsi="Gill Sans MT"/>
          <w:i/>
          <w:sz w:val="24"/>
        </w:rPr>
        <w:t>Canada</w:t>
      </w:r>
      <w:r w:rsidR="00C30956">
        <w:rPr>
          <w:rFonts w:ascii="Gill Sans MT" w:hAnsi="Gill Sans MT"/>
          <w:i/>
          <w:sz w:val="24"/>
        </w:rPr>
        <w:t>.</w:t>
      </w:r>
    </w:p>
    <w:p w:rsidR="00831DC8" w:rsidRDefault="005B3A3D" w:rsidP="00B56BB1">
      <w:pPr>
        <w:rPr>
          <w:rFonts w:ascii="Gill Sans MT" w:hAnsi="Gill Sans MT"/>
          <w:sz w:val="24"/>
        </w:rPr>
      </w:pPr>
      <w:r w:rsidRPr="00814072">
        <w:rPr>
          <w:rFonts w:ascii="Gill Sans MT" w:hAnsi="Gill Sans MT"/>
          <w:b/>
          <w:sz w:val="24"/>
        </w:rPr>
        <w:t>Mobile:</w:t>
      </w:r>
      <w:r w:rsidRPr="00814072">
        <w:rPr>
          <w:rFonts w:ascii="Gill Sans MT" w:hAnsi="Gill Sans MT"/>
          <w:sz w:val="24"/>
        </w:rPr>
        <w:t xml:space="preserve"> These units </w:t>
      </w:r>
      <w:r w:rsidR="00286E60">
        <w:rPr>
          <w:rFonts w:ascii="Gill Sans MT" w:hAnsi="Gill Sans MT"/>
          <w:sz w:val="24"/>
        </w:rPr>
        <w:t>m</w:t>
      </w:r>
      <w:r w:rsidRPr="00814072">
        <w:rPr>
          <w:rFonts w:ascii="Gill Sans MT" w:hAnsi="Gill Sans MT"/>
          <w:sz w:val="24"/>
        </w:rPr>
        <w:t>a</w:t>
      </w:r>
      <w:r w:rsidR="00286E60">
        <w:rPr>
          <w:rFonts w:ascii="Gill Sans MT" w:hAnsi="Gill Sans MT"/>
          <w:sz w:val="24"/>
        </w:rPr>
        <w:t>y be</w:t>
      </w:r>
      <w:r w:rsidRPr="00814072">
        <w:rPr>
          <w:rFonts w:ascii="Gill Sans MT" w:hAnsi="Gill Sans MT"/>
          <w:sz w:val="24"/>
        </w:rPr>
        <w:t xml:space="preserve"> retrofitted vans</w:t>
      </w:r>
      <w:r>
        <w:rPr>
          <w:rFonts w:ascii="Gill Sans MT" w:hAnsi="Gill Sans MT"/>
          <w:sz w:val="24"/>
        </w:rPr>
        <w:t xml:space="preserve">, </w:t>
      </w:r>
      <w:r w:rsidRPr="00814072">
        <w:rPr>
          <w:rFonts w:ascii="Gill Sans MT" w:hAnsi="Gill Sans MT"/>
          <w:sz w:val="24"/>
        </w:rPr>
        <w:t>RVs</w:t>
      </w:r>
      <w:r>
        <w:rPr>
          <w:rFonts w:ascii="Gill Sans MT" w:hAnsi="Gill Sans MT"/>
          <w:sz w:val="24"/>
        </w:rPr>
        <w:t>, or pop-up tents</w:t>
      </w:r>
      <w:r w:rsidRPr="00814072">
        <w:rPr>
          <w:rFonts w:ascii="Gill Sans MT" w:hAnsi="Gill Sans MT"/>
          <w:sz w:val="24"/>
        </w:rPr>
        <w:t xml:space="preserve"> with one to three booths dedicated </w:t>
      </w:r>
      <w:r w:rsidR="00286E60">
        <w:rPr>
          <w:rFonts w:ascii="Gill Sans MT" w:hAnsi="Gill Sans MT"/>
          <w:sz w:val="24"/>
        </w:rPr>
        <w:t>f</w:t>
      </w:r>
      <w:r w:rsidRPr="00814072">
        <w:rPr>
          <w:rFonts w:ascii="Gill Sans MT" w:hAnsi="Gill Sans MT"/>
          <w:sz w:val="24"/>
        </w:rPr>
        <w:t>o</w:t>
      </w:r>
      <w:r w:rsidR="00286E60">
        <w:rPr>
          <w:rFonts w:ascii="Gill Sans MT" w:hAnsi="Gill Sans MT"/>
          <w:sz w:val="24"/>
        </w:rPr>
        <w:t xml:space="preserve">r </w:t>
      </w:r>
      <w:r w:rsidRPr="00814072">
        <w:rPr>
          <w:rFonts w:ascii="Gill Sans MT" w:hAnsi="Gill Sans MT"/>
          <w:sz w:val="24"/>
        </w:rPr>
        <w:t xml:space="preserve">consumption of </w:t>
      </w:r>
      <w:r w:rsidR="00286E60">
        <w:rPr>
          <w:rFonts w:ascii="Gill Sans MT" w:hAnsi="Gill Sans MT"/>
          <w:sz w:val="24"/>
        </w:rPr>
        <w:t>pre-obtained substance</w:t>
      </w:r>
      <w:r w:rsidRPr="00814072">
        <w:rPr>
          <w:rFonts w:ascii="Gill Sans MT" w:hAnsi="Gill Sans MT"/>
          <w:sz w:val="24"/>
        </w:rPr>
        <w:t>s</w:t>
      </w:r>
      <w:r w:rsidR="00286E60">
        <w:rPr>
          <w:rFonts w:ascii="Gill Sans MT" w:hAnsi="Gill Sans MT"/>
          <w:sz w:val="24"/>
        </w:rPr>
        <w:t xml:space="preserve"> in the presence of train</w:t>
      </w:r>
      <w:r w:rsidRPr="00814072">
        <w:rPr>
          <w:rFonts w:ascii="Gill Sans MT" w:hAnsi="Gill Sans MT"/>
          <w:sz w:val="24"/>
        </w:rPr>
        <w:t>e</w:t>
      </w:r>
      <w:r w:rsidR="00286E60">
        <w:rPr>
          <w:rFonts w:ascii="Gill Sans MT" w:hAnsi="Gill Sans MT"/>
          <w:sz w:val="24"/>
        </w:rPr>
        <w:t>d</w:t>
      </w:r>
      <w:r w:rsidRPr="00814072">
        <w:rPr>
          <w:rFonts w:ascii="Gill Sans MT" w:hAnsi="Gill Sans MT"/>
          <w:sz w:val="24"/>
        </w:rPr>
        <w:t xml:space="preserve"> staffed</w:t>
      </w:r>
      <w:r w:rsidR="00286E60">
        <w:rPr>
          <w:rFonts w:ascii="Gill Sans MT" w:hAnsi="Gill Sans MT"/>
          <w:sz w:val="24"/>
        </w:rPr>
        <w:t xml:space="preserve">. Mobile </w:t>
      </w:r>
      <w:r w:rsidR="00286E60">
        <w:rPr>
          <w:rFonts w:ascii="Gill Sans MT" w:hAnsi="Gill Sans MT"/>
          <w:sz w:val="24"/>
        </w:rPr>
        <w:lastRenderedPageBreak/>
        <w:t>units are l</w:t>
      </w:r>
      <w:r w:rsidR="00286E60" w:rsidRPr="00814072">
        <w:rPr>
          <w:rFonts w:ascii="Gill Sans MT" w:hAnsi="Gill Sans MT"/>
          <w:sz w:val="24"/>
        </w:rPr>
        <w:t>e</w:t>
      </w:r>
      <w:r w:rsidR="00286E60">
        <w:rPr>
          <w:rFonts w:ascii="Gill Sans MT" w:hAnsi="Gill Sans MT"/>
          <w:sz w:val="24"/>
        </w:rPr>
        <w:t>ss common than integrated and specialized facilities</w:t>
      </w:r>
      <w:r w:rsidR="00286E60">
        <w:rPr>
          <w:rFonts w:ascii="Gill Sans MT" w:hAnsi="Gill Sans MT"/>
          <w:sz w:val="24"/>
        </w:rPr>
        <w:t>, and are typically equipped to p</w:t>
      </w:r>
      <w:r w:rsidRPr="00814072">
        <w:rPr>
          <w:rFonts w:ascii="Gill Sans MT" w:hAnsi="Gill Sans MT"/>
          <w:sz w:val="24"/>
        </w:rPr>
        <w:t>rovide a limited range of services such as syringe exchange, blood-borne virus testing, and referrals</w:t>
      </w:r>
      <w:r w:rsidR="00286E60">
        <w:rPr>
          <w:rFonts w:ascii="Gill Sans MT" w:hAnsi="Gill Sans MT"/>
          <w:sz w:val="24"/>
        </w:rPr>
        <w:t xml:space="preserve"> for medical and social services</w:t>
      </w:r>
      <w:r w:rsidRPr="00814072">
        <w:rPr>
          <w:rFonts w:ascii="Gill Sans MT" w:hAnsi="Gill Sans MT"/>
          <w:sz w:val="24"/>
        </w:rPr>
        <w:t>.</w:t>
      </w:r>
    </w:p>
    <w:p w:rsidR="00144642" w:rsidRPr="003A3B9E" w:rsidRDefault="00F019E4" w:rsidP="00144642">
      <w:pPr>
        <w:pStyle w:val="ListParagraph"/>
        <w:numPr>
          <w:ilvl w:val="0"/>
          <w:numId w:val="1"/>
        </w:numPr>
        <w:rPr>
          <w:rFonts w:ascii="Gill Sans MT" w:hAnsi="Gill Sans MT"/>
          <w:i/>
          <w:sz w:val="24"/>
        </w:rPr>
      </w:pPr>
      <w:r w:rsidRPr="00F019E4">
        <w:rPr>
          <w:rFonts w:ascii="Gill Sans MT" w:hAnsi="Gill Sans MT"/>
          <w:i/>
          <w:sz w:val="24"/>
        </w:rPr>
        <w:t xml:space="preserve">Example: </w:t>
      </w:r>
      <w:r>
        <w:rPr>
          <w:rFonts w:ascii="Gill Sans MT" w:hAnsi="Gill Sans MT"/>
          <w:i/>
          <w:sz w:val="24"/>
        </w:rPr>
        <w:t xml:space="preserve">Kamloops Mobile Unit in </w:t>
      </w:r>
      <w:r w:rsidR="00AE1CB2">
        <w:rPr>
          <w:rFonts w:ascii="Gill Sans MT" w:hAnsi="Gill Sans MT"/>
          <w:i/>
          <w:sz w:val="24"/>
        </w:rPr>
        <w:t xml:space="preserve">Kamloops, </w:t>
      </w:r>
      <w:r w:rsidR="000E66BB">
        <w:rPr>
          <w:rFonts w:ascii="Gill Sans MT" w:hAnsi="Gill Sans MT"/>
          <w:i/>
          <w:sz w:val="24"/>
        </w:rPr>
        <w:t>Canada</w:t>
      </w:r>
      <w:r w:rsidR="00EE5BEE">
        <w:rPr>
          <w:rFonts w:ascii="Gill Sans MT" w:hAnsi="Gill Sans MT"/>
          <w:i/>
          <w:sz w:val="24"/>
        </w:rPr>
        <w:t xml:space="preserve">; </w:t>
      </w:r>
      <w:proofErr w:type="spellStart"/>
      <w:r w:rsidR="0055116E" w:rsidRPr="0055116E">
        <w:rPr>
          <w:rFonts w:ascii="Gill Sans MT" w:hAnsi="Gill Sans MT"/>
          <w:i/>
          <w:sz w:val="24"/>
        </w:rPr>
        <w:t>L’Anonyme</w:t>
      </w:r>
      <w:proofErr w:type="spellEnd"/>
      <w:r w:rsidR="0055116E" w:rsidRPr="0055116E">
        <w:rPr>
          <w:rFonts w:ascii="Gill Sans MT" w:hAnsi="Gill Sans MT"/>
          <w:i/>
          <w:sz w:val="24"/>
        </w:rPr>
        <w:t xml:space="preserve"> </w:t>
      </w:r>
      <w:r w:rsidR="00EE5BEE">
        <w:rPr>
          <w:rFonts w:ascii="Gill Sans MT" w:hAnsi="Gill Sans MT"/>
          <w:i/>
          <w:sz w:val="24"/>
        </w:rPr>
        <w:t>Mobile S</w:t>
      </w:r>
      <w:r w:rsidR="0055116E">
        <w:rPr>
          <w:rFonts w:ascii="Gill Sans MT" w:hAnsi="Gill Sans MT"/>
          <w:i/>
          <w:sz w:val="24"/>
        </w:rPr>
        <w:t>upervised Injection Servic</w:t>
      </w:r>
      <w:r w:rsidR="00EE5BEE">
        <w:rPr>
          <w:rFonts w:ascii="Gill Sans MT" w:hAnsi="Gill Sans MT"/>
          <w:i/>
          <w:sz w:val="24"/>
        </w:rPr>
        <w:t>e, Montreal, Canada</w:t>
      </w:r>
      <w:r w:rsidR="00E37A7D">
        <w:rPr>
          <w:rFonts w:ascii="Gill Sans MT" w:hAnsi="Gill Sans MT"/>
          <w:i/>
          <w:sz w:val="24"/>
        </w:rPr>
        <w:t>.</w:t>
      </w:r>
      <w:bookmarkStart w:id="0" w:name="_GoBack"/>
      <w:bookmarkEnd w:id="0"/>
    </w:p>
    <w:sectPr w:rsidR="00144642" w:rsidRPr="003A3B9E" w:rsidSect="00C214FD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3D" w:rsidRDefault="005B3A3D" w:rsidP="005B3A3D">
      <w:pPr>
        <w:spacing w:after="0" w:line="240" w:lineRule="auto"/>
      </w:pPr>
      <w:r>
        <w:separator/>
      </w:r>
    </w:p>
  </w:endnote>
  <w:endnote w:type="continuationSeparator" w:id="0">
    <w:p w:rsidR="005B3A3D" w:rsidRDefault="005B3A3D" w:rsidP="005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D5" w:rsidRPr="00E755D5" w:rsidRDefault="00F85C3A" w:rsidP="00F85C3A">
    <w:pPr>
      <w:pStyle w:val="Footer"/>
      <w:jc w:val="right"/>
      <w:rPr>
        <w:rFonts w:ascii="Gill Sans MT" w:hAnsi="Gill Sans MT"/>
      </w:rPr>
    </w:pPr>
    <w:r>
      <w:rPr>
        <w:rFonts w:ascii="Gill Sans MT" w:hAnsi="Gill Sans MT"/>
      </w:rPr>
      <w:t>EOHHS</w:t>
    </w:r>
    <w:r w:rsidR="00E755D5" w:rsidRPr="00E755D5">
      <w:rPr>
        <w:rFonts w:ascii="Gill Sans MT" w:hAnsi="Gill Sans MT"/>
      </w:rPr>
      <w:t xml:space="preserve"> – 11/1</w:t>
    </w:r>
    <w:r w:rsidR="004C6E04">
      <w:rPr>
        <w:rFonts w:ascii="Gill Sans MT" w:hAnsi="Gill Sans MT"/>
      </w:rPr>
      <w:t>6</w:t>
    </w:r>
    <w:r w:rsidR="00E755D5" w:rsidRPr="00E755D5">
      <w:rPr>
        <w:rFonts w:ascii="Gill Sans MT" w:hAnsi="Gill Sans MT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3D" w:rsidRDefault="005B3A3D" w:rsidP="005B3A3D">
      <w:pPr>
        <w:spacing w:after="0" w:line="240" w:lineRule="auto"/>
      </w:pPr>
      <w:r>
        <w:separator/>
      </w:r>
    </w:p>
  </w:footnote>
  <w:footnote w:type="continuationSeparator" w:id="0">
    <w:p w:rsidR="005B3A3D" w:rsidRDefault="005B3A3D" w:rsidP="005B3A3D">
      <w:pPr>
        <w:spacing w:after="0" w:line="240" w:lineRule="auto"/>
      </w:pPr>
      <w:r>
        <w:continuationSeparator/>
      </w:r>
    </w:p>
  </w:footnote>
  <w:footnote w:id="1">
    <w:p w:rsidR="005B3A3D" w:rsidRPr="00F54176" w:rsidRDefault="005B3A3D" w:rsidP="005B3A3D">
      <w:pPr>
        <w:pStyle w:val="FootnoteText"/>
        <w:rPr>
          <w:rFonts w:ascii="Gill Sans MT" w:hAnsi="Gill Sans MT"/>
        </w:rPr>
      </w:pPr>
      <w:r w:rsidRPr="00F54176">
        <w:rPr>
          <w:rStyle w:val="FootnoteReference"/>
          <w:rFonts w:ascii="Gill Sans MT" w:hAnsi="Gill Sans MT"/>
        </w:rPr>
        <w:footnoteRef/>
      </w:r>
      <w:r w:rsidRPr="00F54176">
        <w:rPr>
          <w:rFonts w:ascii="Gill Sans MT" w:hAnsi="Gill Sans MT"/>
        </w:rPr>
        <w:t xml:space="preserve"> Adapted from </w:t>
      </w:r>
      <w:hyperlink r:id="rId1" w:history="1">
        <w:r w:rsidRPr="006F050E">
          <w:rPr>
            <w:rStyle w:val="Hyperlink"/>
            <w:rFonts w:ascii="Gill Sans MT" w:hAnsi="Gill Sans MT"/>
          </w:rPr>
          <w:t>https://www.abell.org/sites/default/files/files/Safe%20Drug%20Consumption%20Spaces%20final.pdf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51E8A"/>
    <w:multiLevelType w:val="hybridMultilevel"/>
    <w:tmpl w:val="A7C80DA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5B25685F"/>
    <w:multiLevelType w:val="hybridMultilevel"/>
    <w:tmpl w:val="65CA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3D"/>
    <w:rsid w:val="000A6006"/>
    <w:rsid w:val="000E66BB"/>
    <w:rsid w:val="000E713F"/>
    <w:rsid w:val="00135933"/>
    <w:rsid w:val="00144642"/>
    <w:rsid w:val="00165B5D"/>
    <w:rsid w:val="00196EDD"/>
    <w:rsid w:val="002249C0"/>
    <w:rsid w:val="00255B5B"/>
    <w:rsid w:val="00286E60"/>
    <w:rsid w:val="002A1F41"/>
    <w:rsid w:val="00320538"/>
    <w:rsid w:val="003A3B9E"/>
    <w:rsid w:val="003F1E1E"/>
    <w:rsid w:val="004A4A8A"/>
    <w:rsid w:val="004C6E04"/>
    <w:rsid w:val="0055116E"/>
    <w:rsid w:val="005B3A3D"/>
    <w:rsid w:val="005D77FE"/>
    <w:rsid w:val="00642284"/>
    <w:rsid w:val="007868A1"/>
    <w:rsid w:val="007C14D8"/>
    <w:rsid w:val="0080173D"/>
    <w:rsid w:val="008035A7"/>
    <w:rsid w:val="0083096B"/>
    <w:rsid w:val="008A797A"/>
    <w:rsid w:val="008C7C85"/>
    <w:rsid w:val="00901F5B"/>
    <w:rsid w:val="00997626"/>
    <w:rsid w:val="00AE1CB2"/>
    <w:rsid w:val="00AE7197"/>
    <w:rsid w:val="00AF3061"/>
    <w:rsid w:val="00B360E6"/>
    <w:rsid w:val="00B450C1"/>
    <w:rsid w:val="00B56BB1"/>
    <w:rsid w:val="00C04C23"/>
    <w:rsid w:val="00C214FD"/>
    <w:rsid w:val="00C30956"/>
    <w:rsid w:val="00C75032"/>
    <w:rsid w:val="00C76A4C"/>
    <w:rsid w:val="00D3052D"/>
    <w:rsid w:val="00D6435A"/>
    <w:rsid w:val="00D921B9"/>
    <w:rsid w:val="00DB2381"/>
    <w:rsid w:val="00E0238E"/>
    <w:rsid w:val="00E10C68"/>
    <w:rsid w:val="00E37A7D"/>
    <w:rsid w:val="00E755D5"/>
    <w:rsid w:val="00EE5BEE"/>
    <w:rsid w:val="00F019E4"/>
    <w:rsid w:val="00F64F59"/>
    <w:rsid w:val="00F76055"/>
    <w:rsid w:val="00F85C3A"/>
    <w:rsid w:val="00F95A38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A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B3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D5"/>
  </w:style>
  <w:style w:type="paragraph" w:styleId="Footer">
    <w:name w:val="footer"/>
    <w:basedOn w:val="Normal"/>
    <w:link w:val="FooterChar"/>
    <w:uiPriority w:val="99"/>
    <w:unhideWhenUsed/>
    <w:rsid w:val="00E7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D5"/>
  </w:style>
  <w:style w:type="paragraph" w:styleId="ListParagraph">
    <w:name w:val="List Paragraph"/>
    <w:basedOn w:val="Normal"/>
    <w:uiPriority w:val="34"/>
    <w:qFormat/>
    <w:rsid w:val="00F01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8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A4A8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C7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A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B3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3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D5"/>
  </w:style>
  <w:style w:type="paragraph" w:styleId="Footer">
    <w:name w:val="footer"/>
    <w:basedOn w:val="Normal"/>
    <w:link w:val="FooterChar"/>
    <w:uiPriority w:val="99"/>
    <w:unhideWhenUsed/>
    <w:rsid w:val="00E75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D5"/>
  </w:style>
  <w:style w:type="paragraph" w:styleId="ListParagraph">
    <w:name w:val="List Paragraph"/>
    <w:basedOn w:val="Normal"/>
    <w:uiPriority w:val="34"/>
    <w:qFormat/>
    <w:rsid w:val="00F01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8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A4A8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C7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bell.org/sites/default/files/files/Safe%20Drug%20Consumption%20Spaces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Gabriel Cohen</cp:lastModifiedBy>
  <cp:revision>53</cp:revision>
  <cp:lastPrinted>2018-11-17T00:03:00Z</cp:lastPrinted>
  <dcterms:created xsi:type="dcterms:W3CDTF">2018-11-14T16:20:00Z</dcterms:created>
  <dcterms:modified xsi:type="dcterms:W3CDTF">2018-11-17T00:03:00Z</dcterms:modified>
</cp:coreProperties>
</file>