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0E5B0A" wp14:editId="65C7962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 descr="Operational Services Division Logo" title="O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4D2">
        <w:rPr>
          <w:rFonts w:ascii="Cambria" w:hAnsi="Cambria"/>
          <w:b/>
          <w:color w:val="2E3192"/>
        </w:rPr>
        <w:t>The Commonwealth of Massachusetts</w:t>
      </w:r>
    </w:p>
    <w:p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:rsidR="00AB0360" w:rsidRPr="008234D2" w:rsidRDefault="00AB0360" w:rsidP="00AB0360">
      <w:pPr>
        <w:tabs>
          <w:tab w:val="left" w:pos="4140"/>
        </w:tabs>
        <w:spacing w:after="0"/>
        <w:rPr>
          <w:rFonts w:ascii="Cambria" w:hAnsi="Cambria"/>
          <w:sz w:val="4"/>
          <w:szCs w:val="4"/>
        </w:rPr>
      </w:pPr>
    </w:p>
    <w:p w:rsidR="00AB0360" w:rsidRPr="00CA7237" w:rsidRDefault="00190FA7" w:rsidP="00AB0360">
      <w:pPr>
        <w:tabs>
          <w:tab w:val="left" w:pos="3600"/>
        </w:tabs>
        <w:spacing w:after="0"/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OVM Services</w:t>
      </w:r>
      <w:r w:rsidR="00AB0360">
        <w:rPr>
          <w:rFonts w:ascii="Cambria" w:hAnsi="Cambria"/>
          <w:b/>
          <w:sz w:val="28"/>
        </w:rPr>
        <w:t xml:space="preserve"> Overview</w:t>
      </w:r>
    </w:p>
    <w:p w:rsidR="00AB0360" w:rsidRDefault="00AB0360" w:rsidP="00AB0360">
      <w:pPr>
        <w:spacing w:after="0"/>
        <w:rPr>
          <w:b/>
          <w:sz w:val="28"/>
          <w:szCs w:val="28"/>
        </w:rPr>
      </w:pPr>
    </w:p>
    <w:p w:rsidR="00C4493A" w:rsidRDefault="001A7718" w:rsidP="004F2269">
      <w:pPr>
        <w:spacing w:after="0" w:line="264" w:lineRule="auto"/>
        <w:rPr>
          <w:rFonts w:cs="Arial"/>
        </w:rPr>
      </w:pPr>
      <w:r w:rsidRPr="009A377C">
        <w:rPr>
          <w:rFonts w:cs="Arial"/>
        </w:rPr>
        <w:t>T</w:t>
      </w:r>
      <w:r w:rsidR="004F2269" w:rsidRPr="009A377C">
        <w:rPr>
          <w:rFonts w:cs="Arial"/>
        </w:rPr>
        <w:t>he Executive Office for Administration and Finance Operational Services Division’s Office of Veh</w:t>
      </w:r>
      <w:bookmarkStart w:id="0" w:name="_GoBack"/>
      <w:bookmarkEnd w:id="0"/>
      <w:r w:rsidR="004F2269" w:rsidRPr="009A377C">
        <w:rPr>
          <w:rFonts w:cs="Arial"/>
        </w:rPr>
        <w:t xml:space="preserve">icle Management (OVM) provides </w:t>
      </w:r>
      <w:r w:rsidR="00C4493A">
        <w:rPr>
          <w:rFonts w:cs="Arial"/>
        </w:rPr>
        <w:t>oversight</w:t>
      </w:r>
      <w:r w:rsidRPr="009A377C">
        <w:rPr>
          <w:rFonts w:cs="Arial"/>
        </w:rPr>
        <w:t>, support</w:t>
      </w:r>
      <w:r w:rsidR="004F2269" w:rsidRPr="009A377C">
        <w:rPr>
          <w:rFonts w:cs="Arial"/>
        </w:rPr>
        <w:t xml:space="preserve"> and services to Commonwealth Agencies and/or Departments whose vehicles fall under the purview of the OVM Policies and Procedures.  </w:t>
      </w:r>
      <w:r w:rsidR="00C4493A">
        <w:rPr>
          <w:rFonts w:cs="Arial"/>
        </w:rPr>
        <w:t>OVM’s oversight includes promotion of best practices, safety protocols and cost effective, fuel efficient vehicle utilization and management.</w:t>
      </w:r>
    </w:p>
    <w:p w:rsidR="00C4493A" w:rsidRDefault="00C4493A" w:rsidP="004F2269">
      <w:pPr>
        <w:spacing w:after="0" w:line="264" w:lineRule="auto"/>
        <w:rPr>
          <w:rFonts w:cs="Arial"/>
        </w:rPr>
      </w:pPr>
    </w:p>
    <w:p w:rsidR="00C4493A" w:rsidRDefault="009A377C" w:rsidP="004F2269">
      <w:pPr>
        <w:spacing w:after="0" w:line="264" w:lineRule="auto"/>
        <w:rPr>
          <w:rFonts w:cs="Arial"/>
        </w:rPr>
      </w:pPr>
      <w:r w:rsidRPr="009A377C">
        <w:rPr>
          <w:rFonts w:cs="Arial"/>
        </w:rPr>
        <w:t>Executive Branch Agencies</w:t>
      </w:r>
      <w:r w:rsidR="00C4493A">
        <w:rPr>
          <w:rFonts w:cs="Arial"/>
        </w:rPr>
        <w:t xml:space="preserve"> (excluding law enforcement or those with independent authority) fall under OVM purview in accordance with M</w:t>
      </w:r>
      <w:r w:rsidR="00585A75">
        <w:rPr>
          <w:rFonts w:cs="Arial"/>
        </w:rPr>
        <w:t xml:space="preserve">assachusetts </w:t>
      </w:r>
      <w:r w:rsidR="00C4493A">
        <w:rPr>
          <w:rFonts w:cs="Arial"/>
        </w:rPr>
        <w:t>G</w:t>
      </w:r>
      <w:r w:rsidR="00585A75">
        <w:rPr>
          <w:rFonts w:cs="Arial"/>
        </w:rPr>
        <w:t xml:space="preserve">eneral </w:t>
      </w:r>
      <w:r w:rsidR="00C4493A">
        <w:rPr>
          <w:rFonts w:cs="Arial"/>
        </w:rPr>
        <w:t>L</w:t>
      </w:r>
      <w:r w:rsidR="00585A75">
        <w:rPr>
          <w:rFonts w:cs="Arial"/>
        </w:rPr>
        <w:t>aws</w:t>
      </w:r>
      <w:r w:rsidR="00C4493A">
        <w:rPr>
          <w:rFonts w:cs="Arial"/>
        </w:rPr>
        <w:t>.</w:t>
      </w:r>
      <w:r w:rsidRPr="009A377C">
        <w:rPr>
          <w:rFonts w:cs="Arial"/>
        </w:rPr>
        <w:t xml:space="preserve"> </w:t>
      </w:r>
      <w:r w:rsidR="00C4493A">
        <w:rPr>
          <w:rFonts w:cs="Arial"/>
        </w:rPr>
        <w:t xml:space="preserve"> O</w:t>
      </w:r>
      <w:r w:rsidRPr="009A377C">
        <w:rPr>
          <w:rFonts w:cs="Arial"/>
        </w:rPr>
        <w:t xml:space="preserve">ther </w:t>
      </w:r>
      <w:r>
        <w:rPr>
          <w:rFonts w:cs="Arial"/>
        </w:rPr>
        <w:t xml:space="preserve">departments or </w:t>
      </w:r>
      <w:r w:rsidRPr="009A377C">
        <w:rPr>
          <w:rFonts w:cs="Arial"/>
        </w:rPr>
        <w:t xml:space="preserve">agencies </w:t>
      </w:r>
      <w:r w:rsidR="00C4493A">
        <w:rPr>
          <w:rFonts w:cs="Arial"/>
        </w:rPr>
        <w:t xml:space="preserve">may choose to fall under OVM purview by leasing </w:t>
      </w:r>
      <w:r w:rsidRPr="009A377C">
        <w:rPr>
          <w:rFonts w:cs="Arial"/>
        </w:rPr>
        <w:t xml:space="preserve">vehicles through the OVM Lease Program or </w:t>
      </w:r>
      <w:r w:rsidR="00C4493A">
        <w:rPr>
          <w:rFonts w:cs="Arial"/>
        </w:rPr>
        <w:t>receiving</w:t>
      </w:r>
      <w:r w:rsidR="00C4493A" w:rsidRPr="009A377C">
        <w:rPr>
          <w:rFonts w:cs="Arial"/>
        </w:rPr>
        <w:t xml:space="preserve"> </w:t>
      </w:r>
      <w:r w:rsidR="00AF486D">
        <w:rPr>
          <w:rFonts w:cs="Arial"/>
        </w:rPr>
        <w:t>OVM</w:t>
      </w:r>
      <w:r w:rsidRPr="009A377C">
        <w:rPr>
          <w:rFonts w:cs="Arial"/>
        </w:rPr>
        <w:t xml:space="preserve"> services</w:t>
      </w:r>
      <w:r>
        <w:rPr>
          <w:rFonts w:cs="Arial"/>
        </w:rPr>
        <w:t xml:space="preserve"> </w:t>
      </w:r>
      <w:r w:rsidR="00585A75">
        <w:rPr>
          <w:rFonts w:cs="Arial"/>
        </w:rPr>
        <w:t xml:space="preserve">(beyond registration) </w:t>
      </w:r>
      <w:r>
        <w:rPr>
          <w:rFonts w:cs="Arial"/>
        </w:rPr>
        <w:t>for their “owned” vehicles</w:t>
      </w:r>
      <w:r w:rsidRPr="009A377C">
        <w:rPr>
          <w:rFonts w:cs="Arial"/>
        </w:rPr>
        <w:t>.</w:t>
      </w:r>
      <w:r w:rsidR="00585A75">
        <w:rPr>
          <w:rFonts w:cs="Arial"/>
        </w:rPr>
        <w:t xml:space="preserve">  Currently, OVM oversees more than 2,500 vehicles across 42 Agencies.</w:t>
      </w:r>
    </w:p>
    <w:p w:rsidR="00585A75" w:rsidRPr="009A377C" w:rsidRDefault="00585A75" w:rsidP="004F2269">
      <w:pPr>
        <w:spacing w:after="0" w:line="264" w:lineRule="auto"/>
        <w:rPr>
          <w:rFonts w:cs="Arial"/>
        </w:rPr>
      </w:pPr>
    </w:p>
    <w:p w:rsidR="004F2269" w:rsidRPr="009A377C" w:rsidRDefault="002B7F9D" w:rsidP="004F2269">
      <w:pPr>
        <w:spacing w:after="0" w:line="264" w:lineRule="auto"/>
        <w:rPr>
          <w:rFonts w:cs="Arial"/>
        </w:rPr>
      </w:pPr>
      <w:r w:rsidRPr="009A377C">
        <w:rPr>
          <w:rFonts w:cs="Arial"/>
        </w:rPr>
        <w:t>A per vehicle administrative fee is applied annually to all applicable vehicles to help offset the costs of providing these services, which include, but are not limited to, the following:</w:t>
      </w:r>
    </w:p>
    <w:p w:rsidR="004F2269" w:rsidRPr="009A377C" w:rsidRDefault="004F2269" w:rsidP="00F86A44">
      <w:pPr>
        <w:spacing w:before="40" w:after="40" w:line="240" w:lineRule="auto"/>
        <w:rPr>
          <w:rFonts w:cs="Arial"/>
        </w:rPr>
      </w:pP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Vehicle purchasing through statewide contracts</w:t>
      </w:r>
    </w:p>
    <w:p w:rsidR="00A506FF" w:rsidRDefault="00A506FF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>
        <w:t>Liaise with OSD Sourcing to define and shape vehicle purchase contracts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 xml:space="preserve">Audit and quality check </w:t>
      </w:r>
      <w:r w:rsidR="00A506FF" w:rsidRPr="009A377C">
        <w:t>all vehicle acquisition</w:t>
      </w:r>
      <w:r w:rsidR="00A506FF">
        <w:t>s</w:t>
      </w:r>
      <w:r w:rsidR="00A506FF" w:rsidRPr="009A377C">
        <w:t xml:space="preserve"> </w:t>
      </w:r>
      <w:r w:rsidRPr="009A377C">
        <w:t>to assure that data matches up with statewide contract pricing and specifications</w:t>
      </w:r>
    </w:p>
    <w:p w:rsidR="004E2481" w:rsidRPr="009A377C" w:rsidRDefault="004E2481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Make recommendations for most economical and fuel-efficient vehicle purchases that meet the stated business needs</w:t>
      </w:r>
    </w:p>
    <w:p w:rsidR="002B78F7" w:rsidRDefault="004E2481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Obtain c</w:t>
      </w:r>
      <w:r w:rsidR="002B78F7" w:rsidRPr="009A377C">
        <w:t>onfirmation communication from agency that appropriated funds are being used for vehicle acquisitions</w:t>
      </w:r>
    </w:p>
    <w:p w:rsidR="00A506FF" w:rsidRDefault="00A506FF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>
        <w:t>As an alternative to a department fully funding a vehicle purchase, OVM offers a lease program in which OVM funds the initial purchase price and the department repays OVM over 60 months</w:t>
      </w:r>
    </w:p>
    <w:p w:rsidR="00A506FF" w:rsidRPr="009A377C" w:rsidRDefault="00A506FF" w:rsidP="00A506FF">
      <w:pPr>
        <w:pStyle w:val="ListParagraph"/>
        <w:numPr>
          <w:ilvl w:val="2"/>
          <w:numId w:val="11"/>
        </w:numPr>
        <w:spacing w:before="40" w:after="40" w:line="240" w:lineRule="auto"/>
      </w:pPr>
      <w:r>
        <w:t>Additional information regarding the OVM Lease Program is located on the OVM home page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The receipt and inspection of all new light duty and passenger vehicles</w:t>
      </w:r>
    </w:p>
    <w:p w:rsidR="004E2481" w:rsidRPr="009A377C" w:rsidRDefault="004E2481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Act as liaison with dealer to coordinate delivery of new vehicles to the OVM holding lot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Review and inspection of delivered</w:t>
      </w:r>
      <w:r w:rsidR="004E2481" w:rsidRPr="009A377C">
        <w:t xml:space="preserve"> vehicles</w:t>
      </w:r>
      <w:r w:rsidRPr="009A377C">
        <w:t xml:space="preserve"> to ensure that the vehicle specifications match the originally ordered vehicles</w:t>
      </w:r>
    </w:p>
    <w:p w:rsidR="002B78F7" w:rsidRPr="009A377C" w:rsidRDefault="002B78F7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Removal of all OEM stickers, inspection to ensure that there is no damage, and installation of all applicable decals to ensure compliance with the OVM policies and procedures</w:t>
      </w:r>
    </w:p>
    <w:p w:rsidR="004E2481" w:rsidRPr="009A377C" w:rsidRDefault="004E2481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Coordination of new vehicle pick-up with recipient agencies, including documentation of same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Registrations, titles and plates (including renewals and duplicates)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Audit and quality check all new, duplicate &amp; renewal registration paperwork from dealers and agencies to assure vehicle data matches</w:t>
      </w:r>
    </w:p>
    <w:p w:rsidR="009966C4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Process paperwork into registration</w:t>
      </w:r>
      <w:r w:rsidR="004E2481" w:rsidRPr="009A377C">
        <w:t>s</w:t>
      </w:r>
      <w:r w:rsidRPr="009A377C">
        <w:t>, including obtaining appropriate signatures, liaising with the Registry, obtaining and distributing plates, and maintaining accurate records of same</w:t>
      </w:r>
    </w:p>
    <w:p w:rsidR="002B78F7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Assist agency personnel with additional information and understanding regarding registration process and/or policies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Fuel card management (statewide contract for Fuel Card and Fuel Management Services)</w:t>
      </w:r>
    </w:p>
    <w:p w:rsidR="002B78F7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Order new and replacement fuel cards for all managed vehicles, including PINs</w:t>
      </w:r>
    </w:p>
    <w:p w:rsidR="0022712E" w:rsidRPr="009A377C" w:rsidRDefault="0022712E" w:rsidP="0022712E">
      <w:pPr>
        <w:pStyle w:val="ListParagraph"/>
        <w:numPr>
          <w:ilvl w:val="2"/>
          <w:numId w:val="11"/>
        </w:numPr>
        <w:spacing w:before="40" w:after="40" w:line="240" w:lineRule="auto"/>
      </w:pPr>
      <w:r>
        <w:t>The new card process is initiated by OVM when the vehicle is picked up by the agency from the OVM Westborough holding lot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Terminate fuel cards, as appropriate, to help prevent fraudulent charges</w:t>
      </w:r>
    </w:p>
    <w:p w:rsidR="009966C4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lastRenderedPageBreak/>
        <w:t>Review exception reporting for policy compliance</w:t>
      </w:r>
    </w:p>
    <w:p w:rsidR="002B78F7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 xml:space="preserve">Review, audit and </w:t>
      </w:r>
      <w:r w:rsidR="004E2481" w:rsidRPr="009A377C">
        <w:t>approve payment for OSD vehicle fuel purchases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Coordination of maintenance, repair (including tires) and accident subrogation services and provision of vehicle packets (statewide contracts for Maintenance Management, Tires &amp; Accident Subrogation Services)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Provision of preventive maintenance schedule upon delivery of new vehicle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Act as liaison between agency and vendor when repairs are required, including initial review of repair items for appropriateness</w:t>
      </w:r>
    </w:p>
    <w:p w:rsidR="002B78F7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Review, audit and approve payment for OSD leased vehicles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Driver accident reporting, monitoring, and follow-up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 xml:space="preserve">Review accident reports and classifications to determine if follow-up with agency </w:t>
      </w:r>
      <w:r w:rsidR="004E2481" w:rsidRPr="009A377C">
        <w:t xml:space="preserve">is </w:t>
      </w:r>
      <w:r w:rsidRPr="009A377C">
        <w:t>required for at-fault drivers</w:t>
      </w:r>
    </w:p>
    <w:p w:rsidR="0022712E" w:rsidRDefault="0022712E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>
        <w:t>Isolate and distribute quarterly at-fault driver reporting to track accidents and provide information to agencies so the appropriate corrective actions can be implemented to mitigate risk/liability</w:t>
      </w:r>
    </w:p>
    <w:p w:rsidR="009966C4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Oversee the accident management process with departments</w:t>
      </w:r>
      <w:r w:rsidR="00441EA4" w:rsidRPr="009A377C">
        <w:t>, including facilitating communications and documenting same</w:t>
      </w:r>
    </w:p>
    <w:p w:rsidR="002B78F7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Maintain all accident information within the fleet database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Fleet inventory and data system management</w:t>
      </w:r>
    </w:p>
    <w:p w:rsidR="002B78F7" w:rsidRDefault="002B78F7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Maintain accurate records of all state vehicles in one place, to assist with policy compliance, utilization and replacement scheduling</w:t>
      </w:r>
    </w:p>
    <w:p w:rsidR="0022712E" w:rsidRPr="009A377C" w:rsidRDefault="0022712E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>
        <w:t>Capture vehicle specification information; such as GVW, Drive Train, Primary and Secondary Fuel Type to facilitate more efficient reporting</w:t>
      </w:r>
    </w:p>
    <w:p w:rsidR="005C38E7" w:rsidRPr="009A377C" w:rsidRDefault="005C38E7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Assist MIS with website link testing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Vehicle redeployment or disposition management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 xml:space="preserve">Receive all excess or end-of-life vehicles at the OVM holding lot, conduct </w:t>
      </w:r>
      <w:r w:rsidR="0025509F" w:rsidRPr="009A377C">
        <w:t xml:space="preserve">a </w:t>
      </w:r>
      <w:r w:rsidRPr="009A377C">
        <w:t xml:space="preserve">thorough review of </w:t>
      </w:r>
      <w:r w:rsidR="0025509F" w:rsidRPr="009A377C">
        <w:t xml:space="preserve">their </w:t>
      </w:r>
      <w:r w:rsidRPr="009A377C">
        <w:t>condition</w:t>
      </w:r>
      <w:r w:rsidR="00441EA4" w:rsidRPr="009A377C">
        <w:t xml:space="preserve"> and</w:t>
      </w:r>
      <w:r w:rsidRPr="009A377C">
        <w:t xml:space="preserve"> determine remaining usefulness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Work with agencies to fulfill vehicle requests with excess vehicles located at the OVM holding lot</w:t>
      </w:r>
    </w:p>
    <w:p w:rsidR="002B78F7" w:rsidRPr="009A377C" w:rsidRDefault="002B78F7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Process vehicle auctions to dispose of vehicles that have reached end-of-life status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Assisting department fleet managers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Act as liaison between agencies</w:t>
      </w:r>
      <w:r w:rsidR="005C38E7" w:rsidRPr="009A377C">
        <w:t>, cities, towns</w:t>
      </w:r>
      <w:r w:rsidRPr="009A377C">
        <w:t xml:space="preserve"> and vendors, as appropriate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 xml:space="preserve">Identify appropriate recipient for all </w:t>
      </w:r>
      <w:r w:rsidR="005C38E7" w:rsidRPr="009A377C">
        <w:t xml:space="preserve">toll </w:t>
      </w:r>
      <w:r w:rsidRPr="009A377C">
        <w:t>violation</w:t>
      </w:r>
      <w:r w:rsidR="005C38E7" w:rsidRPr="009A377C">
        <w:t>s, parking tickets, excise tax bills</w:t>
      </w:r>
      <w:r w:rsidRPr="009A377C">
        <w:t xml:space="preserve"> and recall notices and forward for resolution</w:t>
      </w:r>
    </w:p>
    <w:p w:rsidR="005C38E7" w:rsidRPr="009A377C" w:rsidRDefault="005C38E7" w:rsidP="005C38E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Coordinate excise tax bill process with cities and towns, including the</w:t>
      </w:r>
      <w:r w:rsidR="002B78F7" w:rsidRPr="009A377C">
        <w:t xml:space="preserve"> abatement process</w:t>
      </w:r>
      <w:r w:rsidR="00585A75">
        <w:t>,</w:t>
      </w:r>
      <w:r w:rsidR="002B78F7" w:rsidRPr="009A377C">
        <w:t xml:space="preserve"> for </w:t>
      </w:r>
      <w:r w:rsidRPr="009A377C">
        <w:t>state</w:t>
      </w:r>
      <w:r w:rsidR="002B78F7" w:rsidRPr="009A377C">
        <w:t xml:space="preserve"> vehicles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Assist with</w:t>
      </w:r>
      <w:r w:rsidR="00A506FF">
        <w:t xml:space="preserve"> the</w:t>
      </w:r>
      <w:r w:rsidRPr="009A377C">
        <w:t xml:space="preserve"> lease</w:t>
      </w:r>
      <w:r w:rsidR="00A506FF">
        <w:t>d</w:t>
      </w:r>
      <w:r w:rsidRPr="009A377C">
        <w:t xml:space="preserve"> vehicle request, order and delivery process</w:t>
      </w:r>
    </w:p>
    <w:p w:rsidR="005C38E7" w:rsidRDefault="002B78F7" w:rsidP="005C38E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Education on various fleet policies, processes, services and requirements</w:t>
      </w:r>
    </w:p>
    <w:p w:rsidR="0022712E" w:rsidRPr="009A377C" w:rsidRDefault="0022712E" w:rsidP="005C38E7">
      <w:pPr>
        <w:pStyle w:val="ListParagraph"/>
        <w:numPr>
          <w:ilvl w:val="1"/>
          <w:numId w:val="11"/>
        </w:numPr>
        <w:spacing w:before="40" w:after="40" w:line="240" w:lineRule="auto"/>
      </w:pPr>
      <w:r>
        <w:t>Respond to public record requests related to state vehicles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Compliance and auditing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Conduct periodic vehicle reviews to ensure policy compliance and appropriate vehicle utilization and replacement scheduling</w:t>
      </w:r>
    </w:p>
    <w:p w:rsidR="00A62F85" w:rsidRPr="009A377C" w:rsidRDefault="00A62F85" w:rsidP="00A62F85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Determine flee</w:t>
      </w:r>
      <w:r w:rsidR="00585A75">
        <w:t>t needs of agencies reviewed;</w:t>
      </w:r>
      <w:r w:rsidRPr="009A377C">
        <w:t xml:space="preserve"> make recommendation in regard to fleet size and type</w:t>
      </w:r>
    </w:p>
    <w:p w:rsidR="002B78F7" w:rsidRPr="009A377C" w:rsidRDefault="00A62F85" w:rsidP="00A62F85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Accurately document audit findings and rectify any discrepancies related to agency vehicle inventories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Management of the 1-800-How Am I Driving program and other citizen complaints</w:t>
      </w:r>
    </w:p>
    <w:p w:rsidR="002B78F7" w:rsidRPr="009A377C" w:rsidRDefault="002B78F7" w:rsidP="002B78F7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Identify legitimate complaints from overall calls and forward to appropriate agency for resolution</w:t>
      </w:r>
    </w:p>
    <w:p w:rsidR="002B78F7" w:rsidRPr="009A377C" w:rsidRDefault="009966C4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Track and identify repeat offenders to departments for corrective action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Domicile approval process and IRS reporting services</w:t>
      </w:r>
    </w:p>
    <w:p w:rsidR="002B78F7" w:rsidRDefault="002B78F7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>Thorough review of all domicile requests to ensure appropriateness of domicile assignments</w:t>
      </w:r>
    </w:p>
    <w:p w:rsidR="00A506FF" w:rsidRPr="009A377C" w:rsidRDefault="00A506FF" w:rsidP="009966C4">
      <w:pPr>
        <w:pStyle w:val="ListParagraph"/>
        <w:numPr>
          <w:ilvl w:val="1"/>
          <w:numId w:val="11"/>
        </w:numPr>
        <w:spacing w:before="40" w:after="40" w:line="240" w:lineRule="auto"/>
      </w:pPr>
      <w:r>
        <w:t>Assist with process of calculating the personal use of state vehicles that must be reported to the IRS as fringe benefit income</w:t>
      </w:r>
    </w:p>
    <w:p w:rsidR="002B78F7" w:rsidRPr="009A377C" w:rsidRDefault="002B78F7" w:rsidP="002B78F7">
      <w:pPr>
        <w:pStyle w:val="ListParagraph"/>
        <w:numPr>
          <w:ilvl w:val="0"/>
          <w:numId w:val="11"/>
        </w:numPr>
        <w:spacing w:before="40" w:after="40" w:line="240" w:lineRule="auto"/>
      </w:pPr>
      <w:r w:rsidRPr="009A377C">
        <w:t>Management of federal reporting and alternative fuel mandates</w:t>
      </w:r>
    </w:p>
    <w:p w:rsidR="003B3BC6" w:rsidRPr="009A377C" w:rsidRDefault="009966C4" w:rsidP="004F2269">
      <w:pPr>
        <w:pStyle w:val="ListParagraph"/>
        <w:numPr>
          <w:ilvl w:val="1"/>
          <w:numId w:val="11"/>
        </w:numPr>
        <w:spacing w:before="40" w:after="40" w:line="240" w:lineRule="auto"/>
      </w:pPr>
      <w:r w:rsidRPr="009A377C">
        <w:t xml:space="preserve">Annual </w:t>
      </w:r>
      <w:proofErr w:type="spellStart"/>
      <w:r w:rsidRPr="009A377C">
        <w:t>EPAct</w:t>
      </w:r>
      <w:proofErr w:type="spellEnd"/>
      <w:r w:rsidRPr="009A377C">
        <w:t xml:space="preserve"> and EIA-886 reporting for DOE regarding Alternative Fueled Vehicles</w:t>
      </w:r>
    </w:p>
    <w:sectPr w:rsidR="003B3BC6" w:rsidRPr="009A377C" w:rsidSect="00986461">
      <w:footerReference w:type="default" r:id="rId9"/>
      <w:pgSz w:w="12240" w:h="15840" w:code="1"/>
      <w:pgMar w:top="1080" w:right="1080" w:bottom="864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14" w:rsidRDefault="00E61614" w:rsidP="00AB0360">
      <w:pPr>
        <w:spacing w:after="0" w:line="240" w:lineRule="auto"/>
      </w:pPr>
      <w:r>
        <w:separator/>
      </w:r>
    </w:p>
  </w:endnote>
  <w:endnote w:type="continuationSeparator" w:id="0">
    <w:p w:rsidR="00E61614" w:rsidRDefault="00E61614" w:rsidP="00AB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2E3192"/>
        <w:sz w:val="20"/>
      </w:rPr>
      <w:id w:val="1271051367"/>
      <w:docPartObj>
        <w:docPartGallery w:val="Page Numbers (Bottom of Page)"/>
        <w:docPartUnique/>
      </w:docPartObj>
    </w:sdtPr>
    <w:sdtEndPr/>
    <w:sdtContent>
      <w:p w:rsidR="00F86A44" w:rsidRDefault="00F86A44" w:rsidP="0030748A">
        <w:pPr>
          <w:pStyle w:val="Footer"/>
          <w:tabs>
            <w:tab w:val="clear" w:pos="9360"/>
            <w:tab w:val="right" w:pos="10080"/>
          </w:tabs>
          <w:rPr>
            <w:i/>
            <w:color w:val="2E3192"/>
            <w:sz w:val="20"/>
          </w:rPr>
        </w:pPr>
      </w:p>
      <w:p w:rsidR="00AB0360" w:rsidRPr="0030748A" w:rsidRDefault="0030748A" w:rsidP="0030748A">
        <w:pPr>
          <w:pStyle w:val="Footer"/>
          <w:tabs>
            <w:tab w:val="clear" w:pos="9360"/>
            <w:tab w:val="right" w:pos="10080"/>
          </w:tabs>
          <w:rPr>
            <w:noProof/>
            <w:color w:val="2E3192"/>
            <w:sz w:val="20"/>
          </w:rPr>
        </w:pPr>
        <w:r>
          <w:rPr>
            <w:color w:val="2E3192"/>
            <w:sz w:val="20"/>
          </w:rPr>
          <w:t xml:space="preserve">Last Updated </w:t>
        </w:r>
        <w:r w:rsidR="00AF486D">
          <w:rPr>
            <w:color w:val="2E3192"/>
            <w:sz w:val="20"/>
          </w:rPr>
          <w:t>10</w:t>
        </w:r>
        <w:r w:rsidR="008F1E9C">
          <w:rPr>
            <w:color w:val="2E3192"/>
            <w:sz w:val="20"/>
          </w:rPr>
          <w:t>-2016</w:t>
        </w:r>
        <w:r>
          <w:rPr>
            <w:color w:val="2E3192"/>
            <w:sz w:val="20"/>
          </w:rPr>
          <w:tab/>
        </w:r>
        <w:r>
          <w:rPr>
            <w:color w:val="2E3192"/>
            <w:sz w:val="20"/>
          </w:rPr>
          <w:tab/>
        </w:r>
        <w:r>
          <w:rPr>
            <w:color w:val="2E3192"/>
            <w:sz w:val="20"/>
          </w:rPr>
          <w:fldChar w:fldCharType="begin"/>
        </w:r>
        <w:r>
          <w:rPr>
            <w:color w:val="2E3192"/>
            <w:sz w:val="20"/>
          </w:rPr>
          <w:instrText xml:space="preserve"> PAGE   \* MERGEFORMAT </w:instrText>
        </w:r>
        <w:r>
          <w:rPr>
            <w:color w:val="2E3192"/>
            <w:sz w:val="20"/>
          </w:rPr>
          <w:fldChar w:fldCharType="separate"/>
        </w:r>
        <w:r w:rsidR="000057BA">
          <w:rPr>
            <w:noProof/>
            <w:color w:val="2E3192"/>
            <w:sz w:val="20"/>
          </w:rPr>
          <w:t>1</w:t>
        </w:r>
        <w:r>
          <w:rPr>
            <w:noProof/>
            <w:color w:val="2E3192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14" w:rsidRDefault="00E61614" w:rsidP="00AB0360">
      <w:pPr>
        <w:spacing w:after="0" w:line="240" w:lineRule="auto"/>
      </w:pPr>
      <w:r>
        <w:separator/>
      </w:r>
    </w:p>
  </w:footnote>
  <w:footnote w:type="continuationSeparator" w:id="0">
    <w:p w:rsidR="00E61614" w:rsidRDefault="00E61614" w:rsidP="00AB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FFB"/>
    <w:multiLevelType w:val="hybridMultilevel"/>
    <w:tmpl w:val="595C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CA1"/>
    <w:multiLevelType w:val="hybridMultilevel"/>
    <w:tmpl w:val="5540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0A90"/>
    <w:multiLevelType w:val="hybridMultilevel"/>
    <w:tmpl w:val="DC9AA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A16096"/>
    <w:multiLevelType w:val="hybridMultilevel"/>
    <w:tmpl w:val="69F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4620C"/>
    <w:multiLevelType w:val="hybridMultilevel"/>
    <w:tmpl w:val="79D8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F1AF5"/>
    <w:multiLevelType w:val="hybridMultilevel"/>
    <w:tmpl w:val="7C5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54D31"/>
    <w:multiLevelType w:val="hybridMultilevel"/>
    <w:tmpl w:val="31B40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EA4885"/>
    <w:multiLevelType w:val="hybridMultilevel"/>
    <w:tmpl w:val="BB04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D4594"/>
    <w:multiLevelType w:val="hybridMultilevel"/>
    <w:tmpl w:val="13424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0"/>
  </w:num>
  <w:num w:numId="11">
    <w:abstractNumId w:val="8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11"/>
    <w:rsid w:val="000057BA"/>
    <w:rsid w:val="0016023C"/>
    <w:rsid w:val="00190FA7"/>
    <w:rsid w:val="00194EAC"/>
    <w:rsid w:val="001A7718"/>
    <w:rsid w:val="0022712E"/>
    <w:rsid w:val="0025509F"/>
    <w:rsid w:val="002B78F7"/>
    <w:rsid w:val="002B7F9D"/>
    <w:rsid w:val="0030748A"/>
    <w:rsid w:val="003116A7"/>
    <w:rsid w:val="003A7F93"/>
    <w:rsid w:val="003B3BC6"/>
    <w:rsid w:val="00441EA4"/>
    <w:rsid w:val="00475B0C"/>
    <w:rsid w:val="004C1EDC"/>
    <w:rsid w:val="004D68F0"/>
    <w:rsid w:val="004E2481"/>
    <w:rsid w:val="004F2269"/>
    <w:rsid w:val="00585A75"/>
    <w:rsid w:val="005C38E7"/>
    <w:rsid w:val="00652CAF"/>
    <w:rsid w:val="007E57B0"/>
    <w:rsid w:val="008A07C5"/>
    <w:rsid w:val="008E0F36"/>
    <w:rsid w:val="008F1E9C"/>
    <w:rsid w:val="00986461"/>
    <w:rsid w:val="009966C4"/>
    <w:rsid w:val="009A377C"/>
    <w:rsid w:val="00A506FF"/>
    <w:rsid w:val="00A62F85"/>
    <w:rsid w:val="00AB0360"/>
    <w:rsid w:val="00AE254F"/>
    <w:rsid w:val="00AF486D"/>
    <w:rsid w:val="00B22111"/>
    <w:rsid w:val="00BB7EB2"/>
    <w:rsid w:val="00BC5BF4"/>
    <w:rsid w:val="00C2314A"/>
    <w:rsid w:val="00C32EB6"/>
    <w:rsid w:val="00C4493A"/>
    <w:rsid w:val="00D514CE"/>
    <w:rsid w:val="00E61614"/>
    <w:rsid w:val="00F31E32"/>
    <w:rsid w:val="00F86087"/>
    <w:rsid w:val="00F86A44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60"/>
  </w:style>
  <w:style w:type="paragraph" w:styleId="Footer">
    <w:name w:val="footer"/>
    <w:basedOn w:val="Normal"/>
    <w:link w:val="Foot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60"/>
  </w:style>
  <w:style w:type="paragraph" w:styleId="NoSpacing">
    <w:name w:val="No Spacing"/>
    <w:uiPriority w:val="1"/>
    <w:qFormat/>
    <w:rsid w:val="00F86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60"/>
  </w:style>
  <w:style w:type="paragraph" w:styleId="Footer">
    <w:name w:val="footer"/>
    <w:basedOn w:val="Normal"/>
    <w:link w:val="Foot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60"/>
  </w:style>
  <w:style w:type="paragraph" w:styleId="NoSpacing">
    <w:name w:val="No Spacing"/>
    <w:uiPriority w:val="1"/>
    <w:qFormat/>
    <w:rsid w:val="00F8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5741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2017-01-06T14:17:00Z</dcterms:created>
  <dc:creator>Wynn, Patricia (OSD)</dc:creator>
  <lastModifiedBy>ANF</lastModifiedBy>
  <dcterms:modified xsi:type="dcterms:W3CDTF">2017-01-06T14:17:00Z</dcterms:modified>
  <revision>2</revision>
</coreProperties>
</file>