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60" w:rsidRPr="008B0860" w:rsidRDefault="008B0860" w:rsidP="00E4358D">
      <w:pPr>
        <w:spacing w:after="0" w:line="240" w:lineRule="auto"/>
        <w:jc w:val="center"/>
        <w:rPr>
          <w:rFonts w:ascii="Arial" w:hAnsi="Arial" w:cs="Arial"/>
          <w:b/>
          <w:i/>
          <w:sz w:val="24"/>
          <w:szCs w:val="24"/>
        </w:rPr>
      </w:pPr>
      <w:bookmarkStart w:id="0" w:name="_GoBack"/>
      <w:bookmarkEnd w:id="0"/>
      <w:r w:rsidRPr="008B0860">
        <w:rPr>
          <w:rFonts w:ascii="Arial" w:hAnsi="Arial" w:cs="Arial"/>
          <w:b/>
          <w:i/>
          <w:sz w:val="24"/>
          <w:szCs w:val="24"/>
        </w:rPr>
        <w:t xml:space="preserve">Drug </w:t>
      </w:r>
      <w:r w:rsidR="00B61C69">
        <w:rPr>
          <w:rFonts w:ascii="Arial" w:hAnsi="Arial" w:cs="Arial"/>
          <w:b/>
          <w:i/>
          <w:sz w:val="24"/>
          <w:szCs w:val="24"/>
        </w:rPr>
        <w:t>Monograph</w:t>
      </w:r>
    </w:p>
    <w:p w:rsidR="008B0860" w:rsidRPr="008B0860" w:rsidRDefault="008B0860" w:rsidP="008B0860">
      <w:pPr>
        <w:spacing w:after="0" w:line="240" w:lineRule="auto"/>
        <w:rPr>
          <w:rFonts w:ascii="Arial" w:hAnsi="Arial" w:cs="Arial"/>
          <w:b/>
          <w:sz w:val="20"/>
          <w:szCs w:val="20"/>
          <w:u w:val="single"/>
        </w:rPr>
      </w:pPr>
    </w:p>
    <w:p w:rsidR="008B0860" w:rsidRPr="00154AD8" w:rsidRDefault="008B0860" w:rsidP="008B0860">
      <w:pPr>
        <w:spacing w:after="0" w:line="240" w:lineRule="auto"/>
        <w:rPr>
          <w:rFonts w:ascii="Arial" w:hAnsi="Arial" w:cs="Arial"/>
          <w:color w:val="000000"/>
          <w:sz w:val="20"/>
          <w:szCs w:val="20"/>
        </w:rPr>
      </w:pPr>
      <w:r w:rsidRPr="008B0860">
        <w:rPr>
          <w:rFonts w:ascii="Arial" w:hAnsi="Arial" w:cs="Arial"/>
          <w:b/>
          <w:sz w:val="20"/>
          <w:szCs w:val="20"/>
        </w:rPr>
        <w:t>Generic Name</w:t>
      </w:r>
      <w:r w:rsidRPr="008B0860">
        <w:rPr>
          <w:rFonts w:ascii="Arial" w:hAnsi="Arial" w:cs="Arial"/>
          <w:sz w:val="20"/>
          <w:szCs w:val="20"/>
        </w:rPr>
        <w:t xml:space="preserve">: </w:t>
      </w:r>
      <w:r w:rsidR="00B654D6">
        <w:rPr>
          <w:rFonts w:ascii="Arial" w:hAnsi="Arial" w:cs="Arial"/>
          <w:color w:val="000000"/>
          <w:sz w:val="20"/>
          <w:szCs w:val="20"/>
        </w:rPr>
        <w:t>oxycodone hydrochloride</w:t>
      </w:r>
    </w:p>
    <w:p w:rsidR="008B0860" w:rsidRPr="008B0860" w:rsidRDefault="008B0860" w:rsidP="008B0860">
      <w:pPr>
        <w:spacing w:after="0" w:line="240" w:lineRule="auto"/>
        <w:rPr>
          <w:rFonts w:ascii="Arial" w:hAnsi="Arial" w:cs="Arial"/>
          <w:b/>
          <w:color w:val="000000"/>
          <w:sz w:val="20"/>
          <w:szCs w:val="20"/>
          <w:vertAlign w:val="superscript"/>
        </w:rPr>
      </w:pPr>
      <w:r w:rsidRPr="008B0860">
        <w:rPr>
          <w:rFonts w:ascii="Arial" w:hAnsi="Arial" w:cs="Arial"/>
          <w:b/>
          <w:color w:val="000000"/>
          <w:sz w:val="20"/>
          <w:szCs w:val="20"/>
        </w:rPr>
        <w:t xml:space="preserve">Trade Name: </w:t>
      </w:r>
      <w:proofErr w:type="spellStart"/>
      <w:r w:rsidR="00B654D6">
        <w:rPr>
          <w:rFonts w:ascii="Arial" w:hAnsi="Arial" w:cs="Arial"/>
          <w:color w:val="000000"/>
          <w:sz w:val="20"/>
          <w:szCs w:val="20"/>
        </w:rPr>
        <w:t>Oxaydo</w:t>
      </w:r>
      <w:proofErr w:type="spellEnd"/>
      <w:r w:rsidR="00A25221" w:rsidRPr="00154AD8">
        <w:rPr>
          <w:rFonts w:ascii="Arial" w:hAnsi="Arial" w:cs="Arial"/>
          <w:color w:val="000000"/>
          <w:sz w:val="20"/>
          <w:szCs w:val="20"/>
          <w:vertAlign w:val="superscript"/>
        </w:rPr>
        <w:t>®</w:t>
      </w:r>
      <w:r w:rsidR="00B654D6">
        <w:rPr>
          <w:rFonts w:ascii="Arial" w:hAnsi="Arial" w:cs="Arial"/>
          <w:color w:val="000000"/>
          <w:sz w:val="20"/>
          <w:szCs w:val="20"/>
        </w:rPr>
        <w:t xml:space="preserve"> </w:t>
      </w:r>
    </w:p>
    <w:p w:rsidR="008B0860" w:rsidRPr="008B0860" w:rsidRDefault="008B0860" w:rsidP="008B0860">
      <w:pPr>
        <w:spacing w:after="0" w:line="240" w:lineRule="auto"/>
        <w:rPr>
          <w:rFonts w:ascii="Arial" w:hAnsi="Arial" w:cs="Arial"/>
          <w:b/>
          <w:bCs/>
          <w:color w:val="FF0000"/>
          <w:sz w:val="20"/>
          <w:szCs w:val="20"/>
        </w:rPr>
      </w:pPr>
      <w:r w:rsidRPr="008B0860">
        <w:rPr>
          <w:rFonts w:ascii="Arial" w:hAnsi="Arial" w:cs="Arial"/>
          <w:b/>
          <w:bCs/>
          <w:sz w:val="20"/>
          <w:szCs w:val="20"/>
        </w:rPr>
        <w:t>Dosage Form</w:t>
      </w:r>
      <w:r w:rsidRPr="008B0860">
        <w:rPr>
          <w:rFonts w:ascii="Arial" w:hAnsi="Arial" w:cs="Arial"/>
          <w:bCs/>
          <w:sz w:val="20"/>
          <w:szCs w:val="20"/>
        </w:rPr>
        <w:t>:</w:t>
      </w:r>
      <w:r w:rsidRPr="008B0860">
        <w:rPr>
          <w:rFonts w:ascii="Arial" w:hAnsi="Arial" w:cs="Arial"/>
          <w:b/>
          <w:bCs/>
          <w:color w:val="FF0000"/>
          <w:sz w:val="20"/>
          <w:szCs w:val="20"/>
        </w:rPr>
        <w:t xml:space="preserve"> </w:t>
      </w:r>
      <w:r w:rsidR="00FB23A8">
        <w:rPr>
          <w:rFonts w:ascii="Arial" w:hAnsi="Arial" w:cs="Arial"/>
          <w:bCs/>
          <w:color w:val="000000"/>
          <w:sz w:val="20"/>
          <w:szCs w:val="20"/>
        </w:rPr>
        <w:t>5</w:t>
      </w:r>
      <w:r w:rsidRPr="00154AD8">
        <w:rPr>
          <w:rFonts w:ascii="Arial" w:hAnsi="Arial" w:cs="Arial"/>
          <w:bCs/>
          <w:color w:val="000000"/>
          <w:sz w:val="20"/>
          <w:szCs w:val="20"/>
        </w:rPr>
        <w:t xml:space="preserve"> mg, </w:t>
      </w:r>
      <w:r w:rsidR="00B654D6">
        <w:rPr>
          <w:rFonts w:ascii="Arial" w:hAnsi="Arial" w:cs="Arial"/>
          <w:bCs/>
          <w:color w:val="000000"/>
          <w:sz w:val="20"/>
          <w:szCs w:val="20"/>
        </w:rPr>
        <w:t>7.5 mg</w:t>
      </w:r>
      <w:r w:rsidRPr="00154AD8">
        <w:rPr>
          <w:rFonts w:ascii="Arial" w:hAnsi="Arial" w:cs="Arial"/>
          <w:bCs/>
          <w:color w:val="000000"/>
          <w:sz w:val="20"/>
          <w:szCs w:val="20"/>
        </w:rPr>
        <w:t xml:space="preserve"> Tablets</w:t>
      </w:r>
    </w:p>
    <w:p w:rsidR="00B654D6" w:rsidRDefault="008B0860" w:rsidP="008B0860">
      <w:pPr>
        <w:spacing w:after="0" w:line="240" w:lineRule="auto"/>
        <w:rPr>
          <w:rFonts w:ascii="Arial" w:hAnsi="Arial" w:cs="Arial"/>
          <w:bCs/>
          <w:color w:val="000000"/>
          <w:sz w:val="20"/>
          <w:szCs w:val="20"/>
        </w:rPr>
      </w:pPr>
      <w:r w:rsidRPr="008B0860">
        <w:rPr>
          <w:rFonts w:ascii="Arial" w:hAnsi="Arial" w:cs="Arial"/>
          <w:b/>
          <w:bCs/>
          <w:color w:val="000000"/>
          <w:sz w:val="20"/>
          <w:szCs w:val="20"/>
        </w:rPr>
        <w:t xml:space="preserve">National Drug Codes (NDC#) </w:t>
      </w:r>
      <w:r w:rsidR="00FB23A8">
        <w:rPr>
          <w:rFonts w:ascii="Arial" w:hAnsi="Arial" w:cs="Arial"/>
          <w:bCs/>
          <w:color w:val="000000"/>
          <w:sz w:val="20"/>
          <w:szCs w:val="20"/>
        </w:rPr>
        <w:t>5 mg</w:t>
      </w:r>
      <w:r w:rsidR="0056760F">
        <w:rPr>
          <w:rFonts w:ascii="Arial" w:hAnsi="Arial" w:cs="Arial"/>
          <w:bCs/>
          <w:color w:val="000000"/>
          <w:sz w:val="20"/>
          <w:szCs w:val="20"/>
        </w:rPr>
        <w:t xml:space="preserve"> </w:t>
      </w:r>
      <w:r w:rsidR="00B654D6" w:rsidRPr="00B654D6">
        <w:rPr>
          <w:rFonts w:ascii="Arial" w:hAnsi="Arial" w:cs="Arial"/>
          <w:sz w:val="20"/>
          <w:szCs w:val="20"/>
        </w:rPr>
        <w:t>69344-113-11</w:t>
      </w:r>
      <w:r w:rsidR="00FB23A8" w:rsidRPr="00FB23A8">
        <w:rPr>
          <w:rFonts w:ascii="Arial" w:hAnsi="Arial" w:cs="Arial"/>
          <w:bCs/>
          <w:color w:val="000000"/>
          <w:sz w:val="20"/>
          <w:szCs w:val="20"/>
        </w:rPr>
        <w:t>, 7.5 mg</w:t>
      </w:r>
      <w:r w:rsidR="0056760F">
        <w:rPr>
          <w:rFonts w:ascii="Arial" w:hAnsi="Arial" w:cs="Arial"/>
          <w:bCs/>
          <w:color w:val="000000"/>
          <w:sz w:val="20"/>
          <w:szCs w:val="20"/>
        </w:rPr>
        <w:t xml:space="preserve"> </w:t>
      </w:r>
      <w:r w:rsidR="00B654D6" w:rsidRPr="00B654D6">
        <w:rPr>
          <w:rFonts w:ascii="Arial" w:hAnsi="Arial" w:cs="Arial"/>
          <w:sz w:val="20"/>
          <w:szCs w:val="20"/>
        </w:rPr>
        <w:t>69344-213-11</w:t>
      </w:r>
      <w:r w:rsidR="00FB23A8" w:rsidRPr="00FB23A8">
        <w:rPr>
          <w:rFonts w:ascii="Arial" w:hAnsi="Arial" w:cs="Arial"/>
          <w:bCs/>
          <w:color w:val="000000"/>
          <w:sz w:val="20"/>
          <w:szCs w:val="20"/>
        </w:rPr>
        <w:t xml:space="preserve"> </w:t>
      </w:r>
    </w:p>
    <w:p w:rsidR="008B0860" w:rsidRPr="00154AD8" w:rsidRDefault="008B0860" w:rsidP="008B0860">
      <w:pPr>
        <w:spacing w:after="0" w:line="240" w:lineRule="auto"/>
        <w:rPr>
          <w:rFonts w:ascii="Arial" w:hAnsi="Arial" w:cs="Arial"/>
          <w:sz w:val="20"/>
          <w:szCs w:val="20"/>
        </w:rPr>
      </w:pPr>
      <w:r w:rsidRPr="008B0860">
        <w:rPr>
          <w:rFonts w:ascii="Arial" w:hAnsi="Arial" w:cs="Arial"/>
          <w:b/>
          <w:sz w:val="20"/>
          <w:szCs w:val="20"/>
        </w:rPr>
        <w:t>Manufacturer</w:t>
      </w:r>
      <w:r w:rsidRPr="008B0860">
        <w:rPr>
          <w:rFonts w:ascii="Arial" w:hAnsi="Arial" w:cs="Arial"/>
          <w:sz w:val="20"/>
          <w:szCs w:val="20"/>
        </w:rPr>
        <w:t xml:space="preserve">: </w:t>
      </w:r>
      <w:proofErr w:type="spellStart"/>
      <w:r w:rsidR="00B654D6">
        <w:rPr>
          <w:rFonts w:ascii="Arial" w:hAnsi="Arial" w:cs="Arial"/>
          <w:sz w:val="20"/>
          <w:szCs w:val="20"/>
        </w:rPr>
        <w:t>Egalet</w:t>
      </w:r>
      <w:proofErr w:type="spellEnd"/>
      <w:r w:rsidR="000E4958">
        <w:rPr>
          <w:rFonts w:ascii="Arial" w:hAnsi="Arial" w:cs="Arial"/>
          <w:sz w:val="20"/>
          <w:szCs w:val="20"/>
        </w:rPr>
        <w:t xml:space="preserve"> </w:t>
      </w:r>
      <w:r w:rsidR="00B654D6">
        <w:rPr>
          <w:rFonts w:ascii="Arial" w:hAnsi="Arial" w:cs="Arial"/>
          <w:sz w:val="20"/>
          <w:szCs w:val="20"/>
        </w:rPr>
        <w:t>US Inc.</w:t>
      </w:r>
    </w:p>
    <w:p w:rsidR="008B0860" w:rsidRPr="006C507D" w:rsidRDefault="008B0860" w:rsidP="006C507D">
      <w:pPr>
        <w:widowControl w:val="0"/>
        <w:autoSpaceDE w:val="0"/>
        <w:autoSpaceDN w:val="0"/>
        <w:adjustRightInd w:val="0"/>
        <w:spacing w:after="0" w:line="240" w:lineRule="auto"/>
        <w:rPr>
          <w:rFonts w:ascii="Arial" w:eastAsia="Times New Roman" w:hAnsi="Arial" w:cs="Arial"/>
          <w:iCs/>
          <w:sz w:val="20"/>
          <w:szCs w:val="20"/>
        </w:rPr>
      </w:pPr>
      <w:r w:rsidRPr="006C507D">
        <w:rPr>
          <w:rFonts w:ascii="Arial" w:eastAsia="Times New Roman" w:hAnsi="Arial" w:cs="Arial"/>
          <w:b/>
          <w:iCs/>
          <w:sz w:val="20"/>
          <w:szCs w:val="20"/>
        </w:rPr>
        <w:t xml:space="preserve">ADF Product </w:t>
      </w:r>
      <w:r w:rsidR="0074106F" w:rsidRPr="006C507D">
        <w:rPr>
          <w:rFonts w:ascii="Arial" w:eastAsia="Times New Roman" w:hAnsi="Arial" w:cs="Arial"/>
          <w:b/>
          <w:iCs/>
          <w:sz w:val="20"/>
          <w:szCs w:val="20"/>
        </w:rPr>
        <w:t>Classification</w:t>
      </w:r>
      <w:r w:rsidR="0074106F" w:rsidRPr="0074106F">
        <w:rPr>
          <w:rFonts w:ascii="Arial" w:eastAsia="Times New Roman" w:hAnsi="Arial" w:cs="Arial"/>
          <w:b/>
          <w:iCs/>
          <w:sz w:val="20"/>
          <w:szCs w:val="20"/>
        </w:rPr>
        <w:t>:</w:t>
      </w:r>
      <w:r w:rsidR="006C507D">
        <w:rPr>
          <w:rFonts w:ascii="Arial" w:eastAsia="Times New Roman" w:hAnsi="Arial" w:cs="Arial"/>
          <w:iCs/>
          <w:sz w:val="20"/>
          <w:szCs w:val="20"/>
        </w:rPr>
        <w:t xml:space="preserve"> </w:t>
      </w:r>
      <w:r w:rsidR="005F53E8">
        <w:rPr>
          <w:rFonts w:ascii="Arial" w:eastAsia="Times New Roman" w:hAnsi="Arial" w:cs="Arial"/>
          <w:iCs/>
          <w:sz w:val="20"/>
          <w:szCs w:val="20"/>
        </w:rPr>
        <w:t>Aversion</w:t>
      </w:r>
      <w:r w:rsidR="00BC1474">
        <w:rPr>
          <w:rFonts w:ascii="Arial" w:eastAsia="Times New Roman" w:hAnsi="Arial" w:cs="Arial"/>
          <w:iCs/>
          <w:sz w:val="20"/>
          <w:szCs w:val="20"/>
        </w:rPr>
        <w:t xml:space="preserve">  </w:t>
      </w:r>
    </w:p>
    <w:p w:rsidR="008B0860" w:rsidRPr="006C507D" w:rsidRDefault="008B0860" w:rsidP="006C507D">
      <w:pPr>
        <w:widowControl w:val="0"/>
        <w:autoSpaceDE w:val="0"/>
        <w:autoSpaceDN w:val="0"/>
        <w:adjustRightInd w:val="0"/>
        <w:spacing w:after="0" w:line="240" w:lineRule="auto"/>
        <w:ind w:left="270"/>
        <w:rPr>
          <w:rFonts w:ascii="Arial" w:eastAsia="MS Gothic" w:hAnsi="Arial" w:cs="Arial"/>
          <w:color w:val="000000"/>
          <w:sz w:val="20"/>
          <w:szCs w:val="20"/>
        </w:rPr>
      </w:pPr>
    </w:p>
    <w:p w:rsidR="008B0860" w:rsidRDefault="008B0860" w:rsidP="00466D74">
      <w:pPr>
        <w:spacing w:after="0"/>
        <w:rPr>
          <w:rFonts w:ascii="Arial" w:hAnsi="Arial" w:cs="Arial"/>
          <w:b/>
          <w:iCs/>
          <w:sz w:val="20"/>
          <w:szCs w:val="20"/>
          <w:u w:val="single"/>
        </w:rPr>
      </w:pPr>
      <w:r w:rsidRPr="008B0860">
        <w:rPr>
          <w:rFonts w:ascii="Arial" w:hAnsi="Arial" w:cs="Arial"/>
          <w:b/>
          <w:iCs/>
          <w:sz w:val="20"/>
          <w:szCs w:val="20"/>
          <w:u w:val="single"/>
        </w:rPr>
        <w:t>Executive Summary</w:t>
      </w:r>
    </w:p>
    <w:p w:rsidR="002439F4" w:rsidRPr="002439F4" w:rsidRDefault="00F70F47" w:rsidP="002439F4">
      <w:pPr>
        <w:spacing w:after="0" w:line="240" w:lineRule="auto"/>
        <w:rPr>
          <w:rFonts w:ascii="Arial" w:hAnsi="Arial" w:cs="Arial"/>
          <w:sz w:val="20"/>
          <w:szCs w:val="20"/>
        </w:rPr>
      </w:pPr>
      <w:proofErr w:type="spellStart"/>
      <w:r>
        <w:rPr>
          <w:rFonts w:ascii="Arial" w:hAnsi="Arial" w:cs="Arial"/>
          <w:sz w:val="20"/>
          <w:szCs w:val="20"/>
        </w:rPr>
        <w:t>Oxaydo</w:t>
      </w:r>
      <w:proofErr w:type="spellEnd"/>
      <w:r w:rsidR="002439F4" w:rsidRPr="002439F4">
        <w:rPr>
          <w:rFonts w:ascii="Arial" w:hAnsi="Arial" w:cs="Arial"/>
          <w:sz w:val="20"/>
          <w:szCs w:val="20"/>
          <w:vertAlign w:val="superscript"/>
        </w:rPr>
        <w:t>®</w:t>
      </w:r>
      <w:r w:rsidR="002439F4" w:rsidRPr="002439F4">
        <w:rPr>
          <w:rFonts w:ascii="Arial" w:hAnsi="Arial" w:cs="Arial"/>
          <w:sz w:val="20"/>
          <w:szCs w:val="20"/>
        </w:rPr>
        <w:t xml:space="preserve"> (oxycodone hydrochloride [</w:t>
      </w:r>
      <w:proofErr w:type="spellStart"/>
      <w:r w:rsidR="002439F4" w:rsidRPr="002439F4">
        <w:rPr>
          <w:rFonts w:ascii="Arial" w:hAnsi="Arial" w:cs="Arial"/>
          <w:sz w:val="20"/>
          <w:szCs w:val="20"/>
        </w:rPr>
        <w:t>HCl</w:t>
      </w:r>
      <w:proofErr w:type="spellEnd"/>
      <w:r w:rsidR="002439F4" w:rsidRPr="002439F4">
        <w:rPr>
          <w:rFonts w:ascii="Arial" w:hAnsi="Arial" w:cs="Arial"/>
          <w:sz w:val="20"/>
          <w:szCs w:val="20"/>
        </w:rPr>
        <w:t>])</w:t>
      </w:r>
      <w:r>
        <w:rPr>
          <w:rFonts w:ascii="Arial" w:hAnsi="Arial" w:cs="Arial"/>
          <w:sz w:val="20"/>
          <w:szCs w:val="20"/>
        </w:rPr>
        <w:t>, previously known as Oxecta</w:t>
      </w:r>
      <w:r>
        <w:rPr>
          <w:rFonts w:cs="Arial"/>
          <w:sz w:val="20"/>
          <w:szCs w:val="20"/>
        </w:rPr>
        <w:t>®</w:t>
      </w:r>
      <w:r>
        <w:rPr>
          <w:rFonts w:ascii="Arial" w:hAnsi="Arial" w:cs="Arial"/>
          <w:sz w:val="20"/>
          <w:szCs w:val="20"/>
        </w:rPr>
        <w:t>,</w:t>
      </w:r>
      <w:r w:rsidR="002439F4" w:rsidRPr="002439F4">
        <w:rPr>
          <w:rFonts w:ascii="Arial" w:hAnsi="Arial" w:cs="Arial"/>
          <w:sz w:val="20"/>
          <w:szCs w:val="20"/>
        </w:rPr>
        <w:t xml:space="preserve"> </w:t>
      </w:r>
      <w:r w:rsidR="005964E8">
        <w:rPr>
          <w:rFonts w:ascii="Arial" w:hAnsi="Arial" w:cs="Arial"/>
          <w:sz w:val="20"/>
          <w:szCs w:val="20"/>
        </w:rPr>
        <w:t xml:space="preserve">is being evaluated by the </w:t>
      </w:r>
      <w:r w:rsidR="005964E8">
        <w:rPr>
          <w:rFonts w:ascii="Arial" w:eastAsia="Times New Roman" w:hAnsi="Arial" w:cs="Arial"/>
          <w:sz w:val="20"/>
          <w:szCs w:val="20"/>
        </w:rPr>
        <w:t>Drug Formulary Commission for consideration of inclusion on the Massachusetts formulary of therapeutically equivalent substitutions, as outlined in Chapter 258 of the Acts of 2014. This agent is an immediate-release (IR) formulation of oxycodone</w:t>
      </w:r>
      <w:r w:rsidR="002439F4" w:rsidRPr="002439F4">
        <w:rPr>
          <w:rFonts w:ascii="Arial" w:hAnsi="Arial" w:cs="Arial"/>
          <w:sz w:val="20"/>
          <w:szCs w:val="20"/>
        </w:rPr>
        <w:t xml:space="preserve"> </w:t>
      </w:r>
      <w:r w:rsidR="006F018C">
        <w:rPr>
          <w:rFonts w:ascii="Arial" w:hAnsi="Arial" w:cs="Arial"/>
          <w:sz w:val="20"/>
          <w:szCs w:val="20"/>
        </w:rPr>
        <w:t xml:space="preserve">HCl </w:t>
      </w:r>
      <w:r w:rsidR="005964E8">
        <w:rPr>
          <w:rFonts w:ascii="Arial" w:hAnsi="Arial" w:cs="Arial"/>
          <w:sz w:val="20"/>
          <w:szCs w:val="20"/>
        </w:rPr>
        <w:t>that was</w:t>
      </w:r>
      <w:r w:rsidR="00286ACE">
        <w:rPr>
          <w:rFonts w:ascii="Arial" w:hAnsi="Arial" w:cs="Arial"/>
          <w:sz w:val="20"/>
          <w:szCs w:val="20"/>
        </w:rPr>
        <w:t xml:space="preserve"> </w:t>
      </w:r>
      <w:r w:rsidR="005964E8">
        <w:rPr>
          <w:rFonts w:ascii="Arial" w:hAnsi="Arial" w:cs="Arial"/>
          <w:sz w:val="20"/>
          <w:szCs w:val="20"/>
        </w:rPr>
        <w:t xml:space="preserve">originally </w:t>
      </w:r>
      <w:r w:rsidR="002439F4" w:rsidRPr="002439F4">
        <w:rPr>
          <w:rFonts w:ascii="Arial" w:hAnsi="Arial" w:cs="Arial"/>
          <w:sz w:val="20"/>
          <w:szCs w:val="20"/>
        </w:rPr>
        <w:t xml:space="preserve">Food and Drug Administration (FDA)-approved </w:t>
      </w:r>
      <w:r w:rsidR="003D68C3">
        <w:rPr>
          <w:rFonts w:ascii="Arial" w:hAnsi="Arial" w:cs="Arial"/>
          <w:sz w:val="20"/>
          <w:szCs w:val="20"/>
        </w:rPr>
        <w:t xml:space="preserve">in 2011 </w:t>
      </w:r>
      <w:r w:rsidR="002439F4" w:rsidRPr="002439F4">
        <w:rPr>
          <w:rFonts w:ascii="Arial" w:hAnsi="Arial" w:cs="Arial"/>
          <w:sz w:val="20"/>
          <w:szCs w:val="20"/>
        </w:rPr>
        <w:t xml:space="preserve">for the management of acute and chronic moderate to severe pain where the use of an opioid analgesic is appropriate. </w:t>
      </w:r>
      <w:r w:rsidR="00D72524" w:rsidRPr="00D72524">
        <w:rPr>
          <w:rFonts w:ascii="Arial" w:hAnsi="Arial" w:cs="Arial"/>
          <w:sz w:val="20"/>
          <w:szCs w:val="20"/>
          <w:highlight w:val="yellow"/>
        </w:rPr>
        <w:t xml:space="preserve">The recommended initial dose of </w:t>
      </w:r>
      <w:proofErr w:type="spellStart"/>
      <w:r w:rsidR="00D72524" w:rsidRPr="00D72524">
        <w:rPr>
          <w:rFonts w:ascii="Arial" w:hAnsi="Arial" w:cs="Arial"/>
          <w:sz w:val="20"/>
          <w:szCs w:val="20"/>
          <w:highlight w:val="yellow"/>
        </w:rPr>
        <w:t>Oxaydo</w:t>
      </w:r>
      <w:proofErr w:type="spellEnd"/>
      <w:r w:rsidR="00D72524" w:rsidRPr="00D72524">
        <w:rPr>
          <w:rFonts w:ascii="Arial" w:hAnsi="Arial" w:cs="Arial"/>
          <w:sz w:val="20"/>
          <w:szCs w:val="20"/>
          <w:highlight w:val="yellow"/>
          <w:vertAlign w:val="superscript"/>
        </w:rPr>
        <w:t>®</w:t>
      </w:r>
      <w:r w:rsidR="00D72524" w:rsidRPr="00D72524">
        <w:rPr>
          <w:rFonts w:ascii="Arial" w:hAnsi="Arial" w:cs="Arial"/>
          <w:sz w:val="20"/>
          <w:szCs w:val="20"/>
          <w:highlight w:val="yellow"/>
        </w:rPr>
        <w:t xml:space="preserve"> (oxycodone </w:t>
      </w:r>
      <w:proofErr w:type="spellStart"/>
      <w:r w:rsidR="00D72524" w:rsidRPr="00D72524">
        <w:rPr>
          <w:rFonts w:ascii="Arial" w:hAnsi="Arial" w:cs="Arial"/>
          <w:sz w:val="20"/>
          <w:szCs w:val="20"/>
          <w:highlight w:val="yellow"/>
        </w:rPr>
        <w:t>HCl</w:t>
      </w:r>
      <w:proofErr w:type="spellEnd"/>
      <w:r w:rsidR="00D72524" w:rsidRPr="00D72524">
        <w:rPr>
          <w:rFonts w:ascii="Arial" w:hAnsi="Arial" w:cs="Arial"/>
          <w:sz w:val="20"/>
          <w:szCs w:val="20"/>
          <w:highlight w:val="yellow"/>
        </w:rPr>
        <w:t xml:space="preserve">) for patients that are opioid naïve is in a range of 5 mg to 15 mg every four to six hours as needed for pain. The manufacturer does not provide specific conversion factors for patients converting from other opioid to </w:t>
      </w:r>
      <w:proofErr w:type="spellStart"/>
      <w:r w:rsidR="00D72524" w:rsidRPr="00D72524">
        <w:rPr>
          <w:rFonts w:ascii="Arial" w:hAnsi="Arial" w:cs="Arial"/>
          <w:sz w:val="20"/>
          <w:szCs w:val="20"/>
          <w:highlight w:val="yellow"/>
        </w:rPr>
        <w:t>Oxaydo</w:t>
      </w:r>
      <w:proofErr w:type="spellEnd"/>
      <w:r w:rsidR="00D72524" w:rsidRPr="00D72524">
        <w:rPr>
          <w:rFonts w:ascii="Arial" w:hAnsi="Arial" w:cs="Arial"/>
          <w:sz w:val="20"/>
          <w:szCs w:val="20"/>
          <w:highlight w:val="yellow"/>
          <w:vertAlign w:val="superscript"/>
        </w:rPr>
        <w:t>®</w:t>
      </w:r>
      <w:r w:rsidR="00D72524" w:rsidRPr="00D72524">
        <w:rPr>
          <w:rFonts w:ascii="Arial" w:hAnsi="Arial" w:cs="Arial"/>
          <w:sz w:val="20"/>
          <w:szCs w:val="20"/>
          <w:highlight w:val="yellow"/>
        </w:rPr>
        <w:t xml:space="preserve"> (oxycodone </w:t>
      </w:r>
      <w:proofErr w:type="spellStart"/>
      <w:r w:rsidR="00D72524" w:rsidRPr="00D72524">
        <w:rPr>
          <w:rFonts w:ascii="Arial" w:hAnsi="Arial" w:cs="Arial"/>
          <w:sz w:val="20"/>
          <w:szCs w:val="20"/>
          <w:highlight w:val="yellow"/>
        </w:rPr>
        <w:t>HCl</w:t>
      </w:r>
      <w:proofErr w:type="spellEnd"/>
      <w:r w:rsidR="00D72524" w:rsidRPr="00D72524">
        <w:rPr>
          <w:rFonts w:ascii="Arial" w:hAnsi="Arial" w:cs="Arial"/>
          <w:sz w:val="20"/>
          <w:szCs w:val="20"/>
          <w:highlight w:val="yellow"/>
        </w:rPr>
        <w:t>).</w:t>
      </w:r>
      <w:r w:rsidR="00D72524">
        <w:rPr>
          <w:rFonts w:ascii="Arial" w:hAnsi="Arial" w:cs="Arial"/>
          <w:sz w:val="20"/>
          <w:szCs w:val="20"/>
        </w:rPr>
        <w:t xml:space="preserve"> </w:t>
      </w:r>
      <w:r w:rsidR="002439F4" w:rsidRPr="002439F4">
        <w:rPr>
          <w:rFonts w:ascii="Arial" w:hAnsi="Arial" w:cs="Arial"/>
          <w:sz w:val="20"/>
          <w:szCs w:val="20"/>
        </w:rPr>
        <w:t xml:space="preserve">Oxycodone HCl is a pure opioid agonist that is relatively selective for the </w:t>
      </w:r>
      <w:r w:rsidR="00286ACE">
        <w:rPr>
          <w:rFonts w:ascii="Arial" w:hAnsi="Arial" w:cs="Arial"/>
          <w:sz w:val="20"/>
          <w:szCs w:val="20"/>
        </w:rPr>
        <w:t>µ</w:t>
      </w:r>
      <w:r w:rsidR="00286ACE" w:rsidRPr="002439F4">
        <w:rPr>
          <w:rFonts w:ascii="Arial" w:hAnsi="Arial" w:cs="Arial"/>
          <w:sz w:val="20"/>
          <w:szCs w:val="20"/>
        </w:rPr>
        <w:t xml:space="preserve"> </w:t>
      </w:r>
      <w:r w:rsidR="002439F4" w:rsidRPr="002439F4">
        <w:rPr>
          <w:rFonts w:ascii="Arial" w:hAnsi="Arial" w:cs="Arial"/>
          <w:sz w:val="20"/>
          <w:szCs w:val="20"/>
        </w:rPr>
        <w:t>opioid receptor; however</w:t>
      </w:r>
      <w:r w:rsidR="00237CFD">
        <w:rPr>
          <w:rFonts w:ascii="Arial" w:hAnsi="Arial" w:cs="Arial"/>
          <w:sz w:val="20"/>
          <w:szCs w:val="20"/>
        </w:rPr>
        <w:t>,</w:t>
      </w:r>
      <w:r w:rsidR="002439F4" w:rsidRPr="002439F4">
        <w:rPr>
          <w:rFonts w:ascii="Arial" w:hAnsi="Arial" w:cs="Arial"/>
          <w:sz w:val="20"/>
          <w:szCs w:val="20"/>
        </w:rPr>
        <w:t xml:space="preserve"> at higher doses activity at other opioid receptors is possible. </w:t>
      </w:r>
      <w:r w:rsidR="005964E8">
        <w:rPr>
          <w:rFonts w:ascii="Arial" w:hAnsi="Arial" w:cs="Arial"/>
          <w:sz w:val="20"/>
          <w:szCs w:val="20"/>
        </w:rPr>
        <w:t>S</w:t>
      </w:r>
      <w:r w:rsidR="002439F4" w:rsidRPr="002439F4">
        <w:rPr>
          <w:rFonts w:ascii="Arial" w:hAnsi="Arial" w:cs="Arial"/>
          <w:sz w:val="20"/>
          <w:szCs w:val="20"/>
        </w:rPr>
        <w:t xml:space="preserve">imilar to </w:t>
      </w:r>
      <w:r w:rsidR="005964E8">
        <w:rPr>
          <w:rFonts w:ascii="Arial" w:hAnsi="Arial" w:cs="Arial"/>
          <w:sz w:val="20"/>
          <w:szCs w:val="20"/>
        </w:rPr>
        <w:t xml:space="preserve">various </w:t>
      </w:r>
      <w:r w:rsidR="002439F4" w:rsidRPr="002439F4">
        <w:rPr>
          <w:rFonts w:ascii="Arial" w:hAnsi="Arial" w:cs="Arial"/>
          <w:sz w:val="20"/>
          <w:szCs w:val="20"/>
        </w:rPr>
        <w:t>other opioid analgesics, i</w:t>
      </w:r>
      <w:r w:rsidR="005964E8">
        <w:rPr>
          <w:rFonts w:ascii="Arial" w:hAnsi="Arial" w:cs="Arial"/>
          <w:sz w:val="20"/>
          <w:szCs w:val="20"/>
        </w:rPr>
        <w:t>t i</w:t>
      </w:r>
      <w:r w:rsidR="002439F4" w:rsidRPr="002439F4">
        <w:rPr>
          <w:rFonts w:ascii="Arial" w:hAnsi="Arial" w:cs="Arial"/>
          <w:sz w:val="20"/>
          <w:szCs w:val="20"/>
        </w:rPr>
        <w:t>s designated as a Schedule II controlled substance.</w:t>
      </w:r>
      <w:r w:rsidR="006A5B3E">
        <w:rPr>
          <w:rFonts w:ascii="Arial" w:hAnsi="Arial" w:cs="Arial"/>
          <w:sz w:val="20"/>
          <w:szCs w:val="20"/>
          <w:vertAlign w:val="superscript"/>
        </w:rPr>
        <w:t>1</w:t>
      </w:r>
      <w:proofErr w:type="gramStart"/>
      <w:r w:rsidR="006A5B3E">
        <w:rPr>
          <w:rFonts w:ascii="Arial" w:hAnsi="Arial" w:cs="Arial"/>
          <w:sz w:val="20"/>
          <w:szCs w:val="20"/>
          <w:vertAlign w:val="superscript"/>
        </w:rPr>
        <w:t>,2</w:t>
      </w:r>
      <w:proofErr w:type="gramEnd"/>
      <w:r w:rsidR="002439F4" w:rsidRPr="002439F4">
        <w:rPr>
          <w:rFonts w:ascii="Arial" w:hAnsi="Arial" w:cs="Arial"/>
          <w:sz w:val="20"/>
          <w:szCs w:val="20"/>
        </w:rPr>
        <w:t xml:space="preserve"> </w:t>
      </w:r>
    </w:p>
    <w:p w:rsidR="002439F4" w:rsidRPr="002439F4" w:rsidRDefault="002439F4" w:rsidP="002439F4">
      <w:pPr>
        <w:spacing w:after="0" w:line="240" w:lineRule="auto"/>
        <w:rPr>
          <w:rFonts w:ascii="Arial" w:hAnsi="Arial" w:cs="Arial"/>
          <w:sz w:val="20"/>
          <w:szCs w:val="20"/>
        </w:rPr>
      </w:pPr>
    </w:p>
    <w:p w:rsidR="002439F4" w:rsidRPr="002439F4" w:rsidRDefault="002439F4" w:rsidP="005964E8">
      <w:pPr>
        <w:spacing w:after="0" w:line="240" w:lineRule="auto"/>
        <w:rPr>
          <w:rFonts w:ascii="Arial" w:hAnsi="Arial" w:cs="Arial"/>
          <w:sz w:val="20"/>
          <w:szCs w:val="20"/>
        </w:rPr>
      </w:pPr>
      <w:r w:rsidRPr="002439F4">
        <w:rPr>
          <w:rFonts w:ascii="Arial" w:hAnsi="Arial" w:cs="Arial"/>
          <w:sz w:val="20"/>
          <w:szCs w:val="20"/>
        </w:rPr>
        <w:t xml:space="preserve">According to the manufacturer, </w:t>
      </w:r>
      <w:proofErr w:type="spellStart"/>
      <w:r w:rsidR="00286ACE" w:rsidRPr="002439F4">
        <w:rPr>
          <w:rFonts w:ascii="Arial" w:hAnsi="Arial" w:cs="Arial"/>
          <w:sz w:val="20"/>
          <w:szCs w:val="20"/>
        </w:rPr>
        <w:t>O</w:t>
      </w:r>
      <w:r w:rsidR="00286ACE">
        <w:rPr>
          <w:rFonts w:ascii="Arial" w:hAnsi="Arial" w:cs="Arial"/>
          <w:sz w:val="20"/>
          <w:szCs w:val="20"/>
        </w:rPr>
        <w:t>xaydo</w:t>
      </w:r>
      <w:proofErr w:type="spellEnd"/>
      <w:r w:rsidRPr="002439F4">
        <w:rPr>
          <w:rFonts w:ascii="Arial" w:hAnsi="Arial" w:cs="Arial"/>
          <w:sz w:val="20"/>
          <w:szCs w:val="20"/>
          <w:vertAlign w:val="superscript"/>
        </w:rPr>
        <w:t>®</w:t>
      </w:r>
      <w:r w:rsidRPr="002439F4">
        <w:rPr>
          <w:rFonts w:ascii="Arial" w:hAnsi="Arial" w:cs="Arial"/>
          <w:sz w:val="20"/>
          <w:szCs w:val="20"/>
        </w:rPr>
        <w:t xml:space="preserve"> is the first </w:t>
      </w:r>
      <w:r w:rsidR="005964E8">
        <w:rPr>
          <w:rFonts w:ascii="Arial" w:hAnsi="Arial" w:cs="Arial"/>
          <w:sz w:val="20"/>
          <w:szCs w:val="20"/>
        </w:rPr>
        <w:t xml:space="preserve">IR </w:t>
      </w:r>
      <w:r w:rsidRPr="002439F4">
        <w:rPr>
          <w:rFonts w:ascii="Arial" w:hAnsi="Arial" w:cs="Arial"/>
          <w:sz w:val="20"/>
          <w:szCs w:val="20"/>
        </w:rPr>
        <w:t>formulation of oxycodone HCl to utilize technology (AVERSION</w:t>
      </w:r>
      <w:r w:rsidRPr="002439F4">
        <w:rPr>
          <w:rFonts w:ascii="Arial" w:hAnsi="Arial" w:cs="Arial"/>
          <w:sz w:val="20"/>
          <w:szCs w:val="20"/>
          <w:vertAlign w:val="superscript"/>
        </w:rPr>
        <w:t>®</w:t>
      </w:r>
      <w:r w:rsidRPr="002439F4">
        <w:rPr>
          <w:rFonts w:ascii="Arial" w:hAnsi="Arial" w:cs="Arial"/>
          <w:sz w:val="20"/>
          <w:szCs w:val="20"/>
        </w:rPr>
        <w:t xml:space="preserve"> Technology) targeted to discourage common tampering practices associated with opioid misuse; however</w:t>
      </w:r>
      <w:r w:rsidR="00237CFD">
        <w:rPr>
          <w:rFonts w:ascii="Arial" w:hAnsi="Arial" w:cs="Arial"/>
          <w:sz w:val="20"/>
          <w:szCs w:val="20"/>
        </w:rPr>
        <w:t>,</w:t>
      </w:r>
      <w:r w:rsidRPr="002439F4">
        <w:rPr>
          <w:rFonts w:ascii="Arial" w:hAnsi="Arial" w:cs="Arial"/>
          <w:sz w:val="20"/>
          <w:szCs w:val="20"/>
        </w:rPr>
        <w:t xml:space="preserve"> the prescribing information does state that this product may be abused similar to other opioids, including crushing, chewing, snorting, and/or injecting the product.</w:t>
      </w:r>
      <w:r w:rsidRPr="002439F4">
        <w:rPr>
          <w:rFonts w:ascii="Arial" w:hAnsi="Arial" w:cs="Arial"/>
          <w:sz w:val="20"/>
          <w:szCs w:val="20"/>
          <w:vertAlign w:val="superscript"/>
        </w:rPr>
        <w:t>1,2</w:t>
      </w:r>
      <w:r w:rsidRPr="002439F4">
        <w:rPr>
          <w:rFonts w:ascii="Arial" w:hAnsi="Arial" w:cs="Arial"/>
          <w:sz w:val="20"/>
          <w:szCs w:val="20"/>
        </w:rPr>
        <w:t xml:space="preserve">  </w:t>
      </w:r>
      <w:r w:rsidR="006A5B3E">
        <w:rPr>
          <w:rFonts w:ascii="Arial" w:hAnsi="Arial" w:cs="Arial"/>
          <w:sz w:val="20"/>
          <w:szCs w:val="20"/>
        </w:rPr>
        <w:t xml:space="preserve">Information on this specific abuse-deterring technology states that </w:t>
      </w:r>
      <w:r w:rsidR="006A5B3E" w:rsidRPr="006A5B3E">
        <w:rPr>
          <w:rFonts w:ascii="Arial" w:hAnsi="Arial" w:cs="Arial"/>
          <w:sz w:val="20"/>
          <w:szCs w:val="20"/>
        </w:rPr>
        <w:t>a</w:t>
      </w:r>
      <w:r w:rsidR="006A5B3E">
        <w:rPr>
          <w:rFonts w:ascii="Arial" w:hAnsi="Arial" w:cs="Arial"/>
          <w:sz w:val="20"/>
          <w:szCs w:val="20"/>
        </w:rPr>
        <w:t>ttempts</w:t>
      </w:r>
      <w:r w:rsidR="006A5B3E" w:rsidRPr="006A5B3E">
        <w:rPr>
          <w:rFonts w:ascii="Arial" w:hAnsi="Arial" w:cs="Arial"/>
          <w:sz w:val="20"/>
          <w:szCs w:val="20"/>
        </w:rPr>
        <w:t xml:space="preserve"> to extract the active ingredient using solvents converts the tablet into a viscous gel</w:t>
      </w:r>
      <w:r w:rsidR="006A5B3E">
        <w:rPr>
          <w:rFonts w:ascii="Arial" w:hAnsi="Arial" w:cs="Arial"/>
          <w:sz w:val="20"/>
          <w:szCs w:val="20"/>
        </w:rPr>
        <w:t>atinous</w:t>
      </w:r>
      <w:r w:rsidR="006A5B3E" w:rsidRPr="006A5B3E">
        <w:rPr>
          <w:rFonts w:ascii="Arial" w:hAnsi="Arial" w:cs="Arial"/>
          <w:sz w:val="20"/>
          <w:szCs w:val="20"/>
        </w:rPr>
        <w:t xml:space="preserve"> mixture </w:t>
      </w:r>
      <w:r w:rsidR="006A5B3E">
        <w:rPr>
          <w:rFonts w:ascii="Arial" w:hAnsi="Arial" w:cs="Arial"/>
          <w:sz w:val="20"/>
          <w:szCs w:val="20"/>
        </w:rPr>
        <w:t>that prevents</w:t>
      </w:r>
      <w:r w:rsidR="006A5B3E" w:rsidRPr="006A5B3E">
        <w:rPr>
          <w:rFonts w:ascii="Arial" w:hAnsi="Arial" w:cs="Arial"/>
          <w:sz w:val="20"/>
          <w:szCs w:val="20"/>
        </w:rPr>
        <w:t xml:space="preserve"> in</w:t>
      </w:r>
      <w:r w:rsidR="00404730">
        <w:rPr>
          <w:rFonts w:ascii="Arial" w:hAnsi="Arial" w:cs="Arial"/>
          <w:sz w:val="20"/>
          <w:szCs w:val="20"/>
        </w:rPr>
        <w:t>jection of the medication</w:t>
      </w:r>
      <w:r w:rsidR="006A5B3E" w:rsidRPr="006A5B3E">
        <w:rPr>
          <w:rFonts w:ascii="Arial" w:hAnsi="Arial" w:cs="Arial"/>
          <w:sz w:val="20"/>
          <w:szCs w:val="20"/>
        </w:rPr>
        <w:t>.</w:t>
      </w:r>
      <w:r w:rsidR="006A5B3E">
        <w:rPr>
          <w:rFonts w:ascii="Arial" w:hAnsi="Arial" w:cs="Arial"/>
          <w:sz w:val="20"/>
          <w:szCs w:val="20"/>
        </w:rPr>
        <w:t xml:space="preserve"> In addition, a</w:t>
      </w:r>
      <w:r w:rsidR="00286ACE">
        <w:rPr>
          <w:rFonts w:ascii="Arial" w:hAnsi="Arial" w:cs="Arial"/>
          <w:sz w:val="20"/>
          <w:szCs w:val="20"/>
        </w:rPr>
        <w:t>n inactive ingredient t</w:t>
      </w:r>
      <w:r w:rsidR="005964E8">
        <w:rPr>
          <w:rFonts w:ascii="Arial" w:hAnsi="Arial" w:cs="Arial"/>
          <w:sz w:val="20"/>
          <w:szCs w:val="20"/>
        </w:rPr>
        <w:t xml:space="preserve">hat was added to </w:t>
      </w:r>
      <w:proofErr w:type="spellStart"/>
      <w:r w:rsidR="006A5B3E">
        <w:rPr>
          <w:rFonts w:ascii="Arial" w:hAnsi="Arial" w:cs="Arial"/>
          <w:sz w:val="20"/>
          <w:szCs w:val="20"/>
        </w:rPr>
        <w:t>Oxaydo</w:t>
      </w:r>
      <w:proofErr w:type="spellEnd"/>
      <w:r w:rsidR="006A5B3E" w:rsidRPr="002439F4">
        <w:rPr>
          <w:rFonts w:ascii="Arial" w:hAnsi="Arial" w:cs="Arial"/>
          <w:sz w:val="20"/>
          <w:szCs w:val="20"/>
          <w:vertAlign w:val="superscript"/>
        </w:rPr>
        <w:t>®</w:t>
      </w:r>
      <w:r w:rsidR="006A5B3E">
        <w:rPr>
          <w:rFonts w:ascii="Arial" w:hAnsi="Arial" w:cs="Arial"/>
          <w:sz w:val="20"/>
          <w:szCs w:val="20"/>
        </w:rPr>
        <w:t xml:space="preserve"> (oxycodone </w:t>
      </w:r>
      <w:proofErr w:type="spellStart"/>
      <w:r w:rsidR="006A5B3E" w:rsidRPr="002439F4">
        <w:rPr>
          <w:rFonts w:ascii="Arial" w:hAnsi="Arial" w:cs="Arial"/>
          <w:sz w:val="20"/>
          <w:szCs w:val="20"/>
        </w:rPr>
        <w:t>HCl</w:t>
      </w:r>
      <w:proofErr w:type="spellEnd"/>
      <w:r w:rsidR="006A5B3E">
        <w:rPr>
          <w:rFonts w:ascii="Arial" w:hAnsi="Arial" w:cs="Arial"/>
          <w:sz w:val="20"/>
          <w:szCs w:val="20"/>
        </w:rPr>
        <w:t xml:space="preserve">) </w:t>
      </w:r>
      <w:r w:rsidRPr="002439F4">
        <w:rPr>
          <w:rFonts w:ascii="Arial" w:hAnsi="Arial" w:cs="Arial"/>
          <w:sz w:val="20"/>
          <w:szCs w:val="20"/>
        </w:rPr>
        <w:t xml:space="preserve">is </w:t>
      </w:r>
      <w:r w:rsidR="00286ACE">
        <w:rPr>
          <w:rFonts w:ascii="Arial" w:hAnsi="Arial" w:cs="Arial"/>
          <w:sz w:val="20"/>
          <w:szCs w:val="20"/>
        </w:rPr>
        <w:t>thought to discourage</w:t>
      </w:r>
      <w:r w:rsidRPr="002439F4">
        <w:rPr>
          <w:rFonts w:ascii="Arial" w:hAnsi="Arial" w:cs="Arial"/>
          <w:sz w:val="20"/>
          <w:szCs w:val="20"/>
        </w:rPr>
        <w:t xml:space="preserve"> </w:t>
      </w:r>
      <w:r w:rsidR="00286ACE">
        <w:rPr>
          <w:rFonts w:ascii="Arial" w:hAnsi="Arial" w:cs="Arial"/>
          <w:sz w:val="20"/>
          <w:szCs w:val="20"/>
        </w:rPr>
        <w:t>abuse associated with snorting as it causes</w:t>
      </w:r>
      <w:r w:rsidRPr="002439F4">
        <w:rPr>
          <w:rFonts w:ascii="Arial" w:hAnsi="Arial" w:cs="Arial"/>
          <w:sz w:val="20"/>
          <w:szCs w:val="20"/>
        </w:rPr>
        <w:t xml:space="preserve"> burning and irritation to nasal passages.</w:t>
      </w:r>
      <w:r w:rsidR="006A5B3E">
        <w:rPr>
          <w:rFonts w:ascii="Arial" w:hAnsi="Arial" w:cs="Arial"/>
          <w:sz w:val="20"/>
          <w:szCs w:val="20"/>
          <w:vertAlign w:val="superscript"/>
        </w:rPr>
        <w:t>3</w:t>
      </w:r>
      <w:r w:rsidR="006F018C" w:rsidRPr="002439F4">
        <w:rPr>
          <w:rFonts w:ascii="Arial" w:hAnsi="Arial" w:cs="Arial"/>
          <w:sz w:val="20"/>
          <w:szCs w:val="20"/>
        </w:rPr>
        <w:t xml:space="preserve">  </w:t>
      </w:r>
      <w:r w:rsidRPr="002439F4">
        <w:rPr>
          <w:rFonts w:ascii="Arial" w:hAnsi="Arial" w:cs="Arial"/>
          <w:sz w:val="20"/>
          <w:szCs w:val="20"/>
        </w:rPr>
        <w:t xml:space="preserve"> </w:t>
      </w:r>
      <w:r w:rsidR="006A5B3E">
        <w:rPr>
          <w:rFonts w:ascii="Arial" w:hAnsi="Arial" w:cs="Arial"/>
          <w:sz w:val="20"/>
          <w:szCs w:val="20"/>
        </w:rPr>
        <w:t xml:space="preserve"> </w:t>
      </w:r>
    </w:p>
    <w:p w:rsidR="00B654D6" w:rsidRDefault="006A5B3E" w:rsidP="003A1B44">
      <w:pPr>
        <w:spacing w:after="0"/>
        <w:rPr>
          <w:rFonts w:ascii="Arial" w:eastAsia="Times New Roman" w:hAnsi="Arial" w:cs="Arial"/>
          <w:sz w:val="20"/>
          <w:szCs w:val="20"/>
        </w:rPr>
      </w:pPr>
      <w:r>
        <w:rPr>
          <w:rFonts w:ascii="Arial" w:eastAsia="Times New Roman" w:hAnsi="Arial" w:cs="Arial"/>
          <w:sz w:val="20"/>
          <w:szCs w:val="20"/>
        </w:rPr>
        <w:t xml:space="preserve"> </w:t>
      </w:r>
    </w:p>
    <w:p w:rsidR="00FC651D" w:rsidRDefault="003D68C3" w:rsidP="006F018C">
      <w:pPr>
        <w:spacing w:after="0" w:line="240" w:lineRule="auto"/>
        <w:contextualSpacing/>
        <w:rPr>
          <w:rFonts w:ascii="Arial" w:hAnsi="Arial" w:cs="Arial"/>
          <w:sz w:val="20"/>
          <w:szCs w:val="20"/>
        </w:rPr>
      </w:pPr>
      <w:r>
        <w:rPr>
          <w:rFonts w:ascii="Arial" w:eastAsia="Times New Roman" w:hAnsi="Arial" w:cs="Arial"/>
          <w:sz w:val="20"/>
          <w:szCs w:val="20"/>
        </w:rPr>
        <w:t>The FDA approval of this agent was based upon</w:t>
      </w:r>
      <w:r w:rsidRPr="003D68C3">
        <w:rPr>
          <w:rFonts w:ascii="Arial" w:hAnsi="Arial" w:cs="Arial"/>
          <w:sz w:val="20"/>
          <w:szCs w:val="20"/>
        </w:rPr>
        <w:t xml:space="preserve"> </w:t>
      </w:r>
      <w:r>
        <w:rPr>
          <w:rFonts w:ascii="Arial" w:hAnsi="Arial" w:cs="Arial"/>
          <w:sz w:val="20"/>
          <w:szCs w:val="20"/>
        </w:rPr>
        <w:t xml:space="preserve">evaluations of </w:t>
      </w:r>
      <w:r w:rsidRPr="002439F4">
        <w:rPr>
          <w:rFonts w:ascii="Arial" w:hAnsi="Arial" w:cs="Arial"/>
          <w:sz w:val="20"/>
          <w:szCs w:val="20"/>
        </w:rPr>
        <w:t xml:space="preserve">the </w:t>
      </w:r>
      <w:r>
        <w:rPr>
          <w:rFonts w:ascii="Arial" w:hAnsi="Arial" w:cs="Arial"/>
          <w:sz w:val="20"/>
          <w:szCs w:val="20"/>
        </w:rPr>
        <w:t xml:space="preserve">previously established safety and </w:t>
      </w:r>
      <w:r w:rsidRPr="002439F4">
        <w:rPr>
          <w:rFonts w:ascii="Arial" w:hAnsi="Arial" w:cs="Arial"/>
          <w:sz w:val="20"/>
          <w:szCs w:val="20"/>
        </w:rPr>
        <w:t>efficacy for Roxicodone</w:t>
      </w:r>
      <w:r w:rsidRPr="002439F4">
        <w:rPr>
          <w:rFonts w:ascii="Arial" w:hAnsi="Arial" w:cs="Arial"/>
          <w:sz w:val="20"/>
          <w:szCs w:val="20"/>
          <w:vertAlign w:val="superscript"/>
        </w:rPr>
        <w:t>®</w:t>
      </w:r>
      <w:r w:rsidR="00933F33">
        <w:rPr>
          <w:rFonts w:ascii="Arial" w:hAnsi="Arial" w:cs="Arial"/>
          <w:sz w:val="20"/>
          <w:szCs w:val="20"/>
        </w:rPr>
        <w:t xml:space="preserve"> (oxycodone HCl) tablets. No trials are listed in the Clinical Studies section of the package insert. However</w:t>
      </w:r>
      <w:r>
        <w:rPr>
          <w:rFonts w:ascii="Arial" w:hAnsi="Arial" w:cs="Arial"/>
          <w:sz w:val="20"/>
          <w:szCs w:val="20"/>
        </w:rPr>
        <w:t xml:space="preserve">, there was one </w:t>
      </w:r>
      <w:r w:rsidR="00933F33">
        <w:rPr>
          <w:rFonts w:ascii="Arial" w:hAnsi="Arial" w:cs="Arial"/>
          <w:sz w:val="20"/>
          <w:szCs w:val="20"/>
        </w:rPr>
        <w:t xml:space="preserve">double-blind, active-comparator, crossover </w:t>
      </w:r>
      <w:r>
        <w:rPr>
          <w:rFonts w:ascii="Arial" w:hAnsi="Arial" w:cs="Arial"/>
          <w:sz w:val="20"/>
          <w:szCs w:val="20"/>
        </w:rPr>
        <w:t xml:space="preserve">study </w:t>
      </w:r>
      <w:r w:rsidR="00933F33">
        <w:rPr>
          <w:rFonts w:ascii="Arial" w:hAnsi="Arial" w:cs="Arial"/>
          <w:sz w:val="20"/>
          <w:szCs w:val="20"/>
        </w:rPr>
        <w:t xml:space="preserve">of 40 nondependent recreational opioid users that was included in the </w:t>
      </w:r>
      <w:r w:rsidR="006F018C">
        <w:rPr>
          <w:rFonts w:ascii="Arial" w:hAnsi="Arial" w:cs="Arial"/>
          <w:sz w:val="20"/>
          <w:szCs w:val="20"/>
        </w:rPr>
        <w:t>Drug Abuse and Dependence s</w:t>
      </w:r>
      <w:r w:rsidR="00933F33">
        <w:rPr>
          <w:rFonts w:ascii="Arial" w:hAnsi="Arial" w:cs="Arial"/>
          <w:sz w:val="20"/>
          <w:szCs w:val="20"/>
        </w:rPr>
        <w:t xml:space="preserve">ection. This study </w:t>
      </w:r>
      <w:r>
        <w:rPr>
          <w:rFonts w:ascii="Arial" w:hAnsi="Arial" w:cs="Arial"/>
          <w:sz w:val="20"/>
          <w:szCs w:val="20"/>
        </w:rPr>
        <w:t xml:space="preserve">evaluated </w:t>
      </w:r>
      <w:r w:rsidR="00C170D1">
        <w:rPr>
          <w:rFonts w:ascii="Arial" w:hAnsi="Arial" w:cs="Arial"/>
          <w:sz w:val="20"/>
          <w:szCs w:val="20"/>
        </w:rPr>
        <w:t>the subjective and physiologic effects of</w:t>
      </w:r>
      <w:r w:rsidR="00933F33">
        <w:rPr>
          <w:rFonts w:ascii="Arial" w:hAnsi="Arial" w:cs="Arial"/>
          <w:sz w:val="20"/>
          <w:szCs w:val="20"/>
        </w:rPr>
        <w:t xml:space="preserve"> the intranasal administration of IR Roxicodone</w:t>
      </w:r>
      <w:r w:rsidR="00933F33">
        <w:rPr>
          <w:rFonts w:cs="Arial"/>
          <w:sz w:val="20"/>
          <w:szCs w:val="20"/>
        </w:rPr>
        <w:t>®</w:t>
      </w:r>
      <w:r w:rsidR="00933F33">
        <w:rPr>
          <w:rFonts w:ascii="Arial" w:hAnsi="Arial" w:cs="Arial"/>
          <w:sz w:val="20"/>
          <w:szCs w:val="20"/>
        </w:rPr>
        <w:t xml:space="preserve"> (oxycodone HCl) compared to IR </w:t>
      </w:r>
      <w:proofErr w:type="spellStart"/>
      <w:r w:rsidR="00933F33">
        <w:rPr>
          <w:rFonts w:ascii="Arial" w:hAnsi="Arial" w:cs="Arial"/>
          <w:sz w:val="20"/>
          <w:szCs w:val="20"/>
        </w:rPr>
        <w:t>Oxaydo</w:t>
      </w:r>
      <w:proofErr w:type="spellEnd"/>
      <w:r w:rsidR="00933F33" w:rsidRPr="002439F4">
        <w:rPr>
          <w:rFonts w:ascii="Arial" w:hAnsi="Arial" w:cs="Arial"/>
          <w:sz w:val="20"/>
          <w:szCs w:val="20"/>
          <w:vertAlign w:val="superscript"/>
        </w:rPr>
        <w:t>®</w:t>
      </w:r>
      <w:r w:rsidR="00933F33">
        <w:rPr>
          <w:rFonts w:ascii="Arial" w:hAnsi="Arial" w:cs="Arial"/>
          <w:sz w:val="20"/>
          <w:szCs w:val="20"/>
        </w:rPr>
        <w:t xml:space="preserve"> (oxycodone </w:t>
      </w:r>
      <w:proofErr w:type="spellStart"/>
      <w:r w:rsidR="00933F33" w:rsidRPr="002439F4">
        <w:rPr>
          <w:rFonts w:ascii="Arial" w:hAnsi="Arial" w:cs="Arial"/>
          <w:sz w:val="20"/>
          <w:szCs w:val="20"/>
        </w:rPr>
        <w:t>HCl</w:t>
      </w:r>
      <w:proofErr w:type="spellEnd"/>
      <w:r w:rsidR="00933F33">
        <w:rPr>
          <w:rFonts w:ascii="Arial" w:hAnsi="Arial" w:cs="Arial"/>
          <w:sz w:val="20"/>
          <w:szCs w:val="20"/>
        </w:rPr>
        <w:t xml:space="preserve">). In summary, the Overall Drug Liking and Take Drug Again </w:t>
      </w:r>
      <w:r w:rsidR="006F018C">
        <w:rPr>
          <w:rFonts w:ascii="Arial" w:hAnsi="Arial" w:cs="Arial"/>
          <w:sz w:val="20"/>
          <w:szCs w:val="20"/>
        </w:rPr>
        <w:t xml:space="preserve">subject </w:t>
      </w:r>
      <w:r w:rsidR="00933F33">
        <w:rPr>
          <w:rFonts w:ascii="Arial" w:hAnsi="Arial" w:cs="Arial"/>
          <w:sz w:val="20"/>
          <w:szCs w:val="20"/>
        </w:rPr>
        <w:t>responses were significantly l</w:t>
      </w:r>
      <w:r w:rsidR="006F018C">
        <w:rPr>
          <w:rFonts w:ascii="Arial" w:hAnsi="Arial" w:cs="Arial"/>
          <w:sz w:val="20"/>
          <w:szCs w:val="20"/>
        </w:rPr>
        <w:t>ess favorable</w:t>
      </w:r>
      <w:r w:rsidR="00933F33">
        <w:rPr>
          <w:rFonts w:ascii="Arial" w:hAnsi="Arial" w:cs="Arial"/>
          <w:sz w:val="20"/>
          <w:szCs w:val="20"/>
        </w:rPr>
        <w:t xml:space="preserve"> with the crushed formulation of </w:t>
      </w:r>
      <w:proofErr w:type="spellStart"/>
      <w:r w:rsidR="00933F33">
        <w:rPr>
          <w:rFonts w:ascii="Arial" w:hAnsi="Arial" w:cs="Arial"/>
          <w:sz w:val="20"/>
          <w:szCs w:val="20"/>
        </w:rPr>
        <w:t>Oxaydo</w:t>
      </w:r>
      <w:proofErr w:type="spellEnd"/>
      <w:r w:rsidR="00933F33" w:rsidRPr="002439F4">
        <w:rPr>
          <w:rFonts w:ascii="Arial" w:hAnsi="Arial" w:cs="Arial"/>
          <w:sz w:val="20"/>
          <w:szCs w:val="20"/>
          <w:vertAlign w:val="superscript"/>
        </w:rPr>
        <w:t>®</w:t>
      </w:r>
      <w:r w:rsidR="00933F33">
        <w:rPr>
          <w:rFonts w:ascii="Arial" w:hAnsi="Arial" w:cs="Arial"/>
          <w:sz w:val="20"/>
          <w:szCs w:val="20"/>
        </w:rPr>
        <w:t xml:space="preserve"> (oxycodone </w:t>
      </w:r>
      <w:proofErr w:type="spellStart"/>
      <w:r w:rsidR="00933F33" w:rsidRPr="002439F4">
        <w:rPr>
          <w:rFonts w:ascii="Arial" w:hAnsi="Arial" w:cs="Arial"/>
          <w:sz w:val="20"/>
          <w:szCs w:val="20"/>
        </w:rPr>
        <w:t>HCl</w:t>
      </w:r>
      <w:proofErr w:type="spellEnd"/>
      <w:r w:rsidR="00933F33">
        <w:rPr>
          <w:rFonts w:ascii="Arial" w:hAnsi="Arial" w:cs="Arial"/>
          <w:sz w:val="20"/>
          <w:szCs w:val="20"/>
        </w:rPr>
        <w:t>)</w:t>
      </w:r>
      <w:r w:rsidR="006F018C">
        <w:rPr>
          <w:rFonts w:ascii="Arial" w:hAnsi="Arial" w:cs="Arial"/>
          <w:sz w:val="20"/>
          <w:szCs w:val="20"/>
        </w:rPr>
        <w:t xml:space="preserve"> with subjects experiencing more nasal-related symptoms with this agent compared to Roxicodone</w:t>
      </w:r>
      <w:r w:rsidR="006F018C">
        <w:rPr>
          <w:rFonts w:cs="Arial"/>
          <w:sz w:val="20"/>
          <w:szCs w:val="20"/>
        </w:rPr>
        <w:t>®</w:t>
      </w:r>
      <w:r w:rsidR="006F018C">
        <w:rPr>
          <w:rFonts w:ascii="Arial" w:hAnsi="Arial" w:cs="Arial"/>
          <w:sz w:val="20"/>
          <w:szCs w:val="20"/>
        </w:rPr>
        <w:t xml:space="preserve"> (oxycodone HCl).</w:t>
      </w:r>
      <w:r w:rsidR="0098331F">
        <w:rPr>
          <w:rFonts w:ascii="Arial" w:hAnsi="Arial" w:cs="Arial"/>
          <w:sz w:val="20"/>
          <w:szCs w:val="20"/>
          <w:vertAlign w:val="superscript"/>
        </w:rPr>
        <w:t>4</w:t>
      </w:r>
      <w:r w:rsidR="006F018C">
        <w:rPr>
          <w:rFonts w:ascii="Arial" w:hAnsi="Arial" w:cs="Arial"/>
          <w:sz w:val="20"/>
          <w:szCs w:val="20"/>
        </w:rPr>
        <w:t xml:space="preserve"> As reported by the manufacturer, the </w:t>
      </w:r>
      <w:r w:rsidR="00FB4E9A" w:rsidRPr="006F018C">
        <w:rPr>
          <w:rFonts w:ascii="Arial" w:hAnsi="Arial" w:cs="Arial"/>
          <w:sz w:val="20"/>
          <w:szCs w:val="20"/>
        </w:rPr>
        <w:t xml:space="preserve">clinical significance of the difference in drug liking and difference in response to taking the drug again reported in this study has not yet been established. There is </w:t>
      </w:r>
      <w:r w:rsidR="006F018C">
        <w:rPr>
          <w:rFonts w:ascii="Arial" w:hAnsi="Arial" w:cs="Arial"/>
          <w:sz w:val="20"/>
          <w:szCs w:val="20"/>
        </w:rPr>
        <w:t xml:space="preserve">currently </w:t>
      </w:r>
      <w:r w:rsidR="00FB4E9A" w:rsidRPr="006F018C">
        <w:rPr>
          <w:rFonts w:ascii="Arial" w:hAnsi="Arial" w:cs="Arial"/>
          <w:sz w:val="20"/>
          <w:szCs w:val="20"/>
        </w:rPr>
        <w:t xml:space="preserve">no evidence that </w:t>
      </w:r>
      <w:proofErr w:type="spellStart"/>
      <w:r w:rsidR="006F018C">
        <w:rPr>
          <w:rFonts w:ascii="Arial" w:hAnsi="Arial" w:cs="Arial"/>
          <w:sz w:val="20"/>
          <w:szCs w:val="20"/>
        </w:rPr>
        <w:t>Oxaydo</w:t>
      </w:r>
      <w:proofErr w:type="spellEnd"/>
      <w:r w:rsidR="006F018C" w:rsidRPr="002439F4">
        <w:rPr>
          <w:rFonts w:ascii="Arial" w:hAnsi="Arial" w:cs="Arial"/>
          <w:sz w:val="20"/>
          <w:szCs w:val="20"/>
          <w:vertAlign w:val="superscript"/>
        </w:rPr>
        <w:t>®</w:t>
      </w:r>
      <w:r w:rsidR="006F018C">
        <w:rPr>
          <w:rFonts w:ascii="Arial" w:hAnsi="Arial" w:cs="Arial"/>
          <w:sz w:val="20"/>
          <w:szCs w:val="20"/>
        </w:rPr>
        <w:t xml:space="preserve"> (oxycodone </w:t>
      </w:r>
      <w:proofErr w:type="spellStart"/>
      <w:r w:rsidR="006F018C" w:rsidRPr="002439F4">
        <w:rPr>
          <w:rFonts w:ascii="Arial" w:hAnsi="Arial" w:cs="Arial"/>
          <w:sz w:val="20"/>
          <w:szCs w:val="20"/>
        </w:rPr>
        <w:t>HCl</w:t>
      </w:r>
      <w:proofErr w:type="spellEnd"/>
      <w:r w:rsidR="006F018C">
        <w:rPr>
          <w:rFonts w:ascii="Arial" w:hAnsi="Arial" w:cs="Arial"/>
          <w:sz w:val="20"/>
          <w:szCs w:val="20"/>
        </w:rPr>
        <w:t xml:space="preserve">) </w:t>
      </w:r>
      <w:r w:rsidR="00FB4E9A" w:rsidRPr="006F018C">
        <w:rPr>
          <w:rFonts w:ascii="Arial" w:hAnsi="Arial" w:cs="Arial"/>
          <w:sz w:val="20"/>
          <w:szCs w:val="20"/>
        </w:rPr>
        <w:t>has a reduced abuse liability compared to immediate-release oxycodone.</w:t>
      </w:r>
      <w:r w:rsidR="006F018C">
        <w:rPr>
          <w:rFonts w:ascii="Arial" w:hAnsi="Arial" w:cs="Arial"/>
          <w:sz w:val="20"/>
          <w:szCs w:val="20"/>
          <w:vertAlign w:val="superscript"/>
        </w:rPr>
        <w:t>1</w:t>
      </w:r>
      <w:proofErr w:type="gramStart"/>
      <w:r w:rsidR="006F018C">
        <w:rPr>
          <w:rFonts w:ascii="Arial" w:hAnsi="Arial" w:cs="Arial"/>
          <w:sz w:val="20"/>
          <w:szCs w:val="20"/>
          <w:vertAlign w:val="superscript"/>
        </w:rPr>
        <w:t>,2</w:t>
      </w:r>
      <w:proofErr w:type="gramEnd"/>
      <w:r w:rsidR="000E593A">
        <w:rPr>
          <w:rFonts w:ascii="Arial" w:hAnsi="Arial" w:cs="Arial"/>
          <w:sz w:val="20"/>
          <w:szCs w:val="20"/>
        </w:rPr>
        <w:t xml:space="preserve"> </w:t>
      </w:r>
    </w:p>
    <w:p w:rsidR="00FC651D" w:rsidRDefault="00FC651D" w:rsidP="006F018C">
      <w:pPr>
        <w:spacing w:after="0" w:line="240" w:lineRule="auto"/>
        <w:contextualSpacing/>
        <w:rPr>
          <w:rFonts w:ascii="Arial" w:hAnsi="Arial" w:cs="Arial"/>
          <w:sz w:val="20"/>
          <w:szCs w:val="20"/>
        </w:rPr>
      </w:pPr>
    </w:p>
    <w:p w:rsidR="00B654D6" w:rsidRPr="00EE4742" w:rsidRDefault="00FC651D" w:rsidP="006F018C">
      <w:pPr>
        <w:spacing w:after="0" w:line="240" w:lineRule="auto"/>
        <w:contextualSpacing/>
        <w:rPr>
          <w:rFonts w:ascii="Arial" w:hAnsi="Arial" w:cs="Arial"/>
          <w:sz w:val="20"/>
          <w:szCs w:val="20"/>
        </w:rPr>
      </w:pPr>
      <w:r>
        <w:rPr>
          <w:rFonts w:ascii="Arial" w:hAnsi="Arial" w:cs="Arial"/>
          <w:sz w:val="20"/>
          <w:szCs w:val="20"/>
          <w:highlight w:val="yellow"/>
        </w:rPr>
        <w:t>T</w:t>
      </w:r>
      <w:r w:rsidR="000E593A" w:rsidRPr="00EE4742">
        <w:rPr>
          <w:rFonts w:ascii="Arial" w:hAnsi="Arial" w:cs="Arial"/>
          <w:sz w:val="20"/>
          <w:szCs w:val="20"/>
          <w:highlight w:val="yellow"/>
        </w:rPr>
        <w:t xml:space="preserve">here is </w:t>
      </w:r>
      <w:r w:rsidR="00785F07">
        <w:rPr>
          <w:rFonts w:ascii="Arial" w:hAnsi="Arial" w:cs="Arial"/>
          <w:sz w:val="20"/>
          <w:szCs w:val="20"/>
          <w:highlight w:val="yellow"/>
        </w:rPr>
        <w:t xml:space="preserve">currently </w:t>
      </w:r>
      <w:r w:rsidR="000E593A" w:rsidRPr="00EE4742">
        <w:rPr>
          <w:rFonts w:ascii="Arial" w:hAnsi="Arial" w:cs="Arial"/>
          <w:sz w:val="20"/>
          <w:szCs w:val="20"/>
          <w:highlight w:val="yellow"/>
        </w:rPr>
        <w:t xml:space="preserve">a lack of published post-marketing data evaluating if </w:t>
      </w:r>
      <w:proofErr w:type="spellStart"/>
      <w:r w:rsidR="000E593A" w:rsidRPr="00EE4742">
        <w:rPr>
          <w:rFonts w:ascii="Arial" w:hAnsi="Arial" w:cs="Arial"/>
          <w:sz w:val="20"/>
          <w:szCs w:val="20"/>
          <w:highlight w:val="yellow"/>
        </w:rPr>
        <w:t>Oxaydo</w:t>
      </w:r>
      <w:proofErr w:type="spellEnd"/>
      <w:r w:rsidR="000E593A" w:rsidRPr="00EE4742">
        <w:rPr>
          <w:rFonts w:ascii="Arial" w:hAnsi="Arial" w:cs="Arial"/>
          <w:sz w:val="20"/>
          <w:szCs w:val="20"/>
          <w:highlight w:val="yellow"/>
          <w:vertAlign w:val="superscript"/>
        </w:rPr>
        <w:t>®</w:t>
      </w:r>
      <w:r w:rsidR="000E593A" w:rsidRPr="00EE4742">
        <w:rPr>
          <w:rFonts w:ascii="Arial" w:hAnsi="Arial" w:cs="Arial"/>
          <w:sz w:val="20"/>
          <w:szCs w:val="20"/>
          <w:highlight w:val="yellow"/>
        </w:rPr>
        <w:t xml:space="preserve"> (oxycodone </w:t>
      </w:r>
      <w:proofErr w:type="spellStart"/>
      <w:r w:rsidR="000E593A" w:rsidRPr="00EE4742">
        <w:rPr>
          <w:rFonts w:ascii="Arial" w:hAnsi="Arial" w:cs="Arial"/>
          <w:sz w:val="20"/>
          <w:szCs w:val="20"/>
          <w:highlight w:val="yellow"/>
        </w:rPr>
        <w:t>HCl</w:t>
      </w:r>
      <w:proofErr w:type="spellEnd"/>
      <w:r w:rsidR="000E593A" w:rsidRPr="00EE4742">
        <w:rPr>
          <w:rFonts w:ascii="Arial" w:hAnsi="Arial" w:cs="Arial"/>
          <w:sz w:val="20"/>
          <w:szCs w:val="20"/>
          <w:highlight w:val="yellow"/>
        </w:rPr>
        <w:t>) is abused less frequently in the community.</w:t>
      </w:r>
      <w:r w:rsidR="00CD32D6" w:rsidRPr="00EE4742">
        <w:rPr>
          <w:rFonts w:ascii="Arial" w:hAnsi="Arial" w:cs="Arial"/>
          <w:sz w:val="20"/>
          <w:szCs w:val="20"/>
          <w:highlight w:val="yellow"/>
        </w:rPr>
        <w:t xml:space="preserve"> The FDA will require an epidemiological study to address whether </w:t>
      </w:r>
      <w:proofErr w:type="spellStart"/>
      <w:r w:rsidR="00CD32D6" w:rsidRPr="00EE4742">
        <w:rPr>
          <w:rFonts w:ascii="Arial" w:hAnsi="Arial" w:cs="Arial"/>
          <w:sz w:val="20"/>
          <w:szCs w:val="20"/>
          <w:highlight w:val="yellow"/>
        </w:rPr>
        <w:t>Oxaydo</w:t>
      </w:r>
      <w:proofErr w:type="spellEnd"/>
      <w:r w:rsidR="00CD32D6" w:rsidRPr="00EE4742">
        <w:rPr>
          <w:rFonts w:ascii="Arial" w:hAnsi="Arial" w:cs="Arial"/>
          <w:sz w:val="20"/>
          <w:szCs w:val="20"/>
          <w:highlight w:val="yellow"/>
          <w:vertAlign w:val="superscript"/>
        </w:rPr>
        <w:t>®</w:t>
      </w:r>
      <w:r w:rsidR="00CD32D6" w:rsidRPr="00EE4742">
        <w:rPr>
          <w:rFonts w:ascii="Arial" w:hAnsi="Arial" w:cs="Arial"/>
          <w:sz w:val="20"/>
          <w:szCs w:val="20"/>
          <w:highlight w:val="yellow"/>
        </w:rPr>
        <w:t xml:space="preserve"> (oxycodone </w:t>
      </w:r>
      <w:proofErr w:type="spellStart"/>
      <w:r w:rsidR="00CD32D6" w:rsidRPr="00EE4742">
        <w:rPr>
          <w:rFonts w:ascii="Arial" w:hAnsi="Arial" w:cs="Arial"/>
          <w:sz w:val="20"/>
          <w:szCs w:val="20"/>
          <w:highlight w:val="yellow"/>
        </w:rPr>
        <w:t>HCl</w:t>
      </w:r>
      <w:proofErr w:type="spellEnd"/>
      <w:r w:rsidR="00CD32D6" w:rsidRPr="00EE4742">
        <w:rPr>
          <w:rFonts w:ascii="Arial" w:hAnsi="Arial" w:cs="Arial"/>
          <w:sz w:val="20"/>
          <w:szCs w:val="20"/>
          <w:highlight w:val="yellow"/>
        </w:rPr>
        <w:t xml:space="preserve">) results in a decrease in misuse and abuse, and the consequences of misuse and abuse. The original timetable for submission of the final report </w:t>
      </w:r>
      <w:r w:rsidR="00216BCC" w:rsidRPr="00EE4742">
        <w:rPr>
          <w:rFonts w:ascii="Arial" w:hAnsi="Arial" w:cs="Arial"/>
          <w:sz w:val="20"/>
          <w:szCs w:val="20"/>
          <w:highlight w:val="yellow"/>
        </w:rPr>
        <w:t xml:space="preserve">for the epidemiological study </w:t>
      </w:r>
      <w:r w:rsidR="00891312">
        <w:rPr>
          <w:rFonts w:ascii="Arial" w:hAnsi="Arial" w:cs="Arial"/>
          <w:sz w:val="20"/>
          <w:szCs w:val="20"/>
          <w:highlight w:val="yellow"/>
        </w:rPr>
        <w:t>was</w:t>
      </w:r>
      <w:r w:rsidR="00CD32D6" w:rsidRPr="00EE4742">
        <w:rPr>
          <w:rFonts w:ascii="Arial" w:hAnsi="Arial" w:cs="Arial"/>
          <w:sz w:val="20"/>
          <w:szCs w:val="20"/>
          <w:highlight w:val="yellow"/>
        </w:rPr>
        <w:t xml:space="preserve"> June 2016; however, it is not clear if the timetable is still valid due to the sale of the original product to Egalet.</w:t>
      </w:r>
      <w:r w:rsidR="00CD32D6" w:rsidRPr="00EE4742">
        <w:rPr>
          <w:rFonts w:ascii="Arial" w:hAnsi="Arial" w:cs="Arial"/>
          <w:sz w:val="20"/>
          <w:szCs w:val="20"/>
          <w:highlight w:val="yellow"/>
          <w:vertAlign w:val="superscript"/>
        </w:rPr>
        <w:t>5</w:t>
      </w:r>
      <w:r w:rsidR="00EE4742" w:rsidRPr="00EE4742">
        <w:rPr>
          <w:rFonts w:ascii="Arial" w:hAnsi="Arial" w:cs="Arial"/>
          <w:sz w:val="20"/>
          <w:szCs w:val="20"/>
          <w:highlight w:val="yellow"/>
        </w:rPr>
        <w:t xml:space="preserve"> </w:t>
      </w:r>
      <w:proofErr w:type="spellStart"/>
      <w:r w:rsidR="00EE4742" w:rsidRPr="00EE4742">
        <w:rPr>
          <w:rFonts w:ascii="Arial" w:hAnsi="Arial" w:cs="Arial"/>
          <w:sz w:val="20"/>
          <w:szCs w:val="20"/>
          <w:highlight w:val="yellow"/>
        </w:rPr>
        <w:t>Oxaydo</w:t>
      </w:r>
      <w:proofErr w:type="spellEnd"/>
      <w:r w:rsidR="00EE4742" w:rsidRPr="00EE4742">
        <w:rPr>
          <w:rFonts w:ascii="Arial" w:hAnsi="Arial" w:cs="Arial"/>
          <w:sz w:val="20"/>
          <w:szCs w:val="20"/>
          <w:highlight w:val="yellow"/>
          <w:vertAlign w:val="superscript"/>
        </w:rPr>
        <w:t>®</w:t>
      </w:r>
      <w:r w:rsidR="00EE4742" w:rsidRPr="00EE4742">
        <w:rPr>
          <w:rFonts w:ascii="Arial" w:hAnsi="Arial" w:cs="Arial"/>
          <w:sz w:val="20"/>
          <w:szCs w:val="20"/>
          <w:highlight w:val="yellow"/>
        </w:rPr>
        <w:t xml:space="preserve"> (oxycodone </w:t>
      </w:r>
      <w:proofErr w:type="spellStart"/>
      <w:r w:rsidR="00EE4742" w:rsidRPr="00EE4742">
        <w:rPr>
          <w:rFonts w:ascii="Arial" w:hAnsi="Arial" w:cs="Arial"/>
          <w:sz w:val="20"/>
          <w:szCs w:val="20"/>
          <w:highlight w:val="yellow"/>
        </w:rPr>
        <w:t>HCl</w:t>
      </w:r>
      <w:proofErr w:type="spellEnd"/>
      <w:r w:rsidR="00EE4742" w:rsidRPr="00EE4742">
        <w:rPr>
          <w:rFonts w:ascii="Arial" w:hAnsi="Arial" w:cs="Arial"/>
          <w:sz w:val="20"/>
          <w:szCs w:val="20"/>
          <w:highlight w:val="yellow"/>
        </w:rPr>
        <w:t>) is not currently subject to any Risk Evaluation and Mitigation Strategies (REMS) program.</w:t>
      </w:r>
      <w:r w:rsidR="00EE4742" w:rsidRPr="00EE4742">
        <w:rPr>
          <w:rFonts w:ascii="Arial" w:hAnsi="Arial" w:cs="Arial"/>
          <w:sz w:val="20"/>
          <w:szCs w:val="20"/>
          <w:highlight w:val="yellow"/>
          <w:vertAlign w:val="superscript"/>
        </w:rPr>
        <w:t>6</w:t>
      </w:r>
    </w:p>
    <w:p w:rsidR="003A1B44" w:rsidRDefault="003A1B44" w:rsidP="003A1B44">
      <w:pPr>
        <w:spacing w:after="0"/>
        <w:rPr>
          <w:rFonts w:ascii="Arial" w:hAnsi="Arial" w:cs="Arial"/>
          <w:b/>
          <w:iCs/>
          <w:sz w:val="20"/>
          <w:szCs w:val="20"/>
          <w:u w:val="single"/>
        </w:rPr>
      </w:pPr>
      <w:r>
        <w:rPr>
          <w:rFonts w:ascii="Arial" w:hAnsi="Arial" w:cs="Arial"/>
          <w:b/>
          <w:iCs/>
          <w:sz w:val="20"/>
          <w:szCs w:val="20"/>
          <w:u w:val="single"/>
        </w:rPr>
        <w:lastRenderedPageBreak/>
        <w:t>Reference Data</w:t>
      </w:r>
    </w:p>
    <w:p w:rsidR="00002388" w:rsidRPr="007F0562" w:rsidRDefault="005375FE" w:rsidP="003A1B44">
      <w:pPr>
        <w:spacing w:after="0" w:line="240" w:lineRule="auto"/>
        <w:rPr>
          <w:rFonts w:ascii="Arial" w:hAnsi="Arial" w:cs="Arial"/>
          <w:b/>
          <w:iCs/>
          <w:szCs w:val="20"/>
          <w:u w:val="single"/>
          <w:vertAlign w:val="superscript"/>
        </w:rPr>
      </w:pPr>
      <w:r>
        <w:rPr>
          <w:rFonts w:ascii="Arial" w:eastAsia="Times New Roman" w:hAnsi="Arial" w:cs="Arial"/>
          <w:sz w:val="20"/>
          <w:szCs w:val="20"/>
        </w:rPr>
        <w:t>Oxy</w:t>
      </w:r>
      <w:r w:rsidR="003E58B0">
        <w:rPr>
          <w:rFonts w:ascii="Arial" w:eastAsia="Times New Roman" w:hAnsi="Arial" w:cs="Arial"/>
          <w:sz w:val="20"/>
          <w:szCs w:val="20"/>
        </w:rPr>
        <w:t>codone</w:t>
      </w:r>
      <w:r w:rsidR="00F564BA">
        <w:rPr>
          <w:rFonts w:ascii="Arial" w:eastAsia="Times New Roman" w:hAnsi="Arial" w:cs="Arial"/>
          <w:sz w:val="20"/>
          <w:szCs w:val="20"/>
        </w:rPr>
        <w:t xml:space="preserve"> </w:t>
      </w:r>
      <w:r w:rsidR="00FB4E9A">
        <w:rPr>
          <w:rFonts w:ascii="Arial" w:eastAsia="Times New Roman" w:hAnsi="Arial" w:cs="Arial"/>
          <w:sz w:val="20"/>
          <w:szCs w:val="20"/>
        </w:rPr>
        <w:t xml:space="preserve">HCl </w:t>
      </w:r>
      <w:r w:rsidR="00002388" w:rsidRPr="008B0860">
        <w:rPr>
          <w:rFonts w:ascii="Arial" w:eastAsia="Times New Roman" w:hAnsi="Arial" w:cs="Arial"/>
          <w:sz w:val="20"/>
          <w:szCs w:val="20"/>
        </w:rPr>
        <w:t xml:space="preserve">is a </w:t>
      </w:r>
      <w:r w:rsidR="003E58B0">
        <w:rPr>
          <w:rFonts w:ascii="Arial" w:eastAsia="Times New Roman" w:hAnsi="Arial" w:cs="Arial"/>
          <w:sz w:val="20"/>
          <w:szCs w:val="20"/>
        </w:rPr>
        <w:t xml:space="preserve">pure </w:t>
      </w:r>
      <w:r w:rsidR="00002388" w:rsidRPr="008B0860">
        <w:rPr>
          <w:rFonts w:ascii="Arial" w:eastAsia="Times New Roman" w:hAnsi="Arial" w:cs="Arial"/>
          <w:sz w:val="20"/>
          <w:szCs w:val="20"/>
        </w:rPr>
        <w:t xml:space="preserve">opioid agonist </w:t>
      </w:r>
      <w:r w:rsidR="00002388">
        <w:rPr>
          <w:rFonts w:ascii="Arial" w:eastAsia="Times New Roman" w:hAnsi="Arial" w:cs="Arial"/>
          <w:sz w:val="20"/>
          <w:szCs w:val="20"/>
        </w:rPr>
        <w:t>that</w:t>
      </w:r>
      <w:r w:rsidR="00002388" w:rsidRPr="008B0860">
        <w:rPr>
          <w:rFonts w:ascii="Arial" w:eastAsia="Times New Roman" w:hAnsi="Arial" w:cs="Arial"/>
          <w:sz w:val="20"/>
          <w:szCs w:val="20"/>
        </w:rPr>
        <w:t xml:space="preserve"> is relatively selective for the </w:t>
      </w:r>
      <w:r w:rsidR="00B668A6">
        <w:rPr>
          <w:rFonts w:ascii="Arial" w:hAnsi="Arial" w:cs="Arial"/>
          <w:sz w:val="20"/>
          <w:szCs w:val="20"/>
        </w:rPr>
        <w:t>µ</w:t>
      </w:r>
      <w:r w:rsidR="00002388" w:rsidRPr="008B0860">
        <w:rPr>
          <w:rFonts w:ascii="Arial" w:eastAsia="Times New Roman" w:hAnsi="Arial" w:cs="Arial"/>
          <w:sz w:val="20"/>
          <w:szCs w:val="20"/>
        </w:rPr>
        <w:t xml:space="preserve"> </w:t>
      </w:r>
      <w:r w:rsidR="00E878A8">
        <w:rPr>
          <w:rFonts w:ascii="Arial" w:eastAsia="Times New Roman" w:hAnsi="Arial" w:cs="Arial"/>
          <w:sz w:val="20"/>
          <w:szCs w:val="20"/>
        </w:rPr>
        <w:t xml:space="preserve">opioid </w:t>
      </w:r>
      <w:r w:rsidR="00002388" w:rsidRPr="008B0860">
        <w:rPr>
          <w:rFonts w:ascii="Arial" w:eastAsia="Times New Roman" w:hAnsi="Arial" w:cs="Arial"/>
          <w:sz w:val="20"/>
          <w:szCs w:val="20"/>
        </w:rPr>
        <w:t>recept</w:t>
      </w:r>
      <w:r w:rsidR="00002388">
        <w:rPr>
          <w:rFonts w:ascii="Arial" w:eastAsia="Times New Roman" w:hAnsi="Arial" w:cs="Arial"/>
          <w:sz w:val="20"/>
          <w:szCs w:val="20"/>
        </w:rPr>
        <w:t xml:space="preserve">or. It </w:t>
      </w:r>
      <w:r w:rsidR="00CB48BB" w:rsidRPr="008B0860">
        <w:rPr>
          <w:rFonts w:ascii="Arial" w:eastAsia="Times New Roman" w:hAnsi="Arial" w:cs="Arial"/>
          <w:sz w:val="20"/>
          <w:szCs w:val="20"/>
        </w:rPr>
        <w:t>can</w:t>
      </w:r>
      <w:r w:rsidR="00B668A6">
        <w:rPr>
          <w:rFonts w:ascii="Arial" w:eastAsia="Times New Roman" w:hAnsi="Arial" w:cs="Arial"/>
          <w:sz w:val="20"/>
          <w:szCs w:val="20"/>
        </w:rPr>
        <w:t>,</w:t>
      </w:r>
      <w:r w:rsidR="00CB48BB">
        <w:rPr>
          <w:rFonts w:ascii="Arial" w:eastAsia="Times New Roman" w:hAnsi="Arial" w:cs="Arial"/>
          <w:sz w:val="20"/>
          <w:szCs w:val="20"/>
        </w:rPr>
        <w:t xml:space="preserve"> </w:t>
      </w:r>
      <w:r w:rsidR="00CB48BB" w:rsidRPr="008B0860">
        <w:rPr>
          <w:rFonts w:ascii="Arial" w:eastAsia="Times New Roman" w:hAnsi="Arial" w:cs="Arial"/>
          <w:sz w:val="20"/>
          <w:szCs w:val="20"/>
        </w:rPr>
        <w:t>however</w:t>
      </w:r>
      <w:r w:rsidR="00B668A6">
        <w:rPr>
          <w:rFonts w:ascii="Arial" w:eastAsia="Times New Roman" w:hAnsi="Arial" w:cs="Arial"/>
          <w:sz w:val="20"/>
          <w:szCs w:val="20"/>
        </w:rPr>
        <w:t>,</w:t>
      </w:r>
      <w:r w:rsidR="00002388">
        <w:rPr>
          <w:rFonts w:ascii="Arial" w:eastAsia="Times New Roman" w:hAnsi="Arial" w:cs="Arial"/>
          <w:sz w:val="20"/>
          <w:szCs w:val="20"/>
        </w:rPr>
        <w:t xml:space="preserve"> </w:t>
      </w:r>
      <w:r w:rsidR="00002388" w:rsidRPr="008B0860">
        <w:rPr>
          <w:rFonts w:ascii="Arial" w:eastAsia="Times New Roman" w:hAnsi="Arial" w:cs="Arial"/>
          <w:sz w:val="20"/>
          <w:szCs w:val="20"/>
        </w:rPr>
        <w:t xml:space="preserve">bind to other opioid receptors at higher doses. </w:t>
      </w:r>
      <w:r w:rsidR="00002388">
        <w:rPr>
          <w:rFonts w:ascii="Arial" w:eastAsia="Times New Roman" w:hAnsi="Arial" w:cs="Arial"/>
          <w:sz w:val="20"/>
          <w:szCs w:val="20"/>
        </w:rPr>
        <w:t>Although the</w:t>
      </w:r>
      <w:r w:rsidR="00002388" w:rsidRPr="008B0860">
        <w:rPr>
          <w:rFonts w:ascii="Arial" w:eastAsia="Times New Roman" w:hAnsi="Arial" w:cs="Arial"/>
          <w:sz w:val="20"/>
          <w:szCs w:val="20"/>
        </w:rPr>
        <w:t xml:space="preserve"> precise mechanism of </w:t>
      </w:r>
      <w:r w:rsidR="00002388">
        <w:rPr>
          <w:rFonts w:ascii="Arial" w:eastAsia="Times New Roman" w:hAnsi="Arial" w:cs="Arial"/>
          <w:sz w:val="20"/>
          <w:szCs w:val="20"/>
        </w:rPr>
        <w:t>action is unknown</w:t>
      </w:r>
      <w:r w:rsidR="00002388" w:rsidRPr="008B0860">
        <w:rPr>
          <w:rFonts w:ascii="Arial" w:eastAsia="Times New Roman" w:hAnsi="Arial" w:cs="Arial"/>
          <w:sz w:val="20"/>
          <w:szCs w:val="20"/>
        </w:rPr>
        <w:t xml:space="preserve">, specific </w:t>
      </w:r>
      <w:r w:rsidR="00002388">
        <w:rPr>
          <w:rFonts w:ascii="Arial" w:eastAsia="Times New Roman" w:hAnsi="Arial" w:cs="Arial"/>
          <w:sz w:val="20"/>
          <w:szCs w:val="20"/>
        </w:rPr>
        <w:t>central nervous system (</w:t>
      </w:r>
      <w:r w:rsidR="00002388" w:rsidRPr="008B0860">
        <w:rPr>
          <w:rFonts w:ascii="Arial" w:eastAsia="Times New Roman" w:hAnsi="Arial" w:cs="Arial"/>
          <w:sz w:val="20"/>
          <w:szCs w:val="20"/>
        </w:rPr>
        <w:t>CNS</w:t>
      </w:r>
      <w:r w:rsidR="00002388">
        <w:rPr>
          <w:rFonts w:ascii="Arial" w:eastAsia="Times New Roman" w:hAnsi="Arial" w:cs="Arial"/>
          <w:sz w:val="20"/>
          <w:szCs w:val="20"/>
        </w:rPr>
        <w:t>)</w:t>
      </w:r>
      <w:r w:rsidR="00002388" w:rsidRPr="008B0860">
        <w:rPr>
          <w:rFonts w:ascii="Arial" w:eastAsia="Times New Roman" w:hAnsi="Arial" w:cs="Arial"/>
          <w:sz w:val="20"/>
          <w:szCs w:val="20"/>
        </w:rPr>
        <w:t xml:space="preserve"> opioid receptors for endogenous compounds with </w:t>
      </w:r>
      <w:r>
        <w:rPr>
          <w:rFonts w:ascii="Arial" w:eastAsia="Times New Roman" w:hAnsi="Arial" w:cs="Arial"/>
          <w:sz w:val="20"/>
          <w:szCs w:val="20"/>
        </w:rPr>
        <w:t>morphine</w:t>
      </w:r>
      <w:r w:rsidR="00002388" w:rsidRPr="008B0860">
        <w:rPr>
          <w:rFonts w:ascii="Arial" w:eastAsia="Times New Roman" w:hAnsi="Arial" w:cs="Arial"/>
          <w:sz w:val="20"/>
          <w:szCs w:val="20"/>
        </w:rPr>
        <w:t>-like activity have been identified throughout the brain and spinal cord and are thought to play a role in the analgesic effects of this drug.</w:t>
      </w:r>
      <w:r w:rsidR="00F564BA">
        <w:rPr>
          <w:rFonts w:ascii="Arial" w:eastAsia="Times New Roman" w:hAnsi="Arial" w:cs="Arial"/>
          <w:sz w:val="20"/>
          <w:szCs w:val="20"/>
          <w:vertAlign w:val="superscript"/>
        </w:rPr>
        <w:t>1,2</w:t>
      </w:r>
      <w:r w:rsidR="00577595">
        <w:rPr>
          <w:rFonts w:ascii="Arial" w:eastAsia="Times New Roman" w:hAnsi="Arial" w:cs="Arial"/>
          <w:sz w:val="20"/>
          <w:szCs w:val="20"/>
          <w:vertAlign w:val="superscript"/>
        </w:rPr>
        <w:t xml:space="preserve">  </w:t>
      </w:r>
      <w:r w:rsidR="007F0562">
        <w:rPr>
          <w:rFonts w:ascii="Arial" w:hAnsi="Arial" w:cs="Arial"/>
          <w:sz w:val="20"/>
          <w:szCs w:val="20"/>
        </w:rPr>
        <w:t xml:space="preserve">In addition to the analgesic effect, the binding </w:t>
      </w:r>
      <w:r w:rsidR="007F0562" w:rsidRPr="00A94F49">
        <w:rPr>
          <w:rFonts w:ascii="Arial" w:hAnsi="Arial" w:cs="Arial"/>
          <w:sz w:val="20"/>
          <w:szCs w:val="20"/>
        </w:rPr>
        <w:t xml:space="preserve">of </w:t>
      </w:r>
      <w:proofErr w:type="spellStart"/>
      <w:r w:rsidR="002268D7">
        <w:rPr>
          <w:rFonts w:ascii="Arial" w:hAnsi="Arial" w:cs="Arial"/>
          <w:sz w:val="20"/>
          <w:szCs w:val="20"/>
        </w:rPr>
        <w:t>Oxaydo</w:t>
      </w:r>
      <w:proofErr w:type="spellEnd"/>
      <w:r w:rsidR="002268D7" w:rsidRPr="002439F4">
        <w:rPr>
          <w:rFonts w:ascii="Arial" w:hAnsi="Arial" w:cs="Arial"/>
          <w:sz w:val="20"/>
          <w:szCs w:val="20"/>
          <w:vertAlign w:val="superscript"/>
        </w:rPr>
        <w:t>®</w:t>
      </w:r>
      <w:r w:rsidR="002268D7">
        <w:rPr>
          <w:rFonts w:ascii="Arial" w:hAnsi="Arial" w:cs="Arial"/>
          <w:sz w:val="20"/>
          <w:szCs w:val="20"/>
        </w:rPr>
        <w:t xml:space="preserve"> (oxycodone </w:t>
      </w:r>
      <w:proofErr w:type="spellStart"/>
      <w:r w:rsidR="002268D7" w:rsidRPr="002439F4">
        <w:rPr>
          <w:rFonts w:ascii="Arial" w:hAnsi="Arial" w:cs="Arial"/>
          <w:sz w:val="20"/>
          <w:szCs w:val="20"/>
        </w:rPr>
        <w:t>HCl</w:t>
      </w:r>
      <w:proofErr w:type="spellEnd"/>
      <w:r w:rsidR="002268D7">
        <w:rPr>
          <w:rFonts w:ascii="Arial" w:hAnsi="Arial" w:cs="Arial"/>
          <w:sz w:val="20"/>
          <w:szCs w:val="20"/>
        </w:rPr>
        <w:t xml:space="preserve">) </w:t>
      </w:r>
      <w:r w:rsidR="007F0562" w:rsidRPr="00A94F49">
        <w:rPr>
          <w:rFonts w:ascii="Arial" w:hAnsi="Arial" w:cs="Arial"/>
          <w:sz w:val="20"/>
          <w:szCs w:val="20"/>
        </w:rPr>
        <w:t xml:space="preserve">to </w:t>
      </w:r>
      <w:r w:rsidR="007F0562">
        <w:rPr>
          <w:rFonts w:ascii="Arial" w:hAnsi="Arial" w:cs="Arial"/>
          <w:sz w:val="20"/>
          <w:szCs w:val="20"/>
        </w:rPr>
        <w:t>µ</w:t>
      </w:r>
      <w:r w:rsidR="007F0562" w:rsidRPr="00A94F49">
        <w:rPr>
          <w:rFonts w:ascii="Arial" w:hAnsi="Arial" w:cs="Arial"/>
          <w:sz w:val="20"/>
          <w:szCs w:val="20"/>
        </w:rPr>
        <w:t xml:space="preserve"> receptors produces a variety of other </w:t>
      </w:r>
      <w:r w:rsidR="007F0562">
        <w:rPr>
          <w:rFonts w:ascii="Arial" w:hAnsi="Arial" w:cs="Arial"/>
          <w:sz w:val="20"/>
          <w:szCs w:val="20"/>
        </w:rPr>
        <w:t xml:space="preserve">potential unwanted side </w:t>
      </w:r>
      <w:r w:rsidR="007F0562" w:rsidRPr="00A94F49">
        <w:rPr>
          <w:rFonts w:ascii="Arial" w:hAnsi="Arial" w:cs="Arial"/>
          <w:sz w:val="20"/>
          <w:szCs w:val="20"/>
        </w:rPr>
        <w:t xml:space="preserve">effects including bradycardia, sedation, euphoria, physical dependence, and </w:t>
      </w:r>
      <w:r w:rsidR="007F0562">
        <w:rPr>
          <w:rFonts w:ascii="Arial" w:hAnsi="Arial" w:cs="Arial"/>
          <w:sz w:val="20"/>
          <w:szCs w:val="20"/>
        </w:rPr>
        <w:t>potentially respiratory depression.</w:t>
      </w:r>
      <w:r w:rsidR="007F0562">
        <w:rPr>
          <w:rFonts w:ascii="Arial" w:hAnsi="Arial" w:cs="Arial"/>
          <w:sz w:val="20"/>
          <w:szCs w:val="20"/>
          <w:vertAlign w:val="superscript"/>
        </w:rPr>
        <w:t>1,2</w:t>
      </w:r>
    </w:p>
    <w:p w:rsidR="00CB48BB" w:rsidRPr="008B0860" w:rsidRDefault="00CB48BB" w:rsidP="00002388">
      <w:pPr>
        <w:widowControl w:val="0"/>
        <w:tabs>
          <w:tab w:val="left" w:pos="369"/>
        </w:tabs>
        <w:kinsoku w:val="0"/>
        <w:overflowPunct w:val="0"/>
        <w:autoSpaceDE w:val="0"/>
        <w:autoSpaceDN w:val="0"/>
        <w:adjustRightInd w:val="0"/>
        <w:spacing w:after="0" w:line="240" w:lineRule="auto"/>
        <w:rPr>
          <w:rFonts w:ascii="Arial" w:eastAsia="Times New Roman" w:hAnsi="Arial" w:cs="Arial"/>
          <w:sz w:val="20"/>
          <w:szCs w:val="20"/>
        </w:rPr>
      </w:pPr>
    </w:p>
    <w:p w:rsidR="00177E99" w:rsidRPr="001E00E6" w:rsidRDefault="0019088E" w:rsidP="00733EED">
      <w:pPr>
        <w:widowControl w:val="0"/>
        <w:tabs>
          <w:tab w:val="left" w:pos="369"/>
        </w:tabs>
        <w:kinsoku w:val="0"/>
        <w:overflowPunct w:val="0"/>
        <w:autoSpaceDE w:val="0"/>
        <w:autoSpaceDN w:val="0"/>
        <w:adjustRightInd w:val="0"/>
        <w:spacing w:line="240" w:lineRule="auto"/>
        <w:rPr>
          <w:rFonts w:ascii="Arial" w:eastAsia="Times New Roman" w:hAnsi="Arial" w:cs="Arial"/>
          <w:sz w:val="20"/>
          <w:szCs w:val="20"/>
          <w:vertAlign w:val="superscript"/>
        </w:rPr>
      </w:pPr>
      <w:r>
        <w:rPr>
          <w:rFonts w:ascii="Arial" w:hAnsi="Arial" w:cs="Arial"/>
          <w:sz w:val="20"/>
          <w:szCs w:val="20"/>
        </w:rPr>
        <w:t xml:space="preserve">This agent joins </w:t>
      </w:r>
      <w:r w:rsidR="00733EED">
        <w:rPr>
          <w:rFonts w:ascii="Arial" w:hAnsi="Arial" w:cs="Arial"/>
          <w:sz w:val="20"/>
          <w:szCs w:val="20"/>
        </w:rPr>
        <w:t xml:space="preserve">multiple other </w:t>
      </w:r>
      <w:r w:rsidR="00FB4E9A">
        <w:rPr>
          <w:rFonts w:ascii="Arial" w:hAnsi="Arial" w:cs="Arial"/>
          <w:sz w:val="20"/>
          <w:szCs w:val="20"/>
        </w:rPr>
        <w:t>short</w:t>
      </w:r>
      <w:r w:rsidR="00733EED">
        <w:rPr>
          <w:rFonts w:ascii="Arial" w:hAnsi="Arial" w:cs="Arial"/>
          <w:sz w:val="20"/>
          <w:szCs w:val="20"/>
        </w:rPr>
        <w:t>-acting opioids avail</w:t>
      </w:r>
      <w:r>
        <w:rPr>
          <w:rFonts w:ascii="Arial" w:hAnsi="Arial" w:cs="Arial"/>
          <w:sz w:val="20"/>
          <w:szCs w:val="20"/>
        </w:rPr>
        <w:t xml:space="preserve">able on the </w:t>
      </w:r>
      <w:r w:rsidR="002268D7">
        <w:rPr>
          <w:rFonts w:ascii="Arial" w:hAnsi="Arial" w:cs="Arial"/>
          <w:sz w:val="20"/>
          <w:szCs w:val="20"/>
        </w:rPr>
        <w:t>market;</w:t>
      </w:r>
      <w:r>
        <w:rPr>
          <w:rFonts w:ascii="Arial" w:hAnsi="Arial" w:cs="Arial"/>
          <w:sz w:val="20"/>
          <w:szCs w:val="20"/>
        </w:rPr>
        <w:t xml:space="preserve"> </w:t>
      </w:r>
      <w:r w:rsidR="00FB4E9A">
        <w:rPr>
          <w:rFonts w:ascii="Arial" w:hAnsi="Arial" w:cs="Arial"/>
          <w:sz w:val="20"/>
          <w:szCs w:val="20"/>
        </w:rPr>
        <w:t xml:space="preserve">however, as of now </w:t>
      </w:r>
      <w:proofErr w:type="spellStart"/>
      <w:r w:rsidR="00FB4E9A" w:rsidRPr="002439F4">
        <w:rPr>
          <w:rFonts w:ascii="Arial" w:hAnsi="Arial" w:cs="Arial"/>
          <w:sz w:val="20"/>
          <w:szCs w:val="20"/>
        </w:rPr>
        <w:t>O</w:t>
      </w:r>
      <w:r w:rsidR="00FB4E9A">
        <w:rPr>
          <w:rFonts w:ascii="Arial" w:hAnsi="Arial" w:cs="Arial"/>
          <w:sz w:val="20"/>
          <w:szCs w:val="20"/>
        </w:rPr>
        <w:t>xaydo</w:t>
      </w:r>
      <w:proofErr w:type="spellEnd"/>
      <w:r w:rsidR="00FB4E9A" w:rsidRPr="002439F4">
        <w:rPr>
          <w:rFonts w:ascii="Arial" w:hAnsi="Arial" w:cs="Arial"/>
          <w:sz w:val="20"/>
          <w:szCs w:val="20"/>
          <w:vertAlign w:val="superscript"/>
        </w:rPr>
        <w:t>®</w:t>
      </w:r>
      <w:r w:rsidR="00FB4E9A">
        <w:rPr>
          <w:rFonts w:ascii="Arial" w:hAnsi="Arial" w:cs="Arial"/>
          <w:sz w:val="20"/>
          <w:szCs w:val="20"/>
          <w:vertAlign w:val="superscript"/>
        </w:rPr>
        <w:t xml:space="preserve"> </w:t>
      </w:r>
      <w:r w:rsidR="00FB4E9A">
        <w:rPr>
          <w:rFonts w:ascii="Arial" w:hAnsi="Arial" w:cs="Arial"/>
          <w:sz w:val="20"/>
          <w:szCs w:val="20"/>
        </w:rPr>
        <w:t xml:space="preserve">(oxycodone </w:t>
      </w:r>
      <w:proofErr w:type="spellStart"/>
      <w:r w:rsidR="00FB4E9A">
        <w:rPr>
          <w:rFonts w:ascii="Arial" w:hAnsi="Arial" w:cs="Arial"/>
          <w:sz w:val="20"/>
          <w:szCs w:val="20"/>
        </w:rPr>
        <w:t>HCl</w:t>
      </w:r>
      <w:proofErr w:type="spellEnd"/>
      <w:r w:rsidR="00FB4E9A">
        <w:rPr>
          <w:rFonts w:ascii="Arial" w:hAnsi="Arial" w:cs="Arial"/>
          <w:sz w:val="20"/>
          <w:szCs w:val="20"/>
        </w:rPr>
        <w:t xml:space="preserve">) is the only agent </w:t>
      </w:r>
      <w:r w:rsidR="002268D7">
        <w:rPr>
          <w:rFonts w:ascii="Arial" w:hAnsi="Arial" w:cs="Arial"/>
          <w:sz w:val="20"/>
          <w:szCs w:val="20"/>
        </w:rPr>
        <w:t xml:space="preserve">presently available with </w:t>
      </w:r>
      <w:r w:rsidR="006F018C">
        <w:rPr>
          <w:rFonts w:ascii="Arial" w:hAnsi="Arial" w:cs="Arial"/>
          <w:sz w:val="20"/>
          <w:szCs w:val="20"/>
        </w:rPr>
        <w:t xml:space="preserve">aversion </w:t>
      </w:r>
      <w:r w:rsidR="002268D7">
        <w:rPr>
          <w:rFonts w:ascii="Arial" w:hAnsi="Arial" w:cs="Arial"/>
          <w:sz w:val="20"/>
          <w:szCs w:val="20"/>
        </w:rPr>
        <w:t>technology</w:t>
      </w:r>
      <w:r w:rsidR="00733EED">
        <w:rPr>
          <w:rFonts w:ascii="Arial" w:hAnsi="Arial" w:cs="Arial"/>
          <w:sz w:val="20"/>
          <w:szCs w:val="20"/>
        </w:rPr>
        <w:t>.</w:t>
      </w:r>
      <w:r>
        <w:rPr>
          <w:rFonts w:ascii="Arial" w:hAnsi="Arial" w:cs="Arial"/>
          <w:sz w:val="20"/>
          <w:szCs w:val="20"/>
          <w:vertAlign w:val="superscript"/>
        </w:rPr>
        <w:t>2</w:t>
      </w:r>
      <w:r w:rsidR="003A1B44">
        <w:rPr>
          <w:rFonts w:ascii="Arial" w:hAnsi="Arial" w:cs="Arial"/>
          <w:sz w:val="20"/>
          <w:szCs w:val="20"/>
        </w:rPr>
        <w:t xml:space="preserve"> A list of these</w:t>
      </w:r>
      <w:r w:rsidR="00733EED">
        <w:rPr>
          <w:rFonts w:ascii="Arial" w:hAnsi="Arial" w:cs="Arial"/>
          <w:sz w:val="20"/>
          <w:szCs w:val="20"/>
        </w:rPr>
        <w:t xml:space="preserve"> medications is shown below in Table1.</w:t>
      </w:r>
    </w:p>
    <w:p w:rsidR="00B654D6" w:rsidRPr="00404730" w:rsidRDefault="00B654D6" w:rsidP="00B654D6">
      <w:pPr>
        <w:spacing w:after="0" w:line="240" w:lineRule="auto"/>
        <w:rPr>
          <w:rFonts w:ascii="Arial" w:hAnsi="Arial" w:cs="Arial"/>
          <w:b/>
          <w:sz w:val="20"/>
          <w:szCs w:val="20"/>
          <w:vertAlign w:val="superscript"/>
        </w:rPr>
      </w:pPr>
      <w:r w:rsidRPr="00B654D6">
        <w:rPr>
          <w:rFonts w:ascii="Arial" w:hAnsi="Arial" w:cs="Arial"/>
          <w:b/>
          <w:sz w:val="20"/>
          <w:szCs w:val="20"/>
        </w:rPr>
        <w:t>Table 1. Short-Acting Opioid Availability</w:t>
      </w:r>
      <w:r w:rsidR="00404730">
        <w:rPr>
          <w:rFonts w:ascii="Arial" w:hAnsi="Arial" w:cs="Arial"/>
          <w:b/>
          <w:sz w:val="20"/>
          <w:szCs w:val="20"/>
          <w:vertAlign w:val="superscript"/>
        </w:rPr>
        <w:t>2</w:t>
      </w:r>
    </w:p>
    <w:tbl>
      <w:tblPr>
        <w:tblW w:w="493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0"/>
        <w:gridCol w:w="3060"/>
        <w:gridCol w:w="2520"/>
      </w:tblGrid>
      <w:tr w:rsidR="00B654D6" w:rsidRPr="00237CFD" w:rsidTr="00B654D6">
        <w:trPr>
          <w:tblHeader/>
        </w:trPr>
        <w:tc>
          <w:tcPr>
            <w:tcW w:w="3870" w:type="dxa"/>
            <w:tcBorders>
              <w:bottom w:val="single" w:sz="4" w:space="0" w:color="000000"/>
            </w:tcBorders>
            <w:shd w:val="clear" w:color="auto" w:fill="C0C0C0"/>
            <w:vAlign w:val="center"/>
          </w:tcPr>
          <w:p w:rsidR="00B654D6" w:rsidRPr="00237CFD" w:rsidRDefault="00B654D6" w:rsidP="00B654D6">
            <w:pPr>
              <w:spacing w:after="0" w:line="240" w:lineRule="auto"/>
              <w:jc w:val="center"/>
              <w:rPr>
                <w:rFonts w:ascii="Arial" w:hAnsi="Arial" w:cs="Arial"/>
                <w:b/>
                <w:sz w:val="20"/>
                <w:szCs w:val="20"/>
              </w:rPr>
            </w:pPr>
            <w:r w:rsidRPr="00237CFD">
              <w:rPr>
                <w:rFonts w:ascii="Arial" w:hAnsi="Arial" w:cs="Arial"/>
                <w:b/>
                <w:sz w:val="20"/>
                <w:szCs w:val="20"/>
              </w:rPr>
              <w:t>Generic Name (Trade name)</w:t>
            </w:r>
          </w:p>
        </w:tc>
        <w:tc>
          <w:tcPr>
            <w:tcW w:w="3060" w:type="dxa"/>
            <w:tcBorders>
              <w:bottom w:val="single" w:sz="4" w:space="0" w:color="000000"/>
            </w:tcBorders>
            <w:shd w:val="clear" w:color="auto" w:fill="C0C0C0"/>
          </w:tcPr>
          <w:p w:rsidR="00B654D6" w:rsidRPr="00237CFD" w:rsidRDefault="00B654D6" w:rsidP="00B654D6">
            <w:pPr>
              <w:spacing w:after="0" w:line="240" w:lineRule="auto"/>
              <w:jc w:val="center"/>
              <w:rPr>
                <w:rFonts w:ascii="Arial" w:hAnsi="Arial" w:cs="Arial"/>
                <w:b/>
                <w:sz w:val="20"/>
                <w:szCs w:val="20"/>
              </w:rPr>
            </w:pPr>
            <w:r w:rsidRPr="00237CFD">
              <w:rPr>
                <w:rFonts w:ascii="Arial" w:hAnsi="Arial" w:cs="Arial"/>
                <w:b/>
                <w:sz w:val="20"/>
                <w:szCs w:val="20"/>
              </w:rPr>
              <w:t>Abuse Deterrent Formulation Available</w:t>
            </w:r>
          </w:p>
        </w:tc>
        <w:tc>
          <w:tcPr>
            <w:tcW w:w="2520" w:type="dxa"/>
            <w:tcBorders>
              <w:bottom w:val="single" w:sz="4" w:space="0" w:color="000000"/>
            </w:tcBorders>
            <w:shd w:val="clear" w:color="auto" w:fill="C0C0C0"/>
          </w:tcPr>
          <w:p w:rsidR="00B654D6" w:rsidRPr="00237CFD" w:rsidRDefault="00B654D6" w:rsidP="00B654D6">
            <w:pPr>
              <w:spacing w:after="0" w:line="240" w:lineRule="auto"/>
              <w:jc w:val="center"/>
              <w:rPr>
                <w:rFonts w:ascii="Arial" w:hAnsi="Arial" w:cs="Arial"/>
                <w:b/>
                <w:sz w:val="20"/>
                <w:szCs w:val="20"/>
              </w:rPr>
            </w:pPr>
            <w:r w:rsidRPr="00237CFD">
              <w:rPr>
                <w:rFonts w:ascii="Arial" w:hAnsi="Arial" w:cs="Arial"/>
                <w:b/>
                <w:sz w:val="20"/>
                <w:szCs w:val="20"/>
              </w:rPr>
              <w:t xml:space="preserve">Commercially Available </w:t>
            </w:r>
          </w:p>
        </w:tc>
      </w:tr>
      <w:tr w:rsidR="00B654D6" w:rsidRPr="00237CFD" w:rsidTr="00B654D6">
        <w:tc>
          <w:tcPr>
            <w:tcW w:w="9450" w:type="dxa"/>
            <w:gridSpan w:val="3"/>
            <w:shd w:val="pct15" w:color="auto" w:fill="auto"/>
          </w:tcPr>
          <w:p w:rsidR="00B654D6" w:rsidRPr="00237CFD" w:rsidRDefault="00B654D6" w:rsidP="00B654D6">
            <w:pPr>
              <w:spacing w:after="0" w:line="240" w:lineRule="auto"/>
              <w:jc w:val="center"/>
              <w:rPr>
                <w:rFonts w:ascii="Arial" w:eastAsia="MS Gothic" w:hAnsi="Arial" w:cs="Arial"/>
                <w:b/>
                <w:sz w:val="20"/>
                <w:szCs w:val="20"/>
              </w:rPr>
            </w:pPr>
            <w:r w:rsidRPr="00237CFD">
              <w:rPr>
                <w:rFonts w:ascii="Arial" w:eastAsia="MS Gothic" w:hAnsi="Arial" w:cs="Arial"/>
                <w:b/>
                <w:sz w:val="20"/>
                <w:szCs w:val="20"/>
              </w:rPr>
              <w:t>Single-Agent Analgesics</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Codeine*</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Fentanyl (Abstral</w:t>
            </w:r>
            <w:r w:rsidRPr="00237CFD">
              <w:rPr>
                <w:rFonts w:ascii="Arial" w:hAnsi="Arial" w:cs="Arial"/>
                <w:sz w:val="20"/>
                <w:szCs w:val="20"/>
                <w:vertAlign w:val="superscript"/>
              </w:rPr>
              <w:t>®</w:t>
            </w:r>
            <w:r w:rsidRPr="00237CFD">
              <w:rPr>
                <w:rFonts w:ascii="Arial" w:hAnsi="Arial" w:cs="Arial"/>
                <w:sz w:val="20"/>
                <w:szCs w:val="20"/>
              </w:rPr>
              <w:t>, Actiq</w:t>
            </w:r>
            <w:r w:rsidRPr="00237CFD">
              <w:rPr>
                <w:rFonts w:ascii="Arial" w:hAnsi="Arial" w:cs="Arial"/>
                <w:sz w:val="20"/>
                <w:szCs w:val="20"/>
                <w:vertAlign w:val="superscript"/>
              </w:rPr>
              <w:t xml:space="preserve">® </w:t>
            </w:r>
            <w:r w:rsidRPr="00237CFD">
              <w:rPr>
                <w:rFonts w:ascii="Arial" w:hAnsi="Arial" w:cs="Arial"/>
                <w:sz w:val="20"/>
                <w:szCs w:val="20"/>
              </w:rPr>
              <w:t>, Fentora</w:t>
            </w:r>
            <w:r w:rsidRPr="00237CFD">
              <w:rPr>
                <w:rFonts w:ascii="Arial" w:hAnsi="Arial" w:cs="Arial"/>
                <w:sz w:val="20"/>
                <w:szCs w:val="20"/>
                <w:vertAlign w:val="superscript"/>
              </w:rPr>
              <w:t>®</w:t>
            </w:r>
            <w:r w:rsidRPr="00237CFD">
              <w:rPr>
                <w:rFonts w:ascii="Arial" w:hAnsi="Arial" w:cs="Arial"/>
                <w:sz w:val="20"/>
                <w:szCs w:val="20"/>
              </w:rPr>
              <w:t>, Lazanda</w:t>
            </w:r>
            <w:r w:rsidRPr="00237CFD">
              <w:rPr>
                <w:rFonts w:ascii="Arial" w:hAnsi="Arial" w:cs="Arial"/>
                <w:sz w:val="20"/>
                <w:szCs w:val="20"/>
                <w:vertAlign w:val="superscript"/>
              </w:rPr>
              <w:t>®</w:t>
            </w:r>
            <w:r w:rsidRPr="00237CFD">
              <w:rPr>
                <w:rFonts w:ascii="Arial" w:hAnsi="Arial" w:cs="Arial"/>
                <w:sz w:val="20"/>
                <w:szCs w:val="20"/>
              </w:rPr>
              <w:t>,</w:t>
            </w:r>
            <w:r w:rsidR="00237CFD">
              <w:rPr>
                <w:rFonts w:ascii="Arial" w:hAnsi="Arial" w:cs="Arial"/>
                <w:sz w:val="20"/>
                <w:szCs w:val="20"/>
              </w:rPr>
              <w:t xml:space="preserve"> </w:t>
            </w:r>
            <w:r w:rsidRPr="00237CFD">
              <w:rPr>
                <w:rFonts w:ascii="Arial" w:hAnsi="Arial" w:cs="Arial"/>
                <w:sz w:val="20"/>
                <w:szCs w:val="20"/>
              </w:rPr>
              <w:t>Sublimaze</w:t>
            </w:r>
            <w:r w:rsidRPr="00237CFD">
              <w:rPr>
                <w:rFonts w:ascii="Arial" w:hAnsi="Arial" w:cs="Arial"/>
                <w:sz w:val="20"/>
                <w:szCs w:val="20"/>
                <w:vertAlign w:val="superscript"/>
              </w:rPr>
              <w:t>®</w:t>
            </w:r>
            <w:r w:rsidRPr="00237CFD">
              <w:rPr>
                <w:rFonts w:ascii="Arial" w:hAnsi="Arial" w:cs="Arial"/>
                <w:sz w:val="20"/>
                <w:szCs w:val="20"/>
              </w:rPr>
              <w:t>, Subsys</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rPr>
          <w:trHeight w:val="70"/>
        </w:trPr>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Hydromorphone (Dilaudid</w:t>
            </w:r>
            <w:r w:rsidRPr="00237CFD">
              <w:rPr>
                <w:rFonts w:ascii="Arial" w:eastAsia="Batang" w:hAnsi="Arial" w:cs="Arial"/>
                <w:sz w:val="20"/>
                <w:szCs w:val="20"/>
                <w:vertAlign w:val="superscript"/>
              </w:rPr>
              <w:t>®</w:t>
            </w:r>
            <w:r w:rsidRPr="00237CFD">
              <w:rPr>
                <w:rFonts w:ascii="Arial" w:eastAsia="Batang" w:hAnsi="Arial" w:cs="Arial"/>
                <w:sz w:val="20"/>
                <w:szCs w:val="20"/>
              </w:rPr>
              <w:t xml:space="preserve">, </w:t>
            </w:r>
            <w:r w:rsidRPr="00237CFD">
              <w:rPr>
                <w:rFonts w:ascii="Arial" w:hAnsi="Arial" w:cs="Arial"/>
                <w:sz w:val="20"/>
                <w:szCs w:val="20"/>
              </w:rPr>
              <w:t>Dilaudid HP</w:t>
            </w:r>
            <w:r w:rsidRPr="00237CFD">
              <w:rPr>
                <w:rFonts w:ascii="Arial" w:eastAsia="Batang" w:hAnsi="Arial" w:cs="Arial"/>
                <w:sz w:val="20"/>
                <w:szCs w:val="20"/>
                <w:vertAlign w:val="superscript"/>
              </w:rPr>
              <w:t>®</w:t>
            </w:r>
            <w:r w:rsidRPr="00237CFD">
              <w:rPr>
                <w:rFonts w:ascii="Arial" w:eastAsia="Batang"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Meperidine (Demerol</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Morphine (Duramorph</w:t>
            </w:r>
            <w:r w:rsidRPr="00237CFD">
              <w:rPr>
                <w:rFonts w:ascii="Arial" w:eastAsia="Batang" w:hAnsi="Arial" w:cs="Arial"/>
                <w:sz w:val="20"/>
                <w:szCs w:val="20"/>
                <w:vertAlign w:val="superscript"/>
              </w:rPr>
              <w:t>®</w:t>
            </w:r>
            <w:r w:rsidRPr="00237CFD">
              <w:rPr>
                <w:rFonts w:ascii="Arial" w:hAnsi="Arial" w:cs="Arial"/>
                <w:sz w:val="20"/>
                <w:szCs w:val="20"/>
              </w:rPr>
              <w:t>, Infumorph</w:t>
            </w:r>
            <w:r w:rsidRPr="00237CFD">
              <w:rPr>
                <w:rFonts w:ascii="Arial" w:eastAsia="Batang" w:hAnsi="Arial" w:cs="Arial"/>
                <w:sz w:val="20"/>
                <w:szCs w:val="20"/>
                <w:vertAlign w:val="superscript"/>
              </w:rPr>
              <w:t>®</w:t>
            </w:r>
            <w:r w:rsidRPr="00237CFD">
              <w:rPr>
                <w:rFonts w:ascii="Arial" w:hAnsi="Arial" w:cs="Arial"/>
                <w:sz w:val="20"/>
                <w:szCs w:val="20"/>
              </w:rPr>
              <w:t xml:space="preserve">, </w:t>
            </w:r>
            <w:r w:rsidRPr="00237CFD">
              <w:rPr>
                <w:rFonts w:ascii="Arial" w:eastAsia="Batang" w:hAnsi="Arial" w:cs="Arial"/>
                <w:sz w:val="20"/>
                <w:szCs w:val="20"/>
              </w:rPr>
              <w:t>MSIR</w:t>
            </w:r>
            <w:r w:rsidRPr="00237CFD">
              <w:rPr>
                <w:rFonts w:ascii="Arial" w:eastAsia="Batang" w:hAnsi="Arial" w:cs="Arial"/>
                <w:sz w:val="20"/>
                <w:szCs w:val="20"/>
                <w:vertAlign w:val="superscript"/>
              </w:rPr>
              <w:t>®</w:t>
            </w:r>
            <w:r w:rsidRPr="00237CFD">
              <w:rPr>
                <w:rFonts w:ascii="Arial" w:eastAsia="Batang"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Oxycodone (Roxicodone</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eastAsia="MS Gothic" w:hAnsi="Arial" w:cs="Arial"/>
                <w:sz w:val="20"/>
                <w:szCs w:val="20"/>
              </w:rPr>
            </w:pPr>
            <w:r w:rsidRPr="00237CFD">
              <w:rPr>
                <w:rFonts w:ascii="Arial" w:eastAsia="MS Gothic" w:hAnsi="Arial" w:cs="Arial"/>
                <w:sz w:val="20"/>
                <w:szCs w:val="20"/>
              </w:rPr>
              <w:t>-</w:t>
            </w:r>
          </w:p>
        </w:tc>
        <w:tc>
          <w:tcPr>
            <w:tcW w:w="2520" w:type="dxa"/>
          </w:tcPr>
          <w:p w:rsidR="00B654D6" w:rsidRPr="00237CFD" w:rsidRDefault="00B654D6" w:rsidP="00B654D6">
            <w:pPr>
              <w:spacing w:after="0" w:line="240" w:lineRule="auto"/>
              <w:jc w:val="center"/>
              <w:rPr>
                <w:rFonts w:ascii="Arial" w:eastAsia="MS Gothic"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Oxycodone (</w:t>
            </w:r>
            <w:proofErr w:type="spellStart"/>
            <w:r w:rsidRPr="00237CFD">
              <w:rPr>
                <w:rFonts w:ascii="Arial" w:hAnsi="Arial" w:cs="Arial"/>
                <w:sz w:val="20"/>
                <w:szCs w:val="20"/>
              </w:rPr>
              <w:t>Oxaydo</w:t>
            </w:r>
            <w:proofErr w:type="spellEnd"/>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rPr>
          <w:trHeight w:val="170"/>
        </w:trPr>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Oxymorphone (Opana</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eastAsia="MS Gothic"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Tapentadol (Nucynta</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eastAsia="MS Gothic" w:hAnsi="Arial" w:cs="Arial"/>
                <w:sz w:val="20"/>
                <w:szCs w:val="20"/>
              </w:rPr>
            </w:pPr>
            <w:r w:rsidRPr="00237CFD">
              <w:rPr>
                <w:rFonts w:ascii="MS Gothic" w:eastAsia="MS Gothic" w:hAnsi="MS Gothic" w:cs="MS Gothic"/>
                <w:sz w:val="20"/>
                <w:szCs w:val="20"/>
              </w:rPr>
              <w:t>✓</w:t>
            </w:r>
          </w:p>
        </w:tc>
      </w:tr>
      <w:tr w:rsidR="00B654D6" w:rsidRPr="00237CFD" w:rsidTr="00B654D6">
        <w:trPr>
          <w:trHeight w:val="60"/>
        </w:trPr>
        <w:tc>
          <w:tcPr>
            <w:tcW w:w="9450" w:type="dxa"/>
            <w:gridSpan w:val="3"/>
            <w:shd w:val="pct15" w:color="auto" w:fill="auto"/>
          </w:tcPr>
          <w:p w:rsidR="00B654D6" w:rsidRPr="00237CFD" w:rsidRDefault="00B654D6" w:rsidP="00B654D6">
            <w:pPr>
              <w:spacing w:after="0" w:line="240" w:lineRule="auto"/>
              <w:jc w:val="center"/>
              <w:rPr>
                <w:rFonts w:ascii="Arial" w:hAnsi="Arial" w:cs="Arial"/>
                <w:b/>
                <w:sz w:val="20"/>
                <w:szCs w:val="20"/>
              </w:rPr>
            </w:pPr>
            <w:r w:rsidRPr="00237CFD">
              <w:rPr>
                <w:rFonts w:ascii="Arial" w:hAnsi="Arial" w:cs="Arial"/>
                <w:b/>
                <w:sz w:val="20"/>
                <w:szCs w:val="20"/>
              </w:rPr>
              <w:t>Combination Analgesics</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Codeine/acetaminophen (Tylenol with codeine 2</w:t>
            </w:r>
            <w:r w:rsidRPr="00237CFD">
              <w:rPr>
                <w:rFonts w:ascii="Arial" w:hAnsi="Arial" w:cs="Arial"/>
                <w:sz w:val="20"/>
                <w:szCs w:val="20"/>
                <w:vertAlign w:val="superscript"/>
              </w:rPr>
              <w:t>®</w:t>
            </w:r>
            <w:r w:rsidRPr="00237CFD">
              <w:rPr>
                <w:rFonts w:ascii="Arial" w:hAnsi="Arial" w:cs="Arial"/>
                <w:sz w:val="20"/>
                <w:szCs w:val="20"/>
              </w:rPr>
              <w:t>, Tylenol with codeine 3</w:t>
            </w:r>
            <w:r w:rsidRPr="00237CFD">
              <w:rPr>
                <w:rFonts w:ascii="Arial" w:hAnsi="Arial" w:cs="Arial"/>
                <w:sz w:val="20"/>
                <w:szCs w:val="20"/>
                <w:vertAlign w:val="superscript"/>
              </w:rPr>
              <w:t>®</w:t>
            </w:r>
            <w:r w:rsidRPr="00237CFD">
              <w:rPr>
                <w:rFonts w:ascii="Arial" w:hAnsi="Arial" w:cs="Arial"/>
                <w:sz w:val="20"/>
                <w:szCs w:val="20"/>
              </w:rPr>
              <w:t>, Tylenol with codeine 4</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Codeine/acetaminophen/Butalbital/ Caffeine/</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Codeine/aspirin/Butalbital/Caffeine (Ascomp</w:t>
            </w:r>
            <w:r w:rsidRPr="00237CFD">
              <w:rPr>
                <w:rFonts w:ascii="Arial" w:hAnsi="Arial" w:cs="Arial"/>
                <w:sz w:val="20"/>
                <w:szCs w:val="20"/>
                <w:vertAlign w:val="superscript"/>
              </w:rPr>
              <w:t>®</w:t>
            </w:r>
            <w:r w:rsidRPr="00237CFD">
              <w:rPr>
                <w:rFonts w:ascii="Arial" w:hAnsi="Arial" w:cs="Arial"/>
                <w:sz w:val="20"/>
                <w:szCs w:val="20"/>
              </w:rPr>
              <w:t xml:space="preserve"> with codeine, Fiorinal</w:t>
            </w:r>
            <w:r w:rsidRPr="00237CFD">
              <w:rPr>
                <w:rFonts w:ascii="Arial" w:hAnsi="Arial" w:cs="Arial"/>
                <w:sz w:val="20"/>
                <w:szCs w:val="20"/>
                <w:vertAlign w:val="superscript"/>
              </w:rPr>
              <w:t>®</w:t>
            </w:r>
            <w:r w:rsidRPr="00237CFD">
              <w:rPr>
                <w:rFonts w:ascii="Arial" w:hAnsi="Arial" w:cs="Arial"/>
                <w:sz w:val="20"/>
                <w:szCs w:val="20"/>
              </w:rPr>
              <w:t xml:space="preserve"> with codeine)</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 xml:space="preserve">Codeine/aspirin/carisoprodol </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dihydrocodeine/acetaminophen/caffeine (Trezix</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autoSpaceDE w:val="0"/>
              <w:autoSpaceDN w:val="0"/>
              <w:spacing w:after="0" w:line="240" w:lineRule="auto"/>
              <w:rPr>
                <w:rFonts w:ascii="Arial" w:hAnsi="Arial" w:cs="Arial"/>
                <w:sz w:val="20"/>
                <w:szCs w:val="20"/>
              </w:rPr>
            </w:pPr>
            <w:r w:rsidRPr="00237CFD">
              <w:rPr>
                <w:rFonts w:ascii="Arial" w:hAnsi="Arial" w:cs="Arial"/>
                <w:sz w:val="20"/>
                <w:szCs w:val="20"/>
              </w:rPr>
              <w:t>dihydrocodeine/aspirin/caffeine (Synalgos-DC</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Hydrocodone/acetaminophen (Hycet</w:t>
            </w:r>
            <w:r w:rsidRPr="00237CFD">
              <w:rPr>
                <w:rFonts w:ascii="Arial" w:eastAsia="Batang" w:hAnsi="Arial" w:cs="Arial"/>
                <w:sz w:val="20"/>
                <w:szCs w:val="20"/>
                <w:vertAlign w:val="superscript"/>
              </w:rPr>
              <w:t>®</w:t>
            </w:r>
            <w:r w:rsidRPr="00237CFD">
              <w:rPr>
                <w:rFonts w:ascii="Arial" w:eastAsia="Batang" w:hAnsi="Arial" w:cs="Arial"/>
                <w:sz w:val="20"/>
                <w:szCs w:val="20"/>
              </w:rPr>
              <w:t>, Lortab</w:t>
            </w:r>
            <w:r w:rsidRPr="00237CFD">
              <w:rPr>
                <w:rFonts w:ascii="Arial" w:eastAsia="Batang" w:hAnsi="Arial" w:cs="Arial"/>
                <w:sz w:val="20"/>
                <w:szCs w:val="20"/>
                <w:vertAlign w:val="superscript"/>
              </w:rPr>
              <w:t>®</w:t>
            </w:r>
            <w:r w:rsidRPr="00237CFD">
              <w:rPr>
                <w:rFonts w:ascii="Arial" w:eastAsia="Batang" w:hAnsi="Arial" w:cs="Arial"/>
                <w:sz w:val="20"/>
                <w:szCs w:val="20"/>
              </w:rPr>
              <w:t>, Norco</w:t>
            </w:r>
            <w:r w:rsidRPr="00237CFD">
              <w:rPr>
                <w:rFonts w:ascii="Arial" w:eastAsia="Batang" w:hAnsi="Arial" w:cs="Arial"/>
                <w:sz w:val="20"/>
                <w:szCs w:val="20"/>
                <w:vertAlign w:val="superscript"/>
              </w:rPr>
              <w:t>®</w:t>
            </w:r>
            <w:r w:rsidRPr="00237CFD">
              <w:rPr>
                <w:rFonts w:ascii="Arial" w:eastAsia="Batang" w:hAnsi="Arial" w:cs="Arial"/>
                <w:sz w:val="20"/>
                <w:szCs w:val="20"/>
              </w:rPr>
              <w:t>, Vicodin</w:t>
            </w:r>
            <w:r w:rsidRPr="00237CFD">
              <w:rPr>
                <w:rFonts w:ascii="Arial" w:eastAsia="Batang" w:hAnsi="Arial" w:cs="Arial"/>
                <w:sz w:val="20"/>
                <w:szCs w:val="20"/>
                <w:vertAlign w:val="superscript"/>
              </w:rPr>
              <w:t>®</w:t>
            </w:r>
            <w:r w:rsidRPr="00237CFD">
              <w:rPr>
                <w:rFonts w:ascii="Arial" w:eastAsia="Batang" w:hAnsi="Arial" w:cs="Arial"/>
                <w:sz w:val="20"/>
                <w:szCs w:val="20"/>
              </w:rPr>
              <w:t>, Vicodin ES</w:t>
            </w:r>
            <w:r w:rsidRPr="00237CFD">
              <w:rPr>
                <w:rFonts w:ascii="Arial" w:eastAsia="Batang" w:hAnsi="Arial" w:cs="Arial"/>
                <w:sz w:val="20"/>
                <w:szCs w:val="20"/>
                <w:vertAlign w:val="superscript"/>
              </w:rPr>
              <w:t>®</w:t>
            </w:r>
            <w:r w:rsidRPr="00237CFD">
              <w:rPr>
                <w:rFonts w:ascii="Arial" w:eastAsia="Batang" w:hAnsi="Arial" w:cs="Arial"/>
                <w:sz w:val="20"/>
                <w:szCs w:val="20"/>
              </w:rPr>
              <w:t>, Vicodin HP</w:t>
            </w:r>
            <w:r w:rsidRPr="00237CFD">
              <w:rPr>
                <w:rFonts w:ascii="Arial" w:eastAsia="Batang" w:hAnsi="Arial" w:cs="Arial"/>
                <w:sz w:val="20"/>
                <w:szCs w:val="20"/>
                <w:vertAlign w:val="superscript"/>
              </w:rPr>
              <w:t>®</w:t>
            </w:r>
            <w:r w:rsidRPr="00237CFD">
              <w:rPr>
                <w:rFonts w:ascii="Arial" w:eastAsia="Batang" w:hAnsi="Arial" w:cs="Arial"/>
                <w:sz w:val="20"/>
                <w:szCs w:val="20"/>
              </w:rPr>
              <w:t xml:space="preserve">,  </w:t>
            </w:r>
            <w:r w:rsidRPr="00237CFD">
              <w:rPr>
                <w:rFonts w:ascii="Arial" w:hAnsi="Arial" w:cs="Arial"/>
                <w:sz w:val="20"/>
                <w:szCs w:val="20"/>
              </w:rPr>
              <w:t>Xodol</w:t>
            </w:r>
            <w:r w:rsidRPr="00237CFD">
              <w:rPr>
                <w:rFonts w:ascii="Arial" w:eastAsia="Batang" w:hAnsi="Arial" w:cs="Arial"/>
                <w:sz w:val="20"/>
                <w:szCs w:val="20"/>
                <w:vertAlign w:val="superscript"/>
              </w:rPr>
              <w:t>®</w:t>
            </w:r>
            <w:r w:rsidRPr="00237CFD">
              <w:rPr>
                <w:rFonts w:ascii="Arial" w:eastAsia="Batang" w:hAnsi="Arial" w:cs="Arial"/>
                <w:sz w:val="20"/>
                <w:szCs w:val="20"/>
              </w:rPr>
              <w:t>, Zamicet</w:t>
            </w:r>
            <w:r w:rsidRPr="00237CFD">
              <w:rPr>
                <w:rFonts w:ascii="Arial" w:eastAsia="Batang"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Hydrocodone/ibuprofen (Ibudone</w:t>
            </w:r>
            <w:r w:rsidRPr="00237CFD">
              <w:rPr>
                <w:rFonts w:ascii="Arial" w:hAnsi="Arial" w:cs="Arial"/>
                <w:sz w:val="20"/>
                <w:szCs w:val="20"/>
                <w:vertAlign w:val="superscript"/>
              </w:rPr>
              <w:t>®</w:t>
            </w:r>
            <w:r w:rsidRPr="00237CFD">
              <w:rPr>
                <w:rFonts w:ascii="Arial" w:hAnsi="Arial" w:cs="Arial"/>
                <w:sz w:val="20"/>
                <w:szCs w:val="20"/>
              </w:rPr>
              <w:t>, Reprexain</w:t>
            </w:r>
            <w:r w:rsidRPr="00237CFD">
              <w:rPr>
                <w:rFonts w:ascii="Arial"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rPr>
          <w:trHeight w:val="70"/>
        </w:trPr>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Oxycodone/acetaminophen (</w:t>
            </w:r>
            <w:r w:rsidRPr="00237CFD">
              <w:rPr>
                <w:rFonts w:ascii="Arial" w:eastAsia="Batang" w:hAnsi="Arial" w:cs="Arial"/>
                <w:sz w:val="20"/>
                <w:szCs w:val="20"/>
              </w:rPr>
              <w:t>Endocet</w:t>
            </w:r>
            <w:r w:rsidRPr="00237CFD">
              <w:rPr>
                <w:rFonts w:ascii="Arial" w:hAnsi="Arial" w:cs="Arial"/>
                <w:sz w:val="20"/>
                <w:szCs w:val="20"/>
                <w:vertAlign w:val="superscript"/>
              </w:rPr>
              <w:t>®</w:t>
            </w:r>
            <w:r w:rsidRPr="00237CFD">
              <w:rPr>
                <w:rFonts w:ascii="Arial" w:eastAsia="Batang" w:hAnsi="Arial" w:cs="Arial"/>
                <w:sz w:val="20"/>
                <w:szCs w:val="20"/>
              </w:rPr>
              <w:t xml:space="preserve"> , </w:t>
            </w:r>
            <w:r w:rsidRPr="00237CFD">
              <w:rPr>
                <w:rFonts w:ascii="Arial" w:hAnsi="Arial" w:cs="Arial"/>
                <w:sz w:val="20"/>
                <w:szCs w:val="20"/>
              </w:rPr>
              <w:t>Magnacet</w:t>
            </w:r>
            <w:r w:rsidRPr="00237CFD">
              <w:rPr>
                <w:rFonts w:ascii="Arial" w:eastAsia="Batang" w:hAnsi="Arial" w:cs="Arial"/>
                <w:sz w:val="20"/>
                <w:szCs w:val="20"/>
                <w:vertAlign w:val="superscript"/>
              </w:rPr>
              <w:t>®</w:t>
            </w:r>
            <w:r w:rsidRPr="00237CFD">
              <w:rPr>
                <w:rFonts w:ascii="Arial" w:hAnsi="Arial" w:cs="Arial"/>
                <w:sz w:val="20"/>
                <w:szCs w:val="20"/>
              </w:rPr>
              <w:t xml:space="preserve">, </w:t>
            </w:r>
            <w:r w:rsidRPr="00237CFD">
              <w:rPr>
                <w:rFonts w:ascii="Arial" w:eastAsia="Batang" w:hAnsi="Arial" w:cs="Arial"/>
                <w:sz w:val="20"/>
                <w:szCs w:val="20"/>
              </w:rPr>
              <w:t>Percocet</w:t>
            </w:r>
            <w:r w:rsidRPr="00237CFD">
              <w:rPr>
                <w:rFonts w:ascii="Arial" w:hAnsi="Arial" w:cs="Arial"/>
                <w:sz w:val="20"/>
                <w:szCs w:val="20"/>
                <w:vertAlign w:val="superscript"/>
              </w:rPr>
              <w:t>®</w:t>
            </w:r>
            <w:r w:rsidRPr="00237CFD">
              <w:rPr>
                <w:rFonts w:ascii="Arial" w:hAnsi="Arial" w:cs="Arial"/>
                <w:sz w:val="20"/>
                <w:szCs w:val="20"/>
              </w:rPr>
              <w:t>,</w:t>
            </w:r>
            <w:r w:rsidRPr="00237CFD">
              <w:rPr>
                <w:rFonts w:ascii="Arial" w:eastAsia="Batang" w:hAnsi="Arial" w:cs="Arial"/>
                <w:sz w:val="20"/>
                <w:szCs w:val="20"/>
              </w:rPr>
              <w:t xml:space="preserve"> Primlev</w:t>
            </w:r>
            <w:r w:rsidRPr="00237CFD">
              <w:rPr>
                <w:rFonts w:ascii="Arial" w:hAnsi="Arial" w:cs="Arial"/>
                <w:sz w:val="20"/>
                <w:szCs w:val="20"/>
                <w:vertAlign w:val="superscript"/>
              </w:rPr>
              <w:t>®</w:t>
            </w:r>
            <w:r w:rsidRPr="00237CFD">
              <w:rPr>
                <w:rFonts w:ascii="Arial" w:hAnsi="Arial" w:cs="Arial"/>
                <w:sz w:val="20"/>
                <w:szCs w:val="20"/>
              </w:rPr>
              <w:t>,  Xartemis XR</w:t>
            </w:r>
            <w:r w:rsidRPr="00237CFD">
              <w:rPr>
                <w:rFonts w:ascii="Arial" w:hAnsi="Arial" w:cs="Arial"/>
                <w:sz w:val="20"/>
                <w:szCs w:val="20"/>
                <w:vertAlign w:val="superscript"/>
              </w:rPr>
              <w:t>®</w:t>
            </w:r>
            <w:r w:rsidRPr="00237CFD">
              <w:rPr>
                <w:rFonts w:ascii="Arial" w:hAnsi="Arial" w:cs="Arial"/>
                <w:sz w:val="20"/>
                <w:szCs w:val="20"/>
              </w:rPr>
              <w:t>, Xolox</w:t>
            </w:r>
            <w:r w:rsidRPr="00237CFD">
              <w:rPr>
                <w:rFonts w:ascii="Arial" w:eastAsia="Batang" w:hAnsi="Arial" w:cs="Arial"/>
                <w:sz w:val="20"/>
                <w:szCs w:val="20"/>
                <w:vertAlign w:val="superscript"/>
              </w:rPr>
              <w:t>®</w:t>
            </w:r>
            <w:r w:rsidRPr="00237CFD">
              <w:rPr>
                <w:rFonts w:ascii="Arial" w:eastAsia="Batang"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r w:rsidR="00B654D6" w:rsidRPr="00237CFD" w:rsidTr="00B654D6">
        <w:trPr>
          <w:trHeight w:val="70"/>
        </w:trPr>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t>Oxycodone/aspirin (</w:t>
            </w:r>
            <w:r w:rsidRPr="00237CFD">
              <w:rPr>
                <w:rFonts w:ascii="Arial" w:eastAsia="Batang" w:hAnsi="Arial" w:cs="Arial"/>
                <w:sz w:val="20"/>
                <w:szCs w:val="20"/>
              </w:rPr>
              <w:t>Endodan</w:t>
            </w:r>
            <w:r w:rsidRPr="00237CFD">
              <w:rPr>
                <w:rFonts w:ascii="Arial" w:hAnsi="Arial" w:cs="Arial"/>
                <w:sz w:val="20"/>
                <w:szCs w:val="20"/>
                <w:vertAlign w:val="superscript"/>
              </w:rPr>
              <w:t>®</w:t>
            </w:r>
            <w:r w:rsidRPr="00237CFD">
              <w:rPr>
                <w:rFonts w:ascii="Arial" w:eastAsia="Batang"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eastAsia="MS Gothic" w:hAnsi="Arial" w:cs="Arial"/>
                <w:sz w:val="20"/>
                <w:szCs w:val="20"/>
              </w:rPr>
            </w:pPr>
            <w:r w:rsidRPr="00237CFD">
              <w:rPr>
                <w:rFonts w:ascii="MS Gothic" w:eastAsia="MS Gothic" w:hAnsi="MS Gothic" w:cs="MS Gothic"/>
                <w:sz w:val="20"/>
                <w:szCs w:val="20"/>
              </w:rPr>
              <w:t>✓</w:t>
            </w:r>
          </w:p>
        </w:tc>
      </w:tr>
      <w:tr w:rsidR="00B654D6" w:rsidRPr="00237CFD" w:rsidTr="00B654D6">
        <w:trPr>
          <w:trHeight w:val="70"/>
        </w:trPr>
        <w:tc>
          <w:tcPr>
            <w:tcW w:w="3870" w:type="dxa"/>
          </w:tcPr>
          <w:p w:rsidR="00B654D6" w:rsidRPr="00237CFD" w:rsidRDefault="00B654D6" w:rsidP="00B654D6">
            <w:pPr>
              <w:spacing w:after="0" w:line="240" w:lineRule="auto"/>
              <w:rPr>
                <w:rFonts w:ascii="Arial" w:hAnsi="Arial" w:cs="Arial"/>
                <w:sz w:val="20"/>
                <w:szCs w:val="20"/>
              </w:rPr>
            </w:pPr>
            <w:r w:rsidRPr="00237CFD">
              <w:rPr>
                <w:rFonts w:ascii="Arial" w:hAnsi="Arial" w:cs="Arial"/>
                <w:sz w:val="20"/>
                <w:szCs w:val="20"/>
              </w:rPr>
              <w:lastRenderedPageBreak/>
              <w:t>oxycodone/ibuprofen (Ibudone</w:t>
            </w:r>
            <w:r w:rsidRPr="00237CFD">
              <w:rPr>
                <w:rFonts w:ascii="Arial" w:eastAsia="Batang" w:hAnsi="Arial" w:cs="Arial"/>
                <w:sz w:val="20"/>
                <w:szCs w:val="20"/>
                <w:vertAlign w:val="superscript"/>
              </w:rPr>
              <w:t>®</w:t>
            </w:r>
            <w:r w:rsidRPr="00237CFD">
              <w:rPr>
                <w:rFonts w:ascii="Arial" w:hAnsi="Arial" w:cs="Arial"/>
                <w:sz w:val="20"/>
                <w:szCs w:val="20"/>
              </w:rPr>
              <w:t xml:space="preserve">, </w:t>
            </w:r>
            <w:r w:rsidRPr="00237CFD">
              <w:rPr>
                <w:rFonts w:ascii="Arial" w:eastAsia="Batang" w:hAnsi="Arial" w:cs="Arial"/>
                <w:sz w:val="20"/>
                <w:szCs w:val="20"/>
              </w:rPr>
              <w:t>Vicoprofen</w:t>
            </w:r>
            <w:r w:rsidRPr="00237CFD">
              <w:rPr>
                <w:rFonts w:ascii="Arial" w:eastAsia="Batang" w:hAnsi="Arial" w:cs="Arial"/>
                <w:sz w:val="20"/>
                <w:szCs w:val="20"/>
                <w:vertAlign w:val="superscript"/>
              </w:rPr>
              <w:t>®</w:t>
            </w:r>
            <w:r w:rsidRPr="00237CFD">
              <w:rPr>
                <w:rFonts w:ascii="Arial" w:hAnsi="Arial" w:cs="Arial"/>
                <w:sz w:val="20"/>
                <w:szCs w:val="20"/>
              </w:rPr>
              <w:t>)</w:t>
            </w:r>
          </w:p>
        </w:tc>
        <w:tc>
          <w:tcPr>
            <w:tcW w:w="3060" w:type="dxa"/>
          </w:tcPr>
          <w:p w:rsidR="00B654D6" w:rsidRPr="00237CFD" w:rsidRDefault="00B654D6" w:rsidP="00B654D6">
            <w:pPr>
              <w:spacing w:after="0" w:line="240" w:lineRule="auto"/>
              <w:jc w:val="center"/>
              <w:rPr>
                <w:rFonts w:ascii="Arial" w:hAnsi="Arial" w:cs="Arial"/>
                <w:sz w:val="20"/>
                <w:szCs w:val="20"/>
              </w:rPr>
            </w:pPr>
            <w:r w:rsidRPr="00237CFD">
              <w:rPr>
                <w:rFonts w:ascii="Arial" w:hAnsi="Arial" w:cs="Arial"/>
                <w:sz w:val="20"/>
                <w:szCs w:val="20"/>
              </w:rPr>
              <w:t>-</w:t>
            </w:r>
          </w:p>
        </w:tc>
        <w:tc>
          <w:tcPr>
            <w:tcW w:w="2520" w:type="dxa"/>
          </w:tcPr>
          <w:p w:rsidR="00B654D6" w:rsidRPr="00237CFD" w:rsidRDefault="00B654D6" w:rsidP="00B654D6">
            <w:pPr>
              <w:spacing w:after="0" w:line="240" w:lineRule="auto"/>
              <w:jc w:val="center"/>
              <w:rPr>
                <w:rFonts w:ascii="Arial" w:hAnsi="Arial" w:cs="Arial"/>
                <w:sz w:val="20"/>
                <w:szCs w:val="20"/>
              </w:rPr>
            </w:pPr>
            <w:r w:rsidRPr="00237CFD">
              <w:rPr>
                <w:rFonts w:ascii="MS Gothic" w:eastAsia="MS Gothic" w:hAnsi="MS Gothic" w:cs="MS Gothic"/>
                <w:sz w:val="20"/>
                <w:szCs w:val="20"/>
              </w:rPr>
              <w:t>✓</w:t>
            </w:r>
          </w:p>
        </w:tc>
      </w:tr>
    </w:tbl>
    <w:p w:rsidR="00B654D6" w:rsidRPr="00B654D6" w:rsidRDefault="00B654D6" w:rsidP="00B654D6">
      <w:pPr>
        <w:spacing w:after="0" w:line="240" w:lineRule="auto"/>
        <w:rPr>
          <w:rFonts w:ascii="Arial" w:hAnsi="Arial" w:cs="Arial"/>
          <w:sz w:val="20"/>
          <w:szCs w:val="20"/>
        </w:rPr>
      </w:pPr>
      <w:r w:rsidRPr="00B654D6">
        <w:rPr>
          <w:rFonts w:ascii="Arial" w:hAnsi="Arial" w:cs="Arial"/>
          <w:sz w:val="20"/>
          <w:szCs w:val="20"/>
        </w:rPr>
        <w:t xml:space="preserve"> *Antitussive agents containing codeine are excluded from this table.</w:t>
      </w:r>
    </w:p>
    <w:p w:rsidR="003A1B44" w:rsidRDefault="003A1B44" w:rsidP="0003168B">
      <w:pPr>
        <w:spacing w:after="0"/>
        <w:rPr>
          <w:rFonts w:ascii="Arial" w:hAnsi="Arial" w:cs="Arial"/>
          <w:b/>
          <w:iCs/>
          <w:sz w:val="20"/>
          <w:szCs w:val="20"/>
          <w:u w:val="single"/>
        </w:rPr>
      </w:pPr>
    </w:p>
    <w:p w:rsidR="00B668A6" w:rsidRDefault="00B668A6" w:rsidP="00B668A6">
      <w:pPr>
        <w:pStyle w:val="NoSpacing"/>
        <w:rPr>
          <w:rFonts w:ascii="Arial" w:hAnsi="Arial" w:cs="Arial"/>
          <w:b/>
          <w:sz w:val="20"/>
          <w:szCs w:val="20"/>
          <w:u w:val="single"/>
        </w:rPr>
      </w:pPr>
      <w:r>
        <w:rPr>
          <w:rFonts w:ascii="Arial" w:hAnsi="Arial" w:cs="Arial"/>
          <w:b/>
          <w:sz w:val="20"/>
          <w:szCs w:val="20"/>
          <w:u w:val="single"/>
        </w:rPr>
        <w:t>Therapeutic Indications/Efficacy</w:t>
      </w:r>
    </w:p>
    <w:p w:rsidR="00F71308" w:rsidRDefault="00B654D6" w:rsidP="00F71308">
      <w:pPr>
        <w:spacing w:after="0" w:line="240" w:lineRule="auto"/>
        <w:contextualSpacing/>
        <w:rPr>
          <w:rFonts w:ascii="Arial" w:hAnsi="Arial" w:cs="Arial"/>
          <w:sz w:val="20"/>
          <w:szCs w:val="20"/>
        </w:rPr>
      </w:pPr>
      <w:proofErr w:type="spellStart"/>
      <w:r>
        <w:rPr>
          <w:rFonts w:ascii="Arial" w:hAnsi="Arial" w:cs="Arial"/>
          <w:sz w:val="20"/>
          <w:szCs w:val="20"/>
        </w:rPr>
        <w:t>Oxaydo</w:t>
      </w:r>
      <w:proofErr w:type="spellEnd"/>
      <w:r w:rsidR="008B0860" w:rsidRPr="00B031E9">
        <w:rPr>
          <w:rFonts w:ascii="Arial" w:hAnsi="Arial" w:cs="Arial"/>
          <w:sz w:val="20"/>
          <w:szCs w:val="20"/>
          <w:vertAlign w:val="superscript"/>
        </w:rPr>
        <w:t>®</w:t>
      </w:r>
      <w:r w:rsidR="00A647F0">
        <w:rPr>
          <w:rFonts w:ascii="Arial" w:hAnsi="Arial" w:cs="Arial"/>
          <w:sz w:val="20"/>
          <w:szCs w:val="20"/>
        </w:rPr>
        <w:t xml:space="preserve"> </w:t>
      </w:r>
      <w:r w:rsidR="00733EED">
        <w:rPr>
          <w:rFonts w:ascii="Arial" w:hAnsi="Arial" w:cs="Arial"/>
          <w:sz w:val="20"/>
          <w:szCs w:val="20"/>
        </w:rPr>
        <w:t>(o</w:t>
      </w:r>
      <w:r>
        <w:rPr>
          <w:rFonts w:ascii="Arial" w:hAnsi="Arial" w:cs="Arial"/>
          <w:sz w:val="20"/>
          <w:szCs w:val="20"/>
        </w:rPr>
        <w:t xml:space="preserve">xycodone </w:t>
      </w:r>
      <w:proofErr w:type="spellStart"/>
      <w:r w:rsidR="003A5826">
        <w:rPr>
          <w:rFonts w:ascii="Arial" w:hAnsi="Arial" w:cs="Arial"/>
          <w:sz w:val="20"/>
          <w:szCs w:val="20"/>
        </w:rPr>
        <w:t>HCl</w:t>
      </w:r>
      <w:proofErr w:type="spellEnd"/>
      <w:r w:rsidR="008B0860" w:rsidRPr="0062206A">
        <w:rPr>
          <w:rFonts w:ascii="Arial" w:hAnsi="Arial" w:cs="Arial"/>
          <w:sz w:val="20"/>
          <w:szCs w:val="20"/>
        </w:rPr>
        <w:t xml:space="preserve">) is indicated for the </w:t>
      </w:r>
      <w:r w:rsidR="003E58B0">
        <w:rPr>
          <w:rFonts w:ascii="Arial" w:hAnsi="Arial" w:cs="Arial"/>
          <w:sz w:val="20"/>
          <w:szCs w:val="20"/>
        </w:rPr>
        <w:t>management of acute and chronic moderate to severe pain where the use of an opioid analgesic is appropriate.</w:t>
      </w:r>
      <w:r w:rsidR="005C01D6">
        <w:rPr>
          <w:rFonts w:ascii="Arial" w:hAnsi="Arial" w:cs="Arial"/>
          <w:sz w:val="20"/>
          <w:szCs w:val="20"/>
        </w:rPr>
        <w:t xml:space="preserve"> </w:t>
      </w:r>
      <w:r w:rsidR="00F71308" w:rsidRPr="002439F4">
        <w:rPr>
          <w:rFonts w:ascii="Arial" w:hAnsi="Arial" w:cs="Arial"/>
          <w:sz w:val="20"/>
          <w:szCs w:val="20"/>
        </w:rPr>
        <w:t xml:space="preserve">There are no published clinical trials specifically evaluating the safety and efficacy of oxycodone </w:t>
      </w:r>
      <w:proofErr w:type="spellStart"/>
      <w:r w:rsidR="00F71308" w:rsidRPr="002439F4">
        <w:rPr>
          <w:rFonts w:ascii="Arial" w:hAnsi="Arial" w:cs="Arial"/>
          <w:sz w:val="20"/>
          <w:szCs w:val="20"/>
        </w:rPr>
        <w:t>HCl</w:t>
      </w:r>
      <w:proofErr w:type="spellEnd"/>
      <w:r w:rsidR="00F71308" w:rsidRPr="002439F4">
        <w:rPr>
          <w:rFonts w:ascii="Arial" w:hAnsi="Arial" w:cs="Arial"/>
          <w:sz w:val="20"/>
          <w:szCs w:val="20"/>
        </w:rPr>
        <w:t xml:space="preserve"> (</w:t>
      </w:r>
      <w:proofErr w:type="spellStart"/>
      <w:r w:rsidR="00F71308" w:rsidRPr="002439F4">
        <w:rPr>
          <w:rFonts w:ascii="Arial" w:hAnsi="Arial" w:cs="Arial"/>
          <w:sz w:val="20"/>
          <w:szCs w:val="20"/>
        </w:rPr>
        <w:t>Oxecta</w:t>
      </w:r>
      <w:proofErr w:type="spellEnd"/>
      <w:r w:rsidR="00F71308" w:rsidRPr="002439F4">
        <w:rPr>
          <w:rFonts w:ascii="Arial" w:hAnsi="Arial" w:cs="Arial"/>
          <w:sz w:val="20"/>
          <w:szCs w:val="20"/>
          <w:vertAlign w:val="superscript"/>
        </w:rPr>
        <w:t>®</w:t>
      </w:r>
      <w:r w:rsidR="00F71308">
        <w:rPr>
          <w:rFonts w:ascii="Arial" w:hAnsi="Arial" w:cs="Arial"/>
          <w:sz w:val="20"/>
          <w:szCs w:val="20"/>
        </w:rPr>
        <w:t xml:space="preserve"> or </w:t>
      </w:r>
      <w:proofErr w:type="spellStart"/>
      <w:r w:rsidR="00F71308">
        <w:rPr>
          <w:rFonts w:ascii="Arial" w:hAnsi="Arial" w:cs="Arial"/>
          <w:sz w:val="20"/>
          <w:szCs w:val="20"/>
        </w:rPr>
        <w:t>Oxaydo</w:t>
      </w:r>
      <w:proofErr w:type="spellEnd"/>
      <w:r w:rsidR="00F71308">
        <w:rPr>
          <w:rFonts w:cs="Arial"/>
          <w:sz w:val="20"/>
          <w:szCs w:val="20"/>
        </w:rPr>
        <w:t>®</w:t>
      </w:r>
      <w:r w:rsidR="00F71308" w:rsidRPr="002439F4">
        <w:rPr>
          <w:rFonts w:ascii="Arial" w:hAnsi="Arial" w:cs="Arial"/>
          <w:sz w:val="20"/>
          <w:szCs w:val="20"/>
        </w:rPr>
        <w:t xml:space="preserve">). According to the manufacturer, the analgesic efficacy of </w:t>
      </w:r>
      <w:r w:rsidR="00F71308">
        <w:rPr>
          <w:rFonts w:ascii="Arial" w:hAnsi="Arial" w:cs="Arial"/>
          <w:sz w:val="20"/>
          <w:szCs w:val="20"/>
        </w:rPr>
        <w:t>these agents</w:t>
      </w:r>
      <w:r w:rsidR="00F71308" w:rsidRPr="002439F4">
        <w:rPr>
          <w:rFonts w:ascii="Arial" w:hAnsi="Arial" w:cs="Arial"/>
          <w:sz w:val="20"/>
          <w:szCs w:val="20"/>
        </w:rPr>
        <w:t xml:space="preserve"> was established by previous evaluations of efficacy and safety for Roxicodone</w:t>
      </w:r>
      <w:r w:rsidR="00F71308" w:rsidRPr="002439F4">
        <w:rPr>
          <w:rFonts w:ascii="Arial" w:hAnsi="Arial" w:cs="Arial"/>
          <w:sz w:val="20"/>
          <w:szCs w:val="20"/>
          <w:vertAlign w:val="superscript"/>
        </w:rPr>
        <w:t>®</w:t>
      </w:r>
      <w:r w:rsidR="00F71308">
        <w:rPr>
          <w:rFonts w:ascii="Arial" w:hAnsi="Arial" w:cs="Arial"/>
          <w:sz w:val="20"/>
          <w:szCs w:val="20"/>
        </w:rPr>
        <w:t xml:space="preserve"> (oxycodone HCl) tablets.</w:t>
      </w:r>
      <w:r w:rsidR="00404730">
        <w:rPr>
          <w:rFonts w:ascii="Arial" w:hAnsi="Arial" w:cs="Arial"/>
          <w:sz w:val="20"/>
          <w:szCs w:val="20"/>
          <w:vertAlign w:val="superscript"/>
        </w:rPr>
        <w:t>1</w:t>
      </w:r>
      <w:r w:rsidR="00F71308">
        <w:rPr>
          <w:rFonts w:ascii="Arial" w:hAnsi="Arial" w:cs="Arial"/>
          <w:sz w:val="20"/>
          <w:szCs w:val="20"/>
        </w:rPr>
        <w:t xml:space="preserve">  </w:t>
      </w:r>
    </w:p>
    <w:p w:rsidR="00F71308" w:rsidRPr="009A6AD5" w:rsidRDefault="00F71308" w:rsidP="00F71308">
      <w:pPr>
        <w:spacing w:after="0" w:line="240" w:lineRule="auto"/>
        <w:contextualSpacing/>
        <w:rPr>
          <w:rFonts w:ascii="Arial" w:hAnsi="Arial" w:cs="Arial"/>
          <w:sz w:val="20"/>
          <w:szCs w:val="20"/>
        </w:rPr>
      </w:pPr>
    </w:p>
    <w:p w:rsidR="00D52A14" w:rsidRDefault="005C01D6" w:rsidP="00B654D6">
      <w:pPr>
        <w:spacing w:line="240" w:lineRule="auto"/>
      </w:pPr>
      <w:r>
        <w:rPr>
          <w:rFonts w:ascii="Arial" w:hAnsi="Arial" w:cs="Arial"/>
          <w:sz w:val="20"/>
          <w:szCs w:val="20"/>
        </w:rPr>
        <w:t xml:space="preserve">Currently this agent is </w:t>
      </w:r>
      <w:r w:rsidR="00E03853">
        <w:rPr>
          <w:rFonts w:ascii="Arial" w:hAnsi="Arial" w:cs="Arial"/>
          <w:sz w:val="20"/>
          <w:szCs w:val="20"/>
        </w:rPr>
        <w:t xml:space="preserve">marketed as the first and only </w:t>
      </w:r>
      <w:r w:rsidR="00404730">
        <w:rPr>
          <w:rFonts w:ascii="Arial" w:hAnsi="Arial" w:cs="Arial"/>
          <w:sz w:val="20"/>
          <w:szCs w:val="20"/>
        </w:rPr>
        <w:t>IR</w:t>
      </w:r>
      <w:r w:rsidR="00E03853" w:rsidRPr="00E03853">
        <w:rPr>
          <w:rFonts w:ascii="Arial" w:hAnsi="Arial" w:cs="Arial"/>
          <w:sz w:val="20"/>
          <w:szCs w:val="20"/>
        </w:rPr>
        <w:t xml:space="preserve"> oxycodone th</w:t>
      </w:r>
      <w:r w:rsidR="00E03853">
        <w:rPr>
          <w:rFonts w:ascii="Arial" w:hAnsi="Arial" w:cs="Arial"/>
          <w:sz w:val="20"/>
          <w:szCs w:val="20"/>
        </w:rPr>
        <w:t>at discourages intranasal abuse due to the addition of an inactive excipient that creates nasal discomfort and irritation if product is crushed and snorted.</w:t>
      </w:r>
      <w:r w:rsidR="00EE4742">
        <w:rPr>
          <w:rFonts w:ascii="Arial" w:hAnsi="Arial" w:cs="Arial"/>
          <w:sz w:val="20"/>
          <w:szCs w:val="20"/>
          <w:vertAlign w:val="superscript"/>
        </w:rPr>
        <w:t>7</w:t>
      </w:r>
      <w:r w:rsidR="00E03853">
        <w:rPr>
          <w:rFonts w:ascii="Arial" w:hAnsi="Arial" w:cs="Arial"/>
          <w:sz w:val="20"/>
          <w:szCs w:val="20"/>
        </w:rPr>
        <w:t xml:space="preserve"> The FDA allowed the company to include results from a “drug-liking” study in </w:t>
      </w:r>
      <w:r w:rsidR="00404730">
        <w:rPr>
          <w:rFonts w:ascii="Arial" w:hAnsi="Arial" w:cs="Arial"/>
          <w:sz w:val="20"/>
          <w:szCs w:val="20"/>
        </w:rPr>
        <w:t>its package insert under the Drug Abuse section (9.2)</w:t>
      </w:r>
      <w:r w:rsidR="00E03853">
        <w:rPr>
          <w:rFonts w:ascii="Arial" w:hAnsi="Arial" w:cs="Arial"/>
          <w:sz w:val="20"/>
          <w:szCs w:val="20"/>
        </w:rPr>
        <w:t xml:space="preserve">. </w:t>
      </w:r>
      <w:r w:rsidR="00837E28">
        <w:rPr>
          <w:rFonts w:ascii="Arial" w:hAnsi="Arial" w:cs="Arial"/>
          <w:sz w:val="20"/>
          <w:szCs w:val="20"/>
        </w:rPr>
        <w:t xml:space="preserve">However, it also was instructed to include a disclaimer that there is no evidence that </w:t>
      </w:r>
      <w:proofErr w:type="spellStart"/>
      <w:r w:rsidR="00837E28">
        <w:rPr>
          <w:rFonts w:ascii="Arial" w:hAnsi="Arial" w:cs="Arial"/>
          <w:sz w:val="20"/>
          <w:szCs w:val="20"/>
        </w:rPr>
        <w:t>Oxaydo</w:t>
      </w:r>
      <w:proofErr w:type="spellEnd"/>
      <w:r w:rsidR="00837E28" w:rsidRPr="00B031E9">
        <w:rPr>
          <w:rFonts w:ascii="Arial" w:hAnsi="Arial" w:cs="Arial"/>
          <w:sz w:val="20"/>
          <w:szCs w:val="20"/>
          <w:vertAlign w:val="superscript"/>
        </w:rPr>
        <w:t>®</w:t>
      </w:r>
      <w:r w:rsidR="00837E28">
        <w:rPr>
          <w:rFonts w:ascii="Arial" w:hAnsi="Arial" w:cs="Arial"/>
          <w:sz w:val="20"/>
          <w:szCs w:val="20"/>
        </w:rPr>
        <w:t xml:space="preserve"> (oxycodone </w:t>
      </w:r>
      <w:proofErr w:type="spellStart"/>
      <w:r w:rsidR="00837E28">
        <w:rPr>
          <w:rFonts w:ascii="Arial" w:hAnsi="Arial" w:cs="Arial"/>
          <w:sz w:val="20"/>
          <w:szCs w:val="20"/>
        </w:rPr>
        <w:t>HCl</w:t>
      </w:r>
      <w:proofErr w:type="spellEnd"/>
      <w:r w:rsidR="00837E28" w:rsidRPr="0062206A">
        <w:rPr>
          <w:rFonts w:ascii="Arial" w:hAnsi="Arial" w:cs="Arial"/>
          <w:sz w:val="20"/>
          <w:szCs w:val="20"/>
        </w:rPr>
        <w:t xml:space="preserve">) </w:t>
      </w:r>
      <w:r w:rsidR="00837E28">
        <w:rPr>
          <w:rFonts w:ascii="Arial" w:hAnsi="Arial" w:cs="Arial"/>
          <w:sz w:val="20"/>
          <w:szCs w:val="20"/>
        </w:rPr>
        <w:t xml:space="preserve">has a reduced abuse liability compared to </w:t>
      </w:r>
      <w:r w:rsidR="00404730">
        <w:rPr>
          <w:rFonts w:ascii="Arial" w:hAnsi="Arial" w:cs="Arial"/>
          <w:sz w:val="20"/>
          <w:szCs w:val="20"/>
        </w:rPr>
        <w:t>IR</w:t>
      </w:r>
      <w:r w:rsidR="00837E28">
        <w:rPr>
          <w:rFonts w:ascii="Arial" w:hAnsi="Arial" w:cs="Arial"/>
          <w:sz w:val="20"/>
          <w:szCs w:val="20"/>
        </w:rPr>
        <w:t xml:space="preserve"> oxycodone.</w:t>
      </w:r>
    </w:p>
    <w:p w:rsidR="00F71308" w:rsidRPr="00907204" w:rsidRDefault="000433AC" w:rsidP="00B654D6">
      <w:pPr>
        <w:spacing w:line="240" w:lineRule="auto"/>
        <w:rPr>
          <w:rFonts w:ascii="Arial" w:hAnsi="Arial" w:cs="Arial"/>
          <w:sz w:val="20"/>
          <w:szCs w:val="20"/>
          <w:vertAlign w:val="superscript"/>
        </w:rPr>
      </w:pPr>
      <w:r>
        <w:rPr>
          <w:rFonts w:ascii="Arial" w:hAnsi="Arial" w:cs="Arial"/>
          <w:sz w:val="20"/>
          <w:szCs w:val="20"/>
        </w:rPr>
        <w:t xml:space="preserve">This study was a </w:t>
      </w:r>
      <w:r w:rsidR="00F71308">
        <w:rPr>
          <w:rFonts w:ascii="Arial" w:hAnsi="Arial" w:cs="Arial"/>
          <w:sz w:val="20"/>
          <w:szCs w:val="20"/>
        </w:rPr>
        <w:t>single-center, single-dose, randomized, double-blind, active-co</w:t>
      </w:r>
      <w:r>
        <w:rPr>
          <w:rFonts w:ascii="Arial" w:hAnsi="Arial" w:cs="Arial"/>
          <w:sz w:val="20"/>
          <w:szCs w:val="20"/>
        </w:rPr>
        <w:t xml:space="preserve">ntrolled two-way crossover trial that enrolled 40 adult, nondependent, recreational opioid users. Subjects self-administered a single dose of </w:t>
      </w:r>
      <w:r w:rsidR="005B35AE">
        <w:rPr>
          <w:rFonts w:ascii="Arial" w:hAnsi="Arial" w:cs="Arial"/>
          <w:sz w:val="20"/>
          <w:szCs w:val="20"/>
        </w:rPr>
        <w:t xml:space="preserve">each </w:t>
      </w:r>
      <w:r w:rsidR="00DE6D95">
        <w:rPr>
          <w:rFonts w:ascii="Arial" w:hAnsi="Arial" w:cs="Arial"/>
          <w:sz w:val="20"/>
          <w:szCs w:val="20"/>
        </w:rPr>
        <w:t>treatment intranasally</w:t>
      </w:r>
      <w:r w:rsidR="00404730">
        <w:rPr>
          <w:rFonts w:ascii="Arial" w:hAnsi="Arial" w:cs="Arial"/>
          <w:sz w:val="20"/>
          <w:szCs w:val="20"/>
        </w:rPr>
        <w:t xml:space="preserve"> </w:t>
      </w:r>
      <w:r w:rsidR="005B35AE">
        <w:rPr>
          <w:rFonts w:ascii="Arial" w:hAnsi="Arial" w:cs="Arial"/>
          <w:sz w:val="20"/>
          <w:szCs w:val="20"/>
        </w:rPr>
        <w:t>(immediate-release oxycodone [IRO]</w:t>
      </w:r>
      <w:r w:rsidR="00214553">
        <w:rPr>
          <w:rFonts w:ascii="Arial" w:hAnsi="Arial" w:cs="Arial"/>
          <w:sz w:val="20"/>
          <w:szCs w:val="20"/>
        </w:rPr>
        <w:t xml:space="preserve"> and immediate-release Oxecta</w:t>
      </w:r>
      <w:r w:rsidR="00214553">
        <w:rPr>
          <w:rFonts w:cs="Arial"/>
          <w:sz w:val="20"/>
          <w:szCs w:val="20"/>
        </w:rPr>
        <w:t>®</w:t>
      </w:r>
      <w:r w:rsidR="00214553">
        <w:rPr>
          <w:rFonts w:ascii="Arial" w:hAnsi="Arial" w:cs="Arial"/>
          <w:sz w:val="20"/>
          <w:szCs w:val="20"/>
        </w:rPr>
        <w:t xml:space="preserve"> [IRO-A]</w:t>
      </w:r>
      <w:r w:rsidR="005B35AE">
        <w:rPr>
          <w:rFonts w:ascii="Arial" w:hAnsi="Arial" w:cs="Arial"/>
          <w:sz w:val="20"/>
          <w:szCs w:val="20"/>
        </w:rPr>
        <w:t>)</w:t>
      </w:r>
      <w:r w:rsidR="00214553">
        <w:rPr>
          <w:rFonts w:ascii="Arial" w:hAnsi="Arial" w:cs="Arial"/>
          <w:sz w:val="20"/>
          <w:szCs w:val="20"/>
        </w:rPr>
        <w:t xml:space="preserve"> </w:t>
      </w:r>
      <w:r>
        <w:rPr>
          <w:rFonts w:ascii="Arial" w:hAnsi="Arial" w:cs="Arial"/>
          <w:sz w:val="20"/>
          <w:szCs w:val="20"/>
        </w:rPr>
        <w:t xml:space="preserve">in order to compare the Drug Liking </w:t>
      </w:r>
      <w:r w:rsidR="00237CFD" w:rsidRPr="00237CFD">
        <w:rPr>
          <w:rFonts w:ascii="Arial" w:hAnsi="Arial" w:cs="Arial"/>
          <w:sz w:val="20"/>
          <w:szCs w:val="20"/>
        </w:rPr>
        <w:t xml:space="preserve">visual analog scale </w:t>
      </w:r>
      <w:r w:rsidR="00237CFD">
        <w:rPr>
          <w:rFonts w:ascii="Arial" w:hAnsi="Arial" w:cs="Arial"/>
          <w:sz w:val="20"/>
          <w:szCs w:val="20"/>
        </w:rPr>
        <w:t>(</w:t>
      </w:r>
      <w:r>
        <w:rPr>
          <w:rFonts w:ascii="Arial" w:hAnsi="Arial" w:cs="Arial"/>
          <w:sz w:val="20"/>
          <w:szCs w:val="20"/>
        </w:rPr>
        <w:t>VAS</w:t>
      </w:r>
      <w:r w:rsidR="00237CFD">
        <w:rPr>
          <w:rFonts w:ascii="Arial" w:hAnsi="Arial" w:cs="Arial"/>
          <w:sz w:val="20"/>
          <w:szCs w:val="20"/>
        </w:rPr>
        <w:t>)</w:t>
      </w:r>
      <w:r>
        <w:rPr>
          <w:rFonts w:ascii="Arial" w:hAnsi="Arial" w:cs="Arial"/>
          <w:sz w:val="20"/>
          <w:szCs w:val="20"/>
        </w:rPr>
        <w:t xml:space="preserve"> </w:t>
      </w:r>
      <w:r w:rsidR="00237CFD">
        <w:rPr>
          <w:rFonts w:ascii="Arial" w:hAnsi="Arial" w:cs="Arial"/>
          <w:sz w:val="20"/>
          <w:szCs w:val="20"/>
        </w:rPr>
        <w:t xml:space="preserve">maximum effect </w:t>
      </w:r>
      <w:r>
        <w:rPr>
          <w:rFonts w:ascii="Arial" w:hAnsi="Arial" w:cs="Arial"/>
          <w:sz w:val="20"/>
          <w:szCs w:val="20"/>
        </w:rPr>
        <w:t>(</w:t>
      </w:r>
      <w:proofErr w:type="spellStart"/>
      <w:r w:rsidR="005B35AE">
        <w:rPr>
          <w:rFonts w:ascii="Arial" w:hAnsi="Arial" w:cs="Arial"/>
          <w:sz w:val="20"/>
          <w:szCs w:val="20"/>
        </w:rPr>
        <w:t>E</w:t>
      </w:r>
      <w:r w:rsidR="005B35AE" w:rsidRPr="00214553">
        <w:rPr>
          <w:rFonts w:ascii="Arial" w:hAnsi="Arial" w:cs="Arial"/>
          <w:sz w:val="20"/>
          <w:szCs w:val="20"/>
          <w:vertAlign w:val="subscript"/>
        </w:rPr>
        <w:t>max</w:t>
      </w:r>
      <w:proofErr w:type="spellEnd"/>
      <w:r w:rsidR="005B35AE">
        <w:rPr>
          <w:rFonts w:ascii="Arial" w:hAnsi="Arial" w:cs="Arial"/>
          <w:sz w:val="20"/>
          <w:szCs w:val="20"/>
        </w:rPr>
        <w:t xml:space="preserve">), Overall Drug Liking </w:t>
      </w:r>
      <w:r w:rsidR="00237CFD">
        <w:rPr>
          <w:rFonts w:ascii="Arial" w:hAnsi="Arial" w:cs="Arial"/>
          <w:sz w:val="20"/>
          <w:szCs w:val="20"/>
        </w:rPr>
        <w:t xml:space="preserve">effect at eight hours </w:t>
      </w:r>
      <w:r w:rsidR="005B35AE">
        <w:rPr>
          <w:rFonts w:ascii="Arial" w:hAnsi="Arial" w:cs="Arial"/>
          <w:sz w:val="20"/>
          <w:szCs w:val="20"/>
        </w:rPr>
        <w:t>(E</w:t>
      </w:r>
      <w:r w:rsidR="005B35AE" w:rsidRPr="00214553">
        <w:rPr>
          <w:rFonts w:ascii="Arial" w:hAnsi="Arial" w:cs="Arial"/>
          <w:sz w:val="20"/>
          <w:szCs w:val="20"/>
          <w:vertAlign w:val="subscript"/>
        </w:rPr>
        <w:t>8h</w:t>
      </w:r>
      <w:r w:rsidR="005B35AE">
        <w:rPr>
          <w:rFonts w:ascii="Arial" w:hAnsi="Arial" w:cs="Arial"/>
          <w:sz w:val="20"/>
          <w:szCs w:val="20"/>
        </w:rPr>
        <w:t xml:space="preserve">) and Take Drug Again </w:t>
      </w:r>
      <w:r w:rsidR="00237CFD">
        <w:rPr>
          <w:rFonts w:ascii="Arial" w:hAnsi="Arial" w:cs="Arial"/>
          <w:sz w:val="20"/>
          <w:szCs w:val="20"/>
        </w:rPr>
        <w:t>effect at eight hours</w:t>
      </w:r>
      <w:r w:rsidR="005B35AE">
        <w:rPr>
          <w:rFonts w:ascii="Arial" w:hAnsi="Arial" w:cs="Arial"/>
          <w:sz w:val="20"/>
          <w:szCs w:val="20"/>
        </w:rPr>
        <w:t>(E</w:t>
      </w:r>
      <w:r w:rsidR="005B35AE" w:rsidRPr="00214553">
        <w:rPr>
          <w:rFonts w:ascii="Arial" w:hAnsi="Arial" w:cs="Arial"/>
          <w:sz w:val="20"/>
          <w:szCs w:val="20"/>
          <w:vertAlign w:val="subscript"/>
        </w:rPr>
        <w:t>8h</w:t>
      </w:r>
      <w:r w:rsidR="005B35AE">
        <w:rPr>
          <w:rFonts w:ascii="Arial" w:hAnsi="Arial" w:cs="Arial"/>
          <w:sz w:val="20"/>
          <w:szCs w:val="20"/>
        </w:rPr>
        <w:t>)</w:t>
      </w:r>
      <w:r w:rsidR="00214553">
        <w:rPr>
          <w:rFonts w:ascii="Arial" w:hAnsi="Arial" w:cs="Arial"/>
          <w:sz w:val="20"/>
          <w:szCs w:val="20"/>
        </w:rPr>
        <w:t xml:space="preserve">. </w:t>
      </w:r>
      <w:r w:rsidR="00F71308">
        <w:rPr>
          <w:rFonts w:ascii="Arial" w:hAnsi="Arial" w:cs="Arial"/>
          <w:sz w:val="20"/>
          <w:szCs w:val="20"/>
        </w:rPr>
        <w:t xml:space="preserve"> </w:t>
      </w:r>
      <w:r w:rsidR="00214553">
        <w:rPr>
          <w:rFonts w:ascii="Arial" w:hAnsi="Arial" w:cs="Arial"/>
          <w:sz w:val="20"/>
          <w:szCs w:val="20"/>
        </w:rPr>
        <w:t xml:space="preserve">In summary, a significant difference was found for all endpoints with more individuals </w:t>
      </w:r>
      <w:r w:rsidR="007552D7">
        <w:rPr>
          <w:rFonts w:ascii="Arial" w:hAnsi="Arial" w:cs="Arial"/>
          <w:sz w:val="20"/>
          <w:szCs w:val="20"/>
        </w:rPr>
        <w:t>preferring the IRO to IRO-A (P&lt;0.0001). In addition, more nasal-related adverse events were reported with the administration of IRO-A. Other adverse events were similar between the two agents.</w:t>
      </w:r>
      <w:r w:rsidR="004C5262" w:rsidRPr="004C5262">
        <w:rPr>
          <w:rFonts w:ascii="Arial" w:hAnsi="Arial" w:cs="Arial"/>
          <w:sz w:val="20"/>
          <w:szCs w:val="20"/>
          <w:vertAlign w:val="superscript"/>
        </w:rPr>
        <w:t xml:space="preserve"> </w:t>
      </w:r>
      <w:r w:rsidR="004C5262">
        <w:rPr>
          <w:rFonts w:ascii="Arial" w:hAnsi="Arial" w:cs="Arial"/>
          <w:sz w:val="20"/>
          <w:szCs w:val="20"/>
          <w:vertAlign w:val="superscript"/>
        </w:rPr>
        <w:t>4</w:t>
      </w:r>
      <w:r w:rsidR="007552D7">
        <w:rPr>
          <w:rFonts w:ascii="Arial" w:hAnsi="Arial" w:cs="Arial"/>
          <w:sz w:val="20"/>
          <w:szCs w:val="20"/>
        </w:rPr>
        <w:t xml:space="preserve"> Results are outlined in Table 2.</w:t>
      </w:r>
    </w:p>
    <w:p w:rsidR="00D83513" w:rsidRDefault="00F71308" w:rsidP="00D83513">
      <w:pPr>
        <w:pStyle w:val="NoSpacing"/>
        <w:ind w:left="-770"/>
        <w:rPr>
          <w:rFonts w:ascii="Arial" w:hAnsi="Arial" w:cs="Arial"/>
          <w:sz w:val="20"/>
          <w:szCs w:val="20"/>
        </w:rPr>
      </w:pPr>
      <w:r>
        <w:rPr>
          <w:rFonts w:ascii="Arial" w:hAnsi="Arial" w:cs="Arial"/>
          <w:sz w:val="20"/>
          <w:szCs w:val="20"/>
        </w:rPr>
        <w:t xml:space="preserve">  </w:t>
      </w:r>
    </w:p>
    <w:p w:rsidR="00B031E9" w:rsidRDefault="00B031E9" w:rsidP="00D83513">
      <w:pPr>
        <w:pStyle w:val="NoSpacing"/>
        <w:ind w:left="-770"/>
        <w:rPr>
          <w:rFonts w:ascii="Arial" w:hAnsi="Arial" w:cs="Arial"/>
          <w:sz w:val="20"/>
          <w:szCs w:val="20"/>
        </w:rPr>
      </w:pPr>
    </w:p>
    <w:p w:rsidR="00D83513" w:rsidRPr="00D52A14" w:rsidRDefault="00D83513" w:rsidP="00D52A14">
      <w:pPr>
        <w:autoSpaceDE w:val="0"/>
        <w:autoSpaceDN w:val="0"/>
        <w:adjustRightInd w:val="0"/>
        <w:spacing w:after="0" w:line="240" w:lineRule="auto"/>
        <w:rPr>
          <w:rFonts w:ascii="Arial" w:eastAsia="Times New Roman" w:hAnsi="Arial" w:cs="Arial"/>
          <w:b/>
          <w:color w:val="141314"/>
          <w:sz w:val="20"/>
          <w:szCs w:val="20"/>
        </w:rPr>
        <w:sectPr w:rsidR="00D83513" w:rsidRPr="00D52A14" w:rsidSect="00162B15">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D83513" w:rsidRPr="00007BBF" w:rsidRDefault="00D83513" w:rsidP="00466D74">
      <w:pPr>
        <w:pStyle w:val="NoSpacing"/>
        <w:ind w:left="-810"/>
        <w:rPr>
          <w:rFonts w:ascii="Arial" w:hAnsi="Arial" w:cs="Arial"/>
          <w:b/>
          <w:sz w:val="20"/>
          <w:szCs w:val="20"/>
        </w:rPr>
      </w:pPr>
      <w:r w:rsidRPr="00007BBF">
        <w:rPr>
          <w:rFonts w:ascii="Arial" w:hAnsi="Arial" w:cs="Arial"/>
          <w:b/>
          <w:sz w:val="20"/>
          <w:szCs w:val="20"/>
        </w:rPr>
        <w:lastRenderedPageBreak/>
        <w:t xml:space="preserve">Table </w:t>
      </w:r>
      <w:r>
        <w:rPr>
          <w:rFonts w:ascii="Arial" w:hAnsi="Arial" w:cs="Arial"/>
          <w:b/>
          <w:sz w:val="20"/>
          <w:szCs w:val="20"/>
        </w:rPr>
        <w:t>2</w:t>
      </w:r>
      <w:r w:rsidRPr="00007BBF">
        <w:rPr>
          <w:rFonts w:ascii="Arial" w:hAnsi="Arial" w:cs="Arial"/>
          <w:b/>
          <w:sz w:val="20"/>
          <w:szCs w:val="20"/>
        </w:rPr>
        <w:t xml:space="preserve">. Clinical Trials </w:t>
      </w:r>
    </w:p>
    <w:tbl>
      <w:tblPr>
        <w:tblW w:w="1382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40"/>
        <w:gridCol w:w="2070"/>
        <w:gridCol w:w="1440"/>
        <w:gridCol w:w="1980"/>
        <w:gridCol w:w="6390"/>
      </w:tblGrid>
      <w:tr w:rsidR="00BB73B2" w:rsidRPr="00007BBF" w:rsidTr="00466D74">
        <w:trPr>
          <w:tblHeader/>
        </w:trPr>
        <w:tc>
          <w:tcPr>
            <w:tcW w:w="19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and Drug Regimen</w:t>
            </w:r>
          </w:p>
        </w:tc>
        <w:tc>
          <w:tcPr>
            <w:tcW w:w="207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Study Design and</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Demographics</w:t>
            </w:r>
          </w:p>
        </w:tc>
        <w:tc>
          <w:tcPr>
            <w:tcW w:w="144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Sample Size</w:t>
            </w:r>
          </w:p>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and Study Duration</w:t>
            </w:r>
          </w:p>
        </w:tc>
        <w:tc>
          <w:tcPr>
            <w:tcW w:w="198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End Points</w:t>
            </w:r>
          </w:p>
        </w:tc>
        <w:tc>
          <w:tcPr>
            <w:tcW w:w="6390" w:type="dxa"/>
            <w:shd w:val="clear" w:color="auto" w:fill="C0C0C0"/>
            <w:vAlign w:val="center"/>
          </w:tcPr>
          <w:p w:rsidR="00BB73B2" w:rsidRPr="00007BBF" w:rsidRDefault="00BB73B2" w:rsidP="00D83513">
            <w:pPr>
              <w:pStyle w:val="NoSpacing"/>
              <w:jc w:val="center"/>
              <w:rPr>
                <w:rFonts w:ascii="Arial" w:hAnsi="Arial" w:cs="Arial"/>
                <w:b/>
                <w:sz w:val="20"/>
                <w:szCs w:val="20"/>
              </w:rPr>
            </w:pPr>
            <w:r w:rsidRPr="00007BBF">
              <w:rPr>
                <w:rFonts w:ascii="Arial" w:hAnsi="Arial" w:cs="Arial"/>
                <w:b/>
                <w:sz w:val="20"/>
                <w:szCs w:val="20"/>
              </w:rPr>
              <w:t>Results</w:t>
            </w:r>
          </w:p>
        </w:tc>
      </w:tr>
      <w:tr w:rsidR="00BB73B2" w:rsidRPr="002F74AF" w:rsidTr="00466D74">
        <w:tc>
          <w:tcPr>
            <w:tcW w:w="1940" w:type="dxa"/>
          </w:tcPr>
          <w:p w:rsidR="00C36D7E" w:rsidRPr="001A0E08" w:rsidRDefault="001A0E08" w:rsidP="00D83513">
            <w:pPr>
              <w:spacing w:after="0" w:line="240" w:lineRule="auto"/>
              <w:rPr>
                <w:rFonts w:ascii="Arial" w:hAnsi="Arial" w:cs="Arial"/>
                <w:sz w:val="20"/>
                <w:szCs w:val="20"/>
                <w:vertAlign w:val="superscript"/>
              </w:rPr>
            </w:pPr>
            <w:proofErr w:type="spellStart"/>
            <w:r>
              <w:rPr>
                <w:rFonts w:ascii="Arial" w:hAnsi="Arial" w:cs="Arial"/>
                <w:sz w:val="20"/>
                <w:szCs w:val="20"/>
              </w:rPr>
              <w:t>Schoedel</w:t>
            </w:r>
            <w:proofErr w:type="spellEnd"/>
            <w:r>
              <w:rPr>
                <w:rFonts w:ascii="Arial" w:hAnsi="Arial" w:cs="Arial"/>
                <w:sz w:val="20"/>
                <w:szCs w:val="20"/>
              </w:rPr>
              <w:t xml:space="preserve"> et al</w:t>
            </w:r>
            <w:r w:rsidR="0098331F">
              <w:rPr>
                <w:rFonts w:ascii="Arial" w:hAnsi="Arial" w:cs="Arial"/>
                <w:sz w:val="20"/>
                <w:szCs w:val="20"/>
                <w:vertAlign w:val="superscript"/>
              </w:rPr>
              <w:t>4</w:t>
            </w:r>
          </w:p>
          <w:p w:rsidR="00F151E4" w:rsidRDefault="00F151E4" w:rsidP="00C05220">
            <w:pPr>
              <w:spacing w:after="0" w:line="240" w:lineRule="auto"/>
              <w:rPr>
                <w:rFonts w:ascii="Arial" w:hAnsi="Arial" w:cs="Arial"/>
                <w:sz w:val="20"/>
                <w:szCs w:val="20"/>
              </w:rPr>
            </w:pPr>
          </w:p>
          <w:p w:rsidR="001A0E08" w:rsidRDefault="001A0E08" w:rsidP="00C05220">
            <w:pPr>
              <w:spacing w:after="0" w:line="240" w:lineRule="auto"/>
              <w:rPr>
                <w:rFonts w:ascii="Arial" w:hAnsi="Arial" w:cs="Arial"/>
                <w:sz w:val="20"/>
                <w:szCs w:val="20"/>
              </w:rPr>
            </w:pPr>
            <w:r>
              <w:rPr>
                <w:rFonts w:ascii="Arial" w:hAnsi="Arial" w:cs="Arial"/>
                <w:sz w:val="20"/>
                <w:szCs w:val="20"/>
              </w:rPr>
              <w:t>Crushed Oxecta</w:t>
            </w:r>
            <w:r>
              <w:rPr>
                <w:rFonts w:cs="Arial"/>
                <w:sz w:val="20"/>
                <w:szCs w:val="20"/>
              </w:rPr>
              <w:t>®</w:t>
            </w:r>
            <w:r w:rsidR="003A5826">
              <w:rPr>
                <w:rFonts w:ascii="Arial" w:hAnsi="Arial" w:cs="Arial"/>
                <w:sz w:val="20"/>
                <w:szCs w:val="20"/>
              </w:rPr>
              <w:t xml:space="preserve"> (oxycodone HCl</w:t>
            </w:r>
            <w:r>
              <w:rPr>
                <w:rFonts w:ascii="Arial" w:hAnsi="Arial" w:cs="Arial"/>
                <w:sz w:val="20"/>
                <w:szCs w:val="20"/>
              </w:rPr>
              <w:t>) 15 mg</w:t>
            </w:r>
          </w:p>
          <w:p w:rsidR="001A0E08" w:rsidRDefault="001A0E08" w:rsidP="00C05220">
            <w:pPr>
              <w:spacing w:after="0" w:line="240" w:lineRule="auto"/>
              <w:rPr>
                <w:rFonts w:ascii="Arial" w:hAnsi="Arial" w:cs="Arial"/>
                <w:sz w:val="20"/>
                <w:szCs w:val="20"/>
              </w:rPr>
            </w:pPr>
          </w:p>
          <w:p w:rsidR="001A0E08" w:rsidRDefault="00BD2C0D" w:rsidP="00C05220">
            <w:pPr>
              <w:spacing w:after="0" w:line="240" w:lineRule="auto"/>
              <w:rPr>
                <w:rFonts w:ascii="Arial" w:hAnsi="Arial" w:cs="Arial"/>
                <w:sz w:val="20"/>
                <w:szCs w:val="20"/>
              </w:rPr>
            </w:pPr>
            <w:r>
              <w:rPr>
                <w:rFonts w:ascii="Arial" w:hAnsi="Arial" w:cs="Arial"/>
                <w:sz w:val="20"/>
                <w:szCs w:val="20"/>
              </w:rPr>
              <w:t>vs</w:t>
            </w:r>
          </w:p>
          <w:p w:rsidR="001A0E08" w:rsidRDefault="001A0E08" w:rsidP="00C05220">
            <w:pPr>
              <w:spacing w:after="0" w:line="240" w:lineRule="auto"/>
              <w:rPr>
                <w:rFonts w:ascii="Arial" w:hAnsi="Arial" w:cs="Arial"/>
                <w:sz w:val="20"/>
                <w:szCs w:val="20"/>
              </w:rPr>
            </w:pPr>
          </w:p>
          <w:p w:rsidR="001A0E08" w:rsidRPr="002F74AF" w:rsidRDefault="001A0E08" w:rsidP="00C05220">
            <w:pPr>
              <w:spacing w:after="0" w:line="240" w:lineRule="auto"/>
              <w:rPr>
                <w:rFonts w:ascii="Arial" w:hAnsi="Arial" w:cs="Arial"/>
                <w:sz w:val="20"/>
                <w:szCs w:val="20"/>
              </w:rPr>
            </w:pPr>
            <w:r>
              <w:rPr>
                <w:rFonts w:ascii="Arial" w:hAnsi="Arial" w:cs="Arial"/>
                <w:sz w:val="20"/>
                <w:szCs w:val="20"/>
              </w:rPr>
              <w:t>crushed Roxicodone</w:t>
            </w:r>
            <w:r>
              <w:rPr>
                <w:rFonts w:cs="Arial"/>
                <w:sz w:val="20"/>
                <w:szCs w:val="20"/>
              </w:rPr>
              <w:t>®</w:t>
            </w:r>
            <w:r>
              <w:rPr>
                <w:rFonts w:ascii="Arial" w:hAnsi="Arial" w:cs="Arial"/>
                <w:sz w:val="20"/>
                <w:szCs w:val="20"/>
              </w:rPr>
              <w:t xml:space="preserve"> (</w:t>
            </w:r>
            <w:r w:rsidR="003A5826">
              <w:rPr>
                <w:rFonts w:ascii="Arial" w:hAnsi="Arial" w:cs="Arial"/>
                <w:sz w:val="20"/>
                <w:szCs w:val="20"/>
              </w:rPr>
              <w:t>oxycodone HCl</w:t>
            </w:r>
            <w:r>
              <w:rPr>
                <w:rFonts w:ascii="Arial" w:hAnsi="Arial" w:cs="Arial"/>
                <w:sz w:val="20"/>
                <w:szCs w:val="20"/>
              </w:rPr>
              <w:t>) 15 mg)</w:t>
            </w:r>
          </w:p>
        </w:tc>
        <w:tc>
          <w:tcPr>
            <w:tcW w:w="2070" w:type="dxa"/>
          </w:tcPr>
          <w:p w:rsidR="00BB73B2" w:rsidRDefault="001A0E08" w:rsidP="009067B9">
            <w:pPr>
              <w:spacing w:after="0" w:line="240" w:lineRule="auto"/>
              <w:rPr>
                <w:rFonts w:ascii="Arial" w:hAnsi="Arial" w:cs="Arial"/>
                <w:sz w:val="20"/>
                <w:szCs w:val="20"/>
              </w:rPr>
            </w:pPr>
            <w:r>
              <w:rPr>
                <w:rFonts w:ascii="Arial" w:hAnsi="Arial" w:cs="Arial"/>
                <w:sz w:val="20"/>
                <w:szCs w:val="20"/>
              </w:rPr>
              <w:t>AC, DB, RCT, XO</w:t>
            </w:r>
          </w:p>
          <w:p w:rsidR="001A0E08" w:rsidRDefault="001A0E08" w:rsidP="009067B9">
            <w:pPr>
              <w:spacing w:after="0" w:line="240" w:lineRule="auto"/>
              <w:rPr>
                <w:rFonts w:ascii="Arial" w:hAnsi="Arial" w:cs="Arial"/>
                <w:sz w:val="20"/>
                <w:szCs w:val="20"/>
              </w:rPr>
            </w:pPr>
          </w:p>
          <w:p w:rsidR="001A0E08" w:rsidRPr="002F74AF" w:rsidRDefault="00042CDF" w:rsidP="00BD2C0D">
            <w:pPr>
              <w:spacing w:after="0" w:line="240" w:lineRule="auto"/>
              <w:rPr>
                <w:rFonts w:ascii="Arial" w:hAnsi="Arial" w:cs="Arial"/>
                <w:sz w:val="20"/>
                <w:szCs w:val="20"/>
              </w:rPr>
            </w:pPr>
            <w:r>
              <w:rPr>
                <w:rFonts w:ascii="Arial" w:hAnsi="Arial" w:cs="Arial"/>
                <w:sz w:val="20"/>
                <w:szCs w:val="20"/>
              </w:rPr>
              <w:t>Subjects</w:t>
            </w:r>
            <w:r w:rsidR="001A0E08">
              <w:rPr>
                <w:rFonts w:ascii="Arial" w:hAnsi="Arial" w:cs="Arial"/>
                <w:sz w:val="20"/>
                <w:szCs w:val="20"/>
              </w:rPr>
              <w:t xml:space="preserve"> 18 to 55 years </w:t>
            </w:r>
            <w:r w:rsidR="00BD2C0D">
              <w:rPr>
                <w:rFonts w:ascii="Arial" w:hAnsi="Arial" w:cs="Arial"/>
                <w:sz w:val="20"/>
                <w:szCs w:val="20"/>
              </w:rPr>
              <w:t>of age</w:t>
            </w:r>
            <w:r w:rsidR="001A0E08">
              <w:rPr>
                <w:rFonts w:ascii="Arial" w:hAnsi="Arial" w:cs="Arial"/>
                <w:sz w:val="20"/>
                <w:szCs w:val="20"/>
              </w:rPr>
              <w:t xml:space="preserve"> who were nondependent, recreational opioid users</w:t>
            </w:r>
          </w:p>
        </w:tc>
        <w:tc>
          <w:tcPr>
            <w:tcW w:w="1440" w:type="dxa"/>
          </w:tcPr>
          <w:p w:rsidR="00937DD0" w:rsidRDefault="001A0E08" w:rsidP="00D83513">
            <w:pPr>
              <w:spacing w:after="0" w:line="240" w:lineRule="auto"/>
              <w:jc w:val="center"/>
              <w:rPr>
                <w:rFonts w:ascii="Arial" w:hAnsi="Arial" w:cs="Arial"/>
                <w:sz w:val="20"/>
                <w:szCs w:val="20"/>
              </w:rPr>
            </w:pPr>
            <w:r>
              <w:rPr>
                <w:rFonts w:ascii="Arial" w:hAnsi="Arial" w:cs="Arial"/>
                <w:sz w:val="20"/>
                <w:szCs w:val="20"/>
              </w:rPr>
              <w:t>N=40</w:t>
            </w:r>
          </w:p>
          <w:p w:rsidR="001A0E08" w:rsidRDefault="001A0E08" w:rsidP="00D83513">
            <w:pPr>
              <w:spacing w:after="0" w:line="240" w:lineRule="auto"/>
              <w:jc w:val="center"/>
              <w:rPr>
                <w:rFonts w:ascii="Arial" w:hAnsi="Arial" w:cs="Arial"/>
                <w:sz w:val="20"/>
                <w:szCs w:val="20"/>
              </w:rPr>
            </w:pPr>
          </w:p>
          <w:p w:rsidR="001A0E08" w:rsidRPr="002F74AF" w:rsidRDefault="001A0E08" w:rsidP="00D83513">
            <w:pPr>
              <w:spacing w:after="0" w:line="240" w:lineRule="auto"/>
              <w:jc w:val="center"/>
              <w:rPr>
                <w:rFonts w:ascii="Arial" w:hAnsi="Arial" w:cs="Arial"/>
                <w:sz w:val="20"/>
                <w:szCs w:val="20"/>
              </w:rPr>
            </w:pPr>
            <w:r>
              <w:rPr>
                <w:rFonts w:ascii="Arial" w:hAnsi="Arial" w:cs="Arial"/>
                <w:sz w:val="20"/>
                <w:szCs w:val="20"/>
              </w:rPr>
              <w:t>Single dose</w:t>
            </w:r>
          </w:p>
        </w:tc>
        <w:tc>
          <w:tcPr>
            <w:tcW w:w="1980" w:type="dxa"/>
          </w:tcPr>
          <w:p w:rsidR="00BB73B2" w:rsidRDefault="001A0E08" w:rsidP="00D83513">
            <w:pPr>
              <w:spacing w:after="0" w:line="240" w:lineRule="auto"/>
              <w:rPr>
                <w:rFonts w:ascii="Arial" w:hAnsi="Arial" w:cs="Arial"/>
                <w:sz w:val="20"/>
                <w:szCs w:val="20"/>
              </w:rPr>
            </w:pPr>
            <w:r>
              <w:rPr>
                <w:rFonts w:ascii="Arial" w:hAnsi="Arial" w:cs="Arial"/>
                <w:sz w:val="20"/>
                <w:szCs w:val="20"/>
              </w:rPr>
              <w:t>Primary:</w:t>
            </w:r>
          </w:p>
          <w:p w:rsidR="001A0E08" w:rsidRDefault="007D04C7" w:rsidP="00D83513">
            <w:pPr>
              <w:spacing w:after="0" w:line="240" w:lineRule="auto"/>
              <w:rPr>
                <w:rFonts w:ascii="Arial" w:hAnsi="Arial" w:cs="Arial"/>
                <w:sz w:val="20"/>
                <w:szCs w:val="20"/>
              </w:rPr>
            </w:pPr>
            <w:proofErr w:type="spellStart"/>
            <w:r>
              <w:rPr>
                <w:rFonts w:ascii="Arial" w:hAnsi="Arial" w:cs="Arial"/>
                <w:sz w:val="20"/>
                <w:szCs w:val="20"/>
              </w:rPr>
              <w:t>E</w:t>
            </w:r>
            <w:r w:rsidRPr="001A0E08">
              <w:rPr>
                <w:rFonts w:ascii="Arial" w:hAnsi="Arial" w:cs="Arial"/>
                <w:sz w:val="20"/>
                <w:szCs w:val="20"/>
                <w:vertAlign w:val="subscript"/>
              </w:rPr>
              <w:t>max</w:t>
            </w:r>
            <w:proofErr w:type="spellEnd"/>
            <w:r w:rsidR="001A0E08">
              <w:rPr>
                <w:rFonts w:ascii="Arial" w:hAnsi="Arial" w:cs="Arial"/>
                <w:sz w:val="20"/>
                <w:szCs w:val="20"/>
              </w:rPr>
              <w:t xml:space="preserve"> for Dru</w:t>
            </w:r>
            <w:r w:rsidR="00080B90">
              <w:rPr>
                <w:rFonts w:ascii="Arial" w:hAnsi="Arial" w:cs="Arial"/>
                <w:sz w:val="20"/>
                <w:szCs w:val="20"/>
              </w:rPr>
              <w:t xml:space="preserve">g Liking and </w:t>
            </w:r>
            <w:r w:rsidR="001A0E08">
              <w:rPr>
                <w:rFonts w:ascii="Arial" w:hAnsi="Arial" w:cs="Arial"/>
                <w:sz w:val="20"/>
                <w:szCs w:val="20"/>
              </w:rPr>
              <w:t>E</w:t>
            </w:r>
            <w:r w:rsidR="001A0E08" w:rsidRPr="001A0E08">
              <w:rPr>
                <w:rFonts w:ascii="Arial" w:hAnsi="Arial" w:cs="Arial"/>
                <w:sz w:val="20"/>
                <w:szCs w:val="20"/>
                <w:vertAlign w:val="subscript"/>
              </w:rPr>
              <w:t>8h</w:t>
            </w:r>
            <w:r w:rsidR="001A0E08">
              <w:rPr>
                <w:rFonts w:ascii="Arial" w:hAnsi="Arial" w:cs="Arial"/>
                <w:sz w:val="20"/>
                <w:szCs w:val="20"/>
              </w:rPr>
              <w:t xml:space="preserve"> postdose for Take Drug Again and Overall Drug Liking</w:t>
            </w:r>
          </w:p>
          <w:p w:rsidR="001A0E08" w:rsidRDefault="001A0E08" w:rsidP="00D83513">
            <w:pPr>
              <w:spacing w:after="0" w:line="240" w:lineRule="auto"/>
              <w:rPr>
                <w:rFonts w:ascii="Arial" w:hAnsi="Arial" w:cs="Arial"/>
                <w:sz w:val="20"/>
                <w:szCs w:val="20"/>
              </w:rPr>
            </w:pPr>
          </w:p>
          <w:p w:rsidR="001A0E08" w:rsidRDefault="001A0E08" w:rsidP="00D83513">
            <w:pPr>
              <w:spacing w:after="0" w:line="240" w:lineRule="auto"/>
              <w:rPr>
                <w:rFonts w:ascii="Arial" w:hAnsi="Arial" w:cs="Arial"/>
                <w:sz w:val="20"/>
                <w:szCs w:val="20"/>
              </w:rPr>
            </w:pPr>
            <w:r>
              <w:rPr>
                <w:rFonts w:ascii="Arial" w:hAnsi="Arial" w:cs="Arial"/>
                <w:sz w:val="20"/>
                <w:szCs w:val="20"/>
              </w:rPr>
              <w:t>Secondary:</w:t>
            </w:r>
          </w:p>
          <w:p w:rsidR="001A0E08" w:rsidRPr="002F74AF" w:rsidRDefault="001A0E08" w:rsidP="00D83513">
            <w:pPr>
              <w:spacing w:after="0" w:line="240" w:lineRule="auto"/>
              <w:rPr>
                <w:rFonts w:ascii="Arial" w:hAnsi="Arial" w:cs="Arial"/>
                <w:sz w:val="20"/>
                <w:szCs w:val="20"/>
              </w:rPr>
            </w:pPr>
            <w:r>
              <w:rPr>
                <w:rFonts w:ascii="Arial" w:hAnsi="Arial" w:cs="Arial"/>
                <w:sz w:val="20"/>
                <w:szCs w:val="20"/>
              </w:rPr>
              <w:t>VAS endpoints, pupillometry and subject-rated scales for nasal effects</w:t>
            </w:r>
          </w:p>
        </w:tc>
        <w:tc>
          <w:tcPr>
            <w:tcW w:w="6390" w:type="dxa"/>
          </w:tcPr>
          <w:p w:rsidR="00BB73B2" w:rsidRDefault="001A0E08" w:rsidP="00D83513">
            <w:pPr>
              <w:spacing w:after="0" w:line="240" w:lineRule="auto"/>
              <w:rPr>
                <w:rFonts w:ascii="Arial" w:hAnsi="Arial" w:cs="Arial"/>
                <w:sz w:val="20"/>
                <w:szCs w:val="20"/>
              </w:rPr>
            </w:pPr>
            <w:r>
              <w:rPr>
                <w:rFonts w:ascii="Arial" w:hAnsi="Arial" w:cs="Arial"/>
                <w:sz w:val="20"/>
                <w:szCs w:val="20"/>
              </w:rPr>
              <w:t>Primary:</w:t>
            </w:r>
          </w:p>
          <w:p w:rsidR="001A0E08" w:rsidRDefault="0098331F" w:rsidP="00D83513">
            <w:pPr>
              <w:spacing w:after="0" w:line="240" w:lineRule="auto"/>
              <w:rPr>
                <w:rFonts w:ascii="Arial" w:hAnsi="Arial" w:cs="Arial"/>
                <w:sz w:val="20"/>
                <w:szCs w:val="20"/>
              </w:rPr>
            </w:pPr>
            <w:r>
              <w:rPr>
                <w:rFonts w:ascii="Arial" w:hAnsi="Arial" w:cs="Arial"/>
                <w:sz w:val="20"/>
                <w:szCs w:val="20"/>
              </w:rPr>
              <w:t>Thirty-nin</w:t>
            </w:r>
            <w:r w:rsidR="001A0E08">
              <w:rPr>
                <w:rFonts w:ascii="Arial" w:hAnsi="Arial" w:cs="Arial"/>
                <w:sz w:val="20"/>
                <w:szCs w:val="20"/>
              </w:rPr>
              <w:t xml:space="preserve">e of the 40 subjects that were randomized had evaluable results. The last subject was excluded due to postdose vomiting. Least squares mean Drug Liking VAS </w:t>
            </w:r>
            <w:proofErr w:type="spellStart"/>
            <w:r w:rsidR="001A0E08">
              <w:rPr>
                <w:rFonts w:ascii="Arial" w:hAnsi="Arial" w:cs="Arial"/>
                <w:sz w:val="20"/>
                <w:szCs w:val="20"/>
              </w:rPr>
              <w:t>E</w:t>
            </w:r>
            <w:r w:rsidR="001A0E08" w:rsidRPr="001A0E08">
              <w:rPr>
                <w:rFonts w:ascii="Arial" w:hAnsi="Arial" w:cs="Arial"/>
                <w:sz w:val="20"/>
                <w:szCs w:val="20"/>
                <w:vertAlign w:val="subscript"/>
              </w:rPr>
              <w:t>max</w:t>
            </w:r>
            <w:proofErr w:type="spellEnd"/>
            <w:r w:rsidR="001A0E08">
              <w:rPr>
                <w:rFonts w:ascii="Arial" w:hAnsi="Arial" w:cs="Arial"/>
                <w:sz w:val="20"/>
                <w:szCs w:val="20"/>
                <w:vertAlign w:val="subscript"/>
              </w:rPr>
              <w:t xml:space="preserve"> </w:t>
            </w:r>
            <w:r w:rsidR="001A0E08" w:rsidRPr="001A0E08">
              <w:rPr>
                <w:rFonts w:ascii="Arial" w:hAnsi="Arial" w:cs="Arial"/>
                <w:sz w:val="20"/>
                <w:szCs w:val="20"/>
              </w:rPr>
              <w:t>(70.8 vs 93.5)</w:t>
            </w:r>
            <w:r w:rsidR="00042CDF">
              <w:rPr>
                <w:rFonts w:ascii="Arial" w:hAnsi="Arial" w:cs="Arial"/>
                <w:sz w:val="20"/>
                <w:szCs w:val="20"/>
              </w:rPr>
              <w:t>, Overall Drug Liking E</w:t>
            </w:r>
            <w:r w:rsidR="00042CDF" w:rsidRPr="001A0E08">
              <w:rPr>
                <w:rFonts w:ascii="Arial" w:hAnsi="Arial" w:cs="Arial"/>
                <w:sz w:val="20"/>
                <w:szCs w:val="20"/>
                <w:vertAlign w:val="subscript"/>
              </w:rPr>
              <w:t>8h</w:t>
            </w:r>
            <w:r w:rsidR="00042CDF">
              <w:rPr>
                <w:rFonts w:ascii="Arial" w:hAnsi="Arial" w:cs="Arial"/>
                <w:sz w:val="20"/>
                <w:szCs w:val="20"/>
              </w:rPr>
              <w:t xml:space="preserve"> (47.8 vs 87.4) and Take Drug Again E</w:t>
            </w:r>
            <w:r w:rsidR="00042CDF" w:rsidRPr="001A0E08">
              <w:rPr>
                <w:rFonts w:ascii="Arial" w:hAnsi="Arial" w:cs="Arial"/>
                <w:sz w:val="20"/>
                <w:szCs w:val="20"/>
                <w:vertAlign w:val="subscript"/>
              </w:rPr>
              <w:t>8h</w:t>
            </w:r>
            <w:r w:rsidR="00042CDF">
              <w:rPr>
                <w:rFonts w:ascii="Arial" w:hAnsi="Arial" w:cs="Arial"/>
                <w:sz w:val="20"/>
                <w:szCs w:val="20"/>
              </w:rPr>
              <w:t xml:space="preserve"> (45.9 vs 91.3) were significantly lower for crushed Oxecta</w:t>
            </w:r>
            <w:r w:rsidR="00042CDF">
              <w:rPr>
                <w:rFonts w:cs="Arial"/>
                <w:sz w:val="20"/>
                <w:szCs w:val="20"/>
              </w:rPr>
              <w:t>®</w:t>
            </w:r>
            <w:r w:rsidR="00BD2C0D">
              <w:rPr>
                <w:rFonts w:ascii="Arial" w:hAnsi="Arial" w:cs="Arial"/>
                <w:sz w:val="20"/>
                <w:szCs w:val="20"/>
              </w:rPr>
              <w:t xml:space="preserve"> (oxycodone HCl</w:t>
            </w:r>
            <w:r w:rsidR="00042CDF">
              <w:rPr>
                <w:rFonts w:ascii="Arial" w:hAnsi="Arial" w:cs="Arial"/>
                <w:sz w:val="20"/>
                <w:szCs w:val="20"/>
              </w:rPr>
              <w:t>) compared to crushed Roxicodone</w:t>
            </w:r>
            <w:r w:rsidR="00042CDF">
              <w:rPr>
                <w:rFonts w:cs="Arial"/>
                <w:sz w:val="20"/>
                <w:szCs w:val="20"/>
              </w:rPr>
              <w:t>®</w:t>
            </w:r>
            <w:r w:rsidR="00BD2C0D">
              <w:rPr>
                <w:rFonts w:ascii="Arial" w:hAnsi="Arial" w:cs="Arial"/>
                <w:sz w:val="20"/>
                <w:szCs w:val="20"/>
              </w:rPr>
              <w:t xml:space="preserve"> (oxycodone HCl</w:t>
            </w:r>
            <w:r w:rsidR="00042CDF">
              <w:rPr>
                <w:rFonts w:ascii="Arial" w:hAnsi="Arial" w:cs="Arial"/>
                <w:sz w:val="20"/>
                <w:szCs w:val="20"/>
              </w:rPr>
              <w:t>) (all P&lt;0.0001).</w:t>
            </w:r>
          </w:p>
          <w:p w:rsidR="00042CDF" w:rsidRDefault="00042CDF" w:rsidP="00D83513">
            <w:pPr>
              <w:spacing w:after="0" w:line="240" w:lineRule="auto"/>
              <w:rPr>
                <w:rFonts w:ascii="Arial" w:hAnsi="Arial" w:cs="Arial"/>
                <w:sz w:val="20"/>
                <w:szCs w:val="20"/>
              </w:rPr>
            </w:pPr>
          </w:p>
          <w:p w:rsidR="00042CDF" w:rsidRPr="00042CDF" w:rsidRDefault="00042CDF" w:rsidP="00D83513">
            <w:pPr>
              <w:spacing w:after="0" w:line="240" w:lineRule="auto"/>
              <w:rPr>
                <w:rFonts w:ascii="Arial" w:hAnsi="Arial" w:cs="Arial"/>
                <w:sz w:val="20"/>
                <w:szCs w:val="20"/>
              </w:rPr>
            </w:pPr>
            <w:r w:rsidRPr="00042CDF">
              <w:rPr>
                <w:rFonts w:ascii="Arial" w:hAnsi="Arial" w:cs="Arial"/>
                <w:sz w:val="20"/>
                <w:szCs w:val="20"/>
              </w:rPr>
              <w:t xml:space="preserve">Thirty percent of subjects exposed to </w:t>
            </w:r>
            <w:proofErr w:type="gramStart"/>
            <w:r>
              <w:rPr>
                <w:rFonts w:ascii="Arial" w:hAnsi="Arial" w:cs="Arial"/>
                <w:sz w:val="20"/>
                <w:szCs w:val="20"/>
              </w:rPr>
              <w:t>crushed</w:t>
            </w:r>
            <w:proofErr w:type="gramEnd"/>
            <w:r>
              <w:rPr>
                <w:rFonts w:ascii="Arial" w:hAnsi="Arial" w:cs="Arial"/>
                <w:sz w:val="20"/>
                <w:szCs w:val="20"/>
              </w:rPr>
              <w:t xml:space="preserve"> Oxecta</w:t>
            </w:r>
            <w:r>
              <w:rPr>
                <w:rFonts w:cs="Arial"/>
                <w:sz w:val="20"/>
                <w:szCs w:val="20"/>
              </w:rPr>
              <w:t>®</w:t>
            </w:r>
            <w:r w:rsidR="00BD2C0D">
              <w:rPr>
                <w:rFonts w:ascii="Arial" w:hAnsi="Arial" w:cs="Arial"/>
                <w:sz w:val="20"/>
                <w:szCs w:val="20"/>
              </w:rPr>
              <w:t xml:space="preserve"> (oxycodone HCl</w:t>
            </w:r>
            <w:r>
              <w:rPr>
                <w:rFonts w:ascii="Arial" w:hAnsi="Arial" w:cs="Arial"/>
                <w:sz w:val="20"/>
                <w:szCs w:val="20"/>
              </w:rPr>
              <w:t xml:space="preserve">) </w:t>
            </w:r>
            <w:r w:rsidRPr="00042CDF">
              <w:rPr>
                <w:rFonts w:ascii="Arial" w:hAnsi="Arial" w:cs="Arial"/>
                <w:sz w:val="20"/>
                <w:szCs w:val="20"/>
              </w:rPr>
              <w:t>responded that they would not take the drug again compared to 5% of subjects exposed to immediate-release oxycodone.</w:t>
            </w:r>
            <w:r w:rsidR="00080B90">
              <w:rPr>
                <w:rFonts w:ascii="Arial" w:hAnsi="Arial" w:cs="Arial"/>
                <w:sz w:val="20"/>
                <w:szCs w:val="20"/>
              </w:rPr>
              <w:t xml:space="preserve"> P value not reported.</w:t>
            </w:r>
          </w:p>
          <w:p w:rsidR="00042CDF" w:rsidRDefault="00042CDF" w:rsidP="00D83513">
            <w:pPr>
              <w:spacing w:after="0" w:line="240" w:lineRule="auto"/>
              <w:rPr>
                <w:rFonts w:ascii="Arial" w:hAnsi="Arial" w:cs="Arial"/>
                <w:sz w:val="20"/>
                <w:szCs w:val="20"/>
              </w:rPr>
            </w:pPr>
          </w:p>
          <w:p w:rsidR="00042CDF" w:rsidRDefault="00042CDF" w:rsidP="00D83513">
            <w:pPr>
              <w:spacing w:after="0" w:line="240" w:lineRule="auto"/>
              <w:rPr>
                <w:rFonts w:ascii="Arial" w:hAnsi="Arial" w:cs="Arial"/>
                <w:sz w:val="20"/>
                <w:szCs w:val="20"/>
              </w:rPr>
            </w:pPr>
            <w:r>
              <w:rPr>
                <w:rFonts w:ascii="Arial" w:hAnsi="Arial" w:cs="Arial"/>
                <w:sz w:val="20"/>
                <w:szCs w:val="20"/>
              </w:rPr>
              <w:t>Secondary:</w:t>
            </w:r>
          </w:p>
          <w:p w:rsidR="00042CDF" w:rsidRDefault="00042CDF" w:rsidP="00D83513">
            <w:pPr>
              <w:spacing w:after="0" w:line="240" w:lineRule="auto"/>
              <w:rPr>
                <w:rFonts w:ascii="Arial" w:hAnsi="Arial" w:cs="Arial"/>
                <w:sz w:val="20"/>
                <w:szCs w:val="20"/>
              </w:rPr>
            </w:pPr>
            <w:r>
              <w:rPr>
                <w:rFonts w:ascii="Arial" w:hAnsi="Arial" w:cs="Arial"/>
                <w:sz w:val="20"/>
                <w:szCs w:val="20"/>
              </w:rPr>
              <w:t>Pupillary responses between treatments were similar overall, but differences were noted for some endpoints/time points.</w:t>
            </w:r>
          </w:p>
          <w:p w:rsidR="00042CDF" w:rsidRDefault="00042CDF" w:rsidP="00D83513">
            <w:pPr>
              <w:spacing w:after="0" w:line="240" w:lineRule="auto"/>
              <w:rPr>
                <w:rFonts w:ascii="Arial" w:hAnsi="Arial" w:cs="Arial"/>
                <w:sz w:val="20"/>
                <w:szCs w:val="20"/>
              </w:rPr>
            </w:pPr>
          </w:p>
          <w:p w:rsidR="00042CDF" w:rsidRPr="00042CDF" w:rsidRDefault="00042CDF" w:rsidP="00D83513">
            <w:pPr>
              <w:spacing w:after="0" w:line="240" w:lineRule="auto"/>
              <w:rPr>
                <w:rFonts w:ascii="Arial" w:hAnsi="Arial" w:cs="Arial"/>
                <w:sz w:val="20"/>
                <w:szCs w:val="20"/>
              </w:rPr>
            </w:pPr>
            <w:r>
              <w:rPr>
                <w:rFonts w:ascii="Arial" w:hAnsi="Arial" w:cs="Arial"/>
                <w:sz w:val="20"/>
                <w:szCs w:val="20"/>
              </w:rPr>
              <w:t>Subjects experienced more nasal-related symptoms and facial adverse events with the crushed Oxecta</w:t>
            </w:r>
            <w:r>
              <w:rPr>
                <w:rFonts w:cs="Arial"/>
                <w:sz w:val="20"/>
                <w:szCs w:val="20"/>
              </w:rPr>
              <w:t>®</w:t>
            </w:r>
            <w:r w:rsidR="00BD2C0D">
              <w:rPr>
                <w:rFonts w:ascii="Arial" w:hAnsi="Arial" w:cs="Arial"/>
                <w:sz w:val="20"/>
                <w:szCs w:val="20"/>
              </w:rPr>
              <w:t xml:space="preserve"> (oxycodone HCl</w:t>
            </w:r>
            <w:r>
              <w:rPr>
                <w:rFonts w:ascii="Arial" w:hAnsi="Arial" w:cs="Arial"/>
                <w:sz w:val="20"/>
                <w:szCs w:val="20"/>
              </w:rPr>
              <w:t>). In addition, 21 of 40 subjects had a decreased ability to completely insufflate two crushed Oxecta</w:t>
            </w:r>
            <w:r>
              <w:rPr>
                <w:rFonts w:cs="Arial"/>
                <w:sz w:val="20"/>
                <w:szCs w:val="20"/>
              </w:rPr>
              <w:t>®</w:t>
            </w:r>
            <w:r w:rsidR="00BD2C0D">
              <w:rPr>
                <w:rFonts w:ascii="Arial" w:hAnsi="Arial" w:cs="Arial"/>
                <w:sz w:val="20"/>
                <w:szCs w:val="20"/>
              </w:rPr>
              <w:t xml:space="preserve"> (oxycodone HCl</w:t>
            </w:r>
            <w:r>
              <w:rPr>
                <w:rFonts w:ascii="Arial" w:hAnsi="Arial" w:cs="Arial"/>
                <w:sz w:val="20"/>
                <w:szCs w:val="20"/>
              </w:rPr>
              <w:t>) tablets within a fixed time period.</w:t>
            </w:r>
          </w:p>
        </w:tc>
      </w:tr>
    </w:tbl>
    <w:p w:rsidR="005A2733" w:rsidRDefault="005A2733" w:rsidP="005921EF">
      <w:pPr>
        <w:spacing w:after="0" w:line="240" w:lineRule="auto"/>
        <w:ind w:left="-770"/>
        <w:rPr>
          <w:rFonts w:ascii="Arial" w:hAnsi="Arial" w:cs="Arial"/>
          <w:color w:val="000000"/>
          <w:sz w:val="16"/>
          <w:szCs w:val="16"/>
        </w:rPr>
      </w:pPr>
      <w:r>
        <w:rPr>
          <w:rFonts w:ascii="Arial" w:hAnsi="Arial" w:cs="Arial"/>
          <w:color w:val="000000"/>
          <w:sz w:val="16"/>
          <w:szCs w:val="16"/>
        </w:rPr>
        <w:t>Drug regimen abbreviation: Q12H=every 12 hours</w:t>
      </w:r>
    </w:p>
    <w:p w:rsidR="00D83513" w:rsidRPr="005A2733" w:rsidRDefault="00D83513" w:rsidP="005A2733">
      <w:pPr>
        <w:spacing w:after="0" w:line="240" w:lineRule="auto"/>
        <w:ind w:left="-770"/>
        <w:rPr>
          <w:rFonts w:ascii="Arial" w:hAnsi="Arial" w:cs="Arial"/>
          <w:color w:val="000000"/>
          <w:sz w:val="16"/>
          <w:szCs w:val="16"/>
        </w:rPr>
        <w:sectPr w:rsidR="00D83513" w:rsidRPr="005A2733" w:rsidSect="00162B15">
          <w:footerReference w:type="default" r:id="rId13"/>
          <w:pgSz w:w="15840" w:h="12240" w:orient="landscape" w:code="1"/>
          <w:pgMar w:top="1440" w:right="1440" w:bottom="1440" w:left="1440" w:header="720" w:footer="720" w:gutter="0"/>
          <w:cols w:space="720"/>
          <w:docGrid w:linePitch="360"/>
        </w:sectPr>
      </w:pPr>
      <w:r w:rsidRPr="0044122B">
        <w:rPr>
          <w:rFonts w:ascii="Arial" w:hAnsi="Arial" w:cs="Arial"/>
          <w:color w:val="000000"/>
          <w:sz w:val="16"/>
          <w:szCs w:val="16"/>
        </w:rPr>
        <w:t>Study abbreviations:</w:t>
      </w:r>
      <w:r w:rsidR="00A6477E">
        <w:rPr>
          <w:rFonts w:ascii="Arial" w:hAnsi="Arial" w:cs="Arial"/>
          <w:color w:val="000000"/>
          <w:sz w:val="16"/>
          <w:szCs w:val="16"/>
        </w:rPr>
        <w:t xml:space="preserve"> </w:t>
      </w:r>
      <w:r w:rsidR="005921EF" w:rsidRPr="0044122B">
        <w:rPr>
          <w:rFonts w:ascii="Arial" w:hAnsi="Arial" w:cs="Arial"/>
          <w:color w:val="000000"/>
          <w:sz w:val="16"/>
          <w:szCs w:val="16"/>
        </w:rPr>
        <w:t>AC</w:t>
      </w:r>
      <w:r w:rsidR="005921EF" w:rsidRPr="0044122B">
        <w:rPr>
          <w:rFonts w:ascii="Arial" w:hAnsi="Arial" w:cs="Arial"/>
          <w:i/>
          <w:color w:val="000000"/>
          <w:sz w:val="16"/>
          <w:szCs w:val="16"/>
        </w:rPr>
        <w:t>=</w:t>
      </w:r>
      <w:r w:rsidR="005921EF" w:rsidRPr="0044122B">
        <w:rPr>
          <w:rFonts w:ascii="Arial" w:hAnsi="Arial" w:cs="Arial"/>
          <w:color w:val="000000"/>
          <w:sz w:val="16"/>
          <w:szCs w:val="16"/>
        </w:rPr>
        <w:t>active-controlled, DB</w:t>
      </w:r>
      <w:r w:rsidR="005921EF" w:rsidRPr="0044122B">
        <w:rPr>
          <w:rFonts w:ascii="Arial" w:hAnsi="Arial" w:cs="Arial"/>
          <w:i/>
          <w:color w:val="000000"/>
          <w:sz w:val="16"/>
          <w:szCs w:val="16"/>
        </w:rPr>
        <w:t>=</w:t>
      </w:r>
      <w:r w:rsidR="005921EF">
        <w:rPr>
          <w:rFonts w:ascii="Arial" w:hAnsi="Arial" w:cs="Arial"/>
          <w:color w:val="000000"/>
          <w:sz w:val="16"/>
          <w:szCs w:val="16"/>
        </w:rPr>
        <w:t>double-blind</w:t>
      </w:r>
      <w:r w:rsidR="00080B90">
        <w:rPr>
          <w:rFonts w:ascii="Arial" w:hAnsi="Arial" w:cs="Arial"/>
          <w:color w:val="000000"/>
          <w:sz w:val="16"/>
          <w:szCs w:val="16"/>
        </w:rPr>
        <w:t xml:space="preserve">, </w:t>
      </w:r>
      <w:proofErr w:type="spellStart"/>
      <w:r w:rsidR="00907204" w:rsidRPr="00907204">
        <w:rPr>
          <w:rFonts w:ascii="Arial" w:hAnsi="Arial" w:cs="Arial"/>
          <w:sz w:val="16"/>
          <w:szCs w:val="16"/>
        </w:rPr>
        <w:t>E</w:t>
      </w:r>
      <w:r w:rsidR="00907204" w:rsidRPr="00907204">
        <w:rPr>
          <w:rFonts w:ascii="Arial" w:hAnsi="Arial" w:cs="Arial"/>
          <w:sz w:val="16"/>
          <w:szCs w:val="16"/>
          <w:vertAlign w:val="subscript"/>
        </w:rPr>
        <w:t>max</w:t>
      </w:r>
      <w:proofErr w:type="spellEnd"/>
      <w:r w:rsidR="00907204">
        <w:rPr>
          <w:rFonts w:ascii="Arial" w:hAnsi="Arial" w:cs="Arial"/>
          <w:color w:val="000000"/>
          <w:sz w:val="16"/>
          <w:szCs w:val="16"/>
        </w:rPr>
        <w:t xml:space="preserve">=maximum effect, </w:t>
      </w:r>
      <w:r w:rsidR="00907204" w:rsidRPr="00907204">
        <w:rPr>
          <w:rFonts w:ascii="Arial" w:hAnsi="Arial" w:cs="Arial"/>
          <w:sz w:val="16"/>
          <w:szCs w:val="16"/>
        </w:rPr>
        <w:t>E</w:t>
      </w:r>
      <w:r w:rsidR="00907204" w:rsidRPr="00907204">
        <w:rPr>
          <w:rFonts w:ascii="Arial" w:hAnsi="Arial" w:cs="Arial"/>
          <w:sz w:val="16"/>
          <w:szCs w:val="16"/>
          <w:vertAlign w:val="subscript"/>
        </w:rPr>
        <w:t>8h</w:t>
      </w:r>
      <w:r w:rsidR="00907204" w:rsidRPr="00907204">
        <w:rPr>
          <w:rFonts w:ascii="Arial" w:hAnsi="Arial" w:cs="Arial"/>
          <w:sz w:val="16"/>
          <w:szCs w:val="16"/>
        </w:rPr>
        <w:t>=</w:t>
      </w:r>
      <w:r w:rsidR="00907204">
        <w:rPr>
          <w:rFonts w:ascii="Arial" w:hAnsi="Arial" w:cs="Arial"/>
          <w:color w:val="000000"/>
          <w:sz w:val="16"/>
          <w:szCs w:val="16"/>
        </w:rPr>
        <w:t xml:space="preserve">effect </w:t>
      </w:r>
      <w:r w:rsidR="00080B90">
        <w:rPr>
          <w:rFonts w:ascii="Arial" w:hAnsi="Arial" w:cs="Arial"/>
          <w:color w:val="000000"/>
          <w:sz w:val="16"/>
          <w:szCs w:val="16"/>
        </w:rPr>
        <w:t>at eight hours,</w:t>
      </w:r>
      <w:r w:rsidR="00907204" w:rsidRPr="00907204">
        <w:rPr>
          <w:rFonts w:ascii="Arial" w:hAnsi="Arial" w:cs="Arial"/>
          <w:color w:val="000000"/>
          <w:sz w:val="16"/>
          <w:szCs w:val="16"/>
        </w:rPr>
        <w:t xml:space="preserve"> </w:t>
      </w:r>
      <w:r w:rsidR="00B91140">
        <w:rPr>
          <w:rFonts w:ascii="Arial" w:hAnsi="Arial" w:cs="Arial"/>
          <w:color w:val="000000"/>
          <w:sz w:val="16"/>
          <w:szCs w:val="16"/>
        </w:rPr>
        <w:t>IRO=immediate-release oxycodone (Roxicodone</w:t>
      </w:r>
      <w:r w:rsidR="00B91140">
        <w:rPr>
          <w:rFonts w:cs="Arial"/>
          <w:color w:val="000000"/>
          <w:sz w:val="16"/>
          <w:szCs w:val="16"/>
        </w:rPr>
        <w:t>®</w:t>
      </w:r>
      <w:r w:rsidR="00B91140">
        <w:rPr>
          <w:rFonts w:ascii="Arial" w:hAnsi="Arial" w:cs="Arial"/>
          <w:color w:val="000000"/>
          <w:sz w:val="16"/>
          <w:szCs w:val="16"/>
        </w:rPr>
        <w:t>), IRO-A=immediate-release oxycodone (Oxecta</w:t>
      </w:r>
      <w:r w:rsidR="00B91140">
        <w:rPr>
          <w:rFonts w:cs="Arial"/>
          <w:color w:val="000000"/>
          <w:sz w:val="16"/>
          <w:szCs w:val="16"/>
        </w:rPr>
        <w:t>®</w:t>
      </w:r>
      <w:r w:rsidR="00B91140">
        <w:rPr>
          <w:rFonts w:ascii="Arial" w:hAnsi="Arial" w:cs="Arial"/>
          <w:color w:val="000000"/>
          <w:sz w:val="16"/>
          <w:szCs w:val="16"/>
        </w:rPr>
        <w:t>), IRO-A with niacin (</w:t>
      </w:r>
      <w:r w:rsidR="00F407CF">
        <w:rPr>
          <w:rFonts w:ascii="Arial" w:hAnsi="Arial" w:cs="Arial"/>
          <w:color w:val="000000"/>
          <w:sz w:val="16"/>
          <w:szCs w:val="16"/>
        </w:rPr>
        <w:t>immediate-</w:t>
      </w:r>
      <w:r w:rsidR="00B91140">
        <w:rPr>
          <w:rFonts w:ascii="Arial" w:hAnsi="Arial" w:cs="Arial"/>
          <w:color w:val="000000"/>
          <w:sz w:val="16"/>
          <w:szCs w:val="16"/>
        </w:rPr>
        <w:t xml:space="preserve">release oxycodone with niacin), </w:t>
      </w:r>
      <w:r w:rsidR="005921EF" w:rsidRPr="0044122B">
        <w:rPr>
          <w:rFonts w:ascii="Arial" w:hAnsi="Arial" w:cs="Arial"/>
          <w:color w:val="000000"/>
          <w:sz w:val="16"/>
          <w:szCs w:val="16"/>
        </w:rPr>
        <w:t>OL</w:t>
      </w:r>
      <w:r w:rsidR="005921EF" w:rsidRPr="0044122B">
        <w:rPr>
          <w:rFonts w:ascii="Arial" w:hAnsi="Arial" w:cs="Arial"/>
          <w:i/>
          <w:color w:val="000000"/>
          <w:sz w:val="16"/>
          <w:szCs w:val="16"/>
        </w:rPr>
        <w:t>=</w:t>
      </w:r>
      <w:r w:rsidR="005921EF" w:rsidRPr="0044122B">
        <w:rPr>
          <w:rFonts w:ascii="Arial" w:hAnsi="Arial" w:cs="Arial"/>
          <w:color w:val="000000"/>
          <w:sz w:val="16"/>
          <w:szCs w:val="16"/>
        </w:rPr>
        <w:t>open-</w:t>
      </w:r>
      <w:r w:rsidR="00BB038F">
        <w:rPr>
          <w:rFonts w:ascii="Arial" w:hAnsi="Arial" w:cs="Arial"/>
          <w:color w:val="000000"/>
          <w:sz w:val="16"/>
          <w:szCs w:val="16"/>
        </w:rPr>
        <w:t>label</w:t>
      </w:r>
      <w:r>
        <w:rPr>
          <w:rFonts w:ascii="Arial" w:hAnsi="Arial" w:cs="Arial"/>
          <w:sz w:val="16"/>
          <w:szCs w:val="16"/>
        </w:rPr>
        <w:t xml:space="preserve">, </w:t>
      </w:r>
      <w:r w:rsidR="005921EF" w:rsidRPr="0044122B">
        <w:rPr>
          <w:rFonts w:ascii="Arial" w:hAnsi="Arial" w:cs="Arial"/>
          <w:color w:val="000000"/>
          <w:sz w:val="16"/>
          <w:szCs w:val="16"/>
        </w:rPr>
        <w:t>PC</w:t>
      </w:r>
      <w:r w:rsidR="005921EF" w:rsidRPr="0044122B">
        <w:rPr>
          <w:rFonts w:ascii="Arial" w:hAnsi="Arial" w:cs="Arial"/>
          <w:i/>
          <w:color w:val="000000"/>
          <w:sz w:val="16"/>
          <w:szCs w:val="16"/>
        </w:rPr>
        <w:t>=</w:t>
      </w:r>
      <w:r w:rsidR="00BB038F">
        <w:rPr>
          <w:rFonts w:ascii="Arial" w:hAnsi="Arial" w:cs="Arial"/>
          <w:color w:val="000000"/>
          <w:sz w:val="16"/>
          <w:szCs w:val="16"/>
        </w:rPr>
        <w:t>placebo-controlled</w:t>
      </w:r>
      <w:r w:rsidR="00E17FBF">
        <w:rPr>
          <w:rFonts w:ascii="Arial" w:hAnsi="Arial" w:cs="Arial"/>
          <w:sz w:val="16"/>
          <w:szCs w:val="16"/>
        </w:rPr>
        <w:t xml:space="preserve">, </w:t>
      </w:r>
      <w:r w:rsidR="005921EF" w:rsidRPr="0044122B">
        <w:rPr>
          <w:rFonts w:ascii="Arial" w:hAnsi="Arial" w:cs="Arial"/>
          <w:color w:val="000000"/>
          <w:sz w:val="16"/>
          <w:szCs w:val="16"/>
        </w:rPr>
        <w:t>PG</w:t>
      </w:r>
      <w:r w:rsidR="005921EF" w:rsidRPr="0044122B">
        <w:rPr>
          <w:rFonts w:ascii="Arial" w:hAnsi="Arial" w:cs="Arial"/>
          <w:i/>
          <w:color w:val="000000"/>
          <w:sz w:val="16"/>
          <w:szCs w:val="16"/>
        </w:rPr>
        <w:t>=</w:t>
      </w:r>
      <w:r w:rsidR="005921EF" w:rsidRPr="0044122B">
        <w:rPr>
          <w:rFonts w:ascii="Arial" w:hAnsi="Arial" w:cs="Arial"/>
          <w:color w:val="000000"/>
          <w:sz w:val="16"/>
          <w:szCs w:val="16"/>
        </w:rPr>
        <w:t>parall</w:t>
      </w:r>
      <w:r w:rsidR="005A2733">
        <w:rPr>
          <w:rFonts w:ascii="Arial" w:hAnsi="Arial" w:cs="Arial"/>
          <w:color w:val="000000"/>
          <w:sz w:val="16"/>
          <w:szCs w:val="16"/>
        </w:rPr>
        <w:t>el-group</w:t>
      </w:r>
      <w:r w:rsidR="005A2733">
        <w:rPr>
          <w:rFonts w:ascii="Arial" w:hAnsi="Arial" w:cs="Arial"/>
          <w:sz w:val="16"/>
          <w:szCs w:val="16"/>
        </w:rPr>
        <w:t xml:space="preserve">, </w:t>
      </w:r>
      <w:r w:rsidR="005921EF" w:rsidRPr="0044122B">
        <w:rPr>
          <w:rFonts w:ascii="Arial" w:hAnsi="Arial" w:cs="Arial"/>
          <w:color w:val="000000"/>
          <w:sz w:val="16"/>
          <w:szCs w:val="16"/>
        </w:rPr>
        <w:t>RCT</w:t>
      </w:r>
      <w:r w:rsidR="005921EF" w:rsidRPr="0044122B">
        <w:rPr>
          <w:rFonts w:ascii="Arial" w:hAnsi="Arial" w:cs="Arial"/>
          <w:i/>
          <w:color w:val="000000"/>
          <w:sz w:val="16"/>
          <w:szCs w:val="16"/>
        </w:rPr>
        <w:t>=</w:t>
      </w:r>
      <w:r w:rsidR="005921EF">
        <w:rPr>
          <w:rFonts w:ascii="Arial" w:hAnsi="Arial" w:cs="Arial"/>
          <w:color w:val="000000"/>
          <w:sz w:val="16"/>
          <w:szCs w:val="16"/>
        </w:rPr>
        <w:t>randomized con</w:t>
      </w:r>
      <w:r w:rsidR="00BB038F">
        <w:rPr>
          <w:rFonts w:ascii="Arial" w:hAnsi="Arial" w:cs="Arial"/>
          <w:color w:val="000000"/>
          <w:sz w:val="16"/>
          <w:szCs w:val="16"/>
        </w:rPr>
        <w:t>trolled trial</w:t>
      </w:r>
      <w:r w:rsidR="00505301">
        <w:rPr>
          <w:rFonts w:ascii="Arial" w:hAnsi="Arial" w:cs="Arial"/>
          <w:color w:val="000000"/>
          <w:sz w:val="16"/>
          <w:szCs w:val="16"/>
        </w:rPr>
        <w:t xml:space="preserve">, </w:t>
      </w:r>
      <w:r w:rsidR="00C05220">
        <w:rPr>
          <w:rFonts w:ascii="Arial" w:hAnsi="Arial" w:cs="Arial"/>
          <w:sz w:val="16"/>
          <w:szCs w:val="16"/>
        </w:rPr>
        <w:t>VAS=visual analog scale</w:t>
      </w:r>
    </w:p>
    <w:p w:rsidR="001836E5" w:rsidRPr="001836E5" w:rsidRDefault="001836E5" w:rsidP="001836E5">
      <w:pPr>
        <w:spacing w:after="0" w:line="240" w:lineRule="auto"/>
        <w:rPr>
          <w:rFonts w:ascii="Arial" w:eastAsia="Times New Roman" w:hAnsi="Arial" w:cs="Arial"/>
          <w:b/>
          <w:sz w:val="20"/>
          <w:szCs w:val="20"/>
          <w:vertAlign w:val="superscript"/>
        </w:rPr>
      </w:pPr>
      <w:r w:rsidRPr="001836E5">
        <w:rPr>
          <w:rFonts w:ascii="Arial" w:eastAsia="Times New Roman" w:hAnsi="Arial" w:cs="Arial"/>
          <w:b/>
          <w:sz w:val="20"/>
          <w:szCs w:val="20"/>
          <w:u w:val="single"/>
        </w:rPr>
        <w:lastRenderedPageBreak/>
        <w:t>Pharmacokinetics/Pharmacogenomics</w:t>
      </w:r>
    </w:p>
    <w:p w:rsidR="001836E5" w:rsidRPr="001836E5" w:rsidRDefault="001836E5" w:rsidP="001836E5">
      <w:pPr>
        <w:spacing w:after="0" w:line="240" w:lineRule="auto"/>
        <w:rPr>
          <w:rFonts w:ascii="Arial" w:eastAsia="Times New Roman" w:hAnsi="Arial" w:cs="Arial"/>
          <w:sz w:val="20"/>
          <w:szCs w:val="20"/>
        </w:rPr>
      </w:pPr>
    </w:p>
    <w:p w:rsidR="001836E5" w:rsidRPr="00DE6D95" w:rsidRDefault="001836E5" w:rsidP="001836E5">
      <w:pPr>
        <w:spacing w:after="0" w:line="240" w:lineRule="auto"/>
        <w:ind w:right="-360"/>
        <w:rPr>
          <w:rFonts w:ascii="Arial" w:hAnsi="Arial" w:cs="Arial"/>
          <w:bCs/>
          <w:i/>
          <w:sz w:val="20"/>
          <w:szCs w:val="20"/>
        </w:rPr>
      </w:pPr>
      <w:r w:rsidRPr="00DE6D95">
        <w:rPr>
          <w:rFonts w:ascii="Arial" w:hAnsi="Arial" w:cs="Arial"/>
          <w:bCs/>
          <w:i/>
          <w:sz w:val="20"/>
          <w:szCs w:val="20"/>
        </w:rPr>
        <w:t>Absorption</w:t>
      </w:r>
    </w:p>
    <w:p w:rsidR="001836E5" w:rsidRPr="00A16F91" w:rsidRDefault="001836E5" w:rsidP="001836E5">
      <w:pPr>
        <w:spacing w:after="0" w:line="240" w:lineRule="auto"/>
        <w:rPr>
          <w:rFonts w:ascii="Arial" w:eastAsia="Times New Roman" w:hAnsi="Arial" w:cs="Arial"/>
          <w:sz w:val="20"/>
          <w:szCs w:val="20"/>
        </w:rPr>
      </w:pPr>
      <w:r w:rsidRPr="00DE6D95">
        <w:rPr>
          <w:rFonts w:ascii="Arial" w:eastAsia="Times New Roman" w:hAnsi="Arial" w:cs="Arial"/>
          <w:sz w:val="20"/>
          <w:szCs w:val="20"/>
        </w:rPr>
        <w:t xml:space="preserve">The oral bioavailability of oxycodone is 60 to 87%. The high oral bioavailability of oxycodone </w:t>
      </w:r>
      <w:r w:rsidR="00DE6D95">
        <w:rPr>
          <w:rFonts w:ascii="Arial" w:eastAsia="Times New Roman" w:hAnsi="Arial" w:cs="Arial"/>
          <w:sz w:val="20"/>
          <w:szCs w:val="20"/>
        </w:rPr>
        <w:t xml:space="preserve">HCl </w:t>
      </w:r>
      <w:r w:rsidRPr="00DE6D95">
        <w:rPr>
          <w:rFonts w:ascii="Arial" w:eastAsia="Times New Roman" w:hAnsi="Arial" w:cs="Arial"/>
          <w:sz w:val="20"/>
          <w:szCs w:val="20"/>
        </w:rPr>
        <w:t>compared to other oral opioids is due to lower pre-systemic and/or firs</w:t>
      </w:r>
      <w:r w:rsidR="00DE6D95" w:rsidRPr="00DE6D95">
        <w:rPr>
          <w:rFonts w:ascii="Arial" w:eastAsia="Times New Roman" w:hAnsi="Arial" w:cs="Arial"/>
          <w:sz w:val="20"/>
          <w:szCs w:val="20"/>
        </w:rPr>
        <w:t>t-pass metabolism of oxycodone.</w:t>
      </w:r>
      <w:r w:rsidR="00A16F91">
        <w:rPr>
          <w:rFonts w:ascii="Arial" w:eastAsia="Times New Roman" w:hAnsi="Arial" w:cs="Arial"/>
          <w:sz w:val="20"/>
          <w:szCs w:val="20"/>
        </w:rPr>
        <w:t xml:space="preserve"> </w:t>
      </w:r>
      <w:r w:rsidR="00A16F91" w:rsidRPr="00A16F91">
        <w:rPr>
          <w:rFonts w:ascii="Arial" w:eastAsia="Times New Roman" w:hAnsi="Arial" w:cs="Arial"/>
          <w:sz w:val="20"/>
          <w:szCs w:val="20"/>
          <w:highlight w:val="yellow"/>
        </w:rPr>
        <w:t>The time to peak plasma concentration (</w:t>
      </w:r>
      <w:proofErr w:type="spellStart"/>
      <w:r w:rsidR="00A16F91" w:rsidRPr="00A16F91">
        <w:rPr>
          <w:rFonts w:ascii="Arial" w:eastAsia="Times New Roman" w:hAnsi="Arial" w:cs="Arial"/>
          <w:sz w:val="20"/>
          <w:szCs w:val="20"/>
          <w:highlight w:val="yellow"/>
        </w:rPr>
        <w:t>T</w:t>
      </w:r>
      <w:r w:rsidR="00A16F91" w:rsidRPr="00A16F91">
        <w:rPr>
          <w:rFonts w:ascii="Arial" w:eastAsia="Times New Roman" w:hAnsi="Arial" w:cs="Arial"/>
          <w:sz w:val="20"/>
          <w:szCs w:val="20"/>
          <w:highlight w:val="yellow"/>
          <w:vertAlign w:val="subscript"/>
        </w:rPr>
        <w:t>max</w:t>
      </w:r>
      <w:proofErr w:type="spellEnd"/>
      <w:r w:rsidR="00A16F91" w:rsidRPr="00A16F91">
        <w:rPr>
          <w:rFonts w:ascii="Arial" w:eastAsia="Times New Roman" w:hAnsi="Arial" w:cs="Arial"/>
          <w:sz w:val="20"/>
          <w:szCs w:val="20"/>
          <w:highlight w:val="yellow"/>
        </w:rPr>
        <w:t xml:space="preserve">) of </w:t>
      </w:r>
      <w:proofErr w:type="spellStart"/>
      <w:r w:rsidR="00A16F91" w:rsidRPr="00A16F91">
        <w:rPr>
          <w:rFonts w:ascii="Arial" w:hAnsi="Arial" w:cs="Arial"/>
          <w:sz w:val="20"/>
          <w:szCs w:val="20"/>
          <w:highlight w:val="yellow"/>
        </w:rPr>
        <w:t>Oxaydo</w:t>
      </w:r>
      <w:proofErr w:type="spellEnd"/>
      <w:r w:rsidR="00A16F91" w:rsidRPr="00A16F91">
        <w:rPr>
          <w:rFonts w:ascii="Arial" w:hAnsi="Arial" w:cs="Arial"/>
          <w:sz w:val="20"/>
          <w:szCs w:val="20"/>
          <w:highlight w:val="yellow"/>
          <w:vertAlign w:val="superscript"/>
        </w:rPr>
        <w:t>®</w:t>
      </w:r>
      <w:r w:rsidR="00A16F91" w:rsidRPr="00A16F91">
        <w:rPr>
          <w:rFonts w:ascii="Arial" w:hAnsi="Arial" w:cs="Arial"/>
          <w:sz w:val="20"/>
          <w:szCs w:val="20"/>
          <w:highlight w:val="yellow"/>
        </w:rPr>
        <w:t xml:space="preserve"> (oxycodone </w:t>
      </w:r>
      <w:proofErr w:type="spellStart"/>
      <w:r w:rsidR="00A16F91" w:rsidRPr="00A16F91">
        <w:rPr>
          <w:rFonts w:ascii="Arial" w:hAnsi="Arial" w:cs="Arial"/>
          <w:sz w:val="20"/>
          <w:szCs w:val="20"/>
          <w:highlight w:val="yellow"/>
        </w:rPr>
        <w:t>HCl</w:t>
      </w:r>
      <w:proofErr w:type="spellEnd"/>
      <w:r w:rsidR="00A16F91" w:rsidRPr="00A16F91">
        <w:rPr>
          <w:rFonts w:ascii="Arial" w:hAnsi="Arial" w:cs="Arial"/>
          <w:sz w:val="20"/>
          <w:szCs w:val="20"/>
          <w:highlight w:val="yellow"/>
        </w:rPr>
        <w:t>) occurred within 1.2 to 1.4 hours after administration of the first dose under fasted conditions. Peak plasma concentration (C</w:t>
      </w:r>
      <w:r w:rsidR="00A16F91" w:rsidRPr="00A16F91">
        <w:rPr>
          <w:rFonts w:ascii="Arial" w:hAnsi="Arial" w:cs="Arial"/>
          <w:sz w:val="20"/>
          <w:szCs w:val="20"/>
          <w:highlight w:val="yellow"/>
          <w:vertAlign w:val="subscript"/>
        </w:rPr>
        <w:t>max</w:t>
      </w:r>
      <w:r w:rsidR="00A16F91" w:rsidRPr="00A16F91">
        <w:rPr>
          <w:rFonts w:ascii="Arial" w:hAnsi="Arial" w:cs="Arial"/>
          <w:sz w:val="20"/>
          <w:szCs w:val="20"/>
          <w:highlight w:val="yellow"/>
        </w:rPr>
        <w:t xml:space="preserve">) and exposure (AUC) are proportional with the dose. </w:t>
      </w:r>
      <w:proofErr w:type="spellStart"/>
      <w:r w:rsidR="00AB103D" w:rsidRPr="000E593A">
        <w:rPr>
          <w:rFonts w:ascii="Arial" w:hAnsi="Arial" w:cs="Arial"/>
          <w:sz w:val="20"/>
          <w:szCs w:val="20"/>
          <w:highlight w:val="yellow"/>
        </w:rPr>
        <w:t>Oxaydo</w:t>
      </w:r>
      <w:proofErr w:type="spellEnd"/>
      <w:r w:rsidR="00AB103D" w:rsidRPr="000E593A">
        <w:rPr>
          <w:rFonts w:ascii="Arial" w:hAnsi="Arial" w:cs="Arial"/>
          <w:sz w:val="20"/>
          <w:szCs w:val="20"/>
          <w:highlight w:val="yellow"/>
          <w:vertAlign w:val="superscript"/>
        </w:rPr>
        <w:t>®</w:t>
      </w:r>
      <w:r w:rsidR="00AB103D" w:rsidRPr="000E593A">
        <w:rPr>
          <w:rFonts w:ascii="Arial" w:hAnsi="Arial" w:cs="Arial"/>
          <w:sz w:val="20"/>
          <w:szCs w:val="20"/>
          <w:highlight w:val="yellow"/>
        </w:rPr>
        <w:t xml:space="preserve"> (oxycodone </w:t>
      </w:r>
      <w:proofErr w:type="spellStart"/>
      <w:r w:rsidR="00AB103D" w:rsidRPr="000E593A">
        <w:rPr>
          <w:rFonts w:ascii="Arial" w:hAnsi="Arial" w:cs="Arial"/>
          <w:sz w:val="20"/>
          <w:szCs w:val="20"/>
          <w:highlight w:val="yellow"/>
        </w:rPr>
        <w:t>HCl</w:t>
      </w:r>
      <w:proofErr w:type="spellEnd"/>
      <w:r w:rsidR="00AB103D" w:rsidRPr="000E593A">
        <w:rPr>
          <w:rFonts w:ascii="Arial" w:hAnsi="Arial" w:cs="Arial"/>
          <w:sz w:val="20"/>
          <w:szCs w:val="20"/>
          <w:highlight w:val="yellow"/>
        </w:rPr>
        <w:t xml:space="preserve">) </w:t>
      </w:r>
      <w:r w:rsidR="00AB103D">
        <w:rPr>
          <w:rFonts w:ascii="Arial" w:hAnsi="Arial" w:cs="Arial"/>
          <w:sz w:val="20"/>
          <w:szCs w:val="20"/>
          <w:highlight w:val="yellow"/>
        </w:rPr>
        <w:t xml:space="preserve">is bioequivalent with standard oxycodone immediate-release. </w:t>
      </w:r>
      <w:r w:rsidR="00A16F91" w:rsidRPr="00A16F91">
        <w:rPr>
          <w:rFonts w:ascii="Arial" w:hAnsi="Arial" w:cs="Arial"/>
          <w:sz w:val="20"/>
          <w:szCs w:val="20"/>
          <w:highlight w:val="yellow"/>
        </w:rPr>
        <w:t xml:space="preserve">Administration of </w:t>
      </w:r>
      <w:proofErr w:type="spellStart"/>
      <w:r w:rsidR="00A16F91" w:rsidRPr="00A16F91">
        <w:rPr>
          <w:rFonts w:ascii="Arial" w:hAnsi="Arial" w:cs="Arial"/>
          <w:sz w:val="20"/>
          <w:szCs w:val="20"/>
          <w:highlight w:val="yellow"/>
        </w:rPr>
        <w:t>Oxaydo</w:t>
      </w:r>
      <w:proofErr w:type="spellEnd"/>
      <w:r w:rsidR="00A16F91" w:rsidRPr="00A16F91">
        <w:rPr>
          <w:rFonts w:ascii="Arial" w:hAnsi="Arial" w:cs="Arial"/>
          <w:sz w:val="20"/>
          <w:szCs w:val="20"/>
          <w:highlight w:val="yellow"/>
          <w:vertAlign w:val="superscript"/>
        </w:rPr>
        <w:t>®</w:t>
      </w:r>
      <w:r w:rsidR="00A16F91" w:rsidRPr="00A16F91">
        <w:rPr>
          <w:rFonts w:ascii="Arial" w:hAnsi="Arial" w:cs="Arial"/>
          <w:sz w:val="20"/>
          <w:szCs w:val="20"/>
          <w:highlight w:val="yellow"/>
        </w:rPr>
        <w:t xml:space="preserve"> (oxycodone </w:t>
      </w:r>
      <w:proofErr w:type="spellStart"/>
      <w:r w:rsidR="00A16F91" w:rsidRPr="00A16F91">
        <w:rPr>
          <w:rFonts w:ascii="Arial" w:hAnsi="Arial" w:cs="Arial"/>
          <w:sz w:val="20"/>
          <w:szCs w:val="20"/>
          <w:highlight w:val="yellow"/>
        </w:rPr>
        <w:t>HCl</w:t>
      </w:r>
      <w:proofErr w:type="spellEnd"/>
      <w:r w:rsidR="00A16F91" w:rsidRPr="00A16F91">
        <w:rPr>
          <w:rFonts w:ascii="Arial" w:hAnsi="Arial" w:cs="Arial"/>
          <w:sz w:val="20"/>
          <w:szCs w:val="20"/>
          <w:highlight w:val="yellow"/>
        </w:rPr>
        <w:t>) with food causes a delay in T</w:t>
      </w:r>
      <w:r w:rsidR="00A16F91" w:rsidRPr="00A16F91">
        <w:rPr>
          <w:rFonts w:ascii="Arial" w:hAnsi="Arial" w:cs="Arial"/>
          <w:sz w:val="20"/>
          <w:szCs w:val="20"/>
          <w:highlight w:val="yellow"/>
          <w:vertAlign w:val="subscript"/>
        </w:rPr>
        <w:t>max</w:t>
      </w:r>
      <w:r w:rsidR="00A16F91" w:rsidRPr="00A16F91">
        <w:rPr>
          <w:rFonts w:ascii="Arial" w:hAnsi="Arial" w:cs="Arial"/>
          <w:sz w:val="20"/>
          <w:szCs w:val="20"/>
          <w:highlight w:val="yellow"/>
        </w:rPr>
        <w:t xml:space="preserve"> to a range of 1.25 to 3.00 hours. This is not considered clinically relevant.</w:t>
      </w:r>
      <w:r w:rsidR="00DE6D95" w:rsidRPr="00A16F91">
        <w:rPr>
          <w:rFonts w:ascii="Arial" w:eastAsia="Times New Roman" w:hAnsi="Arial" w:cs="Arial"/>
          <w:sz w:val="20"/>
          <w:szCs w:val="20"/>
          <w:highlight w:val="yellow"/>
          <w:vertAlign w:val="superscript"/>
        </w:rPr>
        <w:t>1</w:t>
      </w:r>
      <w:proofErr w:type="gramStart"/>
      <w:r w:rsidR="00DE6D95" w:rsidRPr="00A16F91">
        <w:rPr>
          <w:rFonts w:ascii="Arial" w:eastAsia="Times New Roman" w:hAnsi="Arial" w:cs="Arial"/>
          <w:sz w:val="20"/>
          <w:szCs w:val="20"/>
          <w:highlight w:val="yellow"/>
          <w:vertAlign w:val="superscript"/>
        </w:rPr>
        <w:t>,2</w:t>
      </w:r>
      <w:proofErr w:type="gramEnd"/>
      <w:r w:rsidR="00A16F91" w:rsidRPr="00A16F91">
        <w:rPr>
          <w:rFonts w:ascii="Arial" w:eastAsia="Times New Roman" w:hAnsi="Arial" w:cs="Arial"/>
          <w:sz w:val="20"/>
          <w:szCs w:val="20"/>
          <w:highlight w:val="yellow"/>
        </w:rPr>
        <w:t xml:space="preserve"> The T</w:t>
      </w:r>
      <w:r w:rsidR="00A16F91" w:rsidRPr="00A16F91">
        <w:rPr>
          <w:rFonts w:ascii="Arial" w:eastAsia="Times New Roman" w:hAnsi="Arial" w:cs="Arial"/>
          <w:sz w:val="20"/>
          <w:szCs w:val="20"/>
          <w:highlight w:val="yellow"/>
          <w:vertAlign w:val="subscript"/>
        </w:rPr>
        <w:t>max</w:t>
      </w:r>
      <w:r w:rsidR="00A16F91" w:rsidRPr="00A16F91">
        <w:rPr>
          <w:rFonts w:ascii="Arial" w:eastAsia="Times New Roman" w:hAnsi="Arial" w:cs="Arial"/>
          <w:sz w:val="20"/>
          <w:szCs w:val="20"/>
          <w:highlight w:val="yellow"/>
        </w:rPr>
        <w:t xml:space="preserve"> of crushed or otherwise tampered with tablets of </w:t>
      </w:r>
      <w:proofErr w:type="spellStart"/>
      <w:r w:rsidR="00A16F91" w:rsidRPr="00A16F91">
        <w:rPr>
          <w:rFonts w:ascii="Arial" w:hAnsi="Arial" w:cs="Arial"/>
          <w:sz w:val="20"/>
          <w:szCs w:val="20"/>
          <w:highlight w:val="yellow"/>
        </w:rPr>
        <w:t>Oxaydo</w:t>
      </w:r>
      <w:proofErr w:type="spellEnd"/>
      <w:r w:rsidR="00A16F91" w:rsidRPr="00A16F91">
        <w:rPr>
          <w:rFonts w:ascii="Arial" w:hAnsi="Arial" w:cs="Arial"/>
          <w:sz w:val="20"/>
          <w:szCs w:val="20"/>
          <w:highlight w:val="yellow"/>
          <w:vertAlign w:val="superscript"/>
        </w:rPr>
        <w:t>®</w:t>
      </w:r>
      <w:r w:rsidR="00A16F91" w:rsidRPr="00A16F91">
        <w:rPr>
          <w:rFonts w:ascii="Arial" w:hAnsi="Arial" w:cs="Arial"/>
          <w:sz w:val="20"/>
          <w:szCs w:val="20"/>
          <w:highlight w:val="yellow"/>
        </w:rPr>
        <w:t xml:space="preserve"> (oxycodone </w:t>
      </w:r>
      <w:proofErr w:type="spellStart"/>
      <w:r w:rsidR="00A16F91" w:rsidRPr="00A16F91">
        <w:rPr>
          <w:rFonts w:ascii="Arial" w:hAnsi="Arial" w:cs="Arial"/>
          <w:sz w:val="20"/>
          <w:szCs w:val="20"/>
          <w:highlight w:val="yellow"/>
        </w:rPr>
        <w:t>HCl</w:t>
      </w:r>
      <w:proofErr w:type="spellEnd"/>
      <w:r w:rsidR="00A16F91" w:rsidRPr="00A16F91">
        <w:rPr>
          <w:rFonts w:ascii="Arial" w:hAnsi="Arial" w:cs="Arial"/>
          <w:sz w:val="20"/>
          <w:szCs w:val="20"/>
          <w:highlight w:val="yellow"/>
        </w:rPr>
        <w:t>) has not been published.</w:t>
      </w:r>
    </w:p>
    <w:p w:rsidR="001836E5" w:rsidRPr="00DE6D95" w:rsidRDefault="001836E5" w:rsidP="001836E5">
      <w:pPr>
        <w:spacing w:after="0" w:line="240" w:lineRule="auto"/>
        <w:ind w:right="-360"/>
        <w:rPr>
          <w:rFonts w:ascii="Arial" w:hAnsi="Arial" w:cs="Arial"/>
          <w:bCs/>
          <w:sz w:val="20"/>
          <w:szCs w:val="20"/>
        </w:rPr>
      </w:pPr>
    </w:p>
    <w:p w:rsidR="001836E5" w:rsidRPr="00DE6D95" w:rsidRDefault="001836E5" w:rsidP="001836E5">
      <w:pPr>
        <w:spacing w:after="0" w:line="240" w:lineRule="auto"/>
        <w:ind w:right="-360"/>
        <w:rPr>
          <w:rFonts w:ascii="Arial" w:hAnsi="Arial" w:cs="Arial"/>
          <w:bCs/>
          <w:i/>
          <w:sz w:val="20"/>
          <w:szCs w:val="20"/>
        </w:rPr>
      </w:pPr>
      <w:r w:rsidRPr="00DE6D95">
        <w:rPr>
          <w:rFonts w:ascii="Arial" w:hAnsi="Arial" w:cs="Arial"/>
          <w:bCs/>
          <w:i/>
          <w:sz w:val="20"/>
          <w:szCs w:val="20"/>
        </w:rPr>
        <w:t>Distribution</w:t>
      </w:r>
    </w:p>
    <w:p w:rsidR="00DE6D95" w:rsidRPr="00DE6D95" w:rsidRDefault="001836E5" w:rsidP="00DE6D95">
      <w:pPr>
        <w:spacing w:after="0" w:line="240" w:lineRule="auto"/>
        <w:rPr>
          <w:rFonts w:ascii="Arial" w:eastAsia="Times New Roman" w:hAnsi="Arial" w:cs="Arial"/>
          <w:sz w:val="20"/>
          <w:szCs w:val="20"/>
          <w:vertAlign w:val="superscript"/>
        </w:rPr>
      </w:pPr>
      <w:r w:rsidRPr="00DE6D95">
        <w:rPr>
          <w:rFonts w:ascii="Arial" w:hAnsi="Arial" w:cs="Arial"/>
          <w:sz w:val="20"/>
          <w:szCs w:val="20"/>
        </w:rPr>
        <w:t xml:space="preserve">Following intravenous administration, the volume of distribution for oxycodone was 2.6 L/kg. Plasma protein binding of oxycodone is approximately 45%. Oxycodone </w:t>
      </w:r>
      <w:r w:rsidR="00DE6D95">
        <w:rPr>
          <w:rFonts w:ascii="Arial" w:hAnsi="Arial" w:cs="Arial"/>
          <w:sz w:val="20"/>
          <w:szCs w:val="20"/>
        </w:rPr>
        <w:t xml:space="preserve">HCl </w:t>
      </w:r>
      <w:r w:rsidRPr="00DE6D95">
        <w:rPr>
          <w:rFonts w:ascii="Arial" w:hAnsi="Arial" w:cs="Arial"/>
          <w:sz w:val="20"/>
          <w:szCs w:val="20"/>
        </w:rPr>
        <w:t>has been known to distribute in human breast milk.</w:t>
      </w:r>
      <w:r w:rsidR="00DE6D95" w:rsidRPr="00DE6D95">
        <w:rPr>
          <w:rFonts w:ascii="Arial" w:eastAsia="Times New Roman" w:hAnsi="Arial" w:cs="Arial"/>
          <w:sz w:val="20"/>
          <w:szCs w:val="20"/>
          <w:vertAlign w:val="superscript"/>
        </w:rPr>
        <w:t>1</w:t>
      </w:r>
      <w:proofErr w:type="gramStart"/>
      <w:r w:rsidR="00DE6D95" w:rsidRPr="00DE6D95">
        <w:rPr>
          <w:rFonts w:ascii="Arial" w:eastAsia="Times New Roman" w:hAnsi="Arial" w:cs="Arial"/>
          <w:sz w:val="20"/>
          <w:szCs w:val="20"/>
          <w:vertAlign w:val="superscript"/>
        </w:rPr>
        <w:t>,2</w:t>
      </w:r>
      <w:proofErr w:type="gramEnd"/>
    </w:p>
    <w:p w:rsidR="001836E5" w:rsidRPr="00DE6D95" w:rsidRDefault="00DE6D95" w:rsidP="001836E5">
      <w:pPr>
        <w:spacing w:after="0" w:line="240" w:lineRule="auto"/>
        <w:ind w:right="-360"/>
        <w:rPr>
          <w:rFonts w:ascii="Arial" w:hAnsi="Arial" w:cs="Arial"/>
          <w:sz w:val="20"/>
          <w:szCs w:val="20"/>
        </w:rPr>
      </w:pPr>
      <w:r w:rsidRPr="00DE6D95">
        <w:rPr>
          <w:rFonts w:ascii="Arial" w:hAnsi="Arial" w:cs="Arial"/>
          <w:sz w:val="20"/>
          <w:szCs w:val="20"/>
        </w:rPr>
        <w:t xml:space="preserve"> </w:t>
      </w:r>
    </w:p>
    <w:p w:rsidR="001836E5" w:rsidRPr="00DE6D95" w:rsidRDefault="001836E5" w:rsidP="001836E5">
      <w:pPr>
        <w:spacing w:after="0" w:line="240" w:lineRule="auto"/>
        <w:ind w:right="-360"/>
        <w:rPr>
          <w:rFonts w:ascii="Arial" w:hAnsi="Arial" w:cs="Arial"/>
          <w:bCs/>
          <w:i/>
          <w:sz w:val="20"/>
          <w:szCs w:val="20"/>
        </w:rPr>
      </w:pPr>
      <w:r w:rsidRPr="00DE6D95">
        <w:rPr>
          <w:rFonts w:ascii="Arial" w:hAnsi="Arial" w:cs="Arial"/>
          <w:bCs/>
          <w:i/>
          <w:sz w:val="20"/>
          <w:szCs w:val="20"/>
        </w:rPr>
        <w:t>Metabolism</w:t>
      </w:r>
    </w:p>
    <w:p w:rsidR="00DE6D95" w:rsidRPr="00DE6D95" w:rsidRDefault="001836E5" w:rsidP="00DE6D95">
      <w:pPr>
        <w:spacing w:after="0" w:line="240" w:lineRule="auto"/>
        <w:rPr>
          <w:rFonts w:ascii="Arial" w:eastAsia="Times New Roman" w:hAnsi="Arial" w:cs="Arial"/>
          <w:sz w:val="20"/>
          <w:szCs w:val="20"/>
          <w:vertAlign w:val="superscript"/>
        </w:rPr>
      </w:pPr>
      <w:r w:rsidRPr="00DE6D95">
        <w:rPr>
          <w:rFonts w:ascii="Arial" w:hAnsi="Arial" w:cs="Arial"/>
          <w:sz w:val="20"/>
          <w:szCs w:val="20"/>
        </w:rPr>
        <w:t xml:space="preserve">Oxycodone HCl is extensively metabolized by multiple metabolic pathways to product </w:t>
      </w:r>
      <w:proofErr w:type="spellStart"/>
      <w:r w:rsidRPr="00DE6D95">
        <w:rPr>
          <w:rFonts w:ascii="Arial" w:hAnsi="Arial" w:cs="Arial"/>
          <w:sz w:val="20"/>
          <w:szCs w:val="20"/>
        </w:rPr>
        <w:t>noroxycodone</w:t>
      </w:r>
      <w:proofErr w:type="spellEnd"/>
      <w:r w:rsidRPr="00DE6D95">
        <w:rPr>
          <w:rFonts w:ascii="Arial" w:hAnsi="Arial" w:cs="Arial"/>
          <w:sz w:val="20"/>
          <w:szCs w:val="20"/>
        </w:rPr>
        <w:t xml:space="preserve">, </w:t>
      </w:r>
      <w:proofErr w:type="spellStart"/>
      <w:r w:rsidRPr="00DE6D95">
        <w:rPr>
          <w:rFonts w:ascii="Arial" w:hAnsi="Arial" w:cs="Arial"/>
          <w:sz w:val="20"/>
          <w:szCs w:val="20"/>
        </w:rPr>
        <w:t>oxymorphone</w:t>
      </w:r>
      <w:proofErr w:type="spellEnd"/>
      <w:r w:rsidRPr="00DE6D95">
        <w:rPr>
          <w:rFonts w:ascii="Arial" w:hAnsi="Arial" w:cs="Arial"/>
          <w:sz w:val="20"/>
          <w:szCs w:val="20"/>
        </w:rPr>
        <w:t xml:space="preserve">, and </w:t>
      </w:r>
      <w:proofErr w:type="spellStart"/>
      <w:r w:rsidRPr="00DE6D95">
        <w:rPr>
          <w:rFonts w:ascii="Arial" w:hAnsi="Arial" w:cs="Arial"/>
          <w:sz w:val="20"/>
          <w:szCs w:val="20"/>
        </w:rPr>
        <w:t>noroxymorphone</w:t>
      </w:r>
      <w:proofErr w:type="spellEnd"/>
      <w:r w:rsidRPr="00DE6D95">
        <w:rPr>
          <w:rFonts w:ascii="Arial" w:hAnsi="Arial" w:cs="Arial"/>
          <w:sz w:val="20"/>
          <w:szCs w:val="20"/>
        </w:rPr>
        <w:t>, which subsequently undergo glucuronidation. CYP 3A4 mediated N-demethylation to noroxycodone is the primary metabolic pathway of oxycodone with less contribution from CYP 2D6 mediated O-demethylation to oxymorphone. The formation of these and related metabolites can be affected by other drugs. Noroxycodone, the major circulating metabolite, has an area under the curve (AUC) ratio of 0.6 relative to that of oxycodone. Noroxycodone is a considerably weaker analgesic than oxycodone. Oxymorphone, although possessing analgesic activity, is present in the plasma only in low concentrations. The correlation between oxymorphone concentrations and opioid effects is much less than that seen with oxycodone plasma concentrations. The analgesic activity profile of other metabolites is not known.</w:t>
      </w:r>
      <w:r w:rsidR="00DE6D95" w:rsidRPr="00DE6D95">
        <w:rPr>
          <w:rFonts w:ascii="Arial" w:eastAsia="Times New Roman" w:hAnsi="Arial" w:cs="Arial"/>
          <w:sz w:val="20"/>
          <w:szCs w:val="20"/>
          <w:vertAlign w:val="superscript"/>
        </w:rPr>
        <w:t xml:space="preserve"> 1</w:t>
      </w:r>
      <w:proofErr w:type="gramStart"/>
      <w:r w:rsidR="00DE6D95" w:rsidRPr="00DE6D95">
        <w:rPr>
          <w:rFonts w:ascii="Arial" w:eastAsia="Times New Roman" w:hAnsi="Arial" w:cs="Arial"/>
          <w:sz w:val="20"/>
          <w:szCs w:val="20"/>
          <w:vertAlign w:val="superscript"/>
        </w:rPr>
        <w:t>,2</w:t>
      </w:r>
      <w:proofErr w:type="gramEnd"/>
    </w:p>
    <w:p w:rsidR="001836E5" w:rsidRPr="00DE6D95" w:rsidRDefault="001836E5" w:rsidP="001836E5">
      <w:pPr>
        <w:spacing w:after="0" w:line="240" w:lineRule="auto"/>
        <w:ind w:right="-360"/>
        <w:rPr>
          <w:rFonts w:ascii="Arial" w:hAnsi="Arial" w:cs="Arial"/>
          <w:bCs/>
          <w:sz w:val="20"/>
          <w:szCs w:val="20"/>
        </w:rPr>
      </w:pPr>
    </w:p>
    <w:p w:rsidR="001836E5" w:rsidRPr="00DE6D95" w:rsidRDefault="001836E5" w:rsidP="001836E5">
      <w:pPr>
        <w:spacing w:after="0" w:line="240" w:lineRule="auto"/>
        <w:ind w:right="-360"/>
        <w:rPr>
          <w:rFonts w:ascii="Arial" w:hAnsi="Arial" w:cs="Arial"/>
          <w:bCs/>
          <w:i/>
          <w:sz w:val="20"/>
          <w:szCs w:val="20"/>
        </w:rPr>
      </w:pPr>
      <w:r w:rsidRPr="00DE6D95">
        <w:rPr>
          <w:rFonts w:ascii="Arial" w:hAnsi="Arial" w:cs="Arial"/>
          <w:bCs/>
          <w:i/>
          <w:sz w:val="20"/>
          <w:szCs w:val="20"/>
        </w:rPr>
        <w:t>Elimination</w:t>
      </w:r>
    </w:p>
    <w:p w:rsidR="001836E5" w:rsidRPr="00DE6D95" w:rsidRDefault="001836E5" w:rsidP="001836E5">
      <w:pPr>
        <w:spacing w:after="0" w:line="240" w:lineRule="auto"/>
        <w:rPr>
          <w:rFonts w:ascii="Arial" w:eastAsia="Times New Roman" w:hAnsi="Arial" w:cs="Arial"/>
          <w:sz w:val="20"/>
          <w:szCs w:val="20"/>
          <w:vertAlign w:val="superscript"/>
        </w:rPr>
      </w:pPr>
      <w:r w:rsidRPr="00DE6D95">
        <w:rPr>
          <w:rFonts w:ascii="Arial" w:eastAsia="Times New Roman" w:hAnsi="Arial" w:cs="Arial"/>
          <w:sz w:val="20"/>
          <w:szCs w:val="20"/>
        </w:rPr>
        <w:t xml:space="preserve">Oxycodone </w:t>
      </w:r>
      <w:r w:rsidR="00DE6D95">
        <w:rPr>
          <w:rFonts w:ascii="Arial" w:eastAsia="Times New Roman" w:hAnsi="Arial" w:cs="Arial"/>
          <w:sz w:val="20"/>
          <w:szCs w:val="20"/>
        </w:rPr>
        <w:t xml:space="preserve">HCl </w:t>
      </w:r>
      <w:r w:rsidRPr="00DE6D95">
        <w:rPr>
          <w:rFonts w:ascii="Arial" w:eastAsia="Times New Roman" w:hAnsi="Arial" w:cs="Arial"/>
          <w:sz w:val="20"/>
          <w:szCs w:val="20"/>
        </w:rPr>
        <w:t>and its metabolites are excreted primarily via the kidney. The amounts measured in the urine have been reported as: free oxycodone up to 19%; conjugated oxycodone up to 50%; free oxymorphone 0%; and conjugated oxymorphone ≤14%. Both free and conjugated noroxycodone have been found in urine but not quantified. The total plasma clearance was 0.8 L/minute among adults. The elimination half-life of oxycodone is 3.5 to 4</w:t>
      </w:r>
      <w:r w:rsidR="00BD2C0D">
        <w:rPr>
          <w:rFonts w:ascii="Arial" w:eastAsia="Times New Roman" w:hAnsi="Arial" w:cs="Arial"/>
          <w:sz w:val="20"/>
          <w:szCs w:val="20"/>
        </w:rPr>
        <w:t>.0</w:t>
      </w:r>
      <w:r w:rsidRPr="00DE6D95">
        <w:rPr>
          <w:rFonts w:ascii="Arial" w:eastAsia="Times New Roman" w:hAnsi="Arial" w:cs="Arial"/>
          <w:sz w:val="20"/>
          <w:szCs w:val="20"/>
        </w:rPr>
        <w:t xml:space="preserve"> hours.</w:t>
      </w:r>
      <w:r w:rsidR="00DE6D95" w:rsidRPr="00DE6D95">
        <w:rPr>
          <w:rFonts w:ascii="Arial" w:eastAsia="Times New Roman" w:hAnsi="Arial" w:cs="Arial"/>
          <w:sz w:val="20"/>
          <w:szCs w:val="20"/>
          <w:vertAlign w:val="superscript"/>
        </w:rPr>
        <w:t xml:space="preserve"> 1</w:t>
      </w:r>
      <w:proofErr w:type="gramStart"/>
      <w:r w:rsidR="00DE6D95" w:rsidRPr="00DE6D95">
        <w:rPr>
          <w:rFonts w:ascii="Arial" w:eastAsia="Times New Roman" w:hAnsi="Arial" w:cs="Arial"/>
          <w:sz w:val="20"/>
          <w:szCs w:val="20"/>
          <w:vertAlign w:val="superscript"/>
        </w:rPr>
        <w:t>,2</w:t>
      </w:r>
      <w:proofErr w:type="gramEnd"/>
    </w:p>
    <w:p w:rsidR="001836E5" w:rsidRPr="00DE6D95" w:rsidRDefault="00DE6D95" w:rsidP="001836E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836E5" w:rsidRPr="00DE6D95" w:rsidRDefault="001836E5" w:rsidP="001836E5">
      <w:pPr>
        <w:spacing w:after="0" w:line="240" w:lineRule="auto"/>
        <w:ind w:right="-360"/>
        <w:rPr>
          <w:rFonts w:ascii="Arial" w:hAnsi="Arial" w:cs="Arial"/>
          <w:bCs/>
          <w:i/>
          <w:sz w:val="20"/>
          <w:szCs w:val="20"/>
        </w:rPr>
      </w:pPr>
      <w:r w:rsidRPr="00DE6D95">
        <w:rPr>
          <w:rFonts w:ascii="Arial" w:hAnsi="Arial" w:cs="Arial"/>
          <w:bCs/>
          <w:i/>
          <w:sz w:val="20"/>
          <w:szCs w:val="20"/>
        </w:rPr>
        <w:t>Pharmacogenomics</w:t>
      </w:r>
    </w:p>
    <w:p w:rsidR="001836E5" w:rsidRPr="00DE6D95" w:rsidRDefault="001836E5" w:rsidP="001836E5">
      <w:pPr>
        <w:spacing w:after="0" w:line="240" w:lineRule="auto"/>
        <w:ind w:right="-360"/>
        <w:rPr>
          <w:rFonts w:ascii="Arial" w:hAnsi="Arial" w:cs="Arial"/>
          <w:bCs/>
          <w:i/>
          <w:sz w:val="20"/>
          <w:szCs w:val="20"/>
          <w:vertAlign w:val="superscript"/>
        </w:rPr>
      </w:pPr>
      <w:r w:rsidRPr="00DE6D95">
        <w:rPr>
          <w:rFonts w:ascii="Arial" w:eastAsia="Times New Roman" w:hAnsi="Arial" w:cs="Arial"/>
          <w:sz w:val="20"/>
          <w:szCs w:val="20"/>
        </w:rPr>
        <w:t xml:space="preserve">There are no specific pharmacogenomics reported for </w:t>
      </w:r>
      <w:proofErr w:type="spellStart"/>
      <w:r w:rsidR="00DE6D95">
        <w:rPr>
          <w:rFonts w:ascii="Arial" w:hAnsi="Arial" w:cs="Arial"/>
          <w:sz w:val="20"/>
          <w:szCs w:val="20"/>
        </w:rPr>
        <w:t>Oxaydo</w:t>
      </w:r>
      <w:proofErr w:type="spellEnd"/>
      <w:r w:rsidR="00DE6D95" w:rsidRPr="002439F4">
        <w:rPr>
          <w:rFonts w:ascii="Arial" w:hAnsi="Arial" w:cs="Arial"/>
          <w:sz w:val="20"/>
          <w:szCs w:val="20"/>
          <w:vertAlign w:val="superscript"/>
        </w:rPr>
        <w:t>®</w:t>
      </w:r>
      <w:r w:rsidR="00DE6D95">
        <w:rPr>
          <w:rFonts w:ascii="Arial" w:hAnsi="Arial" w:cs="Arial"/>
          <w:sz w:val="20"/>
          <w:szCs w:val="20"/>
        </w:rPr>
        <w:t xml:space="preserve"> (oxycodone </w:t>
      </w:r>
      <w:proofErr w:type="spellStart"/>
      <w:r w:rsidR="00DE6D95" w:rsidRPr="002439F4">
        <w:rPr>
          <w:rFonts w:ascii="Arial" w:hAnsi="Arial" w:cs="Arial"/>
          <w:sz w:val="20"/>
          <w:szCs w:val="20"/>
        </w:rPr>
        <w:t>HCl</w:t>
      </w:r>
      <w:proofErr w:type="spellEnd"/>
      <w:r w:rsidR="00DE6D95">
        <w:rPr>
          <w:rFonts w:ascii="Arial" w:hAnsi="Arial" w:cs="Arial"/>
          <w:sz w:val="20"/>
          <w:szCs w:val="20"/>
        </w:rPr>
        <w:t>)</w:t>
      </w:r>
      <w:r w:rsidRPr="00DE6D95">
        <w:rPr>
          <w:rFonts w:ascii="Arial" w:eastAsia="Times New Roman" w:hAnsi="Arial" w:cs="Arial"/>
          <w:sz w:val="20"/>
          <w:szCs w:val="20"/>
        </w:rPr>
        <w:t>.</w:t>
      </w:r>
      <w:r w:rsidRPr="00DE6D95">
        <w:rPr>
          <w:rFonts w:ascii="Verdana" w:hAnsi="Verdana"/>
          <w:color w:val="555555"/>
          <w:sz w:val="20"/>
          <w:szCs w:val="20"/>
        </w:rPr>
        <w:t xml:space="preserve"> </w:t>
      </w:r>
      <w:r w:rsidRPr="00DE6D95">
        <w:rPr>
          <w:rFonts w:ascii="Arial" w:hAnsi="Arial" w:cs="Arial"/>
          <w:sz w:val="20"/>
          <w:szCs w:val="20"/>
        </w:rPr>
        <w:t>However, there has been some literature to date looking at pharmacogenetics with the opioid class.</w:t>
      </w:r>
      <w:r w:rsidR="00BD2C0D">
        <w:rPr>
          <w:rFonts w:ascii="Arial" w:hAnsi="Arial" w:cs="Arial"/>
          <w:sz w:val="20"/>
          <w:szCs w:val="20"/>
        </w:rPr>
        <w:t xml:space="preserve"> </w:t>
      </w:r>
      <w:r w:rsidRPr="00DE6D95">
        <w:rPr>
          <w:rFonts w:ascii="Arial" w:hAnsi="Arial" w:cs="Arial"/>
          <w:sz w:val="20"/>
          <w:szCs w:val="20"/>
        </w:rPr>
        <w:t xml:space="preserve">It has been noted that utilizing pharmacogenetics in clinical practice for the context of pain is challenging, due to the complexity of this multifaceted phenotype and the overall subjective nature of pain perception and response to analgesia. Overall, numerous genes involved with the pharmacokinetics and dynamics of opioids response are candidate genes in the context of opioid analgesia. The clinical relevance of </w:t>
      </w:r>
      <w:r w:rsidRPr="00DE6D95">
        <w:rPr>
          <w:rFonts w:ascii="Arial" w:hAnsi="Arial" w:cs="Arial"/>
          <w:i/>
          <w:iCs/>
          <w:sz w:val="20"/>
          <w:szCs w:val="20"/>
        </w:rPr>
        <w:t>CYP2D6</w:t>
      </w:r>
      <w:r w:rsidRPr="00DE6D95">
        <w:rPr>
          <w:rFonts w:ascii="Arial" w:hAnsi="Arial" w:cs="Arial"/>
          <w:sz w:val="20"/>
          <w:szCs w:val="20"/>
        </w:rPr>
        <w:t xml:space="preserve"> genotyping to predict analgesic outcomes is still relatively unknown; the two extremes in </w:t>
      </w:r>
      <w:r w:rsidRPr="00DE6D95">
        <w:rPr>
          <w:rFonts w:ascii="Arial" w:hAnsi="Arial" w:cs="Arial"/>
          <w:i/>
          <w:iCs/>
          <w:sz w:val="20"/>
          <w:szCs w:val="20"/>
        </w:rPr>
        <w:t>CYP2D6</w:t>
      </w:r>
      <w:r w:rsidRPr="00DE6D95">
        <w:rPr>
          <w:rFonts w:ascii="Arial" w:hAnsi="Arial" w:cs="Arial"/>
          <w:sz w:val="20"/>
          <w:szCs w:val="20"/>
        </w:rPr>
        <w:t xml:space="preserve"> genotype (ultrarapid and poor metabolism) seem to predict pain response and/or adverse effects. Overall, the level of evidence linking genetic variability (</w:t>
      </w:r>
      <w:r w:rsidRPr="00DE6D95">
        <w:rPr>
          <w:rFonts w:ascii="Arial" w:hAnsi="Arial" w:cs="Arial"/>
          <w:i/>
          <w:iCs/>
          <w:sz w:val="20"/>
          <w:szCs w:val="20"/>
        </w:rPr>
        <w:t>CYP2D6</w:t>
      </w:r>
      <w:r w:rsidRPr="00DE6D95">
        <w:rPr>
          <w:rFonts w:ascii="Arial" w:hAnsi="Arial" w:cs="Arial"/>
          <w:sz w:val="20"/>
          <w:szCs w:val="20"/>
        </w:rPr>
        <w:t xml:space="preserve"> and </w:t>
      </w:r>
      <w:r w:rsidRPr="00DE6D95">
        <w:rPr>
          <w:rFonts w:ascii="Arial" w:hAnsi="Arial" w:cs="Arial"/>
          <w:i/>
          <w:iCs/>
          <w:sz w:val="20"/>
          <w:szCs w:val="20"/>
        </w:rPr>
        <w:t>CYP3A4</w:t>
      </w:r>
      <w:r w:rsidRPr="00DE6D95">
        <w:rPr>
          <w:rFonts w:ascii="Arial" w:hAnsi="Arial" w:cs="Arial"/>
          <w:sz w:val="20"/>
          <w:szCs w:val="20"/>
        </w:rPr>
        <w:t>) to oxycodone response and phenotype (altered biotransformation of oxycodone into oxymorphone and overall clearance of oxycodone and oxymorphone) is strong; however, there has been no randomized clinical trial on the benefits of genetic testing prior to oxycodone therapy.</w:t>
      </w:r>
      <w:r w:rsidR="00EE4742">
        <w:rPr>
          <w:rFonts w:ascii="Arial" w:hAnsi="Arial" w:cs="Arial"/>
          <w:sz w:val="20"/>
          <w:szCs w:val="20"/>
          <w:vertAlign w:val="superscript"/>
        </w:rPr>
        <w:t>8</w:t>
      </w:r>
    </w:p>
    <w:p w:rsidR="001836E5" w:rsidRPr="001836E5" w:rsidRDefault="001836E5" w:rsidP="001836E5">
      <w:pPr>
        <w:spacing w:after="0" w:line="240" w:lineRule="auto"/>
        <w:ind w:right="-360"/>
        <w:rPr>
          <w:rFonts w:ascii="Arial" w:hAnsi="Arial" w:cs="Arial"/>
          <w:bCs/>
          <w:i/>
          <w:sz w:val="20"/>
          <w:szCs w:val="20"/>
        </w:rPr>
      </w:pPr>
    </w:p>
    <w:p w:rsidR="001836E5" w:rsidRPr="001836E5" w:rsidRDefault="001836E5" w:rsidP="001836E5">
      <w:pPr>
        <w:spacing w:after="0" w:line="240" w:lineRule="auto"/>
        <w:rPr>
          <w:rFonts w:ascii="Arial" w:eastAsia="Times New Roman" w:hAnsi="Arial" w:cs="Arial"/>
          <w:b/>
          <w:sz w:val="20"/>
          <w:szCs w:val="20"/>
          <w:u w:val="single"/>
        </w:rPr>
      </w:pPr>
      <w:r w:rsidRPr="001836E5">
        <w:rPr>
          <w:rFonts w:ascii="Arial" w:eastAsia="Times New Roman" w:hAnsi="Arial" w:cs="Arial"/>
          <w:b/>
          <w:sz w:val="20"/>
          <w:szCs w:val="20"/>
          <w:u w:val="single"/>
        </w:rPr>
        <w:t>Special Populations</w:t>
      </w:r>
    </w:p>
    <w:p w:rsidR="001836E5" w:rsidRPr="001836E5" w:rsidRDefault="001836E5" w:rsidP="001836E5">
      <w:pPr>
        <w:spacing w:after="0" w:line="240" w:lineRule="auto"/>
        <w:rPr>
          <w:rFonts w:ascii="Arial" w:hAnsi="Arial" w:cs="Arial"/>
          <w:b/>
          <w:sz w:val="20"/>
          <w:szCs w:val="20"/>
        </w:rPr>
      </w:pPr>
    </w:p>
    <w:p w:rsidR="001836E5" w:rsidRPr="00DE6D95" w:rsidRDefault="001836E5" w:rsidP="001836E5">
      <w:pPr>
        <w:spacing w:after="0" w:line="240" w:lineRule="auto"/>
        <w:ind w:left="-550" w:firstLine="550"/>
        <w:rPr>
          <w:rFonts w:ascii="Arial" w:hAnsi="Arial" w:cs="Arial"/>
          <w:b/>
          <w:sz w:val="20"/>
          <w:szCs w:val="20"/>
          <w:vertAlign w:val="superscript"/>
        </w:rPr>
      </w:pPr>
      <w:r w:rsidRPr="001836E5">
        <w:rPr>
          <w:rFonts w:ascii="Arial" w:hAnsi="Arial" w:cs="Arial"/>
          <w:b/>
          <w:sz w:val="20"/>
          <w:szCs w:val="20"/>
        </w:rPr>
        <w:t xml:space="preserve">Table </w:t>
      </w:r>
      <w:r w:rsidR="00DE6D95">
        <w:rPr>
          <w:rFonts w:ascii="Arial" w:hAnsi="Arial" w:cs="Arial"/>
          <w:b/>
          <w:sz w:val="20"/>
          <w:szCs w:val="20"/>
        </w:rPr>
        <w:t>3</w:t>
      </w:r>
      <w:r w:rsidRPr="001836E5">
        <w:rPr>
          <w:rFonts w:ascii="Arial" w:hAnsi="Arial" w:cs="Arial"/>
          <w:b/>
          <w:sz w:val="20"/>
          <w:szCs w:val="20"/>
        </w:rPr>
        <w:t>. Special Populations</w:t>
      </w:r>
      <w:r w:rsidR="00DE6D95" w:rsidRPr="00DE6D95">
        <w:rPr>
          <w:rFonts w:ascii="Arial" w:hAnsi="Arial" w:cs="Arial"/>
          <w:b/>
          <w:sz w:val="20"/>
          <w:szCs w:val="20"/>
          <w:vertAlign w:val="superscript"/>
        </w:rPr>
        <w:t>1</w:t>
      </w:r>
      <w:proofErr w:type="gramStart"/>
      <w:r w:rsidR="00DE6D95" w:rsidRPr="00DE6D95">
        <w:rPr>
          <w:rFonts w:ascii="Arial" w:hAnsi="Arial" w:cs="Arial"/>
          <w:b/>
          <w:sz w:val="20"/>
          <w:szCs w:val="20"/>
          <w:vertAlign w:val="superscript"/>
        </w:rPr>
        <w:t>,2</w:t>
      </w:r>
      <w:proofErr w:type="gramEnd"/>
      <w:r w:rsidRPr="00DE6D95">
        <w:rPr>
          <w:rFonts w:ascii="Arial" w:hAnsi="Arial" w:cs="Arial"/>
          <w:sz w:val="20"/>
          <w:szCs w:val="20"/>
          <w:vertAlign w:val="superscript"/>
        </w:rPr>
        <w:t xml:space="preserve"> </w:t>
      </w: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0"/>
        <w:gridCol w:w="7030"/>
      </w:tblGrid>
      <w:tr w:rsidR="001836E5" w:rsidRPr="001836E5" w:rsidTr="00286ACE">
        <w:tc>
          <w:tcPr>
            <w:tcW w:w="2430" w:type="dxa"/>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Population</w:t>
            </w:r>
          </w:p>
        </w:tc>
        <w:tc>
          <w:tcPr>
            <w:tcW w:w="7030" w:type="dxa"/>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Precaution</w:t>
            </w:r>
          </w:p>
        </w:tc>
      </w:tr>
      <w:tr w:rsidR="001836E5" w:rsidRPr="001836E5" w:rsidTr="00286ACE">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Elderly</w:t>
            </w:r>
          </w:p>
        </w:tc>
        <w:tc>
          <w:tcPr>
            <w:tcW w:w="70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Information available for oxycodone </w:t>
            </w:r>
            <w:r w:rsidR="00DE6D95">
              <w:rPr>
                <w:rFonts w:ascii="Arial" w:hAnsi="Arial" w:cs="Arial"/>
                <w:sz w:val="20"/>
                <w:szCs w:val="20"/>
              </w:rPr>
              <w:t xml:space="preserve">HCl </w:t>
            </w:r>
            <w:r w:rsidRPr="001836E5">
              <w:rPr>
                <w:rFonts w:ascii="Arial" w:hAnsi="Arial" w:cs="Arial"/>
                <w:sz w:val="20"/>
                <w:szCs w:val="20"/>
              </w:rPr>
              <w:t xml:space="preserve">indicates that the plasma </w:t>
            </w:r>
            <w:r w:rsidRPr="001836E5">
              <w:rPr>
                <w:rFonts w:ascii="Arial" w:hAnsi="Arial" w:cs="Arial"/>
                <w:sz w:val="20"/>
                <w:szCs w:val="20"/>
              </w:rPr>
              <w:lastRenderedPageBreak/>
              <w:t xml:space="preserve">concentrations of oxycodone </w:t>
            </w:r>
            <w:r w:rsidR="00DE6D95">
              <w:rPr>
                <w:rFonts w:ascii="Arial" w:hAnsi="Arial" w:cs="Arial"/>
                <w:sz w:val="20"/>
                <w:szCs w:val="20"/>
              </w:rPr>
              <w:t xml:space="preserve">HCl </w:t>
            </w:r>
            <w:r w:rsidRPr="001836E5">
              <w:rPr>
                <w:rFonts w:ascii="Arial" w:hAnsi="Arial" w:cs="Arial"/>
                <w:sz w:val="20"/>
                <w:szCs w:val="20"/>
              </w:rPr>
              <w:t>did not appear to be increased in patients over the age of 65</w:t>
            </w:r>
            <w:r w:rsidR="00BD2C0D">
              <w:rPr>
                <w:rFonts w:ascii="Arial" w:hAnsi="Arial" w:cs="Arial"/>
                <w:sz w:val="20"/>
                <w:szCs w:val="20"/>
              </w:rPr>
              <w:t xml:space="preserve"> years</w:t>
            </w:r>
            <w:r w:rsidRPr="001836E5">
              <w:rPr>
                <w:rFonts w:ascii="Arial" w:hAnsi="Arial" w:cs="Arial"/>
                <w:sz w:val="20"/>
                <w:szCs w:val="20"/>
              </w:rPr>
              <w:t>.</w:t>
            </w:r>
          </w:p>
          <w:p w:rsidR="001836E5" w:rsidRPr="001836E5" w:rsidRDefault="001836E5" w:rsidP="001836E5">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Elderly patients (≥65 years) may have increased sensitivity to </w:t>
            </w:r>
            <w:proofErr w:type="spellStart"/>
            <w:r w:rsidRPr="001836E5">
              <w:rPr>
                <w:rFonts w:ascii="Arial" w:hAnsi="Arial" w:cs="Arial"/>
                <w:sz w:val="20"/>
                <w:szCs w:val="20"/>
              </w:rPr>
              <w:t>Oxaydo</w:t>
            </w:r>
            <w:proofErr w:type="spellEnd"/>
            <w:r w:rsidRPr="001836E5">
              <w:rPr>
                <w:rFonts w:ascii="Arial" w:hAnsi="Arial" w:cs="Arial"/>
                <w:sz w:val="20"/>
                <w:szCs w:val="20"/>
                <w:vertAlign w:val="superscript"/>
              </w:rPr>
              <w:t>®</w:t>
            </w:r>
            <w:r w:rsidRPr="001836E5">
              <w:rPr>
                <w:rFonts w:ascii="Arial" w:hAnsi="Arial" w:cs="Arial"/>
                <w:sz w:val="20"/>
                <w:szCs w:val="20"/>
              </w:rPr>
              <w:t xml:space="preserve"> (oxycodone </w:t>
            </w:r>
            <w:proofErr w:type="spellStart"/>
            <w:r w:rsidRPr="001836E5">
              <w:rPr>
                <w:rFonts w:ascii="Arial" w:hAnsi="Arial" w:cs="Arial"/>
                <w:sz w:val="20"/>
                <w:szCs w:val="20"/>
              </w:rPr>
              <w:t>HCl</w:t>
            </w:r>
            <w:proofErr w:type="spellEnd"/>
            <w:r w:rsidRPr="001836E5">
              <w:rPr>
                <w:rFonts w:ascii="Arial" w:hAnsi="Arial" w:cs="Arial"/>
                <w:sz w:val="20"/>
                <w:szCs w:val="20"/>
              </w:rPr>
              <w:t>). Use caution when selecting a dose for an elderly patient, starting at the low end of the dosing range due to the greater frequency of decreased hepatic, renal, or cardiac function, concomitant disease(s), and use of other drug therapies.</w:t>
            </w:r>
          </w:p>
        </w:tc>
      </w:tr>
      <w:tr w:rsidR="001836E5" w:rsidRPr="001836E5" w:rsidTr="00286ACE">
        <w:trPr>
          <w:trHeight w:val="962"/>
        </w:trPr>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lastRenderedPageBreak/>
              <w:t>Renal dysfunction</w:t>
            </w:r>
          </w:p>
        </w:tc>
        <w:tc>
          <w:tcPr>
            <w:tcW w:w="70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Information obtained from oxycodone </w:t>
            </w:r>
            <w:r w:rsidR="00DE6D95">
              <w:rPr>
                <w:rFonts w:ascii="Arial" w:hAnsi="Arial" w:cs="Arial"/>
                <w:sz w:val="20"/>
                <w:szCs w:val="20"/>
              </w:rPr>
              <w:t xml:space="preserve">HCl </w:t>
            </w:r>
            <w:r w:rsidRPr="001836E5">
              <w:rPr>
                <w:rFonts w:ascii="Arial" w:hAnsi="Arial" w:cs="Arial"/>
                <w:sz w:val="20"/>
                <w:szCs w:val="20"/>
              </w:rPr>
              <w:t>indicate that patients with renal impairment (</w:t>
            </w:r>
            <w:proofErr w:type="spellStart"/>
            <w:r w:rsidRPr="001836E5">
              <w:rPr>
                <w:rFonts w:ascii="Arial" w:hAnsi="Arial" w:cs="Arial"/>
                <w:sz w:val="20"/>
                <w:szCs w:val="20"/>
              </w:rPr>
              <w:t>CrCl</w:t>
            </w:r>
            <w:proofErr w:type="spellEnd"/>
            <w:r w:rsidRPr="001836E5">
              <w:rPr>
                <w:rFonts w:ascii="Arial" w:hAnsi="Arial" w:cs="Arial"/>
                <w:sz w:val="20"/>
                <w:szCs w:val="20"/>
              </w:rPr>
              <w:t xml:space="preserve"> &lt;60 mL/minute) had higher plasma concentrations of oxycodone </w:t>
            </w:r>
            <w:r w:rsidR="00DE6D95">
              <w:rPr>
                <w:rFonts w:ascii="Arial" w:hAnsi="Arial" w:cs="Arial"/>
                <w:sz w:val="20"/>
                <w:szCs w:val="20"/>
              </w:rPr>
              <w:t xml:space="preserve">HCl </w:t>
            </w:r>
            <w:r w:rsidRPr="001836E5">
              <w:rPr>
                <w:rFonts w:ascii="Arial" w:hAnsi="Arial" w:cs="Arial"/>
                <w:sz w:val="20"/>
                <w:szCs w:val="20"/>
              </w:rPr>
              <w:t>than subjects with normal renal function</w:t>
            </w:r>
          </w:p>
          <w:p w:rsidR="001836E5" w:rsidRPr="001836E5" w:rsidRDefault="001836E5" w:rsidP="001836E5">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Available information with oxycodone HCl indicates that patients with renal impairment (</w:t>
            </w:r>
            <w:proofErr w:type="spellStart"/>
            <w:r w:rsidRPr="001836E5">
              <w:rPr>
                <w:rFonts w:ascii="Arial" w:hAnsi="Arial" w:cs="Arial"/>
                <w:sz w:val="20"/>
                <w:szCs w:val="20"/>
              </w:rPr>
              <w:t>CrCl</w:t>
            </w:r>
            <w:proofErr w:type="spellEnd"/>
            <w:r w:rsidRPr="001836E5">
              <w:rPr>
                <w:rFonts w:ascii="Arial" w:hAnsi="Arial" w:cs="Arial"/>
                <w:sz w:val="20"/>
                <w:szCs w:val="20"/>
              </w:rPr>
              <w:t xml:space="preserve">&lt;60 mL/minute) have higher plasma concentrations of oxycodone </w:t>
            </w:r>
            <w:r w:rsidR="00DE6D95">
              <w:rPr>
                <w:rFonts w:ascii="Arial" w:hAnsi="Arial" w:cs="Arial"/>
                <w:sz w:val="20"/>
                <w:szCs w:val="20"/>
              </w:rPr>
              <w:t>HCl</w:t>
            </w:r>
            <w:r w:rsidR="00DE6D95" w:rsidRPr="001836E5">
              <w:rPr>
                <w:rFonts w:ascii="Arial" w:hAnsi="Arial" w:cs="Arial"/>
                <w:sz w:val="20"/>
                <w:szCs w:val="20"/>
              </w:rPr>
              <w:t xml:space="preserve"> </w:t>
            </w:r>
            <w:r w:rsidR="00DE6D95">
              <w:rPr>
                <w:rFonts w:ascii="Arial" w:hAnsi="Arial" w:cs="Arial"/>
                <w:sz w:val="20"/>
                <w:szCs w:val="20"/>
              </w:rPr>
              <w:t>than</w:t>
            </w:r>
            <w:r w:rsidRPr="001836E5">
              <w:rPr>
                <w:rFonts w:ascii="Arial" w:hAnsi="Arial" w:cs="Arial"/>
                <w:sz w:val="20"/>
                <w:szCs w:val="20"/>
              </w:rPr>
              <w:t xml:space="preserve"> subjects with normal renal function. Use conservative approaches to initiate dosing in patients with renal impairment, monitoring closely and adjusting subsequent doses based upon individual clinical response.</w:t>
            </w:r>
          </w:p>
        </w:tc>
      </w:tr>
      <w:tr w:rsidR="001836E5" w:rsidRPr="001836E5" w:rsidTr="00286ACE">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Hepatic dysfunction</w:t>
            </w:r>
          </w:p>
        </w:tc>
        <w:tc>
          <w:tcPr>
            <w:tcW w:w="70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Since oxycodone </w:t>
            </w:r>
            <w:r w:rsidR="00DE6D95">
              <w:rPr>
                <w:rFonts w:ascii="Arial" w:hAnsi="Arial" w:cs="Arial"/>
                <w:sz w:val="20"/>
                <w:szCs w:val="20"/>
              </w:rPr>
              <w:t>HCl</w:t>
            </w:r>
            <w:r w:rsidR="00DE6D95" w:rsidRPr="001836E5">
              <w:rPr>
                <w:rFonts w:ascii="Arial" w:hAnsi="Arial" w:cs="Arial"/>
                <w:sz w:val="20"/>
                <w:szCs w:val="20"/>
              </w:rPr>
              <w:t xml:space="preserve"> </w:t>
            </w:r>
            <w:r w:rsidRPr="001836E5">
              <w:rPr>
                <w:rFonts w:ascii="Arial" w:hAnsi="Arial" w:cs="Arial"/>
                <w:sz w:val="20"/>
                <w:szCs w:val="20"/>
              </w:rPr>
              <w:t>is extensively metabolized in the liver, its clearance may be decreased in patients with hepatic impairment. Use conservative approaches to initiate dosing in patients with hepatic impairment, monitoring closely and adjusting subsequent doses based upon individual clinical response.</w:t>
            </w:r>
          </w:p>
        </w:tc>
      </w:tr>
      <w:tr w:rsidR="001836E5" w:rsidRPr="001836E5" w:rsidTr="00286ACE">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Pregnancy / nursing</w:t>
            </w:r>
          </w:p>
        </w:tc>
        <w:tc>
          <w:tcPr>
            <w:tcW w:w="70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Pregnancy Category B. There are no adequate and well-controlled studies in pregnant women. Based on limited human data in the literature, oxycodone </w:t>
            </w:r>
            <w:r w:rsidR="00DE6D95">
              <w:rPr>
                <w:rFonts w:ascii="Arial" w:hAnsi="Arial" w:cs="Arial"/>
                <w:sz w:val="20"/>
                <w:szCs w:val="20"/>
              </w:rPr>
              <w:t>HCl</w:t>
            </w:r>
            <w:r w:rsidR="00DE6D95" w:rsidRPr="001836E5">
              <w:rPr>
                <w:rFonts w:ascii="Arial" w:hAnsi="Arial" w:cs="Arial"/>
                <w:sz w:val="20"/>
                <w:szCs w:val="20"/>
              </w:rPr>
              <w:t xml:space="preserve"> </w:t>
            </w:r>
            <w:r w:rsidRPr="001836E5">
              <w:rPr>
                <w:rFonts w:ascii="Arial" w:hAnsi="Arial" w:cs="Arial"/>
                <w:sz w:val="20"/>
                <w:szCs w:val="20"/>
              </w:rPr>
              <w:t>does not appear to increase the risk of congenital malformations. Use during pregnancy only if clearly necessary and the potential benefits outweigh the potential risks. Opioids cross the placenta and may produce respiratory depression and psycho-physiological effects in neonates; therefore, it is not for use in women during and immediately prior to labor. Monitor closely.</w:t>
            </w:r>
            <w:r w:rsidR="00DE6D95">
              <w:rPr>
                <w:rFonts w:ascii="Arial" w:hAnsi="Arial" w:cs="Arial"/>
                <w:sz w:val="20"/>
                <w:szCs w:val="20"/>
              </w:rPr>
              <w:t xml:space="preserve"> </w:t>
            </w:r>
          </w:p>
          <w:p w:rsidR="001836E5" w:rsidRPr="001836E5" w:rsidRDefault="001836E5" w:rsidP="001836E5">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Low levels of oxycodone </w:t>
            </w:r>
            <w:r w:rsidR="00DE6D95">
              <w:rPr>
                <w:rFonts w:ascii="Arial" w:hAnsi="Arial" w:cs="Arial"/>
                <w:sz w:val="20"/>
                <w:szCs w:val="20"/>
              </w:rPr>
              <w:t>HCl</w:t>
            </w:r>
            <w:r w:rsidR="00DE6D95" w:rsidRPr="001836E5">
              <w:rPr>
                <w:rFonts w:ascii="Arial" w:hAnsi="Arial" w:cs="Arial"/>
                <w:sz w:val="20"/>
                <w:szCs w:val="20"/>
              </w:rPr>
              <w:t xml:space="preserve"> </w:t>
            </w:r>
            <w:r w:rsidRPr="001836E5">
              <w:rPr>
                <w:rFonts w:ascii="Arial" w:hAnsi="Arial" w:cs="Arial"/>
                <w:sz w:val="20"/>
                <w:szCs w:val="20"/>
              </w:rPr>
              <w:t xml:space="preserve">have been detected in maternal milk. The amount of oxycodone </w:t>
            </w:r>
            <w:r w:rsidR="00DE6D95">
              <w:rPr>
                <w:rFonts w:ascii="Arial" w:hAnsi="Arial" w:cs="Arial"/>
                <w:sz w:val="20"/>
                <w:szCs w:val="20"/>
              </w:rPr>
              <w:t>HCl</w:t>
            </w:r>
            <w:r w:rsidR="00DE6D95" w:rsidRPr="001836E5">
              <w:rPr>
                <w:rFonts w:ascii="Arial" w:hAnsi="Arial" w:cs="Arial"/>
                <w:sz w:val="20"/>
                <w:szCs w:val="20"/>
              </w:rPr>
              <w:t xml:space="preserve"> </w:t>
            </w:r>
            <w:r w:rsidRPr="001836E5">
              <w:rPr>
                <w:rFonts w:ascii="Arial" w:hAnsi="Arial" w:cs="Arial"/>
                <w:sz w:val="20"/>
                <w:szCs w:val="20"/>
              </w:rPr>
              <w:t>delivered to the infant depends on the plasma concentration of the mother, the amount of milk ingested by the infant, and the extent of first-pass metabolism. A decision should be made whether to discontinue nursing or discontinue the drug.</w:t>
            </w:r>
          </w:p>
        </w:tc>
      </w:tr>
      <w:tr w:rsidR="001836E5" w:rsidRPr="001836E5" w:rsidTr="00286ACE">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Children</w:t>
            </w:r>
          </w:p>
        </w:tc>
        <w:tc>
          <w:tcPr>
            <w:tcW w:w="70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The safety, effectiveness, and pharmacokinetics in individuals less than 18 years of age have not been established.</w:t>
            </w:r>
          </w:p>
        </w:tc>
      </w:tr>
      <w:tr w:rsidR="001836E5" w:rsidRPr="001836E5" w:rsidTr="00286ACE">
        <w:tc>
          <w:tcPr>
            <w:tcW w:w="243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Gender / Race</w:t>
            </w:r>
          </w:p>
        </w:tc>
        <w:tc>
          <w:tcPr>
            <w:tcW w:w="7030" w:type="dxa"/>
          </w:tcPr>
          <w:p w:rsidR="001836E5" w:rsidRPr="001836E5" w:rsidRDefault="001836E5" w:rsidP="00DE6D95">
            <w:pPr>
              <w:spacing w:after="0" w:line="240" w:lineRule="auto"/>
              <w:rPr>
                <w:rFonts w:ascii="Arial" w:hAnsi="Arial" w:cs="Arial"/>
                <w:sz w:val="20"/>
                <w:szCs w:val="20"/>
              </w:rPr>
            </w:pPr>
            <w:r w:rsidRPr="001836E5">
              <w:rPr>
                <w:rFonts w:ascii="Arial" w:hAnsi="Arial" w:cs="Arial"/>
                <w:sz w:val="20"/>
                <w:szCs w:val="20"/>
              </w:rPr>
              <w:t xml:space="preserve">Information obtained from oxycodone </w:t>
            </w:r>
            <w:r w:rsidR="00DE6D95">
              <w:rPr>
                <w:rFonts w:ascii="Arial" w:hAnsi="Arial" w:cs="Arial"/>
                <w:sz w:val="20"/>
                <w:szCs w:val="20"/>
              </w:rPr>
              <w:t>HCl</w:t>
            </w:r>
            <w:r w:rsidR="00DE6D95" w:rsidRPr="001836E5">
              <w:rPr>
                <w:rFonts w:ascii="Arial" w:hAnsi="Arial" w:cs="Arial"/>
                <w:sz w:val="20"/>
                <w:szCs w:val="20"/>
              </w:rPr>
              <w:t xml:space="preserve"> </w:t>
            </w:r>
            <w:r w:rsidRPr="001836E5">
              <w:rPr>
                <w:rFonts w:ascii="Arial" w:hAnsi="Arial" w:cs="Arial"/>
                <w:sz w:val="20"/>
                <w:szCs w:val="20"/>
              </w:rPr>
              <w:t xml:space="preserve">support the lack of gender effect on the pharmacokinetics of </w:t>
            </w:r>
            <w:r w:rsidR="00DE6D95">
              <w:rPr>
                <w:rFonts w:ascii="Arial" w:hAnsi="Arial" w:cs="Arial"/>
                <w:sz w:val="20"/>
                <w:szCs w:val="20"/>
              </w:rPr>
              <w:t>this agent</w:t>
            </w:r>
            <w:r w:rsidRPr="001836E5">
              <w:rPr>
                <w:rFonts w:ascii="Arial" w:hAnsi="Arial" w:cs="Arial"/>
                <w:sz w:val="20"/>
                <w:szCs w:val="20"/>
              </w:rPr>
              <w:t xml:space="preserve">. No race-specific differences in pharmacokinetic data have been identified.  </w:t>
            </w:r>
          </w:p>
        </w:tc>
      </w:tr>
    </w:tbl>
    <w:p w:rsidR="000E4958" w:rsidRDefault="00907204" w:rsidP="0050546F">
      <w:pPr>
        <w:spacing w:after="0" w:line="240" w:lineRule="auto"/>
        <w:rPr>
          <w:rFonts w:ascii="Arial" w:hAnsi="Arial" w:cs="Arial"/>
          <w:sz w:val="16"/>
          <w:szCs w:val="16"/>
        </w:rPr>
      </w:pPr>
      <w:proofErr w:type="spellStart"/>
      <w:r>
        <w:rPr>
          <w:rFonts w:ascii="Arial" w:hAnsi="Arial" w:cs="Arial"/>
          <w:sz w:val="16"/>
          <w:szCs w:val="16"/>
        </w:rPr>
        <w:t>CrCl</w:t>
      </w:r>
      <w:proofErr w:type="spellEnd"/>
      <w:r>
        <w:rPr>
          <w:rFonts w:ascii="Arial" w:hAnsi="Arial" w:cs="Arial"/>
          <w:sz w:val="16"/>
          <w:szCs w:val="16"/>
        </w:rPr>
        <w:t>=creatinine clearance</w:t>
      </w:r>
    </w:p>
    <w:p w:rsidR="00907204" w:rsidRDefault="00907204" w:rsidP="0050546F">
      <w:pPr>
        <w:spacing w:after="0" w:line="240" w:lineRule="auto"/>
        <w:rPr>
          <w:rFonts w:ascii="Arial" w:hAnsi="Arial" w:cs="Arial"/>
          <w:sz w:val="16"/>
          <w:szCs w:val="16"/>
        </w:rPr>
      </w:pPr>
    </w:p>
    <w:p w:rsidR="008B0860" w:rsidRPr="009B7CBE" w:rsidRDefault="00C87D54" w:rsidP="008B0860">
      <w:pPr>
        <w:spacing w:after="0" w:line="240" w:lineRule="auto"/>
        <w:rPr>
          <w:rFonts w:ascii="Arial" w:hAnsi="Arial" w:cs="Arial"/>
          <w:b/>
          <w:sz w:val="20"/>
          <w:szCs w:val="20"/>
          <w:u w:val="single"/>
          <w:vertAlign w:val="superscript"/>
        </w:rPr>
      </w:pPr>
      <w:r w:rsidRPr="00C87D54">
        <w:rPr>
          <w:rFonts w:ascii="Arial" w:hAnsi="Arial" w:cs="Arial"/>
          <w:b/>
          <w:sz w:val="20"/>
          <w:szCs w:val="20"/>
          <w:u w:val="single"/>
        </w:rPr>
        <w:t>Dosage Forms</w:t>
      </w:r>
    </w:p>
    <w:p w:rsidR="0089006E" w:rsidRDefault="0089006E" w:rsidP="008B0860">
      <w:pPr>
        <w:pStyle w:val="NoSpacing"/>
        <w:rPr>
          <w:rFonts w:ascii="Arial" w:hAnsi="Arial" w:cs="Arial"/>
          <w:sz w:val="20"/>
          <w:szCs w:val="20"/>
        </w:rPr>
      </w:pPr>
    </w:p>
    <w:p w:rsidR="007A4633" w:rsidRPr="00AC29F5" w:rsidRDefault="007A4633" w:rsidP="007A4633">
      <w:pPr>
        <w:spacing w:after="0" w:line="240" w:lineRule="auto"/>
        <w:rPr>
          <w:rFonts w:ascii="Arial" w:hAnsi="Arial" w:cs="Arial"/>
          <w:bCs/>
          <w:sz w:val="20"/>
          <w:szCs w:val="20"/>
          <w:vertAlign w:val="superscript"/>
        </w:rPr>
      </w:pPr>
      <w:r w:rsidRPr="0044122B">
        <w:rPr>
          <w:rFonts w:ascii="Arial" w:hAnsi="Arial" w:cs="Arial"/>
          <w:b/>
          <w:sz w:val="20"/>
          <w:szCs w:val="20"/>
        </w:rPr>
        <w:t xml:space="preserve">Table </w:t>
      </w:r>
      <w:r w:rsidR="00DE6D95">
        <w:rPr>
          <w:rFonts w:ascii="Arial" w:hAnsi="Arial" w:cs="Arial"/>
          <w:b/>
          <w:sz w:val="20"/>
          <w:szCs w:val="20"/>
        </w:rPr>
        <w:t>4</w:t>
      </w:r>
      <w:r>
        <w:rPr>
          <w:rFonts w:ascii="Arial" w:hAnsi="Arial" w:cs="Arial"/>
          <w:b/>
          <w:sz w:val="20"/>
          <w:szCs w:val="20"/>
        </w:rPr>
        <w:t>. Availability, Storage and Handling</w:t>
      </w:r>
      <w:r>
        <w:rPr>
          <w:rFonts w:ascii="Arial" w:hAnsi="Arial" w:cs="Arial"/>
          <w:b/>
          <w:sz w:val="20"/>
          <w:szCs w:val="20"/>
          <w:vertAlign w:val="superscript"/>
        </w:rPr>
        <w:t>1</w:t>
      </w: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520"/>
        <w:gridCol w:w="4240"/>
      </w:tblGrid>
      <w:tr w:rsidR="001836E5" w:rsidRPr="001836E5" w:rsidTr="00286ACE">
        <w:trPr>
          <w:trHeight w:val="188"/>
          <w:tblHeader/>
        </w:trPr>
        <w:tc>
          <w:tcPr>
            <w:tcW w:w="2700" w:type="dxa"/>
            <w:tcBorders>
              <w:bottom w:val="single" w:sz="4" w:space="0" w:color="000000"/>
            </w:tcBorders>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Dosage form</w:t>
            </w:r>
          </w:p>
        </w:tc>
        <w:tc>
          <w:tcPr>
            <w:tcW w:w="2520" w:type="dxa"/>
            <w:tcBorders>
              <w:bottom w:val="single" w:sz="4" w:space="0" w:color="000000"/>
            </w:tcBorders>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Strengths</w:t>
            </w:r>
          </w:p>
        </w:tc>
        <w:tc>
          <w:tcPr>
            <w:tcW w:w="4240" w:type="dxa"/>
            <w:tcBorders>
              <w:bottom w:val="single" w:sz="4" w:space="0" w:color="000000"/>
            </w:tcBorders>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 xml:space="preserve">Special handling or storage </w:t>
            </w:r>
          </w:p>
        </w:tc>
      </w:tr>
      <w:tr w:rsidR="001836E5" w:rsidRPr="001836E5" w:rsidTr="00286ACE">
        <w:tc>
          <w:tcPr>
            <w:tcW w:w="270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Tablet</w:t>
            </w:r>
          </w:p>
        </w:tc>
        <w:tc>
          <w:tcPr>
            <w:tcW w:w="252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5 mg</w:t>
            </w:r>
          </w:p>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7.5 mg</w:t>
            </w:r>
          </w:p>
          <w:p w:rsidR="001836E5" w:rsidRPr="001836E5" w:rsidRDefault="001836E5" w:rsidP="001836E5">
            <w:pPr>
              <w:spacing w:after="0" w:line="240" w:lineRule="auto"/>
              <w:jc w:val="center"/>
              <w:rPr>
                <w:rFonts w:ascii="Arial" w:hAnsi="Arial" w:cs="Arial"/>
                <w:sz w:val="20"/>
                <w:szCs w:val="20"/>
              </w:rPr>
            </w:pPr>
          </w:p>
        </w:tc>
        <w:tc>
          <w:tcPr>
            <w:tcW w:w="424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Store up to 25°C (77°F); excursions permitted to 15° to 30°C (59° to 86°F). </w:t>
            </w:r>
          </w:p>
          <w:p w:rsidR="001836E5" w:rsidRPr="001836E5" w:rsidRDefault="001836E5" w:rsidP="001836E5">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Protect from moisture. </w:t>
            </w:r>
          </w:p>
          <w:p w:rsidR="001836E5" w:rsidRPr="001836E5" w:rsidRDefault="001836E5" w:rsidP="001836E5">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This product, similar to all opioids, is liable to </w:t>
            </w:r>
            <w:r w:rsidRPr="001836E5">
              <w:rPr>
                <w:rFonts w:ascii="Arial" w:hAnsi="Arial" w:cs="Arial"/>
                <w:sz w:val="20"/>
                <w:szCs w:val="20"/>
              </w:rPr>
              <w:lastRenderedPageBreak/>
              <w:t xml:space="preserve">diversion and misuse by the general public and healthcare workers and must be handled accordingly. </w:t>
            </w:r>
          </w:p>
        </w:tc>
      </w:tr>
    </w:tbl>
    <w:p w:rsidR="00C87D54" w:rsidRDefault="00C87D54" w:rsidP="008B0860">
      <w:pPr>
        <w:pStyle w:val="NoSpacing"/>
      </w:pPr>
    </w:p>
    <w:p w:rsidR="00C87D54" w:rsidRDefault="00C87D54" w:rsidP="00C87D54">
      <w:pPr>
        <w:pStyle w:val="NoSpacing"/>
        <w:rPr>
          <w:rFonts w:ascii="Arial" w:hAnsi="Arial" w:cs="Arial"/>
          <w:b/>
          <w:sz w:val="20"/>
          <w:szCs w:val="20"/>
          <w:vertAlign w:val="superscript"/>
        </w:rPr>
      </w:pPr>
      <w:r w:rsidRPr="0044122B">
        <w:rPr>
          <w:rFonts w:ascii="Arial" w:hAnsi="Arial" w:cs="Arial"/>
          <w:b/>
          <w:sz w:val="20"/>
          <w:szCs w:val="20"/>
          <w:u w:val="single"/>
        </w:rPr>
        <w:t xml:space="preserve">Dosage </w:t>
      </w:r>
      <w:r>
        <w:rPr>
          <w:rFonts w:ascii="Arial" w:hAnsi="Arial" w:cs="Arial"/>
          <w:b/>
          <w:sz w:val="20"/>
          <w:szCs w:val="20"/>
          <w:u w:val="single"/>
        </w:rPr>
        <w:t>Range</w:t>
      </w:r>
      <w:r w:rsidR="00E139EB">
        <w:rPr>
          <w:rFonts w:ascii="Arial" w:hAnsi="Arial" w:cs="Arial"/>
          <w:b/>
          <w:sz w:val="20"/>
          <w:szCs w:val="20"/>
          <w:vertAlign w:val="superscript"/>
        </w:rPr>
        <w:t>1-2</w:t>
      </w:r>
    </w:p>
    <w:p w:rsidR="007D4A5B" w:rsidRDefault="007D4A5B" w:rsidP="00C87D54">
      <w:pPr>
        <w:pStyle w:val="NoSpacing"/>
        <w:rPr>
          <w:rFonts w:ascii="Arial" w:hAnsi="Arial" w:cs="Arial"/>
          <w:b/>
          <w:sz w:val="20"/>
          <w:szCs w:val="20"/>
          <w:vertAlign w:val="superscript"/>
        </w:rPr>
      </w:pPr>
    </w:p>
    <w:p w:rsidR="003A5826" w:rsidRDefault="003A5826" w:rsidP="00C87D54">
      <w:pPr>
        <w:pStyle w:val="NoSpacing"/>
        <w:rPr>
          <w:rFonts w:ascii="Arial" w:hAnsi="Arial" w:cs="Arial"/>
          <w:sz w:val="20"/>
          <w:szCs w:val="20"/>
        </w:rPr>
      </w:pPr>
      <w:r w:rsidRPr="003A5826">
        <w:rPr>
          <w:rFonts w:ascii="Arial" w:hAnsi="Arial" w:cs="Arial"/>
          <w:sz w:val="20"/>
          <w:szCs w:val="20"/>
        </w:rPr>
        <w:t xml:space="preserve">The dose of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 xml:space="preserve">) </w:t>
      </w:r>
      <w:r w:rsidRPr="003A5826">
        <w:rPr>
          <w:rFonts w:ascii="Arial" w:hAnsi="Arial" w:cs="Arial"/>
          <w:sz w:val="20"/>
          <w:szCs w:val="20"/>
        </w:rPr>
        <w:t>should be individually adjusted according to severity of pain, and the patient’s response, weight, age, and prior analgesic treatment experience.</w:t>
      </w:r>
    </w:p>
    <w:p w:rsidR="003A5826" w:rsidRDefault="003A5826" w:rsidP="00C87D54">
      <w:pPr>
        <w:pStyle w:val="NoSpacing"/>
        <w:rPr>
          <w:rFonts w:ascii="Arial" w:hAnsi="Arial" w:cs="Arial"/>
          <w:sz w:val="20"/>
          <w:szCs w:val="20"/>
        </w:rPr>
      </w:pPr>
    </w:p>
    <w:p w:rsidR="003A5826" w:rsidRPr="003A5826" w:rsidRDefault="003A5826" w:rsidP="00C87D54">
      <w:pPr>
        <w:pStyle w:val="NoSpacing"/>
        <w:rPr>
          <w:rFonts w:ascii="Arial" w:hAnsi="Arial" w:cs="Arial"/>
          <w:sz w:val="20"/>
          <w:szCs w:val="20"/>
          <w:u w:val="single"/>
        </w:rPr>
      </w:pPr>
      <w:r w:rsidRPr="003A5826">
        <w:rPr>
          <w:rFonts w:ascii="Arial" w:hAnsi="Arial" w:cs="Arial"/>
          <w:sz w:val="20"/>
          <w:szCs w:val="20"/>
          <w:u w:val="single"/>
        </w:rPr>
        <w:t>Initiation of Therapy:</w:t>
      </w:r>
    </w:p>
    <w:p w:rsidR="003A5826" w:rsidRPr="003A5826" w:rsidRDefault="003A5826" w:rsidP="00BD2C0D">
      <w:pPr>
        <w:pStyle w:val="first"/>
        <w:spacing w:before="0" w:beforeAutospacing="0" w:after="0" w:afterAutospacing="0"/>
        <w:rPr>
          <w:rFonts w:ascii="Arial" w:hAnsi="Arial" w:cs="Arial"/>
          <w:sz w:val="20"/>
          <w:szCs w:val="20"/>
        </w:rPr>
      </w:pPr>
      <w:r w:rsidRPr="003A5826">
        <w:rPr>
          <w:rFonts w:ascii="Arial" w:hAnsi="Arial" w:cs="Arial"/>
          <w:sz w:val="20"/>
          <w:szCs w:val="20"/>
        </w:rPr>
        <w:t xml:space="preserve">Patients who have not been receiving opioid analgesics should be started on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 xml:space="preserve">) </w:t>
      </w:r>
      <w:r w:rsidRPr="003A5826">
        <w:rPr>
          <w:rFonts w:ascii="Arial" w:hAnsi="Arial" w:cs="Arial"/>
          <w:sz w:val="20"/>
          <w:szCs w:val="20"/>
        </w:rPr>
        <w:t xml:space="preserve"> in a dosin</w:t>
      </w:r>
      <w:r w:rsidR="00BD2C0D">
        <w:rPr>
          <w:rFonts w:ascii="Arial" w:hAnsi="Arial" w:cs="Arial"/>
          <w:sz w:val="20"/>
          <w:szCs w:val="20"/>
        </w:rPr>
        <w:t>g range of 5 mg to 15 mg every four to six</w:t>
      </w:r>
      <w:r w:rsidRPr="003A5826">
        <w:rPr>
          <w:rFonts w:ascii="Arial" w:hAnsi="Arial" w:cs="Arial"/>
          <w:sz w:val="20"/>
          <w:szCs w:val="20"/>
        </w:rPr>
        <w:t xml:space="preserve"> hours as needed for pain. The dose should be titrated based upon the individual patient’s response to their initial dose of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w:t>
      </w:r>
      <w:r w:rsidRPr="003A5826">
        <w:rPr>
          <w:rFonts w:ascii="Arial" w:hAnsi="Arial" w:cs="Arial"/>
          <w:sz w:val="20"/>
          <w:szCs w:val="20"/>
        </w:rPr>
        <w:t>.</w:t>
      </w:r>
    </w:p>
    <w:p w:rsidR="003A5826" w:rsidRDefault="003A5826" w:rsidP="003A5826">
      <w:pPr>
        <w:pStyle w:val="NormalWeb"/>
        <w:rPr>
          <w:rFonts w:ascii="Arial" w:hAnsi="Arial" w:cs="Arial"/>
          <w:sz w:val="20"/>
          <w:szCs w:val="20"/>
        </w:rPr>
      </w:pPr>
      <w:r w:rsidRPr="003A5826">
        <w:rPr>
          <w:rFonts w:ascii="Arial" w:hAnsi="Arial" w:cs="Arial"/>
          <w:sz w:val="20"/>
          <w:szCs w:val="20"/>
        </w:rPr>
        <w:t xml:space="preserve">Patients with chronic pain may need to be dosed at the lowest dosage level that will achieve acceptable analgesia and tolerable adverse reactions, on an around-the-clock basis rather than on an as needed basis. </w:t>
      </w:r>
    </w:p>
    <w:p w:rsidR="003A5826" w:rsidRDefault="003A5826" w:rsidP="003A5826">
      <w:pPr>
        <w:pStyle w:val="NormalWeb"/>
        <w:spacing w:before="0" w:beforeAutospacing="0" w:after="0" w:afterAutospacing="0"/>
        <w:rPr>
          <w:rFonts w:ascii="Arial" w:hAnsi="Arial" w:cs="Arial"/>
          <w:sz w:val="20"/>
          <w:szCs w:val="20"/>
          <w:u w:val="single"/>
        </w:rPr>
      </w:pPr>
      <w:r w:rsidRPr="003A5826">
        <w:rPr>
          <w:rFonts w:ascii="Arial" w:hAnsi="Arial" w:cs="Arial"/>
          <w:sz w:val="20"/>
          <w:szCs w:val="20"/>
          <w:u w:val="single"/>
        </w:rPr>
        <w:t xml:space="preserve">Conversion to </w:t>
      </w:r>
      <w:proofErr w:type="spellStart"/>
      <w:r w:rsidRPr="003A5826">
        <w:rPr>
          <w:rFonts w:ascii="Arial" w:hAnsi="Arial" w:cs="Arial"/>
          <w:sz w:val="20"/>
          <w:szCs w:val="20"/>
          <w:u w:val="single"/>
        </w:rPr>
        <w:t>Oxaydo</w:t>
      </w:r>
      <w:proofErr w:type="spellEnd"/>
      <w:r w:rsidRPr="003A5826">
        <w:rPr>
          <w:rFonts w:ascii="Arial" w:hAnsi="Arial" w:cs="Arial"/>
          <w:sz w:val="20"/>
          <w:szCs w:val="20"/>
          <w:u w:val="single"/>
          <w:vertAlign w:val="superscript"/>
        </w:rPr>
        <w:t>®</w:t>
      </w:r>
      <w:r w:rsidRPr="003A5826">
        <w:rPr>
          <w:rFonts w:ascii="Arial" w:hAnsi="Arial" w:cs="Arial"/>
          <w:sz w:val="20"/>
          <w:szCs w:val="20"/>
          <w:u w:val="single"/>
        </w:rPr>
        <w:t xml:space="preserve"> (oxycodone </w:t>
      </w:r>
      <w:proofErr w:type="spellStart"/>
      <w:r w:rsidRPr="003A5826">
        <w:rPr>
          <w:rFonts w:ascii="Arial" w:hAnsi="Arial" w:cs="Arial"/>
          <w:sz w:val="20"/>
          <w:szCs w:val="20"/>
          <w:u w:val="single"/>
        </w:rPr>
        <w:t>HCl</w:t>
      </w:r>
      <w:proofErr w:type="spellEnd"/>
      <w:r w:rsidRPr="003A5826">
        <w:rPr>
          <w:rFonts w:ascii="Arial" w:hAnsi="Arial" w:cs="Arial"/>
          <w:sz w:val="20"/>
          <w:szCs w:val="20"/>
          <w:u w:val="single"/>
        </w:rPr>
        <w:t>)</w:t>
      </w:r>
      <w:r>
        <w:rPr>
          <w:rFonts w:ascii="Arial" w:hAnsi="Arial" w:cs="Arial"/>
          <w:sz w:val="20"/>
          <w:szCs w:val="20"/>
          <w:u w:val="single"/>
        </w:rPr>
        <w:t>:</w:t>
      </w:r>
    </w:p>
    <w:p w:rsidR="00BD2C0D" w:rsidRDefault="00BD2C0D" w:rsidP="003A5826">
      <w:pPr>
        <w:pStyle w:val="NormalWeb"/>
        <w:spacing w:before="0" w:beforeAutospacing="0" w:after="0" w:afterAutospacing="0"/>
        <w:rPr>
          <w:rStyle w:val="italics"/>
          <w:rFonts w:ascii="Arial" w:hAnsi="Arial" w:cs="Arial"/>
          <w:i/>
          <w:sz w:val="20"/>
          <w:szCs w:val="20"/>
        </w:rPr>
      </w:pPr>
    </w:p>
    <w:p w:rsidR="003A5826" w:rsidRDefault="003A5826" w:rsidP="003A5826">
      <w:pPr>
        <w:pStyle w:val="NormalWeb"/>
        <w:spacing w:before="0" w:beforeAutospacing="0" w:after="0" w:afterAutospacing="0"/>
        <w:rPr>
          <w:rFonts w:ascii="Arial" w:hAnsi="Arial" w:cs="Arial"/>
          <w:i/>
          <w:sz w:val="20"/>
          <w:szCs w:val="20"/>
        </w:rPr>
      </w:pPr>
      <w:r w:rsidRPr="003A5826">
        <w:rPr>
          <w:rStyle w:val="italics"/>
          <w:rFonts w:ascii="Arial" w:hAnsi="Arial" w:cs="Arial"/>
          <w:i/>
          <w:sz w:val="20"/>
          <w:szCs w:val="20"/>
        </w:rPr>
        <w:t>Conversion from Fixed-Ratio Oral Opioid/Non-Opioid Combinations</w:t>
      </w:r>
      <w:r w:rsidRPr="003A5826">
        <w:rPr>
          <w:rFonts w:ascii="Arial" w:hAnsi="Arial" w:cs="Arial"/>
          <w:i/>
          <w:sz w:val="20"/>
          <w:szCs w:val="20"/>
        </w:rPr>
        <w:t xml:space="preserve"> </w:t>
      </w:r>
    </w:p>
    <w:p w:rsidR="003A5826" w:rsidRPr="003A5826" w:rsidRDefault="003A5826" w:rsidP="003A5826">
      <w:pPr>
        <w:pStyle w:val="NormalWeb"/>
        <w:spacing w:before="0" w:beforeAutospacing="0" w:after="0" w:afterAutospacing="0"/>
        <w:rPr>
          <w:rFonts w:ascii="Arial" w:hAnsi="Arial" w:cs="Arial"/>
          <w:i/>
          <w:sz w:val="20"/>
          <w:szCs w:val="20"/>
          <w:u w:val="single"/>
        </w:rPr>
      </w:pPr>
    </w:p>
    <w:p w:rsidR="003A5826" w:rsidRDefault="003A5826" w:rsidP="0022610B">
      <w:pPr>
        <w:pStyle w:val="NormalWeb"/>
        <w:spacing w:before="0" w:beforeAutospacing="0" w:after="0" w:afterAutospacing="0"/>
        <w:rPr>
          <w:rFonts w:ascii="Arial" w:hAnsi="Arial" w:cs="Arial"/>
          <w:sz w:val="20"/>
          <w:szCs w:val="20"/>
        </w:rPr>
      </w:pPr>
      <w:r w:rsidRPr="003A5826">
        <w:rPr>
          <w:rFonts w:ascii="Arial" w:hAnsi="Arial" w:cs="Arial"/>
          <w:sz w:val="20"/>
          <w:szCs w:val="20"/>
        </w:rPr>
        <w:t xml:space="preserve">When converting patients from fixed-ratio opioid/non-opioid drug regimens to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w:t>
      </w:r>
      <w:r w:rsidRPr="003A5826">
        <w:rPr>
          <w:rFonts w:ascii="Arial" w:hAnsi="Arial" w:cs="Arial"/>
          <w:sz w:val="20"/>
          <w:szCs w:val="20"/>
        </w:rPr>
        <w:t>, determine whether or not to continue the</w:t>
      </w:r>
      <w:r w:rsidR="0022610B">
        <w:rPr>
          <w:rFonts w:ascii="Arial" w:hAnsi="Arial" w:cs="Arial"/>
          <w:sz w:val="20"/>
          <w:szCs w:val="20"/>
        </w:rPr>
        <w:t xml:space="preserve"> non-opioid analgesic. T</w:t>
      </w:r>
      <w:r w:rsidRPr="003A5826">
        <w:rPr>
          <w:rFonts w:ascii="Arial" w:hAnsi="Arial" w:cs="Arial"/>
          <w:sz w:val="20"/>
          <w:szCs w:val="20"/>
        </w:rPr>
        <w:t xml:space="preserve">he dose of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w:t>
      </w:r>
      <w:r w:rsidRPr="003A5826">
        <w:rPr>
          <w:rFonts w:ascii="Arial" w:hAnsi="Arial" w:cs="Arial"/>
          <w:sz w:val="20"/>
          <w:szCs w:val="20"/>
        </w:rPr>
        <w:t xml:space="preserve"> </w:t>
      </w:r>
      <w:r w:rsidR="0022610B">
        <w:rPr>
          <w:rFonts w:ascii="Arial" w:hAnsi="Arial" w:cs="Arial"/>
          <w:sz w:val="20"/>
          <w:szCs w:val="20"/>
        </w:rPr>
        <w:t xml:space="preserve">should be titrated </w:t>
      </w:r>
      <w:r w:rsidRPr="003A5826">
        <w:rPr>
          <w:rFonts w:ascii="Arial" w:hAnsi="Arial" w:cs="Arial"/>
          <w:sz w:val="20"/>
          <w:szCs w:val="20"/>
        </w:rPr>
        <w:t>in response to the level of analgesia and adverse reactions afforded by the dosing regimen regardless of whether the non-opioid is continued.</w:t>
      </w:r>
    </w:p>
    <w:p w:rsidR="0022610B" w:rsidRPr="003A5826" w:rsidRDefault="0022610B" w:rsidP="003A5826">
      <w:pPr>
        <w:pStyle w:val="NormalWeb"/>
        <w:spacing w:before="0" w:beforeAutospacing="0" w:after="0" w:afterAutospacing="0"/>
        <w:rPr>
          <w:rFonts w:ascii="Arial" w:hAnsi="Arial" w:cs="Arial"/>
          <w:sz w:val="20"/>
          <w:szCs w:val="20"/>
        </w:rPr>
      </w:pPr>
    </w:p>
    <w:p w:rsidR="003A5826" w:rsidRDefault="003A5826" w:rsidP="0022610B">
      <w:pPr>
        <w:pStyle w:val="NormalWeb"/>
        <w:spacing w:before="0" w:beforeAutospacing="0" w:after="0" w:afterAutospacing="0"/>
        <w:rPr>
          <w:rFonts w:ascii="Arial" w:hAnsi="Arial" w:cs="Arial"/>
          <w:i/>
          <w:sz w:val="20"/>
          <w:szCs w:val="20"/>
        </w:rPr>
      </w:pPr>
      <w:r w:rsidRPr="0022610B">
        <w:rPr>
          <w:rStyle w:val="italics"/>
          <w:rFonts w:ascii="Arial" w:hAnsi="Arial" w:cs="Arial"/>
          <w:i/>
          <w:sz w:val="20"/>
          <w:szCs w:val="20"/>
        </w:rPr>
        <w:t xml:space="preserve">Conversion from Other Oral Opioid Therapy to </w:t>
      </w:r>
      <w:proofErr w:type="spellStart"/>
      <w:r w:rsidR="0022610B" w:rsidRPr="0022610B">
        <w:rPr>
          <w:rFonts w:ascii="Arial" w:hAnsi="Arial" w:cs="Arial"/>
          <w:i/>
          <w:sz w:val="20"/>
          <w:szCs w:val="20"/>
        </w:rPr>
        <w:t>Oxaydo</w:t>
      </w:r>
      <w:proofErr w:type="spellEnd"/>
      <w:r w:rsidR="0022610B" w:rsidRPr="0022610B">
        <w:rPr>
          <w:rFonts w:ascii="Arial" w:hAnsi="Arial" w:cs="Arial"/>
          <w:i/>
          <w:sz w:val="20"/>
          <w:szCs w:val="20"/>
          <w:vertAlign w:val="superscript"/>
        </w:rPr>
        <w:t>®</w:t>
      </w:r>
      <w:r w:rsidR="0022610B" w:rsidRPr="0022610B">
        <w:rPr>
          <w:rFonts w:ascii="Arial" w:hAnsi="Arial" w:cs="Arial"/>
          <w:i/>
          <w:sz w:val="20"/>
          <w:szCs w:val="20"/>
        </w:rPr>
        <w:t xml:space="preserve"> (oxycodone </w:t>
      </w:r>
      <w:proofErr w:type="spellStart"/>
      <w:r w:rsidR="0022610B" w:rsidRPr="0022610B">
        <w:rPr>
          <w:rFonts w:ascii="Arial" w:hAnsi="Arial" w:cs="Arial"/>
          <w:i/>
          <w:sz w:val="20"/>
          <w:szCs w:val="20"/>
        </w:rPr>
        <w:t>HCl</w:t>
      </w:r>
      <w:proofErr w:type="spellEnd"/>
      <w:r w:rsidR="0022610B" w:rsidRPr="0022610B">
        <w:rPr>
          <w:rFonts w:ascii="Arial" w:hAnsi="Arial" w:cs="Arial"/>
          <w:i/>
          <w:sz w:val="20"/>
          <w:szCs w:val="20"/>
        </w:rPr>
        <w:t>)</w:t>
      </w:r>
    </w:p>
    <w:p w:rsidR="0022610B" w:rsidRPr="0022610B" w:rsidRDefault="0022610B" w:rsidP="0022610B">
      <w:pPr>
        <w:pStyle w:val="NormalWeb"/>
        <w:spacing w:before="0" w:beforeAutospacing="0" w:after="0" w:afterAutospacing="0"/>
        <w:rPr>
          <w:rFonts w:ascii="Arial" w:hAnsi="Arial" w:cs="Arial"/>
          <w:i/>
          <w:sz w:val="20"/>
          <w:szCs w:val="20"/>
        </w:rPr>
      </w:pPr>
    </w:p>
    <w:p w:rsidR="003A5826" w:rsidRDefault="003A5826" w:rsidP="002A40AC">
      <w:pPr>
        <w:pStyle w:val="NormalWeb"/>
        <w:spacing w:before="0" w:beforeAutospacing="0" w:after="0" w:afterAutospacing="0"/>
        <w:rPr>
          <w:rFonts w:ascii="Arial" w:hAnsi="Arial" w:cs="Arial"/>
          <w:sz w:val="20"/>
          <w:szCs w:val="20"/>
        </w:rPr>
      </w:pPr>
      <w:r w:rsidRPr="003A5826">
        <w:rPr>
          <w:rFonts w:ascii="Arial" w:hAnsi="Arial" w:cs="Arial"/>
          <w:sz w:val="20"/>
          <w:szCs w:val="20"/>
        </w:rPr>
        <w:t xml:space="preserve">If a patient has been receiving opioid-containing medications prior to taking </w:t>
      </w:r>
      <w:proofErr w:type="spellStart"/>
      <w:r w:rsidR="0022610B">
        <w:rPr>
          <w:rFonts w:ascii="Arial" w:hAnsi="Arial" w:cs="Arial"/>
          <w:sz w:val="20"/>
          <w:szCs w:val="20"/>
        </w:rPr>
        <w:t>Oxaydo</w:t>
      </w:r>
      <w:proofErr w:type="spellEnd"/>
      <w:r w:rsidR="0022610B" w:rsidRPr="00B031E9">
        <w:rPr>
          <w:rFonts w:ascii="Arial" w:hAnsi="Arial" w:cs="Arial"/>
          <w:sz w:val="20"/>
          <w:szCs w:val="20"/>
          <w:vertAlign w:val="superscript"/>
        </w:rPr>
        <w:t>®</w:t>
      </w:r>
      <w:r w:rsidR="0022610B">
        <w:rPr>
          <w:rFonts w:ascii="Arial" w:hAnsi="Arial" w:cs="Arial"/>
          <w:sz w:val="20"/>
          <w:szCs w:val="20"/>
        </w:rPr>
        <w:t xml:space="preserve"> (oxycodone </w:t>
      </w:r>
      <w:proofErr w:type="spellStart"/>
      <w:r w:rsidR="0022610B">
        <w:rPr>
          <w:rFonts w:ascii="Arial" w:hAnsi="Arial" w:cs="Arial"/>
          <w:sz w:val="20"/>
          <w:szCs w:val="20"/>
        </w:rPr>
        <w:t>HCl</w:t>
      </w:r>
      <w:proofErr w:type="spellEnd"/>
      <w:r w:rsidR="0022610B" w:rsidRPr="0062206A">
        <w:rPr>
          <w:rFonts w:ascii="Arial" w:hAnsi="Arial" w:cs="Arial"/>
          <w:sz w:val="20"/>
          <w:szCs w:val="20"/>
        </w:rPr>
        <w:t>)</w:t>
      </w:r>
      <w:r w:rsidR="0022610B" w:rsidRPr="003A5826">
        <w:rPr>
          <w:rFonts w:ascii="Arial" w:hAnsi="Arial" w:cs="Arial"/>
          <w:sz w:val="20"/>
          <w:szCs w:val="20"/>
        </w:rPr>
        <w:t xml:space="preserve">, </w:t>
      </w:r>
      <w:r w:rsidRPr="003A5826">
        <w:rPr>
          <w:rFonts w:ascii="Arial" w:hAnsi="Arial" w:cs="Arial"/>
          <w:sz w:val="20"/>
          <w:szCs w:val="20"/>
        </w:rPr>
        <w:t>factor the potency of the prior opioid relative to oxycodone</w:t>
      </w:r>
      <w:r w:rsidR="002A40AC" w:rsidRPr="002A40AC">
        <w:rPr>
          <w:rFonts w:ascii="Arial" w:hAnsi="Arial" w:cs="Arial"/>
          <w:sz w:val="20"/>
          <w:szCs w:val="20"/>
        </w:rPr>
        <w:t xml:space="preserve"> </w:t>
      </w:r>
      <w:r w:rsidR="002A40AC">
        <w:rPr>
          <w:rFonts w:ascii="Arial" w:hAnsi="Arial" w:cs="Arial"/>
          <w:sz w:val="20"/>
          <w:szCs w:val="20"/>
        </w:rPr>
        <w:t>HCl</w:t>
      </w:r>
      <w:r w:rsidRPr="003A5826">
        <w:rPr>
          <w:rFonts w:ascii="Arial" w:hAnsi="Arial" w:cs="Arial"/>
          <w:sz w:val="20"/>
          <w:szCs w:val="20"/>
        </w:rPr>
        <w:t xml:space="preserve"> into the selection of the total daily dose of oxycodone</w:t>
      </w:r>
      <w:r w:rsidR="002A40AC" w:rsidRPr="002A40AC">
        <w:rPr>
          <w:rFonts w:ascii="Arial" w:hAnsi="Arial" w:cs="Arial"/>
          <w:sz w:val="20"/>
          <w:szCs w:val="20"/>
        </w:rPr>
        <w:t xml:space="preserve"> </w:t>
      </w:r>
      <w:r w:rsidR="002A40AC">
        <w:rPr>
          <w:rFonts w:ascii="Arial" w:hAnsi="Arial" w:cs="Arial"/>
          <w:sz w:val="20"/>
          <w:szCs w:val="20"/>
        </w:rPr>
        <w:t>HCl</w:t>
      </w:r>
      <w:r w:rsidRPr="003A5826">
        <w:rPr>
          <w:rFonts w:ascii="Arial" w:hAnsi="Arial" w:cs="Arial"/>
          <w:sz w:val="20"/>
          <w:szCs w:val="20"/>
        </w:rPr>
        <w:t>.</w:t>
      </w:r>
    </w:p>
    <w:p w:rsidR="002A40AC" w:rsidRPr="003A5826" w:rsidRDefault="002A40AC" w:rsidP="002A40AC">
      <w:pPr>
        <w:pStyle w:val="NormalWeb"/>
        <w:spacing w:before="0" w:beforeAutospacing="0" w:after="0" w:afterAutospacing="0"/>
        <w:rPr>
          <w:rFonts w:ascii="Arial" w:hAnsi="Arial" w:cs="Arial"/>
          <w:sz w:val="20"/>
          <w:szCs w:val="20"/>
        </w:rPr>
      </w:pPr>
    </w:p>
    <w:p w:rsidR="003A5826" w:rsidRPr="003A5826" w:rsidRDefault="003A5826" w:rsidP="002A40AC">
      <w:pPr>
        <w:pStyle w:val="NormalWeb"/>
        <w:spacing w:before="0" w:beforeAutospacing="0" w:after="0" w:afterAutospacing="0"/>
        <w:rPr>
          <w:rFonts w:ascii="Arial" w:hAnsi="Arial" w:cs="Arial"/>
          <w:sz w:val="20"/>
          <w:szCs w:val="20"/>
        </w:rPr>
      </w:pPr>
      <w:r w:rsidRPr="003A5826">
        <w:rPr>
          <w:rFonts w:ascii="Arial" w:hAnsi="Arial" w:cs="Arial"/>
          <w:sz w:val="20"/>
          <w:szCs w:val="20"/>
        </w:rPr>
        <w:t xml:space="preserve">In converting patients from other opioids to </w:t>
      </w:r>
      <w:proofErr w:type="spellStart"/>
      <w:r w:rsidR="0022610B">
        <w:rPr>
          <w:rFonts w:ascii="Arial" w:hAnsi="Arial" w:cs="Arial"/>
          <w:sz w:val="20"/>
          <w:szCs w:val="20"/>
        </w:rPr>
        <w:t>Oxaydo</w:t>
      </w:r>
      <w:proofErr w:type="spellEnd"/>
      <w:r w:rsidR="0022610B" w:rsidRPr="00B031E9">
        <w:rPr>
          <w:rFonts w:ascii="Arial" w:hAnsi="Arial" w:cs="Arial"/>
          <w:sz w:val="20"/>
          <w:szCs w:val="20"/>
          <w:vertAlign w:val="superscript"/>
        </w:rPr>
        <w:t>®</w:t>
      </w:r>
      <w:r w:rsidR="0022610B">
        <w:rPr>
          <w:rFonts w:ascii="Arial" w:hAnsi="Arial" w:cs="Arial"/>
          <w:sz w:val="20"/>
          <w:szCs w:val="20"/>
        </w:rPr>
        <w:t xml:space="preserve"> (oxycodone </w:t>
      </w:r>
      <w:proofErr w:type="spellStart"/>
      <w:r w:rsidR="0022610B">
        <w:rPr>
          <w:rFonts w:ascii="Arial" w:hAnsi="Arial" w:cs="Arial"/>
          <w:sz w:val="20"/>
          <w:szCs w:val="20"/>
        </w:rPr>
        <w:t>HCl</w:t>
      </w:r>
      <w:proofErr w:type="spellEnd"/>
      <w:r w:rsidR="0022610B" w:rsidRPr="0062206A">
        <w:rPr>
          <w:rFonts w:ascii="Arial" w:hAnsi="Arial" w:cs="Arial"/>
          <w:sz w:val="20"/>
          <w:szCs w:val="20"/>
        </w:rPr>
        <w:t>)</w:t>
      </w:r>
      <w:r w:rsidR="0022610B" w:rsidRPr="003A5826">
        <w:rPr>
          <w:rFonts w:ascii="Arial" w:hAnsi="Arial" w:cs="Arial"/>
          <w:sz w:val="20"/>
          <w:szCs w:val="20"/>
        </w:rPr>
        <w:t>, close</w:t>
      </w:r>
      <w:r w:rsidRPr="003A5826">
        <w:rPr>
          <w:rFonts w:ascii="Arial" w:hAnsi="Arial" w:cs="Arial"/>
          <w:sz w:val="20"/>
          <w:szCs w:val="20"/>
        </w:rPr>
        <w:t xml:space="preserve"> observation and adjustment of dosage based upon t</w:t>
      </w:r>
      <w:r w:rsidR="0022610B">
        <w:rPr>
          <w:rFonts w:ascii="Arial" w:hAnsi="Arial" w:cs="Arial"/>
          <w:sz w:val="20"/>
          <w:szCs w:val="20"/>
        </w:rPr>
        <w:t xml:space="preserve">he patient's response to </w:t>
      </w:r>
      <w:r w:rsidRPr="003A5826">
        <w:rPr>
          <w:rFonts w:ascii="Arial" w:hAnsi="Arial" w:cs="Arial"/>
          <w:sz w:val="20"/>
          <w:szCs w:val="20"/>
        </w:rPr>
        <w:t xml:space="preserve">is </w:t>
      </w:r>
      <w:r w:rsidR="0022610B">
        <w:rPr>
          <w:rFonts w:ascii="Arial" w:hAnsi="Arial" w:cs="Arial"/>
          <w:sz w:val="20"/>
          <w:szCs w:val="20"/>
        </w:rPr>
        <w:t>necessary</w:t>
      </w:r>
      <w:r w:rsidRPr="003A5826">
        <w:rPr>
          <w:rFonts w:ascii="Arial" w:hAnsi="Arial" w:cs="Arial"/>
          <w:sz w:val="20"/>
          <w:szCs w:val="20"/>
        </w:rPr>
        <w:t>.</w:t>
      </w:r>
    </w:p>
    <w:p w:rsidR="002A40AC" w:rsidRDefault="002A40AC" w:rsidP="003A5826">
      <w:pPr>
        <w:pStyle w:val="NormalWeb"/>
        <w:spacing w:before="0" w:beforeAutospacing="0" w:after="0" w:afterAutospacing="0"/>
        <w:rPr>
          <w:rFonts w:ascii="Arial" w:hAnsi="Arial" w:cs="Arial"/>
          <w:sz w:val="20"/>
          <w:szCs w:val="20"/>
          <w:u w:val="single"/>
        </w:rPr>
      </w:pPr>
    </w:p>
    <w:p w:rsidR="003A5826" w:rsidRDefault="0022610B" w:rsidP="003A5826">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Maintenance of Therapy:</w:t>
      </w:r>
    </w:p>
    <w:p w:rsidR="0022610B" w:rsidRDefault="0022610B" w:rsidP="0022610B">
      <w:pPr>
        <w:pStyle w:val="first"/>
        <w:spacing w:before="0" w:beforeAutospacing="0" w:after="0" w:afterAutospacing="0"/>
        <w:rPr>
          <w:rFonts w:ascii="Arial" w:hAnsi="Arial" w:cs="Arial"/>
          <w:sz w:val="20"/>
          <w:szCs w:val="20"/>
        </w:rPr>
      </w:pPr>
      <w:r w:rsidRPr="0022610B">
        <w:rPr>
          <w:rFonts w:ascii="Arial" w:hAnsi="Arial" w:cs="Arial"/>
          <w:sz w:val="20"/>
          <w:szCs w:val="20"/>
        </w:rPr>
        <w:t xml:space="preserve">Continual re-evaluation of the patient receiving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w:t>
      </w:r>
      <w:r w:rsidRPr="0022610B">
        <w:rPr>
          <w:rFonts w:ascii="Arial" w:hAnsi="Arial" w:cs="Arial"/>
          <w:sz w:val="20"/>
          <w:szCs w:val="20"/>
        </w:rPr>
        <w:t xml:space="preserve"> is important, with special attention to the maintenance of pain management and the relative incidence of adverse reactions associated with therapy. If the level of pain increases, effort</w:t>
      </w:r>
      <w:r>
        <w:rPr>
          <w:rFonts w:ascii="Arial" w:hAnsi="Arial" w:cs="Arial"/>
          <w:sz w:val="20"/>
          <w:szCs w:val="20"/>
        </w:rPr>
        <w:t>s</w:t>
      </w:r>
      <w:r w:rsidRPr="0022610B">
        <w:rPr>
          <w:rFonts w:ascii="Arial" w:hAnsi="Arial" w:cs="Arial"/>
          <w:sz w:val="20"/>
          <w:szCs w:val="20"/>
        </w:rPr>
        <w:t xml:space="preserve"> should be made to identify the source of the increased pain, while adjusting the dose as described above to decrease the level of pain.</w:t>
      </w:r>
    </w:p>
    <w:p w:rsidR="0022610B" w:rsidRPr="0022610B" w:rsidRDefault="0022610B" w:rsidP="0022610B">
      <w:pPr>
        <w:pStyle w:val="first"/>
        <w:spacing w:before="0" w:beforeAutospacing="0" w:after="0" w:afterAutospacing="0"/>
        <w:rPr>
          <w:rFonts w:ascii="Arial" w:hAnsi="Arial" w:cs="Arial"/>
          <w:sz w:val="20"/>
          <w:szCs w:val="20"/>
        </w:rPr>
      </w:pPr>
    </w:p>
    <w:p w:rsidR="0022610B" w:rsidRPr="0022610B" w:rsidRDefault="0022610B" w:rsidP="0022610B">
      <w:pPr>
        <w:pStyle w:val="NormalWeb"/>
        <w:spacing w:before="0" w:beforeAutospacing="0" w:after="0" w:afterAutospacing="0"/>
        <w:rPr>
          <w:rFonts w:ascii="Arial" w:hAnsi="Arial" w:cs="Arial"/>
          <w:sz w:val="20"/>
          <w:szCs w:val="20"/>
        </w:rPr>
      </w:pPr>
      <w:r w:rsidRPr="0022610B">
        <w:rPr>
          <w:rFonts w:ascii="Arial" w:hAnsi="Arial" w:cs="Arial"/>
          <w:sz w:val="20"/>
          <w:szCs w:val="20"/>
        </w:rPr>
        <w:t>During chronic therapy, especially for non-cancer-related pain (or pain associated with other terminal illnesses), the continued need for the use of opioid analgesics must be re-assessed as appropriate.</w:t>
      </w:r>
    </w:p>
    <w:p w:rsidR="0022610B" w:rsidRDefault="0022610B" w:rsidP="003A5826">
      <w:pPr>
        <w:pStyle w:val="NormalWeb"/>
        <w:spacing w:before="0" w:beforeAutospacing="0" w:after="0" w:afterAutospacing="0"/>
        <w:rPr>
          <w:rFonts w:ascii="Arial" w:hAnsi="Arial" w:cs="Arial"/>
          <w:sz w:val="20"/>
          <w:szCs w:val="20"/>
          <w:u w:val="single"/>
        </w:rPr>
      </w:pPr>
    </w:p>
    <w:p w:rsidR="0050546F" w:rsidRPr="0022610B" w:rsidRDefault="0050546F" w:rsidP="0022610B">
      <w:pPr>
        <w:pStyle w:val="NormalWeb"/>
        <w:spacing w:before="0" w:beforeAutospacing="0" w:after="0" w:afterAutospacing="0"/>
        <w:rPr>
          <w:rFonts w:ascii="Arial" w:hAnsi="Arial" w:cs="Arial"/>
          <w:sz w:val="20"/>
          <w:szCs w:val="20"/>
          <w:u w:val="single"/>
        </w:rPr>
      </w:pPr>
      <w:r w:rsidRPr="0050546F">
        <w:rPr>
          <w:rFonts w:ascii="Arial" w:hAnsi="Arial" w:cs="Arial"/>
          <w:b/>
          <w:bCs/>
          <w:i/>
          <w:sz w:val="20"/>
          <w:szCs w:val="20"/>
        </w:rPr>
        <w:t>Hepatic Insufficiency</w:t>
      </w:r>
    </w:p>
    <w:p w:rsidR="003A5826" w:rsidRDefault="003A5826" w:rsidP="00C87D54">
      <w:pPr>
        <w:spacing w:after="0" w:line="240" w:lineRule="auto"/>
        <w:rPr>
          <w:rFonts w:ascii="Arial" w:hAnsi="Arial" w:cs="Arial"/>
          <w:sz w:val="20"/>
          <w:szCs w:val="20"/>
        </w:rPr>
      </w:pPr>
      <w:r w:rsidRPr="003A5826">
        <w:rPr>
          <w:rFonts w:ascii="Arial" w:hAnsi="Arial" w:cs="Arial"/>
          <w:sz w:val="20"/>
          <w:szCs w:val="20"/>
        </w:rPr>
        <w:t xml:space="preserve">Since oxycodone </w:t>
      </w:r>
      <w:r w:rsidR="00DE6D95">
        <w:rPr>
          <w:rFonts w:ascii="Arial" w:hAnsi="Arial" w:cs="Arial"/>
          <w:sz w:val="20"/>
          <w:szCs w:val="20"/>
        </w:rPr>
        <w:t xml:space="preserve">HCl </w:t>
      </w:r>
      <w:r w:rsidRPr="003A5826">
        <w:rPr>
          <w:rFonts w:ascii="Arial" w:hAnsi="Arial" w:cs="Arial"/>
          <w:sz w:val="20"/>
          <w:szCs w:val="20"/>
        </w:rPr>
        <w:t xml:space="preserve">is extensively metabolized in the liver, its clearance may decrease in patients with hepatic impairment. Dose initiation in such patients should follow </w:t>
      </w:r>
      <w:r>
        <w:rPr>
          <w:rFonts w:ascii="Arial" w:hAnsi="Arial" w:cs="Arial"/>
          <w:sz w:val="20"/>
          <w:szCs w:val="20"/>
        </w:rPr>
        <w:t>a conservative approach and dose adjustments should be made</w:t>
      </w:r>
      <w:r w:rsidRPr="003A5826">
        <w:rPr>
          <w:rFonts w:ascii="Arial" w:hAnsi="Arial" w:cs="Arial"/>
          <w:sz w:val="20"/>
          <w:szCs w:val="20"/>
        </w:rPr>
        <w:t xml:space="preserve"> according to the clinical situation</w:t>
      </w:r>
      <w:r>
        <w:rPr>
          <w:rFonts w:ascii="Arial" w:hAnsi="Arial" w:cs="Arial"/>
          <w:sz w:val="20"/>
          <w:szCs w:val="20"/>
        </w:rPr>
        <w:t>.</w:t>
      </w:r>
    </w:p>
    <w:p w:rsidR="003A5826" w:rsidRPr="003A5826" w:rsidRDefault="003A5826" w:rsidP="00C87D54">
      <w:pPr>
        <w:spacing w:after="0" w:line="240" w:lineRule="auto"/>
        <w:rPr>
          <w:rFonts w:ascii="Arial" w:hAnsi="Arial" w:cs="Arial"/>
          <w:bCs/>
          <w:sz w:val="20"/>
          <w:szCs w:val="20"/>
        </w:rPr>
      </w:pPr>
    </w:p>
    <w:p w:rsidR="00E54A1E" w:rsidRDefault="0050546F" w:rsidP="002A40AC">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Renal Insufficiency</w:t>
      </w:r>
    </w:p>
    <w:p w:rsidR="003A5826" w:rsidRPr="00E54A1E" w:rsidRDefault="003A5826" w:rsidP="002A40AC">
      <w:pPr>
        <w:spacing w:after="0" w:line="240" w:lineRule="auto"/>
        <w:outlineLvl w:val="1"/>
        <w:rPr>
          <w:rFonts w:ascii="Arial" w:hAnsi="Arial" w:cs="Arial"/>
          <w:b/>
          <w:i/>
          <w:sz w:val="20"/>
          <w:szCs w:val="20"/>
        </w:rPr>
      </w:pPr>
      <w:r w:rsidRPr="003A5826">
        <w:rPr>
          <w:rFonts w:ascii="Arial" w:hAnsi="Arial" w:cs="Arial"/>
          <w:sz w:val="20"/>
          <w:szCs w:val="20"/>
        </w:rPr>
        <w:lastRenderedPageBreak/>
        <w:t xml:space="preserve">Published data reported that elimination of oxycodone </w:t>
      </w:r>
      <w:r w:rsidR="002A40AC">
        <w:rPr>
          <w:rFonts w:ascii="Arial" w:hAnsi="Arial" w:cs="Arial"/>
          <w:sz w:val="20"/>
          <w:szCs w:val="20"/>
        </w:rPr>
        <w:t>HCl</w:t>
      </w:r>
      <w:r w:rsidR="002A40AC" w:rsidRPr="003A5826">
        <w:rPr>
          <w:rFonts w:ascii="Arial" w:hAnsi="Arial" w:cs="Arial"/>
          <w:sz w:val="20"/>
          <w:szCs w:val="20"/>
        </w:rPr>
        <w:t xml:space="preserve"> </w:t>
      </w:r>
      <w:r w:rsidRPr="003A5826">
        <w:rPr>
          <w:rFonts w:ascii="Arial" w:hAnsi="Arial" w:cs="Arial"/>
          <w:sz w:val="20"/>
          <w:szCs w:val="20"/>
        </w:rPr>
        <w:t>was impaired in patients with end-stage renal failure. The mean elimination half-life was prolonged in uremic patients due to increased volume of distribution and reduced clearance.</w:t>
      </w:r>
    </w:p>
    <w:p w:rsidR="002A40AC" w:rsidRPr="003A5826" w:rsidRDefault="002A40AC" w:rsidP="002A40AC">
      <w:pPr>
        <w:spacing w:after="0" w:line="240" w:lineRule="auto"/>
        <w:outlineLvl w:val="1"/>
        <w:rPr>
          <w:rFonts w:ascii="Arial" w:hAnsi="Arial" w:cs="Arial"/>
          <w:b/>
          <w:i/>
          <w:sz w:val="20"/>
          <w:szCs w:val="20"/>
        </w:rPr>
      </w:pPr>
    </w:p>
    <w:p w:rsidR="003A5826" w:rsidRDefault="003A5826" w:rsidP="002A40AC">
      <w:pPr>
        <w:pStyle w:val="NormalWeb"/>
        <w:spacing w:before="0" w:beforeAutospacing="0" w:after="0" w:afterAutospacing="0"/>
        <w:rPr>
          <w:rFonts w:ascii="Arial" w:hAnsi="Arial" w:cs="Arial"/>
          <w:sz w:val="20"/>
          <w:szCs w:val="20"/>
        </w:rPr>
      </w:pPr>
      <w:r w:rsidRPr="003A5826">
        <w:rPr>
          <w:rFonts w:ascii="Arial" w:hAnsi="Arial" w:cs="Arial"/>
          <w:sz w:val="20"/>
          <w:szCs w:val="20"/>
        </w:rPr>
        <w:t xml:space="preserve">Dose initiation in such patients should </w:t>
      </w:r>
      <w:r>
        <w:rPr>
          <w:rFonts w:ascii="Arial" w:hAnsi="Arial" w:cs="Arial"/>
          <w:sz w:val="20"/>
          <w:szCs w:val="20"/>
        </w:rPr>
        <w:t xml:space="preserve">follow a conservative approach and dose adjustments should be made </w:t>
      </w:r>
      <w:r w:rsidRPr="003A5826">
        <w:rPr>
          <w:rFonts w:ascii="Arial" w:hAnsi="Arial" w:cs="Arial"/>
          <w:sz w:val="20"/>
          <w:szCs w:val="20"/>
        </w:rPr>
        <w:t>acco</w:t>
      </w:r>
      <w:r>
        <w:rPr>
          <w:rFonts w:ascii="Arial" w:hAnsi="Arial" w:cs="Arial"/>
          <w:sz w:val="20"/>
          <w:szCs w:val="20"/>
        </w:rPr>
        <w:t>rding to the clinical situation.</w:t>
      </w:r>
    </w:p>
    <w:p w:rsidR="002A40AC" w:rsidRPr="003A5826" w:rsidRDefault="002A40AC" w:rsidP="002A40AC">
      <w:pPr>
        <w:pStyle w:val="NormalWeb"/>
        <w:spacing w:before="0" w:beforeAutospacing="0" w:after="0" w:afterAutospacing="0"/>
        <w:rPr>
          <w:rFonts w:ascii="Arial" w:hAnsi="Arial" w:cs="Arial"/>
          <w:sz w:val="20"/>
          <w:szCs w:val="20"/>
        </w:rPr>
      </w:pPr>
    </w:p>
    <w:p w:rsidR="00904D3C" w:rsidRDefault="00904D3C" w:rsidP="006A7529">
      <w:pPr>
        <w:spacing w:after="0" w:line="240" w:lineRule="auto"/>
        <w:outlineLvl w:val="1"/>
        <w:rPr>
          <w:rFonts w:ascii="Arial" w:hAnsi="Arial" w:cs="Arial"/>
          <w:b/>
          <w:i/>
          <w:sz w:val="20"/>
          <w:szCs w:val="20"/>
        </w:rPr>
      </w:pPr>
      <w:r w:rsidRPr="00904D3C">
        <w:rPr>
          <w:rFonts w:ascii="Arial" w:hAnsi="Arial" w:cs="Arial"/>
          <w:b/>
          <w:i/>
          <w:sz w:val="20"/>
          <w:szCs w:val="20"/>
        </w:rPr>
        <w:t>Geriatric Patients</w:t>
      </w:r>
    </w:p>
    <w:p w:rsidR="00904D3C" w:rsidRDefault="003A5826" w:rsidP="006A7529">
      <w:pPr>
        <w:spacing w:after="0" w:line="240" w:lineRule="auto"/>
        <w:outlineLvl w:val="1"/>
        <w:rPr>
          <w:rFonts w:ascii="Arial" w:hAnsi="Arial" w:cs="Arial"/>
          <w:sz w:val="20"/>
          <w:szCs w:val="20"/>
        </w:rPr>
      </w:pPr>
      <w:r w:rsidRPr="003A5826">
        <w:rPr>
          <w:rFonts w:ascii="Arial" w:hAnsi="Arial" w:cs="Arial"/>
          <w:sz w:val="20"/>
          <w:szCs w:val="20"/>
        </w:rPr>
        <w:t xml:space="preserve">Elderly patients (aged 65 years or older) may have increased sensitivity to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Pr>
          <w:rFonts w:ascii="Arial" w:hAnsi="Arial" w:cs="Arial"/>
          <w:sz w:val="20"/>
          <w:szCs w:val="20"/>
        </w:rPr>
        <w:t>)</w:t>
      </w:r>
      <w:r w:rsidRPr="003A5826">
        <w:rPr>
          <w:rFonts w:ascii="Arial" w:hAnsi="Arial" w:cs="Arial"/>
          <w:sz w:val="20"/>
          <w:szCs w:val="20"/>
        </w:rPr>
        <w:t>. Use caution when selecting a dose for an elderly patient, usually starting at the low end of the dosing range, reflecting the greater frequency of decreased hepatic, renal, or cardiac function, concomitant disease, and use of other drug therapy.</w:t>
      </w:r>
    </w:p>
    <w:p w:rsidR="003A5826" w:rsidRPr="003A5826" w:rsidRDefault="003A5826" w:rsidP="006A7529">
      <w:pPr>
        <w:spacing w:after="0" w:line="240" w:lineRule="auto"/>
        <w:outlineLvl w:val="1"/>
        <w:rPr>
          <w:rStyle w:val="xmchange"/>
          <w:rFonts w:ascii="Arial" w:hAnsi="Arial" w:cs="Arial"/>
          <w:sz w:val="20"/>
          <w:szCs w:val="20"/>
        </w:rPr>
      </w:pPr>
    </w:p>
    <w:p w:rsidR="0050546F" w:rsidRPr="0050546F" w:rsidRDefault="0050546F" w:rsidP="006A7529">
      <w:pPr>
        <w:spacing w:after="0" w:line="240" w:lineRule="auto"/>
        <w:outlineLvl w:val="1"/>
        <w:rPr>
          <w:rStyle w:val="xmchange"/>
          <w:rFonts w:ascii="Arial" w:hAnsi="Arial" w:cs="Arial"/>
          <w:b/>
          <w:i/>
          <w:sz w:val="20"/>
          <w:szCs w:val="20"/>
        </w:rPr>
      </w:pPr>
      <w:r w:rsidRPr="0050546F">
        <w:rPr>
          <w:rStyle w:val="xmchange"/>
          <w:rFonts w:ascii="Arial" w:hAnsi="Arial" w:cs="Arial"/>
          <w:b/>
          <w:i/>
          <w:sz w:val="20"/>
          <w:szCs w:val="20"/>
        </w:rPr>
        <w:t>Special considerations</w:t>
      </w:r>
    </w:p>
    <w:p w:rsidR="00B82BF2" w:rsidRDefault="003A5826" w:rsidP="00B82BF2">
      <w:pPr>
        <w:pStyle w:val="NoSpacing"/>
        <w:rPr>
          <w:rFonts w:ascii="Arial" w:hAnsi="Arial" w:cs="Arial"/>
          <w:sz w:val="20"/>
          <w:szCs w:val="20"/>
        </w:rPr>
      </w:pP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 xml:space="preserve">) </w:t>
      </w:r>
      <w:r w:rsidRPr="003A5826">
        <w:rPr>
          <w:rFonts w:ascii="Arial" w:hAnsi="Arial" w:cs="Arial"/>
          <w:sz w:val="20"/>
          <w:szCs w:val="20"/>
        </w:rPr>
        <w:t>must be sw</w:t>
      </w:r>
      <w:r>
        <w:rPr>
          <w:rFonts w:ascii="Arial" w:hAnsi="Arial" w:cs="Arial"/>
          <w:sz w:val="20"/>
          <w:szCs w:val="20"/>
        </w:rPr>
        <w:t xml:space="preserve">allowed whole </w:t>
      </w:r>
      <w:r w:rsidRPr="003A5826">
        <w:rPr>
          <w:rFonts w:ascii="Arial" w:hAnsi="Arial" w:cs="Arial"/>
          <w:sz w:val="20"/>
          <w:szCs w:val="20"/>
        </w:rPr>
        <w:t>with enough water to ensure complete swallowing immedia</w:t>
      </w:r>
      <w:r>
        <w:rPr>
          <w:rFonts w:ascii="Arial" w:hAnsi="Arial" w:cs="Arial"/>
          <w:sz w:val="20"/>
          <w:szCs w:val="20"/>
        </w:rPr>
        <w:t>tely after placing in the mouth</w:t>
      </w:r>
      <w:r w:rsidRPr="003A5826">
        <w:rPr>
          <w:rFonts w:ascii="Arial" w:hAnsi="Arial" w:cs="Arial"/>
          <w:sz w:val="20"/>
          <w:szCs w:val="20"/>
        </w:rPr>
        <w:t xml:space="preserve">. </w:t>
      </w:r>
      <w:r>
        <w:rPr>
          <w:rFonts w:ascii="Arial" w:hAnsi="Arial" w:cs="Arial"/>
          <w:sz w:val="20"/>
          <w:szCs w:val="20"/>
        </w:rPr>
        <w:t>This agent should not be crushed or</w:t>
      </w:r>
      <w:r w:rsidRPr="003A5826">
        <w:rPr>
          <w:rFonts w:ascii="Arial" w:hAnsi="Arial" w:cs="Arial"/>
          <w:sz w:val="20"/>
          <w:szCs w:val="20"/>
        </w:rPr>
        <w:t xml:space="preserve"> administer</w:t>
      </w:r>
      <w:r>
        <w:rPr>
          <w:rFonts w:ascii="Arial" w:hAnsi="Arial" w:cs="Arial"/>
          <w:sz w:val="20"/>
          <w:szCs w:val="20"/>
        </w:rPr>
        <w:t xml:space="preserve">ed </w:t>
      </w:r>
      <w:r w:rsidRPr="003A5826">
        <w:rPr>
          <w:rFonts w:ascii="Arial" w:hAnsi="Arial" w:cs="Arial"/>
          <w:sz w:val="20"/>
          <w:szCs w:val="20"/>
        </w:rPr>
        <w:t>via nasogastric, gastric or other feeding tubes as it may cause obstruction of feeding tubes.</w:t>
      </w:r>
      <w:r w:rsidR="00B82BF2" w:rsidRPr="00B82BF2">
        <w:rPr>
          <w:rFonts w:ascii="Arial" w:hAnsi="Arial" w:cs="Arial"/>
          <w:sz w:val="20"/>
          <w:szCs w:val="20"/>
        </w:rPr>
        <w:t xml:space="preserve"> </w:t>
      </w:r>
      <w:r w:rsidR="00B82BF2">
        <w:rPr>
          <w:rFonts w:ascii="Arial" w:hAnsi="Arial" w:cs="Arial"/>
          <w:sz w:val="20"/>
          <w:szCs w:val="20"/>
        </w:rPr>
        <w:t xml:space="preserve">This product can be taken with or without food. </w:t>
      </w:r>
    </w:p>
    <w:p w:rsidR="003A5826" w:rsidRDefault="003A5826" w:rsidP="00567499">
      <w:pPr>
        <w:pStyle w:val="NoSpacing"/>
        <w:rPr>
          <w:rFonts w:ascii="Arial" w:hAnsi="Arial" w:cs="Arial"/>
          <w:b/>
          <w:sz w:val="20"/>
          <w:szCs w:val="20"/>
          <w:u w:val="single"/>
        </w:rPr>
      </w:pPr>
    </w:p>
    <w:p w:rsidR="0022610B" w:rsidRDefault="0022610B" w:rsidP="00567499">
      <w:pPr>
        <w:pStyle w:val="NoSpacing"/>
        <w:rPr>
          <w:rFonts w:ascii="Arial" w:hAnsi="Arial" w:cs="Arial"/>
          <w:sz w:val="20"/>
          <w:szCs w:val="20"/>
          <w:u w:val="single"/>
        </w:rPr>
      </w:pPr>
      <w:r w:rsidRPr="0022610B">
        <w:rPr>
          <w:rFonts w:ascii="Arial" w:hAnsi="Arial" w:cs="Arial"/>
          <w:sz w:val="20"/>
          <w:szCs w:val="20"/>
          <w:u w:val="single"/>
        </w:rPr>
        <w:t>Discontinuation of Therapy:</w:t>
      </w:r>
    </w:p>
    <w:p w:rsidR="0022610B" w:rsidRDefault="0022610B" w:rsidP="00567499">
      <w:pPr>
        <w:pStyle w:val="NoSpacing"/>
        <w:rPr>
          <w:rFonts w:ascii="Arial" w:hAnsi="Arial" w:cs="Arial"/>
          <w:sz w:val="20"/>
          <w:szCs w:val="20"/>
        </w:rPr>
      </w:pPr>
      <w:r>
        <w:rPr>
          <w:rFonts w:ascii="Arial" w:hAnsi="Arial" w:cs="Arial"/>
          <w:sz w:val="20"/>
          <w:szCs w:val="20"/>
        </w:rPr>
        <w:t xml:space="preserve">When the decision is made to discontinue therapy, it is important to gradually taper the </w:t>
      </w:r>
      <w:proofErr w:type="spellStart"/>
      <w:r>
        <w:rPr>
          <w:rFonts w:ascii="Arial" w:hAnsi="Arial" w:cs="Arial"/>
          <w:sz w:val="20"/>
          <w:szCs w:val="20"/>
        </w:rPr>
        <w:t>Oxaydo</w:t>
      </w:r>
      <w:proofErr w:type="spellEnd"/>
      <w:r w:rsidRPr="00B031E9">
        <w:rPr>
          <w:rFonts w:ascii="Arial" w:hAnsi="Arial" w:cs="Arial"/>
          <w:sz w:val="20"/>
          <w:szCs w:val="20"/>
          <w:vertAlign w:val="superscript"/>
        </w:rPr>
        <w:t>®</w:t>
      </w:r>
      <w:r>
        <w:rPr>
          <w:rFonts w:ascii="Arial" w:hAnsi="Arial" w:cs="Arial"/>
          <w:sz w:val="20"/>
          <w:szCs w:val="20"/>
        </w:rPr>
        <w:t xml:space="preserve"> (oxycodone </w:t>
      </w:r>
      <w:proofErr w:type="spellStart"/>
      <w:r>
        <w:rPr>
          <w:rFonts w:ascii="Arial" w:hAnsi="Arial" w:cs="Arial"/>
          <w:sz w:val="20"/>
          <w:szCs w:val="20"/>
        </w:rPr>
        <w:t>HCl</w:t>
      </w:r>
      <w:proofErr w:type="spellEnd"/>
      <w:r w:rsidRPr="0062206A">
        <w:rPr>
          <w:rFonts w:ascii="Arial" w:hAnsi="Arial" w:cs="Arial"/>
          <w:sz w:val="20"/>
          <w:szCs w:val="20"/>
        </w:rPr>
        <w:t xml:space="preserve">) </w:t>
      </w:r>
      <w:r w:rsidRPr="0022610B">
        <w:rPr>
          <w:rFonts w:ascii="Arial" w:hAnsi="Arial" w:cs="Arial"/>
          <w:sz w:val="20"/>
          <w:szCs w:val="20"/>
        </w:rPr>
        <w:t>over time to prevent the development of an opioid abstinence syndrome (narcotic withdrawal). In general, therapy can be decreased by 25 to 50% per day with careful monitoring for s</w:t>
      </w:r>
      <w:r>
        <w:rPr>
          <w:rFonts w:ascii="Arial" w:hAnsi="Arial" w:cs="Arial"/>
          <w:sz w:val="20"/>
          <w:szCs w:val="20"/>
        </w:rPr>
        <w:t>igns and symptoms of withdrawal.</w:t>
      </w:r>
      <w:r w:rsidRPr="0022610B">
        <w:rPr>
          <w:rFonts w:ascii="Arial" w:hAnsi="Arial" w:cs="Arial"/>
          <w:sz w:val="20"/>
          <w:szCs w:val="20"/>
        </w:rPr>
        <w:t xml:space="preserve"> If the patient develops these signs or symptoms, the dose should be raised to the previous level and tapered more slowly, either by increasing the interval between decreases, decreasing the amount of change in dose, or both. </w:t>
      </w:r>
    </w:p>
    <w:p w:rsidR="0022610B" w:rsidRDefault="0022610B" w:rsidP="00567499">
      <w:pPr>
        <w:pStyle w:val="NoSpacing"/>
        <w:rPr>
          <w:rFonts w:ascii="Arial" w:hAnsi="Arial" w:cs="Arial"/>
          <w:sz w:val="20"/>
          <w:szCs w:val="20"/>
        </w:rPr>
      </w:pPr>
    </w:p>
    <w:p w:rsidR="00567499" w:rsidRPr="0044122B" w:rsidRDefault="00567499" w:rsidP="00567499">
      <w:pPr>
        <w:pStyle w:val="NoSpacing"/>
        <w:rPr>
          <w:rFonts w:ascii="Arial" w:hAnsi="Arial" w:cs="Arial"/>
          <w:b/>
          <w:sz w:val="20"/>
          <w:szCs w:val="20"/>
          <w:u w:val="single"/>
        </w:rPr>
      </w:pPr>
      <w:r w:rsidRPr="0044122B">
        <w:rPr>
          <w:rFonts w:ascii="Arial" w:hAnsi="Arial" w:cs="Arial"/>
          <w:b/>
          <w:sz w:val="20"/>
          <w:szCs w:val="20"/>
          <w:u w:val="single"/>
        </w:rPr>
        <w:t>Precautions</w:t>
      </w:r>
    </w:p>
    <w:p w:rsidR="00567499" w:rsidRPr="0039107C" w:rsidRDefault="00567499" w:rsidP="00567499">
      <w:pPr>
        <w:pStyle w:val="NoSpacing"/>
        <w:rPr>
          <w:rFonts w:ascii="Arial" w:hAnsi="Arial" w:cs="Arial"/>
          <w:color w:val="FF0000"/>
          <w:sz w:val="20"/>
          <w:szCs w:val="20"/>
        </w:rPr>
      </w:pPr>
    </w:p>
    <w:p w:rsidR="00567499" w:rsidRPr="0039107C" w:rsidRDefault="00567499" w:rsidP="00567499">
      <w:pPr>
        <w:pStyle w:val="NoSpacing"/>
        <w:rPr>
          <w:rFonts w:ascii="Arial" w:hAnsi="Arial" w:cs="Arial"/>
          <w:color w:val="FF0000"/>
          <w:sz w:val="20"/>
          <w:szCs w:val="20"/>
        </w:rPr>
      </w:pPr>
      <w:r w:rsidRPr="00C51FFB">
        <w:rPr>
          <w:rFonts w:ascii="Arial" w:hAnsi="Arial" w:cs="Arial"/>
          <w:b/>
          <w:sz w:val="20"/>
          <w:szCs w:val="20"/>
        </w:rPr>
        <w:t xml:space="preserve">Table </w:t>
      </w:r>
      <w:r w:rsidR="002A40AC">
        <w:rPr>
          <w:rFonts w:ascii="Arial" w:hAnsi="Arial" w:cs="Arial"/>
          <w:b/>
          <w:sz w:val="20"/>
          <w:szCs w:val="20"/>
        </w:rPr>
        <w:t>5</w:t>
      </w:r>
      <w:r w:rsidRPr="00C51FFB">
        <w:rPr>
          <w:rFonts w:ascii="Arial" w:hAnsi="Arial" w:cs="Arial"/>
          <w:b/>
          <w:sz w:val="20"/>
          <w:szCs w:val="20"/>
        </w:rPr>
        <w:t xml:space="preserve">. </w:t>
      </w:r>
      <w:r w:rsidR="00371DE3">
        <w:rPr>
          <w:rFonts w:ascii="Arial" w:hAnsi="Arial" w:cs="Arial"/>
          <w:b/>
          <w:sz w:val="20"/>
          <w:szCs w:val="20"/>
        </w:rPr>
        <w:t>Warning</w:t>
      </w:r>
      <w:r w:rsidR="00B024FE">
        <w:rPr>
          <w:rFonts w:ascii="Arial" w:hAnsi="Arial" w:cs="Arial"/>
          <w:b/>
          <w:sz w:val="20"/>
          <w:szCs w:val="20"/>
        </w:rPr>
        <w:t>s</w:t>
      </w:r>
      <w:r w:rsidR="00371DE3">
        <w:rPr>
          <w:rFonts w:ascii="Arial" w:hAnsi="Arial" w:cs="Arial"/>
          <w:b/>
          <w:sz w:val="20"/>
          <w:szCs w:val="20"/>
        </w:rPr>
        <w:t>/</w:t>
      </w:r>
      <w:r w:rsidRPr="0061380F">
        <w:rPr>
          <w:rFonts w:ascii="Arial" w:hAnsi="Arial" w:cs="Arial"/>
          <w:b/>
          <w:sz w:val="20"/>
          <w:szCs w:val="20"/>
        </w:rPr>
        <w:t>Precautions</w:t>
      </w:r>
      <w:r w:rsidR="004B299E">
        <w:rPr>
          <w:rFonts w:ascii="Arial" w:hAnsi="Arial" w:cs="Arial"/>
          <w:b/>
          <w:sz w:val="20"/>
          <w:szCs w:val="20"/>
          <w:vertAlign w:val="superscript"/>
        </w:rPr>
        <w:t>1,2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E17FBF" w:rsidRPr="001836E5" w:rsidTr="00286ACE">
        <w:tc>
          <w:tcPr>
            <w:tcW w:w="1890" w:type="dxa"/>
            <w:vMerge w:val="restart"/>
            <w:shd w:val="clear" w:color="auto" w:fill="BFBFBF" w:themeFill="background1" w:themeFillShade="BF"/>
          </w:tcPr>
          <w:p w:rsidR="00E17FBF" w:rsidRPr="00B024FE" w:rsidRDefault="00E17FBF" w:rsidP="001836E5">
            <w:pPr>
              <w:spacing w:after="0" w:line="240" w:lineRule="auto"/>
              <w:rPr>
                <w:rFonts w:ascii="Arial" w:hAnsi="Arial" w:cs="Arial"/>
                <w:b/>
                <w:sz w:val="20"/>
                <w:szCs w:val="20"/>
              </w:rPr>
            </w:pPr>
            <w:r w:rsidRPr="00B024FE">
              <w:rPr>
                <w:rFonts w:ascii="Arial" w:hAnsi="Arial" w:cs="Arial"/>
                <w:b/>
                <w:sz w:val="20"/>
                <w:szCs w:val="20"/>
              </w:rPr>
              <w:t>Warnings/</w:t>
            </w:r>
          </w:p>
          <w:p w:rsidR="00E17FBF" w:rsidRPr="00B024FE" w:rsidRDefault="00E17FBF" w:rsidP="001836E5">
            <w:pPr>
              <w:spacing w:after="0" w:line="240" w:lineRule="auto"/>
              <w:rPr>
                <w:rFonts w:ascii="Arial" w:hAnsi="Arial" w:cs="Arial"/>
                <w:b/>
                <w:sz w:val="20"/>
                <w:szCs w:val="20"/>
              </w:rPr>
            </w:pPr>
            <w:r w:rsidRPr="00B024FE">
              <w:rPr>
                <w:rFonts w:ascii="Arial" w:hAnsi="Arial" w:cs="Arial"/>
                <w:b/>
                <w:sz w:val="20"/>
                <w:szCs w:val="20"/>
              </w:rPr>
              <w:t>Precautions</w:t>
            </w:r>
          </w:p>
          <w:p w:rsidR="00E17FBF" w:rsidRPr="001836E5" w:rsidRDefault="00E17FBF" w:rsidP="001836E5">
            <w:pPr>
              <w:spacing w:after="0" w:line="240" w:lineRule="auto"/>
              <w:rPr>
                <w:rFonts w:ascii="Arial" w:hAnsi="Arial" w:cs="Arial"/>
                <w:sz w:val="20"/>
                <w:szCs w:val="20"/>
              </w:rPr>
            </w:pPr>
            <w:r>
              <w:rPr>
                <w:rFonts w:ascii="Arial" w:hAnsi="Arial" w:cs="Arial"/>
                <w:sz w:val="20"/>
                <w:szCs w:val="20"/>
              </w:rPr>
              <w:t xml:space="preserve"> </w:t>
            </w:r>
          </w:p>
          <w:p w:rsidR="00E17FBF" w:rsidRPr="001836E5" w:rsidRDefault="00E17FBF" w:rsidP="00286ACE">
            <w:pPr>
              <w:spacing w:after="0" w:line="240" w:lineRule="auto"/>
              <w:rPr>
                <w:rFonts w:ascii="Arial" w:hAnsi="Arial" w:cs="Arial"/>
                <w:sz w:val="20"/>
                <w:szCs w:val="20"/>
              </w:rPr>
            </w:pPr>
            <w:r>
              <w:rPr>
                <w:rFonts w:ascii="Arial" w:hAnsi="Arial" w:cs="Arial"/>
                <w:sz w:val="20"/>
                <w:szCs w:val="20"/>
              </w:rPr>
              <w:t xml:space="preserve"> </w:t>
            </w:r>
          </w:p>
          <w:p w:rsidR="00E17FBF" w:rsidRPr="001836E5" w:rsidRDefault="00E17FBF" w:rsidP="00286ACE">
            <w:pPr>
              <w:spacing w:after="0" w:line="240" w:lineRule="auto"/>
              <w:rPr>
                <w:rFonts w:ascii="Arial" w:hAnsi="Arial" w:cs="Arial"/>
                <w:b/>
                <w:sz w:val="20"/>
                <w:szCs w:val="20"/>
              </w:rPr>
            </w:pPr>
            <w:r>
              <w:rPr>
                <w:rFonts w:ascii="Arial" w:hAnsi="Arial" w:cs="Arial"/>
                <w:sz w:val="20"/>
                <w:szCs w:val="20"/>
              </w:rPr>
              <w:t xml:space="preserve"> </w:t>
            </w:r>
            <w:r w:rsidRPr="001836E5">
              <w:rPr>
                <w:rFonts w:ascii="Arial" w:hAnsi="Arial" w:cs="Arial"/>
                <w:sz w:val="20"/>
                <w:szCs w:val="20"/>
              </w:rPr>
              <w:t xml:space="preserve">  </w:t>
            </w:r>
          </w:p>
          <w:p w:rsidR="00E17FBF" w:rsidRPr="001836E5" w:rsidRDefault="00E17FBF" w:rsidP="00286ACE">
            <w:pPr>
              <w:spacing w:after="0" w:line="240" w:lineRule="auto"/>
              <w:rPr>
                <w:rFonts w:ascii="Arial" w:hAnsi="Arial" w:cs="Arial"/>
                <w:b/>
                <w:sz w:val="20"/>
                <w:szCs w:val="20"/>
              </w:rPr>
            </w:pPr>
            <w:r>
              <w:rPr>
                <w:rFonts w:ascii="Arial" w:hAnsi="Arial" w:cs="Arial"/>
                <w:sz w:val="20"/>
                <w:szCs w:val="20"/>
              </w:rPr>
              <w:t xml:space="preserve"> </w:t>
            </w:r>
          </w:p>
          <w:p w:rsidR="00E17FBF" w:rsidRPr="001836E5" w:rsidRDefault="00E17FBF" w:rsidP="00286ACE">
            <w:pPr>
              <w:spacing w:after="0" w:line="240" w:lineRule="auto"/>
              <w:rPr>
                <w:rFonts w:ascii="Arial" w:hAnsi="Arial" w:cs="Arial"/>
                <w:b/>
                <w:sz w:val="20"/>
                <w:szCs w:val="20"/>
              </w:rPr>
            </w:pPr>
            <w:r>
              <w:rPr>
                <w:rFonts w:ascii="Arial" w:hAnsi="Arial" w:cs="Arial"/>
                <w:sz w:val="20"/>
                <w:szCs w:val="20"/>
              </w:rPr>
              <w:t xml:space="preserve"> </w:t>
            </w:r>
            <w:r w:rsidRPr="001836E5">
              <w:rPr>
                <w:rFonts w:ascii="Arial" w:hAnsi="Arial" w:cs="Arial"/>
                <w:sz w:val="20"/>
                <w:szCs w:val="20"/>
              </w:rPr>
              <w:t xml:space="preserve"> </w:t>
            </w:r>
          </w:p>
          <w:p w:rsidR="00E17FBF" w:rsidRPr="001836E5" w:rsidRDefault="00E17FBF" w:rsidP="00286ACE">
            <w:pPr>
              <w:spacing w:after="0" w:line="240" w:lineRule="auto"/>
              <w:rPr>
                <w:rFonts w:ascii="Arial" w:hAnsi="Arial" w:cs="Arial"/>
                <w:sz w:val="20"/>
                <w:szCs w:val="20"/>
              </w:rPr>
            </w:pPr>
            <w:r>
              <w:rPr>
                <w:rFonts w:ascii="Arial" w:hAnsi="Arial" w:cs="Arial"/>
                <w:sz w:val="20"/>
                <w:szCs w:val="20"/>
              </w:rPr>
              <w:t xml:space="preserve"> </w:t>
            </w:r>
          </w:p>
          <w:p w:rsidR="00E17FBF" w:rsidRPr="001836E5" w:rsidRDefault="00E17FBF" w:rsidP="001836E5">
            <w:pPr>
              <w:spacing w:after="0" w:line="240" w:lineRule="auto"/>
              <w:rPr>
                <w:rFonts w:ascii="Arial" w:hAnsi="Arial" w:cs="Arial"/>
                <w:sz w:val="20"/>
                <w:szCs w:val="20"/>
              </w:rPr>
            </w:pPr>
            <w:r>
              <w:rPr>
                <w:rFonts w:ascii="Arial" w:hAnsi="Arial" w:cs="Arial"/>
                <w:iCs/>
                <w:sz w:val="20"/>
                <w:szCs w:val="20"/>
              </w:rPr>
              <w:t xml:space="preserve"> </w:t>
            </w:r>
            <w:r w:rsidRPr="001836E5">
              <w:rPr>
                <w:rFonts w:ascii="Arial" w:hAnsi="Arial" w:cs="Arial"/>
                <w:iCs/>
                <w:sz w:val="20"/>
                <w:szCs w:val="20"/>
              </w:rPr>
              <w:t xml:space="preserve"> </w:t>
            </w:r>
          </w:p>
        </w:tc>
        <w:tc>
          <w:tcPr>
            <w:tcW w:w="7578" w:type="dxa"/>
          </w:tcPr>
          <w:p w:rsidR="00E17FBF" w:rsidRPr="001836E5" w:rsidRDefault="00E17FBF" w:rsidP="00B024FE">
            <w:pPr>
              <w:spacing w:after="0" w:line="240" w:lineRule="auto"/>
              <w:rPr>
                <w:rFonts w:ascii="Arial" w:hAnsi="Arial" w:cs="Arial"/>
                <w:sz w:val="20"/>
                <w:szCs w:val="20"/>
              </w:rPr>
            </w:pPr>
            <w:r w:rsidRPr="001836E5">
              <w:rPr>
                <w:rFonts w:ascii="Arial" w:hAnsi="Arial" w:cs="Arial"/>
                <w:sz w:val="20"/>
                <w:szCs w:val="20"/>
              </w:rPr>
              <w:t>Respiratory depression</w:t>
            </w:r>
            <w:r>
              <w:rPr>
                <w:rFonts w:ascii="Arial" w:hAnsi="Arial" w:cs="Arial"/>
                <w:sz w:val="20"/>
                <w:szCs w:val="20"/>
              </w:rPr>
              <w:t xml:space="preserve">; </w:t>
            </w:r>
            <w:r w:rsidRPr="001836E5">
              <w:rPr>
                <w:rFonts w:ascii="Arial" w:hAnsi="Arial" w:cs="Arial"/>
                <w:sz w:val="20"/>
                <w:szCs w:val="20"/>
              </w:rPr>
              <w:t xml:space="preserve">the primary risk with the use of this product </w:t>
            </w:r>
            <w:r>
              <w:rPr>
                <w:rFonts w:ascii="Arial" w:hAnsi="Arial" w:cs="Arial"/>
                <w:sz w:val="20"/>
                <w:szCs w:val="20"/>
              </w:rPr>
              <w:t xml:space="preserve">is respiratory depression </w:t>
            </w:r>
            <w:r w:rsidRPr="001836E5">
              <w:rPr>
                <w:rFonts w:ascii="Arial" w:hAnsi="Arial" w:cs="Arial"/>
                <w:sz w:val="20"/>
                <w:szCs w:val="20"/>
              </w:rPr>
              <w:t>and occurs more frequently in elderly or debilitated patients, in those suffering from conditions accompanied by hypoxia, hypercapnia, or upper airway obstruction, or following large initial doses of opioids given to non-tolerant patients, or when opioids are given in conjunction with other agents that depress respiration (e.g., benzodiazepines, tricyclic antidepressants, and sedative hypnotics, etc.). Use with extreme caution in patients with chronic obstructive pulmonary disease or cor pulmonale, and in patients having substantially decreased respiratory reserve (e.g., severe kyphoscoliosis), hypoxia, hypercapnia, or pre-existing respiratory depression. Even at therapeutic doses, this agent may decrease respiratory drive to the point of apnea. In these high risk patients, alternative non-opioid analgesics should be considered, and opioids must be employed only under careful medical supervision at the lowest effective dose.</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Pr>
                <w:rFonts w:ascii="Arial" w:hAnsi="Arial" w:cs="Arial"/>
                <w:sz w:val="20"/>
                <w:szCs w:val="20"/>
              </w:rPr>
              <w:t xml:space="preserve">Misuse and abuse; </w:t>
            </w:r>
            <w:r w:rsidRPr="001836E5">
              <w:rPr>
                <w:rFonts w:ascii="Arial" w:hAnsi="Arial" w:cs="Arial"/>
                <w:sz w:val="20"/>
                <w:szCs w:val="20"/>
              </w:rPr>
              <w:t>Oxycodone HCl is a Schedule II controlled substance, which are often sought by drug abusers and people with addiction disorders. This product can be abused in a manner similar to other opioid agonists, legal or illicit. Consider these issues when prescribing or dispensing oxycodone HCl in situations where the physician or pharmacist is concerned about an increased risk of misuse or abuse. This agent may be abused by crushing, chewing, snorting or injecting the product, which poses a significant risk to the abuser that could result in overdose and death. Concerns about abuse and addiction should not prevent the proper management of pain.</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b/>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Pr>
                <w:rFonts w:ascii="Arial" w:hAnsi="Arial" w:cs="Arial"/>
                <w:sz w:val="20"/>
                <w:szCs w:val="20"/>
              </w:rPr>
              <w:t xml:space="preserve">Central nervous system (CNS) depressants; </w:t>
            </w:r>
            <w:r w:rsidRPr="001836E5">
              <w:rPr>
                <w:rFonts w:ascii="Arial" w:hAnsi="Arial" w:cs="Arial"/>
                <w:sz w:val="20"/>
                <w:szCs w:val="20"/>
              </w:rPr>
              <w:t xml:space="preserve">Oxycodone </w:t>
            </w:r>
            <w:r>
              <w:rPr>
                <w:rFonts w:ascii="Arial" w:hAnsi="Arial" w:cs="Arial"/>
                <w:sz w:val="20"/>
                <w:szCs w:val="20"/>
              </w:rPr>
              <w:t>HCl</w:t>
            </w:r>
            <w:r w:rsidRPr="001836E5">
              <w:rPr>
                <w:rFonts w:ascii="Arial" w:hAnsi="Arial" w:cs="Arial"/>
                <w:sz w:val="20"/>
                <w:szCs w:val="20"/>
              </w:rPr>
              <w:t xml:space="preserve"> may cause severe hypotension in patients whose ability to maintain blood pressure has been </w:t>
            </w:r>
            <w:r w:rsidRPr="001836E5">
              <w:rPr>
                <w:rFonts w:ascii="Arial" w:hAnsi="Arial" w:cs="Arial"/>
                <w:sz w:val="20"/>
                <w:szCs w:val="20"/>
              </w:rPr>
              <w:lastRenderedPageBreak/>
              <w:t>compromised by a depleted intravascular volume, or after concurrent administration with drugs such as phenothiazines, general anesthetics or other agents which compromise vasomotor tone. It may also produce orthostatic hypotension in ambulatory patients. Administer with caution to patients in circulatory shock, since vasodilation produced by the drug may further reduce cardiac output and blood pressure.</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sidRPr="001836E5">
              <w:rPr>
                <w:rFonts w:ascii="Arial" w:hAnsi="Arial" w:cs="Arial"/>
                <w:sz w:val="20"/>
                <w:szCs w:val="20"/>
              </w:rPr>
              <w:t>Gastrointestinal (GI) effects</w:t>
            </w:r>
            <w:r>
              <w:rPr>
                <w:rFonts w:ascii="Arial" w:hAnsi="Arial" w:cs="Arial"/>
                <w:sz w:val="20"/>
                <w:szCs w:val="20"/>
              </w:rPr>
              <w:t xml:space="preserve">; </w:t>
            </w:r>
            <w:r w:rsidRPr="001836E5">
              <w:rPr>
                <w:rFonts w:ascii="Arial" w:hAnsi="Arial" w:cs="Arial"/>
                <w:sz w:val="20"/>
                <w:szCs w:val="20"/>
              </w:rPr>
              <w:t>Do not administer to patients with gastrointestinal obstruction, especially paralytic ileus because oxycodone HCl diminishes propulsive peristaltic waves in the gastrointestinal tract and may prolong the obstruction. Administering this product may obscure the diagnosis or clinical course in patients with acute abdominal condition.</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b/>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sidRPr="001836E5">
              <w:rPr>
                <w:rFonts w:ascii="Arial" w:hAnsi="Arial" w:cs="Arial"/>
                <w:sz w:val="20"/>
                <w:szCs w:val="20"/>
              </w:rPr>
              <w:t>P</w:t>
            </w:r>
            <w:r>
              <w:rPr>
                <w:rFonts w:ascii="Arial" w:hAnsi="Arial" w:cs="Arial"/>
                <w:sz w:val="20"/>
                <w:szCs w:val="20"/>
              </w:rPr>
              <w:t xml:space="preserve">ancreatic/biliary tract disease; </w:t>
            </w:r>
            <w:r w:rsidRPr="001836E5">
              <w:rPr>
                <w:rFonts w:ascii="Arial" w:hAnsi="Arial" w:cs="Arial"/>
                <w:sz w:val="20"/>
                <w:szCs w:val="20"/>
              </w:rPr>
              <w:t>Use with caution in patients with biliary tract disease, including acute pancreatitis, as oxycodone HCl may cause spasm of the sphincter of Oddi and diminish biliary and pancreatic secretions.</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b/>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sidRPr="001836E5">
              <w:rPr>
                <w:rFonts w:ascii="Arial" w:hAnsi="Arial" w:cs="Arial"/>
                <w:sz w:val="20"/>
                <w:szCs w:val="20"/>
              </w:rPr>
              <w:t>Special risk groups</w:t>
            </w:r>
            <w:r>
              <w:rPr>
                <w:rFonts w:ascii="Arial" w:hAnsi="Arial" w:cs="Arial"/>
                <w:sz w:val="20"/>
                <w:szCs w:val="20"/>
              </w:rPr>
              <w:t xml:space="preserve">; </w:t>
            </w:r>
            <w:r w:rsidRPr="001836E5">
              <w:rPr>
                <w:rFonts w:ascii="Arial" w:hAnsi="Arial" w:cs="Arial"/>
                <w:sz w:val="20"/>
                <w:szCs w:val="20"/>
              </w:rPr>
              <w:t>Use with caution and in reduced dosages in patients with severe renal or hepatic impairment, Addison’s disease, hypothyroidism, prostatic hypertrophy, or urethral stricture, and in elderly or debilitated patients. Exercise caution in the administration of this agent to patients with CNS depression, toxic psychosis, acute alcoholism and delirium tremens. All opioids may aggravate convulsions in patients with convulsive disorders, and all opioids may induce or aggravate seizures in some clinical settings. Keep out of the reach of children and in cases of accidental ingestion, seek emergency medical help immediately.</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b/>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Pr>
                <w:rFonts w:ascii="Arial" w:hAnsi="Arial" w:cs="Arial"/>
                <w:sz w:val="20"/>
                <w:szCs w:val="20"/>
              </w:rPr>
              <w:t>Driving and operating machinery; Opioids m</w:t>
            </w:r>
            <w:r w:rsidRPr="001836E5">
              <w:rPr>
                <w:rFonts w:ascii="Arial" w:hAnsi="Arial" w:cs="Arial"/>
                <w:sz w:val="20"/>
                <w:szCs w:val="20"/>
              </w:rPr>
              <w:t>ay impair the mental and/or physical abilities required for the performance of potentially hazardous tasks such as driving a car or operating heavy machinery. Thoroughly counsel patients on the risks.</w:t>
            </w:r>
          </w:p>
        </w:tc>
      </w:tr>
      <w:tr w:rsidR="00E17FBF" w:rsidRPr="001836E5" w:rsidTr="00286ACE">
        <w:tc>
          <w:tcPr>
            <w:tcW w:w="1890" w:type="dxa"/>
            <w:vMerge/>
            <w:shd w:val="clear" w:color="auto" w:fill="BFBFBF" w:themeFill="background1" w:themeFillShade="BF"/>
          </w:tcPr>
          <w:p w:rsidR="00E17FBF" w:rsidRPr="001836E5" w:rsidRDefault="00E17FBF" w:rsidP="001836E5">
            <w:pPr>
              <w:spacing w:after="0" w:line="240" w:lineRule="auto"/>
              <w:rPr>
                <w:rFonts w:ascii="Arial" w:hAnsi="Arial" w:cs="Arial"/>
                <w:b/>
                <w:sz w:val="20"/>
                <w:szCs w:val="20"/>
              </w:rPr>
            </w:pPr>
          </w:p>
        </w:tc>
        <w:tc>
          <w:tcPr>
            <w:tcW w:w="7578" w:type="dxa"/>
          </w:tcPr>
          <w:p w:rsidR="00E17FBF" w:rsidRPr="001836E5" w:rsidRDefault="00E17FBF" w:rsidP="00B024FE">
            <w:pPr>
              <w:spacing w:after="0" w:line="240" w:lineRule="auto"/>
              <w:rPr>
                <w:rFonts w:ascii="Arial" w:hAnsi="Arial" w:cs="Arial"/>
                <w:sz w:val="20"/>
                <w:szCs w:val="20"/>
              </w:rPr>
            </w:pPr>
            <w:r>
              <w:rPr>
                <w:rFonts w:ascii="Arial" w:hAnsi="Arial" w:cs="Arial"/>
                <w:sz w:val="20"/>
                <w:szCs w:val="20"/>
              </w:rPr>
              <w:t xml:space="preserve">Cytochrome </w:t>
            </w:r>
            <w:r w:rsidRPr="001836E5">
              <w:rPr>
                <w:rFonts w:ascii="Arial" w:hAnsi="Arial" w:cs="Arial"/>
                <w:sz w:val="20"/>
                <w:szCs w:val="20"/>
              </w:rPr>
              <w:t>P450 3A4 inhibitors and inducers</w:t>
            </w:r>
            <w:r>
              <w:rPr>
                <w:rFonts w:ascii="Arial" w:hAnsi="Arial" w:cs="Arial"/>
                <w:sz w:val="20"/>
                <w:szCs w:val="20"/>
              </w:rPr>
              <w:t xml:space="preserve">; </w:t>
            </w:r>
            <w:r w:rsidRPr="001836E5">
              <w:rPr>
                <w:rFonts w:ascii="Arial" w:hAnsi="Arial" w:cs="Arial"/>
                <w:sz w:val="20"/>
                <w:szCs w:val="20"/>
              </w:rPr>
              <w:t>Given the metabolic pathway of oxycodone</w:t>
            </w:r>
            <w:r>
              <w:rPr>
                <w:rFonts w:ascii="Arial" w:hAnsi="Arial" w:cs="Arial"/>
                <w:sz w:val="20"/>
                <w:szCs w:val="20"/>
              </w:rPr>
              <w:t xml:space="preserve"> HCl</w:t>
            </w:r>
            <w:r w:rsidRPr="001836E5">
              <w:rPr>
                <w:rFonts w:ascii="Arial" w:hAnsi="Arial" w:cs="Arial"/>
                <w:sz w:val="20"/>
                <w:szCs w:val="20"/>
              </w:rPr>
              <w:t xml:space="preserve">, drugs that alter CYP 3A4 activity may cause changes in clearance of oxycodone </w:t>
            </w:r>
            <w:r>
              <w:rPr>
                <w:rFonts w:ascii="Arial" w:hAnsi="Arial" w:cs="Arial"/>
                <w:sz w:val="20"/>
                <w:szCs w:val="20"/>
              </w:rPr>
              <w:t>HCl</w:t>
            </w:r>
            <w:r w:rsidRPr="001836E5">
              <w:rPr>
                <w:rFonts w:ascii="Arial" w:hAnsi="Arial" w:cs="Arial"/>
                <w:sz w:val="20"/>
                <w:szCs w:val="20"/>
              </w:rPr>
              <w:t xml:space="preserve"> which could lead to changes in oxycodone plasma concentrations. CYP 3A4 inhibitors may lead to an increase in oxycodone plasma concentrations and possibly increased or prolonged opioid effects. CYP 3A4 inducers may lead to a decrease in oxycodone plasma concentrations, lack of efficacy, or possibly the development of an abstinence syndrome in a patient who had developed physical dependence to oxycodone</w:t>
            </w:r>
            <w:r>
              <w:rPr>
                <w:rFonts w:ascii="Arial" w:hAnsi="Arial" w:cs="Arial"/>
                <w:sz w:val="20"/>
                <w:szCs w:val="20"/>
              </w:rPr>
              <w:t xml:space="preserve"> HCl</w:t>
            </w:r>
            <w:r w:rsidRPr="001836E5">
              <w:rPr>
                <w:rFonts w:ascii="Arial" w:hAnsi="Arial" w:cs="Arial"/>
                <w:sz w:val="20"/>
                <w:szCs w:val="20"/>
              </w:rPr>
              <w:t xml:space="preserve">. If co-administration is necessary, caution is advised when initiating oxycodone </w:t>
            </w:r>
            <w:r>
              <w:rPr>
                <w:rFonts w:ascii="Arial" w:hAnsi="Arial" w:cs="Arial"/>
                <w:sz w:val="20"/>
                <w:szCs w:val="20"/>
              </w:rPr>
              <w:t>HCl</w:t>
            </w:r>
            <w:r w:rsidRPr="001836E5">
              <w:rPr>
                <w:rFonts w:ascii="Arial" w:hAnsi="Arial" w:cs="Arial"/>
                <w:sz w:val="20"/>
                <w:szCs w:val="20"/>
              </w:rPr>
              <w:t xml:space="preserve"> treatment in patients currently taking or discontinuing CYP 3A4 inhibitors or inducers. Evaluate these patients at frequent intervals and consider dose adjustments until stable drug effects are achieved.</w:t>
            </w:r>
            <w:r>
              <w:rPr>
                <w:rFonts w:ascii="Arial" w:hAnsi="Arial" w:cs="Arial"/>
                <w:sz w:val="20"/>
                <w:szCs w:val="20"/>
              </w:rPr>
              <w:t xml:space="preserve"> </w:t>
            </w:r>
          </w:p>
        </w:tc>
      </w:tr>
    </w:tbl>
    <w:p w:rsidR="000E4958" w:rsidRDefault="000E4958" w:rsidP="00567499">
      <w:pPr>
        <w:pStyle w:val="NoSpacing"/>
      </w:pPr>
    </w:p>
    <w:p w:rsidR="001836E5" w:rsidRPr="001836E5" w:rsidRDefault="002A40AC" w:rsidP="001836E5">
      <w:pPr>
        <w:spacing w:after="0" w:line="240" w:lineRule="auto"/>
        <w:rPr>
          <w:rFonts w:ascii="Arial" w:hAnsi="Arial" w:cs="Arial"/>
          <w:b/>
          <w:sz w:val="20"/>
          <w:szCs w:val="20"/>
          <w:u w:val="single"/>
        </w:rPr>
      </w:pPr>
      <w:r>
        <w:rPr>
          <w:rFonts w:ascii="Arial" w:hAnsi="Arial" w:cs="Arial"/>
          <w:b/>
          <w:sz w:val="20"/>
          <w:szCs w:val="20"/>
          <w:u w:val="single"/>
        </w:rPr>
        <w:t xml:space="preserve">Contraindications </w:t>
      </w:r>
    </w:p>
    <w:p w:rsidR="001836E5" w:rsidRPr="001836E5" w:rsidRDefault="001836E5" w:rsidP="001836E5">
      <w:pPr>
        <w:spacing w:after="0" w:line="240" w:lineRule="auto"/>
        <w:outlineLvl w:val="0"/>
        <w:rPr>
          <w:rFonts w:ascii="Arial" w:hAnsi="Arial" w:cs="Arial"/>
          <w:sz w:val="20"/>
          <w:szCs w:val="20"/>
        </w:rPr>
      </w:pPr>
      <w:proofErr w:type="spellStart"/>
      <w:r w:rsidRPr="001836E5">
        <w:rPr>
          <w:rFonts w:ascii="Arial" w:hAnsi="Arial" w:cs="Arial"/>
          <w:sz w:val="20"/>
          <w:szCs w:val="20"/>
        </w:rPr>
        <w:t>Oxaydo</w:t>
      </w:r>
      <w:proofErr w:type="spellEnd"/>
      <w:r w:rsidRPr="001836E5">
        <w:rPr>
          <w:rFonts w:ascii="Arial" w:hAnsi="Arial" w:cs="Arial"/>
          <w:sz w:val="20"/>
          <w:szCs w:val="20"/>
          <w:vertAlign w:val="superscript"/>
        </w:rPr>
        <w:t>®</w:t>
      </w:r>
      <w:r w:rsidRPr="001836E5">
        <w:rPr>
          <w:rFonts w:ascii="Arial" w:hAnsi="Arial" w:cs="Arial"/>
          <w:sz w:val="20"/>
          <w:szCs w:val="20"/>
        </w:rPr>
        <w:t xml:space="preserve"> (oxycodone) is contraindicated in patients with respiratory depression in an unmonitored setting or in the absence of resuscitative equipment, known or suspected paralytic ileus, acute or severe bronchial asthma or hypercarbia, or hypersensitivity to oxycodone, oxycodone salts, or an</w:t>
      </w:r>
      <w:r w:rsidR="002A40AC">
        <w:rPr>
          <w:rFonts w:ascii="Arial" w:hAnsi="Arial" w:cs="Arial"/>
          <w:sz w:val="20"/>
          <w:szCs w:val="20"/>
        </w:rPr>
        <w:t xml:space="preserve">y other </w:t>
      </w:r>
      <w:r w:rsidRPr="001836E5">
        <w:rPr>
          <w:rFonts w:ascii="Arial" w:hAnsi="Arial" w:cs="Arial"/>
          <w:sz w:val="20"/>
          <w:szCs w:val="20"/>
        </w:rPr>
        <w:t>ingredients in the product.</w:t>
      </w:r>
      <w:r w:rsidR="002A40AC">
        <w:rPr>
          <w:rFonts w:ascii="Arial" w:hAnsi="Arial" w:cs="Arial"/>
          <w:sz w:val="20"/>
          <w:szCs w:val="20"/>
          <w:vertAlign w:val="superscript"/>
        </w:rPr>
        <w:t>1</w:t>
      </w:r>
      <w:proofErr w:type="gramStart"/>
      <w:r w:rsidR="002A40AC">
        <w:rPr>
          <w:rFonts w:ascii="Arial" w:hAnsi="Arial" w:cs="Arial"/>
          <w:sz w:val="20"/>
          <w:szCs w:val="20"/>
          <w:vertAlign w:val="superscript"/>
        </w:rPr>
        <w:t>,2</w:t>
      </w:r>
      <w:proofErr w:type="gramEnd"/>
      <w:r w:rsidRPr="001836E5">
        <w:rPr>
          <w:rFonts w:ascii="Arial" w:hAnsi="Arial" w:cs="Arial"/>
          <w:sz w:val="20"/>
          <w:szCs w:val="20"/>
        </w:rPr>
        <w:t xml:space="preserve"> </w:t>
      </w:r>
    </w:p>
    <w:p w:rsidR="000E4958" w:rsidRDefault="002A40AC" w:rsidP="00567499">
      <w:pPr>
        <w:pStyle w:val="NoSpacing"/>
      </w:pPr>
      <w:r>
        <w:t xml:space="preserve"> </w:t>
      </w:r>
    </w:p>
    <w:p w:rsidR="001836E5" w:rsidRPr="001836E5" w:rsidRDefault="001836E5" w:rsidP="001836E5">
      <w:pPr>
        <w:spacing w:after="0" w:line="240" w:lineRule="auto"/>
        <w:rPr>
          <w:rFonts w:ascii="Arial" w:hAnsi="Arial" w:cs="Arial"/>
          <w:sz w:val="20"/>
          <w:szCs w:val="20"/>
          <w:vertAlign w:val="superscript"/>
        </w:rPr>
      </w:pPr>
      <w:r w:rsidRPr="001836E5">
        <w:rPr>
          <w:rFonts w:ascii="Arial" w:hAnsi="Arial" w:cs="Arial"/>
          <w:b/>
          <w:sz w:val="20"/>
          <w:szCs w:val="20"/>
          <w:u w:val="single"/>
        </w:rPr>
        <w:t>Adverse Drug Events</w:t>
      </w:r>
    </w:p>
    <w:p w:rsidR="001836E5" w:rsidRPr="002A40AC" w:rsidRDefault="001836E5" w:rsidP="001836E5">
      <w:pPr>
        <w:spacing w:after="0" w:line="240" w:lineRule="auto"/>
        <w:rPr>
          <w:rFonts w:ascii="Arial" w:hAnsi="Arial" w:cs="Arial"/>
          <w:sz w:val="20"/>
          <w:szCs w:val="20"/>
          <w:vertAlign w:val="superscript"/>
        </w:rPr>
      </w:pPr>
      <w:r w:rsidRPr="001836E5">
        <w:rPr>
          <w:rFonts w:ascii="Arial" w:hAnsi="Arial" w:cs="Arial"/>
          <w:sz w:val="20"/>
          <w:szCs w:val="20"/>
        </w:rPr>
        <w:t xml:space="preserve">Based upon the information available from the patients (n=191) treated with oxycodone </w:t>
      </w:r>
      <w:r w:rsidR="002A40AC">
        <w:rPr>
          <w:rFonts w:ascii="Arial" w:hAnsi="Arial" w:cs="Arial"/>
          <w:sz w:val="20"/>
          <w:szCs w:val="20"/>
        </w:rPr>
        <w:t>HCl</w:t>
      </w:r>
      <w:r w:rsidR="002A40AC" w:rsidRPr="001836E5">
        <w:rPr>
          <w:rFonts w:ascii="Arial" w:hAnsi="Arial" w:cs="Arial"/>
          <w:sz w:val="20"/>
          <w:szCs w:val="20"/>
        </w:rPr>
        <w:t xml:space="preserve"> </w:t>
      </w:r>
      <w:r w:rsidRPr="001836E5">
        <w:rPr>
          <w:rFonts w:ascii="Arial" w:hAnsi="Arial" w:cs="Arial"/>
          <w:sz w:val="20"/>
          <w:szCs w:val="20"/>
        </w:rPr>
        <w:t>in open-label and double-bli</w:t>
      </w:r>
      <w:r w:rsidR="002A40AC">
        <w:rPr>
          <w:rFonts w:ascii="Arial" w:hAnsi="Arial" w:cs="Arial"/>
          <w:sz w:val="20"/>
          <w:szCs w:val="20"/>
        </w:rPr>
        <w:t>nd trials</w:t>
      </w:r>
      <w:r w:rsidRPr="001836E5">
        <w:rPr>
          <w:rFonts w:ascii="Arial" w:hAnsi="Arial" w:cs="Arial"/>
          <w:sz w:val="20"/>
          <w:szCs w:val="20"/>
        </w:rPr>
        <w:t>, the adverse events reported in ≥3% of individuals in descending order of frequency included: nausea, constipat</w:t>
      </w:r>
      <w:r w:rsidR="0022610B">
        <w:rPr>
          <w:rFonts w:ascii="Arial" w:hAnsi="Arial" w:cs="Arial"/>
          <w:sz w:val="20"/>
          <w:szCs w:val="20"/>
        </w:rPr>
        <w:t>ion, vomiting, headache, pruritu</w:t>
      </w:r>
      <w:r w:rsidRPr="001836E5">
        <w:rPr>
          <w:rFonts w:ascii="Arial" w:hAnsi="Arial" w:cs="Arial"/>
          <w:sz w:val="20"/>
          <w:szCs w:val="20"/>
        </w:rPr>
        <w:t>s, insomnia, dizzi</w:t>
      </w:r>
      <w:r w:rsidR="002A40AC">
        <w:rPr>
          <w:rFonts w:ascii="Arial" w:hAnsi="Arial" w:cs="Arial"/>
          <w:sz w:val="20"/>
          <w:szCs w:val="20"/>
        </w:rPr>
        <w:t>ness, asthenia, and somnolence.</w:t>
      </w:r>
      <w:r w:rsidR="002A40AC">
        <w:rPr>
          <w:rFonts w:ascii="Arial" w:hAnsi="Arial" w:cs="Arial"/>
          <w:sz w:val="20"/>
          <w:szCs w:val="20"/>
          <w:vertAlign w:val="superscript"/>
        </w:rPr>
        <w:t>1,2</w:t>
      </w:r>
    </w:p>
    <w:p w:rsidR="001836E5" w:rsidRDefault="001836E5" w:rsidP="008B0860">
      <w:pPr>
        <w:pStyle w:val="NoSpacing"/>
      </w:pPr>
    </w:p>
    <w:p w:rsidR="00567499" w:rsidRPr="00CC06E3" w:rsidRDefault="00567499" w:rsidP="00567499">
      <w:pPr>
        <w:pStyle w:val="NoSpacing"/>
        <w:rPr>
          <w:rFonts w:ascii="Arial" w:hAnsi="Arial" w:cs="Arial"/>
          <w:b/>
          <w:sz w:val="20"/>
          <w:szCs w:val="20"/>
          <w:u w:val="single"/>
          <w:vertAlign w:val="superscript"/>
        </w:rPr>
      </w:pPr>
      <w:bookmarkStart w:id="1" w:name="DrugInteractions"/>
      <w:r w:rsidRPr="0044122B">
        <w:rPr>
          <w:rFonts w:ascii="Arial" w:hAnsi="Arial" w:cs="Arial"/>
          <w:b/>
          <w:sz w:val="20"/>
          <w:szCs w:val="20"/>
          <w:u w:val="single"/>
        </w:rPr>
        <w:t>Drug Interactions</w:t>
      </w:r>
      <w:bookmarkEnd w:id="1"/>
    </w:p>
    <w:p w:rsidR="00C7487D" w:rsidRDefault="00C7487D" w:rsidP="00567499">
      <w:pPr>
        <w:pStyle w:val="NoSpacing"/>
        <w:rPr>
          <w:rFonts w:ascii="Arial" w:hAnsi="Arial" w:cs="Arial"/>
          <w:sz w:val="20"/>
          <w:szCs w:val="20"/>
        </w:rPr>
      </w:pPr>
    </w:p>
    <w:p w:rsidR="00AD075A" w:rsidRPr="00CC06E3" w:rsidRDefault="00AD075A" w:rsidP="00AD075A">
      <w:pPr>
        <w:spacing w:after="0" w:line="240" w:lineRule="auto"/>
        <w:rPr>
          <w:rFonts w:ascii="Arial" w:hAnsi="Arial" w:cs="Arial"/>
          <w:b/>
          <w:sz w:val="20"/>
          <w:szCs w:val="20"/>
          <w:vertAlign w:val="superscript"/>
        </w:rPr>
      </w:pPr>
      <w:r w:rsidRPr="00AD075A">
        <w:rPr>
          <w:rFonts w:ascii="Arial" w:hAnsi="Arial" w:cs="Arial"/>
          <w:b/>
          <w:sz w:val="20"/>
          <w:szCs w:val="20"/>
        </w:rPr>
        <w:t xml:space="preserve">Table </w:t>
      </w:r>
      <w:r w:rsidR="002A40AC">
        <w:rPr>
          <w:rFonts w:ascii="Arial" w:hAnsi="Arial" w:cs="Arial"/>
          <w:b/>
          <w:sz w:val="20"/>
          <w:szCs w:val="20"/>
        </w:rPr>
        <w:t>6</w:t>
      </w:r>
      <w:r w:rsidRPr="00AD075A">
        <w:rPr>
          <w:rFonts w:ascii="Arial" w:hAnsi="Arial" w:cs="Arial"/>
          <w:b/>
          <w:sz w:val="20"/>
          <w:szCs w:val="20"/>
        </w:rPr>
        <w:t>. Drug and Food Interactions</w:t>
      </w:r>
      <w:r w:rsidR="00CC06E3">
        <w:rPr>
          <w:rFonts w:ascii="Arial" w:hAnsi="Arial" w:cs="Arial"/>
          <w:b/>
          <w:sz w:val="20"/>
          <w:szCs w:val="20"/>
          <w:vertAlign w:val="superscript"/>
        </w:rPr>
        <w:t>1,2</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800"/>
        <w:gridCol w:w="5598"/>
      </w:tblGrid>
      <w:tr w:rsidR="001836E5" w:rsidRPr="001836E5" w:rsidTr="00286ACE">
        <w:tc>
          <w:tcPr>
            <w:tcW w:w="2070" w:type="dxa"/>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lastRenderedPageBreak/>
              <w:t>Interacting Medication or Disease</w:t>
            </w:r>
          </w:p>
        </w:tc>
        <w:tc>
          <w:tcPr>
            <w:tcW w:w="1800" w:type="dxa"/>
            <w:shd w:val="clear" w:color="auto" w:fill="C0C0C0"/>
          </w:tcPr>
          <w:p w:rsidR="001836E5" w:rsidRPr="001836E5" w:rsidRDefault="001836E5" w:rsidP="001836E5">
            <w:pPr>
              <w:spacing w:after="0" w:line="240" w:lineRule="auto"/>
              <w:jc w:val="center"/>
              <w:rPr>
                <w:rFonts w:ascii="Arial" w:hAnsi="Arial" w:cs="Arial"/>
                <w:b/>
                <w:sz w:val="20"/>
                <w:szCs w:val="20"/>
                <w:vertAlign w:val="superscript"/>
              </w:rPr>
            </w:pPr>
            <w:r w:rsidRPr="001836E5">
              <w:rPr>
                <w:rFonts w:ascii="Arial" w:hAnsi="Arial" w:cs="Arial"/>
                <w:b/>
                <w:sz w:val="20"/>
                <w:szCs w:val="20"/>
              </w:rPr>
              <w:t>Interaction Severity Rating</w:t>
            </w:r>
            <w:r w:rsidRPr="001836E5">
              <w:rPr>
                <w:rFonts w:ascii="Arial" w:hAnsi="Arial" w:cs="Arial"/>
                <w:b/>
                <w:sz w:val="20"/>
                <w:szCs w:val="20"/>
                <w:vertAlign w:val="superscript"/>
              </w:rPr>
              <w:t>*</w:t>
            </w:r>
          </w:p>
        </w:tc>
        <w:tc>
          <w:tcPr>
            <w:tcW w:w="5598" w:type="dxa"/>
            <w:shd w:val="clear" w:color="auto" w:fill="C0C0C0"/>
          </w:tcPr>
          <w:p w:rsidR="001836E5" w:rsidRPr="001836E5" w:rsidRDefault="001836E5" w:rsidP="001836E5">
            <w:pPr>
              <w:spacing w:after="0" w:line="240" w:lineRule="auto"/>
              <w:jc w:val="center"/>
              <w:rPr>
                <w:rFonts w:ascii="Arial" w:hAnsi="Arial" w:cs="Arial"/>
                <w:b/>
                <w:sz w:val="20"/>
                <w:szCs w:val="20"/>
              </w:rPr>
            </w:pPr>
            <w:r w:rsidRPr="001836E5">
              <w:rPr>
                <w:rFonts w:ascii="Arial" w:hAnsi="Arial" w:cs="Arial"/>
                <w:b/>
                <w:sz w:val="20"/>
                <w:szCs w:val="20"/>
              </w:rPr>
              <w:t>Potential Result</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Naltrexone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Contraindicated</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shd w:val="clear" w:color="auto" w:fill="FFFFFF"/>
              </w:rPr>
              <w:t>Concomitant use will result in precipitation of opioid withdrawal symptoms and decreased opioid effectiveness.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Alcohol (ethanol)</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shd w:val="clear" w:color="auto" w:fill="FFFFFF"/>
              </w:rPr>
            </w:pPr>
            <w:r w:rsidRPr="001836E5">
              <w:rPr>
                <w:rFonts w:ascii="Arial" w:hAnsi="Arial" w:cs="Arial"/>
                <w:sz w:val="20"/>
                <w:szCs w:val="20"/>
              </w:rPr>
              <w:t xml:space="preserve">Concomitant use may result in increased </w:t>
            </w:r>
            <w:r w:rsidR="0008151A">
              <w:rPr>
                <w:rFonts w:ascii="Arial" w:hAnsi="Arial" w:cs="Arial"/>
                <w:sz w:val="20"/>
                <w:szCs w:val="20"/>
              </w:rPr>
              <w:t>central nervous system (</w:t>
            </w:r>
            <w:r w:rsidRPr="001836E5">
              <w:rPr>
                <w:rFonts w:ascii="Arial" w:hAnsi="Arial" w:cs="Arial"/>
                <w:sz w:val="20"/>
                <w:szCs w:val="20"/>
              </w:rPr>
              <w:t>CNS</w:t>
            </w:r>
            <w:r w:rsidR="0008151A">
              <w:rPr>
                <w:rFonts w:ascii="Arial" w:hAnsi="Arial" w:cs="Arial"/>
                <w:sz w:val="20"/>
                <w:szCs w:val="20"/>
              </w:rPr>
              <w:t>)</w:t>
            </w:r>
            <w:r w:rsidRPr="001836E5">
              <w:rPr>
                <w:rFonts w:ascii="Arial" w:hAnsi="Arial" w:cs="Arial"/>
                <w:sz w:val="20"/>
                <w:szCs w:val="20"/>
              </w:rPr>
              <w:t xml:space="preserve"> and/or respiratory depression. Counsel patients not to consume alcoholic beverages or use prescription or non-prescription products containing alcohol.</w:t>
            </w:r>
            <w:r w:rsidRPr="001836E5">
              <w:rPr>
                <w:rFonts w:ascii="Arial" w:hAnsi="Arial" w:cs="Arial"/>
                <w:sz w:val="20"/>
                <w:szCs w:val="20"/>
                <w:shd w:val="clear" w:color="auto" w:fill="FFFFFF"/>
              </w:rPr>
              <w:t xml:space="preserve"> </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CNS Depressants (e.g., sedatives, hypnotics, tranquilizers, general anesthetics, phenothiazines, other opioids, alcohol, etc.)</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2A40AC">
            <w:pPr>
              <w:spacing w:after="0" w:line="240" w:lineRule="auto"/>
              <w:rPr>
                <w:rFonts w:ascii="Arial" w:hAnsi="Arial" w:cs="Arial"/>
                <w:sz w:val="20"/>
                <w:szCs w:val="20"/>
              </w:rPr>
            </w:pPr>
            <w:r w:rsidRPr="001836E5">
              <w:rPr>
                <w:rFonts w:ascii="Arial" w:hAnsi="Arial" w:cs="Arial"/>
                <w:sz w:val="20"/>
                <w:szCs w:val="20"/>
              </w:rPr>
              <w:t>Concomitant use may increase the risk of respiratory depressio</w:t>
            </w:r>
            <w:r w:rsidR="002A40AC">
              <w:rPr>
                <w:rFonts w:ascii="Arial" w:hAnsi="Arial" w:cs="Arial"/>
                <w:sz w:val="20"/>
                <w:szCs w:val="20"/>
              </w:rPr>
              <w:t xml:space="preserve">n, profound sedation, or coma. </w:t>
            </w:r>
            <w:r w:rsidRPr="001836E5">
              <w:rPr>
                <w:rFonts w:ascii="Arial" w:hAnsi="Arial" w:cs="Arial"/>
                <w:sz w:val="20"/>
                <w:szCs w:val="20"/>
              </w:rPr>
              <w:t xml:space="preserve">Use </w:t>
            </w:r>
            <w:r w:rsidR="002A40AC">
              <w:rPr>
                <w:rFonts w:ascii="Arial" w:hAnsi="Arial" w:cs="Arial"/>
                <w:sz w:val="20"/>
                <w:szCs w:val="20"/>
              </w:rPr>
              <w:t>oxycodone HCl</w:t>
            </w:r>
            <w:r w:rsidRPr="001836E5">
              <w:rPr>
                <w:rFonts w:ascii="Arial" w:hAnsi="Arial" w:cs="Arial"/>
                <w:sz w:val="20"/>
                <w:szCs w:val="20"/>
              </w:rPr>
              <w:t xml:space="preserve"> with caution and in reduced dosages in</w:t>
            </w:r>
            <w:r w:rsidR="002A40AC">
              <w:rPr>
                <w:rFonts w:ascii="Arial" w:hAnsi="Arial" w:cs="Arial"/>
                <w:sz w:val="20"/>
                <w:szCs w:val="20"/>
              </w:rPr>
              <w:t xml:space="preserve"> patients taking these agents. </w:t>
            </w:r>
            <w:r w:rsidRPr="001836E5">
              <w:rPr>
                <w:rFonts w:ascii="Arial" w:hAnsi="Arial" w:cs="Arial"/>
                <w:sz w:val="20"/>
                <w:szCs w:val="20"/>
              </w:rPr>
              <w:t xml:space="preserve">Patients should not consume alcohol or any medications containing alcohol while taking </w:t>
            </w:r>
            <w:r w:rsidR="002A40AC">
              <w:rPr>
                <w:rFonts w:ascii="Arial" w:hAnsi="Arial" w:cs="Arial"/>
                <w:sz w:val="20"/>
                <w:szCs w:val="20"/>
              </w:rPr>
              <w:t>opioids.</w:t>
            </w:r>
            <w:r w:rsidRPr="001836E5">
              <w:rPr>
                <w:rFonts w:ascii="Arial" w:hAnsi="Arial" w:cs="Arial"/>
                <w:sz w:val="20"/>
                <w:szCs w:val="20"/>
              </w:rPr>
              <w:t xml:space="preserve"> </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Muscle Relaxants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May result in enhanced neuromuscular blocking action of skeletal muscle relaxants and produce an increased degree of respiratory depression.</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Mixed Agonist/Antagonist (pentazocine, nalbuphine, &amp; butorphanol) and</w:t>
            </w: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Partial Agonist (e.g., buprenorphine) Opioid Analgesics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Do not administer to patients who have received or are receiving a course of therapy with a pure opioid agonist analgesic, including oxycodone HCl. Concomitant use may reduce the analgesic effect and/or precipitate withdrawal symptoms.  </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w:t>
            </w:r>
            <w:r w:rsidR="0008151A">
              <w:rPr>
                <w:rFonts w:ascii="Arial" w:hAnsi="Arial" w:cs="Arial"/>
                <w:sz w:val="20"/>
                <w:szCs w:val="20"/>
              </w:rPr>
              <w:t>onoamine oxidase inhibitors (M</w:t>
            </w:r>
            <w:r w:rsidRPr="001836E5">
              <w:rPr>
                <w:rFonts w:ascii="Arial" w:hAnsi="Arial" w:cs="Arial"/>
                <w:sz w:val="20"/>
                <w:szCs w:val="20"/>
              </w:rPr>
              <w:t>AOIs</w:t>
            </w:r>
            <w:r w:rsidR="0008151A">
              <w:rPr>
                <w:rFonts w:ascii="Arial" w:hAnsi="Arial" w:cs="Arial"/>
                <w:sz w:val="20"/>
                <w:szCs w:val="20"/>
              </w:rPr>
              <w:t>)</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 xml:space="preserve">Major </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MAOIs have been reported to intensify the effects of opioids causing anxiety, confusion, and significant depression of respiration, or coma. The use of this agent is not recommended for patients taking MAOIs or within 14 days of stopping such treatment.</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CYP3A4 inducers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vAlign w:val="center"/>
          </w:tcPr>
          <w:p w:rsidR="001836E5" w:rsidRPr="001836E5" w:rsidRDefault="001836E5" w:rsidP="001836E5">
            <w:pPr>
              <w:spacing w:after="0" w:line="240" w:lineRule="auto"/>
              <w:rPr>
                <w:rFonts w:ascii="Arial" w:eastAsia="Arial Unicode MS" w:hAnsi="Arial" w:cs="Arial"/>
                <w:sz w:val="20"/>
                <w:szCs w:val="20"/>
                <w:shd w:val="clear" w:color="auto" w:fill="FFFFFF"/>
              </w:rPr>
            </w:pPr>
            <w:r w:rsidRPr="001836E5">
              <w:rPr>
                <w:rFonts w:ascii="Arial" w:hAnsi="Arial" w:cs="Arial"/>
                <w:sz w:val="20"/>
                <w:szCs w:val="20"/>
              </w:rPr>
              <w:t xml:space="preserve">Coadministration may significantly decrease plasma oxycodone </w:t>
            </w:r>
            <w:r w:rsidR="002A40AC">
              <w:rPr>
                <w:rFonts w:ascii="Arial" w:hAnsi="Arial" w:cs="Arial"/>
                <w:sz w:val="20"/>
                <w:szCs w:val="20"/>
              </w:rPr>
              <w:t xml:space="preserve">HCl </w:t>
            </w:r>
            <w:r w:rsidRPr="001836E5">
              <w:rPr>
                <w:rFonts w:ascii="Arial" w:hAnsi="Arial" w:cs="Arial"/>
                <w:sz w:val="20"/>
                <w:szCs w:val="20"/>
              </w:rPr>
              <w:t>concentrations. Induction of CYP 3A4 activity by agents such as rifampin, carbamazepine, and phenytoin, may lead to a lack of efficacy or, possibly, development of an abstinence syndrome in a patient who had developed physical dependence to oxycodone</w:t>
            </w:r>
            <w:r w:rsidR="002A40AC">
              <w:rPr>
                <w:rFonts w:ascii="Arial" w:hAnsi="Arial" w:cs="Arial"/>
                <w:sz w:val="20"/>
                <w:szCs w:val="20"/>
              </w:rPr>
              <w:t xml:space="preserve"> HCl</w:t>
            </w:r>
            <w:r w:rsidRPr="001836E5">
              <w:rPr>
                <w:rFonts w:ascii="Arial" w:hAnsi="Arial" w:cs="Arial"/>
                <w:sz w:val="20"/>
                <w:szCs w:val="20"/>
              </w:rPr>
              <w:t xml:space="preserve">. If coadministration is necessary, caution is advised when initiating therapy with, currently taking, or discontinuing CYP3A4 inducers. Evaluate at frequent intervals and consider dose adjustments until stable drug effects are achieved. </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CYP 3A4 inhibitors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vAlign w:val="center"/>
          </w:tcPr>
          <w:p w:rsidR="001836E5" w:rsidRPr="001836E5" w:rsidRDefault="001836E5" w:rsidP="00CE0541">
            <w:pPr>
              <w:spacing w:after="0" w:line="240" w:lineRule="auto"/>
              <w:rPr>
                <w:rFonts w:ascii="Arial" w:eastAsia="Arial Unicode MS" w:hAnsi="Arial" w:cs="Arial"/>
                <w:sz w:val="20"/>
                <w:szCs w:val="20"/>
                <w:shd w:val="clear" w:color="auto" w:fill="FFFFFF"/>
              </w:rPr>
            </w:pPr>
            <w:r w:rsidRPr="001836E5">
              <w:rPr>
                <w:rFonts w:ascii="Arial" w:hAnsi="Arial" w:cs="Arial"/>
                <w:sz w:val="20"/>
                <w:szCs w:val="20"/>
              </w:rPr>
              <w:t xml:space="preserve">Coadministration may significantly </w:t>
            </w:r>
            <w:r w:rsidR="00CE0541">
              <w:rPr>
                <w:rFonts w:ascii="Arial" w:hAnsi="Arial" w:cs="Arial"/>
                <w:sz w:val="20"/>
                <w:szCs w:val="20"/>
              </w:rPr>
              <w:t>increase</w:t>
            </w:r>
            <w:r w:rsidRPr="001836E5">
              <w:rPr>
                <w:rFonts w:ascii="Arial" w:hAnsi="Arial" w:cs="Arial"/>
                <w:sz w:val="20"/>
                <w:szCs w:val="20"/>
              </w:rPr>
              <w:t xml:space="preserve"> plasma oxycodone </w:t>
            </w:r>
            <w:r w:rsidR="002A40AC">
              <w:rPr>
                <w:rFonts w:ascii="Arial" w:hAnsi="Arial" w:cs="Arial"/>
                <w:sz w:val="20"/>
                <w:szCs w:val="20"/>
              </w:rPr>
              <w:t xml:space="preserve">HCl </w:t>
            </w:r>
            <w:r w:rsidRPr="001836E5">
              <w:rPr>
                <w:rFonts w:ascii="Arial" w:hAnsi="Arial" w:cs="Arial"/>
                <w:sz w:val="20"/>
                <w:szCs w:val="20"/>
              </w:rPr>
              <w:t>concentrations. Inhibition of CYP 3A4 activity by agents such as macrolide antibiotics (e.g., erythromycin), azole-antifungal agents (e.g., ketoconazole, voriconazole), and protease inhibitors (e.g., ritonavir), may prolong opioid effects. If co-administration is necessary, caution is advised when initiating therapy with, currently taking, or discontinuing CYP 3A4 inhibitors. Evaluate at frequent intervals and consider dose adjustments until stable drug effects are achieved.</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lastRenderedPageBreak/>
              <w:t>CYP 2D6 inhibitors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Oxycodone </w:t>
            </w:r>
            <w:r w:rsidR="002A40AC">
              <w:rPr>
                <w:rFonts w:ascii="Arial" w:hAnsi="Arial" w:cs="Arial"/>
                <w:sz w:val="20"/>
                <w:szCs w:val="20"/>
              </w:rPr>
              <w:t xml:space="preserve">HCl </w:t>
            </w:r>
            <w:r w:rsidRPr="001836E5">
              <w:rPr>
                <w:rFonts w:ascii="Arial" w:hAnsi="Arial" w:cs="Arial"/>
                <w:sz w:val="20"/>
                <w:szCs w:val="20"/>
              </w:rPr>
              <w:t xml:space="preserve">is metabolized in part to oxymorphone via the CYP450 isoenzyme CYP 2D6. While this pathway may be blocked by a variety of drugs (e.g., certain cardiovascular drugs including amiodarone and quinidine, and antidepressants), such blockade has not yet been shown to be of clinical significance with this agent. However, clinicians should be aware of this possible interaction and monitor closely. </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Anticholinergics</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An increased risk of urinary retention and/or severe constipation, which may lead to paralytic ileus, may result from concurrent use with anticholinergics or other medications with anticholinergic activity.</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Fluvoxamine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Concurrent use may result in an increased risk of serotonin syndrome (tachycardia, hyperthermia, myoclonus and mental status changes).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Escitalopram</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Concurrent use may result in an increased risk of serotonin syndrome (tachycardia, hyperthermia, myoclonus and mental status changes).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Sertraline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of sertraline and oxycodone </w:t>
            </w:r>
            <w:r w:rsidR="002A40AC">
              <w:rPr>
                <w:rFonts w:ascii="Arial" w:hAnsi="Arial" w:cs="Arial"/>
                <w:sz w:val="20"/>
                <w:szCs w:val="20"/>
              </w:rPr>
              <w:t xml:space="preserve">HCl </w:t>
            </w:r>
            <w:r w:rsidRPr="001836E5">
              <w:rPr>
                <w:rFonts w:ascii="Arial" w:hAnsi="Arial" w:cs="Arial"/>
                <w:sz w:val="20"/>
                <w:szCs w:val="20"/>
              </w:rPr>
              <w:t>may result in an increased risk of serotonin syndrome (tachycardia, hyperthermia, myoclonus and mental status changes).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Abiraterone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of abiraterone and oxycodone </w:t>
            </w:r>
            <w:r w:rsidR="002A40AC">
              <w:rPr>
                <w:rFonts w:ascii="Arial" w:hAnsi="Arial" w:cs="Arial"/>
                <w:sz w:val="20"/>
                <w:szCs w:val="20"/>
              </w:rPr>
              <w:t xml:space="preserve">HCl </w:t>
            </w:r>
            <w:r w:rsidRPr="001836E5">
              <w:rPr>
                <w:rFonts w:ascii="Arial" w:hAnsi="Arial" w:cs="Arial"/>
                <w:sz w:val="20"/>
                <w:szCs w:val="20"/>
              </w:rPr>
              <w:t xml:space="preserve">may result in increased oxycodone </w:t>
            </w:r>
            <w:r w:rsidR="002A40AC">
              <w:rPr>
                <w:rFonts w:ascii="Arial" w:hAnsi="Arial" w:cs="Arial"/>
                <w:sz w:val="20"/>
                <w:szCs w:val="20"/>
              </w:rPr>
              <w:t xml:space="preserve">HCl </w:t>
            </w:r>
            <w:r w:rsidRPr="001836E5">
              <w:rPr>
                <w:rFonts w:ascii="Arial" w:hAnsi="Arial" w:cs="Arial"/>
                <w:sz w:val="20"/>
                <w:szCs w:val="20"/>
              </w:rPr>
              <w:t>plasma concentrations.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Nefazodone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B5733F">
            <w:pPr>
              <w:spacing w:after="0" w:line="240" w:lineRule="auto"/>
              <w:rPr>
                <w:rFonts w:ascii="Arial" w:hAnsi="Arial" w:cs="Arial"/>
                <w:sz w:val="20"/>
                <w:szCs w:val="20"/>
              </w:rPr>
            </w:pPr>
            <w:r w:rsidRPr="001836E5">
              <w:rPr>
                <w:rFonts w:ascii="Arial" w:hAnsi="Arial" w:cs="Arial"/>
                <w:sz w:val="20"/>
                <w:szCs w:val="20"/>
              </w:rPr>
              <w:t xml:space="preserve">Concurrent use may result in increased oxycodone </w:t>
            </w:r>
            <w:r w:rsidR="002A40AC">
              <w:rPr>
                <w:rFonts w:ascii="Arial" w:hAnsi="Arial" w:cs="Arial"/>
                <w:sz w:val="20"/>
                <w:szCs w:val="20"/>
              </w:rPr>
              <w:t xml:space="preserve">HCl </w:t>
            </w:r>
            <w:r w:rsidRPr="001836E5">
              <w:rPr>
                <w:rFonts w:ascii="Arial" w:hAnsi="Arial" w:cs="Arial"/>
                <w:sz w:val="20"/>
                <w:szCs w:val="20"/>
              </w:rPr>
              <w:t xml:space="preserve">plasma concentrations and decreased oxycodone </w:t>
            </w:r>
            <w:r w:rsidR="002A40AC">
              <w:rPr>
                <w:rFonts w:ascii="Arial" w:hAnsi="Arial" w:cs="Arial"/>
                <w:sz w:val="20"/>
                <w:szCs w:val="20"/>
              </w:rPr>
              <w:t xml:space="preserve">HCl </w:t>
            </w:r>
            <w:r w:rsidRPr="001836E5">
              <w:rPr>
                <w:rFonts w:ascii="Arial" w:hAnsi="Arial" w:cs="Arial"/>
                <w:sz w:val="20"/>
                <w:szCs w:val="20"/>
              </w:rPr>
              <w:t>clearance.</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Cobicistat</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of cobicistat and oxycodone may result in increased oxycodone </w:t>
            </w:r>
            <w:r w:rsidR="00B5733F">
              <w:rPr>
                <w:rFonts w:ascii="Arial" w:hAnsi="Arial" w:cs="Arial"/>
                <w:sz w:val="20"/>
                <w:szCs w:val="20"/>
              </w:rPr>
              <w:t xml:space="preserve">HCl </w:t>
            </w:r>
            <w:r w:rsidRPr="001836E5">
              <w:rPr>
                <w:rFonts w:ascii="Arial" w:hAnsi="Arial" w:cs="Arial"/>
                <w:sz w:val="20"/>
                <w:szCs w:val="20"/>
              </w:rPr>
              <w:t>plasma concentrations.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Amiodarone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B5733F">
            <w:pPr>
              <w:spacing w:after="0" w:line="240" w:lineRule="auto"/>
              <w:rPr>
                <w:rFonts w:ascii="Arial" w:hAnsi="Arial" w:cs="Arial"/>
                <w:sz w:val="20"/>
                <w:szCs w:val="20"/>
              </w:rPr>
            </w:pPr>
            <w:r w:rsidRPr="001836E5">
              <w:rPr>
                <w:rFonts w:ascii="Arial" w:hAnsi="Arial" w:cs="Arial"/>
                <w:sz w:val="20"/>
                <w:szCs w:val="20"/>
              </w:rPr>
              <w:t xml:space="preserve">Concurrent use may result in increased oxycodone </w:t>
            </w:r>
            <w:r w:rsidR="00B5733F">
              <w:rPr>
                <w:rFonts w:ascii="Arial" w:hAnsi="Arial" w:cs="Arial"/>
                <w:sz w:val="20"/>
                <w:szCs w:val="20"/>
              </w:rPr>
              <w:t xml:space="preserve">HCl </w:t>
            </w:r>
            <w:r w:rsidRPr="001836E5">
              <w:rPr>
                <w:rFonts w:ascii="Arial" w:hAnsi="Arial" w:cs="Arial"/>
                <w:sz w:val="20"/>
                <w:szCs w:val="20"/>
              </w:rPr>
              <w:t>plasma concentrations.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Aprepitant</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B5733F" w:rsidP="00B5733F">
            <w:pPr>
              <w:spacing w:after="0" w:line="240" w:lineRule="auto"/>
              <w:rPr>
                <w:rFonts w:ascii="Arial" w:hAnsi="Arial" w:cs="Arial"/>
                <w:sz w:val="20"/>
                <w:szCs w:val="20"/>
              </w:rPr>
            </w:pPr>
            <w:r w:rsidRPr="001836E5">
              <w:rPr>
                <w:rFonts w:ascii="Arial" w:hAnsi="Arial" w:cs="Arial"/>
                <w:sz w:val="20"/>
                <w:szCs w:val="20"/>
              </w:rPr>
              <w:t>Concurrent use</w:t>
            </w:r>
            <w:r>
              <w:rPr>
                <w:rFonts w:ascii="Arial" w:hAnsi="Arial" w:cs="Arial"/>
                <w:sz w:val="20"/>
                <w:szCs w:val="20"/>
              </w:rPr>
              <w:t xml:space="preserve"> </w:t>
            </w:r>
            <w:r w:rsidR="001836E5" w:rsidRPr="001836E5">
              <w:rPr>
                <w:rFonts w:ascii="Arial" w:hAnsi="Arial" w:cs="Arial"/>
                <w:sz w:val="20"/>
                <w:szCs w:val="20"/>
              </w:rPr>
              <w:t>may result in increased oxycodone</w:t>
            </w:r>
            <w:r>
              <w:rPr>
                <w:rFonts w:ascii="Arial" w:hAnsi="Arial" w:cs="Arial"/>
                <w:sz w:val="20"/>
                <w:szCs w:val="20"/>
              </w:rPr>
              <w:t xml:space="preserve"> HCl</w:t>
            </w:r>
            <w:r w:rsidR="001836E5" w:rsidRPr="001836E5">
              <w:rPr>
                <w:rFonts w:ascii="Arial" w:hAnsi="Arial" w:cs="Arial"/>
                <w:sz w:val="20"/>
                <w:szCs w:val="20"/>
              </w:rPr>
              <w:t xml:space="preserve"> plasma concentrations and decreased oxycodone </w:t>
            </w:r>
            <w:r>
              <w:rPr>
                <w:rFonts w:ascii="Arial" w:hAnsi="Arial" w:cs="Arial"/>
                <w:sz w:val="20"/>
                <w:szCs w:val="20"/>
              </w:rPr>
              <w:t xml:space="preserve">HCl </w:t>
            </w:r>
            <w:r w:rsidR="001836E5" w:rsidRPr="001836E5">
              <w:rPr>
                <w:rFonts w:ascii="Arial" w:hAnsi="Arial" w:cs="Arial"/>
                <w:sz w:val="20"/>
                <w:szCs w:val="20"/>
              </w:rPr>
              <w:t>clearance.</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Meclizine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Major</w:t>
            </w:r>
          </w:p>
        </w:tc>
        <w:tc>
          <w:tcPr>
            <w:tcW w:w="5598"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shd w:val="clear" w:color="auto" w:fill="FFFFFF"/>
              </w:rPr>
              <w:t>May result in increased risk of paralytic ileus and increased risk of respiratory and CNS depression.</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Carbamazepine</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may result in decreased oxycodone </w:t>
            </w:r>
            <w:r w:rsidR="00B5733F">
              <w:rPr>
                <w:rFonts w:ascii="Arial" w:hAnsi="Arial" w:cs="Arial"/>
                <w:sz w:val="20"/>
                <w:szCs w:val="20"/>
              </w:rPr>
              <w:t xml:space="preserve">HCl </w:t>
            </w:r>
            <w:r w:rsidRPr="001836E5">
              <w:rPr>
                <w:rFonts w:ascii="Arial" w:hAnsi="Arial" w:cs="Arial"/>
                <w:sz w:val="20"/>
                <w:szCs w:val="20"/>
              </w:rPr>
              <w:t>exposure and plasma concentrations.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Phenytoin</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may result in decreased oxycodone </w:t>
            </w:r>
            <w:r w:rsidR="00B5733F">
              <w:rPr>
                <w:rFonts w:ascii="Arial" w:hAnsi="Arial" w:cs="Arial"/>
                <w:sz w:val="20"/>
                <w:szCs w:val="20"/>
              </w:rPr>
              <w:t xml:space="preserve">HCl </w:t>
            </w:r>
            <w:r w:rsidRPr="001836E5">
              <w:rPr>
                <w:rFonts w:ascii="Arial" w:hAnsi="Arial" w:cs="Arial"/>
                <w:sz w:val="20"/>
                <w:szCs w:val="20"/>
              </w:rPr>
              <w:t>exposure and plasma concentrations.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Diuretics (e.g., furosemide, hydrochlorothiazide, spironolactone, etc.)</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tcPr>
          <w:p w:rsidR="001836E5" w:rsidRPr="001836E5" w:rsidRDefault="001836E5" w:rsidP="001836E5">
            <w:pPr>
              <w:spacing w:after="0" w:line="240" w:lineRule="auto"/>
              <w:rPr>
                <w:rFonts w:ascii="Arial" w:hAnsi="Arial" w:cs="Arial"/>
                <w:sz w:val="20"/>
                <w:szCs w:val="20"/>
                <w:shd w:val="clear" w:color="auto" w:fill="FFFFFF"/>
              </w:rPr>
            </w:pPr>
            <w:r w:rsidRPr="001836E5">
              <w:rPr>
                <w:rFonts w:ascii="Arial" w:hAnsi="Arial" w:cs="Arial"/>
                <w:sz w:val="20"/>
                <w:szCs w:val="20"/>
              </w:rPr>
              <w:t xml:space="preserve">Concurrent use </w:t>
            </w:r>
            <w:r w:rsidRPr="001836E5">
              <w:rPr>
                <w:rFonts w:ascii="Arial" w:hAnsi="Arial" w:cs="Arial"/>
                <w:sz w:val="20"/>
                <w:szCs w:val="20"/>
                <w:shd w:val="clear" w:color="auto" w:fill="FFFFFF"/>
              </w:rPr>
              <w:t>may result in decreased diuretic efficacy.</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St John’s Wort</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Concurrent use may result in decreased plasma levels and efficacy of oxycodone</w:t>
            </w:r>
            <w:r w:rsidR="00B5733F">
              <w:rPr>
                <w:rFonts w:ascii="Arial" w:hAnsi="Arial" w:cs="Arial"/>
                <w:sz w:val="20"/>
                <w:szCs w:val="20"/>
              </w:rPr>
              <w:t xml:space="preserve"> HCl</w:t>
            </w:r>
            <w:r w:rsidRPr="001836E5">
              <w:rPr>
                <w:rFonts w:ascii="Arial" w:hAnsi="Arial" w:cs="Arial"/>
                <w:sz w:val="20"/>
                <w:szCs w:val="20"/>
              </w:rPr>
              <w:t>.</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Rifampin</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Concurrent use may result in decreased oxycodone </w:t>
            </w:r>
            <w:r w:rsidR="00B5733F">
              <w:rPr>
                <w:rFonts w:ascii="Arial" w:hAnsi="Arial" w:cs="Arial"/>
                <w:sz w:val="20"/>
                <w:szCs w:val="20"/>
              </w:rPr>
              <w:t xml:space="preserve">HCl </w:t>
            </w:r>
            <w:r w:rsidRPr="001836E5">
              <w:rPr>
                <w:rFonts w:ascii="Arial" w:hAnsi="Arial" w:cs="Arial"/>
                <w:sz w:val="20"/>
                <w:szCs w:val="20"/>
              </w:rPr>
              <w:t>exposure and plasma concentrations.</w:t>
            </w:r>
          </w:p>
        </w:tc>
      </w:tr>
      <w:tr w:rsidR="001836E5" w:rsidRPr="001836E5" w:rsidTr="00286ACE">
        <w:trPr>
          <w:trHeight w:val="64"/>
        </w:trPr>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Ginseng</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vAlign w:val="center"/>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Concurrent use may result in reduced opioid analgesic effectiveness.</w:t>
            </w:r>
          </w:p>
        </w:tc>
      </w:tr>
      <w:tr w:rsidR="001836E5" w:rsidRPr="001836E5" w:rsidTr="00286ACE">
        <w:tc>
          <w:tcPr>
            <w:tcW w:w="2070" w:type="dxa"/>
          </w:tcPr>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Kava</w:t>
            </w:r>
          </w:p>
        </w:tc>
        <w:tc>
          <w:tcPr>
            <w:tcW w:w="1800" w:type="dxa"/>
          </w:tcPr>
          <w:p w:rsidR="001836E5" w:rsidRPr="001836E5" w:rsidRDefault="001836E5" w:rsidP="001836E5">
            <w:pPr>
              <w:spacing w:after="0" w:line="240" w:lineRule="auto"/>
              <w:jc w:val="center"/>
              <w:rPr>
                <w:rFonts w:ascii="Arial" w:hAnsi="Arial" w:cs="Arial"/>
                <w:sz w:val="20"/>
                <w:szCs w:val="20"/>
              </w:rPr>
            </w:pPr>
            <w:r w:rsidRPr="001836E5">
              <w:rPr>
                <w:rFonts w:ascii="Arial" w:hAnsi="Arial" w:cs="Arial"/>
                <w:sz w:val="20"/>
                <w:szCs w:val="20"/>
              </w:rPr>
              <w:t>Moderate</w:t>
            </w:r>
          </w:p>
        </w:tc>
        <w:tc>
          <w:tcPr>
            <w:tcW w:w="5598" w:type="dxa"/>
          </w:tcPr>
          <w:p w:rsidR="001836E5" w:rsidRPr="001836E5" w:rsidRDefault="001836E5" w:rsidP="001836E5">
            <w:pPr>
              <w:spacing w:after="0" w:line="240" w:lineRule="auto"/>
              <w:rPr>
                <w:rFonts w:ascii="Arial" w:hAnsi="Arial" w:cs="Arial"/>
                <w:sz w:val="20"/>
                <w:szCs w:val="20"/>
                <w:shd w:val="clear" w:color="auto" w:fill="FFFFFF"/>
              </w:rPr>
            </w:pPr>
            <w:r w:rsidRPr="001836E5">
              <w:rPr>
                <w:rFonts w:ascii="Arial" w:hAnsi="Arial" w:cs="Arial"/>
                <w:sz w:val="20"/>
                <w:szCs w:val="20"/>
                <w:shd w:val="clear" w:color="auto" w:fill="FFFFFF"/>
              </w:rPr>
              <w:t>Concurrent use may result in increased central nervous system depression.</w:t>
            </w:r>
          </w:p>
        </w:tc>
      </w:tr>
    </w:tbl>
    <w:p w:rsidR="00AD075A" w:rsidRPr="00AD075A" w:rsidRDefault="00AD075A" w:rsidP="00AD075A">
      <w:pPr>
        <w:spacing w:after="0" w:line="240" w:lineRule="auto"/>
        <w:rPr>
          <w:rFonts w:ascii="Arial" w:hAnsi="Arial" w:cs="Arial"/>
          <w:sz w:val="16"/>
          <w:szCs w:val="16"/>
        </w:rPr>
      </w:pPr>
      <w:r w:rsidRPr="00AD075A">
        <w:rPr>
          <w:rFonts w:ascii="Arial" w:hAnsi="Arial" w:cs="Arial"/>
          <w:sz w:val="18"/>
          <w:szCs w:val="18"/>
        </w:rPr>
        <w:t>*</w:t>
      </w:r>
      <w:r w:rsidRPr="00AD075A">
        <w:rPr>
          <w:rFonts w:ascii="Arial" w:hAnsi="Arial" w:cs="Arial"/>
          <w:sz w:val="16"/>
          <w:szCs w:val="16"/>
        </w:rPr>
        <w:t>Severity rating per Micromedex</w:t>
      </w:r>
    </w:p>
    <w:p w:rsidR="00AD075A" w:rsidRDefault="00AD075A" w:rsidP="00567499">
      <w:pPr>
        <w:pStyle w:val="NoSpacing"/>
        <w:rPr>
          <w:rFonts w:ascii="Arial" w:hAnsi="Arial" w:cs="Arial"/>
          <w:sz w:val="20"/>
          <w:szCs w:val="20"/>
        </w:rPr>
      </w:pPr>
    </w:p>
    <w:p w:rsidR="00B82BF2" w:rsidRDefault="00B82BF2" w:rsidP="00AD075A">
      <w:pPr>
        <w:spacing w:after="0" w:line="240" w:lineRule="auto"/>
        <w:rPr>
          <w:rFonts w:ascii="Arial" w:hAnsi="Arial" w:cs="Arial"/>
          <w:b/>
          <w:sz w:val="20"/>
          <w:szCs w:val="20"/>
          <w:u w:val="single"/>
        </w:rPr>
      </w:pPr>
    </w:p>
    <w:p w:rsidR="00AD075A" w:rsidRPr="00AD075A" w:rsidRDefault="00AD075A" w:rsidP="00AD075A">
      <w:pPr>
        <w:spacing w:after="0" w:line="240" w:lineRule="auto"/>
        <w:rPr>
          <w:rFonts w:ascii="Arial" w:hAnsi="Arial" w:cs="Arial"/>
          <w:sz w:val="20"/>
          <w:szCs w:val="20"/>
          <w:vertAlign w:val="superscript"/>
        </w:rPr>
      </w:pPr>
      <w:r w:rsidRPr="00AD075A">
        <w:rPr>
          <w:rFonts w:ascii="Arial" w:hAnsi="Arial" w:cs="Arial"/>
          <w:b/>
          <w:sz w:val="20"/>
          <w:szCs w:val="20"/>
          <w:u w:val="single"/>
        </w:rPr>
        <w:lastRenderedPageBreak/>
        <w:t>Patient Monitoring Guidelines</w:t>
      </w:r>
      <w:r w:rsidR="00CC06E3">
        <w:rPr>
          <w:rFonts w:ascii="Arial" w:hAnsi="Arial" w:cs="Arial"/>
          <w:b/>
          <w:sz w:val="20"/>
          <w:szCs w:val="20"/>
          <w:vertAlign w:val="superscript"/>
        </w:rPr>
        <w:t>1</w:t>
      </w:r>
      <w:proofErr w:type="gramStart"/>
      <w:r w:rsidR="00CC06E3">
        <w:rPr>
          <w:rFonts w:ascii="Arial" w:hAnsi="Arial" w:cs="Arial"/>
          <w:b/>
          <w:sz w:val="20"/>
          <w:szCs w:val="20"/>
          <w:vertAlign w:val="superscript"/>
        </w:rPr>
        <w:t>,2</w:t>
      </w:r>
      <w:proofErr w:type="gramEnd"/>
    </w:p>
    <w:p w:rsidR="00AD075A" w:rsidRPr="00AD075A" w:rsidRDefault="00AD075A" w:rsidP="00AD075A">
      <w:pPr>
        <w:spacing w:after="0" w:line="240" w:lineRule="auto"/>
        <w:rPr>
          <w:rFonts w:ascii="Arial" w:hAnsi="Arial" w:cs="Arial"/>
          <w:sz w:val="20"/>
          <w:szCs w:val="20"/>
        </w:rPr>
      </w:pPr>
      <w:r w:rsidRPr="00AD075A">
        <w:rPr>
          <w:rFonts w:ascii="Arial" w:hAnsi="Arial" w:cs="Arial"/>
          <w:sz w:val="20"/>
          <w:szCs w:val="20"/>
        </w:rPr>
        <w:t xml:space="preserve">Assess each patient's risk for opioid addiction, abuse, or misuse prior to initiating therapy and monitor all patients for the development of these behaviors or conditions. “Drug seeking” behaviors should also be monitored to help identify these potential concerns. </w:t>
      </w:r>
    </w:p>
    <w:p w:rsidR="001836E5" w:rsidRDefault="001836E5" w:rsidP="00AD075A">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Continually re-evaluate patients to assess the maintenance of pain control and the development of adverse reactions. Frequent communication is important among the prescriber, other members of the healthcare team, the patient, and the caregiver/family during periods of changing analgesic requirements, including initial titration. During chronic therapy, periodically reassess the continued need for opioid analgesics. Patients should be closely monitoring when transitioning to </w:t>
      </w:r>
      <w:proofErr w:type="spellStart"/>
      <w:r w:rsidRPr="001836E5">
        <w:rPr>
          <w:rFonts w:ascii="Arial" w:hAnsi="Arial" w:cs="Arial"/>
          <w:sz w:val="20"/>
          <w:szCs w:val="20"/>
        </w:rPr>
        <w:t>Oxaydo</w:t>
      </w:r>
      <w:proofErr w:type="spellEnd"/>
      <w:r w:rsidRPr="001836E5">
        <w:rPr>
          <w:rFonts w:ascii="Arial" w:hAnsi="Arial" w:cs="Arial"/>
          <w:sz w:val="20"/>
          <w:szCs w:val="20"/>
          <w:vertAlign w:val="superscript"/>
        </w:rPr>
        <w:t>®</w:t>
      </w:r>
      <w:r w:rsidRPr="001836E5">
        <w:rPr>
          <w:rFonts w:ascii="Arial" w:hAnsi="Arial" w:cs="Arial"/>
          <w:sz w:val="20"/>
          <w:szCs w:val="20"/>
        </w:rPr>
        <w:t xml:space="preserve"> (oxycodone </w:t>
      </w:r>
      <w:proofErr w:type="spellStart"/>
      <w:r w:rsidRPr="001836E5">
        <w:rPr>
          <w:rFonts w:ascii="Arial" w:hAnsi="Arial" w:cs="Arial"/>
          <w:sz w:val="20"/>
          <w:szCs w:val="20"/>
        </w:rPr>
        <w:t>HCl</w:t>
      </w:r>
      <w:proofErr w:type="spellEnd"/>
      <w:r w:rsidRPr="001836E5">
        <w:rPr>
          <w:rFonts w:ascii="Arial" w:hAnsi="Arial" w:cs="Arial"/>
          <w:sz w:val="20"/>
          <w:szCs w:val="20"/>
        </w:rPr>
        <w:t xml:space="preserve">) from another opioid analgesic or from </w:t>
      </w:r>
      <w:proofErr w:type="spellStart"/>
      <w:r w:rsidRPr="001836E5">
        <w:rPr>
          <w:rFonts w:ascii="Arial" w:hAnsi="Arial" w:cs="Arial"/>
          <w:sz w:val="20"/>
          <w:szCs w:val="20"/>
        </w:rPr>
        <w:t>Oxaydo</w:t>
      </w:r>
      <w:proofErr w:type="spellEnd"/>
      <w:r w:rsidRPr="001836E5">
        <w:rPr>
          <w:rFonts w:ascii="Arial" w:hAnsi="Arial" w:cs="Arial"/>
          <w:sz w:val="20"/>
          <w:szCs w:val="20"/>
          <w:vertAlign w:val="superscript"/>
        </w:rPr>
        <w:t>®</w:t>
      </w:r>
      <w:r w:rsidRPr="001836E5">
        <w:rPr>
          <w:rFonts w:ascii="Arial" w:hAnsi="Arial" w:cs="Arial"/>
          <w:sz w:val="20"/>
          <w:szCs w:val="20"/>
        </w:rPr>
        <w:t xml:space="preserve"> (oxycodone </w:t>
      </w:r>
      <w:proofErr w:type="spellStart"/>
      <w:r w:rsidRPr="001836E5">
        <w:rPr>
          <w:rFonts w:ascii="Arial" w:hAnsi="Arial" w:cs="Arial"/>
          <w:sz w:val="20"/>
          <w:szCs w:val="20"/>
        </w:rPr>
        <w:t>HCl</w:t>
      </w:r>
      <w:proofErr w:type="spellEnd"/>
      <w:r w:rsidRPr="001836E5">
        <w:rPr>
          <w:rFonts w:ascii="Arial" w:hAnsi="Arial" w:cs="Arial"/>
          <w:sz w:val="20"/>
          <w:szCs w:val="20"/>
        </w:rPr>
        <w:t xml:space="preserve">) to another opioid analgesic as there may be significant inter-patient variability in the relative potency of opioid therapies. </w:t>
      </w:r>
    </w:p>
    <w:p w:rsidR="00AD075A" w:rsidRPr="00AD075A" w:rsidRDefault="00AD075A" w:rsidP="00AD075A">
      <w:pPr>
        <w:spacing w:after="0" w:line="240" w:lineRule="auto"/>
        <w:rPr>
          <w:rFonts w:ascii="Arial" w:hAnsi="Arial" w:cs="Arial"/>
          <w:sz w:val="20"/>
          <w:szCs w:val="20"/>
        </w:rPr>
      </w:pPr>
    </w:p>
    <w:p w:rsidR="001836E5" w:rsidRPr="001836E5" w:rsidRDefault="001836E5" w:rsidP="001836E5">
      <w:pPr>
        <w:spacing w:after="0" w:line="240" w:lineRule="auto"/>
        <w:rPr>
          <w:rFonts w:ascii="Arial" w:hAnsi="Arial" w:cs="Arial"/>
          <w:sz w:val="20"/>
          <w:szCs w:val="20"/>
        </w:rPr>
      </w:pPr>
      <w:r w:rsidRPr="001836E5">
        <w:rPr>
          <w:rFonts w:ascii="Arial" w:hAnsi="Arial" w:cs="Arial"/>
          <w:sz w:val="20"/>
          <w:szCs w:val="20"/>
        </w:rPr>
        <w:t xml:space="preserve">Continuously monitor patients for new or worsening adverse events or changes in medication efficacy, particularly with changes in drug doses and/or frequency. Closely monitor patients when there is the addition or elimination of other agents that may alter the efficacy or adverse event profile of the interacting agent(s). Individuals with renal and/or hepatic impairment as well as the elderly should have initial doses adjusted to account for impaired ability to metabolize and eliminate oxycodone and its metabolites. These individuals should be closely monitored as there is the increased risk of adverse events, particularly with changes in the underlying disease impairment and/or dose adjustments.  </w:t>
      </w:r>
    </w:p>
    <w:p w:rsidR="00E3701F" w:rsidRDefault="00E3701F" w:rsidP="00567499">
      <w:pPr>
        <w:pStyle w:val="NoSpacing"/>
        <w:rPr>
          <w:rFonts w:ascii="Arial" w:hAnsi="Arial" w:cs="Arial"/>
          <w:b/>
          <w:sz w:val="20"/>
          <w:szCs w:val="20"/>
          <w:u w:val="single"/>
        </w:rPr>
      </w:pPr>
    </w:p>
    <w:p w:rsidR="00956A76" w:rsidRPr="00956A76" w:rsidRDefault="00956A76" w:rsidP="00956A76">
      <w:pPr>
        <w:spacing w:after="0" w:line="240" w:lineRule="auto"/>
        <w:rPr>
          <w:rFonts w:ascii="Arial" w:hAnsi="Arial" w:cs="Arial"/>
          <w:sz w:val="20"/>
          <w:szCs w:val="20"/>
        </w:rPr>
      </w:pPr>
      <w:r w:rsidRPr="00956A76">
        <w:rPr>
          <w:rFonts w:ascii="Arial" w:hAnsi="Arial" w:cs="Arial"/>
          <w:sz w:val="20"/>
          <w:szCs w:val="20"/>
        </w:rPr>
        <w:t>The following signs and symptoms should be monitored during therapy with opioids:</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 xml:space="preserve">respiratory depression and sedation; following treatment initiation and after dose increases; and particularly in high risk patient (elderly, cachectic, and debilitated patients and those with preexisting respiratory depression or otherwise significantly reduced respiratory reserve) </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exacer</w:t>
      </w:r>
      <w:r>
        <w:rPr>
          <w:rFonts w:ascii="Arial" w:eastAsia="Times New Roman" w:hAnsi="Arial" w:cs="Arial"/>
          <w:sz w:val="20"/>
          <w:szCs w:val="20"/>
        </w:rPr>
        <w:t>bation of biliary tract disease, including acute pancreatitis, in patients with a medical history of these disorders</w:t>
      </w:r>
    </w:p>
    <w:p w:rsidR="00956A76" w:rsidRP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 xml:space="preserve">hypotension; in ambulatory patients; on initiation and with dose titration; especially when ability to maintain blood pressure is compromised </w:t>
      </w:r>
    </w:p>
    <w:p w:rsidR="00956A76" w:rsidRDefault="00956A76" w:rsidP="00956A76">
      <w:pPr>
        <w:numPr>
          <w:ilvl w:val="0"/>
          <w:numId w:val="14"/>
        </w:numPr>
        <w:spacing w:after="0" w:line="240" w:lineRule="auto"/>
        <w:rPr>
          <w:rFonts w:ascii="Arial" w:eastAsia="Times New Roman" w:hAnsi="Arial" w:cs="Arial"/>
          <w:sz w:val="20"/>
          <w:szCs w:val="20"/>
        </w:rPr>
      </w:pPr>
      <w:r w:rsidRPr="00956A76">
        <w:rPr>
          <w:rFonts w:ascii="Arial" w:eastAsia="Times New Roman" w:hAnsi="Arial" w:cs="Arial"/>
          <w:sz w:val="20"/>
          <w:szCs w:val="20"/>
        </w:rPr>
        <w:t>worsened seizure control; in patients with a history of seizure disorders</w:t>
      </w:r>
    </w:p>
    <w:p w:rsidR="00956A76" w:rsidRPr="00956A76" w:rsidRDefault="00956A76" w:rsidP="00956A76">
      <w:pPr>
        <w:numPr>
          <w:ilvl w:val="0"/>
          <w:numId w:val="14"/>
        </w:numPr>
        <w:spacing w:after="0" w:line="240" w:lineRule="auto"/>
        <w:rPr>
          <w:rFonts w:ascii="Arial" w:eastAsia="Times New Roman" w:hAnsi="Arial" w:cs="Arial"/>
          <w:sz w:val="20"/>
          <w:szCs w:val="20"/>
        </w:rPr>
      </w:pPr>
      <w:r>
        <w:rPr>
          <w:rFonts w:ascii="Arial" w:eastAsia="Times New Roman" w:hAnsi="Arial" w:cs="Arial"/>
          <w:sz w:val="20"/>
          <w:szCs w:val="20"/>
        </w:rPr>
        <w:t xml:space="preserve">CNS depression </w:t>
      </w:r>
    </w:p>
    <w:p w:rsidR="00956A76" w:rsidRDefault="00956A76" w:rsidP="00567499">
      <w:pPr>
        <w:pStyle w:val="NoSpacing"/>
        <w:rPr>
          <w:rFonts w:ascii="Arial" w:hAnsi="Arial" w:cs="Arial"/>
          <w:b/>
          <w:sz w:val="20"/>
          <w:szCs w:val="20"/>
          <w:u w:val="single"/>
        </w:rPr>
      </w:pPr>
    </w:p>
    <w:p w:rsidR="00B36A16" w:rsidRDefault="00B36A16" w:rsidP="00B36A16">
      <w:pPr>
        <w:pStyle w:val="NoSpacing"/>
        <w:rPr>
          <w:rFonts w:ascii="Arial" w:hAnsi="Arial" w:cs="Arial"/>
          <w:b/>
          <w:sz w:val="20"/>
          <w:szCs w:val="20"/>
          <w:u w:val="single"/>
        </w:rPr>
      </w:pPr>
      <w:r w:rsidRPr="0044122B">
        <w:rPr>
          <w:rFonts w:ascii="Arial" w:hAnsi="Arial" w:cs="Arial"/>
          <w:b/>
          <w:sz w:val="20"/>
          <w:szCs w:val="20"/>
          <w:u w:val="single"/>
        </w:rPr>
        <w:t>References</w:t>
      </w:r>
    </w:p>
    <w:p w:rsidR="00B36A16" w:rsidRPr="00B82BF2" w:rsidRDefault="00B36A16" w:rsidP="00B36A16">
      <w:pPr>
        <w:pStyle w:val="ListParagraph"/>
        <w:numPr>
          <w:ilvl w:val="0"/>
          <w:numId w:val="29"/>
        </w:numPr>
        <w:ind w:left="360"/>
        <w:outlineLvl w:val="0"/>
        <w:rPr>
          <w:rFonts w:ascii="Arial" w:hAnsi="Arial" w:cs="Arial"/>
          <w:sz w:val="18"/>
          <w:szCs w:val="18"/>
        </w:rPr>
      </w:pPr>
      <w:proofErr w:type="spellStart"/>
      <w:r w:rsidRPr="00B82BF2">
        <w:rPr>
          <w:rFonts w:ascii="Arial" w:hAnsi="Arial" w:cs="Arial"/>
          <w:sz w:val="18"/>
          <w:szCs w:val="18"/>
        </w:rPr>
        <w:t>Oxaydo</w:t>
      </w:r>
      <w:proofErr w:type="spellEnd"/>
      <w:r w:rsidRPr="00B82BF2">
        <w:rPr>
          <w:rFonts w:ascii="Arial" w:hAnsi="Arial" w:cs="Arial"/>
          <w:sz w:val="18"/>
          <w:szCs w:val="18"/>
          <w:vertAlign w:val="superscript"/>
        </w:rPr>
        <w:t>®</w:t>
      </w:r>
      <w:r w:rsidRPr="00B82BF2">
        <w:rPr>
          <w:rFonts w:ascii="Arial" w:hAnsi="Arial" w:cs="Arial"/>
          <w:sz w:val="18"/>
          <w:szCs w:val="18"/>
        </w:rPr>
        <w:t xml:space="preserve"> [package insert]. Wayne (PA): </w:t>
      </w:r>
      <w:proofErr w:type="spellStart"/>
      <w:r w:rsidRPr="00B82BF2">
        <w:rPr>
          <w:rFonts w:ascii="Arial" w:hAnsi="Arial" w:cs="Arial"/>
          <w:sz w:val="18"/>
          <w:szCs w:val="18"/>
        </w:rPr>
        <w:t>Egalet</w:t>
      </w:r>
      <w:proofErr w:type="spellEnd"/>
      <w:r w:rsidRPr="00B82BF2">
        <w:rPr>
          <w:rFonts w:ascii="Arial" w:hAnsi="Arial" w:cs="Arial"/>
          <w:sz w:val="18"/>
          <w:szCs w:val="18"/>
        </w:rPr>
        <w:t xml:space="preserve"> US Inc.; 2015 Apr.</w:t>
      </w:r>
    </w:p>
    <w:p w:rsidR="00B36A16" w:rsidRPr="00B82BF2" w:rsidRDefault="00B36A16" w:rsidP="00B36A16">
      <w:pPr>
        <w:pStyle w:val="ListParagraph"/>
        <w:numPr>
          <w:ilvl w:val="0"/>
          <w:numId w:val="29"/>
        </w:numPr>
        <w:ind w:left="360"/>
        <w:outlineLvl w:val="0"/>
        <w:rPr>
          <w:rFonts w:ascii="Arial" w:hAnsi="Arial" w:cs="Arial"/>
          <w:sz w:val="18"/>
          <w:szCs w:val="18"/>
        </w:rPr>
      </w:pPr>
      <w:r w:rsidRPr="00B82BF2">
        <w:rPr>
          <w:rFonts w:ascii="Arial" w:hAnsi="Arial" w:cs="Arial"/>
          <w:sz w:val="18"/>
          <w:szCs w:val="18"/>
        </w:rPr>
        <w:t>Micromedex</w:t>
      </w:r>
      <w:r w:rsidRPr="00B82BF2">
        <w:rPr>
          <w:rFonts w:ascii="Arial" w:hAnsi="Arial" w:cs="Arial"/>
          <w:sz w:val="18"/>
          <w:szCs w:val="18"/>
          <w:vertAlign w:val="superscript"/>
        </w:rPr>
        <w:t>®</w:t>
      </w:r>
      <w:r w:rsidRPr="00B82BF2">
        <w:rPr>
          <w:rFonts w:ascii="Arial" w:hAnsi="Arial" w:cs="Arial"/>
          <w:sz w:val="18"/>
          <w:szCs w:val="18"/>
        </w:rPr>
        <w:t xml:space="preserve"> Healthcare Series [database on the Internet]. Greenwood Village (CO): Thomson Healthcare; Updated periodically [cited 2015 Dec 8]. Available at: </w:t>
      </w:r>
      <w:hyperlink r:id="rId14" w:history="1">
        <w:r w:rsidRPr="00B82BF2">
          <w:rPr>
            <w:rStyle w:val="Hyperlink"/>
            <w:rFonts w:ascii="Arial" w:hAnsi="Arial" w:cs="Arial"/>
            <w:color w:val="auto"/>
            <w:sz w:val="18"/>
            <w:szCs w:val="18"/>
          </w:rPr>
          <w:t>http://www.thomsonhc.com/</w:t>
        </w:r>
      </w:hyperlink>
      <w:r w:rsidRPr="00B82BF2">
        <w:rPr>
          <w:rFonts w:ascii="Arial" w:hAnsi="Arial" w:cs="Arial"/>
          <w:sz w:val="18"/>
          <w:szCs w:val="18"/>
        </w:rPr>
        <w:t>.</w:t>
      </w:r>
    </w:p>
    <w:p w:rsidR="00B36A16" w:rsidRPr="00B82BF2" w:rsidRDefault="00B36A16" w:rsidP="00B36A16">
      <w:pPr>
        <w:pStyle w:val="ListParagraph"/>
        <w:numPr>
          <w:ilvl w:val="0"/>
          <w:numId w:val="29"/>
        </w:numPr>
        <w:ind w:left="360"/>
        <w:outlineLvl w:val="0"/>
        <w:rPr>
          <w:rFonts w:ascii="Arial" w:hAnsi="Arial" w:cs="Arial"/>
          <w:sz w:val="18"/>
          <w:szCs w:val="18"/>
        </w:rPr>
      </w:pPr>
      <w:r w:rsidRPr="00B82BF2">
        <w:rPr>
          <w:rFonts w:ascii="Arial" w:hAnsi="Arial" w:cs="Arial"/>
          <w:bCs/>
          <w:sz w:val="18"/>
          <w:szCs w:val="18"/>
        </w:rPr>
        <w:t>Acura Pharmaceuticals, Inc. Aversion</w:t>
      </w:r>
      <w:r w:rsidRPr="00B82BF2">
        <w:rPr>
          <w:rFonts w:ascii="Arial" w:hAnsi="Arial" w:cs="Arial"/>
          <w:bCs/>
          <w:sz w:val="18"/>
          <w:szCs w:val="18"/>
          <w:vertAlign w:val="superscript"/>
        </w:rPr>
        <w:t>®</w:t>
      </w:r>
      <w:r w:rsidRPr="00B82BF2">
        <w:rPr>
          <w:rFonts w:ascii="Arial" w:hAnsi="Arial" w:cs="Arial"/>
          <w:bCs/>
          <w:sz w:val="18"/>
          <w:szCs w:val="18"/>
        </w:rPr>
        <w:t xml:space="preserve"> Technology [webpage on the Internet]. Acura Pharmaceuticals, Inc; 2011 [cited 2015 Dec 15]. Available from: </w:t>
      </w:r>
      <w:hyperlink r:id="rId15" w:history="1">
        <w:r w:rsidRPr="00B82BF2">
          <w:rPr>
            <w:rStyle w:val="Hyperlink"/>
            <w:rFonts w:ascii="Arial" w:hAnsi="Arial" w:cs="Arial"/>
            <w:bCs/>
            <w:color w:val="auto"/>
            <w:sz w:val="18"/>
            <w:szCs w:val="18"/>
          </w:rPr>
          <w:t>http://acurapharm.com/research-development/aversion-technology/</w:t>
        </w:r>
      </w:hyperlink>
      <w:r w:rsidRPr="00B82BF2">
        <w:rPr>
          <w:rFonts w:ascii="Arial" w:hAnsi="Arial" w:cs="Arial"/>
          <w:bCs/>
          <w:sz w:val="18"/>
          <w:szCs w:val="18"/>
        </w:rPr>
        <w:t>.</w:t>
      </w:r>
    </w:p>
    <w:p w:rsidR="00B36A16" w:rsidRPr="00B82BF2" w:rsidRDefault="00B36A16" w:rsidP="00B36A16">
      <w:pPr>
        <w:pStyle w:val="ListParagraph"/>
        <w:numPr>
          <w:ilvl w:val="0"/>
          <w:numId w:val="29"/>
        </w:numPr>
        <w:ind w:left="360"/>
        <w:rPr>
          <w:rFonts w:ascii="Arial" w:hAnsi="Arial" w:cs="Arial"/>
          <w:sz w:val="18"/>
          <w:szCs w:val="18"/>
        </w:rPr>
      </w:pPr>
      <w:proofErr w:type="spellStart"/>
      <w:r w:rsidRPr="00B82BF2">
        <w:rPr>
          <w:rFonts w:ascii="Arial" w:hAnsi="Arial" w:cs="Arial"/>
          <w:sz w:val="18"/>
          <w:szCs w:val="18"/>
        </w:rPr>
        <w:t>Schoedel</w:t>
      </w:r>
      <w:proofErr w:type="spellEnd"/>
      <w:r w:rsidRPr="00B82BF2">
        <w:rPr>
          <w:rFonts w:ascii="Arial" w:hAnsi="Arial" w:cs="Arial"/>
          <w:sz w:val="18"/>
          <w:szCs w:val="18"/>
        </w:rPr>
        <w:t xml:space="preserve"> KA, </w:t>
      </w:r>
      <w:proofErr w:type="spellStart"/>
      <w:r w:rsidRPr="00B82BF2">
        <w:rPr>
          <w:rFonts w:ascii="Arial" w:hAnsi="Arial" w:cs="Arial"/>
          <w:sz w:val="18"/>
          <w:szCs w:val="18"/>
        </w:rPr>
        <w:t>Rolleri</w:t>
      </w:r>
      <w:proofErr w:type="spellEnd"/>
      <w:r w:rsidRPr="00B82BF2">
        <w:rPr>
          <w:rFonts w:ascii="Arial" w:hAnsi="Arial" w:cs="Arial"/>
          <w:sz w:val="18"/>
          <w:szCs w:val="18"/>
        </w:rPr>
        <w:t xml:space="preserve"> RL, </w:t>
      </w:r>
      <w:proofErr w:type="spellStart"/>
      <w:r w:rsidRPr="00B82BF2">
        <w:rPr>
          <w:rFonts w:ascii="Arial" w:hAnsi="Arial" w:cs="Arial"/>
          <w:sz w:val="18"/>
          <w:szCs w:val="18"/>
        </w:rPr>
        <w:t>Faulknor</w:t>
      </w:r>
      <w:proofErr w:type="spellEnd"/>
      <w:r w:rsidRPr="00B82BF2">
        <w:rPr>
          <w:rFonts w:ascii="Arial" w:hAnsi="Arial" w:cs="Arial"/>
          <w:sz w:val="18"/>
          <w:szCs w:val="18"/>
        </w:rPr>
        <w:t xml:space="preserve"> JY, </w:t>
      </w:r>
      <w:proofErr w:type="spellStart"/>
      <w:r w:rsidRPr="00B82BF2">
        <w:rPr>
          <w:rFonts w:ascii="Arial" w:hAnsi="Arial" w:cs="Arial"/>
          <w:sz w:val="18"/>
          <w:szCs w:val="18"/>
        </w:rPr>
        <w:t>Pixton</w:t>
      </w:r>
      <w:proofErr w:type="spellEnd"/>
      <w:r w:rsidRPr="00B82BF2">
        <w:rPr>
          <w:rFonts w:ascii="Arial" w:hAnsi="Arial" w:cs="Arial"/>
          <w:sz w:val="18"/>
          <w:szCs w:val="18"/>
        </w:rPr>
        <w:t xml:space="preserve"> GC, Chen N, Bass A, et al. Assessing subjective and physiologic effects following intranasal administration of a new formulation of immediate release oxycodone </w:t>
      </w:r>
      <w:proofErr w:type="spellStart"/>
      <w:r w:rsidRPr="00B82BF2">
        <w:rPr>
          <w:rFonts w:ascii="Arial" w:hAnsi="Arial" w:cs="Arial"/>
          <w:sz w:val="18"/>
          <w:szCs w:val="18"/>
        </w:rPr>
        <w:t>HCl</w:t>
      </w:r>
      <w:proofErr w:type="spellEnd"/>
      <w:r w:rsidRPr="00B82BF2">
        <w:rPr>
          <w:rFonts w:ascii="Arial" w:hAnsi="Arial" w:cs="Arial"/>
          <w:sz w:val="18"/>
          <w:szCs w:val="18"/>
        </w:rPr>
        <w:t xml:space="preserve"> (</w:t>
      </w:r>
      <w:proofErr w:type="spellStart"/>
      <w:r w:rsidRPr="00B82BF2">
        <w:rPr>
          <w:rFonts w:ascii="Arial" w:hAnsi="Arial" w:cs="Arial"/>
          <w:sz w:val="18"/>
          <w:szCs w:val="18"/>
        </w:rPr>
        <w:t>Oxecta</w:t>
      </w:r>
      <w:r w:rsidRPr="00B82BF2">
        <w:rPr>
          <w:rFonts w:ascii="Arial" w:hAnsi="Arial" w:cs="Arial"/>
          <w:sz w:val="18"/>
          <w:szCs w:val="18"/>
          <w:vertAlign w:val="superscript"/>
        </w:rPr>
        <w:t>TM</w:t>
      </w:r>
      <w:proofErr w:type="spellEnd"/>
      <w:r w:rsidRPr="00B82BF2">
        <w:rPr>
          <w:rFonts w:ascii="Arial" w:hAnsi="Arial" w:cs="Arial"/>
          <w:sz w:val="18"/>
          <w:szCs w:val="18"/>
        </w:rPr>
        <w:t xml:space="preserve">) tablets in nondependent recreational opioid users (abstract). J Opioid </w:t>
      </w:r>
      <w:proofErr w:type="spellStart"/>
      <w:r w:rsidRPr="00B82BF2">
        <w:rPr>
          <w:rFonts w:ascii="Arial" w:hAnsi="Arial" w:cs="Arial"/>
          <w:sz w:val="18"/>
          <w:szCs w:val="18"/>
        </w:rPr>
        <w:t>Manag</w:t>
      </w:r>
      <w:proofErr w:type="spellEnd"/>
      <w:r w:rsidRPr="00B82BF2">
        <w:rPr>
          <w:rFonts w:ascii="Arial" w:hAnsi="Arial" w:cs="Arial"/>
          <w:sz w:val="18"/>
          <w:szCs w:val="18"/>
        </w:rPr>
        <w:t>. 2012</w:t>
      </w:r>
      <w:proofErr w:type="gramStart"/>
      <w:r w:rsidRPr="00B82BF2">
        <w:rPr>
          <w:rFonts w:ascii="Arial" w:hAnsi="Arial" w:cs="Arial"/>
          <w:sz w:val="18"/>
          <w:szCs w:val="18"/>
        </w:rPr>
        <w:t>;8</w:t>
      </w:r>
      <w:proofErr w:type="gramEnd"/>
      <w:r w:rsidRPr="00B82BF2">
        <w:rPr>
          <w:rFonts w:ascii="Arial" w:hAnsi="Arial" w:cs="Arial"/>
          <w:sz w:val="18"/>
          <w:szCs w:val="18"/>
        </w:rPr>
        <w:t>(5):315-327.</w:t>
      </w:r>
    </w:p>
    <w:p w:rsidR="00B36A16" w:rsidRPr="00B82BF2" w:rsidRDefault="00B36A16" w:rsidP="00B36A16">
      <w:pPr>
        <w:pStyle w:val="ListParagraph"/>
        <w:numPr>
          <w:ilvl w:val="0"/>
          <w:numId w:val="29"/>
        </w:numPr>
        <w:ind w:left="360"/>
        <w:rPr>
          <w:rFonts w:ascii="Arial" w:hAnsi="Arial" w:cs="Arial"/>
          <w:sz w:val="18"/>
          <w:szCs w:val="18"/>
        </w:rPr>
      </w:pPr>
      <w:proofErr w:type="spellStart"/>
      <w:r w:rsidRPr="00B82BF2">
        <w:rPr>
          <w:rFonts w:ascii="Arial" w:hAnsi="Arial" w:cs="Arial"/>
          <w:sz w:val="18"/>
          <w:szCs w:val="18"/>
          <w:highlight w:val="yellow"/>
        </w:rPr>
        <w:t>Drugs@FDA</w:t>
      </w:r>
      <w:proofErr w:type="spellEnd"/>
      <w:r w:rsidRPr="00B82BF2">
        <w:rPr>
          <w:rFonts w:ascii="Arial" w:hAnsi="Arial" w:cs="Arial"/>
          <w:sz w:val="18"/>
          <w:szCs w:val="18"/>
          <w:highlight w:val="yellow"/>
        </w:rPr>
        <w:t xml:space="preserve"> [database on the Internet]. Rockville (MD): Food and Drug Administration (US), Center for Drug Evaluation and R</w:t>
      </w:r>
      <w:r w:rsidR="000468CF" w:rsidRPr="00B82BF2">
        <w:rPr>
          <w:rFonts w:ascii="Arial" w:hAnsi="Arial" w:cs="Arial"/>
          <w:sz w:val="18"/>
          <w:szCs w:val="18"/>
          <w:highlight w:val="yellow"/>
        </w:rPr>
        <w:t>esearch; 2015 [cited 2015 Dec 28</w:t>
      </w:r>
      <w:r w:rsidRPr="00B82BF2">
        <w:rPr>
          <w:rFonts w:ascii="Arial" w:hAnsi="Arial" w:cs="Arial"/>
          <w:sz w:val="18"/>
          <w:szCs w:val="18"/>
          <w:highlight w:val="yellow"/>
        </w:rPr>
        <w:t>]. Available from:</w:t>
      </w:r>
      <w:r w:rsidRPr="00B82BF2">
        <w:rPr>
          <w:rFonts w:ascii="Arial" w:hAnsi="Arial" w:cs="Arial"/>
          <w:sz w:val="18"/>
          <w:szCs w:val="18"/>
        </w:rPr>
        <w:t xml:space="preserve"> </w:t>
      </w:r>
      <w:hyperlink r:id="rId16" w:history="1">
        <w:r w:rsidRPr="00B82BF2">
          <w:rPr>
            <w:rStyle w:val="Hyperlink"/>
            <w:rFonts w:ascii="Arial" w:hAnsi="Arial" w:cs="Arial"/>
            <w:sz w:val="18"/>
            <w:szCs w:val="18"/>
            <w:highlight w:val="yellow"/>
          </w:rPr>
          <w:t>http://www.accessdata.fda.gov/drugsatfda_docs/appletter/2011/202080s000ltr.pdf</w:t>
        </w:r>
      </w:hyperlink>
      <w:r w:rsidRPr="00B82BF2">
        <w:rPr>
          <w:rFonts w:ascii="Arial" w:hAnsi="Arial" w:cs="Arial"/>
          <w:sz w:val="18"/>
          <w:szCs w:val="18"/>
        </w:rPr>
        <w:t xml:space="preserve"> </w:t>
      </w:r>
    </w:p>
    <w:p w:rsidR="00B36A16" w:rsidRPr="00B82BF2" w:rsidRDefault="00B36A16" w:rsidP="00B36A16">
      <w:pPr>
        <w:pStyle w:val="ListParagraph"/>
        <w:numPr>
          <w:ilvl w:val="0"/>
          <w:numId w:val="29"/>
        </w:numPr>
        <w:ind w:left="360"/>
        <w:rPr>
          <w:rFonts w:ascii="Arial" w:hAnsi="Arial" w:cs="Arial"/>
          <w:sz w:val="18"/>
          <w:szCs w:val="18"/>
        </w:rPr>
      </w:pPr>
      <w:r w:rsidRPr="00B82BF2">
        <w:rPr>
          <w:rFonts w:ascii="Arial" w:hAnsi="Arial" w:cs="Arial"/>
          <w:sz w:val="18"/>
          <w:szCs w:val="18"/>
          <w:highlight w:val="yellow"/>
        </w:rPr>
        <w:t>REMS@FDA [database on the Internet]. Rockville (MD): Food and Drug Administration (US), Center for Drug Evaluation and Research; 2015 [cited 2015 Dec 28]. Available from:</w:t>
      </w:r>
      <w:r w:rsidRPr="00B82BF2">
        <w:rPr>
          <w:rFonts w:ascii="Arial" w:hAnsi="Arial" w:cs="Arial"/>
          <w:sz w:val="18"/>
          <w:szCs w:val="18"/>
        </w:rPr>
        <w:t xml:space="preserve"> </w:t>
      </w:r>
      <w:hyperlink r:id="rId17" w:history="1">
        <w:r w:rsidRPr="00B82BF2">
          <w:rPr>
            <w:rStyle w:val="Hyperlink"/>
            <w:rFonts w:ascii="Arial" w:hAnsi="Arial" w:cs="Arial"/>
            <w:sz w:val="18"/>
            <w:szCs w:val="18"/>
            <w:highlight w:val="yellow"/>
          </w:rPr>
          <w:t>http://www.accessdata.fda.gov/scripts/cder/rems/index.cfm</w:t>
        </w:r>
      </w:hyperlink>
      <w:r w:rsidRPr="00B82BF2">
        <w:rPr>
          <w:rFonts w:ascii="Arial" w:hAnsi="Arial" w:cs="Arial"/>
          <w:sz w:val="18"/>
          <w:szCs w:val="18"/>
          <w:highlight w:val="yellow"/>
        </w:rPr>
        <w:t>.</w:t>
      </w:r>
      <w:r w:rsidRPr="00B82BF2">
        <w:rPr>
          <w:rFonts w:ascii="Arial" w:hAnsi="Arial" w:cs="Arial"/>
          <w:sz w:val="18"/>
          <w:szCs w:val="18"/>
        </w:rPr>
        <w:t xml:space="preserve"> </w:t>
      </w:r>
    </w:p>
    <w:p w:rsidR="00B36A16" w:rsidRPr="00B82BF2" w:rsidRDefault="00B36A16" w:rsidP="00B36A16">
      <w:pPr>
        <w:pStyle w:val="CommentText"/>
        <w:numPr>
          <w:ilvl w:val="0"/>
          <w:numId w:val="29"/>
        </w:numPr>
        <w:spacing w:after="0" w:line="240" w:lineRule="auto"/>
        <w:ind w:left="360"/>
        <w:rPr>
          <w:rFonts w:ascii="Arial" w:hAnsi="Arial" w:cs="Arial"/>
          <w:sz w:val="18"/>
          <w:szCs w:val="18"/>
        </w:rPr>
      </w:pPr>
      <w:proofErr w:type="spellStart"/>
      <w:r w:rsidRPr="00B82BF2">
        <w:rPr>
          <w:rFonts w:ascii="Arial" w:hAnsi="Arial" w:cs="Arial"/>
          <w:sz w:val="18"/>
          <w:szCs w:val="18"/>
        </w:rPr>
        <w:t>Egalet</w:t>
      </w:r>
      <w:proofErr w:type="spellEnd"/>
      <w:r w:rsidRPr="00B82BF2">
        <w:rPr>
          <w:rFonts w:ascii="Arial" w:hAnsi="Arial" w:cs="Arial"/>
          <w:sz w:val="18"/>
          <w:szCs w:val="18"/>
        </w:rPr>
        <w:t xml:space="preserve"> acquires/licenses two innovative approved pain products. [</w:t>
      </w:r>
      <w:proofErr w:type="gramStart"/>
      <w:r w:rsidRPr="00B82BF2">
        <w:rPr>
          <w:rFonts w:ascii="Arial" w:hAnsi="Arial" w:cs="Arial"/>
          <w:sz w:val="18"/>
          <w:szCs w:val="18"/>
        </w:rPr>
        <w:t>press</w:t>
      </w:r>
      <w:proofErr w:type="gramEnd"/>
      <w:r w:rsidRPr="00B82BF2">
        <w:rPr>
          <w:rFonts w:ascii="Arial" w:hAnsi="Arial" w:cs="Arial"/>
          <w:sz w:val="18"/>
          <w:szCs w:val="18"/>
        </w:rPr>
        <w:t xml:space="preserve"> release on the Internet]. </w:t>
      </w:r>
      <w:proofErr w:type="spellStart"/>
      <w:r w:rsidRPr="00B82BF2">
        <w:rPr>
          <w:rFonts w:ascii="Arial" w:hAnsi="Arial" w:cs="Arial"/>
          <w:sz w:val="18"/>
          <w:szCs w:val="18"/>
        </w:rPr>
        <w:t>GlobeNewswire</w:t>
      </w:r>
      <w:proofErr w:type="spellEnd"/>
      <w:r w:rsidRPr="00B82BF2">
        <w:rPr>
          <w:rFonts w:ascii="Arial" w:hAnsi="Arial" w:cs="Arial"/>
          <w:sz w:val="18"/>
          <w:szCs w:val="18"/>
        </w:rPr>
        <w:t xml:space="preserve"> (CA). 2015 Jan 8 [cited 2015 Dec 16]. Available from: </w:t>
      </w:r>
      <w:hyperlink r:id="rId18" w:history="1">
        <w:r w:rsidRPr="00B82BF2">
          <w:rPr>
            <w:rStyle w:val="Hyperlink"/>
            <w:rFonts w:ascii="Arial" w:hAnsi="Arial" w:cs="Arial"/>
            <w:color w:val="auto"/>
            <w:sz w:val="18"/>
            <w:szCs w:val="18"/>
          </w:rPr>
          <w:t>http://globenewswire.com/news-release/2015/01/08/695948/10114621/en/Egalet-Acquires-Licenses-Two-Innovative-Approved-Pain-Products.html</w:t>
        </w:r>
      </w:hyperlink>
      <w:r w:rsidRPr="00B82BF2">
        <w:rPr>
          <w:rFonts w:ascii="Arial" w:hAnsi="Arial" w:cs="Arial"/>
          <w:sz w:val="18"/>
          <w:szCs w:val="18"/>
        </w:rPr>
        <w:t>.</w:t>
      </w:r>
    </w:p>
    <w:p w:rsidR="00B36A16" w:rsidRPr="00B82BF2" w:rsidRDefault="00B36A16" w:rsidP="00B36A16">
      <w:pPr>
        <w:pStyle w:val="CommentText"/>
        <w:numPr>
          <w:ilvl w:val="0"/>
          <w:numId w:val="29"/>
        </w:numPr>
        <w:spacing w:after="0" w:line="240" w:lineRule="auto"/>
        <w:ind w:left="360"/>
        <w:rPr>
          <w:rFonts w:ascii="Arial" w:hAnsi="Arial" w:cs="Arial"/>
          <w:sz w:val="18"/>
          <w:szCs w:val="18"/>
        </w:rPr>
      </w:pPr>
      <w:proofErr w:type="spellStart"/>
      <w:r w:rsidRPr="00B82BF2">
        <w:rPr>
          <w:rFonts w:ascii="Arial" w:hAnsi="Arial" w:cs="Arial"/>
          <w:sz w:val="18"/>
          <w:szCs w:val="18"/>
        </w:rPr>
        <w:t>Vuilleumier</w:t>
      </w:r>
      <w:proofErr w:type="spellEnd"/>
      <w:r w:rsidRPr="00B82BF2">
        <w:rPr>
          <w:rFonts w:ascii="Arial" w:hAnsi="Arial" w:cs="Arial"/>
          <w:sz w:val="18"/>
          <w:szCs w:val="18"/>
        </w:rPr>
        <w:t xml:space="preserve"> PH, </w:t>
      </w:r>
      <w:proofErr w:type="spellStart"/>
      <w:r w:rsidRPr="00B82BF2">
        <w:rPr>
          <w:rFonts w:ascii="Arial" w:hAnsi="Arial" w:cs="Arial"/>
          <w:sz w:val="18"/>
          <w:szCs w:val="18"/>
        </w:rPr>
        <w:t>Stamer</w:t>
      </w:r>
      <w:proofErr w:type="spellEnd"/>
      <w:r w:rsidRPr="00B82BF2">
        <w:rPr>
          <w:rFonts w:ascii="Arial" w:hAnsi="Arial" w:cs="Arial"/>
          <w:sz w:val="18"/>
          <w:szCs w:val="18"/>
        </w:rPr>
        <w:t xml:space="preserve"> UM and Landau R. </w:t>
      </w:r>
      <w:proofErr w:type="spellStart"/>
      <w:r w:rsidRPr="00B82BF2">
        <w:rPr>
          <w:rFonts w:ascii="Arial" w:hAnsi="Arial" w:cs="Arial"/>
          <w:sz w:val="18"/>
          <w:szCs w:val="18"/>
        </w:rPr>
        <w:t>Pharmacogenomic</w:t>
      </w:r>
      <w:proofErr w:type="spellEnd"/>
      <w:r w:rsidRPr="00B82BF2">
        <w:rPr>
          <w:rFonts w:ascii="Arial" w:hAnsi="Arial" w:cs="Arial"/>
          <w:sz w:val="18"/>
          <w:szCs w:val="18"/>
        </w:rPr>
        <w:t xml:space="preserve"> considerations in opioid analgesia. Pharmacogenomics and Personalized Medicine. 2012</w:t>
      </w:r>
      <w:proofErr w:type="gramStart"/>
      <w:r w:rsidRPr="00B82BF2">
        <w:rPr>
          <w:rFonts w:ascii="Arial" w:hAnsi="Arial" w:cs="Arial"/>
          <w:sz w:val="18"/>
          <w:szCs w:val="18"/>
        </w:rPr>
        <w:t>;5:73</w:t>
      </w:r>
      <w:proofErr w:type="gramEnd"/>
      <w:r w:rsidRPr="00B82BF2">
        <w:rPr>
          <w:rFonts w:ascii="Arial" w:hAnsi="Arial" w:cs="Arial"/>
          <w:sz w:val="18"/>
          <w:szCs w:val="18"/>
        </w:rPr>
        <w:t xml:space="preserve">-87. </w:t>
      </w:r>
    </w:p>
    <w:p w:rsidR="00AD075A" w:rsidRDefault="00AD075A" w:rsidP="00567499">
      <w:pPr>
        <w:pStyle w:val="NoSpacing"/>
        <w:rPr>
          <w:rFonts w:ascii="Arial" w:eastAsia="Times New Roman" w:hAnsi="Arial" w:cs="Arial"/>
          <w:color w:val="25282A"/>
          <w:sz w:val="20"/>
          <w:szCs w:val="20"/>
        </w:rPr>
      </w:pPr>
    </w:p>
    <w:p w:rsidR="0027648B" w:rsidRDefault="0027648B" w:rsidP="00567499">
      <w:pPr>
        <w:pStyle w:val="NoSpacing"/>
        <w:rPr>
          <w:rFonts w:ascii="Arial" w:eastAsia="Times New Roman" w:hAnsi="Arial" w:cs="Arial"/>
          <w:b/>
          <w:color w:val="25282A"/>
          <w:sz w:val="20"/>
          <w:szCs w:val="20"/>
          <w:u w:val="single"/>
        </w:rPr>
      </w:pPr>
    </w:p>
    <w:sectPr w:rsidR="0027648B" w:rsidSect="00162B15">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60" w:rsidRDefault="00B57D60" w:rsidP="001E5F88">
      <w:pPr>
        <w:spacing w:after="0" w:line="240" w:lineRule="auto"/>
      </w:pPr>
      <w:r>
        <w:separator/>
      </w:r>
    </w:p>
  </w:endnote>
  <w:endnote w:type="continuationSeparator" w:id="0">
    <w:p w:rsidR="00B57D60" w:rsidRDefault="00B57D60"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071184" w:rsidRDefault="00237CFD"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237CFD" w:rsidTr="00C11BC4">
      <w:trPr>
        <w:jc w:val="center"/>
      </w:trPr>
      <w:tc>
        <w:tcPr>
          <w:tcW w:w="1420" w:type="pct"/>
        </w:tcPr>
        <w:p w:rsidR="00237CFD" w:rsidRPr="005C154A" w:rsidRDefault="00237CFD" w:rsidP="00C11BC4">
          <w:pPr>
            <w:pStyle w:val="Footer"/>
            <w:spacing w:after="0"/>
          </w:pPr>
          <w:r>
            <w:rPr>
              <w:noProof/>
            </w:rPr>
            <w:drawing>
              <wp:inline distT="0" distB="0" distL="0" distR="0" wp14:anchorId="715EC403" wp14:editId="5B929F6C">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37CFD" w:rsidRPr="00C11BC4" w:rsidRDefault="00237CFD"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3</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6</w:t>
          </w:r>
          <w:r w:rsidRPr="00C11BC4">
            <w:rPr>
              <w:rStyle w:val="PageNumber"/>
              <w:rFonts w:ascii="Arial" w:hAnsi="Arial" w:cs="Arial"/>
              <w:sz w:val="18"/>
              <w:szCs w:val="18"/>
            </w:rPr>
            <w:fldChar w:fldCharType="end"/>
          </w:r>
        </w:p>
        <w:p w:rsidR="00237CFD" w:rsidRDefault="00237CFD" w:rsidP="00C06B2D">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12/17/2015</w:t>
          </w:r>
        </w:p>
      </w:tc>
      <w:tc>
        <w:tcPr>
          <w:tcW w:w="1306" w:type="pct"/>
        </w:tcPr>
        <w:p w:rsidR="00237CFD" w:rsidRDefault="00237CFD" w:rsidP="00C11BC4">
          <w:pPr>
            <w:pStyle w:val="Footer"/>
            <w:spacing w:after="0"/>
            <w:jc w:val="right"/>
          </w:pPr>
        </w:p>
      </w:tc>
    </w:tr>
  </w:tbl>
  <w:p w:rsidR="00237CFD" w:rsidRPr="00071184" w:rsidRDefault="00237CFD"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071184" w:rsidRDefault="00237CFD"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237CFD" w:rsidTr="004B173B">
      <w:trPr>
        <w:jc w:val="center"/>
      </w:trPr>
      <w:tc>
        <w:tcPr>
          <w:tcW w:w="1424" w:type="pct"/>
        </w:tcPr>
        <w:p w:rsidR="00237CFD" w:rsidRPr="005C154A" w:rsidRDefault="00237CFD" w:rsidP="00C11BC4">
          <w:pPr>
            <w:pStyle w:val="Footer"/>
            <w:spacing w:after="0"/>
          </w:pPr>
          <w:r>
            <w:rPr>
              <w:noProof/>
            </w:rPr>
            <w:drawing>
              <wp:inline distT="0" distB="0" distL="0" distR="0" wp14:anchorId="1E638E54" wp14:editId="6C57E1B7">
                <wp:extent cx="1391285"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rsidR="00237CFD" w:rsidRPr="00C11BC4" w:rsidRDefault="00237CFD"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12</w:t>
          </w:r>
          <w:r w:rsidRPr="00C11BC4">
            <w:rPr>
              <w:rStyle w:val="PageNumber"/>
              <w:rFonts w:ascii="Arial" w:hAnsi="Arial" w:cs="Arial"/>
              <w:sz w:val="18"/>
              <w:szCs w:val="18"/>
            </w:rPr>
            <w:fldChar w:fldCharType="end"/>
          </w:r>
        </w:p>
        <w:p w:rsidR="00237CFD" w:rsidRDefault="00237CFD" w:rsidP="00CC06E3">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12/17/2015</w:t>
          </w:r>
        </w:p>
      </w:tc>
      <w:tc>
        <w:tcPr>
          <w:tcW w:w="1295" w:type="pct"/>
        </w:tcPr>
        <w:p w:rsidR="00237CFD" w:rsidRDefault="00237CFD" w:rsidP="004B173B">
          <w:pPr>
            <w:pStyle w:val="Footer"/>
            <w:spacing w:after="0"/>
            <w:jc w:val="center"/>
          </w:pPr>
        </w:p>
      </w:tc>
    </w:tr>
  </w:tbl>
  <w:p w:rsidR="00237CFD" w:rsidRDefault="00237CFD" w:rsidP="00963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071184" w:rsidRDefault="00237CFD"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237CFD" w:rsidTr="00C11BC4">
      <w:trPr>
        <w:jc w:val="center"/>
      </w:trPr>
      <w:tc>
        <w:tcPr>
          <w:tcW w:w="1420" w:type="pct"/>
        </w:tcPr>
        <w:p w:rsidR="00237CFD" w:rsidRPr="005C154A" w:rsidRDefault="00237CFD" w:rsidP="00C11BC4">
          <w:pPr>
            <w:pStyle w:val="Footer"/>
            <w:spacing w:after="0"/>
          </w:pPr>
          <w:r>
            <w:rPr>
              <w:noProof/>
            </w:rPr>
            <w:drawing>
              <wp:inline distT="0" distB="0" distL="0" distR="0" wp14:anchorId="3138B2D8" wp14:editId="6731E89A">
                <wp:extent cx="139128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37CFD" w:rsidRPr="00C11BC4" w:rsidRDefault="00237CFD"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6</w:t>
          </w:r>
          <w:r w:rsidRPr="00C11BC4">
            <w:rPr>
              <w:rStyle w:val="PageNumber"/>
              <w:rFonts w:ascii="Arial" w:hAnsi="Arial" w:cs="Arial"/>
              <w:sz w:val="18"/>
              <w:szCs w:val="18"/>
            </w:rPr>
            <w:fldChar w:fldCharType="end"/>
          </w:r>
        </w:p>
        <w:p w:rsidR="00237CFD" w:rsidRDefault="00237CFD" w:rsidP="00CC06E3">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Pr>
              <w:rFonts w:ascii="Arial" w:hAnsi="Arial" w:cs="Arial"/>
              <w:sz w:val="18"/>
              <w:szCs w:val="18"/>
            </w:rPr>
            <w:t>12/17/2015</w:t>
          </w:r>
        </w:p>
      </w:tc>
      <w:tc>
        <w:tcPr>
          <w:tcW w:w="1306" w:type="pct"/>
        </w:tcPr>
        <w:p w:rsidR="00237CFD" w:rsidRDefault="00237CFD" w:rsidP="00C11BC4">
          <w:pPr>
            <w:pStyle w:val="Footer"/>
            <w:spacing w:after="0"/>
            <w:jc w:val="right"/>
          </w:pPr>
        </w:p>
      </w:tc>
    </w:tr>
  </w:tbl>
  <w:p w:rsidR="00237CFD" w:rsidRPr="00071184" w:rsidRDefault="00237CFD" w:rsidP="00763120">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071184" w:rsidRDefault="00237CFD"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237CFD" w:rsidTr="00C11BC4">
      <w:trPr>
        <w:jc w:val="center"/>
      </w:trPr>
      <w:tc>
        <w:tcPr>
          <w:tcW w:w="1420" w:type="pct"/>
        </w:tcPr>
        <w:p w:rsidR="00237CFD" w:rsidRPr="005C154A" w:rsidRDefault="00237CFD" w:rsidP="00C11BC4">
          <w:pPr>
            <w:pStyle w:val="Footer"/>
            <w:spacing w:after="0"/>
          </w:pPr>
          <w:r>
            <w:rPr>
              <w:noProof/>
            </w:rPr>
            <w:drawing>
              <wp:inline distT="0" distB="0" distL="0" distR="0" wp14:anchorId="48072213" wp14:editId="54B2FDC1">
                <wp:extent cx="1391285" cy="4927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37CFD" w:rsidRPr="00C11BC4" w:rsidRDefault="00237CFD"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12</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A437F5">
            <w:rPr>
              <w:rStyle w:val="PageNumber"/>
              <w:rFonts w:ascii="Arial" w:hAnsi="Arial" w:cs="Arial"/>
              <w:noProof/>
              <w:sz w:val="18"/>
              <w:szCs w:val="18"/>
            </w:rPr>
            <w:t>12</w:t>
          </w:r>
          <w:r w:rsidRPr="00C11BC4">
            <w:rPr>
              <w:rStyle w:val="PageNumber"/>
              <w:rFonts w:ascii="Arial" w:hAnsi="Arial" w:cs="Arial"/>
              <w:sz w:val="18"/>
              <w:szCs w:val="18"/>
            </w:rPr>
            <w:fldChar w:fldCharType="end"/>
          </w:r>
        </w:p>
        <w:p w:rsidR="00237CFD" w:rsidRDefault="00237CFD" w:rsidP="0079370C">
          <w:pPr>
            <w:pStyle w:val="Footer"/>
            <w:spacing w:after="0"/>
            <w:jc w:val="center"/>
          </w:pPr>
          <w:r w:rsidRPr="00C11BC4">
            <w:rPr>
              <w:rStyle w:val="PageNumber"/>
              <w:rFonts w:ascii="Arial" w:hAnsi="Arial" w:cs="Arial"/>
              <w:sz w:val="18"/>
              <w:szCs w:val="18"/>
            </w:rPr>
            <w:t>C</w:t>
          </w:r>
          <w:r w:rsidRPr="00C11BC4">
            <w:rPr>
              <w:rFonts w:ascii="Arial" w:hAnsi="Arial" w:cs="Arial"/>
              <w:sz w:val="18"/>
              <w:szCs w:val="18"/>
            </w:rPr>
            <w:t xml:space="preserve">opyright </w:t>
          </w:r>
          <w:r>
            <w:rPr>
              <w:rFonts w:ascii="Arial" w:hAnsi="Arial" w:cs="Arial"/>
              <w:sz w:val="18"/>
              <w:szCs w:val="18"/>
            </w:rPr>
            <w:t>2015</w:t>
          </w:r>
          <w:r w:rsidRPr="0079370C">
            <w:rPr>
              <w:rFonts w:ascii="Arial" w:hAnsi="Arial" w:cs="Arial"/>
              <w:sz w:val="18"/>
              <w:szCs w:val="18"/>
            </w:rPr>
            <w:t xml:space="preserve"> </w:t>
          </w:r>
          <w:r w:rsidRPr="00C11BC4">
            <w:rPr>
              <w:rFonts w:ascii="Arial" w:hAnsi="Arial" w:cs="Arial"/>
              <w:sz w:val="18"/>
              <w:szCs w:val="18"/>
            </w:rPr>
            <w:t xml:space="preserve">• Review Completed on </w:t>
          </w:r>
          <w:r w:rsidR="003D47AC">
            <w:rPr>
              <w:rFonts w:ascii="Arial" w:hAnsi="Arial" w:cs="Arial"/>
              <w:sz w:val="18"/>
              <w:szCs w:val="18"/>
            </w:rPr>
            <w:t>12/28</w:t>
          </w:r>
          <w:r>
            <w:rPr>
              <w:rFonts w:ascii="Arial" w:hAnsi="Arial" w:cs="Arial"/>
              <w:sz w:val="18"/>
              <w:szCs w:val="18"/>
            </w:rPr>
            <w:t>/2015</w:t>
          </w:r>
        </w:p>
      </w:tc>
      <w:tc>
        <w:tcPr>
          <w:tcW w:w="1306" w:type="pct"/>
        </w:tcPr>
        <w:p w:rsidR="00237CFD" w:rsidRDefault="00237CFD" w:rsidP="00C11BC4">
          <w:pPr>
            <w:pStyle w:val="Footer"/>
            <w:spacing w:after="0"/>
            <w:jc w:val="right"/>
          </w:pPr>
        </w:p>
      </w:tc>
    </w:tr>
  </w:tbl>
  <w:p w:rsidR="00237CFD" w:rsidRPr="00071184" w:rsidRDefault="00237CFD"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60" w:rsidRDefault="00B57D60" w:rsidP="001E5F88">
      <w:pPr>
        <w:spacing w:after="0" w:line="240" w:lineRule="auto"/>
      </w:pPr>
      <w:r>
        <w:separator/>
      </w:r>
    </w:p>
  </w:footnote>
  <w:footnote w:type="continuationSeparator" w:id="0">
    <w:p w:rsidR="00B57D60" w:rsidRDefault="00B57D60"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8B0860" w:rsidRDefault="00237CFD" w:rsidP="008B0860">
    <w:pPr>
      <w:pBdr>
        <w:bottom w:val="double" w:sz="12" w:space="1" w:color="auto"/>
      </w:pBdr>
      <w:tabs>
        <w:tab w:val="center" w:pos="4680"/>
        <w:tab w:val="right" w:pos="9360"/>
      </w:tabs>
      <w:spacing w:after="0"/>
      <w:rPr>
        <w:rFonts w:ascii="Arial" w:hAnsi="Arial" w:cs="Arial"/>
        <w:color w:val="FF0000"/>
        <w:sz w:val="18"/>
        <w:szCs w:val="18"/>
        <w:u w:val="single"/>
      </w:rPr>
    </w:pPr>
    <w:r>
      <w:rPr>
        <w:rFonts w:ascii="Arial" w:hAnsi="Arial" w:cs="Arial"/>
        <w:sz w:val="18"/>
        <w:szCs w:val="18"/>
        <w:u w:val="single"/>
      </w:rPr>
      <w:t>Drug Formulary Commission Monograph</w:t>
    </w:r>
    <w:r w:rsidRPr="008B0860">
      <w:rPr>
        <w:rFonts w:ascii="Arial" w:hAnsi="Arial" w:cs="Arial"/>
        <w:sz w:val="18"/>
        <w:szCs w:val="18"/>
        <w:u w:val="single"/>
      </w:rPr>
      <w:t xml:space="preserve"> Review:</w:t>
    </w:r>
    <w:r w:rsidRPr="008B0860">
      <w:rPr>
        <w:rFonts w:ascii="Arial" w:hAnsi="Arial" w:cs="Arial"/>
        <w:color w:val="FF0000"/>
        <w:sz w:val="18"/>
        <w:szCs w:val="18"/>
        <w:u w:val="single"/>
      </w:rPr>
      <w:t xml:space="preserve"> </w:t>
    </w:r>
    <w:r>
      <w:rPr>
        <w:rFonts w:ascii="Arial" w:hAnsi="Arial" w:cs="Arial"/>
        <w:color w:val="000000"/>
        <w:sz w:val="18"/>
        <w:szCs w:val="18"/>
        <w:u w:val="single"/>
      </w:rPr>
      <w:t>oxycodone hydrochloride (</w:t>
    </w:r>
    <w:proofErr w:type="spellStart"/>
    <w:r>
      <w:rPr>
        <w:rFonts w:ascii="Arial" w:hAnsi="Arial" w:cs="Arial"/>
        <w:color w:val="000000"/>
        <w:sz w:val="18"/>
        <w:szCs w:val="18"/>
        <w:u w:val="single"/>
      </w:rPr>
      <w:t>Oxaydo</w:t>
    </w:r>
    <w:proofErr w:type="spellEnd"/>
    <w:r w:rsidRPr="000C4F56">
      <w:rPr>
        <w:rFonts w:ascii="Arial" w:hAnsi="Arial" w:cs="Arial"/>
        <w:sz w:val="20"/>
        <w:szCs w:val="20"/>
        <w:u w:val="single"/>
        <w:vertAlign w:val="superscript"/>
      </w:rPr>
      <w:t>®</w:t>
    </w:r>
    <w:r w:rsidRPr="008B0860">
      <w:rPr>
        <w:rFonts w:ascii="Arial" w:hAnsi="Arial" w:cs="Arial"/>
        <w:color w:val="000000"/>
        <w:sz w:val="18"/>
        <w:szCs w:val="18"/>
        <w:u w:val="single"/>
      </w:rPr>
      <w:t>)</w:t>
    </w:r>
    <w:r w:rsidRPr="008B0860">
      <w:rPr>
        <w:rFonts w:ascii="Arial" w:hAnsi="Arial" w:cs="Arial"/>
        <w:color w:val="FF0000"/>
        <w:sz w:val="18"/>
        <w:szCs w:val="18"/>
      </w:rPr>
      <w:t xml:space="preserve"> </w:t>
    </w:r>
    <w:r w:rsidRPr="008B0860">
      <w:rPr>
        <w:rFonts w:ascii="Arial" w:hAnsi="Arial" w:cs="Arial"/>
        <w:color w:val="FF0000"/>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FD" w:rsidRPr="00D40A11" w:rsidRDefault="00237CFD"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1">
    <w:nsid w:val="069075AB"/>
    <w:multiLevelType w:val="hybridMultilevel"/>
    <w:tmpl w:val="AA725C2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51788"/>
    <w:multiLevelType w:val="hybridMultilevel"/>
    <w:tmpl w:val="B65C8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D19DA"/>
    <w:multiLevelType w:val="hybridMultilevel"/>
    <w:tmpl w:val="DF88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E4833"/>
    <w:multiLevelType w:val="hybridMultilevel"/>
    <w:tmpl w:val="7334E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C61DB2"/>
    <w:multiLevelType w:val="hybridMultilevel"/>
    <w:tmpl w:val="1F32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36AFC"/>
    <w:multiLevelType w:val="multilevel"/>
    <w:tmpl w:val="19D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C76BE6"/>
    <w:multiLevelType w:val="hybridMultilevel"/>
    <w:tmpl w:val="2930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07995"/>
    <w:multiLevelType w:val="hybridMultilevel"/>
    <w:tmpl w:val="E5E066D8"/>
    <w:lvl w:ilvl="0" w:tplc="02C23B20">
      <w:start w:val="1"/>
      <w:numFmt w:val="decimal"/>
      <w:lvlText w:val="%1."/>
      <w:lvlJc w:val="left"/>
      <w:pPr>
        <w:ind w:left="360" w:hanging="360"/>
      </w:pPr>
      <w:rPr>
        <w:rFonts w:ascii="Arial" w:eastAsia="Calibri" w:hAnsi="Arial" w:cs="Arial"/>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7F270A"/>
    <w:multiLevelType w:val="multilevel"/>
    <w:tmpl w:val="DD2C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B34CF"/>
    <w:multiLevelType w:val="hybridMultilevel"/>
    <w:tmpl w:val="79368A2A"/>
    <w:lvl w:ilvl="0" w:tplc="92DEE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27739"/>
    <w:multiLevelType w:val="multilevel"/>
    <w:tmpl w:val="444C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E77DB7"/>
    <w:multiLevelType w:val="hybridMultilevel"/>
    <w:tmpl w:val="AA505A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AE0481"/>
    <w:multiLevelType w:val="hybridMultilevel"/>
    <w:tmpl w:val="090C57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4404F"/>
    <w:multiLevelType w:val="multilevel"/>
    <w:tmpl w:val="9C46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67F23"/>
    <w:multiLevelType w:val="hybridMultilevel"/>
    <w:tmpl w:val="7288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561BC8"/>
    <w:multiLevelType w:val="hybridMultilevel"/>
    <w:tmpl w:val="672C98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B86345"/>
    <w:multiLevelType w:val="multilevel"/>
    <w:tmpl w:val="3C6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F82340"/>
    <w:multiLevelType w:val="hybridMultilevel"/>
    <w:tmpl w:val="5B042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3F5BF0"/>
    <w:multiLevelType w:val="multilevel"/>
    <w:tmpl w:val="95F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231A9E"/>
    <w:multiLevelType w:val="hybridMultilevel"/>
    <w:tmpl w:val="F03A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F51A10"/>
    <w:multiLevelType w:val="multilevel"/>
    <w:tmpl w:val="1EB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F142F"/>
    <w:multiLevelType w:val="multilevel"/>
    <w:tmpl w:val="045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634A82"/>
    <w:multiLevelType w:val="multilevel"/>
    <w:tmpl w:val="57A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6"/>
  </w:num>
  <w:num w:numId="4">
    <w:abstractNumId w:val="10"/>
  </w:num>
  <w:num w:numId="5">
    <w:abstractNumId w:val="19"/>
  </w:num>
  <w:num w:numId="6">
    <w:abstractNumId w:val="20"/>
  </w:num>
  <w:num w:numId="7">
    <w:abstractNumId w:val="11"/>
  </w:num>
  <w:num w:numId="8">
    <w:abstractNumId w:val="18"/>
  </w:num>
  <w:num w:numId="9">
    <w:abstractNumId w:val="10"/>
  </w:num>
  <w:num w:numId="10">
    <w:abstractNumId w:val="23"/>
  </w:num>
  <w:num w:numId="11">
    <w:abstractNumId w:val="15"/>
  </w:num>
  <w:num w:numId="12">
    <w:abstractNumId w:val="7"/>
  </w:num>
  <w:num w:numId="13">
    <w:abstractNumId w:val="1"/>
  </w:num>
  <w:num w:numId="14">
    <w:abstractNumId w:val="4"/>
  </w:num>
  <w:num w:numId="15">
    <w:abstractNumId w:val="24"/>
  </w:num>
  <w:num w:numId="16">
    <w:abstractNumId w:val="8"/>
  </w:num>
  <w:num w:numId="17">
    <w:abstractNumId w:val="25"/>
  </w:num>
  <w:num w:numId="18">
    <w:abstractNumId w:val="5"/>
  </w:num>
  <w:num w:numId="19">
    <w:abstractNumId w:val="14"/>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2"/>
  </w:num>
  <w:num w:numId="25">
    <w:abstractNumId w:val="17"/>
  </w:num>
  <w:num w:numId="26">
    <w:abstractNumId w:val="13"/>
  </w:num>
  <w:num w:numId="27">
    <w:abstractNumId w:val="26"/>
  </w:num>
  <w:num w:numId="28">
    <w:abstractNumId w:val="9"/>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154D"/>
    <w:rsid w:val="00002388"/>
    <w:rsid w:val="00002A01"/>
    <w:rsid w:val="00002BE5"/>
    <w:rsid w:val="00002F2E"/>
    <w:rsid w:val="00007BBF"/>
    <w:rsid w:val="0001042C"/>
    <w:rsid w:val="0001200F"/>
    <w:rsid w:val="00012DEA"/>
    <w:rsid w:val="000130B1"/>
    <w:rsid w:val="00015B2B"/>
    <w:rsid w:val="00017E9E"/>
    <w:rsid w:val="00020A18"/>
    <w:rsid w:val="00021D4C"/>
    <w:rsid w:val="00022FA4"/>
    <w:rsid w:val="00024206"/>
    <w:rsid w:val="0002430F"/>
    <w:rsid w:val="000276E1"/>
    <w:rsid w:val="0003168B"/>
    <w:rsid w:val="00032D3C"/>
    <w:rsid w:val="00035A44"/>
    <w:rsid w:val="00036519"/>
    <w:rsid w:val="000401E7"/>
    <w:rsid w:val="00041D0D"/>
    <w:rsid w:val="00042CDF"/>
    <w:rsid w:val="000433AC"/>
    <w:rsid w:val="00043847"/>
    <w:rsid w:val="000468CF"/>
    <w:rsid w:val="00047134"/>
    <w:rsid w:val="000500BF"/>
    <w:rsid w:val="00052548"/>
    <w:rsid w:val="000537EE"/>
    <w:rsid w:val="00060FDE"/>
    <w:rsid w:val="0006427F"/>
    <w:rsid w:val="00070D57"/>
    <w:rsid w:val="00071132"/>
    <w:rsid w:val="00071184"/>
    <w:rsid w:val="00071643"/>
    <w:rsid w:val="00071D84"/>
    <w:rsid w:val="00071E71"/>
    <w:rsid w:val="00073EF2"/>
    <w:rsid w:val="00076356"/>
    <w:rsid w:val="00076E2E"/>
    <w:rsid w:val="000776FD"/>
    <w:rsid w:val="00080B90"/>
    <w:rsid w:val="00080C8B"/>
    <w:rsid w:val="0008151A"/>
    <w:rsid w:val="00081BA6"/>
    <w:rsid w:val="000860CC"/>
    <w:rsid w:val="000875C4"/>
    <w:rsid w:val="00090699"/>
    <w:rsid w:val="000958C3"/>
    <w:rsid w:val="00096DB9"/>
    <w:rsid w:val="00097922"/>
    <w:rsid w:val="000A1B53"/>
    <w:rsid w:val="000A21B4"/>
    <w:rsid w:val="000A23C9"/>
    <w:rsid w:val="000A30B4"/>
    <w:rsid w:val="000A3FAA"/>
    <w:rsid w:val="000A41C7"/>
    <w:rsid w:val="000A5F73"/>
    <w:rsid w:val="000A6BC9"/>
    <w:rsid w:val="000A6E0B"/>
    <w:rsid w:val="000B40B7"/>
    <w:rsid w:val="000B6100"/>
    <w:rsid w:val="000B6AF9"/>
    <w:rsid w:val="000C143E"/>
    <w:rsid w:val="000C3556"/>
    <w:rsid w:val="000C4953"/>
    <w:rsid w:val="000C4F56"/>
    <w:rsid w:val="000D193B"/>
    <w:rsid w:val="000D2531"/>
    <w:rsid w:val="000D2B95"/>
    <w:rsid w:val="000D3669"/>
    <w:rsid w:val="000D3ACA"/>
    <w:rsid w:val="000D4F05"/>
    <w:rsid w:val="000D5EE3"/>
    <w:rsid w:val="000D677D"/>
    <w:rsid w:val="000E049B"/>
    <w:rsid w:val="000E29CF"/>
    <w:rsid w:val="000E46FF"/>
    <w:rsid w:val="000E4958"/>
    <w:rsid w:val="000E593A"/>
    <w:rsid w:val="000E6890"/>
    <w:rsid w:val="000E6E8D"/>
    <w:rsid w:val="000F132F"/>
    <w:rsid w:val="000F1CAD"/>
    <w:rsid w:val="000F1EE0"/>
    <w:rsid w:val="000F40CE"/>
    <w:rsid w:val="000F4975"/>
    <w:rsid w:val="000F693A"/>
    <w:rsid w:val="00100784"/>
    <w:rsid w:val="00103E40"/>
    <w:rsid w:val="00104FE4"/>
    <w:rsid w:val="00105685"/>
    <w:rsid w:val="001074E4"/>
    <w:rsid w:val="00111FF8"/>
    <w:rsid w:val="00114EC9"/>
    <w:rsid w:val="00120BF4"/>
    <w:rsid w:val="00123D19"/>
    <w:rsid w:val="00125467"/>
    <w:rsid w:val="00131F3A"/>
    <w:rsid w:val="00134B51"/>
    <w:rsid w:val="001350F9"/>
    <w:rsid w:val="00135AF1"/>
    <w:rsid w:val="001360E8"/>
    <w:rsid w:val="00137C1F"/>
    <w:rsid w:val="00140859"/>
    <w:rsid w:val="0014148C"/>
    <w:rsid w:val="001421D0"/>
    <w:rsid w:val="00142914"/>
    <w:rsid w:val="0014381E"/>
    <w:rsid w:val="00146708"/>
    <w:rsid w:val="00146956"/>
    <w:rsid w:val="00147A3E"/>
    <w:rsid w:val="00147C05"/>
    <w:rsid w:val="00150F67"/>
    <w:rsid w:val="0015387C"/>
    <w:rsid w:val="00154AD8"/>
    <w:rsid w:val="00161C5D"/>
    <w:rsid w:val="00162B15"/>
    <w:rsid w:val="00164191"/>
    <w:rsid w:val="00165704"/>
    <w:rsid w:val="001709D0"/>
    <w:rsid w:val="001740BE"/>
    <w:rsid w:val="001740EA"/>
    <w:rsid w:val="001744BA"/>
    <w:rsid w:val="00177E99"/>
    <w:rsid w:val="001811FE"/>
    <w:rsid w:val="00182F9B"/>
    <w:rsid w:val="001836E5"/>
    <w:rsid w:val="00184EC9"/>
    <w:rsid w:val="00187660"/>
    <w:rsid w:val="0019074D"/>
    <w:rsid w:val="0019088E"/>
    <w:rsid w:val="00190B26"/>
    <w:rsid w:val="00190D1E"/>
    <w:rsid w:val="001911C2"/>
    <w:rsid w:val="00191349"/>
    <w:rsid w:val="0019281D"/>
    <w:rsid w:val="00192A63"/>
    <w:rsid w:val="00192D81"/>
    <w:rsid w:val="0019441C"/>
    <w:rsid w:val="001950F9"/>
    <w:rsid w:val="001961D2"/>
    <w:rsid w:val="001A032B"/>
    <w:rsid w:val="001A0E08"/>
    <w:rsid w:val="001A3DE1"/>
    <w:rsid w:val="001A5109"/>
    <w:rsid w:val="001A54FB"/>
    <w:rsid w:val="001A5BB9"/>
    <w:rsid w:val="001A70F1"/>
    <w:rsid w:val="001B0A26"/>
    <w:rsid w:val="001B2AD0"/>
    <w:rsid w:val="001B35F6"/>
    <w:rsid w:val="001B7F23"/>
    <w:rsid w:val="001C18D9"/>
    <w:rsid w:val="001C2825"/>
    <w:rsid w:val="001C527E"/>
    <w:rsid w:val="001C5893"/>
    <w:rsid w:val="001C627C"/>
    <w:rsid w:val="001C76B9"/>
    <w:rsid w:val="001D194F"/>
    <w:rsid w:val="001D198E"/>
    <w:rsid w:val="001D3188"/>
    <w:rsid w:val="001D3C42"/>
    <w:rsid w:val="001D3C7A"/>
    <w:rsid w:val="001D4078"/>
    <w:rsid w:val="001E00DD"/>
    <w:rsid w:val="001E00E6"/>
    <w:rsid w:val="001E2A1A"/>
    <w:rsid w:val="001E2C80"/>
    <w:rsid w:val="001E2DAC"/>
    <w:rsid w:val="001E3AF7"/>
    <w:rsid w:val="001E4E9A"/>
    <w:rsid w:val="001E5F88"/>
    <w:rsid w:val="001E694B"/>
    <w:rsid w:val="001F3F59"/>
    <w:rsid w:val="001F408A"/>
    <w:rsid w:val="001F5E79"/>
    <w:rsid w:val="001F7CFE"/>
    <w:rsid w:val="0020050E"/>
    <w:rsid w:val="002020FA"/>
    <w:rsid w:val="00202605"/>
    <w:rsid w:val="002028B0"/>
    <w:rsid w:val="0021183C"/>
    <w:rsid w:val="002127A5"/>
    <w:rsid w:val="0021417B"/>
    <w:rsid w:val="00214553"/>
    <w:rsid w:val="00216BCC"/>
    <w:rsid w:val="0021782F"/>
    <w:rsid w:val="00217FE2"/>
    <w:rsid w:val="00224D80"/>
    <w:rsid w:val="0022610B"/>
    <w:rsid w:val="002268D7"/>
    <w:rsid w:val="00226AFB"/>
    <w:rsid w:val="00227103"/>
    <w:rsid w:val="002279A4"/>
    <w:rsid w:val="00227F5E"/>
    <w:rsid w:val="00233646"/>
    <w:rsid w:val="00233C28"/>
    <w:rsid w:val="00233EEC"/>
    <w:rsid w:val="00234764"/>
    <w:rsid w:val="00234E13"/>
    <w:rsid w:val="0023638B"/>
    <w:rsid w:val="00237628"/>
    <w:rsid w:val="00237A44"/>
    <w:rsid w:val="00237CFD"/>
    <w:rsid w:val="00241B07"/>
    <w:rsid w:val="002439F4"/>
    <w:rsid w:val="0024472B"/>
    <w:rsid w:val="002456E8"/>
    <w:rsid w:val="00250342"/>
    <w:rsid w:val="002574C5"/>
    <w:rsid w:val="00265FC2"/>
    <w:rsid w:val="002732BC"/>
    <w:rsid w:val="00274907"/>
    <w:rsid w:val="0027610C"/>
    <w:rsid w:val="0027648B"/>
    <w:rsid w:val="002764C8"/>
    <w:rsid w:val="00276A1F"/>
    <w:rsid w:val="00276B24"/>
    <w:rsid w:val="00280890"/>
    <w:rsid w:val="00282805"/>
    <w:rsid w:val="00286ACE"/>
    <w:rsid w:val="00290082"/>
    <w:rsid w:val="0029098E"/>
    <w:rsid w:val="00290D6C"/>
    <w:rsid w:val="00291BAD"/>
    <w:rsid w:val="00291D40"/>
    <w:rsid w:val="00292A49"/>
    <w:rsid w:val="00297265"/>
    <w:rsid w:val="002975B0"/>
    <w:rsid w:val="002A07F7"/>
    <w:rsid w:val="002A15C7"/>
    <w:rsid w:val="002A187D"/>
    <w:rsid w:val="002A1FD5"/>
    <w:rsid w:val="002A2397"/>
    <w:rsid w:val="002A281B"/>
    <w:rsid w:val="002A40AC"/>
    <w:rsid w:val="002A467C"/>
    <w:rsid w:val="002A4748"/>
    <w:rsid w:val="002A5D34"/>
    <w:rsid w:val="002A6481"/>
    <w:rsid w:val="002A7CBA"/>
    <w:rsid w:val="002A7D0D"/>
    <w:rsid w:val="002B0688"/>
    <w:rsid w:val="002B15F5"/>
    <w:rsid w:val="002B4328"/>
    <w:rsid w:val="002B7691"/>
    <w:rsid w:val="002B7E9B"/>
    <w:rsid w:val="002C1389"/>
    <w:rsid w:val="002C16A4"/>
    <w:rsid w:val="002C26EC"/>
    <w:rsid w:val="002C368C"/>
    <w:rsid w:val="002C641C"/>
    <w:rsid w:val="002D4368"/>
    <w:rsid w:val="002D5E5B"/>
    <w:rsid w:val="002E26F9"/>
    <w:rsid w:val="002E3670"/>
    <w:rsid w:val="002E3DE5"/>
    <w:rsid w:val="002E4DE6"/>
    <w:rsid w:val="002E50E2"/>
    <w:rsid w:val="002E5FA4"/>
    <w:rsid w:val="002E6EED"/>
    <w:rsid w:val="002F13C8"/>
    <w:rsid w:val="002F27A2"/>
    <w:rsid w:val="002F320A"/>
    <w:rsid w:val="002F40FA"/>
    <w:rsid w:val="002F5305"/>
    <w:rsid w:val="002F74AF"/>
    <w:rsid w:val="002F788D"/>
    <w:rsid w:val="003058B9"/>
    <w:rsid w:val="00311F38"/>
    <w:rsid w:val="0031256C"/>
    <w:rsid w:val="00312586"/>
    <w:rsid w:val="003140E7"/>
    <w:rsid w:val="00317076"/>
    <w:rsid w:val="00320F4C"/>
    <w:rsid w:val="00323796"/>
    <w:rsid w:val="00323C87"/>
    <w:rsid w:val="00324083"/>
    <w:rsid w:val="003240E1"/>
    <w:rsid w:val="0032428B"/>
    <w:rsid w:val="0032549C"/>
    <w:rsid w:val="003268DE"/>
    <w:rsid w:val="00327E4C"/>
    <w:rsid w:val="00331AD7"/>
    <w:rsid w:val="00333613"/>
    <w:rsid w:val="003344D9"/>
    <w:rsid w:val="0033496E"/>
    <w:rsid w:val="00336EF4"/>
    <w:rsid w:val="0033720B"/>
    <w:rsid w:val="00346672"/>
    <w:rsid w:val="003518FB"/>
    <w:rsid w:val="00352D7C"/>
    <w:rsid w:val="00352E38"/>
    <w:rsid w:val="003554BE"/>
    <w:rsid w:val="003573F2"/>
    <w:rsid w:val="00361D47"/>
    <w:rsid w:val="003640E2"/>
    <w:rsid w:val="00364255"/>
    <w:rsid w:val="00366EED"/>
    <w:rsid w:val="003711D7"/>
    <w:rsid w:val="00371846"/>
    <w:rsid w:val="00371A0F"/>
    <w:rsid w:val="00371DE3"/>
    <w:rsid w:val="00372B4E"/>
    <w:rsid w:val="00377AC8"/>
    <w:rsid w:val="003811C7"/>
    <w:rsid w:val="00382360"/>
    <w:rsid w:val="00383488"/>
    <w:rsid w:val="00384366"/>
    <w:rsid w:val="00385ECC"/>
    <w:rsid w:val="0038735C"/>
    <w:rsid w:val="00390BED"/>
    <w:rsid w:val="0039107C"/>
    <w:rsid w:val="00391837"/>
    <w:rsid w:val="003931D3"/>
    <w:rsid w:val="0039355A"/>
    <w:rsid w:val="003975A2"/>
    <w:rsid w:val="0039790E"/>
    <w:rsid w:val="003A09E2"/>
    <w:rsid w:val="003A120E"/>
    <w:rsid w:val="003A1B44"/>
    <w:rsid w:val="003A1D52"/>
    <w:rsid w:val="003A22B6"/>
    <w:rsid w:val="003A5826"/>
    <w:rsid w:val="003A6096"/>
    <w:rsid w:val="003A67F1"/>
    <w:rsid w:val="003A718C"/>
    <w:rsid w:val="003B010A"/>
    <w:rsid w:val="003B04FA"/>
    <w:rsid w:val="003B14B9"/>
    <w:rsid w:val="003B2312"/>
    <w:rsid w:val="003B5B3E"/>
    <w:rsid w:val="003B7237"/>
    <w:rsid w:val="003B7C44"/>
    <w:rsid w:val="003C0692"/>
    <w:rsid w:val="003C2B14"/>
    <w:rsid w:val="003C68A8"/>
    <w:rsid w:val="003D04BA"/>
    <w:rsid w:val="003D3EC0"/>
    <w:rsid w:val="003D47AC"/>
    <w:rsid w:val="003D499D"/>
    <w:rsid w:val="003D5D0A"/>
    <w:rsid w:val="003D6394"/>
    <w:rsid w:val="003D68C3"/>
    <w:rsid w:val="003D7BBC"/>
    <w:rsid w:val="003E1F82"/>
    <w:rsid w:val="003E241E"/>
    <w:rsid w:val="003E58B0"/>
    <w:rsid w:val="003E6965"/>
    <w:rsid w:val="003E7337"/>
    <w:rsid w:val="003E780B"/>
    <w:rsid w:val="003E7B65"/>
    <w:rsid w:val="003F046B"/>
    <w:rsid w:val="003F0835"/>
    <w:rsid w:val="003F104E"/>
    <w:rsid w:val="003F1AA3"/>
    <w:rsid w:val="003F5074"/>
    <w:rsid w:val="003F77DA"/>
    <w:rsid w:val="0040037A"/>
    <w:rsid w:val="004009F2"/>
    <w:rsid w:val="00404730"/>
    <w:rsid w:val="00406D3B"/>
    <w:rsid w:val="00407EE9"/>
    <w:rsid w:val="00410457"/>
    <w:rsid w:val="00410FDE"/>
    <w:rsid w:val="004128F5"/>
    <w:rsid w:val="00414944"/>
    <w:rsid w:val="00414C86"/>
    <w:rsid w:val="00414DC1"/>
    <w:rsid w:val="0041563F"/>
    <w:rsid w:val="00416DDD"/>
    <w:rsid w:val="0041702F"/>
    <w:rsid w:val="004178F0"/>
    <w:rsid w:val="00417AA4"/>
    <w:rsid w:val="00421EA1"/>
    <w:rsid w:val="0042324A"/>
    <w:rsid w:val="004261F2"/>
    <w:rsid w:val="00426B73"/>
    <w:rsid w:val="004319A8"/>
    <w:rsid w:val="004325F9"/>
    <w:rsid w:val="00432868"/>
    <w:rsid w:val="004333DA"/>
    <w:rsid w:val="004362BD"/>
    <w:rsid w:val="0044122B"/>
    <w:rsid w:val="00443596"/>
    <w:rsid w:val="00446C14"/>
    <w:rsid w:val="00450975"/>
    <w:rsid w:val="004521A7"/>
    <w:rsid w:val="00452ED0"/>
    <w:rsid w:val="00453785"/>
    <w:rsid w:val="00453ED7"/>
    <w:rsid w:val="0045413A"/>
    <w:rsid w:val="00455700"/>
    <w:rsid w:val="00457029"/>
    <w:rsid w:val="00462485"/>
    <w:rsid w:val="00464B72"/>
    <w:rsid w:val="00465812"/>
    <w:rsid w:val="00466D74"/>
    <w:rsid w:val="00467516"/>
    <w:rsid w:val="004704C6"/>
    <w:rsid w:val="00470A3F"/>
    <w:rsid w:val="00471110"/>
    <w:rsid w:val="00471428"/>
    <w:rsid w:val="00474A1C"/>
    <w:rsid w:val="0047527D"/>
    <w:rsid w:val="00480AD3"/>
    <w:rsid w:val="004828E1"/>
    <w:rsid w:val="004844ED"/>
    <w:rsid w:val="00486022"/>
    <w:rsid w:val="00486CF1"/>
    <w:rsid w:val="00487A88"/>
    <w:rsid w:val="00491914"/>
    <w:rsid w:val="00491AFA"/>
    <w:rsid w:val="00491C14"/>
    <w:rsid w:val="004920E8"/>
    <w:rsid w:val="004929EC"/>
    <w:rsid w:val="0049378B"/>
    <w:rsid w:val="00494196"/>
    <w:rsid w:val="00494AB5"/>
    <w:rsid w:val="00494EFD"/>
    <w:rsid w:val="004958D5"/>
    <w:rsid w:val="004A0A9C"/>
    <w:rsid w:val="004A15B3"/>
    <w:rsid w:val="004A4C6D"/>
    <w:rsid w:val="004A4D65"/>
    <w:rsid w:val="004A5149"/>
    <w:rsid w:val="004A7053"/>
    <w:rsid w:val="004B03F3"/>
    <w:rsid w:val="004B173B"/>
    <w:rsid w:val="004B299E"/>
    <w:rsid w:val="004B2E6F"/>
    <w:rsid w:val="004B2E7B"/>
    <w:rsid w:val="004B4C21"/>
    <w:rsid w:val="004B64C1"/>
    <w:rsid w:val="004B774C"/>
    <w:rsid w:val="004C3FBA"/>
    <w:rsid w:val="004C4383"/>
    <w:rsid w:val="004C5262"/>
    <w:rsid w:val="004C7B04"/>
    <w:rsid w:val="004C7C2F"/>
    <w:rsid w:val="004D0385"/>
    <w:rsid w:val="004D2522"/>
    <w:rsid w:val="004D601A"/>
    <w:rsid w:val="004D6238"/>
    <w:rsid w:val="004E3470"/>
    <w:rsid w:val="004E58BF"/>
    <w:rsid w:val="004E5C58"/>
    <w:rsid w:val="004E7C56"/>
    <w:rsid w:val="004F261E"/>
    <w:rsid w:val="004F4AA4"/>
    <w:rsid w:val="004F5A2D"/>
    <w:rsid w:val="004F61C6"/>
    <w:rsid w:val="005014C0"/>
    <w:rsid w:val="00501AAA"/>
    <w:rsid w:val="00501B1B"/>
    <w:rsid w:val="00501CF7"/>
    <w:rsid w:val="00504E03"/>
    <w:rsid w:val="00504F6B"/>
    <w:rsid w:val="00504F97"/>
    <w:rsid w:val="00505301"/>
    <w:rsid w:val="0050546F"/>
    <w:rsid w:val="005065E9"/>
    <w:rsid w:val="00506A2B"/>
    <w:rsid w:val="00507524"/>
    <w:rsid w:val="005103C2"/>
    <w:rsid w:val="00513476"/>
    <w:rsid w:val="0051607F"/>
    <w:rsid w:val="005162E8"/>
    <w:rsid w:val="00516490"/>
    <w:rsid w:val="00522099"/>
    <w:rsid w:val="00524198"/>
    <w:rsid w:val="0052433B"/>
    <w:rsid w:val="00530E11"/>
    <w:rsid w:val="005333FA"/>
    <w:rsid w:val="00534E5A"/>
    <w:rsid w:val="005356E5"/>
    <w:rsid w:val="005375FE"/>
    <w:rsid w:val="00537903"/>
    <w:rsid w:val="00537D9B"/>
    <w:rsid w:val="00543E6E"/>
    <w:rsid w:val="00546A0E"/>
    <w:rsid w:val="00547FAB"/>
    <w:rsid w:val="0055007D"/>
    <w:rsid w:val="00551BF1"/>
    <w:rsid w:val="00553AF3"/>
    <w:rsid w:val="00555565"/>
    <w:rsid w:val="005560AB"/>
    <w:rsid w:val="0055637E"/>
    <w:rsid w:val="00556E25"/>
    <w:rsid w:val="00556EA8"/>
    <w:rsid w:val="0055761F"/>
    <w:rsid w:val="00557E62"/>
    <w:rsid w:val="005606C3"/>
    <w:rsid w:val="00560B8F"/>
    <w:rsid w:val="00560CAF"/>
    <w:rsid w:val="00561D82"/>
    <w:rsid w:val="00562216"/>
    <w:rsid w:val="00563EE4"/>
    <w:rsid w:val="00564887"/>
    <w:rsid w:val="0056545F"/>
    <w:rsid w:val="005664A1"/>
    <w:rsid w:val="00567499"/>
    <w:rsid w:val="0056760F"/>
    <w:rsid w:val="005714DD"/>
    <w:rsid w:val="00571FD9"/>
    <w:rsid w:val="00572EAE"/>
    <w:rsid w:val="005742B7"/>
    <w:rsid w:val="0057477C"/>
    <w:rsid w:val="005753E3"/>
    <w:rsid w:val="00575873"/>
    <w:rsid w:val="00577595"/>
    <w:rsid w:val="00590046"/>
    <w:rsid w:val="00591FA5"/>
    <w:rsid w:val="005921EF"/>
    <w:rsid w:val="00593CEB"/>
    <w:rsid w:val="00594B8D"/>
    <w:rsid w:val="0059558B"/>
    <w:rsid w:val="005960E0"/>
    <w:rsid w:val="005964E8"/>
    <w:rsid w:val="005973B2"/>
    <w:rsid w:val="00597C9B"/>
    <w:rsid w:val="005A03E1"/>
    <w:rsid w:val="005A0570"/>
    <w:rsid w:val="005A2733"/>
    <w:rsid w:val="005A4619"/>
    <w:rsid w:val="005A5792"/>
    <w:rsid w:val="005A5B2C"/>
    <w:rsid w:val="005A7516"/>
    <w:rsid w:val="005B18BD"/>
    <w:rsid w:val="005B337C"/>
    <w:rsid w:val="005B35AE"/>
    <w:rsid w:val="005B44CD"/>
    <w:rsid w:val="005B6BC2"/>
    <w:rsid w:val="005C01D6"/>
    <w:rsid w:val="005C2D88"/>
    <w:rsid w:val="005C50DB"/>
    <w:rsid w:val="005C60D0"/>
    <w:rsid w:val="005C66A8"/>
    <w:rsid w:val="005C66DD"/>
    <w:rsid w:val="005C7923"/>
    <w:rsid w:val="005D22D4"/>
    <w:rsid w:val="005D2663"/>
    <w:rsid w:val="005D548A"/>
    <w:rsid w:val="005E0EBE"/>
    <w:rsid w:val="005E107D"/>
    <w:rsid w:val="005E1F1D"/>
    <w:rsid w:val="005E419D"/>
    <w:rsid w:val="005E43AE"/>
    <w:rsid w:val="005E4AEE"/>
    <w:rsid w:val="005E5637"/>
    <w:rsid w:val="005E6F0B"/>
    <w:rsid w:val="005E7A09"/>
    <w:rsid w:val="005F180A"/>
    <w:rsid w:val="005F53E8"/>
    <w:rsid w:val="005F5F0E"/>
    <w:rsid w:val="005F78F7"/>
    <w:rsid w:val="00600064"/>
    <w:rsid w:val="00602D14"/>
    <w:rsid w:val="00603258"/>
    <w:rsid w:val="0060683C"/>
    <w:rsid w:val="006068CC"/>
    <w:rsid w:val="00606A3E"/>
    <w:rsid w:val="00611116"/>
    <w:rsid w:val="00611C73"/>
    <w:rsid w:val="006120E5"/>
    <w:rsid w:val="0061380F"/>
    <w:rsid w:val="00613973"/>
    <w:rsid w:val="00614EFC"/>
    <w:rsid w:val="006152BA"/>
    <w:rsid w:val="00615CD0"/>
    <w:rsid w:val="006160A7"/>
    <w:rsid w:val="0062206A"/>
    <w:rsid w:val="00622D12"/>
    <w:rsid w:val="00622DD3"/>
    <w:rsid w:val="00622DEE"/>
    <w:rsid w:val="0062381D"/>
    <w:rsid w:val="00624518"/>
    <w:rsid w:val="006263E4"/>
    <w:rsid w:val="00630987"/>
    <w:rsid w:val="0063259B"/>
    <w:rsid w:val="00632B80"/>
    <w:rsid w:val="00632C79"/>
    <w:rsid w:val="00633D7D"/>
    <w:rsid w:val="00634C49"/>
    <w:rsid w:val="00635C2A"/>
    <w:rsid w:val="0064009E"/>
    <w:rsid w:val="0064150B"/>
    <w:rsid w:val="00642830"/>
    <w:rsid w:val="00642FEA"/>
    <w:rsid w:val="00644A77"/>
    <w:rsid w:val="00645E1A"/>
    <w:rsid w:val="006461DD"/>
    <w:rsid w:val="006470EC"/>
    <w:rsid w:val="0064729F"/>
    <w:rsid w:val="006479A6"/>
    <w:rsid w:val="00650961"/>
    <w:rsid w:val="0065124D"/>
    <w:rsid w:val="0065182B"/>
    <w:rsid w:val="00654921"/>
    <w:rsid w:val="00660875"/>
    <w:rsid w:val="0066161C"/>
    <w:rsid w:val="00661FB8"/>
    <w:rsid w:val="006626A1"/>
    <w:rsid w:val="006638D5"/>
    <w:rsid w:val="006652D0"/>
    <w:rsid w:val="00671B80"/>
    <w:rsid w:val="0067232D"/>
    <w:rsid w:val="006737B1"/>
    <w:rsid w:val="00673A2A"/>
    <w:rsid w:val="0067534B"/>
    <w:rsid w:val="006770D2"/>
    <w:rsid w:val="0068024C"/>
    <w:rsid w:val="00680675"/>
    <w:rsid w:val="00681AB5"/>
    <w:rsid w:val="00683574"/>
    <w:rsid w:val="00685A61"/>
    <w:rsid w:val="00691F9C"/>
    <w:rsid w:val="006923E5"/>
    <w:rsid w:val="0069273B"/>
    <w:rsid w:val="00695A7B"/>
    <w:rsid w:val="00696060"/>
    <w:rsid w:val="00697EAE"/>
    <w:rsid w:val="006A24AC"/>
    <w:rsid w:val="006A4F30"/>
    <w:rsid w:val="006A5B3E"/>
    <w:rsid w:val="006A7529"/>
    <w:rsid w:val="006B0A16"/>
    <w:rsid w:val="006B153F"/>
    <w:rsid w:val="006B18B5"/>
    <w:rsid w:val="006B1F86"/>
    <w:rsid w:val="006B2BB7"/>
    <w:rsid w:val="006B5FE0"/>
    <w:rsid w:val="006B6AD3"/>
    <w:rsid w:val="006B7813"/>
    <w:rsid w:val="006B7EF5"/>
    <w:rsid w:val="006C09D6"/>
    <w:rsid w:val="006C25AF"/>
    <w:rsid w:val="006C4D6D"/>
    <w:rsid w:val="006C4FB2"/>
    <w:rsid w:val="006C507D"/>
    <w:rsid w:val="006C61DC"/>
    <w:rsid w:val="006C7016"/>
    <w:rsid w:val="006D3F1C"/>
    <w:rsid w:val="006D420E"/>
    <w:rsid w:val="006D4974"/>
    <w:rsid w:val="006D5289"/>
    <w:rsid w:val="006D5290"/>
    <w:rsid w:val="006D5943"/>
    <w:rsid w:val="006D7873"/>
    <w:rsid w:val="006E0759"/>
    <w:rsid w:val="006E3EE2"/>
    <w:rsid w:val="006E6E23"/>
    <w:rsid w:val="006E7963"/>
    <w:rsid w:val="006F018C"/>
    <w:rsid w:val="006F205B"/>
    <w:rsid w:val="006F2D14"/>
    <w:rsid w:val="006F4A38"/>
    <w:rsid w:val="006F4FFF"/>
    <w:rsid w:val="006F76F0"/>
    <w:rsid w:val="007022AE"/>
    <w:rsid w:val="007033A9"/>
    <w:rsid w:val="00707055"/>
    <w:rsid w:val="00712887"/>
    <w:rsid w:val="007159AA"/>
    <w:rsid w:val="0071785B"/>
    <w:rsid w:val="007179DE"/>
    <w:rsid w:val="00720E95"/>
    <w:rsid w:val="00721569"/>
    <w:rsid w:val="007219C0"/>
    <w:rsid w:val="00723EE4"/>
    <w:rsid w:val="007255E9"/>
    <w:rsid w:val="00727AB5"/>
    <w:rsid w:val="00730BE7"/>
    <w:rsid w:val="00731BF3"/>
    <w:rsid w:val="007328D9"/>
    <w:rsid w:val="00733EED"/>
    <w:rsid w:val="007340DD"/>
    <w:rsid w:val="007349F7"/>
    <w:rsid w:val="00735FA0"/>
    <w:rsid w:val="007375ED"/>
    <w:rsid w:val="00737B09"/>
    <w:rsid w:val="00740131"/>
    <w:rsid w:val="0074106F"/>
    <w:rsid w:val="007417AA"/>
    <w:rsid w:val="00742335"/>
    <w:rsid w:val="007503D1"/>
    <w:rsid w:val="00750E22"/>
    <w:rsid w:val="0075323C"/>
    <w:rsid w:val="007552D7"/>
    <w:rsid w:val="0075538D"/>
    <w:rsid w:val="007567EF"/>
    <w:rsid w:val="00761627"/>
    <w:rsid w:val="007624C8"/>
    <w:rsid w:val="00762572"/>
    <w:rsid w:val="00763120"/>
    <w:rsid w:val="007672BA"/>
    <w:rsid w:val="00767C27"/>
    <w:rsid w:val="007708FC"/>
    <w:rsid w:val="00770B40"/>
    <w:rsid w:val="00770FA6"/>
    <w:rsid w:val="007715DD"/>
    <w:rsid w:val="00772162"/>
    <w:rsid w:val="00773158"/>
    <w:rsid w:val="00777EFC"/>
    <w:rsid w:val="0078208E"/>
    <w:rsid w:val="00783A18"/>
    <w:rsid w:val="00784730"/>
    <w:rsid w:val="00785F07"/>
    <w:rsid w:val="00786E4C"/>
    <w:rsid w:val="007907CD"/>
    <w:rsid w:val="007911FE"/>
    <w:rsid w:val="00791BB0"/>
    <w:rsid w:val="0079210A"/>
    <w:rsid w:val="0079370C"/>
    <w:rsid w:val="00794744"/>
    <w:rsid w:val="007966C1"/>
    <w:rsid w:val="007A00B9"/>
    <w:rsid w:val="007A3665"/>
    <w:rsid w:val="007A4633"/>
    <w:rsid w:val="007B04E9"/>
    <w:rsid w:val="007B04F7"/>
    <w:rsid w:val="007B0B4D"/>
    <w:rsid w:val="007B29EB"/>
    <w:rsid w:val="007B4728"/>
    <w:rsid w:val="007B54FB"/>
    <w:rsid w:val="007C12D7"/>
    <w:rsid w:val="007C627C"/>
    <w:rsid w:val="007C7428"/>
    <w:rsid w:val="007D04C7"/>
    <w:rsid w:val="007D05D5"/>
    <w:rsid w:val="007D17D2"/>
    <w:rsid w:val="007D17F4"/>
    <w:rsid w:val="007D1F92"/>
    <w:rsid w:val="007D2C83"/>
    <w:rsid w:val="007D4A5B"/>
    <w:rsid w:val="007D4CC0"/>
    <w:rsid w:val="007D4F2F"/>
    <w:rsid w:val="007D50DD"/>
    <w:rsid w:val="007D5F1F"/>
    <w:rsid w:val="007E1728"/>
    <w:rsid w:val="007E3077"/>
    <w:rsid w:val="007E500A"/>
    <w:rsid w:val="007E6201"/>
    <w:rsid w:val="007F0562"/>
    <w:rsid w:val="007F1E0A"/>
    <w:rsid w:val="007F22D1"/>
    <w:rsid w:val="007F2D3F"/>
    <w:rsid w:val="007F423A"/>
    <w:rsid w:val="007F4DF8"/>
    <w:rsid w:val="0080073D"/>
    <w:rsid w:val="0080135E"/>
    <w:rsid w:val="00801B56"/>
    <w:rsid w:val="0080603F"/>
    <w:rsid w:val="008064DD"/>
    <w:rsid w:val="00806843"/>
    <w:rsid w:val="00806962"/>
    <w:rsid w:val="008069BE"/>
    <w:rsid w:val="00810AF7"/>
    <w:rsid w:val="00815007"/>
    <w:rsid w:val="0081546F"/>
    <w:rsid w:val="00816987"/>
    <w:rsid w:val="00820117"/>
    <w:rsid w:val="008225F8"/>
    <w:rsid w:val="00823F9B"/>
    <w:rsid w:val="00825719"/>
    <w:rsid w:val="00827443"/>
    <w:rsid w:val="00830201"/>
    <w:rsid w:val="008302E6"/>
    <w:rsid w:val="00831EDE"/>
    <w:rsid w:val="00832C0A"/>
    <w:rsid w:val="00832C8C"/>
    <w:rsid w:val="008346AF"/>
    <w:rsid w:val="00834EFB"/>
    <w:rsid w:val="00837E28"/>
    <w:rsid w:val="008418E8"/>
    <w:rsid w:val="00841A07"/>
    <w:rsid w:val="00843ED9"/>
    <w:rsid w:val="00844C58"/>
    <w:rsid w:val="008476DC"/>
    <w:rsid w:val="0085144B"/>
    <w:rsid w:val="00851D5F"/>
    <w:rsid w:val="00851ECF"/>
    <w:rsid w:val="008528A2"/>
    <w:rsid w:val="00852C20"/>
    <w:rsid w:val="00854D2B"/>
    <w:rsid w:val="00855B3E"/>
    <w:rsid w:val="00856832"/>
    <w:rsid w:val="00862AE8"/>
    <w:rsid w:val="008641CA"/>
    <w:rsid w:val="00867BF9"/>
    <w:rsid w:val="0087212F"/>
    <w:rsid w:val="0087459E"/>
    <w:rsid w:val="00874A19"/>
    <w:rsid w:val="00882CF4"/>
    <w:rsid w:val="00882DB7"/>
    <w:rsid w:val="008839EE"/>
    <w:rsid w:val="00883EB4"/>
    <w:rsid w:val="00885088"/>
    <w:rsid w:val="0088604C"/>
    <w:rsid w:val="00886C0A"/>
    <w:rsid w:val="0089006E"/>
    <w:rsid w:val="0089051B"/>
    <w:rsid w:val="00890985"/>
    <w:rsid w:val="00891312"/>
    <w:rsid w:val="008918C9"/>
    <w:rsid w:val="00891F9D"/>
    <w:rsid w:val="0089391A"/>
    <w:rsid w:val="008945DA"/>
    <w:rsid w:val="008A2E83"/>
    <w:rsid w:val="008A2F52"/>
    <w:rsid w:val="008A3CC9"/>
    <w:rsid w:val="008A506C"/>
    <w:rsid w:val="008A70B6"/>
    <w:rsid w:val="008B0860"/>
    <w:rsid w:val="008B2586"/>
    <w:rsid w:val="008B2797"/>
    <w:rsid w:val="008B32A0"/>
    <w:rsid w:val="008B40A6"/>
    <w:rsid w:val="008B72C5"/>
    <w:rsid w:val="008C0440"/>
    <w:rsid w:val="008C3CA5"/>
    <w:rsid w:val="008D07AD"/>
    <w:rsid w:val="008D0978"/>
    <w:rsid w:val="008D0C17"/>
    <w:rsid w:val="008D2420"/>
    <w:rsid w:val="008D7E1F"/>
    <w:rsid w:val="008E020A"/>
    <w:rsid w:val="008E0D2E"/>
    <w:rsid w:val="008E41E0"/>
    <w:rsid w:val="008E4DB5"/>
    <w:rsid w:val="008E563B"/>
    <w:rsid w:val="008E5ABA"/>
    <w:rsid w:val="008F1EBB"/>
    <w:rsid w:val="008F24F3"/>
    <w:rsid w:val="008F26D6"/>
    <w:rsid w:val="008F3405"/>
    <w:rsid w:val="008F42FD"/>
    <w:rsid w:val="00900E28"/>
    <w:rsid w:val="00901D1A"/>
    <w:rsid w:val="00904D3C"/>
    <w:rsid w:val="0090535C"/>
    <w:rsid w:val="00905CE9"/>
    <w:rsid w:val="00906019"/>
    <w:rsid w:val="00906385"/>
    <w:rsid w:val="009067B9"/>
    <w:rsid w:val="00906BD1"/>
    <w:rsid w:val="00907204"/>
    <w:rsid w:val="00910105"/>
    <w:rsid w:val="00913014"/>
    <w:rsid w:val="00913644"/>
    <w:rsid w:val="00917378"/>
    <w:rsid w:val="00917F2E"/>
    <w:rsid w:val="00920DA7"/>
    <w:rsid w:val="009210ED"/>
    <w:rsid w:val="00921BCB"/>
    <w:rsid w:val="0092328E"/>
    <w:rsid w:val="00923851"/>
    <w:rsid w:val="00924F3E"/>
    <w:rsid w:val="00933F33"/>
    <w:rsid w:val="009348F2"/>
    <w:rsid w:val="00935A66"/>
    <w:rsid w:val="009361B3"/>
    <w:rsid w:val="009361C2"/>
    <w:rsid w:val="00936531"/>
    <w:rsid w:val="00937DD0"/>
    <w:rsid w:val="00942119"/>
    <w:rsid w:val="00942AF6"/>
    <w:rsid w:val="00945436"/>
    <w:rsid w:val="00947D4D"/>
    <w:rsid w:val="009504FE"/>
    <w:rsid w:val="00950689"/>
    <w:rsid w:val="0095079D"/>
    <w:rsid w:val="009515CD"/>
    <w:rsid w:val="009528B7"/>
    <w:rsid w:val="00953D77"/>
    <w:rsid w:val="0095556A"/>
    <w:rsid w:val="00956A76"/>
    <w:rsid w:val="00957BBA"/>
    <w:rsid w:val="009630BB"/>
    <w:rsid w:val="009632B9"/>
    <w:rsid w:val="009646DF"/>
    <w:rsid w:val="00965695"/>
    <w:rsid w:val="0096642F"/>
    <w:rsid w:val="0096691E"/>
    <w:rsid w:val="00967D88"/>
    <w:rsid w:val="0097069C"/>
    <w:rsid w:val="00970A1F"/>
    <w:rsid w:val="00972E5B"/>
    <w:rsid w:val="009738DE"/>
    <w:rsid w:val="00974BD8"/>
    <w:rsid w:val="00976BFE"/>
    <w:rsid w:val="0097717A"/>
    <w:rsid w:val="00982600"/>
    <w:rsid w:val="0098331F"/>
    <w:rsid w:val="0098345E"/>
    <w:rsid w:val="00983964"/>
    <w:rsid w:val="009867BE"/>
    <w:rsid w:val="00986952"/>
    <w:rsid w:val="00987E8A"/>
    <w:rsid w:val="0099155D"/>
    <w:rsid w:val="00992C06"/>
    <w:rsid w:val="00995C3C"/>
    <w:rsid w:val="0099741E"/>
    <w:rsid w:val="009A05AD"/>
    <w:rsid w:val="009A0998"/>
    <w:rsid w:val="009A61FA"/>
    <w:rsid w:val="009A63D8"/>
    <w:rsid w:val="009A6495"/>
    <w:rsid w:val="009A67E2"/>
    <w:rsid w:val="009A6AD5"/>
    <w:rsid w:val="009B278B"/>
    <w:rsid w:val="009B2A57"/>
    <w:rsid w:val="009B69D3"/>
    <w:rsid w:val="009B7C8D"/>
    <w:rsid w:val="009B7CBE"/>
    <w:rsid w:val="009B7DCB"/>
    <w:rsid w:val="009C2B4B"/>
    <w:rsid w:val="009C368A"/>
    <w:rsid w:val="009C5A51"/>
    <w:rsid w:val="009C6D9C"/>
    <w:rsid w:val="009C7CA7"/>
    <w:rsid w:val="009D19C3"/>
    <w:rsid w:val="009D1A73"/>
    <w:rsid w:val="009D6C4D"/>
    <w:rsid w:val="009E0670"/>
    <w:rsid w:val="009E0B49"/>
    <w:rsid w:val="009E25F9"/>
    <w:rsid w:val="009E4111"/>
    <w:rsid w:val="009E4D14"/>
    <w:rsid w:val="009E51EC"/>
    <w:rsid w:val="009E7874"/>
    <w:rsid w:val="009F02E1"/>
    <w:rsid w:val="009F0377"/>
    <w:rsid w:val="009F04CC"/>
    <w:rsid w:val="009F2492"/>
    <w:rsid w:val="009F4123"/>
    <w:rsid w:val="009F434C"/>
    <w:rsid w:val="009F5A3B"/>
    <w:rsid w:val="00A0078C"/>
    <w:rsid w:val="00A0084A"/>
    <w:rsid w:val="00A04901"/>
    <w:rsid w:val="00A05DDB"/>
    <w:rsid w:val="00A100F3"/>
    <w:rsid w:val="00A128DC"/>
    <w:rsid w:val="00A13B5D"/>
    <w:rsid w:val="00A154B7"/>
    <w:rsid w:val="00A16167"/>
    <w:rsid w:val="00A16F91"/>
    <w:rsid w:val="00A2107E"/>
    <w:rsid w:val="00A21E3F"/>
    <w:rsid w:val="00A24FF3"/>
    <w:rsid w:val="00A25221"/>
    <w:rsid w:val="00A30C6F"/>
    <w:rsid w:val="00A33F02"/>
    <w:rsid w:val="00A347C5"/>
    <w:rsid w:val="00A4262B"/>
    <w:rsid w:val="00A4269A"/>
    <w:rsid w:val="00A437F5"/>
    <w:rsid w:val="00A43E45"/>
    <w:rsid w:val="00A4565E"/>
    <w:rsid w:val="00A508C9"/>
    <w:rsid w:val="00A50988"/>
    <w:rsid w:val="00A50C9B"/>
    <w:rsid w:val="00A511A4"/>
    <w:rsid w:val="00A519A5"/>
    <w:rsid w:val="00A521B2"/>
    <w:rsid w:val="00A5258A"/>
    <w:rsid w:val="00A55267"/>
    <w:rsid w:val="00A6066F"/>
    <w:rsid w:val="00A60FA3"/>
    <w:rsid w:val="00A621EE"/>
    <w:rsid w:val="00A629F7"/>
    <w:rsid w:val="00A6477E"/>
    <w:rsid w:val="00A647F0"/>
    <w:rsid w:val="00A65583"/>
    <w:rsid w:val="00A65911"/>
    <w:rsid w:val="00A664E4"/>
    <w:rsid w:val="00A770B6"/>
    <w:rsid w:val="00A77B7E"/>
    <w:rsid w:val="00A8226D"/>
    <w:rsid w:val="00A90545"/>
    <w:rsid w:val="00A9252C"/>
    <w:rsid w:val="00A93784"/>
    <w:rsid w:val="00A939E5"/>
    <w:rsid w:val="00A93AC3"/>
    <w:rsid w:val="00A94183"/>
    <w:rsid w:val="00A94BE6"/>
    <w:rsid w:val="00A94F49"/>
    <w:rsid w:val="00A94FDD"/>
    <w:rsid w:val="00A957C1"/>
    <w:rsid w:val="00A95E04"/>
    <w:rsid w:val="00A968A5"/>
    <w:rsid w:val="00A97397"/>
    <w:rsid w:val="00AA2758"/>
    <w:rsid w:val="00AA4C65"/>
    <w:rsid w:val="00AA5CB1"/>
    <w:rsid w:val="00AA60C8"/>
    <w:rsid w:val="00AA6AAC"/>
    <w:rsid w:val="00AB0F7F"/>
    <w:rsid w:val="00AB103D"/>
    <w:rsid w:val="00AB2378"/>
    <w:rsid w:val="00AB2740"/>
    <w:rsid w:val="00AB3736"/>
    <w:rsid w:val="00AB3934"/>
    <w:rsid w:val="00AB4FCE"/>
    <w:rsid w:val="00AB521E"/>
    <w:rsid w:val="00AB5347"/>
    <w:rsid w:val="00AC1A0D"/>
    <w:rsid w:val="00AC3D8B"/>
    <w:rsid w:val="00AC534E"/>
    <w:rsid w:val="00AC6518"/>
    <w:rsid w:val="00AD075A"/>
    <w:rsid w:val="00AD0F47"/>
    <w:rsid w:val="00AD2821"/>
    <w:rsid w:val="00AD32A6"/>
    <w:rsid w:val="00AD5D98"/>
    <w:rsid w:val="00AE12E6"/>
    <w:rsid w:val="00AE2C20"/>
    <w:rsid w:val="00AE304E"/>
    <w:rsid w:val="00AE4171"/>
    <w:rsid w:val="00AE42C9"/>
    <w:rsid w:val="00AE5F46"/>
    <w:rsid w:val="00AE634F"/>
    <w:rsid w:val="00AE6CF6"/>
    <w:rsid w:val="00AE7966"/>
    <w:rsid w:val="00AE7D04"/>
    <w:rsid w:val="00AE7D84"/>
    <w:rsid w:val="00AF070C"/>
    <w:rsid w:val="00AF1CC2"/>
    <w:rsid w:val="00AF1F1A"/>
    <w:rsid w:val="00AF6B36"/>
    <w:rsid w:val="00B01836"/>
    <w:rsid w:val="00B024FE"/>
    <w:rsid w:val="00B029D3"/>
    <w:rsid w:val="00B031E9"/>
    <w:rsid w:val="00B03C22"/>
    <w:rsid w:val="00B04567"/>
    <w:rsid w:val="00B10017"/>
    <w:rsid w:val="00B11BCD"/>
    <w:rsid w:val="00B1230B"/>
    <w:rsid w:val="00B155E8"/>
    <w:rsid w:val="00B159E4"/>
    <w:rsid w:val="00B16775"/>
    <w:rsid w:val="00B16AB7"/>
    <w:rsid w:val="00B21B67"/>
    <w:rsid w:val="00B22B62"/>
    <w:rsid w:val="00B24867"/>
    <w:rsid w:val="00B27528"/>
    <w:rsid w:val="00B277FF"/>
    <w:rsid w:val="00B321D4"/>
    <w:rsid w:val="00B34030"/>
    <w:rsid w:val="00B34C65"/>
    <w:rsid w:val="00B36A16"/>
    <w:rsid w:val="00B37D91"/>
    <w:rsid w:val="00B37D97"/>
    <w:rsid w:val="00B4265B"/>
    <w:rsid w:val="00B43B21"/>
    <w:rsid w:val="00B44950"/>
    <w:rsid w:val="00B51E65"/>
    <w:rsid w:val="00B53340"/>
    <w:rsid w:val="00B5733F"/>
    <w:rsid w:val="00B57D60"/>
    <w:rsid w:val="00B604FA"/>
    <w:rsid w:val="00B61890"/>
    <w:rsid w:val="00B619F5"/>
    <w:rsid w:val="00B61C69"/>
    <w:rsid w:val="00B62233"/>
    <w:rsid w:val="00B62A3E"/>
    <w:rsid w:val="00B63396"/>
    <w:rsid w:val="00B654D6"/>
    <w:rsid w:val="00B65D71"/>
    <w:rsid w:val="00B668A6"/>
    <w:rsid w:val="00B67841"/>
    <w:rsid w:val="00B7040E"/>
    <w:rsid w:val="00B72E6C"/>
    <w:rsid w:val="00B73471"/>
    <w:rsid w:val="00B76C16"/>
    <w:rsid w:val="00B82BF2"/>
    <w:rsid w:val="00B83AFA"/>
    <w:rsid w:val="00B8553F"/>
    <w:rsid w:val="00B85E9A"/>
    <w:rsid w:val="00B91140"/>
    <w:rsid w:val="00B9157E"/>
    <w:rsid w:val="00B92964"/>
    <w:rsid w:val="00B92ABB"/>
    <w:rsid w:val="00B946D8"/>
    <w:rsid w:val="00BA0F06"/>
    <w:rsid w:val="00BA31DC"/>
    <w:rsid w:val="00BA5783"/>
    <w:rsid w:val="00BA70AC"/>
    <w:rsid w:val="00BA7609"/>
    <w:rsid w:val="00BB038F"/>
    <w:rsid w:val="00BB155B"/>
    <w:rsid w:val="00BB73B2"/>
    <w:rsid w:val="00BB7AFA"/>
    <w:rsid w:val="00BB7AFF"/>
    <w:rsid w:val="00BC1474"/>
    <w:rsid w:val="00BC1982"/>
    <w:rsid w:val="00BC309F"/>
    <w:rsid w:val="00BC3695"/>
    <w:rsid w:val="00BC48B5"/>
    <w:rsid w:val="00BC6030"/>
    <w:rsid w:val="00BC6170"/>
    <w:rsid w:val="00BD00E9"/>
    <w:rsid w:val="00BD2C0D"/>
    <w:rsid w:val="00BD5844"/>
    <w:rsid w:val="00BD6A3D"/>
    <w:rsid w:val="00BE0718"/>
    <w:rsid w:val="00BE097A"/>
    <w:rsid w:val="00BE1194"/>
    <w:rsid w:val="00BE43D5"/>
    <w:rsid w:val="00BE7978"/>
    <w:rsid w:val="00BE7A4A"/>
    <w:rsid w:val="00BF2266"/>
    <w:rsid w:val="00BF498B"/>
    <w:rsid w:val="00BF70B8"/>
    <w:rsid w:val="00BF7374"/>
    <w:rsid w:val="00C014A2"/>
    <w:rsid w:val="00C01C84"/>
    <w:rsid w:val="00C02F04"/>
    <w:rsid w:val="00C031FB"/>
    <w:rsid w:val="00C03AE0"/>
    <w:rsid w:val="00C04531"/>
    <w:rsid w:val="00C05220"/>
    <w:rsid w:val="00C06255"/>
    <w:rsid w:val="00C06B2D"/>
    <w:rsid w:val="00C07505"/>
    <w:rsid w:val="00C118FE"/>
    <w:rsid w:val="00C11BC4"/>
    <w:rsid w:val="00C158DC"/>
    <w:rsid w:val="00C15911"/>
    <w:rsid w:val="00C170D1"/>
    <w:rsid w:val="00C22392"/>
    <w:rsid w:val="00C25C10"/>
    <w:rsid w:val="00C26013"/>
    <w:rsid w:val="00C30069"/>
    <w:rsid w:val="00C31946"/>
    <w:rsid w:val="00C3416C"/>
    <w:rsid w:val="00C35434"/>
    <w:rsid w:val="00C36D7E"/>
    <w:rsid w:val="00C37B60"/>
    <w:rsid w:val="00C37D06"/>
    <w:rsid w:val="00C50B84"/>
    <w:rsid w:val="00C51FFB"/>
    <w:rsid w:val="00C53776"/>
    <w:rsid w:val="00C53857"/>
    <w:rsid w:val="00C53D79"/>
    <w:rsid w:val="00C6256E"/>
    <w:rsid w:val="00C6432A"/>
    <w:rsid w:val="00C64786"/>
    <w:rsid w:val="00C6714D"/>
    <w:rsid w:val="00C6726B"/>
    <w:rsid w:val="00C67BAE"/>
    <w:rsid w:val="00C70916"/>
    <w:rsid w:val="00C71E81"/>
    <w:rsid w:val="00C7487D"/>
    <w:rsid w:val="00C75E57"/>
    <w:rsid w:val="00C77660"/>
    <w:rsid w:val="00C77728"/>
    <w:rsid w:val="00C81EE9"/>
    <w:rsid w:val="00C83339"/>
    <w:rsid w:val="00C83D37"/>
    <w:rsid w:val="00C85446"/>
    <w:rsid w:val="00C86093"/>
    <w:rsid w:val="00C864EF"/>
    <w:rsid w:val="00C8798C"/>
    <w:rsid w:val="00C87D54"/>
    <w:rsid w:val="00C91165"/>
    <w:rsid w:val="00C91772"/>
    <w:rsid w:val="00C928E9"/>
    <w:rsid w:val="00C9485C"/>
    <w:rsid w:val="00C94E09"/>
    <w:rsid w:val="00C97405"/>
    <w:rsid w:val="00CA30F2"/>
    <w:rsid w:val="00CA3629"/>
    <w:rsid w:val="00CA4204"/>
    <w:rsid w:val="00CA75ED"/>
    <w:rsid w:val="00CB0C69"/>
    <w:rsid w:val="00CB48BB"/>
    <w:rsid w:val="00CB5B3E"/>
    <w:rsid w:val="00CB5C40"/>
    <w:rsid w:val="00CC06E3"/>
    <w:rsid w:val="00CC437C"/>
    <w:rsid w:val="00CC5CE4"/>
    <w:rsid w:val="00CC62FC"/>
    <w:rsid w:val="00CD1D29"/>
    <w:rsid w:val="00CD32D6"/>
    <w:rsid w:val="00CD38E4"/>
    <w:rsid w:val="00CD6FE8"/>
    <w:rsid w:val="00CD7878"/>
    <w:rsid w:val="00CE0541"/>
    <w:rsid w:val="00CE30FC"/>
    <w:rsid w:val="00CE38A4"/>
    <w:rsid w:val="00CE4FB8"/>
    <w:rsid w:val="00CE5576"/>
    <w:rsid w:val="00CE64F9"/>
    <w:rsid w:val="00CE6B60"/>
    <w:rsid w:val="00CF169B"/>
    <w:rsid w:val="00CF3D10"/>
    <w:rsid w:val="00CF49CF"/>
    <w:rsid w:val="00D0086D"/>
    <w:rsid w:val="00D0246C"/>
    <w:rsid w:val="00D0258A"/>
    <w:rsid w:val="00D02A3A"/>
    <w:rsid w:val="00D03377"/>
    <w:rsid w:val="00D10504"/>
    <w:rsid w:val="00D11243"/>
    <w:rsid w:val="00D14E3E"/>
    <w:rsid w:val="00D15075"/>
    <w:rsid w:val="00D211BB"/>
    <w:rsid w:val="00D244C9"/>
    <w:rsid w:val="00D247B7"/>
    <w:rsid w:val="00D24CFC"/>
    <w:rsid w:val="00D2575B"/>
    <w:rsid w:val="00D26202"/>
    <w:rsid w:val="00D306A1"/>
    <w:rsid w:val="00D350F0"/>
    <w:rsid w:val="00D360A6"/>
    <w:rsid w:val="00D371F9"/>
    <w:rsid w:val="00D40A11"/>
    <w:rsid w:val="00D41025"/>
    <w:rsid w:val="00D411A1"/>
    <w:rsid w:val="00D4190C"/>
    <w:rsid w:val="00D4199D"/>
    <w:rsid w:val="00D41F9C"/>
    <w:rsid w:val="00D443FF"/>
    <w:rsid w:val="00D45485"/>
    <w:rsid w:val="00D457A9"/>
    <w:rsid w:val="00D52A14"/>
    <w:rsid w:val="00D5715D"/>
    <w:rsid w:val="00D573F4"/>
    <w:rsid w:val="00D6124D"/>
    <w:rsid w:val="00D63407"/>
    <w:rsid w:val="00D63D25"/>
    <w:rsid w:val="00D6554F"/>
    <w:rsid w:val="00D67167"/>
    <w:rsid w:val="00D672CF"/>
    <w:rsid w:val="00D67CCB"/>
    <w:rsid w:val="00D711BB"/>
    <w:rsid w:val="00D7176D"/>
    <w:rsid w:val="00D72524"/>
    <w:rsid w:val="00D7395C"/>
    <w:rsid w:val="00D825FC"/>
    <w:rsid w:val="00D82BDB"/>
    <w:rsid w:val="00D82FB1"/>
    <w:rsid w:val="00D83338"/>
    <w:rsid w:val="00D83513"/>
    <w:rsid w:val="00D83FC6"/>
    <w:rsid w:val="00D84CBA"/>
    <w:rsid w:val="00D85D23"/>
    <w:rsid w:val="00D9014E"/>
    <w:rsid w:val="00D90A0D"/>
    <w:rsid w:val="00D90BD5"/>
    <w:rsid w:val="00D93DFA"/>
    <w:rsid w:val="00D95426"/>
    <w:rsid w:val="00D963AE"/>
    <w:rsid w:val="00D97BD9"/>
    <w:rsid w:val="00DA6116"/>
    <w:rsid w:val="00DA6A48"/>
    <w:rsid w:val="00DB23C0"/>
    <w:rsid w:val="00DB498A"/>
    <w:rsid w:val="00DB62B1"/>
    <w:rsid w:val="00DB7665"/>
    <w:rsid w:val="00DC0349"/>
    <w:rsid w:val="00DC1CA8"/>
    <w:rsid w:val="00DC23AF"/>
    <w:rsid w:val="00DC2A83"/>
    <w:rsid w:val="00DC3D59"/>
    <w:rsid w:val="00DC4C6C"/>
    <w:rsid w:val="00DC638D"/>
    <w:rsid w:val="00DD03B1"/>
    <w:rsid w:val="00DD06A2"/>
    <w:rsid w:val="00DD0F1A"/>
    <w:rsid w:val="00DD5797"/>
    <w:rsid w:val="00DD66D0"/>
    <w:rsid w:val="00DD6D63"/>
    <w:rsid w:val="00DD6DA5"/>
    <w:rsid w:val="00DE09CD"/>
    <w:rsid w:val="00DE11BA"/>
    <w:rsid w:val="00DE255D"/>
    <w:rsid w:val="00DE2B02"/>
    <w:rsid w:val="00DE42C9"/>
    <w:rsid w:val="00DE52BA"/>
    <w:rsid w:val="00DE6D95"/>
    <w:rsid w:val="00DF025E"/>
    <w:rsid w:val="00DF0CCE"/>
    <w:rsid w:val="00DF167B"/>
    <w:rsid w:val="00DF4194"/>
    <w:rsid w:val="00DF4C74"/>
    <w:rsid w:val="00DF5DBF"/>
    <w:rsid w:val="00DF63E5"/>
    <w:rsid w:val="00DF6618"/>
    <w:rsid w:val="00E02DF7"/>
    <w:rsid w:val="00E0368E"/>
    <w:rsid w:val="00E03853"/>
    <w:rsid w:val="00E139EB"/>
    <w:rsid w:val="00E148D0"/>
    <w:rsid w:val="00E16A5D"/>
    <w:rsid w:val="00E16B34"/>
    <w:rsid w:val="00E1752A"/>
    <w:rsid w:val="00E17FBF"/>
    <w:rsid w:val="00E212A9"/>
    <w:rsid w:val="00E23EC6"/>
    <w:rsid w:val="00E25AAA"/>
    <w:rsid w:val="00E2747D"/>
    <w:rsid w:val="00E27F4C"/>
    <w:rsid w:val="00E3049B"/>
    <w:rsid w:val="00E31C46"/>
    <w:rsid w:val="00E3701F"/>
    <w:rsid w:val="00E41DD3"/>
    <w:rsid w:val="00E42D11"/>
    <w:rsid w:val="00E4358D"/>
    <w:rsid w:val="00E457E8"/>
    <w:rsid w:val="00E463B5"/>
    <w:rsid w:val="00E47610"/>
    <w:rsid w:val="00E47AF3"/>
    <w:rsid w:val="00E52CD8"/>
    <w:rsid w:val="00E5349B"/>
    <w:rsid w:val="00E53D19"/>
    <w:rsid w:val="00E54A1E"/>
    <w:rsid w:val="00E56537"/>
    <w:rsid w:val="00E566BE"/>
    <w:rsid w:val="00E56E8B"/>
    <w:rsid w:val="00E612A1"/>
    <w:rsid w:val="00E6357E"/>
    <w:rsid w:val="00E65319"/>
    <w:rsid w:val="00E660F0"/>
    <w:rsid w:val="00E6654D"/>
    <w:rsid w:val="00E679A9"/>
    <w:rsid w:val="00E70494"/>
    <w:rsid w:val="00E70B7C"/>
    <w:rsid w:val="00E70CBD"/>
    <w:rsid w:val="00E71641"/>
    <w:rsid w:val="00E73285"/>
    <w:rsid w:val="00E7512F"/>
    <w:rsid w:val="00E75A24"/>
    <w:rsid w:val="00E770F7"/>
    <w:rsid w:val="00E80179"/>
    <w:rsid w:val="00E81A86"/>
    <w:rsid w:val="00E82FF6"/>
    <w:rsid w:val="00E8326C"/>
    <w:rsid w:val="00E83FB7"/>
    <w:rsid w:val="00E84C75"/>
    <w:rsid w:val="00E85735"/>
    <w:rsid w:val="00E878A8"/>
    <w:rsid w:val="00E927BB"/>
    <w:rsid w:val="00E95C66"/>
    <w:rsid w:val="00E976A9"/>
    <w:rsid w:val="00E97DD8"/>
    <w:rsid w:val="00EA60A3"/>
    <w:rsid w:val="00EB0081"/>
    <w:rsid w:val="00EB0337"/>
    <w:rsid w:val="00EB048A"/>
    <w:rsid w:val="00EB24B6"/>
    <w:rsid w:val="00EC0F96"/>
    <w:rsid w:val="00EC19F0"/>
    <w:rsid w:val="00EC2587"/>
    <w:rsid w:val="00EC3C69"/>
    <w:rsid w:val="00EC44A2"/>
    <w:rsid w:val="00EC68F4"/>
    <w:rsid w:val="00EC6AF0"/>
    <w:rsid w:val="00ED1379"/>
    <w:rsid w:val="00ED23F7"/>
    <w:rsid w:val="00ED2466"/>
    <w:rsid w:val="00ED43BB"/>
    <w:rsid w:val="00ED4604"/>
    <w:rsid w:val="00EE4742"/>
    <w:rsid w:val="00EF2E91"/>
    <w:rsid w:val="00EF3028"/>
    <w:rsid w:val="00EF791A"/>
    <w:rsid w:val="00F01BAA"/>
    <w:rsid w:val="00F01BF1"/>
    <w:rsid w:val="00F03EE5"/>
    <w:rsid w:val="00F056AB"/>
    <w:rsid w:val="00F077AF"/>
    <w:rsid w:val="00F105E2"/>
    <w:rsid w:val="00F117A0"/>
    <w:rsid w:val="00F12066"/>
    <w:rsid w:val="00F13597"/>
    <w:rsid w:val="00F151E4"/>
    <w:rsid w:val="00F20F62"/>
    <w:rsid w:val="00F21679"/>
    <w:rsid w:val="00F24F2B"/>
    <w:rsid w:val="00F255F9"/>
    <w:rsid w:val="00F267E0"/>
    <w:rsid w:val="00F279BB"/>
    <w:rsid w:val="00F33C45"/>
    <w:rsid w:val="00F33D04"/>
    <w:rsid w:val="00F341D4"/>
    <w:rsid w:val="00F34BB6"/>
    <w:rsid w:val="00F35623"/>
    <w:rsid w:val="00F36F63"/>
    <w:rsid w:val="00F37B87"/>
    <w:rsid w:val="00F407CF"/>
    <w:rsid w:val="00F43B91"/>
    <w:rsid w:val="00F45082"/>
    <w:rsid w:val="00F477A8"/>
    <w:rsid w:val="00F47F75"/>
    <w:rsid w:val="00F50E7F"/>
    <w:rsid w:val="00F51370"/>
    <w:rsid w:val="00F515EB"/>
    <w:rsid w:val="00F52C06"/>
    <w:rsid w:val="00F53F2C"/>
    <w:rsid w:val="00F5463C"/>
    <w:rsid w:val="00F55029"/>
    <w:rsid w:val="00F564BA"/>
    <w:rsid w:val="00F61A25"/>
    <w:rsid w:val="00F65C8D"/>
    <w:rsid w:val="00F66669"/>
    <w:rsid w:val="00F672E5"/>
    <w:rsid w:val="00F70F47"/>
    <w:rsid w:val="00F71308"/>
    <w:rsid w:val="00F7214F"/>
    <w:rsid w:val="00F738A1"/>
    <w:rsid w:val="00F76569"/>
    <w:rsid w:val="00F77F80"/>
    <w:rsid w:val="00F84879"/>
    <w:rsid w:val="00F8536B"/>
    <w:rsid w:val="00F859E4"/>
    <w:rsid w:val="00F8671E"/>
    <w:rsid w:val="00F867F3"/>
    <w:rsid w:val="00F937EC"/>
    <w:rsid w:val="00F94E22"/>
    <w:rsid w:val="00F952E7"/>
    <w:rsid w:val="00F968CF"/>
    <w:rsid w:val="00FA3D8B"/>
    <w:rsid w:val="00FA4396"/>
    <w:rsid w:val="00FA4F95"/>
    <w:rsid w:val="00FA7308"/>
    <w:rsid w:val="00FB0E1D"/>
    <w:rsid w:val="00FB1334"/>
    <w:rsid w:val="00FB20D1"/>
    <w:rsid w:val="00FB23A8"/>
    <w:rsid w:val="00FB3476"/>
    <w:rsid w:val="00FB4E9A"/>
    <w:rsid w:val="00FB4F98"/>
    <w:rsid w:val="00FB6944"/>
    <w:rsid w:val="00FC007E"/>
    <w:rsid w:val="00FC0F1E"/>
    <w:rsid w:val="00FC3518"/>
    <w:rsid w:val="00FC4DDA"/>
    <w:rsid w:val="00FC651D"/>
    <w:rsid w:val="00FC72F3"/>
    <w:rsid w:val="00FD1A37"/>
    <w:rsid w:val="00FD2D7E"/>
    <w:rsid w:val="00FD799A"/>
    <w:rsid w:val="00FE0A5B"/>
    <w:rsid w:val="00FE17D5"/>
    <w:rsid w:val="00FE39F0"/>
    <w:rsid w:val="00FE4D39"/>
    <w:rsid w:val="00FE61CD"/>
    <w:rsid w:val="00FF18FA"/>
    <w:rsid w:val="00FF2DBD"/>
    <w:rsid w:val="00FF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rsid w:val="000E495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DC"/>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6A75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NoSpacingChar">
    <w:name w:val="No Spacing Char"/>
    <w:link w:val="NoSpacing"/>
    <w:uiPriority w:val="1"/>
    <w:locked/>
    <w:rsid w:val="00052548"/>
    <w:rPr>
      <w:sz w:val="22"/>
      <w:szCs w:val="22"/>
    </w:rPr>
  </w:style>
  <w:style w:type="character" w:customStyle="1" w:styleId="underline">
    <w:name w:val="underline"/>
    <w:basedOn w:val="DefaultParagraphFont"/>
    <w:rsid w:val="00D672CF"/>
  </w:style>
  <w:style w:type="paragraph" w:customStyle="1" w:styleId="first">
    <w:name w:val="first"/>
    <w:basedOn w:val="Normal"/>
    <w:rsid w:val="00D211BB"/>
    <w:pPr>
      <w:spacing w:before="100" w:beforeAutospacing="1" w:after="100" w:afterAutospacing="1" w:line="240" w:lineRule="auto"/>
    </w:pPr>
    <w:rPr>
      <w:rFonts w:ascii="Times New Roman" w:eastAsia="Times New Roman" w:hAnsi="Times New Roman"/>
      <w:sz w:val="24"/>
      <w:szCs w:val="24"/>
    </w:rPr>
  </w:style>
  <w:style w:type="character" w:customStyle="1" w:styleId="xmchange">
    <w:name w:val="xmchange"/>
    <w:basedOn w:val="DefaultParagraphFont"/>
    <w:rsid w:val="00644A77"/>
  </w:style>
  <w:style w:type="character" w:customStyle="1" w:styleId="italics">
    <w:name w:val="italics"/>
    <w:basedOn w:val="DefaultParagraphFont"/>
    <w:rsid w:val="00E85735"/>
  </w:style>
  <w:style w:type="character" w:styleId="PlaceholderText">
    <w:name w:val="Placeholder Text"/>
    <w:basedOn w:val="DefaultParagraphFont"/>
    <w:uiPriority w:val="99"/>
    <w:semiHidden/>
    <w:rsid w:val="00567499"/>
    <w:rPr>
      <w:color w:val="808080"/>
    </w:rPr>
  </w:style>
  <w:style w:type="character" w:customStyle="1" w:styleId="highlight2">
    <w:name w:val="highlight2"/>
    <w:basedOn w:val="DefaultParagraphFont"/>
    <w:rsid w:val="00F056AB"/>
  </w:style>
  <w:style w:type="paragraph" w:customStyle="1" w:styleId="Default">
    <w:name w:val="Default"/>
    <w:rsid w:val="00801B56"/>
    <w:pPr>
      <w:autoSpaceDE w:val="0"/>
      <w:autoSpaceDN w:val="0"/>
      <w:adjustRightInd w:val="0"/>
    </w:pPr>
    <w:rPr>
      <w:rFonts w:ascii="Arial" w:hAnsi="Arial" w:cs="Arial"/>
      <w:color w:val="000000"/>
      <w:sz w:val="24"/>
      <w:szCs w:val="24"/>
    </w:rPr>
  </w:style>
  <w:style w:type="character" w:customStyle="1" w:styleId="st1">
    <w:name w:val="st1"/>
    <w:basedOn w:val="DefaultParagraphFont"/>
    <w:rsid w:val="00986952"/>
  </w:style>
  <w:style w:type="paragraph" w:customStyle="1" w:styleId="svarticle">
    <w:name w:val="svarticle"/>
    <w:basedOn w:val="Normal"/>
    <w:rsid w:val="00A05DD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07BBF"/>
  </w:style>
  <w:style w:type="character" w:customStyle="1" w:styleId="cit-print-date">
    <w:name w:val="cit-print-date"/>
    <w:basedOn w:val="DefaultParagraphFont"/>
    <w:rsid w:val="003811C7"/>
  </w:style>
  <w:style w:type="character" w:customStyle="1" w:styleId="cit-vol">
    <w:name w:val="cit-vol"/>
    <w:basedOn w:val="DefaultParagraphFont"/>
    <w:rsid w:val="003811C7"/>
  </w:style>
  <w:style w:type="character" w:customStyle="1" w:styleId="cit-sep">
    <w:name w:val="cit-sep"/>
    <w:basedOn w:val="DefaultParagraphFont"/>
    <w:rsid w:val="003811C7"/>
  </w:style>
  <w:style w:type="character" w:customStyle="1" w:styleId="cit-first-page">
    <w:name w:val="cit-first-page"/>
    <w:basedOn w:val="DefaultParagraphFont"/>
    <w:rsid w:val="003811C7"/>
  </w:style>
  <w:style w:type="character" w:customStyle="1" w:styleId="cit-last-page">
    <w:name w:val="cit-last-page"/>
    <w:basedOn w:val="DefaultParagraphFont"/>
    <w:rsid w:val="003811C7"/>
  </w:style>
  <w:style w:type="character" w:customStyle="1" w:styleId="cit-ahead-of-print-date">
    <w:name w:val="cit-ahead-of-print-date"/>
    <w:basedOn w:val="DefaultParagraphFont"/>
    <w:rsid w:val="003811C7"/>
  </w:style>
  <w:style w:type="character" w:customStyle="1" w:styleId="Heading2Char">
    <w:name w:val="Heading 2 Char"/>
    <w:basedOn w:val="DefaultParagraphFont"/>
    <w:link w:val="Heading2"/>
    <w:semiHidden/>
    <w:rsid w:val="006A7529"/>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rsid w:val="000E495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48116070">
      <w:bodyDiv w:val="1"/>
      <w:marLeft w:val="0"/>
      <w:marRight w:val="0"/>
      <w:marTop w:val="0"/>
      <w:marBottom w:val="0"/>
      <w:divBdr>
        <w:top w:val="none" w:sz="0" w:space="0" w:color="auto"/>
        <w:left w:val="none" w:sz="0" w:space="0" w:color="auto"/>
        <w:bottom w:val="none" w:sz="0" w:space="0" w:color="auto"/>
        <w:right w:val="none" w:sz="0" w:space="0" w:color="auto"/>
      </w:divBdr>
      <w:divsChild>
        <w:div w:id="1997416591">
          <w:marLeft w:val="0"/>
          <w:marRight w:val="0"/>
          <w:marTop w:val="0"/>
          <w:marBottom w:val="0"/>
          <w:divBdr>
            <w:top w:val="none" w:sz="0" w:space="0" w:color="auto"/>
            <w:left w:val="none" w:sz="0" w:space="0" w:color="auto"/>
            <w:bottom w:val="none" w:sz="0" w:space="0" w:color="auto"/>
            <w:right w:val="none" w:sz="0" w:space="0" w:color="auto"/>
          </w:divBdr>
          <w:divsChild>
            <w:div w:id="1662734081">
              <w:marLeft w:val="0"/>
              <w:marRight w:val="0"/>
              <w:marTop w:val="0"/>
              <w:marBottom w:val="0"/>
              <w:divBdr>
                <w:top w:val="none" w:sz="0" w:space="0" w:color="auto"/>
                <w:left w:val="none" w:sz="0" w:space="0" w:color="auto"/>
                <w:bottom w:val="none" w:sz="0" w:space="0" w:color="auto"/>
                <w:right w:val="none" w:sz="0" w:space="0" w:color="auto"/>
              </w:divBdr>
              <w:divsChild>
                <w:div w:id="768231388">
                  <w:marLeft w:val="0"/>
                  <w:marRight w:val="0"/>
                  <w:marTop w:val="0"/>
                  <w:marBottom w:val="0"/>
                  <w:divBdr>
                    <w:top w:val="none" w:sz="0" w:space="0" w:color="auto"/>
                    <w:left w:val="none" w:sz="0" w:space="0" w:color="auto"/>
                    <w:bottom w:val="none" w:sz="0" w:space="0" w:color="auto"/>
                    <w:right w:val="none" w:sz="0" w:space="0" w:color="auto"/>
                  </w:divBdr>
                  <w:divsChild>
                    <w:div w:id="1527475622">
                      <w:marLeft w:val="0"/>
                      <w:marRight w:val="0"/>
                      <w:marTop w:val="0"/>
                      <w:marBottom w:val="0"/>
                      <w:divBdr>
                        <w:top w:val="none" w:sz="0" w:space="0" w:color="auto"/>
                        <w:left w:val="none" w:sz="0" w:space="0" w:color="auto"/>
                        <w:bottom w:val="none" w:sz="0" w:space="0" w:color="auto"/>
                        <w:right w:val="none" w:sz="0" w:space="0" w:color="auto"/>
                      </w:divBdr>
                      <w:divsChild>
                        <w:div w:id="439376678">
                          <w:marLeft w:val="0"/>
                          <w:marRight w:val="0"/>
                          <w:marTop w:val="0"/>
                          <w:marBottom w:val="0"/>
                          <w:divBdr>
                            <w:top w:val="none" w:sz="0" w:space="0" w:color="auto"/>
                            <w:left w:val="none" w:sz="0" w:space="0" w:color="auto"/>
                            <w:bottom w:val="none" w:sz="0" w:space="0" w:color="auto"/>
                            <w:right w:val="none" w:sz="0" w:space="0" w:color="auto"/>
                          </w:divBdr>
                          <w:divsChild>
                            <w:div w:id="1206675904">
                              <w:marLeft w:val="0"/>
                              <w:marRight w:val="0"/>
                              <w:marTop w:val="0"/>
                              <w:marBottom w:val="0"/>
                              <w:divBdr>
                                <w:top w:val="none" w:sz="0" w:space="0" w:color="auto"/>
                                <w:left w:val="none" w:sz="0" w:space="0" w:color="auto"/>
                                <w:bottom w:val="none" w:sz="0" w:space="0" w:color="auto"/>
                                <w:right w:val="none" w:sz="0" w:space="0" w:color="auto"/>
                              </w:divBdr>
                              <w:divsChild>
                                <w:div w:id="2026400917">
                                  <w:marLeft w:val="0"/>
                                  <w:marRight w:val="0"/>
                                  <w:marTop w:val="0"/>
                                  <w:marBottom w:val="0"/>
                                  <w:divBdr>
                                    <w:top w:val="none" w:sz="0" w:space="0" w:color="auto"/>
                                    <w:left w:val="none" w:sz="0" w:space="0" w:color="auto"/>
                                    <w:bottom w:val="none" w:sz="0" w:space="0" w:color="auto"/>
                                    <w:right w:val="none" w:sz="0" w:space="0" w:color="auto"/>
                                  </w:divBdr>
                                  <w:divsChild>
                                    <w:div w:id="15231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76561849">
      <w:bodyDiv w:val="1"/>
      <w:marLeft w:val="0"/>
      <w:marRight w:val="0"/>
      <w:marTop w:val="0"/>
      <w:marBottom w:val="0"/>
      <w:divBdr>
        <w:top w:val="none" w:sz="0" w:space="0" w:color="auto"/>
        <w:left w:val="none" w:sz="0" w:space="0" w:color="auto"/>
        <w:bottom w:val="none" w:sz="0" w:space="0" w:color="auto"/>
        <w:right w:val="none" w:sz="0" w:space="0" w:color="auto"/>
      </w:divBdr>
      <w:divsChild>
        <w:div w:id="2145345196">
          <w:marLeft w:val="0"/>
          <w:marRight w:val="0"/>
          <w:marTop w:val="0"/>
          <w:marBottom w:val="0"/>
          <w:divBdr>
            <w:top w:val="none" w:sz="0" w:space="0" w:color="auto"/>
            <w:left w:val="none" w:sz="0" w:space="0" w:color="auto"/>
            <w:bottom w:val="none" w:sz="0" w:space="0" w:color="auto"/>
            <w:right w:val="none" w:sz="0" w:space="0" w:color="auto"/>
          </w:divBdr>
          <w:divsChild>
            <w:div w:id="225839705">
              <w:marLeft w:val="0"/>
              <w:marRight w:val="0"/>
              <w:marTop w:val="0"/>
              <w:marBottom w:val="0"/>
              <w:divBdr>
                <w:top w:val="none" w:sz="0" w:space="0" w:color="auto"/>
                <w:left w:val="none" w:sz="0" w:space="0" w:color="auto"/>
                <w:bottom w:val="none" w:sz="0" w:space="0" w:color="auto"/>
                <w:right w:val="none" w:sz="0" w:space="0" w:color="auto"/>
              </w:divBdr>
              <w:divsChild>
                <w:div w:id="1735933136">
                  <w:marLeft w:val="0"/>
                  <w:marRight w:val="0"/>
                  <w:marTop w:val="0"/>
                  <w:marBottom w:val="0"/>
                  <w:divBdr>
                    <w:top w:val="none" w:sz="0" w:space="0" w:color="auto"/>
                    <w:left w:val="none" w:sz="0" w:space="0" w:color="auto"/>
                    <w:bottom w:val="none" w:sz="0" w:space="0" w:color="auto"/>
                    <w:right w:val="none" w:sz="0" w:space="0" w:color="auto"/>
                  </w:divBdr>
                  <w:divsChild>
                    <w:div w:id="1098597874">
                      <w:marLeft w:val="0"/>
                      <w:marRight w:val="0"/>
                      <w:marTop w:val="0"/>
                      <w:marBottom w:val="0"/>
                      <w:divBdr>
                        <w:top w:val="none" w:sz="0" w:space="0" w:color="auto"/>
                        <w:left w:val="none" w:sz="0" w:space="0" w:color="auto"/>
                        <w:bottom w:val="none" w:sz="0" w:space="0" w:color="auto"/>
                        <w:right w:val="none" w:sz="0" w:space="0" w:color="auto"/>
                      </w:divBdr>
                      <w:divsChild>
                        <w:div w:id="1697193104">
                          <w:marLeft w:val="0"/>
                          <w:marRight w:val="0"/>
                          <w:marTop w:val="0"/>
                          <w:marBottom w:val="0"/>
                          <w:divBdr>
                            <w:top w:val="none" w:sz="0" w:space="0" w:color="auto"/>
                            <w:left w:val="none" w:sz="0" w:space="0" w:color="auto"/>
                            <w:bottom w:val="none" w:sz="0" w:space="0" w:color="auto"/>
                            <w:right w:val="none" w:sz="0" w:space="0" w:color="auto"/>
                          </w:divBdr>
                          <w:divsChild>
                            <w:div w:id="1821733088">
                              <w:marLeft w:val="0"/>
                              <w:marRight w:val="0"/>
                              <w:marTop w:val="0"/>
                              <w:marBottom w:val="0"/>
                              <w:divBdr>
                                <w:top w:val="none" w:sz="0" w:space="0" w:color="auto"/>
                                <w:left w:val="none" w:sz="0" w:space="0" w:color="auto"/>
                                <w:bottom w:val="none" w:sz="0" w:space="0" w:color="auto"/>
                                <w:right w:val="none" w:sz="0" w:space="0" w:color="auto"/>
                              </w:divBdr>
                              <w:divsChild>
                                <w:div w:id="963001101">
                                  <w:marLeft w:val="0"/>
                                  <w:marRight w:val="0"/>
                                  <w:marTop w:val="0"/>
                                  <w:marBottom w:val="0"/>
                                  <w:divBdr>
                                    <w:top w:val="none" w:sz="0" w:space="0" w:color="auto"/>
                                    <w:left w:val="none" w:sz="0" w:space="0" w:color="auto"/>
                                    <w:bottom w:val="none" w:sz="0" w:space="0" w:color="auto"/>
                                    <w:right w:val="none" w:sz="0" w:space="0" w:color="auto"/>
                                  </w:divBdr>
                                  <w:divsChild>
                                    <w:div w:id="14017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7692">
      <w:bodyDiv w:val="1"/>
      <w:marLeft w:val="0"/>
      <w:marRight w:val="0"/>
      <w:marTop w:val="0"/>
      <w:marBottom w:val="0"/>
      <w:divBdr>
        <w:top w:val="none" w:sz="0" w:space="0" w:color="auto"/>
        <w:left w:val="none" w:sz="0" w:space="0" w:color="auto"/>
        <w:bottom w:val="none" w:sz="0" w:space="0" w:color="auto"/>
        <w:right w:val="none" w:sz="0" w:space="0" w:color="auto"/>
      </w:divBdr>
      <w:divsChild>
        <w:div w:id="1830438984">
          <w:marLeft w:val="0"/>
          <w:marRight w:val="0"/>
          <w:marTop w:val="0"/>
          <w:marBottom w:val="0"/>
          <w:divBdr>
            <w:top w:val="none" w:sz="0" w:space="0" w:color="auto"/>
            <w:left w:val="none" w:sz="0" w:space="0" w:color="auto"/>
            <w:bottom w:val="none" w:sz="0" w:space="0" w:color="auto"/>
            <w:right w:val="none" w:sz="0" w:space="0" w:color="auto"/>
          </w:divBdr>
          <w:divsChild>
            <w:div w:id="1020468112">
              <w:marLeft w:val="0"/>
              <w:marRight w:val="0"/>
              <w:marTop w:val="0"/>
              <w:marBottom w:val="0"/>
              <w:divBdr>
                <w:top w:val="none" w:sz="0" w:space="0" w:color="auto"/>
                <w:left w:val="none" w:sz="0" w:space="0" w:color="auto"/>
                <w:bottom w:val="none" w:sz="0" w:space="0" w:color="auto"/>
                <w:right w:val="none" w:sz="0" w:space="0" w:color="auto"/>
              </w:divBdr>
              <w:divsChild>
                <w:div w:id="1511720728">
                  <w:marLeft w:val="0"/>
                  <w:marRight w:val="0"/>
                  <w:marTop w:val="0"/>
                  <w:marBottom w:val="0"/>
                  <w:divBdr>
                    <w:top w:val="none" w:sz="0" w:space="0" w:color="auto"/>
                    <w:left w:val="none" w:sz="0" w:space="0" w:color="auto"/>
                    <w:bottom w:val="none" w:sz="0" w:space="0" w:color="auto"/>
                    <w:right w:val="none" w:sz="0" w:space="0" w:color="auto"/>
                  </w:divBdr>
                  <w:divsChild>
                    <w:div w:id="1112744384">
                      <w:marLeft w:val="0"/>
                      <w:marRight w:val="0"/>
                      <w:marTop w:val="0"/>
                      <w:marBottom w:val="0"/>
                      <w:divBdr>
                        <w:top w:val="none" w:sz="0" w:space="0" w:color="auto"/>
                        <w:left w:val="none" w:sz="0" w:space="0" w:color="auto"/>
                        <w:bottom w:val="none" w:sz="0" w:space="0" w:color="auto"/>
                        <w:right w:val="none" w:sz="0" w:space="0" w:color="auto"/>
                      </w:divBdr>
                      <w:divsChild>
                        <w:div w:id="1922987592">
                          <w:marLeft w:val="0"/>
                          <w:marRight w:val="0"/>
                          <w:marTop w:val="0"/>
                          <w:marBottom w:val="0"/>
                          <w:divBdr>
                            <w:top w:val="none" w:sz="0" w:space="0" w:color="auto"/>
                            <w:left w:val="none" w:sz="0" w:space="0" w:color="auto"/>
                            <w:bottom w:val="none" w:sz="0" w:space="0" w:color="auto"/>
                            <w:right w:val="none" w:sz="0" w:space="0" w:color="auto"/>
                          </w:divBdr>
                          <w:divsChild>
                            <w:div w:id="1907257638">
                              <w:marLeft w:val="0"/>
                              <w:marRight w:val="0"/>
                              <w:marTop w:val="0"/>
                              <w:marBottom w:val="0"/>
                              <w:divBdr>
                                <w:top w:val="none" w:sz="0" w:space="0" w:color="auto"/>
                                <w:left w:val="none" w:sz="0" w:space="0" w:color="auto"/>
                                <w:bottom w:val="none" w:sz="0" w:space="0" w:color="auto"/>
                                <w:right w:val="none" w:sz="0" w:space="0" w:color="auto"/>
                              </w:divBdr>
                              <w:divsChild>
                                <w:div w:id="48765740">
                                  <w:marLeft w:val="0"/>
                                  <w:marRight w:val="0"/>
                                  <w:marTop w:val="0"/>
                                  <w:marBottom w:val="0"/>
                                  <w:divBdr>
                                    <w:top w:val="none" w:sz="0" w:space="0" w:color="auto"/>
                                    <w:left w:val="none" w:sz="0" w:space="0" w:color="auto"/>
                                    <w:bottom w:val="none" w:sz="0" w:space="0" w:color="auto"/>
                                    <w:right w:val="none" w:sz="0" w:space="0" w:color="auto"/>
                                  </w:divBdr>
                                  <w:divsChild>
                                    <w:div w:id="5083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171919085">
      <w:bodyDiv w:val="1"/>
      <w:marLeft w:val="0"/>
      <w:marRight w:val="0"/>
      <w:marTop w:val="0"/>
      <w:marBottom w:val="0"/>
      <w:divBdr>
        <w:top w:val="none" w:sz="0" w:space="0" w:color="auto"/>
        <w:left w:val="none" w:sz="0" w:space="0" w:color="auto"/>
        <w:bottom w:val="none" w:sz="0" w:space="0" w:color="auto"/>
        <w:right w:val="none" w:sz="0" w:space="0" w:color="auto"/>
      </w:divBdr>
    </w:div>
    <w:div w:id="196166181">
      <w:bodyDiv w:val="1"/>
      <w:marLeft w:val="0"/>
      <w:marRight w:val="0"/>
      <w:marTop w:val="0"/>
      <w:marBottom w:val="0"/>
      <w:divBdr>
        <w:top w:val="none" w:sz="0" w:space="0" w:color="auto"/>
        <w:left w:val="none" w:sz="0" w:space="0" w:color="auto"/>
        <w:bottom w:val="none" w:sz="0" w:space="0" w:color="auto"/>
        <w:right w:val="none" w:sz="0" w:space="0" w:color="auto"/>
      </w:divBdr>
      <w:divsChild>
        <w:div w:id="1201167243">
          <w:marLeft w:val="0"/>
          <w:marRight w:val="0"/>
          <w:marTop w:val="0"/>
          <w:marBottom w:val="0"/>
          <w:divBdr>
            <w:top w:val="none" w:sz="0" w:space="0" w:color="auto"/>
            <w:left w:val="none" w:sz="0" w:space="0" w:color="auto"/>
            <w:bottom w:val="none" w:sz="0" w:space="0" w:color="auto"/>
            <w:right w:val="none" w:sz="0" w:space="0" w:color="auto"/>
          </w:divBdr>
          <w:divsChild>
            <w:div w:id="1064333075">
              <w:marLeft w:val="0"/>
              <w:marRight w:val="0"/>
              <w:marTop w:val="0"/>
              <w:marBottom w:val="0"/>
              <w:divBdr>
                <w:top w:val="none" w:sz="0" w:space="0" w:color="auto"/>
                <w:left w:val="none" w:sz="0" w:space="0" w:color="auto"/>
                <w:bottom w:val="none" w:sz="0" w:space="0" w:color="auto"/>
                <w:right w:val="none" w:sz="0" w:space="0" w:color="auto"/>
              </w:divBdr>
              <w:divsChild>
                <w:div w:id="425418640">
                  <w:marLeft w:val="0"/>
                  <w:marRight w:val="0"/>
                  <w:marTop w:val="0"/>
                  <w:marBottom w:val="0"/>
                  <w:divBdr>
                    <w:top w:val="none" w:sz="0" w:space="0" w:color="auto"/>
                    <w:left w:val="none" w:sz="0" w:space="0" w:color="auto"/>
                    <w:bottom w:val="none" w:sz="0" w:space="0" w:color="auto"/>
                    <w:right w:val="none" w:sz="0" w:space="0" w:color="auto"/>
                  </w:divBdr>
                  <w:divsChild>
                    <w:div w:id="1342703767">
                      <w:marLeft w:val="0"/>
                      <w:marRight w:val="0"/>
                      <w:marTop w:val="0"/>
                      <w:marBottom w:val="0"/>
                      <w:divBdr>
                        <w:top w:val="none" w:sz="0" w:space="0" w:color="auto"/>
                        <w:left w:val="none" w:sz="0" w:space="0" w:color="auto"/>
                        <w:bottom w:val="none" w:sz="0" w:space="0" w:color="auto"/>
                        <w:right w:val="none" w:sz="0" w:space="0" w:color="auto"/>
                      </w:divBdr>
                      <w:divsChild>
                        <w:div w:id="1690982144">
                          <w:marLeft w:val="0"/>
                          <w:marRight w:val="0"/>
                          <w:marTop w:val="0"/>
                          <w:marBottom w:val="0"/>
                          <w:divBdr>
                            <w:top w:val="none" w:sz="0" w:space="0" w:color="auto"/>
                            <w:left w:val="none" w:sz="0" w:space="0" w:color="auto"/>
                            <w:bottom w:val="none" w:sz="0" w:space="0" w:color="auto"/>
                            <w:right w:val="none" w:sz="0" w:space="0" w:color="auto"/>
                          </w:divBdr>
                          <w:divsChild>
                            <w:div w:id="935291107">
                              <w:marLeft w:val="0"/>
                              <w:marRight w:val="0"/>
                              <w:marTop w:val="0"/>
                              <w:marBottom w:val="0"/>
                              <w:divBdr>
                                <w:top w:val="none" w:sz="0" w:space="0" w:color="auto"/>
                                <w:left w:val="none" w:sz="0" w:space="0" w:color="auto"/>
                                <w:bottom w:val="none" w:sz="0" w:space="0" w:color="auto"/>
                                <w:right w:val="none" w:sz="0" w:space="0" w:color="auto"/>
                              </w:divBdr>
                              <w:divsChild>
                                <w:div w:id="92828701">
                                  <w:marLeft w:val="0"/>
                                  <w:marRight w:val="0"/>
                                  <w:marTop w:val="0"/>
                                  <w:marBottom w:val="0"/>
                                  <w:divBdr>
                                    <w:top w:val="none" w:sz="0" w:space="0" w:color="auto"/>
                                    <w:left w:val="none" w:sz="0" w:space="0" w:color="auto"/>
                                    <w:bottom w:val="none" w:sz="0" w:space="0" w:color="auto"/>
                                    <w:right w:val="none" w:sz="0" w:space="0" w:color="auto"/>
                                  </w:divBdr>
                                  <w:divsChild>
                                    <w:div w:id="1675645621">
                                      <w:marLeft w:val="0"/>
                                      <w:marRight w:val="0"/>
                                      <w:marTop w:val="0"/>
                                      <w:marBottom w:val="0"/>
                                      <w:divBdr>
                                        <w:top w:val="none" w:sz="0" w:space="0" w:color="auto"/>
                                        <w:left w:val="none" w:sz="0" w:space="0" w:color="auto"/>
                                        <w:bottom w:val="none" w:sz="0" w:space="0" w:color="auto"/>
                                        <w:right w:val="none" w:sz="0" w:space="0" w:color="auto"/>
                                      </w:divBdr>
                                      <w:divsChild>
                                        <w:div w:id="739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80235557">
      <w:bodyDiv w:val="1"/>
      <w:marLeft w:val="0"/>
      <w:marRight w:val="0"/>
      <w:marTop w:val="0"/>
      <w:marBottom w:val="0"/>
      <w:divBdr>
        <w:top w:val="none" w:sz="0" w:space="0" w:color="auto"/>
        <w:left w:val="none" w:sz="0" w:space="0" w:color="auto"/>
        <w:bottom w:val="none" w:sz="0" w:space="0" w:color="auto"/>
        <w:right w:val="none" w:sz="0" w:space="0" w:color="auto"/>
      </w:divBdr>
      <w:divsChild>
        <w:div w:id="377708311">
          <w:marLeft w:val="0"/>
          <w:marRight w:val="0"/>
          <w:marTop w:val="0"/>
          <w:marBottom w:val="0"/>
          <w:divBdr>
            <w:top w:val="none" w:sz="0" w:space="0" w:color="auto"/>
            <w:left w:val="none" w:sz="0" w:space="0" w:color="auto"/>
            <w:bottom w:val="none" w:sz="0" w:space="0" w:color="auto"/>
            <w:right w:val="none" w:sz="0" w:space="0" w:color="auto"/>
          </w:divBdr>
          <w:divsChild>
            <w:div w:id="240454387">
              <w:marLeft w:val="0"/>
              <w:marRight w:val="0"/>
              <w:marTop w:val="0"/>
              <w:marBottom w:val="0"/>
              <w:divBdr>
                <w:top w:val="none" w:sz="0" w:space="0" w:color="auto"/>
                <w:left w:val="none" w:sz="0" w:space="0" w:color="auto"/>
                <w:bottom w:val="none" w:sz="0" w:space="0" w:color="auto"/>
                <w:right w:val="none" w:sz="0" w:space="0" w:color="auto"/>
              </w:divBdr>
              <w:divsChild>
                <w:div w:id="702829494">
                  <w:marLeft w:val="0"/>
                  <w:marRight w:val="0"/>
                  <w:marTop w:val="0"/>
                  <w:marBottom w:val="0"/>
                  <w:divBdr>
                    <w:top w:val="none" w:sz="0" w:space="0" w:color="auto"/>
                    <w:left w:val="none" w:sz="0" w:space="0" w:color="auto"/>
                    <w:bottom w:val="none" w:sz="0" w:space="0" w:color="auto"/>
                    <w:right w:val="none" w:sz="0" w:space="0" w:color="auto"/>
                  </w:divBdr>
                  <w:divsChild>
                    <w:div w:id="981009783">
                      <w:marLeft w:val="0"/>
                      <w:marRight w:val="0"/>
                      <w:marTop w:val="0"/>
                      <w:marBottom w:val="0"/>
                      <w:divBdr>
                        <w:top w:val="none" w:sz="0" w:space="0" w:color="auto"/>
                        <w:left w:val="none" w:sz="0" w:space="0" w:color="auto"/>
                        <w:bottom w:val="none" w:sz="0" w:space="0" w:color="auto"/>
                        <w:right w:val="none" w:sz="0" w:space="0" w:color="auto"/>
                      </w:divBdr>
                      <w:divsChild>
                        <w:div w:id="799760819">
                          <w:marLeft w:val="0"/>
                          <w:marRight w:val="0"/>
                          <w:marTop w:val="0"/>
                          <w:marBottom w:val="0"/>
                          <w:divBdr>
                            <w:top w:val="none" w:sz="0" w:space="0" w:color="auto"/>
                            <w:left w:val="none" w:sz="0" w:space="0" w:color="auto"/>
                            <w:bottom w:val="none" w:sz="0" w:space="0" w:color="auto"/>
                            <w:right w:val="none" w:sz="0" w:space="0" w:color="auto"/>
                          </w:divBdr>
                          <w:divsChild>
                            <w:div w:id="271278909">
                              <w:marLeft w:val="0"/>
                              <w:marRight w:val="0"/>
                              <w:marTop w:val="0"/>
                              <w:marBottom w:val="0"/>
                              <w:divBdr>
                                <w:top w:val="none" w:sz="0" w:space="0" w:color="auto"/>
                                <w:left w:val="none" w:sz="0" w:space="0" w:color="auto"/>
                                <w:bottom w:val="none" w:sz="0" w:space="0" w:color="auto"/>
                                <w:right w:val="none" w:sz="0" w:space="0" w:color="auto"/>
                              </w:divBdr>
                              <w:divsChild>
                                <w:div w:id="1593666391">
                                  <w:marLeft w:val="0"/>
                                  <w:marRight w:val="0"/>
                                  <w:marTop w:val="0"/>
                                  <w:marBottom w:val="0"/>
                                  <w:divBdr>
                                    <w:top w:val="none" w:sz="0" w:space="0" w:color="auto"/>
                                    <w:left w:val="none" w:sz="0" w:space="0" w:color="auto"/>
                                    <w:bottom w:val="none" w:sz="0" w:space="0" w:color="auto"/>
                                    <w:right w:val="none" w:sz="0" w:space="0" w:color="auto"/>
                                  </w:divBdr>
                                  <w:divsChild>
                                    <w:div w:id="53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373038">
      <w:bodyDiv w:val="1"/>
      <w:marLeft w:val="0"/>
      <w:marRight w:val="0"/>
      <w:marTop w:val="0"/>
      <w:marBottom w:val="0"/>
      <w:divBdr>
        <w:top w:val="none" w:sz="0" w:space="0" w:color="auto"/>
        <w:left w:val="none" w:sz="0" w:space="0" w:color="auto"/>
        <w:bottom w:val="none" w:sz="0" w:space="0" w:color="auto"/>
        <w:right w:val="none" w:sz="0" w:space="0" w:color="auto"/>
      </w:divBdr>
      <w:divsChild>
        <w:div w:id="1554808374">
          <w:marLeft w:val="0"/>
          <w:marRight w:val="0"/>
          <w:marTop w:val="0"/>
          <w:marBottom w:val="0"/>
          <w:divBdr>
            <w:top w:val="none" w:sz="0" w:space="0" w:color="auto"/>
            <w:left w:val="none" w:sz="0" w:space="0" w:color="auto"/>
            <w:bottom w:val="none" w:sz="0" w:space="0" w:color="auto"/>
            <w:right w:val="none" w:sz="0" w:space="0" w:color="auto"/>
          </w:divBdr>
          <w:divsChild>
            <w:div w:id="932936275">
              <w:marLeft w:val="0"/>
              <w:marRight w:val="0"/>
              <w:marTop w:val="0"/>
              <w:marBottom w:val="0"/>
              <w:divBdr>
                <w:top w:val="none" w:sz="0" w:space="0" w:color="auto"/>
                <w:left w:val="none" w:sz="0" w:space="0" w:color="auto"/>
                <w:bottom w:val="none" w:sz="0" w:space="0" w:color="auto"/>
                <w:right w:val="none" w:sz="0" w:space="0" w:color="auto"/>
              </w:divBdr>
              <w:divsChild>
                <w:div w:id="1518038595">
                  <w:marLeft w:val="0"/>
                  <w:marRight w:val="0"/>
                  <w:marTop w:val="0"/>
                  <w:marBottom w:val="0"/>
                  <w:divBdr>
                    <w:top w:val="none" w:sz="0" w:space="0" w:color="auto"/>
                    <w:left w:val="none" w:sz="0" w:space="0" w:color="auto"/>
                    <w:bottom w:val="none" w:sz="0" w:space="0" w:color="auto"/>
                    <w:right w:val="none" w:sz="0" w:space="0" w:color="auto"/>
                  </w:divBdr>
                  <w:divsChild>
                    <w:div w:id="1103454604">
                      <w:marLeft w:val="0"/>
                      <w:marRight w:val="0"/>
                      <w:marTop w:val="0"/>
                      <w:marBottom w:val="0"/>
                      <w:divBdr>
                        <w:top w:val="none" w:sz="0" w:space="0" w:color="auto"/>
                        <w:left w:val="none" w:sz="0" w:space="0" w:color="auto"/>
                        <w:bottom w:val="none" w:sz="0" w:space="0" w:color="auto"/>
                        <w:right w:val="none" w:sz="0" w:space="0" w:color="auto"/>
                      </w:divBdr>
                      <w:divsChild>
                        <w:div w:id="261228142">
                          <w:marLeft w:val="0"/>
                          <w:marRight w:val="0"/>
                          <w:marTop w:val="0"/>
                          <w:marBottom w:val="0"/>
                          <w:divBdr>
                            <w:top w:val="none" w:sz="0" w:space="0" w:color="auto"/>
                            <w:left w:val="none" w:sz="0" w:space="0" w:color="auto"/>
                            <w:bottom w:val="none" w:sz="0" w:space="0" w:color="auto"/>
                            <w:right w:val="none" w:sz="0" w:space="0" w:color="auto"/>
                          </w:divBdr>
                          <w:divsChild>
                            <w:div w:id="1627616908">
                              <w:marLeft w:val="0"/>
                              <w:marRight w:val="0"/>
                              <w:marTop w:val="0"/>
                              <w:marBottom w:val="0"/>
                              <w:divBdr>
                                <w:top w:val="none" w:sz="0" w:space="0" w:color="auto"/>
                                <w:left w:val="none" w:sz="0" w:space="0" w:color="auto"/>
                                <w:bottom w:val="none" w:sz="0" w:space="0" w:color="auto"/>
                                <w:right w:val="none" w:sz="0" w:space="0" w:color="auto"/>
                              </w:divBdr>
                              <w:divsChild>
                                <w:div w:id="1228150878">
                                  <w:marLeft w:val="0"/>
                                  <w:marRight w:val="0"/>
                                  <w:marTop w:val="0"/>
                                  <w:marBottom w:val="0"/>
                                  <w:divBdr>
                                    <w:top w:val="none" w:sz="0" w:space="0" w:color="auto"/>
                                    <w:left w:val="none" w:sz="0" w:space="0" w:color="auto"/>
                                    <w:bottom w:val="none" w:sz="0" w:space="0" w:color="auto"/>
                                    <w:right w:val="none" w:sz="0" w:space="0" w:color="auto"/>
                                  </w:divBdr>
                                  <w:divsChild>
                                    <w:div w:id="2100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01907">
      <w:bodyDiv w:val="1"/>
      <w:marLeft w:val="0"/>
      <w:marRight w:val="0"/>
      <w:marTop w:val="0"/>
      <w:marBottom w:val="0"/>
      <w:divBdr>
        <w:top w:val="none" w:sz="0" w:space="0" w:color="auto"/>
        <w:left w:val="none" w:sz="0" w:space="0" w:color="auto"/>
        <w:bottom w:val="none" w:sz="0" w:space="0" w:color="auto"/>
        <w:right w:val="none" w:sz="0" w:space="0" w:color="auto"/>
      </w:divBdr>
    </w:div>
    <w:div w:id="427510313">
      <w:bodyDiv w:val="1"/>
      <w:marLeft w:val="0"/>
      <w:marRight w:val="0"/>
      <w:marTop w:val="0"/>
      <w:marBottom w:val="0"/>
      <w:divBdr>
        <w:top w:val="none" w:sz="0" w:space="0" w:color="auto"/>
        <w:left w:val="none" w:sz="0" w:space="0" w:color="auto"/>
        <w:bottom w:val="none" w:sz="0" w:space="0" w:color="auto"/>
        <w:right w:val="none" w:sz="0" w:space="0" w:color="auto"/>
      </w:divBdr>
      <w:divsChild>
        <w:div w:id="181167015">
          <w:marLeft w:val="0"/>
          <w:marRight w:val="0"/>
          <w:marTop w:val="0"/>
          <w:marBottom w:val="0"/>
          <w:divBdr>
            <w:top w:val="none" w:sz="0" w:space="0" w:color="auto"/>
            <w:left w:val="none" w:sz="0" w:space="0" w:color="auto"/>
            <w:bottom w:val="none" w:sz="0" w:space="0" w:color="auto"/>
            <w:right w:val="none" w:sz="0" w:space="0" w:color="auto"/>
          </w:divBdr>
          <w:divsChild>
            <w:div w:id="2040079022">
              <w:marLeft w:val="0"/>
              <w:marRight w:val="0"/>
              <w:marTop w:val="0"/>
              <w:marBottom w:val="0"/>
              <w:divBdr>
                <w:top w:val="none" w:sz="0" w:space="0" w:color="auto"/>
                <w:left w:val="none" w:sz="0" w:space="0" w:color="auto"/>
                <w:bottom w:val="none" w:sz="0" w:space="0" w:color="auto"/>
                <w:right w:val="none" w:sz="0" w:space="0" w:color="auto"/>
              </w:divBdr>
              <w:divsChild>
                <w:div w:id="1873418358">
                  <w:marLeft w:val="0"/>
                  <w:marRight w:val="0"/>
                  <w:marTop w:val="0"/>
                  <w:marBottom w:val="0"/>
                  <w:divBdr>
                    <w:top w:val="none" w:sz="0" w:space="0" w:color="auto"/>
                    <w:left w:val="none" w:sz="0" w:space="0" w:color="auto"/>
                    <w:bottom w:val="none" w:sz="0" w:space="0" w:color="auto"/>
                    <w:right w:val="none" w:sz="0" w:space="0" w:color="auto"/>
                  </w:divBdr>
                  <w:divsChild>
                    <w:div w:id="1699044144">
                      <w:marLeft w:val="0"/>
                      <w:marRight w:val="0"/>
                      <w:marTop w:val="0"/>
                      <w:marBottom w:val="0"/>
                      <w:divBdr>
                        <w:top w:val="none" w:sz="0" w:space="0" w:color="auto"/>
                        <w:left w:val="none" w:sz="0" w:space="0" w:color="auto"/>
                        <w:bottom w:val="none" w:sz="0" w:space="0" w:color="auto"/>
                        <w:right w:val="none" w:sz="0" w:space="0" w:color="auto"/>
                      </w:divBdr>
                      <w:divsChild>
                        <w:div w:id="1707637057">
                          <w:marLeft w:val="0"/>
                          <w:marRight w:val="0"/>
                          <w:marTop w:val="0"/>
                          <w:marBottom w:val="0"/>
                          <w:divBdr>
                            <w:top w:val="none" w:sz="0" w:space="0" w:color="auto"/>
                            <w:left w:val="none" w:sz="0" w:space="0" w:color="auto"/>
                            <w:bottom w:val="none" w:sz="0" w:space="0" w:color="auto"/>
                            <w:right w:val="none" w:sz="0" w:space="0" w:color="auto"/>
                          </w:divBdr>
                          <w:divsChild>
                            <w:div w:id="261182215">
                              <w:marLeft w:val="0"/>
                              <w:marRight w:val="0"/>
                              <w:marTop w:val="0"/>
                              <w:marBottom w:val="0"/>
                              <w:divBdr>
                                <w:top w:val="none" w:sz="0" w:space="0" w:color="auto"/>
                                <w:left w:val="none" w:sz="0" w:space="0" w:color="auto"/>
                                <w:bottom w:val="none" w:sz="0" w:space="0" w:color="auto"/>
                                <w:right w:val="none" w:sz="0" w:space="0" w:color="auto"/>
                              </w:divBdr>
                              <w:divsChild>
                                <w:div w:id="1445612366">
                                  <w:marLeft w:val="0"/>
                                  <w:marRight w:val="0"/>
                                  <w:marTop w:val="0"/>
                                  <w:marBottom w:val="0"/>
                                  <w:divBdr>
                                    <w:top w:val="none" w:sz="0" w:space="0" w:color="auto"/>
                                    <w:left w:val="none" w:sz="0" w:space="0" w:color="auto"/>
                                    <w:bottom w:val="none" w:sz="0" w:space="0" w:color="auto"/>
                                    <w:right w:val="none" w:sz="0" w:space="0" w:color="auto"/>
                                  </w:divBdr>
                                  <w:divsChild>
                                    <w:div w:id="2921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46066367">
      <w:bodyDiv w:val="1"/>
      <w:marLeft w:val="0"/>
      <w:marRight w:val="0"/>
      <w:marTop w:val="0"/>
      <w:marBottom w:val="0"/>
      <w:divBdr>
        <w:top w:val="none" w:sz="0" w:space="0" w:color="auto"/>
        <w:left w:val="none" w:sz="0" w:space="0" w:color="auto"/>
        <w:bottom w:val="none" w:sz="0" w:space="0" w:color="auto"/>
        <w:right w:val="none" w:sz="0" w:space="0" w:color="auto"/>
      </w:divBdr>
      <w:divsChild>
        <w:div w:id="42950123">
          <w:marLeft w:val="0"/>
          <w:marRight w:val="0"/>
          <w:marTop w:val="0"/>
          <w:marBottom w:val="0"/>
          <w:divBdr>
            <w:top w:val="none" w:sz="0" w:space="0" w:color="auto"/>
            <w:left w:val="none" w:sz="0" w:space="0" w:color="auto"/>
            <w:bottom w:val="none" w:sz="0" w:space="0" w:color="auto"/>
            <w:right w:val="none" w:sz="0" w:space="0" w:color="auto"/>
          </w:divBdr>
          <w:divsChild>
            <w:div w:id="1936864400">
              <w:marLeft w:val="0"/>
              <w:marRight w:val="0"/>
              <w:marTop w:val="0"/>
              <w:marBottom w:val="0"/>
              <w:divBdr>
                <w:top w:val="none" w:sz="0" w:space="0" w:color="auto"/>
                <w:left w:val="none" w:sz="0" w:space="0" w:color="auto"/>
                <w:bottom w:val="none" w:sz="0" w:space="0" w:color="auto"/>
                <w:right w:val="none" w:sz="0" w:space="0" w:color="auto"/>
              </w:divBdr>
              <w:divsChild>
                <w:div w:id="1814178298">
                  <w:marLeft w:val="0"/>
                  <w:marRight w:val="0"/>
                  <w:marTop w:val="0"/>
                  <w:marBottom w:val="0"/>
                  <w:divBdr>
                    <w:top w:val="none" w:sz="0" w:space="0" w:color="auto"/>
                    <w:left w:val="none" w:sz="0" w:space="0" w:color="auto"/>
                    <w:bottom w:val="none" w:sz="0" w:space="0" w:color="auto"/>
                    <w:right w:val="none" w:sz="0" w:space="0" w:color="auto"/>
                  </w:divBdr>
                  <w:divsChild>
                    <w:div w:id="1892424405">
                      <w:marLeft w:val="0"/>
                      <w:marRight w:val="0"/>
                      <w:marTop w:val="0"/>
                      <w:marBottom w:val="0"/>
                      <w:divBdr>
                        <w:top w:val="none" w:sz="0" w:space="0" w:color="auto"/>
                        <w:left w:val="none" w:sz="0" w:space="0" w:color="auto"/>
                        <w:bottom w:val="none" w:sz="0" w:space="0" w:color="auto"/>
                        <w:right w:val="none" w:sz="0" w:space="0" w:color="auto"/>
                      </w:divBdr>
                      <w:divsChild>
                        <w:div w:id="604968514">
                          <w:marLeft w:val="0"/>
                          <w:marRight w:val="0"/>
                          <w:marTop w:val="0"/>
                          <w:marBottom w:val="0"/>
                          <w:divBdr>
                            <w:top w:val="none" w:sz="0" w:space="0" w:color="auto"/>
                            <w:left w:val="none" w:sz="0" w:space="0" w:color="auto"/>
                            <w:bottom w:val="none" w:sz="0" w:space="0" w:color="auto"/>
                            <w:right w:val="none" w:sz="0" w:space="0" w:color="auto"/>
                          </w:divBdr>
                          <w:divsChild>
                            <w:div w:id="1965694689">
                              <w:marLeft w:val="0"/>
                              <w:marRight w:val="0"/>
                              <w:marTop w:val="0"/>
                              <w:marBottom w:val="0"/>
                              <w:divBdr>
                                <w:top w:val="none" w:sz="0" w:space="0" w:color="auto"/>
                                <w:left w:val="none" w:sz="0" w:space="0" w:color="auto"/>
                                <w:bottom w:val="none" w:sz="0" w:space="0" w:color="auto"/>
                                <w:right w:val="none" w:sz="0" w:space="0" w:color="auto"/>
                              </w:divBdr>
                              <w:divsChild>
                                <w:div w:id="459037135">
                                  <w:marLeft w:val="0"/>
                                  <w:marRight w:val="0"/>
                                  <w:marTop w:val="0"/>
                                  <w:marBottom w:val="0"/>
                                  <w:divBdr>
                                    <w:top w:val="none" w:sz="0" w:space="0" w:color="auto"/>
                                    <w:left w:val="none" w:sz="0" w:space="0" w:color="auto"/>
                                    <w:bottom w:val="none" w:sz="0" w:space="0" w:color="auto"/>
                                    <w:right w:val="none" w:sz="0" w:space="0" w:color="auto"/>
                                  </w:divBdr>
                                  <w:divsChild>
                                    <w:div w:id="15430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14571504">
      <w:bodyDiv w:val="1"/>
      <w:marLeft w:val="0"/>
      <w:marRight w:val="0"/>
      <w:marTop w:val="0"/>
      <w:marBottom w:val="0"/>
      <w:divBdr>
        <w:top w:val="none" w:sz="0" w:space="0" w:color="auto"/>
        <w:left w:val="none" w:sz="0" w:space="0" w:color="auto"/>
        <w:bottom w:val="none" w:sz="0" w:space="0" w:color="auto"/>
        <w:right w:val="none" w:sz="0" w:space="0" w:color="auto"/>
      </w:divBdr>
      <w:divsChild>
        <w:div w:id="1399092447">
          <w:marLeft w:val="0"/>
          <w:marRight w:val="0"/>
          <w:marTop w:val="0"/>
          <w:marBottom w:val="0"/>
          <w:divBdr>
            <w:top w:val="none" w:sz="0" w:space="0" w:color="auto"/>
            <w:left w:val="none" w:sz="0" w:space="0" w:color="auto"/>
            <w:bottom w:val="none" w:sz="0" w:space="0" w:color="auto"/>
            <w:right w:val="none" w:sz="0" w:space="0" w:color="auto"/>
          </w:divBdr>
          <w:divsChild>
            <w:div w:id="532381203">
              <w:marLeft w:val="0"/>
              <w:marRight w:val="0"/>
              <w:marTop w:val="0"/>
              <w:marBottom w:val="0"/>
              <w:divBdr>
                <w:top w:val="none" w:sz="0" w:space="0" w:color="auto"/>
                <w:left w:val="none" w:sz="0" w:space="0" w:color="auto"/>
                <w:bottom w:val="none" w:sz="0" w:space="0" w:color="auto"/>
                <w:right w:val="none" w:sz="0" w:space="0" w:color="auto"/>
              </w:divBdr>
              <w:divsChild>
                <w:div w:id="1004015354">
                  <w:marLeft w:val="0"/>
                  <w:marRight w:val="0"/>
                  <w:marTop w:val="0"/>
                  <w:marBottom w:val="0"/>
                  <w:divBdr>
                    <w:top w:val="none" w:sz="0" w:space="0" w:color="auto"/>
                    <w:left w:val="none" w:sz="0" w:space="0" w:color="auto"/>
                    <w:bottom w:val="none" w:sz="0" w:space="0" w:color="auto"/>
                    <w:right w:val="none" w:sz="0" w:space="0" w:color="auto"/>
                  </w:divBdr>
                  <w:divsChild>
                    <w:div w:id="189729264">
                      <w:marLeft w:val="0"/>
                      <w:marRight w:val="0"/>
                      <w:marTop w:val="0"/>
                      <w:marBottom w:val="0"/>
                      <w:divBdr>
                        <w:top w:val="none" w:sz="0" w:space="0" w:color="auto"/>
                        <w:left w:val="none" w:sz="0" w:space="0" w:color="auto"/>
                        <w:bottom w:val="none" w:sz="0" w:space="0" w:color="auto"/>
                        <w:right w:val="none" w:sz="0" w:space="0" w:color="auto"/>
                      </w:divBdr>
                      <w:divsChild>
                        <w:div w:id="2019963484">
                          <w:marLeft w:val="0"/>
                          <w:marRight w:val="0"/>
                          <w:marTop w:val="0"/>
                          <w:marBottom w:val="0"/>
                          <w:divBdr>
                            <w:top w:val="none" w:sz="0" w:space="0" w:color="auto"/>
                            <w:left w:val="none" w:sz="0" w:space="0" w:color="auto"/>
                            <w:bottom w:val="none" w:sz="0" w:space="0" w:color="auto"/>
                            <w:right w:val="none" w:sz="0" w:space="0" w:color="auto"/>
                          </w:divBdr>
                          <w:divsChild>
                            <w:div w:id="596602220">
                              <w:marLeft w:val="0"/>
                              <w:marRight w:val="0"/>
                              <w:marTop w:val="0"/>
                              <w:marBottom w:val="0"/>
                              <w:divBdr>
                                <w:top w:val="none" w:sz="0" w:space="0" w:color="auto"/>
                                <w:left w:val="none" w:sz="0" w:space="0" w:color="auto"/>
                                <w:bottom w:val="none" w:sz="0" w:space="0" w:color="auto"/>
                                <w:right w:val="none" w:sz="0" w:space="0" w:color="auto"/>
                              </w:divBdr>
                              <w:divsChild>
                                <w:div w:id="1545097509">
                                  <w:marLeft w:val="0"/>
                                  <w:marRight w:val="0"/>
                                  <w:marTop w:val="0"/>
                                  <w:marBottom w:val="0"/>
                                  <w:divBdr>
                                    <w:top w:val="none" w:sz="0" w:space="0" w:color="auto"/>
                                    <w:left w:val="none" w:sz="0" w:space="0" w:color="auto"/>
                                    <w:bottom w:val="none" w:sz="0" w:space="0" w:color="auto"/>
                                    <w:right w:val="none" w:sz="0" w:space="0" w:color="auto"/>
                                  </w:divBdr>
                                  <w:divsChild>
                                    <w:div w:id="12073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32336">
      <w:bodyDiv w:val="1"/>
      <w:marLeft w:val="0"/>
      <w:marRight w:val="0"/>
      <w:marTop w:val="0"/>
      <w:marBottom w:val="0"/>
      <w:divBdr>
        <w:top w:val="none" w:sz="0" w:space="0" w:color="auto"/>
        <w:left w:val="none" w:sz="0" w:space="0" w:color="auto"/>
        <w:bottom w:val="none" w:sz="0" w:space="0" w:color="auto"/>
        <w:right w:val="none" w:sz="0" w:space="0" w:color="auto"/>
      </w:divBdr>
      <w:divsChild>
        <w:div w:id="735200806">
          <w:marLeft w:val="0"/>
          <w:marRight w:val="0"/>
          <w:marTop w:val="0"/>
          <w:marBottom w:val="0"/>
          <w:divBdr>
            <w:top w:val="none" w:sz="0" w:space="0" w:color="auto"/>
            <w:left w:val="none" w:sz="0" w:space="0" w:color="auto"/>
            <w:bottom w:val="none" w:sz="0" w:space="0" w:color="auto"/>
            <w:right w:val="none" w:sz="0" w:space="0" w:color="auto"/>
          </w:divBdr>
          <w:divsChild>
            <w:div w:id="981155822">
              <w:marLeft w:val="0"/>
              <w:marRight w:val="0"/>
              <w:marTop w:val="0"/>
              <w:marBottom w:val="0"/>
              <w:divBdr>
                <w:top w:val="none" w:sz="0" w:space="0" w:color="auto"/>
                <w:left w:val="none" w:sz="0" w:space="0" w:color="auto"/>
                <w:bottom w:val="none" w:sz="0" w:space="0" w:color="auto"/>
                <w:right w:val="none" w:sz="0" w:space="0" w:color="auto"/>
              </w:divBdr>
              <w:divsChild>
                <w:div w:id="1967809131">
                  <w:marLeft w:val="0"/>
                  <w:marRight w:val="0"/>
                  <w:marTop w:val="0"/>
                  <w:marBottom w:val="0"/>
                  <w:divBdr>
                    <w:top w:val="none" w:sz="0" w:space="0" w:color="auto"/>
                    <w:left w:val="none" w:sz="0" w:space="0" w:color="auto"/>
                    <w:bottom w:val="none" w:sz="0" w:space="0" w:color="auto"/>
                    <w:right w:val="none" w:sz="0" w:space="0" w:color="auto"/>
                  </w:divBdr>
                  <w:divsChild>
                    <w:div w:id="268854295">
                      <w:marLeft w:val="0"/>
                      <w:marRight w:val="0"/>
                      <w:marTop w:val="0"/>
                      <w:marBottom w:val="0"/>
                      <w:divBdr>
                        <w:top w:val="none" w:sz="0" w:space="0" w:color="auto"/>
                        <w:left w:val="none" w:sz="0" w:space="0" w:color="auto"/>
                        <w:bottom w:val="none" w:sz="0" w:space="0" w:color="auto"/>
                        <w:right w:val="none" w:sz="0" w:space="0" w:color="auto"/>
                      </w:divBdr>
                      <w:divsChild>
                        <w:div w:id="1864321143">
                          <w:marLeft w:val="0"/>
                          <w:marRight w:val="0"/>
                          <w:marTop w:val="0"/>
                          <w:marBottom w:val="0"/>
                          <w:divBdr>
                            <w:top w:val="none" w:sz="0" w:space="0" w:color="auto"/>
                            <w:left w:val="none" w:sz="0" w:space="0" w:color="auto"/>
                            <w:bottom w:val="none" w:sz="0" w:space="0" w:color="auto"/>
                            <w:right w:val="none" w:sz="0" w:space="0" w:color="auto"/>
                          </w:divBdr>
                          <w:divsChild>
                            <w:div w:id="955646889">
                              <w:marLeft w:val="0"/>
                              <w:marRight w:val="0"/>
                              <w:marTop w:val="0"/>
                              <w:marBottom w:val="0"/>
                              <w:divBdr>
                                <w:top w:val="none" w:sz="0" w:space="0" w:color="auto"/>
                                <w:left w:val="none" w:sz="0" w:space="0" w:color="auto"/>
                                <w:bottom w:val="none" w:sz="0" w:space="0" w:color="auto"/>
                                <w:right w:val="none" w:sz="0" w:space="0" w:color="auto"/>
                              </w:divBdr>
                              <w:divsChild>
                                <w:div w:id="1416437817">
                                  <w:marLeft w:val="0"/>
                                  <w:marRight w:val="0"/>
                                  <w:marTop w:val="0"/>
                                  <w:marBottom w:val="0"/>
                                  <w:divBdr>
                                    <w:top w:val="none" w:sz="0" w:space="0" w:color="auto"/>
                                    <w:left w:val="none" w:sz="0" w:space="0" w:color="auto"/>
                                    <w:bottom w:val="none" w:sz="0" w:space="0" w:color="auto"/>
                                    <w:right w:val="none" w:sz="0" w:space="0" w:color="auto"/>
                                  </w:divBdr>
                                  <w:divsChild>
                                    <w:div w:id="6828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145897111">
      <w:bodyDiv w:val="1"/>
      <w:marLeft w:val="0"/>
      <w:marRight w:val="0"/>
      <w:marTop w:val="0"/>
      <w:marBottom w:val="0"/>
      <w:divBdr>
        <w:top w:val="none" w:sz="0" w:space="0" w:color="auto"/>
        <w:left w:val="none" w:sz="0" w:space="0" w:color="auto"/>
        <w:bottom w:val="none" w:sz="0" w:space="0" w:color="auto"/>
        <w:right w:val="none" w:sz="0" w:space="0" w:color="auto"/>
      </w:divBdr>
      <w:divsChild>
        <w:div w:id="383336641">
          <w:marLeft w:val="0"/>
          <w:marRight w:val="0"/>
          <w:marTop w:val="0"/>
          <w:marBottom w:val="0"/>
          <w:divBdr>
            <w:top w:val="none" w:sz="0" w:space="0" w:color="auto"/>
            <w:left w:val="none" w:sz="0" w:space="0" w:color="auto"/>
            <w:bottom w:val="none" w:sz="0" w:space="0" w:color="auto"/>
            <w:right w:val="none" w:sz="0" w:space="0" w:color="auto"/>
          </w:divBdr>
          <w:divsChild>
            <w:div w:id="799690221">
              <w:marLeft w:val="0"/>
              <w:marRight w:val="0"/>
              <w:marTop w:val="0"/>
              <w:marBottom w:val="0"/>
              <w:divBdr>
                <w:top w:val="none" w:sz="0" w:space="0" w:color="auto"/>
                <w:left w:val="none" w:sz="0" w:space="0" w:color="auto"/>
                <w:bottom w:val="none" w:sz="0" w:space="0" w:color="auto"/>
                <w:right w:val="none" w:sz="0" w:space="0" w:color="auto"/>
              </w:divBdr>
              <w:divsChild>
                <w:div w:id="237862425">
                  <w:marLeft w:val="0"/>
                  <w:marRight w:val="0"/>
                  <w:marTop w:val="0"/>
                  <w:marBottom w:val="0"/>
                  <w:divBdr>
                    <w:top w:val="none" w:sz="0" w:space="0" w:color="auto"/>
                    <w:left w:val="none" w:sz="0" w:space="0" w:color="auto"/>
                    <w:bottom w:val="none" w:sz="0" w:space="0" w:color="auto"/>
                    <w:right w:val="none" w:sz="0" w:space="0" w:color="auto"/>
                  </w:divBdr>
                  <w:divsChild>
                    <w:div w:id="989754573">
                      <w:marLeft w:val="0"/>
                      <w:marRight w:val="0"/>
                      <w:marTop w:val="0"/>
                      <w:marBottom w:val="0"/>
                      <w:divBdr>
                        <w:top w:val="none" w:sz="0" w:space="0" w:color="auto"/>
                        <w:left w:val="none" w:sz="0" w:space="0" w:color="auto"/>
                        <w:bottom w:val="none" w:sz="0" w:space="0" w:color="auto"/>
                        <w:right w:val="none" w:sz="0" w:space="0" w:color="auto"/>
                      </w:divBdr>
                      <w:divsChild>
                        <w:div w:id="866331556">
                          <w:marLeft w:val="0"/>
                          <w:marRight w:val="0"/>
                          <w:marTop w:val="0"/>
                          <w:marBottom w:val="0"/>
                          <w:divBdr>
                            <w:top w:val="none" w:sz="0" w:space="0" w:color="auto"/>
                            <w:left w:val="none" w:sz="0" w:space="0" w:color="auto"/>
                            <w:bottom w:val="none" w:sz="0" w:space="0" w:color="auto"/>
                            <w:right w:val="none" w:sz="0" w:space="0" w:color="auto"/>
                          </w:divBdr>
                          <w:divsChild>
                            <w:div w:id="1668752638">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13381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258711330">
      <w:bodyDiv w:val="1"/>
      <w:marLeft w:val="0"/>
      <w:marRight w:val="0"/>
      <w:marTop w:val="0"/>
      <w:marBottom w:val="0"/>
      <w:divBdr>
        <w:top w:val="none" w:sz="0" w:space="0" w:color="auto"/>
        <w:left w:val="none" w:sz="0" w:space="0" w:color="auto"/>
        <w:bottom w:val="none" w:sz="0" w:space="0" w:color="auto"/>
        <w:right w:val="none" w:sz="0" w:space="0" w:color="auto"/>
      </w:divBdr>
      <w:divsChild>
        <w:div w:id="694384190">
          <w:marLeft w:val="0"/>
          <w:marRight w:val="0"/>
          <w:marTop w:val="0"/>
          <w:marBottom w:val="0"/>
          <w:divBdr>
            <w:top w:val="none" w:sz="0" w:space="0" w:color="auto"/>
            <w:left w:val="none" w:sz="0" w:space="0" w:color="auto"/>
            <w:bottom w:val="none" w:sz="0" w:space="0" w:color="auto"/>
            <w:right w:val="none" w:sz="0" w:space="0" w:color="auto"/>
          </w:divBdr>
          <w:divsChild>
            <w:div w:id="804279643">
              <w:marLeft w:val="0"/>
              <w:marRight w:val="0"/>
              <w:marTop w:val="0"/>
              <w:marBottom w:val="0"/>
              <w:divBdr>
                <w:top w:val="none" w:sz="0" w:space="0" w:color="auto"/>
                <w:left w:val="none" w:sz="0" w:space="0" w:color="auto"/>
                <w:bottom w:val="none" w:sz="0" w:space="0" w:color="auto"/>
                <w:right w:val="none" w:sz="0" w:space="0" w:color="auto"/>
              </w:divBdr>
              <w:divsChild>
                <w:div w:id="1781952865">
                  <w:marLeft w:val="0"/>
                  <w:marRight w:val="0"/>
                  <w:marTop w:val="0"/>
                  <w:marBottom w:val="0"/>
                  <w:divBdr>
                    <w:top w:val="none" w:sz="0" w:space="0" w:color="auto"/>
                    <w:left w:val="none" w:sz="0" w:space="0" w:color="auto"/>
                    <w:bottom w:val="none" w:sz="0" w:space="0" w:color="auto"/>
                    <w:right w:val="none" w:sz="0" w:space="0" w:color="auto"/>
                  </w:divBdr>
                  <w:divsChild>
                    <w:div w:id="86927553">
                      <w:marLeft w:val="0"/>
                      <w:marRight w:val="0"/>
                      <w:marTop w:val="0"/>
                      <w:marBottom w:val="0"/>
                      <w:divBdr>
                        <w:top w:val="none" w:sz="0" w:space="0" w:color="auto"/>
                        <w:left w:val="none" w:sz="0" w:space="0" w:color="auto"/>
                        <w:bottom w:val="none" w:sz="0" w:space="0" w:color="auto"/>
                        <w:right w:val="none" w:sz="0" w:space="0" w:color="auto"/>
                      </w:divBdr>
                      <w:divsChild>
                        <w:div w:id="1546983806">
                          <w:marLeft w:val="0"/>
                          <w:marRight w:val="0"/>
                          <w:marTop w:val="0"/>
                          <w:marBottom w:val="0"/>
                          <w:divBdr>
                            <w:top w:val="none" w:sz="0" w:space="0" w:color="auto"/>
                            <w:left w:val="none" w:sz="0" w:space="0" w:color="auto"/>
                            <w:bottom w:val="none" w:sz="0" w:space="0" w:color="auto"/>
                            <w:right w:val="none" w:sz="0" w:space="0" w:color="auto"/>
                          </w:divBdr>
                          <w:divsChild>
                            <w:div w:id="1648243137">
                              <w:marLeft w:val="0"/>
                              <w:marRight w:val="0"/>
                              <w:marTop w:val="0"/>
                              <w:marBottom w:val="0"/>
                              <w:divBdr>
                                <w:top w:val="none" w:sz="0" w:space="0" w:color="auto"/>
                                <w:left w:val="none" w:sz="0" w:space="0" w:color="auto"/>
                                <w:bottom w:val="none" w:sz="0" w:space="0" w:color="auto"/>
                                <w:right w:val="none" w:sz="0" w:space="0" w:color="auto"/>
                              </w:divBdr>
                              <w:divsChild>
                                <w:div w:id="1568419849">
                                  <w:marLeft w:val="0"/>
                                  <w:marRight w:val="0"/>
                                  <w:marTop w:val="0"/>
                                  <w:marBottom w:val="0"/>
                                  <w:divBdr>
                                    <w:top w:val="none" w:sz="0" w:space="0" w:color="auto"/>
                                    <w:left w:val="none" w:sz="0" w:space="0" w:color="auto"/>
                                    <w:bottom w:val="none" w:sz="0" w:space="0" w:color="auto"/>
                                    <w:right w:val="none" w:sz="0" w:space="0" w:color="auto"/>
                                  </w:divBdr>
                                  <w:divsChild>
                                    <w:div w:id="1645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5921698">
      <w:bodyDiv w:val="1"/>
      <w:marLeft w:val="0"/>
      <w:marRight w:val="0"/>
      <w:marTop w:val="0"/>
      <w:marBottom w:val="0"/>
      <w:divBdr>
        <w:top w:val="none" w:sz="0" w:space="0" w:color="auto"/>
        <w:left w:val="none" w:sz="0" w:space="0" w:color="auto"/>
        <w:bottom w:val="none" w:sz="0" w:space="0" w:color="auto"/>
        <w:right w:val="none" w:sz="0" w:space="0" w:color="auto"/>
      </w:divBdr>
      <w:divsChild>
        <w:div w:id="1512794949">
          <w:marLeft w:val="0"/>
          <w:marRight w:val="0"/>
          <w:marTop w:val="0"/>
          <w:marBottom w:val="0"/>
          <w:divBdr>
            <w:top w:val="none" w:sz="0" w:space="0" w:color="auto"/>
            <w:left w:val="none" w:sz="0" w:space="0" w:color="auto"/>
            <w:bottom w:val="none" w:sz="0" w:space="0" w:color="auto"/>
            <w:right w:val="none" w:sz="0" w:space="0" w:color="auto"/>
          </w:divBdr>
          <w:divsChild>
            <w:div w:id="1982342889">
              <w:marLeft w:val="0"/>
              <w:marRight w:val="0"/>
              <w:marTop w:val="0"/>
              <w:marBottom w:val="0"/>
              <w:divBdr>
                <w:top w:val="none" w:sz="0" w:space="0" w:color="auto"/>
                <w:left w:val="none" w:sz="0" w:space="0" w:color="auto"/>
                <w:bottom w:val="none" w:sz="0" w:space="0" w:color="auto"/>
                <w:right w:val="none" w:sz="0" w:space="0" w:color="auto"/>
              </w:divBdr>
              <w:divsChild>
                <w:div w:id="1724787251">
                  <w:marLeft w:val="0"/>
                  <w:marRight w:val="0"/>
                  <w:marTop w:val="0"/>
                  <w:marBottom w:val="0"/>
                  <w:divBdr>
                    <w:top w:val="none" w:sz="0" w:space="0" w:color="auto"/>
                    <w:left w:val="none" w:sz="0" w:space="0" w:color="auto"/>
                    <w:bottom w:val="none" w:sz="0" w:space="0" w:color="auto"/>
                    <w:right w:val="none" w:sz="0" w:space="0" w:color="auto"/>
                  </w:divBdr>
                  <w:divsChild>
                    <w:div w:id="1120879413">
                      <w:marLeft w:val="0"/>
                      <w:marRight w:val="0"/>
                      <w:marTop w:val="0"/>
                      <w:marBottom w:val="0"/>
                      <w:divBdr>
                        <w:top w:val="none" w:sz="0" w:space="0" w:color="auto"/>
                        <w:left w:val="none" w:sz="0" w:space="0" w:color="auto"/>
                        <w:bottom w:val="none" w:sz="0" w:space="0" w:color="auto"/>
                        <w:right w:val="none" w:sz="0" w:space="0" w:color="auto"/>
                      </w:divBdr>
                      <w:divsChild>
                        <w:div w:id="1022589488">
                          <w:marLeft w:val="0"/>
                          <w:marRight w:val="0"/>
                          <w:marTop w:val="0"/>
                          <w:marBottom w:val="0"/>
                          <w:divBdr>
                            <w:top w:val="none" w:sz="0" w:space="0" w:color="auto"/>
                            <w:left w:val="none" w:sz="0" w:space="0" w:color="auto"/>
                            <w:bottom w:val="none" w:sz="0" w:space="0" w:color="auto"/>
                            <w:right w:val="none" w:sz="0" w:space="0" w:color="auto"/>
                          </w:divBdr>
                          <w:divsChild>
                            <w:div w:id="951284675">
                              <w:marLeft w:val="0"/>
                              <w:marRight w:val="0"/>
                              <w:marTop w:val="0"/>
                              <w:marBottom w:val="0"/>
                              <w:divBdr>
                                <w:top w:val="none" w:sz="0" w:space="0" w:color="auto"/>
                                <w:left w:val="none" w:sz="0" w:space="0" w:color="auto"/>
                                <w:bottom w:val="none" w:sz="0" w:space="0" w:color="auto"/>
                                <w:right w:val="none" w:sz="0" w:space="0" w:color="auto"/>
                              </w:divBdr>
                              <w:divsChild>
                                <w:div w:id="80178325">
                                  <w:marLeft w:val="0"/>
                                  <w:marRight w:val="0"/>
                                  <w:marTop w:val="0"/>
                                  <w:marBottom w:val="0"/>
                                  <w:divBdr>
                                    <w:top w:val="none" w:sz="0" w:space="0" w:color="auto"/>
                                    <w:left w:val="none" w:sz="0" w:space="0" w:color="auto"/>
                                    <w:bottom w:val="none" w:sz="0" w:space="0" w:color="auto"/>
                                    <w:right w:val="none" w:sz="0" w:space="0" w:color="auto"/>
                                  </w:divBdr>
                                  <w:divsChild>
                                    <w:div w:id="180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83512116">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3357">
      <w:bodyDiv w:val="1"/>
      <w:marLeft w:val="0"/>
      <w:marRight w:val="0"/>
      <w:marTop w:val="0"/>
      <w:marBottom w:val="0"/>
      <w:divBdr>
        <w:top w:val="none" w:sz="0" w:space="0" w:color="auto"/>
        <w:left w:val="none" w:sz="0" w:space="0" w:color="auto"/>
        <w:bottom w:val="none" w:sz="0" w:space="0" w:color="auto"/>
        <w:right w:val="none" w:sz="0" w:space="0" w:color="auto"/>
      </w:divBdr>
      <w:divsChild>
        <w:div w:id="1977100824">
          <w:marLeft w:val="0"/>
          <w:marRight w:val="0"/>
          <w:marTop w:val="0"/>
          <w:marBottom w:val="0"/>
          <w:divBdr>
            <w:top w:val="none" w:sz="0" w:space="0" w:color="auto"/>
            <w:left w:val="none" w:sz="0" w:space="0" w:color="auto"/>
            <w:bottom w:val="none" w:sz="0" w:space="0" w:color="auto"/>
            <w:right w:val="none" w:sz="0" w:space="0" w:color="auto"/>
          </w:divBdr>
          <w:divsChild>
            <w:div w:id="1152216048">
              <w:marLeft w:val="0"/>
              <w:marRight w:val="0"/>
              <w:marTop w:val="0"/>
              <w:marBottom w:val="0"/>
              <w:divBdr>
                <w:top w:val="none" w:sz="0" w:space="0" w:color="auto"/>
                <w:left w:val="none" w:sz="0" w:space="0" w:color="auto"/>
                <w:bottom w:val="none" w:sz="0" w:space="0" w:color="auto"/>
                <w:right w:val="none" w:sz="0" w:space="0" w:color="auto"/>
              </w:divBdr>
              <w:divsChild>
                <w:div w:id="456023255">
                  <w:marLeft w:val="0"/>
                  <w:marRight w:val="0"/>
                  <w:marTop w:val="0"/>
                  <w:marBottom w:val="0"/>
                  <w:divBdr>
                    <w:top w:val="none" w:sz="0" w:space="0" w:color="auto"/>
                    <w:left w:val="none" w:sz="0" w:space="0" w:color="auto"/>
                    <w:bottom w:val="none" w:sz="0" w:space="0" w:color="auto"/>
                    <w:right w:val="none" w:sz="0" w:space="0" w:color="auto"/>
                  </w:divBdr>
                  <w:divsChild>
                    <w:div w:id="212616071">
                      <w:marLeft w:val="0"/>
                      <w:marRight w:val="0"/>
                      <w:marTop w:val="0"/>
                      <w:marBottom w:val="0"/>
                      <w:divBdr>
                        <w:top w:val="none" w:sz="0" w:space="0" w:color="auto"/>
                        <w:left w:val="none" w:sz="0" w:space="0" w:color="auto"/>
                        <w:bottom w:val="none" w:sz="0" w:space="0" w:color="auto"/>
                        <w:right w:val="none" w:sz="0" w:space="0" w:color="auto"/>
                      </w:divBdr>
                      <w:divsChild>
                        <w:div w:id="1845051277">
                          <w:marLeft w:val="0"/>
                          <w:marRight w:val="0"/>
                          <w:marTop w:val="0"/>
                          <w:marBottom w:val="0"/>
                          <w:divBdr>
                            <w:top w:val="none" w:sz="0" w:space="0" w:color="auto"/>
                            <w:left w:val="none" w:sz="0" w:space="0" w:color="auto"/>
                            <w:bottom w:val="none" w:sz="0" w:space="0" w:color="auto"/>
                            <w:right w:val="none" w:sz="0" w:space="0" w:color="auto"/>
                          </w:divBdr>
                          <w:divsChild>
                            <w:div w:id="1111244070">
                              <w:marLeft w:val="0"/>
                              <w:marRight w:val="0"/>
                              <w:marTop w:val="0"/>
                              <w:marBottom w:val="0"/>
                              <w:divBdr>
                                <w:top w:val="none" w:sz="0" w:space="0" w:color="auto"/>
                                <w:left w:val="none" w:sz="0" w:space="0" w:color="auto"/>
                                <w:bottom w:val="none" w:sz="0" w:space="0" w:color="auto"/>
                                <w:right w:val="none" w:sz="0" w:space="0" w:color="auto"/>
                              </w:divBdr>
                              <w:divsChild>
                                <w:div w:id="13031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25576">
      <w:bodyDiv w:val="1"/>
      <w:marLeft w:val="0"/>
      <w:marRight w:val="0"/>
      <w:marTop w:val="0"/>
      <w:marBottom w:val="0"/>
      <w:divBdr>
        <w:top w:val="none" w:sz="0" w:space="0" w:color="auto"/>
        <w:left w:val="none" w:sz="0" w:space="0" w:color="auto"/>
        <w:bottom w:val="none" w:sz="0" w:space="0" w:color="auto"/>
        <w:right w:val="none" w:sz="0" w:space="0" w:color="auto"/>
      </w:divBdr>
    </w:div>
    <w:div w:id="1902130147">
      <w:bodyDiv w:val="1"/>
      <w:marLeft w:val="0"/>
      <w:marRight w:val="0"/>
      <w:marTop w:val="0"/>
      <w:marBottom w:val="0"/>
      <w:divBdr>
        <w:top w:val="none" w:sz="0" w:space="0" w:color="auto"/>
        <w:left w:val="none" w:sz="0" w:space="0" w:color="auto"/>
        <w:bottom w:val="none" w:sz="0" w:space="0" w:color="auto"/>
        <w:right w:val="none" w:sz="0" w:space="0" w:color="auto"/>
      </w:divBdr>
      <w:divsChild>
        <w:div w:id="1924605053">
          <w:marLeft w:val="0"/>
          <w:marRight w:val="0"/>
          <w:marTop w:val="0"/>
          <w:marBottom w:val="0"/>
          <w:divBdr>
            <w:top w:val="none" w:sz="0" w:space="0" w:color="auto"/>
            <w:left w:val="none" w:sz="0" w:space="0" w:color="auto"/>
            <w:bottom w:val="none" w:sz="0" w:space="0" w:color="auto"/>
            <w:right w:val="none" w:sz="0" w:space="0" w:color="auto"/>
          </w:divBdr>
          <w:divsChild>
            <w:div w:id="1654605755">
              <w:marLeft w:val="0"/>
              <w:marRight w:val="0"/>
              <w:marTop w:val="0"/>
              <w:marBottom w:val="0"/>
              <w:divBdr>
                <w:top w:val="none" w:sz="0" w:space="0" w:color="auto"/>
                <w:left w:val="none" w:sz="0" w:space="0" w:color="auto"/>
                <w:bottom w:val="none" w:sz="0" w:space="0" w:color="auto"/>
                <w:right w:val="none" w:sz="0" w:space="0" w:color="auto"/>
              </w:divBdr>
              <w:divsChild>
                <w:div w:id="861475897">
                  <w:marLeft w:val="0"/>
                  <w:marRight w:val="0"/>
                  <w:marTop w:val="0"/>
                  <w:marBottom w:val="0"/>
                  <w:divBdr>
                    <w:top w:val="none" w:sz="0" w:space="0" w:color="auto"/>
                    <w:left w:val="none" w:sz="0" w:space="0" w:color="auto"/>
                    <w:bottom w:val="none" w:sz="0" w:space="0" w:color="auto"/>
                    <w:right w:val="none" w:sz="0" w:space="0" w:color="auto"/>
                  </w:divBdr>
                  <w:divsChild>
                    <w:div w:id="526063656">
                      <w:marLeft w:val="0"/>
                      <w:marRight w:val="0"/>
                      <w:marTop w:val="0"/>
                      <w:marBottom w:val="0"/>
                      <w:divBdr>
                        <w:top w:val="none" w:sz="0" w:space="0" w:color="auto"/>
                        <w:left w:val="none" w:sz="0" w:space="0" w:color="auto"/>
                        <w:bottom w:val="none" w:sz="0" w:space="0" w:color="auto"/>
                        <w:right w:val="none" w:sz="0" w:space="0" w:color="auto"/>
                      </w:divBdr>
                      <w:divsChild>
                        <w:div w:id="353577754">
                          <w:marLeft w:val="0"/>
                          <w:marRight w:val="0"/>
                          <w:marTop w:val="0"/>
                          <w:marBottom w:val="0"/>
                          <w:divBdr>
                            <w:top w:val="none" w:sz="0" w:space="0" w:color="auto"/>
                            <w:left w:val="none" w:sz="0" w:space="0" w:color="auto"/>
                            <w:bottom w:val="none" w:sz="0" w:space="0" w:color="auto"/>
                            <w:right w:val="none" w:sz="0" w:space="0" w:color="auto"/>
                          </w:divBdr>
                          <w:divsChild>
                            <w:div w:id="141973160">
                              <w:marLeft w:val="0"/>
                              <w:marRight w:val="0"/>
                              <w:marTop w:val="0"/>
                              <w:marBottom w:val="0"/>
                              <w:divBdr>
                                <w:top w:val="none" w:sz="0" w:space="0" w:color="auto"/>
                                <w:left w:val="none" w:sz="0" w:space="0" w:color="auto"/>
                                <w:bottom w:val="none" w:sz="0" w:space="0" w:color="auto"/>
                                <w:right w:val="none" w:sz="0" w:space="0" w:color="auto"/>
                              </w:divBdr>
                              <w:divsChild>
                                <w:div w:id="1380666991">
                                  <w:marLeft w:val="0"/>
                                  <w:marRight w:val="0"/>
                                  <w:marTop w:val="0"/>
                                  <w:marBottom w:val="0"/>
                                  <w:divBdr>
                                    <w:top w:val="none" w:sz="0" w:space="0" w:color="auto"/>
                                    <w:left w:val="none" w:sz="0" w:space="0" w:color="auto"/>
                                    <w:bottom w:val="none" w:sz="0" w:space="0" w:color="auto"/>
                                    <w:right w:val="none" w:sz="0" w:space="0" w:color="auto"/>
                                  </w:divBdr>
                                  <w:divsChild>
                                    <w:div w:id="9333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50101">
      <w:bodyDiv w:val="1"/>
      <w:marLeft w:val="0"/>
      <w:marRight w:val="0"/>
      <w:marTop w:val="0"/>
      <w:marBottom w:val="0"/>
      <w:divBdr>
        <w:top w:val="none" w:sz="0" w:space="0" w:color="auto"/>
        <w:left w:val="none" w:sz="0" w:space="0" w:color="auto"/>
        <w:bottom w:val="none" w:sz="0" w:space="0" w:color="auto"/>
        <w:right w:val="none" w:sz="0" w:space="0" w:color="auto"/>
      </w:divBdr>
      <w:divsChild>
        <w:div w:id="210579522">
          <w:marLeft w:val="0"/>
          <w:marRight w:val="0"/>
          <w:marTop w:val="0"/>
          <w:marBottom w:val="0"/>
          <w:divBdr>
            <w:top w:val="none" w:sz="0" w:space="0" w:color="auto"/>
            <w:left w:val="none" w:sz="0" w:space="0" w:color="auto"/>
            <w:bottom w:val="none" w:sz="0" w:space="0" w:color="auto"/>
            <w:right w:val="none" w:sz="0" w:space="0" w:color="auto"/>
          </w:divBdr>
          <w:divsChild>
            <w:div w:id="113600363">
              <w:marLeft w:val="0"/>
              <w:marRight w:val="0"/>
              <w:marTop w:val="0"/>
              <w:marBottom w:val="0"/>
              <w:divBdr>
                <w:top w:val="none" w:sz="0" w:space="0" w:color="auto"/>
                <w:left w:val="none" w:sz="0" w:space="0" w:color="auto"/>
                <w:bottom w:val="none" w:sz="0" w:space="0" w:color="auto"/>
                <w:right w:val="none" w:sz="0" w:space="0" w:color="auto"/>
              </w:divBdr>
              <w:divsChild>
                <w:div w:id="1364819433">
                  <w:marLeft w:val="0"/>
                  <w:marRight w:val="0"/>
                  <w:marTop w:val="0"/>
                  <w:marBottom w:val="0"/>
                  <w:divBdr>
                    <w:top w:val="none" w:sz="0" w:space="0" w:color="auto"/>
                    <w:left w:val="none" w:sz="0" w:space="0" w:color="auto"/>
                    <w:bottom w:val="none" w:sz="0" w:space="0" w:color="auto"/>
                    <w:right w:val="none" w:sz="0" w:space="0" w:color="auto"/>
                  </w:divBdr>
                  <w:divsChild>
                    <w:div w:id="279846909">
                      <w:marLeft w:val="0"/>
                      <w:marRight w:val="0"/>
                      <w:marTop w:val="0"/>
                      <w:marBottom w:val="0"/>
                      <w:divBdr>
                        <w:top w:val="none" w:sz="0" w:space="0" w:color="auto"/>
                        <w:left w:val="none" w:sz="0" w:space="0" w:color="auto"/>
                        <w:bottom w:val="none" w:sz="0" w:space="0" w:color="auto"/>
                        <w:right w:val="none" w:sz="0" w:space="0" w:color="auto"/>
                      </w:divBdr>
                      <w:divsChild>
                        <w:div w:id="646857880">
                          <w:marLeft w:val="0"/>
                          <w:marRight w:val="0"/>
                          <w:marTop w:val="0"/>
                          <w:marBottom w:val="0"/>
                          <w:divBdr>
                            <w:top w:val="none" w:sz="0" w:space="0" w:color="auto"/>
                            <w:left w:val="none" w:sz="0" w:space="0" w:color="auto"/>
                            <w:bottom w:val="none" w:sz="0" w:space="0" w:color="auto"/>
                            <w:right w:val="none" w:sz="0" w:space="0" w:color="auto"/>
                          </w:divBdr>
                          <w:divsChild>
                            <w:div w:id="215507669">
                              <w:marLeft w:val="0"/>
                              <w:marRight w:val="0"/>
                              <w:marTop w:val="0"/>
                              <w:marBottom w:val="0"/>
                              <w:divBdr>
                                <w:top w:val="none" w:sz="0" w:space="0" w:color="auto"/>
                                <w:left w:val="none" w:sz="0" w:space="0" w:color="auto"/>
                                <w:bottom w:val="none" w:sz="0" w:space="0" w:color="auto"/>
                                <w:right w:val="none" w:sz="0" w:space="0" w:color="auto"/>
                              </w:divBdr>
                              <w:divsChild>
                                <w:div w:id="1439327977">
                                  <w:marLeft w:val="0"/>
                                  <w:marRight w:val="0"/>
                                  <w:marTop w:val="0"/>
                                  <w:marBottom w:val="0"/>
                                  <w:divBdr>
                                    <w:top w:val="none" w:sz="0" w:space="0" w:color="auto"/>
                                    <w:left w:val="none" w:sz="0" w:space="0" w:color="auto"/>
                                    <w:bottom w:val="none" w:sz="0" w:space="0" w:color="auto"/>
                                    <w:right w:val="none" w:sz="0" w:space="0" w:color="auto"/>
                                  </w:divBdr>
                                  <w:divsChild>
                                    <w:div w:id="20930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4223">
      <w:bodyDiv w:val="1"/>
      <w:marLeft w:val="0"/>
      <w:marRight w:val="0"/>
      <w:marTop w:val="0"/>
      <w:marBottom w:val="0"/>
      <w:divBdr>
        <w:top w:val="none" w:sz="0" w:space="0" w:color="auto"/>
        <w:left w:val="none" w:sz="0" w:space="0" w:color="auto"/>
        <w:bottom w:val="none" w:sz="0" w:space="0" w:color="auto"/>
        <w:right w:val="none" w:sz="0" w:space="0" w:color="auto"/>
      </w:divBdr>
      <w:divsChild>
        <w:div w:id="1656296202">
          <w:marLeft w:val="0"/>
          <w:marRight w:val="0"/>
          <w:marTop w:val="0"/>
          <w:marBottom w:val="0"/>
          <w:divBdr>
            <w:top w:val="none" w:sz="0" w:space="0" w:color="auto"/>
            <w:left w:val="none" w:sz="0" w:space="0" w:color="auto"/>
            <w:bottom w:val="none" w:sz="0" w:space="0" w:color="auto"/>
            <w:right w:val="none" w:sz="0" w:space="0" w:color="auto"/>
          </w:divBdr>
          <w:divsChild>
            <w:div w:id="1152913732">
              <w:marLeft w:val="0"/>
              <w:marRight w:val="0"/>
              <w:marTop w:val="0"/>
              <w:marBottom w:val="0"/>
              <w:divBdr>
                <w:top w:val="none" w:sz="0" w:space="0" w:color="auto"/>
                <w:left w:val="none" w:sz="0" w:space="0" w:color="auto"/>
                <w:bottom w:val="none" w:sz="0" w:space="0" w:color="auto"/>
                <w:right w:val="none" w:sz="0" w:space="0" w:color="auto"/>
              </w:divBdr>
              <w:divsChild>
                <w:div w:id="1689142108">
                  <w:marLeft w:val="0"/>
                  <w:marRight w:val="0"/>
                  <w:marTop w:val="0"/>
                  <w:marBottom w:val="0"/>
                  <w:divBdr>
                    <w:top w:val="none" w:sz="0" w:space="0" w:color="auto"/>
                    <w:left w:val="none" w:sz="0" w:space="0" w:color="auto"/>
                    <w:bottom w:val="none" w:sz="0" w:space="0" w:color="auto"/>
                    <w:right w:val="none" w:sz="0" w:space="0" w:color="auto"/>
                  </w:divBdr>
                  <w:divsChild>
                    <w:div w:id="726758120">
                      <w:marLeft w:val="0"/>
                      <w:marRight w:val="0"/>
                      <w:marTop w:val="0"/>
                      <w:marBottom w:val="0"/>
                      <w:divBdr>
                        <w:top w:val="none" w:sz="0" w:space="0" w:color="auto"/>
                        <w:left w:val="none" w:sz="0" w:space="0" w:color="auto"/>
                        <w:bottom w:val="none" w:sz="0" w:space="0" w:color="auto"/>
                        <w:right w:val="none" w:sz="0" w:space="0" w:color="auto"/>
                      </w:divBdr>
                      <w:divsChild>
                        <w:div w:id="1571769097">
                          <w:marLeft w:val="0"/>
                          <w:marRight w:val="0"/>
                          <w:marTop w:val="0"/>
                          <w:marBottom w:val="0"/>
                          <w:divBdr>
                            <w:top w:val="none" w:sz="0" w:space="0" w:color="auto"/>
                            <w:left w:val="none" w:sz="0" w:space="0" w:color="auto"/>
                            <w:bottom w:val="none" w:sz="0" w:space="0" w:color="auto"/>
                            <w:right w:val="none" w:sz="0" w:space="0" w:color="auto"/>
                          </w:divBdr>
                          <w:divsChild>
                            <w:div w:id="3479863">
                              <w:marLeft w:val="0"/>
                              <w:marRight w:val="0"/>
                              <w:marTop w:val="0"/>
                              <w:marBottom w:val="0"/>
                              <w:divBdr>
                                <w:top w:val="none" w:sz="0" w:space="0" w:color="auto"/>
                                <w:left w:val="none" w:sz="0" w:space="0" w:color="auto"/>
                                <w:bottom w:val="none" w:sz="0" w:space="0" w:color="auto"/>
                                <w:right w:val="none" w:sz="0" w:space="0" w:color="auto"/>
                              </w:divBdr>
                              <w:divsChild>
                                <w:div w:id="1422677185">
                                  <w:marLeft w:val="-225"/>
                                  <w:marRight w:val="-225"/>
                                  <w:marTop w:val="0"/>
                                  <w:marBottom w:val="0"/>
                                  <w:divBdr>
                                    <w:top w:val="none" w:sz="0" w:space="0" w:color="auto"/>
                                    <w:left w:val="none" w:sz="0" w:space="0" w:color="auto"/>
                                    <w:bottom w:val="none" w:sz="0" w:space="0" w:color="auto"/>
                                    <w:right w:val="none" w:sz="0" w:space="0" w:color="auto"/>
                                  </w:divBdr>
                                  <w:divsChild>
                                    <w:div w:id="422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78953">
      <w:bodyDiv w:val="1"/>
      <w:marLeft w:val="0"/>
      <w:marRight w:val="0"/>
      <w:marTop w:val="0"/>
      <w:marBottom w:val="0"/>
      <w:divBdr>
        <w:top w:val="none" w:sz="0" w:space="0" w:color="auto"/>
        <w:left w:val="none" w:sz="0" w:space="0" w:color="auto"/>
        <w:bottom w:val="none" w:sz="0" w:space="0" w:color="auto"/>
        <w:right w:val="none" w:sz="0" w:space="0" w:color="auto"/>
      </w:divBdr>
      <w:divsChild>
        <w:div w:id="1570069664">
          <w:marLeft w:val="0"/>
          <w:marRight w:val="0"/>
          <w:marTop w:val="0"/>
          <w:marBottom w:val="0"/>
          <w:divBdr>
            <w:top w:val="none" w:sz="0" w:space="0" w:color="auto"/>
            <w:left w:val="none" w:sz="0" w:space="0" w:color="auto"/>
            <w:bottom w:val="none" w:sz="0" w:space="0" w:color="auto"/>
            <w:right w:val="none" w:sz="0" w:space="0" w:color="auto"/>
          </w:divBdr>
          <w:divsChild>
            <w:div w:id="1638492076">
              <w:marLeft w:val="0"/>
              <w:marRight w:val="0"/>
              <w:marTop w:val="0"/>
              <w:marBottom w:val="0"/>
              <w:divBdr>
                <w:top w:val="none" w:sz="0" w:space="0" w:color="auto"/>
                <w:left w:val="none" w:sz="0" w:space="0" w:color="auto"/>
                <w:bottom w:val="none" w:sz="0" w:space="0" w:color="auto"/>
                <w:right w:val="none" w:sz="0" w:space="0" w:color="auto"/>
              </w:divBdr>
              <w:divsChild>
                <w:div w:id="210460718">
                  <w:marLeft w:val="0"/>
                  <w:marRight w:val="0"/>
                  <w:marTop w:val="0"/>
                  <w:marBottom w:val="0"/>
                  <w:divBdr>
                    <w:top w:val="none" w:sz="0" w:space="0" w:color="auto"/>
                    <w:left w:val="none" w:sz="0" w:space="0" w:color="auto"/>
                    <w:bottom w:val="none" w:sz="0" w:space="0" w:color="auto"/>
                    <w:right w:val="none" w:sz="0" w:space="0" w:color="auto"/>
                  </w:divBdr>
                  <w:divsChild>
                    <w:div w:id="1732733466">
                      <w:marLeft w:val="0"/>
                      <w:marRight w:val="0"/>
                      <w:marTop w:val="0"/>
                      <w:marBottom w:val="0"/>
                      <w:divBdr>
                        <w:top w:val="none" w:sz="0" w:space="0" w:color="auto"/>
                        <w:left w:val="none" w:sz="0" w:space="0" w:color="auto"/>
                        <w:bottom w:val="none" w:sz="0" w:space="0" w:color="auto"/>
                        <w:right w:val="none" w:sz="0" w:space="0" w:color="auto"/>
                      </w:divBdr>
                      <w:divsChild>
                        <w:div w:id="477065927">
                          <w:marLeft w:val="0"/>
                          <w:marRight w:val="0"/>
                          <w:marTop w:val="0"/>
                          <w:marBottom w:val="0"/>
                          <w:divBdr>
                            <w:top w:val="none" w:sz="0" w:space="0" w:color="auto"/>
                            <w:left w:val="none" w:sz="0" w:space="0" w:color="auto"/>
                            <w:bottom w:val="none" w:sz="0" w:space="0" w:color="auto"/>
                            <w:right w:val="none" w:sz="0" w:space="0" w:color="auto"/>
                          </w:divBdr>
                          <w:divsChild>
                            <w:div w:id="1287155240">
                              <w:marLeft w:val="0"/>
                              <w:marRight w:val="0"/>
                              <w:marTop w:val="0"/>
                              <w:marBottom w:val="0"/>
                              <w:divBdr>
                                <w:top w:val="none" w:sz="0" w:space="0" w:color="auto"/>
                                <w:left w:val="none" w:sz="0" w:space="0" w:color="auto"/>
                                <w:bottom w:val="none" w:sz="0" w:space="0" w:color="auto"/>
                                <w:right w:val="none" w:sz="0" w:space="0" w:color="auto"/>
                              </w:divBdr>
                              <w:divsChild>
                                <w:div w:id="1864127175">
                                  <w:marLeft w:val="0"/>
                                  <w:marRight w:val="0"/>
                                  <w:marTop w:val="0"/>
                                  <w:marBottom w:val="0"/>
                                  <w:divBdr>
                                    <w:top w:val="none" w:sz="0" w:space="0" w:color="auto"/>
                                    <w:left w:val="none" w:sz="0" w:space="0" w:color="auto"/>
                                    <w:bottom w:val="none" w:sz="0" w:space="0" w:color="auto"/>
                                    <w:right w:val="none" w:sz="0" w:space="0" w:color="auto"/>
                                  </w:divBdr>
                                  <w:divsChild>
                                    <w:div w:id="15674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08686">
      <w:bodyDiv w:val="1"/>
      <w:marLeft w:val="0"/>
      <w:marRight w:val="0"/>
      <w:marTop w:val="0"/>
      <w:marBottom w:val="0"/>
      <w:divBdr>
        <w:top w:val="none" w:sz="0" w:space="0" w:color="auto"/>
        <w:left w:val="none" w:sz="0" w:space="0" w:color="auto"/>
        <w:bottom w:val="none" w:sz="0" w:space="0" w:color="auto"/>
        <w:right w:val="none" w:sz="0" w:space="0" w:color="auto"/>
      </w:divBdr>
      <w:divsChild>
        <w:div w:id="149298732">
          <w:marLeft w:val="0"/>
          <w:marRight w:val="0"/>
          <w:marTop w:val="0"/>
          <w:marBottom w:val="0"/>
          <w:divBdr>
            <w:top w:val="none" w:sz="0" w:space="0" w:color="auto"/>
            <w:left w:val="none" w:sz="0" w:space="0" w:color="auto"/>
            <w:bottom w:val="none" w:sz="0" w:space="0" w:color="auto"/>
            <w:right w:val="none" w:sz="0" w:space="0" w:color="auto"/>
          </w:divBdr>
          <w:divsChild>
            <w:div w:id="1901404326">
              <w:marLeft w:val="0"/>
              <w:marRight w:val="0"/>
              <w:marTop w:val="0"/>
              <w:marBottom w:val="0"/>
              <w:divBdr>
                <w:top w:val="none" w:sz="0" w:space="0" w:color="auto"/>
                <w:left w:val="none" w:sz="0" w:space="0" w:color="auto"/>
                <w:bottom w:val="none" w:sz="0" w:space="0" w:color="auto"/>
                <w:right w:val="none" w:sz="0" w:space="0" w:color="auto"/>
              </w:divBdr>
              <w:divsChild>
                <w:div w:id="1145048625">
                  <w:marLeft w:val="0"/>
                  <w:marRight w:val="0"/>
                  <w:marTop w:val="0"/>
                  <w:marBottom w:val="0"/>
                  <w:divBdr>
                    <w:top w:val="none" w:sz="0" w:space="0" w:color="auto"/>
                    <w:left w:val="none" w:sz="0" w:space="0" w:color="auto"/>
                    <w:bottom w:val="none" w:sz="0" w:space="0" w:color="auto"/>
                    <w:right w:val="none" w:sz="0" w:space="0" w:color="auto"/>
                  </w:divBdr>
                  <w:divsChild>
                    <w:div w:id="305549970">
                      <w:marLeft w:val="0"/>
                      <w:marRight w:val="0"/>
                      <w:marTop w:val="0"/>
                      <w:marBottom w:val="0"/>
                      <w:divBdr>
                        <w:top w:val="none" w:sz="0" w:space="0" w:color="auto"/>
                        <w:left w:val="none" w:sz="0" w:space="0" w:color="auto"/>
                        <w:bottom w:val="none" w:sz="0" w:space="0" w:color="auto"/>
                        <w:right w:val="none" w:sz="0" w:space="0" w:color="auto"/>
                      </w:divBdr>
                      <w:divsChild>
                        <w:div w:id="1191258138">
                          <w:marLeft w:val="0"/>
                          <w:marRight w:val="0"/>
                          <w:marTop w:val="0"/>
                          <w:marBottom w:val="0"/>
                          <w:divBdr>
                            <w:top w:val="none" w:sz="0" w:space="0" w:color="auto"/>
                            <w:left w:val="none" w:sz="0" w:space="0" w:color="auto"/>
                            <w:bottom w:val="none" w:sz="0" w:space="0" w:color="auto"/>
                            <w:right w:val="none" w:sz="0" w:space="0" w:color="auto"/>
                          </w:divBdr>
                          <w:divsChild>
                            <w:div w:id="1616402043">
                              <w:marLeft w:val="0"/>
                              <w:marRight w:val="0"/>
                              <w:marTop w:val="0"/>
                              <w:marBottom w:val="0"/>
                              <w:divBdr>
                                <w:top w:val="none" w:sz="0" w:space="0" w:color="auto"/>
                                <w:left w:val="none" w:sz="0" w:space="0" w:color="auto"/>
                                <w:bottom w:val="none" w:sz="0" w:space="0" w:color="auto"/>
                                <w:right w:val="none" w:sz="0" w:space="0" w:color="auto"/>
                              </w:divBdr>
                              <w:divsChild>
                                <w:div w:id="894203304">
                                  <w:marLeft w:val="0"/>
                                  <w:marRight w:val="0"/>
                                  <w:marTop w:val="0"/>
                                  <w:marBottom w:val="0"/>
                                  <w:divBdr>
                                    <w:top w:val="none" w:sz="0" w:space="0" w:color="auto"/>
                                    <w:left w:val="none" w:sz="0" w:space="0" w:color="auto"/>
                                    <w:bottom w:val="none" w:sz="0" w:space="0" w:color="auto"/>
                                    <w:right w:val="none" w:sz="0" w:space="0" w:color="auto"/>
                                  </w:divBdr>
                                  <w:divsChild>
                                    <w:div w:id="974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581322">
      <w:bodyDiv w:val="1"/>
      <w:marLeft w:val="0"/>
      <w:marRight w:val="0"/>
      <w:marTop w:val="0"/>
      <w:marBottom w:val="0"/>
      <w:divBdr>
        <w:top w:val="none" w:sz="0" w:space="0" w:color="auto"/>
        <w:left w:val="none" w:sz="0" w:space="0" w:color="auto"/>
        <w:bottom w:val="none" w:sz="0" w:space="0" w:color="auto"/>
        <w:right w:val="none" w:sz="0" w:space="0" w:color="auto"/>
      </w:divBdr>
      <w:divsChild>
        <w:div w:id="1168252610">
          <w:marLeft w:val="0"/>
          <w:marRight w:val="0"/>
          <w:marTop w:val="0"/>
          <w:marBottom w:val="0"/>
          <w:divBdr>
            <w:top w:val="none" w:sz="0" w:space="0" w:color="auto"/>
            <w:left w:val="none" w:sz="0" w:space="0" w:color="auto"/>
            <w:bottom w:val="none" w:sz="0" w:space="0" w:color="auto"/>
            <w:right w:val="none" w:sz="0" w:space="0" w:color="auto"/>
          </w:divBdr>
          <w:divsChild>
            <w:div w:id="834421656">
              <w:marLeft w:val="0"/>
              <w:marRight w:val="0"/>
              <w:marTop w:val="0"/>
              <w:marBottom w:val="0"/>
              <w:divBdr>
                <w:top w:val="none" w:sz="0" w:space="0" w:color="auto"/>
                <w:left w:val="none" w:sz="0" w:space="0" w:color="auto"/>
                <w:bottom w:val="none" w:sz="0" w:space="0" w:color="auto"/>
                <w:right w:val="none" w:sz="0" w:space="0" w:color="auto"/>
              </w:divBdr>
              <w:divsChild>
                <w:div w:id="240989703">
                  <w:marLeft w:val="0"/>
                  <w:marRight w:val="0"/>
                  <w:marTop w:val="0"/>
                  <w:marBottom w:val="0"/>
                  <w:divBdr>
                    <w:top w:val="none" w:sz="0" w:space="0" w:color="auto"/>
                    <w:left w:val="none" w:sz="0" w:space="0" w:color="auto"/>
                    <w:bottom w:val="none" w:sz="0" w:space="0" w:color="auto"/>
                    <w:right w:val="none" w:sz="0" w:space="0" w:color="auto"/>
                  </w:divBdr>
                  <w:divsChild>
                    <w:div w:id="893002988">
                      <w:marLeft w:val="0"/>
                      <w:marRight w:val="0"/>
                      <w:marTop w:val="0"/>
                      <w:marBottom w:val="0"/>
                      <w:divBdr>
                        <w:top w:val="none" w:sz="0" w:space="0" w:color="auto"/>
                        <w:left w:val="none" w:sz="0" w:space="0" w:color="auto"/>
                        <w:bottom w:val="none" w:sz="0" w:space="0" w:color="auto"/>
                        <w:right w:val="none" w:sz="0" w:space="0" w:color="auto"/>
                      </w:divBdr>
                      <w:divsChild>
                        <w:div w:id="812065672">
                          <w:marLeft w:val="0"/>
                          <w:marRight w:val="0"/>
                          <w:marTop w:val="0"/>
                          <w:marBottom w:val="0"/>
                          <w:divBdr>
                            <w:top w:val="none" w:sz="0" w:space="0" w:color="auto"/>
                            <w:left w:val="none" w:sz="0" w:space="0" w:color="auto"/>
                            <w:bottom w:val="none" w:sz="0" w:space="0" w:color="auto"/>
                            <w:right w:val="none" w:sz="0" w:space="0" w:color="auto"/>
                          </w:divBdr>
                          <w:divsChild>
                            <w:div w:id="265700605">
                              <w:marLeft w:val="0"/>
                              <w:marRight w:val="0"/>
                              <w:marTop w:val="0"/>
                              <w:marBottom w:val="0"/>
                              <w:divBdr>
                                <w:top w:val="none" w:sz="0" w:space="0" w:color="auto"/>
                                <w:left w:val="none" w:sz="0" w:space="0" w:color="auto"/>
                                <w:bottom w:val="none" w:sz="0" w:space="0" w:color="auto"/>
                                <w:right w:val="none" w:sz="0" w:space="0" w:color="auto"/>
                              </w:divBdr>
                              <w:divsChild>
                                <w:div w:id="1627420978">
                                  <w:marLeft w:val="0"/>
                                  <w:marRight w:val="0"/>
                                  <w:marTop w:val="0"/>
                                  <w:marBottom w:val="0"/>
                                  <w:divBdr>
                                    <w:top w:val="none" w:sz="0" w:space="0" w:color="auto"/>
                                    <w:left w:val="none" w:sz="0" w:space="0" w:color="auto"/>
                                    <w:bottom w:val="none" w:sz="0" w:space="0" w:color="auto"/>
                                    <w:right w:val="none" w:sz="0" w:space="0" w:color="auto"/>
                                  </w:divBdr>
                                  <w:divsChild>
                                    <w:div w:id="1632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www.thomsonhc.com/"/>
  <Relationship Id="rId15" Type="http://schemas.openxmlformats.org/officeDocument/2006/relationships/hyperlink" TargetMode="External" Target="http://acurapharm.com/research-development/aversion-technology/"/>
  <Relationship Id="rId16" Type="http://schemas.openxmlformats.org/officeDocument/2006/relationships/hyperlink" TargetMode="External" Target="http://www.accessdata.fda.gov/drugsatfda_docs/appletter/2011/202080s000ltr.pdf"/>
  <Relationship Id="rId17" Type="http://schemas.openxmlformats.org/officeDocument/2006/relationships/hyperlink" TargetMode="External" Target="http://www.accessdata.fda.gov/scripts/cder/rems/index.cfm"/>
  <Relationship Id="rId18" Type="http://schemas.openxmlformats.org/officeDocument/2006/relationships/hyperlink" TargetMode="External" Target="http://globenewswire.com/news-release/2015/01/08/695948/10114621/en/Egalet-Acquires-Licenses-Two-Innovative-Approved-Pain-Products.ht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0D48-45E2-4497-9CE7-2E7E250F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36645</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2017-08-22T13:39:00Z</dcterms:created>
  <dc:creator>Information Services</dc:creator>
  <keywords>drug control</keywords>
  <lastModifiedBy>AutoBVT</lastModifiedBy>
  <lastPrinted>2017-08-22T13:39:00Z</lastPrinted>
  <dcterms:modified xsi:type="dcterms:W3CDTF">2017-08-22T18:43:00Z</dcterms:modified>
  <revision>3</revision>
  <dc:title>New Drug Review: Oxaydo Drug Monograph</dc:title>
</coreProperties>
</file>