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3DFCF" w14:textId="77777777" w:rsidR="00EA4662" w:rsidRPr="00A74330" w:rsidRDefault="00EA4662" w:rsidP="00205EF3">
      <w:pPr>
        <w:kinsoku w:val="0"/>
        <w:overflowPunct w:val="0"/>
        <w:ind w:left="2423" w:right="2221"/>
        <w:jc w:val="center"/>
        <w:rPr>
          <w:b/>
          <w:bCs/>
        </w:rPr>
      </w:pPr>
      <w:bookmarkStart w:id="0" w:name="_GoBack"/>
      <w:bookmarkEnd w:id="0"/>
      <w:r w:rsidRPr="00A74330">
        <w:rPr>
          <w:b/>
          <w:bCs/>
        </w:rPr>
        <w:t>DRUG FORMULARY COMMISSION</w:t>
      </w:r>
    </w:p>
    <w:p w14:paraId="2F9DBB14" w14:textId="77777777" w:rsidR="00C4266C" w:rsidRPr="00A74330" w:rsidRDefault="00563A17" w:rsidP="00205EF3">
      <w:pPr>
        <w:kinsoku w:val="0"/>
        <w:overflowPunct w:val="0"/>
        <w:ind w:left="2423" w:right="2221"/>
        <w:jc w:val="center"/>
        <w:rPr>
          <w:b/>
          <w:bCs/>
        </w:rPr>
      </w:pPr>
      <w:r w:rsidRPr="00A74330">
        <w:rPr>
          <w:b/>
          <w:bCs/>
        </w:rPr>
        <w:t xml:space="preserve">Drugs for Formulary Inclusion: </w:t>
      </w:r>
    </w:p>
    <w:p w14:paraId="211B5195" w14:textId="6595B59F" w:rsidR="002931BB" w:rsidRPr="00A74330" w:rsidRDefault="007B4F0F" w:rsidP="007A249E">
      <w:pPr>
        <w:kinsoku w:val="0"/>
        <w:overflowPunct w:val="0"/>
        <w:ind w:left="2423" w:right="2221"/>
        <w:jc w:val="center"/>
        <w:rPr>
          <w:b/>
          <w:bCs/>
        </w:rPr>
      </w:pPr>
      <w:r w:rsidRPr="00A74330">
        <w:rPr>
          <w:b/>
          <w:bCs/>
        </w:rPr>
        <w:t xml:space="preserve">DRAFT </w:t>
      </w:r>
      <w:r w:rsidR="00C22615" w:rsidRPr="00A74330">
        <w:rPr>
          <w:b/>
          <w:bCs/>
        </w:rPr>
        <w:t>Monograph</w:t>
      </w:r>
    </w:p>
    <w:p w14:paraId="30158C5C" w14:textId="77777777" w:rsidR="00563A17" w:rsidRPr="00461AE3" w:rsidRDefault="001A4D94" w:rsidP="00205EF3">
      <w:pPr>
        <w:kinsoku w:val="0"/>
        <w:overflowPunct w:val="0"/>
        <w:ind w:left="196"/>
        <w:jc w:val="center"/>
      </w:pPr>
      <w:r w:rsidRPr="00461AE3">
        <w:rPr>
          <w:noProof/>
        </w:rPr>
        <mc:AlternateContent>
          <mc:Choice Requires="wps">
            <w:drawing>
              <wp:anchor distT="0" distB="0" distL="114300" distR="114300" simplePos="0" relativeHeight="251657728" behindDoc="1" locked="0" layoutInCell="0" allowOverlap="1" wp14:anchorId="40A143D0" wp14:editId="05B35DFB">
                <wp:simplePos x="0" y="0"/>
                <wp:positionH relativeFrom="page">
                  <wp:posOffset>895985</wp:posOffset>
                </wp:positionH>
                <wp:positionV relativeFrom="paragraph">
                  <wp:posOffset>262255</wp:posOffset>
                </wp:positionV>
                <wp:extent cx="5979795" cy="12700"/>
                <wp:effectExtent l="10160" t="5080" r="10795" b="127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12700"/>
                        </a:xfrm>
                        <a:custGeom>
                          <a:avLst/>
                          <a:gdLst>
                            <a:gd name="T0" fmla="*/ 0 w 9417"/>
                            <a:gd name="T1" fmla="*/ 0 h 20"/>
                            <a:gd name="T2" fmla="*/ 9417 w 9417"/>
                            <a:gd name="T3" fmla="*/ 0 h 20"/>
                          </a:gdLst>
                          <a:ahLst/>
                          <a:cxnLst>
                            <a:cxn ang="0">
                              <a:pos x="T0" y="T1"/>
                            </a:cxn>
                            <a:cxn ang="0">
                              <a:pos x="T2" y="T3"/>
                            </a:cxn>
                          </a:cxnLst>
                          <a:rect l="0" t="0" r="r" b="b"/>
                          <a:pathLst>
                            <a:path w="9417" h="20">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polyline id="Freeform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55pt,20.65pt,541.4pt,20.65pt" coordsize="94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PT+AIAAIwGAAAOAAAAZHJzL2Uyb0RvYy54bWysVe1q2zAU/T/YOwj9HKS2EydpQp1S8jEG&#10;3VZo9gCKJMdmtuRJSpxu7N13r2ynTkthjDlgS77XV+ec+5Gb21NZkKM0NtcqodFVSIlUXItc7RP6&#10;bbsZXFNiHVOCFVrJhD5JS28X79/d1NVcDnWmCyENgSDKzusqoZlz1TwILM9kyeyVrqQCY6pNyRxs&#10;zT4QhtUQvSyCYRhOglobURnNpbXwdtUY6cLHT1PJ3dc0tdKRIqGAzfm78fcd3oPFDZvvDauynLcw&#10;2D+gKFmu4NBzqBVzjBxM/ipUmXOjrU7dFddloNM059JzADZR+ILNY8Yq6bmAOLY6y2T/X1j+5fhg&#10;SC4gd5QoVkKKNkZKFJwMUZ26snNweqweDPKz1b3m3y0YggsLbiz4kF39WQuIwg5Oe0VOqSnxS+BK&#10;Tl74p7Pw8uQIh5fj2RR+Y0o42KLhNPSJCdi8+5gfrPsotQ/EjvfWNXkTsPKqixb7FnKclgWk8ENA&#10;QlKTWRxN2ySffYBpzycjw64Mzh7DngdGeCPQqOcWki4QwN53wFjWYeUn1YKFFWHYHqHXp9IWdUHk&#10;QH4bIVoIAV7I7A1nAIjOo75z81F7iIHKf1nzhhKo+V0jR8UcYsMzcEnqhHqtSJZQEATfl/oot9p7&#10;uBepg7OerYXqezVRuhyDY2OGBZ7juZ3PRsi9zCq9yYvCp7ZQiGg6mkw8FKuLXKAR0Viz3y0LQ44M&#10;m9pfrQ4XbkYflPDBMsnEul07lhfN2kPDeFCFrRJYj75rf83C2fp6fR0P4uFkPYjD1Wpwt1nGg8km&#10;mo5Xo9VyuYp+I7Qonme5EFIhum6CRPHfdWg7y5reP8+QCxYXZDf+ek02uIThRQYu3dOz8/2KLdr0&#10;9E6LJ2hXo5uRCCMcFpk2PympYRwm1P44MCMpKT4pmDezKI5xfvpNPJ5CiRDTt+z6FqY4hEqoo1Dp&#10;uFy6ZuYeKpPvMzgp8mlV+g7GRJpjO3t8Dap2AyPPM2jHM87U/t57Pf+JLP4AAAD//wMAUEsDBBQA&#10;BgAIAAAAIQDdWgMJ3gAAAAoBAAAPAAAAZHJzL2Rvd25yZXYueG1sTI/NTsMwEITvSLyDtUjcqJOm&#10;gpLGqapKnBHhR+LmxtskarwOttMEnp7tCY4z+2l2ptjOthdn9KFzpCBdJCCQamc6ahS8vT7drUGE&#10;qMno3hEq+MYA2/L6qtC5cRO94LmKjeAQCrlW0MY45FKGukWrw8INSHw7Om91ZOkbabyeONz2cpkk&#10;99LqjvhDqwfct1ifqtEqeH+snnef9uOr2p9+phBGb5vpQanbm3m3ARFxjn8wXOpzdSi508GNZILo&#10;Wa/SlFEFqzQDcQGS9ZLHHNjJMpBlIf9PKH8BAAD//wMAUEsBAi0AFAAGAAgAAAAhALaDOJL+AAAA&#10;4QEAABMAAAAAAAAAAAAAAAAAAAAAAFtDb250ZW50X1R5cGVzXS54bWxQSwECLQAUAAYACAAAACEA&#10;OP0h/9YAAACUAQAACwAAAAAAAAAAAAAAAAAvAQAAX3JlbHMvLnJlbHNQSwECLQAUAAYACAAAACEA&#10;KpmT0/gCAACMBgAADgAAAAAAAAAAAAAAAAAuAgAAZHJzL2Uyb0RvYy54bWxQSwECLQAUAAYACAAA&#10;ACEA3VoDCd4AAAAKAQAADwAAAAAAAAAAAAAAAABSBQAAZHJzL2Rvd25yZXYueG1sUEsFBgAAAAAE&#10;AAQA8wAAAF0GAAAAAA==&#10;" o:allowincell="f" filled="f" strokeweight=".58pt">
                <v:path arrowok="t" o:connecttype="custom" o:connectlocs="0,0;5979795,0" o:connectangles="0,0"/>
                <w10:wrap anchorx="page"/>
              </v:polyline>
            </w:pict>
          </mc:Fallback>
        </mc:AlternateContent>
      </w:r>
    </w:p>
    <w:p w14:paraId="45B666FC" w14:textId="77777777" w:rsidR="00CE6756" w:rsidRDefault="00CE6756" w:rsidP="00205EF3">
      <w:pPr>
        <w:pStyle w:val="ListParagraph"/>
        <w:rPr>
          <w:bCs/>
        </w:rPr>
      </w:pPr>
    </w:p>
    <w:p w14:paraId="48C6B8E2" w14:textId="6D40E4BD" w:rsidR="007A249E" w:rsidRPr="00461AE3" w:rsidRDefault="00205EF3" w:rsidP="007A249E">
      <w:pPr>
        <w:pStyle w:val="ListParagraph"/>
        <w:numPr>
          <w:ilvl w:val="0"/>
          <w:numId w:val="17"/>
        </w:numPr>
        <w:rPr>
          <w:b/>
          <w:iCs/>
          <w:u w:val="single"/>
        </w:rPr>
      </w:pPr>
      <w:r w:rsidRPr="00461AE3">
        <w:rPr>
          <w:b/>
          <w:iCs/>
          <w:u w:val="single"/>
        </w:rPr>
        <w:t>Introduction</w:t>
      </w:r>
    </w:p>
    <w:p w14:paraId="6D941926" w14:textId="77777777" w:rsidR="007A249E" w:rsidRPr="00461AE3" w:rsidRDefault="007A249E" w:rsidP="00AA6416">
      <w:pPr>
        <w:pStyle w:val="ListParagraph"/>
        <w:ind w:left="360" w:firstLine="720"/>
        <w:rPr>
          <w:iCs/>
        </w:rPr>
      </w:pPr>
    </w:p>
    <w:p w14:paraId="7EF1EAE7" w14:textId="77777777" w:rsidR="00205EF3" w:rsidRPr="00461AE3" w:rsidRDefault="00205EF3" w:rsidP="00AA6416">
      <w:pPr>
        <w:pStyle w:val="ListParagraph"/>
        <w:ind w:left="360" w:firstLine="720"/>
        <w:rPr>
          <w:iCs/>
          <w:w w:val="102"/>
        </w:rPr>
      </w:pPr>
      <w:r w:rsidRPr="00461AE3">
        <w:rPr>
          <w:iCs/>
        </w:rPr>
        <w:t>Generic</w:t>
      </w:r>
      <w:r w:rsidRPr="00461AE3">
        <w:rPr>
          <w:iCs/>
          <w:spacing w:val="25"/>
        </w:rPr>
        <w:t xml:space="preserve"> </w:t>
      </w:r>
      <w:r w:rsidRPr="00461AE3">
        <w:rPr>
          <w:iCs/>
        </w:rPr>
        <w:t>name:</w:t>
      </w:r>
      <w:r w:rsidR="001736CC" w:rsidRPr="00461AE3">
        <w:rPr>
          <w:iCs/>
          <w:w w:val="102"/>
        </w:rPr>
        <w:tab/>
        <w:t>Oxycodone hydrochloride</w:t>
      </w:r>
    </w:p>
    <w:p w14:paraId="21CD8E37" w14:textId="77777777" w:rsidR="00205EF3" w:rsidRPr="00461AE3" w:rsidRDefault="00205EF3" w:rsidP="00AA6416">
      <w:pPr>
        <w:pStyle w:val="ListParagraph"/>
        <w:ind w:left="360" w:firstLine="720"/>
        <w:rPr>
          <w:iCs/>
          <w:w w:val="102"/>
        </w:rPr>
      </w:pPr>
      <w:r w:rsidRPr="00461AE3">
        <w:rPr>
          <w:iCs/>
        </w:rPr>
        <w:t>Trade</w:t>
      </w:r>
      <w:r w:rsidRPr="00461AE3">
        <w:rPr>
          <w:iCs/>
          <w:spacing w:val="21"/>
        </w:rPr>
        <w:t xml:space="preserve"> </w:t>
      </w:r>
      <w:r w:rsidRPr="00461AE3">
        <w:rPr>
          <w:iCs/>
        </w:rPr>
        <w:t>name:</w:t>
      </w:r>
      <w:r w:rsidR="001736CC" w:rsidRPr="00461AE3">
        <w:rPr>
          <w:iCs/>
          <w:w w:val="102"/>
        </w:rPr>
        <w:tab/>
        <w:t>OxyContin</w:t>
      </w:r>
    </w:p>
    <w:p w14:paraId="65D5A161" w14:textId="77777777" w:rsidR="00205EF3" w:rsidRPr="00461AE3" w:rsidRDefault="00205EF3" w:rsidP="00AA6416">
      <w:pPr>
        <w:pStyle w:val="ListParagraph"/>
        <w:ind w:left="360" w:firstLine="720"/>
        <w:rPr>
          <w:iCs/>
          <w:w w:val="102"/>
        </w:rPr>
      </w:pPr>
      <w:r w:rsidRPr="00461AE3">
        <w:rPr>
          <w:iCs/>
        </w:rPr>
        <w:t>Manufacturer:</w:t>
      </w:r>
      <w:r w:rsidR="001736CC" w:rsidRPr="00461AE3">
        <w:rPr>
          <w:iCs/>
          <w:w w:val="102"/>
        </w:rPr>
        <w:tab/>
        <w:t>Purdue Pharma</w:t>
      </w:r>
    </w:p>
    <w:p w14:paraId="4F9CF86E" w14:textId="77777777" w:rsidR="00BB2FB0" w:rsidRPr="00461AE3" w:rsidRDefault="00BB2FB0" w:rsidP="00BB2FB0">
      <w:pPr>
        <w:pStyle w:val="ListParagraph"/>
        <w:ind w:left="360" w:firstLine="720"/>
        <w:rPr>
          <w:iCs/>
        </w:rPr>
      </w:pPr>
      <w:r w:rsidRPr="00461AE3">
        <w:rPr>
          <w:iCs/>
        </w:rPr>
        <w:t>Classification</w:t>
      </w:r>
      <w:r w:rsidRPr="00461AE3">
        <w:rPr>
          <w:rStyle w:val="EndnoteReference"/>
          <w:iCs/>
        </w:rPr>
        <w:endnoteReference w:id="1"/>
      </w:r>
      <w:r w:rsidRPr="00461AE3">
        <w:rPr>
          <w:iCs/>
        </w:rPr>
        <w:t>:</w:t>
      </w:r>
      <w:r w:rsidR="001736CC" w:rsidRPr="00461AE3">
        <w:rPr>
          <w:iCs/>
        </w:rPr>
        <w:tab/>
        <w:t>Type 4 – Type of ADF technology</w:t>
      </w:r>
    </w:p>
    <w:p w14:paraId="53F366E8" w14:textId="77777777" w:rsidR="00AA6416" w:rsidRPr="00461AE3" w:rsidRDefault="00AA6416" w:rsidP="00205EF3">
      <w:pPr>
        <w:pStyle w:val="ListParagraph"/>
        <w:rPr>
          <w:iCs/>
        </w:rPr>
      </w:pPr>
    </w:p>
    <w:p w14:paraId="3BBFAF0B" w14:textId="77777777" w:rsidR="00AA6416" w:rsidRPr="00461AE3" w:rsidRDefault="00AA6416" w:rsidP="008F4453">
      <w:pPr>
        <w:pStyle w:val="ListParagraph"/>
        <w:numPr>
          <w:ilvl w:val="0"/>
          <w:numId w:val="17"/>
        </w:numPr>
        <w:rPr>
          <w:b/>
          <w:iCs/>
          <w:u w:val="single"/>
        </w:rPr>
      </w:pPr>
      <w:r w:rsidRPr="00461AE3">
        <w:rPr>
          <w:b/>
          <w:iCs/>
          <w:u w:val="single"/>
        </w:rPr>
        <w:t>Preliminary Review</w:t>
      </w:r>
    </w:p>
    <w:p w14:paraId="43AB0DE4" w14:textId="77777777" w:rsidR="008F4453" w:rsidRDefault="008F4453" w:rsidP="008F4453">
      <w:pPr>
        <w:pStyle w:val="ListParagraph"/>
        <w:ind w:left="990"/>
        <w:rPr>
          <w:b/>
          <w:iCs/>
          <w:u w:val="single"/>
        </w:rPr>
      </w:pPr>
    </w:p>
    <w:tbl>
      <w:tblPr>
        <w:tblStyle w:val="TableGrid"/>
        <w:tblW w:w="8261" w:type="dxa"/>
        <w:tblInd w:w="828" w:type="dxa"/>
        <w:tblLook w:val="04A0" w:firstRow="1" w:lastRow="0" w:firstColumn="1" w:lastColumn="0" w:noHBand="0" w:noVBand="1"/>
      </w:tblPr>
      <w:tblGrid>
        <w:gridCol w:w="1137"/>
        <w:gridCol w:w="4636"/>
        <w:gridCol w:w="1247"/>
        <w:gridCol w:w="1241"/>
      </w:tblGrid>
      <w:tr w:rsidR="001A68BA" w:rsidRPr="00461AE3" w14:paraId="08BE2E0A" w14:textId="77777777" w:rsidTr="005C6B05">
        <w:trPr>
          <w:trHeight w:val="265"/>
        </w:trPr>
        <w:tc>
          <w:tcPr>
            <w:tcW w:w="1137" w:type="dxa"/>
          </w:tcPr>
          <w:p w14:paraId="03F11C67" w14:textId="77777777" w:rsidR="001A68BA" w:rsidRPr="00461AE3" w:rsidRDefault="001A68BA" w:rsidP="00AA6416">
            <w:pPr>
              <w:pStyle w:val="ListParagraph"/>
              <w:rPr>
                <w:iCs/>
                <w:highlight w:val="lightGray"/>
              </w:rPr>
            </w:pPr>
            <w:r w:rsidRPr="00461AE3">
              <w:rPr>
                <w:iCs/>
              </w:rPr>
              <w:tab/>
            </w:r>
          </w:p>
        </w:tc>
        <w:tc>
          <w:tcPr>
            <w:tcW w:w="4636" w:type="dxa"/>
          </w:tcPr>
          <w:p w14:paraId="53DB430E" w14:textId="77777777" w:rsidR="001A68BA" w:rsidRPr="00461AE3" w:rsidRDefault="001A68BA" w:rsidP="00AA6416">
            <w:pPr>
              <w:pStyle w:val="ListParagraph"/>
              <w:rPr>
                <w:i/>
                <w:iCs/>
              </w:rPr>
            </w:pPr>
            <w:r w:rsidRPr="00461AE3">
              <w:rPr>
                <w:i/>
                <w:iCs/>
              </w:rPr>
              <w:t>Preliminary Review of Individual Drug Product</w:t>
            </w:r>
          </w:p>
        </w:tc>
        <w:tc>
          <w:tcPr>
            <w:tcW w:w="1247" w:type="dxa"/>
          </w:tcPr>
          <w:p w14:paraId="1DA84D4D" w14:textId="77777777" w:rsidR="001A68BA" w:rsidRPr="00461AE3" w:rsidRDefault="001A68BA" w:rsidP="00AA6416">
            <w:pPr>
              <w:pStyle w:val="ListParagraph"/>
              <w:rPr>
                <w:iCs/>
              </w:rPr>
            </w:pPr>
          </w:p>
        </w:tc>
        <w:tc>
          <w:tcPr>
            <w:tcW w:w="1241" w:type="dxa"/>
          </w:tcPr>
          <w:p w14:paraId="5CAA34F3" w14:textId="77777777" w:rsidR="001A68BA" w:rsidRPr="00461AE3" w:rsidRDefault="001A68BA" w:rsidP="00AA6416">
            <w:pPr>
              <w:pStyle w:val="ListParagraph"/>
              <w:rPr>
                <w:iCs/>
                <w:highlight w:val="lightGray"/>
              </w:rPr>
            </w:pPr>
          </w:p>
        </w:tc>
      </w:tr>
      <w:tr w:rsidR="001A68BA" w:rsidRPr="00461AE3" w14:paraId="58423EAF" w14:textId="77777777" w:rsidTr="005C6B05">
        <w:trPr>
          <w:trHeight w:val="265"/>
        </w:trPr>
        <w:tc>
          <w:tcPr>
            <w:tcW w:w="1137" w:type="dxa"/>
          </w:tcPr>
          <w:p w14:paraId="02F8EE5C" w14:textId="77777777" w:rsidR="001A68BA" w:rsidRPr="00461AE3" w:rsidRDefault="001A68BA" w:rsidP="001A68BA">
            <w:pPr>
              <w:pStyle w:val="ListParagraph"/>
              <w:jc w:val="center"/>
              <w:rPr>
                <w:b/>
                <w:iCs/>
              </w:rPr>
            </w:pPr>
            <w:r w:rsidRPr="00461AE3">
              <w:rPr>
                <w:b/>
                <w:iCs/>
              </w:rPr>
              <w:t>Question</w:t>
            </w:r>
          </w:p>
        </w:tc>
        <w:tc>
          <w:tcPr>
            <w:tcW w:w="4636" w:type="dxa"/>
          </w:tcPr>
          <w:p w14:paraId="22DCDFCB" w14:textId="77777777" w:rsidR="001A68BA" w:rsidRPr="00461AE3" w:rsidRDefault="001A68BA" w:rsidP="00AA6416">
            <w:pPr>
              <w:pStyle w:val="ListParagraph"/>
              <w:rPr>
                <w:b/>
                <w:iCs/>
              </w:rPr>
            </w:pPr>
          </w:p>
        </w:tc>
        <w:tc>
          <w:tcPr>
            <w:tcW w:w="1247" w:type="dxa"/>
          </w:tcPr>
          <w:p w14:paraId="0E823436" w14:textId="77777777" w:rsidR="001A68BA" w:rsidRPr="00461AE3" w:rsidRDefault="001A68BA" w:rsidP="005C6B05">
            <w:pPr>
              <w:pStyle w:val="ListParagraph"/>
              <w:jc w:val="center"/>
              <w:rPr>
                <w:b/>
                <w:iCs/>
              </w:rPr>
            </w:pPr>
            <w:r w:rsidRPr="00461AE3">
              <w:rPr>
                <w:b/>
                <w:iCs/>
              </w:rPr>
              <w:t>Result</w:t>
            </w:r>
          </w:p>
        </w:tc>
        <w:tc>
          <w:tcPr>
            <w:tcW w:w="1241" w:type="dxa"/>
          </w:tcPr>
          <w:p w14:paraId="3419AE58" w14:textId="77777777" w:rsidR="001A68BA" w:rsidRPr="00461AE3" w:rsidRDefault="001A68BA" w:rsidP="005C6B05">
            <w:pPr>
              <w:pStyle w:val="ListParagraph"/>
              <w:jc w:val="center"/>
              <w:rPr>
                <w:b/>
                <w:iCs/>
              </w:rPr>
            </w:pPr>
            <w:r w:rsidRPr="00461AE3">
              <w:rPr>
                <w:b/>
                <w:iCs/>
              </w:rPr>
              <w:t>Result</w:t>
            </w:r>
          </w:p>
        </w:tc>
      </w:tr>
      <w:tr w:rsidR="001A68BA" w:rsidRPr="00461AE3" w14:paraId="6AF8EC55" w14:textId="77777777" w:rsidTr="005C6B05">
        <w:trPr>
          <w:trHeight w:val="528"/>
        </w:trPr>
        <w:tc>
          <w:tcPr>
            <w:tcW w:w="1137" w:type="dxa"/>
          </w:tcPr>
          <w:p w14:paraId="006B9BD1" w14:textId="77777777" w:rsidR="001A68BA" w:rsidRPr="00461AE3" w:rsidRDefault="001A68BA" w:rsidP="001A68BA">
            <w:pPr>
              <w:pStyle w:val="ListParagraph"/>
              <w:jc w:val="center"/>
              <w:rPr>
                <w:iCs/>
              </w:rPr>
            </w:pPr>
            <w:r w:rsidRPr="00461AE3">
              <w:rPr>
                <w:iCs/>
              </w:rPr>
              <w:t>1</w:t>
            </w:r>
          </w:p>
        </w:tc>
        <w:tc>
          <w:tcPr>
            <w:tcW w:w="4636" w:type="dxa"/>
          </w:tcPr>
          <w:p w14:paraId="3B45450B" w14:textId="77777777" w:rsidR="001A68BA" w:rsidRPr="00461AE3" w:rsidRDefault="00BB2FB0" w:rsidP="001A68BA">
            <w:pPr>
              <w:pStyle w:val="ListParagraph"/>
              <w:rPr>
                <w:i/>
                <w:iCs/>
              </w:rPr>
            </w:pPr>
            <w:r w:rsidRPr="00461AE3">
              <w:rPr>
                <w:i/>
                <w:iCs/>
              </w:rPr>
              <w:t>Does the drug have FDA abuse deterrent labeling or an abuse deterrent property?</w:t>
            </w:r>
          </w:p>
        </w:tc>
        <w:tc>
          <w:tcPr>
            <w:tcW w:w="1247" w:type="dxa"/>
          </w:tcPr>
          <w:p w14:paraId="6B767F9A" w14:textId="77777777" w:rsidR="001A68BA" w:rsidRPr="00461AE3" w:rsidRDefault="001A68BA" w:rsidP="005C6B05">
            <w:pPr>
              <w:pStyle w:val="ListParagraph"/>
              <w:jc w:val="center"/>
              <w:rPr>
                <w:b/>
                <w:i/>
                <w:iCs/>
                <w:u w:val="single"/>
              </w:rPr>
            </w:pPr>
            <w:r w:rsidRPr="00461AE3">
              <w:rPr>
                <w:b/>
                <w:i/>
                <w:iCs/>
                <w:u w:val="single"/>
              </w:rPr>
              <w:t>YES</w:t>
            </w:r>
          </w:p>
        </w:tc>
        <w:tc>
          <w:tcPr>
            <w:tcW w:w="1241" w:type="dxa"/>
          </w:tcPr>
          <w:p w14:paraId="3C0A1CA0" w14:textId="77777777" w:rsidR="001A68BA" w:rsidRPr="00461AE3" w:rsidRDefault="001A68BA" w:rsidP="005C6B05">
            <w:pPr>
              <w:pStyle w:val="ListParagraph"/>
              <w:jc w:val="center"/>
              <w:rPr>
                <w:iCs/>
              </w:rPr>
            </w:pPr>
            <w:r w:rsidRPr="00461AE3">
              <w:rPr>
                <w:iCs/>
              </w:rPr>
              <w:t>NO</w:t>
            </w:r>
          </w:p>
        </w:tc>
      </w:tr>
    </w:tbl>
    <w:p w14:paraId="19A51C8D" w14:textId="77777777" w:rsidR="00A74330" w:rsidRPr="00461AE3" w:rsidRDefault="00A74330" w:rsidP="00205EF3">
      <w:pPr>
        <w:pStyle w:val="ListParagraph"/>
        <w:rPr>
          <w:b/>
          <w:iCs/>
          <w:u w:val="single"/>
        </w:rPr>
      </w:pPr>
    </w:p>
    <w:p w14:paraId="571DA4E5" w14:textId="77777777" w:rsidR="00563A17" w:rsidRPr="00461AE3" w:rsidRDefault="000E6B75" w:rsidP="000F1FAA">
      <w:pPr>
        <w:pStyle w:val="ListParagraph"/>
        <w:numPr>
          <w:ilvl w:val="0"/>
          <w:numId w:val="17"/>
        </w:numPr>
        <w:rPr>
          <w:b/>
        </w:rPr>
      </w:pPr>
      <w:r w:rsidRPr="00461AE3">
        <w:rPr>
          <w:b/>
          <w:iCs/>
          <w:u w:val="single"/>
        </w:rPr>
        <w:t>E</w:t>
      </w:r>
      <w:r w:rsidR="00252AB6" w:rsidRPr="00461AE3">
        <w:rPr>
          <w:b/>
          <w:iCs/>
          <w:u w:val="single"/>
        </w:rPr>
        <w:t>xe</w:t>
      </w:r>
      <w:r w:rsidR="007B0B65" w:rsidRPr="00461AE3">
        <w:rPr>
          <w:b/>
          <w:iCs/>
          <w:u w:val="single"/>
        </w:rPr>
        <w:t xml:space="preserve">cutive </w:t>
      </w:r>
      <w:r w:rsidR="002931BB" w:rsidRPr="00461AE3">
        <w:rPr>
          <w:b/>
          <w:iCs/>
          <w:u w:val="single"/>
        </w:rPr>
        <w:t>S</w:t>
      </w:r>
      <w:r w:rsidR="00563A17" w:rsidRPr="00461AE3">
        <w:rPr>
          <w:b/>
          <w:iCs/>
          <w:u w:val="single"/>
        </w:rPr>
        <w:t>ummary</w:t>
      </w:r>
      <w:r w:rsidR="00563A17" w:rsidRPr="00461AE3">
        <w:rPr>
          <w:b/>
          <w:iCs/>
          <w:spacing w:val="25"/>
        </w:rPr>
        <w:t xml:space="preserve"> </w:t>
      </w:r>
    </w:p>
    <w:p w14:paraId="274BB6A4" w14:textId="77777777" w:rsidR="006F05FF" w:rsidRPr="00461AE3" w:rsidRDefault="006F05FF" w:rsidP="007603B9"/>
    <w:p w14:paraId="1EAA7611" w14:textId="5519CF48" w:rsidR="000975C1" w:rsidRPr="00461AE3" w:rsidRDefault="00636ED0" w:rsidP="006F05FF">
      <w:pPr>
        <w:pStyle w:val="ListParagraph"/>
        <w:ind w:left="990"/>
      </w:pPr>
      <w:r w:rsidRPr="00461AE3">
        <w:t>The FDA has approved abuse-deterrent labeling for OxyContin in 2013.</w:t>
      </w:r>
      <w:r w:rsidRPr="00461AE3">
        <w:rPr>
          <w:vertAlign w:val="superscript"/>
        </w:rPr>
        <w:t>1</w:t>
      </w:r>
      <w:r w:rsidRPr="00461AE3">
        <w:t xml:space="preserve">  The purpose of this drug monograph is to evaluate this medication, which was reformulated in 2010.</w:t>
      </w:r>
      <w:r w:rsidR="006F05FF" w:rsidRPr="00461AE3">
        <w:t xml:space="preserve">  </w:t>
      </w:r>
      <w:r w:rsidR="00BF704D" w:rsidRPr="00461AE3">
        <w:t>OxyContin is a widely-use</w:t>
      </w:r>
      <w:r w:rsidR="00F250ED" w:rsidRPr="00461AE3">
        <w:t>d opioid analgesic commonly used</w:t>
      </w:r>
      <w:r w:rsidR="00BF704D" w:rsidRPr="00461AE3">
        <w:t xml:space="preserve"> in the management of moderate to severe pain.</w:t>
      </w:r>
      <w:r w:rsidR="00BF704D" w:rsidRPr="00461AE3">
        <w:rPr>
          <w:vertAlign w:val="superscript"/>
        </w:rPr>
        <w:t>2</w:t>
      </w:r>
      <w:r w:rsidR="00BF704D" w:rsidRPr="00461AE3">
        <w:t xml:space="preserve"> </w:t>
      </w:r>
      <w:r w:rsidR="007603B9" w:rsidRPr="00461AE3">
        <w:t xml:space="preserve"> Due to the addictive nature of opioid medications, there are many concerns with adulteration and abuse of OxyContin, among many other opioid analgesics.  </w:t>
      </w:r>
      <w:r w:rsidR="00D43212" w:rsidRPr="00461AE3">
        <w:t>The new, reformulated OxyContin is</w:t>
      </w:r>
      <w:r w:rsidR="00A7775E" w:rsidRPr="00461AE3">
        <w:t xml:space="preserve"> more difficult to crush</w:t>
      </w:r>
      <w:r w:rsidR="006F05FF" w:rsidRPr="00461AE3">
        <w:t>, due to a fused-polymer, plastic-like coating</w:t>
      </w:r>
      <w:r w:rsidR="00A7775E" w:rsidRPr="00461AE3">
        <w:t>, which in turn makes nasal inhalation (“snorting”) more difficult.</w:t>
      </w:r>
      <w:r w:rsidR="00BF704D" w:rsidRPr="00461AE3">
        <w:rPr>
          <w:vertAlign w:val="superscript"/>
        </w:rPr>
        <w:t>3</w:t>
      </w:r>
      <w:r w:rsidR="006F05FF" w:rsidRPr="00461AE3">
        <w:t xml:space="preserve">  Furthermore, when mixing with liquid</w:t>
      </w:r>
      <w:r w:rsidR="00A7775E" w:rsidRPr="00461AE3">
        <w:t>, this formulation becomes viscous</w:t>
      </w:r>
      <w:r w:rsidR="006F05FF" w:rsidRPr="00461AE3">
        <w:t xml:space="preserve"> and poses challenges regardi</w:t>
      </w:r>
      <w:r w:rsidR="00F250ED" w:rsidRPr="00461AE3">
        <w:t xml:space="preserve">ng administration via syringe.  </w:t>
      </w:r>
      <w:r w:rsidR="006F05FF" w:rsidRPr="00461AE3">
        <w:t>Therefore, OxyContin is still as effective as its original formulation and gains the added benefit of abuse deterrence.</w:t>
      </w:r>
    </w:p>
    <w:p w14:paraId="6DA942E6" w14:textId="77777777" w:rsidR="001A4D94" w:rsidRPr="00461AE3" w:rsidRDefault="001A4D94" w:rsidP="00205EF3">
      <w:pPr>
        <w:rPr>
          <w:b/>
          <w:u w:val="single"/>
        </w:rPr>
      </w:pPr>
    </w:p>
    <w:p w14:paraId="53831EE0" w14:textId="5BC83F29" w:rsidR="000F1FAA" w:rsidRPr="00461AE3" w:rsidRDefault="000924BC" w:rsidP="007A2768">
      <w:pPr>
        <w:pStyle w:val="ListParagraph"/>
        <w:numPr>
          <w:ilvl w:val="0"/>
          <w:numId w:val="17"/>
        </w:numPr>
        <w:rPr>
          <w:b/>
          <w:u w:val="single"/>
        </w:rPr>
      </w:pPr>
      <w:r w:rsidRPr="00461AE3">
        <w:rPr>
          <w:b/>
          <w:u w:val="single"/>
        </w:rPr>
        <w:t>Monograph Content</w:t>
      </w:r>
    </w:p>
    <w:p w14:paraId="6844696A" w14:textId="77777777" w:rsidR="000F1FAA" w:rsidRPr="00461AE3" w:rsidRDefault="000F1FAA" w:rsidP="007A2768"/>
    <w:p w14:paraId="477226A3" w14:textId="7367E49B" w:rsidR="007A2768" w:rsidRPr="00461AE3" w:rsidRDefault="00596DA3" w:rsidP="007A2768">
      <w:pPr>
        <w:pStyle w:val="ListParagraph"/>
        <w:numPr>
          <w:ilvl w:val="1"/>
          <w:numId w:val="17"/>
        </w:numPr>
        <w:rPr>
          <w:b/>
          <w:u w:val="single"/>
        </w:rPr>
      </w:pPr>
      <w:r w:rsidRPr="00461AE3">
        <w:rPr>
          <w:b/>
          <w:spacing w:val="16"/>
        </w:rPr>
        <w:t>R</w:t>
      </w:r>
      <w:r w:rsidR="00563A17" w:rsidRPr="00461AE3">
        <w:rPr>
          <w:b/>
        </w:rPr>
        <w:t>eference</w:t>
      </w:r>
      <w:r w:rsidR="000924BC" w:rsidRPr="00461AE3">
        <w:rPr>
          <w:b/>
        </w:rPr>
        <w:t xml:space="preserve"> Data</w:t>
      </w:r>
    </w:p>
    <w:p w14:paraId="7956FD92" w14:textId="77777777" w:rsidR="007A249E" w:rsidRPr="00461AE3" w:rsidRDefault="007A249E" w:rsidP="007A2768">
      <w:pPr>
        <w:pStyle w:val="ListParagraph"/>
        <w:ind w:left="1440"/>
      </w:pPr>
    </w:p>
    <w:p w14:paraId="13AAD3A7" w14:textId="73BA05E4" w:rsidR="00205EF3" w:rsidRPr="00461AE3" w:rsidRDefault="00D020EE" w:rsidP="007A2768">
      <w:pPr>
        <w:pStyle w:val="ListParagraph"/>
        <w:ind w:left="1440"/>
      </w:pPr>
      <w:r w:rsidRPr="00461AE3">
        <w:t>OxyContin is a semisynthetic opioid analgesic.</w:t>
      </w:r>
      <w:r w:rsidR="002B2A96" w:rsidRPr="00461AE3">
        <w:rPr>
          <w:vertAlign w:val="superscript"/>
        </w:rPr>
        <w:t>2</w:t>
      </w:r>
      <w:r w:rsidR="007A2768" w:rsidRPr="00461AE3">
        <w:t xml:space="preserve">  </w:t>
      </w:r>
      <w:r w:rsidRPr="00461AE3">
        <w:t xml:space="preserve">This medication works </w:t>
      </w:r>
      <w:r w:rsidR="00CA1464" w:rsidRPr="00461AE3">
        <w:t xml:space="preserve">as an agonist </w:t>
      </w:r>
      <w:r w:rsidRPr="00461AE3">
        <w:t>at the µ (OP3) opiate receptor</w:t>
      </w:r>
      <w:r w:rsidR="004B5BE8" w:rsidRPr="00461AE3">
        <w:t xml:space="preserve">, which is a G-protein coupled receptor.  </w:t>
      </w:r>
      <w:r w:rsidR="00017F91" w:rsidRPr="00461AE3">
        <w:t xml:space="preserve">It alters the perception of pain in the spinal cord and higher levels of the central nervous system, resulting in an analgesic effect. </w:t>
      </w:r>
      <w:r w:rsidR="007A2768" w:rsidRPr="00461AE3">
        <w:t xml:space="preserve"> </w:t>
      </w:r>
      <w:r w:rsidR="006B041B" w:rsidRPr="00461AE3">
        <w:t>OxyContin is administered orally as a tablet, and it is an extended-release formulation of oxycodone.</w:t>
      </w:r>
      <w:r w:rsidR="00CA1464" w:rsidRPr="00461AE3">
        <w:t xml:space="preserve">  In contrast to the immediate-release formulation, OxyContin has a longer duration of action and can be dosed less frequently (every 12 hours). </w:t>
      </w:r>
      <w:r w:rsidR="007A2768" w:rsidRPr="00461AE3">
        <w:t xml:space="preserve"> </w:t>
      </w:r>
      <w:r w:rsidR="003C428B" w:rsidRPr="00461AE3">
        <w:t>Other similar semisynthetic opiates include hydrocodone, hydromorphone, and oxymorphone.</w:t>
      </w:r>
      <w:r w:rsidR="007A2768" w:rsidRPr="00461AE3">
        <w:rPr>
          <w:vertAlign w:val="superscript"/>
        </w:rPr>
        <w:t>4</w:t>
      </w:r>
      <w:r w:rsidR="003C428B" w:rsidRPr="00461AE3">
        <w:t xml:space="preserve">  There are also natural alkaloids, such as morphine and codeine, and synthetic </w:t>
      </w:r>
      <w:r w:rsidR="007A2768" w:rsidRPr="00461AE3">
        <w:t xml:space="preserve">opioids, such as </w:t>
      </w:r>
      <w:r w:rsidR="007A2768" w:rsidRPr="00461AE3">
        <w:lastRenderedPageBreak/>
        <w:t>methadone and fentanyl.</w:t>
      </w:r>
    </w:p>
    <w:p w14:paraId="0D74B82D" w14:textId="77777777" w:rsidR="00205EF3" w:rsidRPr="00461AE3" w:rsidRDefault="00205EF3" w:rsidP="007A2768">
      <w:pPr>
        <w:rPr>
          <w:bCs/>
          <w:w w:val="85"/>
        </w:rPr>
      </w:pPr>
    </w:p>
    <w:p w14:paraId="53AE250A" w14:textId="5C83329C" w:rsidR="0010186E" w:rsidRPr="00461AE3" w:rsidRDefault="00031135" w:rsidP="0010186E">
      <w:pPr>
        <w:numPr>
          <w:ilvl w:val="1"/>
          <w:numId w:val="17"/>
        </w:numPr>
        <w:rPr>
          <w:b/>
        </w:rPr>
      </w:pPr>
      <w:r w:rsidRPr="00461AE3">
        <w:rPr>
          <w:b/>
        </w:rPr>
        <w:t>Therapeutic Indications/E</w:t>
      </w:r>
      <w:r w:rsidR="000924BC" w:rsidRPr="00461AE3">
        <w:rPr>
          <w:b/>
        </w:rPr>
        <w:t>fficacy</w:t>
      </w:r>
    </w:p>
    <w:p w14:paraId="194AB33E" w14:textId="77777777" w:rsidR="007A249E" w:rsidRPr="00461AE3" w:rsidRDefault="007A249E" w:rsidP="0010186E">
      <w:pPr>
        <w:ind w:left="1440"/>
      </w:pPr>
    </w:p>
    <w:p w14:paraId="6F60E398" w14:textId="64F06AB4" w:rsidR="0010186E" w:rsidRPr="00461AE3" w:rsidRDefault="0010186E" w:rsidP="0010186E">
      <w:pPr>
        <w:ind w:left="1440"/>
      </w:pPr>
      <w:r w:rsidRPr="00461AE3">
        <w:t>The primary indication for OxyContin is moderate to severe pain.</w:t>
      </w:r>
      <w:r w:rsidR="00312923" w:rsidRPr="00461AE3">
        <w:rPr>
          <w:vertAlign w:val="superscript"/>
        </w:rPr>
        <w:t>2</w:t>
      </w:r>
      <w:r w:rsidRPr="00461AE3">
        <w:t xml:space="preserve">  There is one off-label indication, </w:t>
      </w:r>
      <w:r w:rsidR="00312923" w:rsidRPr="00461AE3">
        <w:t xml:space="preserve">which is </w:t>
      </w:r>
      <w:r w:rsidRPr="00461AE3">
        <w:t>diabetic neuropathic pain</w:t>
      </w:r>
      <w:r w:rsidR="00F455D2" w:rsidRPr="00461AE3">
        <w:t>, but there is a low level of</w:t>
      </w:r>
      <w:r w:rsidR="00312923" w:rsidRPr="00461AE3">
        <w:t xml:space="preserve"> evidence for this indication.  The new, abuse-deterrent formulation of OxyContin has been shown to be bioequivalent to the original formulation.</w:t>
      </w:r>
      <w:r w:rsidR="00312923" w:rsidRPr="00461AE3">
        <w:rPr>
          <w:vertAlign w:val="superscript"/>
        </w:rPr>
        <w:t>3</w:t>
      </w:r>
      <w:r w:rsidR="00312923" w:rsidRPr="00461AE3">
        <w:t xml:space="preserve">  Additionally, </w:t>
      </w:r>
      <w:r w:rsidR="0012098E" w:rsidRPr="00461AE3">
        <w:t xml:space="preserve">this new formulation has </w:t>
      </w:r>
      <w:r w:rsidR="00E47404" w:rsidRPr="00461AE3">
        <w:t>been shown to prevent adulteration of the product, therefore reducing injection via syringe, and it has been associated with a decrease in reported deaths.</w:t>
      </w:r>
      <w:r w:rsidR="00E47404" w:rsidRPr="00461AE3">
        <w:rPr>
          <w:vertAlign w:val="superscript"/>
        </w:rPr>
        <w:t>5,6</w:t>
      </w:r>
    </w:p>
    <w:p w14:paraId="795BB249" w14:textId="77777777" w:rsidR="00A46AF1" w:rsidRPr="00461AE3" w:rsidRDefault="00A46AF1" w:rsidP="00E47404">
      <w:pPr>
        <w:pStyle w:val="BodyText"/>
        <w:tabs>
          <w:tab w:val="left" w:pos="369"/>
        </w:tabs>
        <w:kinsoku w:val="0"/>
        <w:overflowPunct w:val="0"/>
        <w:spacing w:before="0"/>
        <w:ind w:left="0" w:firstLine="0"/>
        <w:rPr>
          <w:sz w:val="24"/>
          <w:szCs w:val="24"/>
        </w:rPr>
      </w:pPr>
    </w:p>
    <w:p w14:paraId="4B2CC746" w14:textId="77777777" w:rsidR="008068BB" w:rsidRPr="00461AE3" w:rsidRDefault="00A46AF1" w:rsidP="008068BB">
      <w:pPr>
        <w:pStyle w:val="BodyText"/>
        <w:numPr>
          <w:ilvl w:val="1"/>
          <w:numId w:val="17"/>
        </w:numPr>
        <w:tabs>
          <w:tab w:val="left" w:pos="369"/>
        </w:tabs>
        <w:kinsoku w:val="0"/>
        <w:overflowPunct w:val="0"/>
        <w:spacing w:before="0"/>
        <w:rPr>
          <w:b/>
          <w:sz w:val="24"/>
          <w:szCs w:val="24"/>
        </w:rPr>
      </w:pPr>
      <w:r w:rsidRPr="00461AE3">
        <w:rPr>
          <w:b/>
          <w:sz w:val="24"/>
          <w:szCs w:val="24"/>
        </w:rPr>
        <w:t>Pharmacokinetics</w:t>
      </w:r>
    </w:p>
    <w:p w14:paraId="61CB05E6" w14:textId="77777777" w:rsidR="007A249E" w:rsidRPr="00461AE3" w:rsidRDefault="007A249E" w:rsidP="008068BB">
      <w:pPr>
        <w:pStyle w:val="BodyText"/>
        <w:tabs>
          <w:tab w:val="left" w:pos="369"/>
        </w:tabs>
        <w:kinsoku w:val="0"/>
        <w:overflowPunct w:val="0"/>
        <w:spacing w:before="0"/>
        <w:ind w:left="1440" w:firstLine="0"/>
        <w:rPr>
          <w:sz w:val="24"/>
          <w:szCs w:val="24"/>
        </w:rPr>
      </w:pPr>
    </w:p>
    <w:p w14:paraId="12D9B4B7" w14:textId="3F3CD948" w:rsidR="008068BB" w:rsidRPr="00461AE3" w:rsidRDefault="008068BB" w:rsidP="008068BB">
      <w:pPr>
        <w:pStyle w:val="BodyText"/>
        <w:tabs>
          <w:tab w:val="left" w:pos="369"/>
        </w:tabs>
        <w:kinsoku w:val="0"/>
        <w:overflowPunct w:val="0"/>
        <w:spacing w:before="0"/>
        <w:ind w:left="1440" w:firstLine="0"/>
        <w:rPr>
          <w:b/>
          <w:sz w:val="24"/>
          <w:szCs w:val="24"/>
        </w:rPr>
      </w:pPr>
      <w:r w:rsidRPr="00461AE3">
        <w:rPr>
          <w:sz w:val="24"/>
          <w:szCs w:val="24"/>
        </w:rPr>
        <w:t>After oral administration, OxyContin is 60–87% bioavailable and approximately 45% protein bound.</w:t>
      </w:r>
      <w:r w:rsidR="00417D78" w:rsidRPr="00461AE3">
        <w:rPr>
          <w:sz w:val="24"/>
          <w:szCs w:val="24"/>
          <w:vertAlign w:val="superscript"/>
        </w:rPr>
        <w:t>2</w:t>
      </w:r>
      <w:r w:rsidR="00417D78" w:rsidRPr="00461AE3">
        <w:rPr>
          <w:sz w:val="24"/>
          <w:szCs w:val="24"/>
        </w:rPr>
        <w:t xml:space="preserve">  Food does not seem to a</w:t>
      </w:r>
      <w:r w:rsidR="00A36979" w:rsidRPr="00461AE3">
        <w:rPr>
          <w:sz w:val="24"/>
          <w:szCs w:val="24"/>
        </w:rPr>
        <w:t>ffect the extent of absorption, and the release of the medication is independent of pH.  Plasma concentrations reach steady state with</w:t>
      </w:r>
      <w:r w:rsidR="00041BDC" w:rsidRPr="00461AE3">
        <w:rPr>
          <w:sz w:val="24"/>
          <w:szCs w:val="24"/>
        </w:rPr>
        <w:t>in 24–36 hours.  OxyContin</w:t>
      </w:r>
      <w:r w:rsidR="00A36979" w:rsidRPr="00461AE3">
        <w:rPr>
          <w:sz w:val="24"/>
          <w:szCs w:val="24"/>
        </w:rPr>
        <w:t xml:space="preserve"> undergoes distribution to the skeletal muscle, liver</w:t>
      </w:r>
      <w:r w:rsidR="00F92C75" w:rsidRPr="00461AE3">
        <w:rPr>
          <w:sz w:val="24"/>
          <w:szCs w:val="24"/>
        </w:rPr>
        <w:t>, intestines, lungs, spleen,</w:t>
      </w:r>
      <w:r w:rsidR="00A36979" w:rsidRPr="00461AE3">
        <w:rPr>
          <w:sz w:val="24"/>
          <w:szCs w:val="24"/>
        </w:rPr>
        <w:t xml:space="preserve"> central nervous system</w:t>
      </w:r>
      <w:r w:rsidR="00F92C75" w:rsidRPr="00461AE3">
        <w:rPr>
          <w:sz w:val="24"/>
          <w:szCs w:val="24"/>
        </w:rPr>
        <w:t>, and has even been present in breast milk</w:t>
      </w:r>
      <w:r w:rsidR="00A36979" w:rsidRPr="00461AE3">
        <w:rPr>
          <w:sz w:val="24"/>
          <w:szCs w:val="24"/>
        </w:rPr>
        <w:t xml:space="preserve">. </w:t>
      </w:r>
      <w:r w:rsidR="00041BDC" w:rsidRPr="00461AE3">
        <w:rPr>
          <w:sz w:val="24"/>
          <w:szCs w:val="24"/>
        </w:rPr>
        <w:t xml:space="preserve"> This medication</w:t>
      </w:r>
      <w:r w:rsidR="00F92C75" w:rsidRPr="00461AE3">
        <w:rPr>
          <w:sz w:val="24"/>
          <w:szCs w:val="24"/>
        </w:rPr>
        <w:t xml:space="preserve"> is metabolized in the liver by cytochrome</w:t>
      </w:r>
      <w:r w:rsidR="000422F1" w:rsidRPr="00461AE3">
        <w:rPr>
          <w:sz w:val="24"/>
          <w:szCs w:val="24"/>
        </w:rPr>
        <w:t xml:space="preserve"> P450 enzymes, specifically CYP3A4 and CYP</w:t>
      </w:r>
      <w:r w:rsidR="00F92C75" w:rsidRPr="00461AE3">
        <w:rPr>
          <w:sz w:val="24"/>
          <w:szCs w:val="24"/>
        </w:rPr>
        <w:t xml:space="preserve">2D6, to weaker metabolites such as </w:t>
      </w:r>
      <w:r w:rsidR="00343039" w:rsidRPr="00461AE3">
        <w:rPr>
          <w:sz w:val="24"/>
          <w:szCs w:val="24"/>
        </w:rPr>
        <w:t>noroxycodone, noroxymorphone, and oxymorphone.  It is then excreted in the urine.</w:t>
      </w:r>
      <w:r w:rsidR="00041BDC" w:rsidRPr="00461AE3">
        <w:rPr>
          <w:sz w:val="24"/>
          <w:szCs w:val="24"/>
        </w:rPr>
        <w:t xml:space="preserve">  The half-life of this extended-release formulation is approximately 4.5 hours.</w:t>
      </w:r>
      <w:r w:rsidR="00F41A51" w:rsidRPr="00461AE3">
        <w:rPr>
          <w:sz w:val="24"/>
          <w:szCs w:val="24"/>
        </w:rPr>
        <w:t xml:space="preserve">  Hepatic insufficiency results in higher drug concentrations and longer half-life, and renal insufficiency results in decreased drug clearance</w:t>
      </w:r>
      <w:r w:rsidR="00763128" w:rsidRPr="00461AE3">
        <w:rPr>
          <w:sz w:val="24"/>
          <w:szCs w:val="24"/>
        </w:rPr>
        <w:t>.</w:t>
      </w:r>
      <w:r w:rsidR="009435CC" w:rsidRPr="00461AE3">
        <w:rPr>
          <w:sz w:val="24"/>
          <w:szCs w:val="24"/>
        </w:rPr>
        <w:t xml:space="preserve">  There may be only minimal differences </w:t>
      </w:r>
      <w:r w:rsidR="00A37A0D" w:rsidRPr="00461AE3">
        <w:rPr>
          <w:sz w:val="24"/>
          <w:szCs w:val="24"/>
        </w:rPr>
        <w:t>in geriatric and pediatric populations.</w:t>
      </w:r>
    </w:p>
    <w:p w14:paraId="6ED21B14" w14:textId="77777777" w:rsidR="00563A17" w:rsidRPr="00461AE3" w:rsidRDefault="00563A17" w:rsidP="00A37A0D">
      <w:pPr>
        <w:kinsoku w:val="0"/>
        <w:overflowPunct w:val="0"/>
      </w:pPr>
    </w:p>
    <w:p w14:paraId="3A222900" w14:textId="24140FCD" w:rsidR="00A37A0D" w:rsidRPr="00461AE3" w:rsidRDefault="00031135" w:rsidP="00A37A0D">
      <w:pPr>
        <w:numPr>
          <w:ilvl w:val="1"/>
          <w:numId w:val="17"/>
        </w:numPr>
        <w:rPr>
          <w:b/>
        </w:rPr>
      </w:pPr>
      <w:r w:rsidRPr="00461AE3">
        <w:rPr>
          <w:b/>
        </w:rPr>
        <w:t>Dosage F</w:t>
      </w:r>
      <w:r w:rsidR="00767C83" w:rsidRPr="00461AE3">
        <w:rPr>
          <w:b/>
        </w:rPr>
        <w:t>orms</w:t>
      </w:r>
    </w:p>
    <w:p w14:paraId="67992616" w14:textId="77777777" w:rsidR="007A249E" w:rsidRPr="00461AE3" w:rsidRDefault="007A249E" w:rsidP="00A37A0D">
      <w:pPr>
        <w:ind w:left="1440"/>
      </w:pPr>
    </w:p>
    <w:p w14:paraId="5685E924" w14:textId="67EBF4E5" w:rsidR="00A37A0D" w:rsidRPr="00461AE3" w:rsidRDefault="00A37A0D" w:rsidP="00A37A0D">
      <w:pPr>
        <w:ind w:left="1440"/>
      </w:pPr>
      <w:r w:rsidRPr="00461AE3">
        <w:t xml:space="preserve">OxyContin is an extended-release formulation of oxycodone that </w:t>
      </w:r>
      <w:r w:rsidR="006C47CF" w:rsidRPr="00461AE3">
        <w:t>comes in a tablet dosage form.</w:t>
      </w:r>
      <w:r w:rsidR="006C47CF" w:rsidRPr="00461AE3">
        <w:rPr>
          <w:vertAlign w:val="superscript"/>
        </w:rPr>
        <w:t>2</w:t>
      </w:r>
      <w:r w:rsidR="006C47CF" w:rsidRPr="00461AE3">
        <w:t xml:space="preserve">  Strengths of OxyContin</w:t>
      </w:r>
      <w:r w:rsidR="003F4D2F" w:rsidRPr="00461AE3">
        <w:t xml:space="preserve">, on the market, </w:t>
      </w:r>
      <w:r w:rsidR="006C47CF" w:rsidRPr="00461AE3">
        <w:t xml:space="preserve">include the following: </w:t>
      </w:r>
      <w:r w:rsidR="003F4D2F" w:rsidRPr="00461AE3">
        <w:t>10mg, 15mg, 20mg, 30mg, 40mg, 60mg, and 80mg.  This medication should not be crushed or chewed, and it should be stored at room temperature.</w:t>
      </w:r>
    </w:p>
    <w:p w14:paraId="2FD07C53" w14:textId="77777777" w:rsidR="00563A17" w:rsidRPr="00461AE3" w:rsidRDefault="00563A17" w:rsidP="003F4D2F">
      <w:pPr>
        <w:kinsoku w:val="0"/>
        <w:overflowPunct w:val="0"/>
      </w:pPr>
    </w:p>
    <w:p w14:paraId="69998584" w14:textId="401EDCC7" w:rsidR="00BD6523" w:rsidRPr="00461AE3" w:rsidRDefault="00031135" w:rsidP="00BD6523">
      <w:pPr>
        <w:numPr>
          <w:ilvl w:val="1"/>
          <w:numId w:val="17"/>
        </w:numPr>
        <w:rPr>
          <w:b/>
        </w:rPr>
      </w:pPr>
      <w:r w:rsidRPr="00461AE3">
        <w:rPr>
          <w:b/>
        </w:rPr>
        <w:t>Dosage R</w:t>
      </w:r>
      <w:r w:rsidR="00767C83" w:rsidRPr="00461AE3">
        <w:rPr>
          <w:b/>
        </w:rPr>
        <w:t>ange</w:t>
      </w:r>
    </w:p>
    <w:p w14:paraId="44AE211F" w14:textId="77777777" w:rsidR="007A249E" w:rsidRPr="00461AE3" w:rsidRDefault="007A249E" w:rsidP="00BD6523">
      <w:pPr>
        <w:ind w:left="1440"/>
      </w:pPr>
    </w:p>
    <w:p w14:paraId="797EA14C" w14:textId="2144B395" w:rsidR="00563A17" w:rsidRPr="00461AE3" w:rsidRDefault="00C85E97" w:rsidP="00BD6523">
      <w:pPr>
        <w:ind w:left="1440"/>
      </w:pPr>
      <w:r w:rsidRPr="00461AE3">
        <w:t>Dosing of OxyContin is individualized and differs from one patient to another.</w:t>
      </w:r>
      <w:r w:rsidR="00AA2917" w:rsidRPr="00461AE3">
        <w:rPr>
          <w:vertAlign w:val="superscript"/>
        </w:rPr>
        <w:t>2</w:t>
      </w:r>
      <w:r w:rsidRPr="00461AE3">
        <w:t xml:space="preserve">  </w:t>
      </w:r>
      <w:r w:rsidR="00F83E36" w:rsidRPr="00461AE3">
        <w:t xml:space="preserve">The 60mg and 80mg </w:t>
      </w:r>
      <w:r w:rsidR="00AA2917" w:rsidRPr="00461AE3">
        <w:t xml:space="preserve">extended-release </w:t>
      </w:r>
      <w:r w:rsidR="00F83E36" w:rsidRPr="00461AE3">
        <w:t>tablets should only be provided to opioid-tolerant patients.  Furthermore, t</w:t>
      </w:r>
      <w:r w:rsidR="003E2819" w:rsidRPr="00461AE3">
        <w:t>otal daily dose</w:t>
      </w:r>
      <w:r w:rsidRPr="00461AE3">
        <w:t>s that are</w:t>
      </w:r>
      <w:r w:rsidR="003E2819" w:rsidRPr="00461AE3">
        <w:t xml:space="preserve"> greater than 80 mg</w:t>
      </w:r>
      <w:r w:rsidRPr="00461AE3">
        <w:t xml:space="preserve"> should only be used in opioid-tolerant patients.  For opioid-naive patients, </w:t>
      </w:r>
      <w:r w:rsidR="00F83E36" w:rsidRPr="00461AE3">
        <w:t xml:space="preserve">an initial dose of 10 mg every 12 hours may be </w:t>
      </w:r>
      <w:r w:rsidR="007A249E" w:rsidRPr="00461AE3">
        <w:t>administered</w:t>
      </w:r>
      <w:r w:rsidR="00F83E36" w:rsidRPr="00461AE3">
        <w:t>.  Dosage strength</w:t>
      </w:r>
      <w:r w:rsidR="00AA2917" w:rsidRPr="00461AE3">
        <w:t xml:space="preserve"> may be titrated up gradually every few days, if necessary, as the patient begins to tolerate side effects.  </w:t>
      </w:r>
      <w:r w:rsidRPr="00461AE3">
        <w:t>OxyContin can be used in</w:t>
      </w:r>
      <w:r w:rsidR="00A56FA6" w:rsidRPr="00461AE3">
        <w:t xml:space="preserve"> </w:t>
      </w:r>
      <w:r w:rsidR="00AA2917" w:rsidRPr="00461AE3">
        <w:t xml:space="preserve">the geriatric population and in </w:t>
      </w:r>
      <w:r w:rsidR="00A56FA6" w:rsidRPr="00461AE3">
        <w:t>children</w:t>
      </w:r>
      <w:r w:rsidRPr="00461AE3">
        <w:t xml:space="preserve"> of the age 11 or older.  Requirements for prescribing OxyContin for children include opioid exposure for at least 5 consecutive days and a minimum of 20 mg per day of oxycodone for 2 days immediately prior to starting OxyContin.</w:t>
      </w:r>
      <w:r w:rsidR="00AA2917" w:rsidRPr="00461AE3">
        <w:t xml:space="preserve">  In </w:t>
      </w:r>
      <w:r w:rsidR="00421D7C" w:rsidRPr="00461AE3">
        <w:t xml:space="preserve">the presence of </w:t>
      </w:r>
      <w:r w:rsidR="00AA2917" w:rsidRPr="00461AE3">
        <w:t xml:space="preserve">hepatic or renal insufficiency, </w:t>
      </w:r>
      <w:r w:rsidR="00421D7C" w:rsidRPr="00461AE3">
        <w:t xml:space="preserve">patients should start with a low dose and titrate </w:t>
      </w:r>
      <w:r w:rsidR="007A249E" w:rsidRPr="00461AE3">
        <w:lastRenderedPageBreak/>
        <w:t xml:space="preserve">up </w:t>
      </w:r>
      <w:r w:rsidR="00421D7C" w:rsidRPr="00461AE3">
        <w:t>carefully, since plasma concentrations of this drug may be increased.  OxyContin is administered every 12 hours, so it may be taken in the morning and in the evening.</w:t>
      </w:r>
      <w:r w:rsidR="00571FF9" w:rsidRPr="00461AE3">
        <w:t xml:space="preserve">  It ma</w:t>
      </w:r>
      <w:r w:rsidR="00BD6523" w:rsidRPr="00461AE3">
        <w:t>y be taken with or without food, and patients should avoid alcohol consumption.</w:t>
      </w:r>
      <w:r w:rsidR="00571FF9" w:rsidRPr="00461AE3">
        <w:t xml:space="preserve">  </w:t>
      </w:r>
      <w:r w:rsidR="000422F1" w:rsidRPr="00461AE3">
        <w:t>Since it is metabolized by CYP3A4, medications that induce CYP3A4 can decrease the efficacy of OxyContin, while inhibitors of CYP3A4 can increase its plasma concentration and increase risk of side effects.  Therefore, presence of these enzyme inducers or inhibitors may warrant dose adjustments.</w:t>
      </w:r>
    </w:p>
    <w:p w14:paraId="562AFFD0" w14:textId="77777777" w:rsidR="00571FF9" w:rsidRPr="00461AE3" w:rsidRDefault="00571FF9" w:rsidP="00571FF9">
      <w:pPr>
        <w:pStyle w:val="BodyText"/>
        <w:tabs>
          <w:tab w:val="left" w:pos="369"/>
        </w:tabs>
        <w:kinsoku w:val="0"/>
        <w:overflowPunct w:val="0"/>
        <w:spacing w:before="0"/>
        <w:ind w:left="0" w:firstLine="0"/>
        <w:rPr>
          <w:sz w:val="24"/>
          <w:szCs w:val="24"/>
        </w:rPr>
      </w:pPr>
    </w:p>
    <w:p w14:paraId="5F0973E2" w14:textId="11FAF676" w:rsidR="00BD6523" w:rsidRPr="00461AE3" w:rsidRDefault="00031135" w:rsidP="00BD6523">
      <w:pPr>
        <w:pStyle w:val="Heading1"/>
        <w:numPr>
          <w:ilvl w:val="1"/>
          <w:numId w:val="17"/>
        </w:numPr>
        <w:kinsoku w:val="0"/>
        <w:overflowPunct w:val="0"/>
        <w:rPr>
          <w:rFonts w:ascii="Times New Roman" w:hAnsi="Times New Roman" w:cs="Times New Roman"/>
          <w:sz w:val="24"/>
          <w:szCs w:val="24"/>
        </w:rPr>
      </w:pPr>
      <w:r w:rsidRPr="00461AE3">
        <w:rPr>
          <w:rFonts w:ascii="Times New Roman" w:hAnsi="Times New Roman" w:cs="Times New Roman"/>
          <w:sz w:val="24"/>
          <w:szCs w:val="24"/>
        </w:rPr>
        <w:t>Adverse E</w:t>
      </w:r>
      <w:r w:rsidR="00BD6523" w:rsidRPr="00461AE3">
        <w:rPr>
          <w:rFonts w:ascii="Times New Roman" w:hAnsi="Times New Roman" w:cs="Times New Roman"/>
          <w:sz w:val="24"/>
          <w:szCs w:val="24"/>
        </w:rPr>
        <w:t>ffects</w:t>
      </w:r>
    </w:p>
    <w:p w14:paraId="6739708F" w14:textId="77777777" w:rsidR="007A249E" w:rsidRPr="00461AE3" w:rsidRDefault="007A249E" w:rsidP="00BD6523">
      <w:pPr>
        <w:ind w:left="1440"/>
      </w:pPr>
    </w:p>
    <w:p w14:paraId="6AC539E2" w14:textId="11B58812" w:rsidR="00BD6523" w:rsidRPr="00461AE3" w:rsidRDefault="00996BD7" w:rsidP="00BD6523">
      <w:pPr>
        <w:ind w:left="1440"/>
      </w:pPr>
      <w:r w:rsidRPr="00461AE3">
        <w:t>The c</w:t>
      </w:r>
      <w:r w:rsidR="00BD6523" w:rsidRPr="00461AE3">
        <w:t xml:space="preserve">ommon adverse effects of OxyContin </w:t>
      </w:r>
      <w:r w:rsidRPr="00461AE3">
        <w:t>tend to be gastrointestinal in nature, including</w:t>
      </w:r>
      <w:r w:rsidR="00BD6523" w:rsidRPr="00461AE3">
        <w:t xml:space="preserve"> nause</w:t>
      </w:r>
      <w:r w:rsidRPr="00461AE3">
        <w:t>a, vomiting, stomach upset, and abdominal pain.</w:t>
      </w:r>
      <w:r w:rsidRPr="00461AE3">
        <w:rPr>
          <w:vertAlign w:val="superscript"/>
        </w:rPr>
        <w:t>2</w:t>
      </w:r>
      <w:r w:rsidRPr="00461AE3">
        <w:t xml:space="preserve">  Constipation is also a common side effect of this medication and other opiates.  </w:t>
      </w:r>
      <w:r w:rsidR="00D613B6" w:rsidRPr="00461AE3">
        <w:t>This constipation may be avoided or</w:t>
      </w:r>
      <w:r w:rsidR="009373D2" w:rsidRPr="00461AE3">
        <w:t xml:space="preserve"> relieved</w:t>
      </w:r>
      <w:r w:rsidR="00D613B6" w:rsidRPr="00461AE3">
        <w:t xml:space="preserve"> by increasing fiber intake, staying hydrated, staying active, and using laxatives as needed.  </w:t>
      </w:r>
      <w:r w:rsidRPr="00461AE3">
        <w:t xml:space="preserve">OxyContin may also cause miosis, also referred to as pinpoint pupils.  </w:t>
      </w:r>
      <w:r w:rsidR="009B18E5" w:rsidRPr="00461AE3">
        <w:t xml:space="preserve">A serious adverse reaction to OxyContin is respiratory depression, so </w:t>
      </w:r>
      <w:r w:rsidR="007A249E" w:rsidRPr="00461AE3">
        <w:t xml:space="preserve">it is suggested that this medication </w:t>
      </w:r>
      <w:r w:rsidR="009B18E5" w:rsidRPr="00461AE3">
        <w:t xml:space="preserve">be avoided in those with pulmonary diseases.  </w:t>
      </w:r>
      <w:r w:rsidRPr="00461AE3">
        <w:t>Since this is an opioid medication, addiction and dependence can</w:t>
      </w:r>
      <w:r w:rsidR="00D613B6" w:rsidRPr="00461AE3">
        <w:t xml:space="preserve"> occur.  Dependence may be physical or psychological in nature.  Fortunately, the new formulation of OxyContin supports prevention of medication abuse.</w:t>
      </w:r>
    </w:p>
    <w:p w14:paraId="2FF23A2E" w14:textId="77777777" w:rsidR="00563A17" w:rsidRPr="00461AE3" w:rsidRDefault="00563A17" w:rsidP="009373D2">
      <w:pPr>
        <w:kinsoku w:val="0"/>
        <w:overflowPunct w:val="0"/>
      </w:pPr>
    </w:p>
    <w:p w14:paraId="4F864187" w14:textId="77777777" w:rsidR="009B18E5" w:rsidRPr="00461AE3" w:rsidRDefault="00A46AF1" w:rsidP="009B18E5">
      <w:pPr>
        <w:pStyle w:val="Heading1"/>
        <w:numPr>
          <w:ilvl w:val="1"/>
          <w:numId w:val="17"/>
        </w:numPr>
        <w:kinsoku w:val="0"/>
        <w:overflowPunct w:val="0"/>
        <w:rPr>
          <w:rFonts w:ascii="Times New Roman" w:hAnsi="Times New Roman" w:cs="Times New Roman"/>
          <w:bCs w:val="0"/>
          <w:sz w:val="24"/>
          <w:szCs w:val="24"/>
        </w:rPr>
      </w:pPr>
      <w:r w:rsidRPr="00461AE3">
        <w:rPr>
          <w:rFonts w:ascii="Times New Roman" w:hAnsi="Times New Roman" w:cs="Times New Roman"/>
          <w:sz w:val="24"/>
          <w:szCs w:val="24"/>
        </w:rPr>
        <w:t>Contraindications</w:t>
      </w:r>
    </w:p>
    <w:p w14:paraId="21A01709" w14:textId="77777777" w:rsidR="007A249E" w:rsidRPr="00461AE3" w:rsidRDefault="007A249E" w:rsidP="003F7B43">
      <w:pPr>
        <w:pStyle w:val="Heading1"/>
        <w:kinsoku w:val="0"/>
        <w:overflowPunct w:val="0"/>
        <w:ind w:left="1440"/>
        <w:rPr>
          <w:rFonts w:ascii="Times New Roman" w:hAnsi="Times New Roman" w:cs="Times New Roman"/>
          <w:b w:val="0"/>
          <w:sz w:val="24"/>
          <w:szCs w:val="24"/>
        </w:rPr>
      </w:pPr>
    </w:p>
    <w:p w14:paraId="202FFB23" w14:textId="099A05A2" w:rsidR="00A46AF1" w:rsidRPr="00461AE3" w:rsidRDefault="009B18E5" w:rsidP="003F7B43">
      <w:pPr>
        <w:pStyle w:val="Heading1"/>
        <w:kinsoku w:val="0"/>
        <w:overflowPunct w:val="0"/>
        <w:ind w:left="1440"/>
        <w:rPr>
          <w:rFonts w:ascii="Times New Roman" w:hAnsi="Times New Roman" w:cs="Times New Roman"/>
          <w:b w:val="0"/>
          <w:sz w:val="24"/>
          <w:szCs w:val="24"/>
        </w:rPr>
      </w:pPr>
      <w:r w:rsidRPr="00461AE3">
        <w:rPr>
          <w:rFonts w:ascii="Times New Roman" w:hAnsi="Times New Roman" w:cs="Times New Roman"/>
          <w:b w:val="0"/>
          <w:sz w:val="24"/>
          <w:szCs w:val="24"/>
        </w:rPr>
        <w:t xml:space="preserve">OxyContin should be avoided in patients with </w:t>
      </w:r>
      <w:r w:rsidR="00566B54" w:rsidRPr="00461AE3">
        <w:rPr>
          <w:rFonts w:ascii="Times New Roman" w:hAnsi="Times New Roman" w:cs="Times New Roman"/>
          <w:b w:val="0"/>
          <w:sz w:val="24"/>
          <w:szCs w:val="24"/>
        </w:rPr>
        <w:t xml:space="preserve">gastrointestinal obstruction or </w:t>
      </w:r>
      <w:r w:rsidRPr="00461AE3">
        <w:rPr>
          <w:rFonts w:ascii="Times New Roman" w:hAnsi="Times New Roman" w:cs="Times New Roman"/>
          <w:b w:val="0"/>
          <w:sz w:val="24"/>
          <w:szCs w:val="24"/>
        </w:rPr>
        <w:t xml:space="preserve">decreased </w:t>
      </w:r>
      <w:r w:rsidR="00566B54" w:rsidRPr="00461AE3">
        <w:rPr>
          <w:rFonts w:ascii="Times New Roman" w:hAnsi="Times New Roman" w:cs="Times New Roman"/>
          <w:b w:val="0"/>
          <w:sz w:val="24"/>
          <w:szCs w:val="24"/>
        </w:rPr>
        <w:t xml:space="preserve">GI </w:t>
      </w:r>
      <w:r w:rsidRPr="00461AE3">
        <w:rPr>
          <w:rFonts w:ascii="Times New Roman" w:hAnsi="Times New Roman" w:cs="Times New Roman"/>
          <w:b w:val="0"/>
          <w:sz w:val="24"/>
          <w:szCs w:val="24"/>
        </w:rPr>
        <w:t>motility</w:t>
      </w:r>
      <w:r w:rsidR="00566B54" w:rsidRPr="00461AE3">
        <w:rPr>
          <w:rFonts w:ascii="Times New Roman" w:hAnsi="Times New Roman" w:cs="Times New Roman"/>
          <w:b w:val="0"/>
          <w:sz w:val="24"/>
          <w:szCs w:val="24"/>
        </w:rPr>
        <w:t>, since this medication can further contribute to these conditions.</w:t>
      </w:r>
      <w:r w:rsidR="00566B54" w:rsidRPr="00461AE3">
        <w:rPr>
          <w:rFonts w:ascii="Times New Roman" w:hAnsi="Times New Roman" w:cs="Times New Roman"/>
          <w:b w:val="0"/>
          <w:sz w:val="24"/>
          <w:szCs w:val="24"/>
          <w:vertAlign w:val="superscript"/>
        </w:rPr>
        <w:t>2</w:t>
      </w:r>
      <w:r w:rsidR="00566B54" w:rsidRPr="00461AE3">
        <w:rPr>
          <w:rFonts w:ascii="Times New Roman" w:hAnsi="Times New Roman" w:cs="Times New Roman"/>
          <w:b w:val="0"/>
          <w:sz w:val="24"/>
          <w:szCs w:val="24"/>
        </w:rPr>
        <w:t xml:space="preserve">  Due to the black box warning concerning respiratory depression, this medication should also be avoided in patients with pulmonary diseases or </w:t>
      </w:r>
      <w:r w:rsidR="003F7B43" w:rsidRPr="00461AE3">
        <w:rPr>
          <w:rFonts w:ascii="Times New Roman" w:hAnsi="Times New Roman" w:cs="Times New Roman"/>
          <w:b w:val="0"/>
          <w:sz w:val="24"/>
          <w:szCs w:val="24"/>
        </w:rPr>
        <w:t xml:space="preserve">those with acute or severe </w:t>
      </w:r>
      <w:r w:rsidR="00566B54" w:rsidRPr="00461AE3">
        <w:rPr>
          <w:rFonts w:ascii="Times New Roman" w:hAnsi="Times New Roman" w:cs="Times New Roman"/>
          <w:b w:val="0"/>
          <w:sz w:val="24"/>
          <w:szCs w:val="24"/>
        </w:rPr>
        <w:t>asthma.</w:t>
      </w:r>
      <w:r w:rsidR="003F7B43" w:rsidRPr="00461AE3">
        <w:rPr>
          <w:rFonts w:ascii="Times New Roman" w:hAnsi="Times New Roman" w:cs="Times New Roman"/>
          <w:b w:val="0"/>
          <w:sz w:val="24"/>
          <w:szCs w:val="24"/>
        </w:rPr>
        <w:t xml:space="preserve">  Caution should be taken when dosing and titrating doses for opioid-naive patients.</w:t>
      </w:r>
      <w:r w:rsidR="00585381" w:rsidRPr="00461AE3">
        <w:rPr>
          <w:rFonts w:ascii="Times New Roman" w:hAnsi="Times New Roman" w:cs="Times New Roman"/>
          <w:b w:val="0"/>
          <w:sz w:val="24"/>
          <w:szCs w:val="24"/>
        </w:rPr>
        <w:t xml:space="preserve">  Another important precaution is overdose, especially because of the abuse potential and dependence associated with this medication.</w:t>
      </w:r>
    </w:p>
    <w:p w14:paraId="5F4A947F" w14:textId="77777777" w:rsidR="007A249E" w:rsidRPr="00461AE3" w:rsidRDefault="007A249E" w:rsidP="000F1FAA">
      <w:pPr>
        <w:pStyle w:val="BodyText"/>
        <w:tabs>
          <w:tab w:val="left" w:pos="369"/>
        </w:tabs>
        <w:kinsoku w:val="0"/>
        <w:overflowPunct w:val="0"/>
        <w:spacing w:before="0"/>
        <w:ind w:left="630" w:firstLine="0"/>
        <w:rPr>
          <w:b/>
          <w:sz w:val="24"/>
          <w:szCs w:val="24"/>
          <w:u w:val="single"/>
        </w:rPr>
      </w:pPr>
    </w:p>
    <w:p w14:paraId="19549AE2" w14:textId="16102BA9" w:rsidR="00563A17" w:rsidRPr="00461AE3" w:rsidRDefault="00563A17" w:rsidP="00585381">
      <w:pPr>
        <w:pStyle w:val="BodyText"/>
        <w:numPr>
          <w:ilvl w:val="1"/>
          <w:numId w:val="17"/>
        </w:numPr>
        <w:tabs>
          <w:tab w:val="left" w:pos="369"/>
        </w:tabs>
        <w:kinsoku w:val="0"/>
        <w:overflowPunct w:val="0"/>
        <w:spacing w:before="0"/>
        <w:rPr>
          <w:b/>
          <w:sz w:val="24"/>
          <w:szCs w:val="24"/>
        </w:rPr>
      </w:pPr>
      <w:r w:rsidRPr="00461AE3">
        <w:rPr>
          <w:b/>
          <w:sz w:val="24"/>
          <w:szCs w:val="24"/>
        </w:rPr>
        <w:t>Toxicities</w:t>
      </w:r>
    </w:p>
    <w:p w14:paraId="15A07C21" w14:textId="77777777" w:rsidR="007A249E" w:rsidRPr="00461AE3" w:rsidRDefault="007A249E" w:rsidP="00585381">
      <w:pPr>
        <w:pStyle w:val="BodyText"/>
        <w:tabs>
          <w:tab w:val="left" w:pos="369"/>
        </w:tabs>
        <w:kinsoku w:val="0"/>
        <w:overflowPunct w:val="0"/>
        <w:spacing w:before="0"/>
        <w:ind w:left="1440" w:firstLine="0"/>
        <w:rPr>
          <w:sz w:val="24"/>
          <w:szCs w:val="24"/>
        </w:rPr>
      </w:pPr>
    </w:p>
    <w:p w14:paraId="0567ABDE" w14:textId="63ACA179" w:rsidR="00585381" w:rsidRPr="00461AE3" w:rsidRDefault="00585381" w:rsidP="00585381">
      <w:pPr>
        <w:pStyle w:val="BodyText"/>
        <w:tabs>
          <w:tab w:val="left" w:pos="369"/>
        </w:tabs>
        <w:kinsoku w:val="0"/>
        <w:overflowPunct w:val="0"/>
        <w:spacing w:before="0"/>
        <w:ind w:left="1440" w:firstLine="0"/>
        <w:rPr>
          <w:sz w:val="24"/>
          <w:szCs w:val="24"/>
        </w:rPr>
      </w:pPr>
      <w:r w:rsidRPr="00461AE3">
        <w:rPr>
          <w:sz w:val="24"/>
          <w:szCs w:val="24"/>
        </w:rPr>
        <w:t>The FDA has categorized OxyContin as a pregnancy category B medication.</w:t>
      </w:r>
      <w:r w:rsidRPr="00461AE3">
        <w:rPr>
          <w:sz w:val="24"/>
          <w:szCs w:val="24"/>
          <w:vertAlign w:val="superscript"/>
        </w:rPr>
        <w:t>2</w:t>
      </w:r>
      <w:r w:rsidRPr="00461AE3">
        <w:rPr>
          <w:sz w:val="24"/>
          <w:szCs w:val="24"/>
        </w:rPr>
        <w:t xml:space="preserve"> </w:t>
      </w:r>
      <w:r w:rsidR="006A0699" w:rsidRPr="00461AE3">
        <w:rPr>
          <w:sz w:val="24"/>
          <w:szCs w:val="24"/>
        </w:rPr>
        <w:t xml:space="preserve"> Congenital defects have not been reported, but there have been no well-controlled human studies in pregnant women regarding this med</w:t>
      </w:r>
      <w:r w:rsidR="00922643" w:rsidRPr="00461AE3">
        <w:rPr>
          <w:sz w:val="24"/>
          <w:szCs w:val="24"/>
        </w:rPr>
        <w:t>ication.  However, it is suggested</w:t>
      </w:r>
      <w:r w:rsidR="006A0699" w:rsidRPr="00461AE3">
        <w:rPr>
          <w:sz w:val="24"/>
          <w:szCs w:val="24"/>
        </w:rPr>
        <w:t xml:space="preserve"> that this medication should be avoided in high doses close to labor</w:t>
      </w:r>
      <w:r w:rsidR="00AB778D" w:rsidRPr="00461AE3">
        <w:rPr>
          <w:sz w:val="24"/>
          <w:szCs w:val="24"/>
        </w:rPr>
        <w:t>, since it could increase risk of respiratory depression in the newborn</w:t>
      </w:r>
      <w:r w:rsidR="006A0699" w:rsidRPr="00461AE3">
        <w:rPr>
          <w:sz w:val="24"/>
          <w:szCs w:val="24"/>
        </w:rPr>
        <w:t xml:space="preserve">.  </w:t>
      </w:r>
      <w:r w:rsidR="00AB778D" w:rsidRPr="00461AE3">
        <w:rPr>
          <w:sz w:val="24"/>
          <w:szCs w:val="24"/>
        </w:rPr>
        <w:t>Neonatal opioid withdrawal syndrome is also a concer</w:t>
      </w:r>
      <w:r w:rsidR="00C62418" w:rsidRPr="00461AE3">
        <w:rPr>
          <w:sz w:val="24"/>
          <w:szCs w:val="24"/>
        </w:rPr>
        <w:t>n in the presence of prolonged exposure to opiates during pregnancy.</w:t>
      </w:r>
      <w:r w:rsidR="00AB778D" w:rsidRPr="00461AE3">
        <w:rPr>
          <w:sz w:val="24"/>
          <w:szCs w:val="24"/>
        </w:rPr>
        <w:t xml:space="preserve"> </w:t>
      </w:r>
      <w:r w:rsidR="00C62418" w:rsidRPr="00461AE3">
        <w:rPr>
          <w:sz w:val="24"/>
          <w:szCs w:val="24"/>
        </w:rPr>
        <w:t xml:space="preserve"> Due to its distribution into breast milk, OxyContin is not recommended in nursing mothers.  If a mother is taking this medication, discontinuation of breast-feeding may lead to withdrawal symptoms in the child.</w:t>
      </w:r>
    </w:p>
    <w:p w14:paraId="284481CE" w14:textId="77777777" w:rsidR="00563A17" w:rsidRPr="00461AE3" w:rsidRDefault="00563A17" w:rsidP="00C62418">
      <w:pPr>
        <w:kinsoku w:val="0"/>
        <w:overflowPunct w:val="0"/>
      </w:pPr>
    </w:p>
    <w:p w14:paraId="332389D4" w14:textId="671F443A" w:rsidR="0039378A" w:rsidRPr="00461AE3" w:rsidRDefault="00031135" w:rsidP="0039378A">
      <w:pPr>
        <w:pStyle w:val="Heading1"/>
        <w:numPr>
          <w:ilvl w:val="1"/>
          <w:numId w:val="17"/>
        </w:numPr>
        <w:kinsoku w:val="0"/>
        <w:overflowPunct w:val="0"/>
        <w:rPr>
          <w:rFonts w:ascii="Times New Roman" w:hAnsi="Times New Roman" w:cs="Times New Roman"/>
          <w:sz w:val="24"/>
          <w:szCs w:val="24"/>
        </w:rPr>
      </w:pPr>
      <w:r w:rsidRPr="00461AE3">
        <w:rPr>
          <w:rFonts w:ascii="Times New Roman" w:hAnsi="Times New Roman" w:cs="Times New Roman"/>
          <w:sz w:val="24"/>
          <w:szCs w:val="24"/>
        </w:rPr>
        <w:t>Drug I</w:t>
      </w:r>
      <w:r w:rsidR="0039378A" w:rsidRPr="00461AE3">
        <w:rPr>
          <w:rFonts w:ascii="Times New Roman" w:hAnsi="Times New Roman" w:cs="Times New Roman"/>
          <w:sz w:val="24"/>
          <w:szCs w:val="24"/>
        </w:rPr>
        <w:t>nteractions</w:t>
      </w:r>
    </w:p>
    <w:p w14:paraId="6939117C" w14:textId="77777777" w:rsidR="00922643" w:rsidRPr="00461AE3" w:rsidRDefault="00922643" w:rsidP="0039378A">
      <w:pPr>
        <w:pStyle w:val="Heading1"/>
        <w:kinsoku w:val="0"/>
        <w:overflowPunct w:val="0"/>
        <w:ind w:left="1440"/>
        <w:rPr>
          <w:rFonts w:ascii="Times New Roman" w:hAnsi="Times New Roman" w:cs="Times New Roman"/>
          <w:b w:val="0"/>
          <w:sz w:val="24"/>
          <w:szCs w:val="24"/>
        </w:rPr>
      </w:pPr>
    </w:p>
    <w:p w14:paraId="42957809" w14:textId="3105095E" w:rsidR="0039378A" w:rsidRPr="00461AE3" w:rsidRDefault="007A249E" w:rsidP="0039378A">
      <w:pPr>
        <w:pStyle w:val="Heading1"/>
        <w:kinsoku w:val="0"/>
        <w:overflowPunct w:val="0"/>
        <w:ind w:left="1440"/>
        <w:rPr>
          <w:rFonts w:ascii="Times New Roman" w:hAnsi="Times New Roman" w:cs="Times New Roman"/>
          <w:b w:val="0"/>
          <w:sz w:val="24"/>
          <w:szCs w:val="24"/>
        </w:rPr>
      </w:pPr>
      <w:r w:rsidRPr="00461AE3">
        <w:rPr>
          <w:rFonts w:ascii="Times New Roman" w:hAnsi="Times New Roman" w:cs="Times New Roman"/>
          <w:b w:val="0"/>
          <w:sz w:val="24"/>
          <w:szCs w:val="24"/>
        </w:rPr>
        <w:t>OxyContin</w:t>
      </w:r>
      <w:r w:rsidR="0039378A" w:rsidRPr="00461AE3">
        <w:rPr>
          <w:rFonts w:ascii="Times New Roman" w:hAnsi="Times New Roman" w:cs="Times New Roman"/>
          <w:b w:val="0"/>
          <w:sz w:val="24"/>
          <w:szCs w:val="24"/>
        </w:rPr>
        <w:t xml:space="preserve"> is metabolized in the liver by cytochrome P450 enzymes, specifically CYP3A4 and CYP2D6</w:t>
      </w:r>
      <w:r w:rsidRPr="00461AE3">
        <w:rPr>
          <w:rFonts w:ascii="Times New Roman" w:hAnsi="Times New Roman" w:cs="Times New Roman"/>
          <w:b w:val="0"/>
          <w:sz w:val="24"/>
          <w:szCs w:val="24"/>
        </w:rPr>
        <w:t>.</w:t>
      </w:r>
      <w:r w:rsidR="006667A5" w:rsidRPr="00461AE3">
        <w:rPr>
          <w:rFonts w:ascii="Times New Roman" w:hAnsi="Times New Roman" w:cs="Times New Roman"/>
          <w:b w:val="0"/>
          <w:sz w:val="24"/>
          <w:szCs w:val="24"/>
          <w:vertAlign w:val="superscript"/>
        </w:rPr>
        <w:t>2</w:t>
      </w:r>
      <w:r w:rsidRPr="00461AE3">
        <w:rPr>
          <w:rFonts w:ascii="Times New Roman" w:hAnsi="Times New Roman" w:cs="Times New Roman"/>
          <w:b w:val="0"/>
          <w:sz w:val="24"/>
          <w:szCs w:val="24"/>
        </w:rPr>
        <w:t xml:space="preserve">  Therefore, it is susceptible to interactions with drugs that either induce or inhibit these enzymes.</w:t>
      </w:r>
      <w:r w:rsidR="006667A5" w:rsidRPr="00461AE3">
        <w:rPr>
          <w:rFonts w:ascii="Times New Roman" w:hAnsi="Times New Roman" w:cs="Times New Roman"/>
          <w:b w:val="0"/>
          <w:sz w:val="24"/>
          <w:szCs w:val="24"/>
        </w:rPr>
        <w:t xml:space="preserve">  Inducers of these enzymes may</w:t>
      </w:r>
      <w:r w:rsidRPr="00461AE3">
        <w:rPr>
          <w:rFonts w:ascii="Times New Roman" w:hAnsi="Times New Roman" w:cs="Times New Roman"/>
          <w:b w:val="0"/>
          <w:sz w:val="24"/>
          <w:szCs w:val="24"/>
        </w:rPr>
        <w:t xml:space="preserve"> cause this medication to be less effective</w:t>
      </w:r>
      <w:r w:rsidR="006667A5" w:rsidRPr="00461AE3">
        <w:rPr>
          <w:rFonts w:ascii="Times New Roman" w:hAnsi="Times New Roman" w:cs="Times New Roman"/>
          <w:b w:val="0"/>
          <w:sz w:val="24"/>
          <w:szCs w:val="24"/>
        </w:rPr>
        <w:t>, while inhibitors of these enzymes may result in an increase in the action of this medication and higher risk of toxicity/adverse effects.  Avoid concurrent use of OxyContin with other opioids, sedating medications, or antidiarrheal medications, since this may increase the risk and/or amplify the side effects of this medication.</w:t>
      </w:r>
      <w:r w:rsidR="00A3520A" w:rsidRPr="00461AE3">
        <w:rPr>
          <w:rFonts w:ascii="Times New Roman" w:hAnsi="Times New Roman" w:cs="Times New Roman"/>
          <w:b w:val="0"/>
          <w:sz w:val="24"/>
          <w:szCs w:val="24"/>
        </w:rPr>
        <w:t xml:space="preserve">  Alcohol consumption should be avoided while taking this medication.  Grapefruit juice should also be avoided or limited while taking this medication, since it can act as an inhibitor of CYP3A4.</w:t>
      </w:r>
    </w:p>
    <w:p w14:paraId="18FFA091" w14:textId="77777777" w:rsidR="00563A17" w:rsidRPr="00461AE3" w:rsidRDefault="00563A17" w:rsidP="00A3520A">
      <w:pPr>
        <w:kinsoku w:val="0"/>
        <w:overflowPunct w:val="0"/>
      </w:pPr>
    </w:p>
    <w:p w14:paraId="4D0DBC38" w14:textId="47EA6C6B" w:rsidR="00A259F3" w:rsidRPr="00461AE3" w:rsidRDefault="00031135" w:rsidP="00E8394A">
      <w:pPr>
        <w:numPr>
          <w:ilvl w:val="1"/>
          <w:numId w:val="17"/>
        </w:numPr>
        <w:kinsoku w:val="0"/>
        <w:overflowPunct w:val="0"/>
        <w:rPr>
          <w:b/>
        </w:rPr>
      </w:pPr>
      <w:r w:rsidRPr="00461AE3">
        <w:rPr>
          <w:b/>
        </w:rPr>
        <w:t>Patient Monitoring G</w:t>
      </w:r>
      <w:r w:rsidR="00767C83" w:rsidRPr="00461AE3">
        <w:rPr>
          <w:b/>
        </w:rPr>
        <w:t>uidelines</w:t>
      </w:r>
    </w:p>
    <w:p w14:paraId="4D60B031" w14:textId="77777777" w:rsidR="00922643" w:rsidRPr="00461AE3" w:rsidRDefault="00922643" w:rsidP="00E8394A">
      <w:pPr>
        <w:kinsoku w:val="0"/>
        <w:overflowPunct w:val="0"/>
        <w:ind w:left="1440"/>
      </w:pPr>
    </w:p>
    <w:p w14:paraId="0077400B" w14:textId="4CD559E4" w:rsidR="00563A17" w:rsidRPr="00461AE3" w:rsidRDefault="00E8394A" w:rsidP="00E8394A">
      <w:pPr>
        <w:kinsoku w:val="0"/>
        <w:overflowPunct w:val="0"/>
        <w:ind w:left="1440"/>
      </w:pPr>
      <w:r w:rsidRPr="00461AE3">
        <w:t>Monitoring parameters regarding the effectiveness of OxyContin do not include laboratory values.</w:t>
      </w:r>
      <w:r w:rsidR="00C948A9" w:rsidRPr="00461AE3">
        <w:rPr>
          <w:vertAlign w:val="superscript"/>
        </w:rPr>
        <w:t>2</w:t>
      </w:r>
      <w:r w:rsidRPr="00461AE3">
        <w:t xml:space="preserve">  Instead, effectiveness is measured based on the reduction in pain reported by the patient.  The patient may report any nausea, vomiting, stomach upset, or abdominal pain.  </w:t>
      </w:r>
      <w:r w:rsidR="00C948A9" w:rsidRPr="00461AE3">
        <w:t>Patients may monitor constipation</w:t>
      </w:r>
      <w:r w:rsidRPr="00461AE3">
        <w:t xml:space="preserve"> by tracking the duration between bowel movements.  Any changes in breathing or symptoms of withdrawal/dependence should be reported immediately.  Since OxyContin is an extended-release medication that is dosed every 12 hours, confirm that the patient is not taking </w:t>
      </w:r>
      <w:r w:rsidR="00C948A9" w:rsidRPr="00461AE3">
        <w:t>it</w:t>
      </w:r>
      <w:r w:rsidRPr="00461AE3">
        <w:t xml:space="preserve"> more than prescribed</w:t>
      </w:r>
      <w:r w:rsidR="00C948A9" w:rsidRPr="00461AE3">
        <w:t>.</w:t>
      </w:r>
    </w:p>
    <w:p w14:paraId="79E09BDE" w14:textId="77777777" w:rsidR="00563A17" w:rsidRPr="00461AE3" w:rsidRDefault="00563A17" w:rsidP="000F1FAA">
      <w:pPr>
        <w:kinsoku w:val="0"/>
        <w:overflowPunct w:val="0"/>
        <w:ind w:left="630"/>
      </w:pPr>
    </w:p>
    <w:p w14:paraId="2D364A70" w14:textId="5A2170C2" w:rsidR="00761C0C" w:rsidRPr="00461AE3" w:rsidRDefault="00767C83" w:rsidP="00761C0C">
      <w:pPr>
        <w:numPr>
          <w:ilvl w:val="1"/>
          <w:numId w:val="17"/>
        </w:numPr>
        <w:rPr>
          <w:b/>
        </w:rPr>
      </w:pPr>
      <w:r w:rsidRPr="00461AE3">
        <w:rPr>
          <w:b/>
        </w:rPr>
        <w:t>Cost Effectiveness</w:t>
      </w:r>
    </w:p>
    <w:p w14:paraId="54401423" w14:textId="77777777" w:rsidR="004B191F" w:rsidRPr="00461AE3" w:rsidRDefault="004B191F" w:rsidP="00761C0C">
      <w:pPr>
        <w:ind w:left="1440"/>
      </w:pPr>
    </w:p>
    <w:p w14:paraId="4FEFB1AB" w14:textId="73D9155F" w:rsidR="00761C0C" w:rsidRPr="00461AE3" w:rsidRDefault="00761C0C" w:rsidP="00761C0C">
      <w:pPr>
        <w:ind w:left="1440"/>
      </w:pPr>
      <w:r w:rsidRPr="00461AE3">
        <w:t xml:space="preserve">There are some other </w:t>
      </w:r>
      <w:r w:rsidR="004B191F" w:rsidRPr="00461AE3">
        <w:t xml:space="preserve">medications </w:t>
      </w:r>
      <w:r w:rsidRPr="00461AE3">
        <w:t xml:space="preserve">recently </w:t>
      </w:r>
      <w:r w:rsidR="00E45FAF" w:rsidRPr="00461AE3">
        <w:t>approved for abuse-deterrent labeling by the FDA.  Some other exampl</w:t>
      </w:r>
      <w:r w:rsidR="009E13C9" w:rsidRPr="00461AE3">
        <w:t>es include medications such as Embeda and Hysingla.</w:t>
      </w:r>
      <w:r w:rsidR="009E13C9" w:rsidRPr="00461AE3">
        <w:rPr>
          <w:vertAlign w:val="superscript"/>
        </w:rPr>
        <w:t>7,8</w:t>
      </w:r>
      <w:r w:rsidR="009E13C9" w:rsidRPr="00461AE3">
        <w:t xml:space="preserve">  When compared with OxyContin, these medicat</w:t>
      </w:r>
      <w:r w:rsidR="008F394F" w:rsidRPr="00461AE3">
        <w:t>ions cost</w:t>
      </w:r>
      <w:r w:rsidR="009E13C9" w:rsidRPr="00461AE3">
        <w:t xml:space="preserve"> around the same price.  All of these extended-release formulations tend to be more costly than immediate-release medications, given their convenient dosing schedule.  </w:t>
      </w:r>
      <w:r w:rsidR="004B191F" w:rsidRPr="00461AE3">
        <w:t>However, OxyContin is still a widely prescribed medication and is readily accessible and available in the pharmacy.</w:t>
      </w:r>
    </w:p>
    <w:p w14:paraId="34F34200" w14:textId="77777777" w:rsidR="000F1FAA" w:rsidRPr="00461AE3" w:rsidRDefault="000F1FAA" w:rsidP="000F1FAA">
      <w:pPr>
        <w:pStyle w:val="BodyText"/>
        <w:tabs>
          <w:tab w:val="left" w:pos="369"/>
        </w:tabs>
        <w:kinsoku w:val="0"/>
        <w:overflowPunct w:val="0"/>
        <w:spacing w:before="0"/>
        <w:ind w:left="990" w:right="159" w:firstLine="0"/>
        <w:rPr>
          <w:sz w:val="24"/>
          <w:szCs w:val="24"/>
        </w:rPr>
      </w:pPr>
    </w:p>
    <w:p w14:paraId="4CF9062B" w14:textId="5D89A9EE" w:rsidR="00735E02" w:rsidRPr="00461AE3" w:rsidRDefault="00F940B6" w:rsidP="00735E02">
      <w:pPr>
        <w:pStyle w:val="BodyText"/>
        <w:numPr>
          <w:ilvl w:val="1"/>
          <w:numId w:val="17"/>
        </w:numPr>
        <w:tabs>
          <w:tab w:val="left" w:pos="369"/>
        </w:tabs>
        <w:kinsoku w:val="0"/>
        <w:overflowPunct w:val="0"/>
        <w:spacing w:before="0"/>
        <w:ind w:right="159"/>
        <w:rPr>
          <w:b/>
          <w:sz w:val="24"/>
          <w:szCs w:val="24"/>
        </w:rPr>
      </w:pPr>
      <w:r w:rsidRPr="00461AE3">
        <w:rPr>
          <w:b/>
          <w:sz w:val="24"/>
          <w:szCs w:val="24"/>
        </w:rPr>
        <w:t>Data</w:t>
      </w:r>
    </w:p>
    <w:p w14:paraId="15A154A6" w14:textId="77777777" w:rsidR="00922643" w:rsidRPr="00461AE3" w:rsidRDefault="00922643" w:rsidP="008F394F">
      <w:pPr>
        <w:pStyle w:val="BodyText"/>
        <w:tabs>
          <w:tab w:val="left" w:pos="369"/>
        </w:tabs>
        <w:kinsoku w:val="0"/>
        <w:overflowPunct w:val="0"/>
        <w:spacing w:before="0"/>
        <w:ind w:left="1440" w:right="159" w:firstLine="0"/>
        <w:rPr>
          <w:sz w:val="24"/>
          <w:szCs w:val="24"/>
        </w:rPr>
      </w:pPr>
    </w:p>
    <w:p w14:paraId="0F14D257" w14:textId="5005171E" w:rsidR="00E45FAF" w:rsidRPr="00461AE3" w:rsidRDefault="00735E02" w:rsidP="008F394F">
      <w:pPr>
        <w:pStyle w:val="BodyText"/>
        <w:tabs>
          <w:tab w:val="left" w:pos="369"/>
        </w:tabs>
        <w:kinsoku w:val="0"/>
        <w:overflowPunct w:val="0"/>
        <w:spacing w:before="0"/>
        <w:ind w:left="1440" w:right="159" w:firstLine="0"/>
        <w:rPr>
          <w:sz w:val="24"/>
          <w:szCs w:val="24"/>
        </w:rPr>
      </w:pPr>
      <w:r w:rsidRPr="00461AE3">
        <w:rPr>
          <w:sz w:val="24"/>
          <w:szCs w:val="24"/>
        </w:rPr>
        <w:t xml:space="preserve">As previously stated, OxyContin is a widely used medication.  </w:t>
      </w:r>
      <w:r w:rsidR="008F394F" w:rsidRPr="00461AE3">
        <w:rPr>
          <w:sz w:val="24"/>
          <w:szCs w:val="24"/>
        </w:rPr>
        <w:t>Figures regarding this medication and its usage in the United States in 2013 demonstrate that 283,311 patients were taking this medication, 145,494 prescribers were prescribing it, there were approximately 1.92 million Medicare Part D claims, and the retail cost was approximately $945 million.</w:t>
      </w:r>
      <w:r w:rsidR="008F394F" w:rsidRPr="00461AE3">
        <w:rPr>
          <w:sz w:val="24"/>
          <w:szCs w:val="24"/>
          <w:vertAlign w:val="superscript"/>
        </w:rPr>
        <w:t>9</w:t>
      </w:r>
      <w:r w:rsidR="008F394F" w:rsidRPr="00461AE3">
        <w:rPr>
          <w:sz w:val="24"/>
          <w:szCs w:val="24"/>
        </w:rPr>
        <w:t xml:space="preserve">  </w:t>
      </w:r>
      <w:r w:rsidR="00E45FAF" w:rsidRPr="00461AE3">
        <w:rPr>
          <w:sz w:val="24"/>
          <w:szCs w:val="24"/>
        </w:rPr>
        <w:t>OxyContin is commonly prescribed for a one month supply</w:t>
      </w:r>
      <w:r w:rsidR="006D62DB" w:rsidRPr="00461AE3">
        <w:rPr>
          <w:sz w:val="24"/>
          <w:szCs w:val="24"/>
        </w:rPr>
        <w:t>, which is a quantity of 60 pills due to its twice per day dosing schedule.  Prescription monitoring programs (PMPs) are very important in regard to OxyContin, since it is a Schedule II controlled substance.</w:t>
      </w:r>
      <w:r w:rsidR="00730F6A" w:rsidRPr="00461AE3">
        <w:rPr>
          <w:sz w:val="24"/>
          <w:szCs w:val="24"/>
          <w:vertAlign w:val="superscript"/>
        </w:rPr>
        <w:t>10</w:t>
      </w:r>
      <w:r w:rsidR="006D62DB" w:rsidRPr="00461AE3">
        <w:rPr>
          <w:sz w:val="24"/>
          <w:szCs w:val="24"/>
        </w:rPr>
        <w:t xml:space="preserve">  PMPs are useful in the prevention of multiple prescriber episodes, </w:t>
      </w:r>
      <w:r w:rsidR="00730F6A" w:rsidRPr="00461AE3">
        <w:rPr>
          <w:sz w:val="24"/>
          <w:szCs w:val="24"/>
        </w:rPr>
        <w:t>cutting down on the number of patients who receive multiple prescriptions for controlled substances from multiple different prescribers.</w:t>
      </w:r>
    </w:p>
    <w:p w14:paraId="2454608B" w14:textId="77777777" w:rsidR="00767C83" w:rsidRPr="00461AE3" w:rsidRDefault="00767C83" w:rsidP="00205EF3">
      <w:pPr>
        <w:pStyle w:val="BodyText"/>
        <w:tabs>
          <w:tab w:val="left" w:pos="368"/>
        </w:tabs>
        <w:kinsoku w:val="0"/>
        <w:overflowPunct w:val="0"/>
        <w:spacing w:before="0"/>
        <w:ind w:left="0" w:firstLine="0"/>
        <w:rPr>
          <w:sz w:val="24"/>
          <w:szCs w:val="24"/>
        </w:rPr>
      </w:pPr>
    </w:p>
    <w:p w14:paraId="54086D37" w14:textId="77777777" w:rsidR="00767C83" w:rsidRPr="00461AE3" w:rsidRDefault="00767C83" w:rsidP="000F1FAA">
      <w:pPr>
        <w:pStyle w:val="BodyText"/>
        <w:numPr>
          <w:ilvl w:val="0"/>
          <w:numId w:val="17"/>
        </w:numPr>
        <w:tabs>
          <w:tab w:val="left" w:pos="368"/>
        </w:tabs>
        <w:kinsoku w:val="0"/>
        <w:overflowPunct w:val="0"/>
        <w:spacing w:before="0"/>
        <w:rPr>
          <w:b/>
          <w:sz w:val="24"/>
          <w:szCs w:val="24"/>
          <w:u w:val="single"/>
        </w:rPr>
      </w:pPr>
      <w:r w:rsidRPr="00461AE3">
        <w:rPr>
          <w:b/>
          <w:sz w:val="24"/>
          <w:szCs w:val="24"/>
          <w:u w:val="single"/>
        </w:rPr>
        <w:t>References</w:t>
      </w:r>
    </w:p>
    <w:p w14:paraId="6252C413" w14:textId="77777777" w:rsidR="000E6B75" w:rsidRPr="00461AE3" w:rsidRDefault="000E6B75" w:rsidP="00205EF3">
      <w:pPr>
        <w:pStyle w:val="BodyText"/>
        <w:tabs>
          <w:tab w:val="left" w:pos="368"/>
        </w:tabs>
        <w:kinsoku w:val="0"/>
        <w:overflowPunct w:val="0"/>
        <w:spacing w:before="0"/>
        <w:ind w:left="0" w:firstLine="0"/>
        <w:rPr>
          <w:sz w:val="24"/>
          <w:szCs w:val="24"/>
        </w:rPr>
      </w:pPr>
      <w:r w:rsidRPr="00461AE3">
        <w:rPr>
          <w:sz w:val="24"/>
          <w:szCs w:val="24"/>
        </w:rPr>
        <w:tab/>
      </w:r>
      <w:r w:rsidRPr="00461AE3">
        <w:rPr>
          <w:sz w:val="24"/>
          <w:szCs w:val="24"/>
        </w:rPr>
        <w:tab/>
      </w:r>
    </w:p>
    <w:p w14:paraId="1C38F8BA" w14:textId="4A8305AA" w:rsidR="00636ED0" w:rsidRPr="00461AE3" w:rsidRDefault="004B191F" w:rsidP="0025103D">
      <w:pPr>
        <w:pStyle w:val="ListParagraph"/>
        <w:numPr>
          <w:ilvl w:val="0"/>
          <w:numId w:val="30"/>
        </w:numPr>
        <w:kinsoku w:val="0"/>
        <w:overflowPunct w:val="0"/>
      </w:pPr>
      <w:r w:rsidRPr="00461AE3">
        <w:t xml:space="preserve">U.S. Food and Drug Administration. </w:t>
      </w:r>
      <w:r w:rsidR="0025103D" w:rsidRPr="00461AE3">
        <w:rPr>
          <w:bCs/>
          <w:color w:val="262626"/>
        </w:rPr>
        <w:t xml:space="preserve">FDA approves abuse-deterrent labeling for reformulated OxyContin. 2013. Available at: </w:t>
      </w:r>
      <w:r w:rsidR="00636ED0" w:rsidRPr="00461AE3">
        <w:t>http://www.fda.gov/NewsEvents/Newsroom/PressAnnouncements/ucm348252.htm</w:t>
      </w:r>
      <w:r w:rsidR="00730F6A" w:rsidRPr="00461AE3">
        <w:t>.</w:t>
      </w:r>
    </w:p>
    <w:p w14:paraId="50AAB9A8" w14:textId="18C1F332" w:rsidR="00636ED0" w:rsidRPr="00461AE3" w:rsidRDefault="0025103D" w:rsidP="00636ED0">
      <w:pPr>
        <w:pStyle w:val="ListParagraph"/>
        <w:numPr>
          <w:ilvl w:val="0"/>
          <w:numId w:val="30"/>
        </w:numPr>
        <w:kinsoku w:val="0"/>
        <w:overflowPunct w:val="0"/>
      </w:pPr>
      <w:r w:rsidRPr="00461AE3">
        <w:t xml:space="preserve">Gold Standard, Inc. Oxycodone. </w:t>
      </w:r>
      <w:r w:rsidR="00BF704D" w:rsidRPr="00461AE3">
        <w:t>Clinical Pharmacology</w:t>
      </w:r>
      <w:r w:rsidRPr="00461AE3">
        <w:t xml:space="preserve"> [database online]. Accessed: October 24, </w:t>
      </w:r>
      <w:r w:rsidR="00EA6D54" w:rsidRPr="00461AE3">
        <w:t>2015.</w:t>
      </w:r>
    </w:p>
    <w:p w14:paraId="20D04889" w14:textId="1CBC135A" w:rsidR="00BF704D" w:rsidRPr="00461AE3" w:rsidRDefault="00EA6D54" w:rsidP="00636ED0">
      <w:pPr>
        <w:pStyle w:val="ListParagraph"/>
        <w:numPr>
          <w:ilvl w:val="0"/>
          <w:numId w:val="30"/>
        </w:numPr>
        <w:kinsoku w:val="0"/>
        <w:overflowPunct w:val="0"/>
      </w:pPr>
      <w:r w:rsidRPr="00461AE3">
        <w:t xml:space="preserve">Schaeffer T. Abuse-deterrent formulations, an evolving technology against the abuse and misuse of opioid analgesics. </w:t>
      </w:r>
      <w:r w:rsidR="003D70D1" w:rsidRPr="00461AE3">
        <w:t>J Med Toxicol. 2012;8:400-7. doi:10.1007/s13181-012-0270-y.</w:t>
      </w:r>
    </w:p>
    <w:p w14:paraId="01CDFFF7" w14:textId="2EE234A2" w:rsidR="00BF704D" w:rsidRPr="00461AE3" w:rsidRDefault="003D70D1" w:rsidP="00636ED0">
      <w:pPr>
        <w:pStyle w:val="ListParagraph"/>
        <w:numPr>
          <w:ilvl w:val="0"/>
          <w:numId w:val="30"/>
        </w:numPr>
        <w:kinsoku w:val="0"/>
        <w:overflowPunct w:val="0"/>
      </w:pPr>
      <w:r w:rsidRPr="00461AE3">
        <w:t>Rosenblum A, Marsch LA, Joseph H, Portenoy RK. Opioids and the treatment of chronic pain: controversies, current status, and future directions. Exp Clin Psychopharmacol. 2008;16:405-16. doi:</w:t>
      </w:r>
      <w:hyperlink r:id="rId9" w:history="1">
        <w:r w:rsidRPr="00461AE3">
          <w:t>10.1037/a0013628</w:t>
        </w:r>
      </w:hyperlink>
      <w:r w:rsidRPr="00461AE3">
        <w:t>.</w:t>
      </w:r>
    </w:p>
    <w:p w14:paraId="502AB314" w14:textId="4F11AB7B" w:rsidR="007A2768" w:rsidRPr="00461AE3" w:rsidRDefault="000913E4" w:rsidP="00636ED0">
      <w:pPr>
        <w:pStyle w:val="ListParagraph"/>
        <w:numPr>
          <w:ilvl w:val="0"/>
          <w:numId w:val="30"/>
        </w:numPr>
        <w:kinsoku w:val="0"/>
        <w:overflowPunct w:val="0"/>
      </w:pPr>
      <w:r w:rsidRPr="00461AE3">
        <w:t>Degenhardt L, Bruno R, Ali R, Lintzeris N, Farrell M, Larance B. The introduction of a potentially abuse deterrent oxycodone formulation: early findings from the Australian National Opioid Medications Abuse Deterrence (NOMAD) study. Drug Alcohol Depend. 2015;151:56-67. doi:10.1016/j.drugalcdep.2015.02.038.</w:t>
      </w:r>
    </w:p>
    <w:p w14:paraId="094ACDC8" w14:textId="51810270" w:rsidR="0012098E" w:rsidRPr="00461AE3" w:rsidRDefault="000913E4" w:rsidP="00636ED0">
      <w:pPr>
        <w:pStyle w:val="ListParagraph"/>
        <w:numPr>
          <w:ilvl w:val="0"/>
          <w:numId w:val="30"/>
        </w:numPr>
        <w:kinsoku w:val="0"/>
        <w:overflowPunct w:val="0"/>
      </w:pPr>
      <w:r w:rsidRPr="00461AE3">
        <w:t>Sessler NE, Downing JM, Kale H, Chilcoat HD, Baumgartner TF, Coplan PM. Reductions in reported deaths following the introduction of extended-release oxycodone (OxyContin) with an abuse-deterrent formulation. Pharmacoepidemiol Drug Saf. 2014;23:1238-46. doi:10.1002/pds.3658.</w:t>
      </w:r>
    </w:p>
    <w:p w14:paraId="3E4F2324" w14:textId="5571690D" w:rsidR="0012098E" w:rsidRPr="00461AE3" w:rsidRDefault="000913E4" w:rsidP="00636ED0">
      <w:pPr>
        <w:pStyle w:val="ListParagraph"/>
        <w:numPr>
          <w:ilvl w:val="0"/>
          <w:numId w:val="30"/>
        </w:numPr>
        <w:kinsoku w:val="0"/>
        <w:overflowPunct w:val="0"/>
      </w:pPr>
      <w:r w:rsidRPr="00461AE3">
        <w:t xml:space="preserve">U.S. Food and Drug Administration. FDA approves extended-release, single-entity hydrocodone product with abuse-deterrent properties. 2014. Available at: </w:t>
      </w:r>
      <w:r w:rsidR="009E13C9" w:rsidRPr="00461AE3">
        <w:t>http://www.fda.gov/NewsEvents/Newsroom/PressAnnouncements/ucm423977.htm</w:t>
      </w:r>
      <w:r w:rsidR="00730F6A" w:rsidRPr="00461AE3">
        <w:t>.</w:t>
      </w:r>
    </w:p>
    <w:p w14:paraId="4283F0BD" w14:textId="7AD7F947" w:rsidR="009E13C9" w:rsidRPr="00461AE3" w:rsidRDefault="000913E4" w:rsidP="004B191F">
      <w:pPr>
        <w:pStyle w:val="ListParagraph"/>
        <w:numPr>
          <w:ilvl w:val="0"/>
          <w:numId w:val="30"/>
        </w:numPr>
        <w:kinsoku w:val="0"/>
        <w:overflowPunct w:val="0"/>
      </w:pPr>
      <w:r w:rsidRPr="00461AE3">
        <w:t xml:space="preserve">U.S. Food and Drug Administration. FDA approves labeling with abuse-deterrent features for third extended-release opioid analgesic. 2014. Available at: </w:t>
      </w:r>
      <w:r w:rsidR="009E13C9" w:rsidRPr="00461AE3">
        <w:t>http://www.fda.gov/NewsEvents/Newsroom/PressAnnouncements/ucm419288.htm</w:t>
      </w:r>
      <w:r w:rsidR="00730F6A" w:rsidRPr="00461AE3">
        <w:t>.</w:t>
      </w:r>
    </w:p>
    <w:p w14:paraId="6E54A859" w14:textId="57710064" w:rsidR="00730F6A" w:rsidRPr="00461AE3" w:rsidRDefault="00730F6A" w:rsidP="004B191F">
      <w:pPr>
        <w:pStyle w:val="ListParagraph"/>
        <w:numPr>
          <w:ilvl w:val="0"/>
          <w:numId w:val="30"/>
        </w:numPr>
        <w:kinsoku w:val="0"/>
        <w:overflowPunct w:val="0"/>
      </w:pPr>
      <w:r w:rsidRPr="00461AE3">
        <w:t>Pro Publica, Inc. Prescriber Checkup – OxyContin. 2013. Available at: http://projects.propublica.org/checkup/drugs/6066</w:t>
      </w:r>
      <w:r w:rsidR="007C1E84" w:rsidRPr="00461AE3">
        <w:t xml:space="preserve"> [accessed 2015 Oct 24].</w:t>
      </w:r>
    </w:p>
    <w:p w14:paraId="71CBE781" w14:textId="00605B60" w:rsidR="00730F6A" w:rsidRPr="00461AE3" w:rsidRDefault="00730F6A" w:rsidP="004B191F">
      <w:pPr>
        <w:pStyle w:val="ListParagraph"/>
        <w:numPr>
          <w:ilvl w:val="0"/>
          <w:numId w:val="30"/>
        </w:numPr>
        <w:kinsoku w:val="0"/>
        <w:overflowPunct w:val="0"/>
      </w:pPr>
      <w:r w:rsidRPr="00461AE3">
        <w:t>Wilsey BL, Fishman SM, Gilson AM, Casamalhuapa C, Baxi H, Lin T, et al. An analysis of the number of multiple prescribers for opioids utilizing data from the California Prescription Monitoring Program. Pharmacoepidemiol Drug Saf. 2011;20:1262-8. doi:</w:t>
      </w:r>
      <w:hyperlink r:id="rId10" w:history="1">
        <w:r w:rsidRPr="00461AE3">
          <w:t>10.1002/pds.2129</w:t>
        </w:r>
      </w:hyperlink>
      <w:r w:rsidRPr="00461AE3">
        <w:t>.</w:t>
      </w:r>
    </w:p>
    <w:p w14:paraId="70BB85FB" w14:textId="77777777" w:rsidR="00922643" w:rsidRPr="00461AE3" w:rsidRDefault="00922643" w:rsidP="00922643">
      <w:pPr>
        <w:kinsoku w:val="0"/>
        <w:overflowPunct w:val="0"/>
      </w:pPr>
    </w:p>
    <w:sectPr w:rsidR="00922643" w:rsidRPr="00461AE3">
      <w:headerReference w:type="even" r:id="rId11"/>
      <w:headerReference w:type="default" r:id="rId12"/>
      <w:footerReference w:type="even" r:id="rId13"/>
      <w:footerReference w:type="default" r:id="rId14"/>
      <w:headerReference w:type="first" r:id="rId15"/>
      <w:footerReference w:type="first" r:id="rId16"/>
      <w:pgSz w:w="12240" w:h="15840"/>
      <w:pgMar w:top="1360" w:right="1500" w:bottom="280" w:left="1340" w:header="720" w:footer="720" w:gutter="0"/>
      <w:cols w:space="720" w:equalWidth="0">
        <w:col w:w="94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E6DAF" w14:textId="77777777" w:rsidR="006A33AC" w:rsidRDefault="006A33AC" w:rsidP="002931BB">
      <w:r>
        <w:separator/>
      </w:r>
    </w:p>
  </w:endnote>
  <w:endnote w:type="continuationSeparator" w:id="0">
    <w:p w14:paraId="1644B5EE" w14:textId="77777777" w:rsidR="006A33AC" w:rsidRDefault="006A33AC" w:rsidP="002931BB">
      <w:r>
        <w:continuationSeparator/>
      </w:r>
    </w:p>
  </w:endnote>
  <w:endnote w:id="1">
    <w:p w14:paraId="7E852F6E" w14:textId="77777777" w:rsidR="00730F6A" w:rsidRPr="00A74330" w:rsidRDefault="00730F6A">
      <w:pPr>
        <w:pStyle w:val="EndnoteText"/>
      </w:pPr>
      <w:r w:rsidRPr="00A74330">
        <w:rPr>
          <w:rStyle w:val="EndnoteReference"/>
        </w:rPr>
        <w:endnoteRef/>
      </w:r>
      <w:r w:rsidRPr="00A74330">
        <w:t xml:space="preserve"> This is the table that corresponds to the “Classification” designation contained within this section.  </w:t>
      </w:r>
    </w:p>
    <w:p w14:paraId="56797CE1" w14:textId="77777777" w:rsidR="00730F6A" w:rsidRDefault="00730F6A">
      <w:pPr>
        <w:pStyle w:val="EndnoteText"/>
      </w:pPr>
    </w:p>
    <w:tbl>
      <w:tblPr>
        <w:tblW w:w="0" w:type="auto"/>
        <w:tblInd w:w="726" w:type="dxa"/>
        <w:tblLayout w:type="fixed"/>
        <w:tblCellMar>
          <w:left w:w="0" w:type="dxa"/>
          <w:right w:w="0" w:type="dxa"/>
        </w:tblCellMar>
        <w:tblLook w:val="0000" w:firstRow="0" w:lastRow="0" w:firstColumn="0" w:lastColumn="0" w:noHBand="0" w:noVBand="0"/>
      </w:tblPr>
      <w:tblGrid>
        <w:gridCol w:w="922"/>
        <w:gridCol w:w="7358"/>
      </w:tblGrid>
      <w:tr w:rsidR="00730F6A" w:rsidRPr="00A74330" w14:paraId="0133E967" w14:textId="77777777" w:rsidTr="001736CC">
        <w:trPr>
          <w:trHeight w:hRule="exact" w:val="322"/>
        </w:trPr>
        <w:tc>
          <w:tcPr>
            <w:tcW w:w="8280" w:type="dxa"/>
            <w:gridSpan w:val="2"/>
            <w:tcBorders>
              <w:top w:val="single" w:sz="2" w:space="0" w:color="000000"/>
              <w:left w:val="single" w:sz="2" w:space="0" w:color="000000"/>
              <w:bottom w:val="single" w:sz="2" w:space="0" w:color="000000"/>
              <w:right w:val="single" w:sz="2" w:space="0" w:color="000000"/>
            </w:tcBorders>
            <w:shd w:val="clear" w:color="auto" w:fill="E5E5E5"/>
          </w:tcPr>
          <w:p w14:paraId="0DB8AF90" w14:textId="77777777" w:rsidR="00730F6A" w:rsidRPr="00A74330" w:rsidRDefault="00730F6A" w:rsidP="001736CC">
            <w:pPr>
              <w:pStyle w:val="TableParagraph"/>
              <w:kinsoku w:val="0"/>
              <w:overflowPunct w:val="0"/>
              <w:ind w:left="109"/>
              <w:rPr>
                <w:rFonts w:eastAsiaTheme="minorEastAsia"/>
                <w:sz w:val="20"/>
                <w:szCs w:val="20"/>
              </w:rPr>
            </w:pPr>
            <w:r w:rsidRPr="00A74330">
              <w:rPr>
                <w:rFonts w:eastAsiaTheme="minorEastAsia"/>
                <w:b/>
                <w:bCs/>
                <w:w w:val="85"/>
                <w:sz w:val="20"/>
                <w:szCs w:val="20"/>
              </w:rPr>
              <w:t>Classification</w:t>
            </w:r>
            <w:r w:rsidRPr="00A74330">
              <w:rPr>
                <w:rFonts w:eastAsiaTheme="minorEastAsia"/>
                <w:b/>
                <w:bCs/>
                <w:spacing w:val="17"/>
                <w:w w:val="85"/>
                <w:sz w:val="20"/>
                <w:szCs w:val="20"/>
              </w:rPr>
              <w:t xml:space="preserve"> </w:t>
            </w:r>
            <w:r w:rsidRPr="00A74330">
              <w:rPr>
                <w:rFonts w:eastAsiaTheme="minorEastAsia"/>
                <w:b/>
                <w:bCs/>
                <w:w w:val="85"/>
                <w:sz w:val="20"/>
                <w:szCs w:val="20"/>
              </w:rPr>
              <w:t>System</w:t>
            </w:r>
          </w:p>
        </w:tc>
      </w:tr>
      <w:tr w:rsidR="00730F6A" w:rsidRPr="00A74330" w14:paraId="3E6B2028" w14:textId="77777777" w:rsidTr="001736CC">
        <w:trPr>
          <w:trHeight w:hRule="exact" w:val="317"/>
        </w:trPr>
        <w:tc>
          <w:tcPr>
            <w:tcW w:w="8280" w:type="dxa"/>
            <w:gridSpan w:val="2"/>
            <w:tcBorders>
              <w:top w:val="single" w:sz="2" w:space="0" w:color="000000"/>
              <w:left w:val="single" w:sz="2" w:space="0" w:color="000000"/>
              <w:bottom w:val="single" w:sz="2" w:space="0" w:color="000000"/>
              <w:right w:val="single" w:sz="2" w:space="0" w:color="000000"/>
            </w:tcBorders>
          </w:tcPr>
          <w:p w14:paraId="3F8DCFD6" w14:textId="77777777" w:rsidR="00730F6A" w:rsidRPr="00A74330" w:rsidRDefault="00730F6A" w:rsidP="001736CC">
            <w:pPr>
              <w:pStyle w:val="TableParagraph"/>
              <w:kinsoku w:val="0"/>
              <w:overflowPunct w:val="0"/>
              <w:ind w:left="109"/>
              <w:rPr>
                <w:rFonts w:eastAsiaTheme="minorEastAsia"/>
                <w:sz w:val="20"/>
                <w:szCs w:val="20"/>
              </w:rPr>
            </w:pPr>
            <w:r w:rsidRPr="00A74330">
              <w:rPr>
                <w:rFonts w:eastAsiaTheme="minorEastAsia"/>
                <w:i/>
                <w:iCs/>
                <w:w w:val="105"/>
                <w:sz w:val="20"/>
                <w:szCs w:val="20"/>
              </w:rPr>
              <w:t>By</w:t>
            </w:r>
            <w:r w:rsidRPr="00A74330">
              <w:rPr>
                <w:rFonts w:eastAsiaTheme="minorEastAsia"/>
                <w:i/>
                <w:iCs/>
                <w:spacing w:val="-15"/>
                <w:w w:val="105"/>
                <w:sz w:val="20"/>
                <w:szCs w:val="20"/>
              </w:rPr>
              <w:t xml:space="preserve"> </w:t>
            </w:r>
            <w:r w:rsidRPr="00A74330">
              <w:rPr>
                <w:rFonts w:eastAsiaTheme="minorEastAsia"/>
                <w:i/>
                <w:iCs/>
                <w:w w:val="105"/>
                <w:sz w:val="20"/>
                <w:szCs w:val="20"/>
              </w:rPr>
              <w:t>Chemical</w:t>
            </w:r>
            <w:r w:rsidRPr="00A74330">
              <w:rPr>
                <w:rFonts w:eastAsiaTheme="minorEastAsia"/>
                <w:i/>
                <w:iCs/>
                <w:spacing w:val="-14"/>
                <w:w w:val="105"/>
                <w:sz w:val="20"/>
                <w:szCs w:val="20"/>
              </w:rPr>
              <w:t xml:space="preserve"> </w:t>
            </w:r>
            <w:r w:rsidRPr="00A74330">
              <w:rPr>
                <w:rFonts w:eastAsiaTheme="minorEastAsia"/>
                <w:i/>
                <w:iCs/>
                <w:w w:val="105"/>
                <w:sz w:val="20"/>
                <w:szCs w:val="20"/>
              </w:rPr>
              <w:t>Type</w:t>
            </w:r>
          </w:p>
        </w:tc>
      </w:tr>
      <w:tr w:rsidR="00730F6A" w:rsidRPr="00A74330" w14:paraId="1C501A0B" w14:textId="77777777" w:rsidTr="001736CC">
        <w:trPr>
          <w:trHeight w:hRule="exact" w:val="317"/>
        </w:trPr>
        <w:tc>
          <w:tcPr>
            <w:tcW w:w="922" w:type="dxa"/>
            <w:tcBorders>
              <w:top w:val="single" w:sz="2" w:space="0" w:color="000000"/>
              <w:left w:val="single" w:sz="2" w:space="0" w:color="000000"/>
              <w:bottom w:val="single" w:sz="2" w:space="0" w:color="000000"/>
              <w:right w:val="single" w:sz="2" w:space="0" w:color="000000"/>
            </w:tcBorders>
          </w:tcPr>
          <w:p w14:paraId="2EBD748D" w14:textId="77777777" w:rsidR="00730F6A" w:rsidRPr="00A74330" w:rsidRDefault="00730F6A" w:rsidP="001736CC">
            <w:pPr>
              <w:pStyle w:val="TableParagraph"/>
              <w:kinsoku w:val="0"/>
              <w:overflowPunct w:val="0"/>
              <w:ind w:left="243"/>
              <w:rPr>
                <w:rFonts w:eastAsiaTheme="minorEastAsia"/>
                <w:sz w:val="20"/>
                <w:szCs w:val="20"/>
              </w:rPr>
            </w:pPr>
            <w:r w:rsidRPr="00A74330">
              <w:rPr>
                <w:rFonts w:eastAsiaTheme="minorEastAsia"/>
                <w:b/>
                <w:bCs/>
                <w:w w:val="105"/>
                <w:sz w:val="20"/>
                <w:szCs w:val="20"/>
              </w:rPr>
              <w:t>Type</w:t>
            </w:r>
          </w:p>
        </w:tc>
        <w:tc>
          <w:tcPr>
            <w:tcW w:w="7358" w:type="dxa"/>
            <w:tcBorders>
              <w:top w:val="single" w:sz="2" w:space="0" w:color="000000"/>
              <w:left w:val="single" w:sz="2" w:space="0" w:color="000000"/>
              <w:bottom w:val="single" w:sz="2" w:space="0" w:color="000000"/>
              <w:right w:val="single" w:sz="2" w:space="0" w:color="000000"/>
            </w:tcBorders>
          </w:tcPr>
          <w:p w14:paraId="352D0CC8" w14:textId="77777777" w:rsidR="00730F6A" w:rsidRPr="00A74330" w:rsidRDefault="00730F6A" w:rsidP="001736CC">
            <w:pPr>
              <w:pStyle w:val="TableParagraph"/>
              <w:kinsoku w:val="0"/>
              <w:overflowPunct w:val="0"/>
              <w:ind w:left="104"/>
              <w:rPr>
                <w:rFonts w:eastAsiaTheme="minorEastAsia"/>
                <w:sz w:val="20"/>
                <w:szCs w:val="20"/>
              </w:rPr>
            </w:pPr>
            <w:r w:rsidRPr="00A74330">
              <w:rPr>
                <w:rFonts w:eastAsiaTheme="minorEastAsia"/>
                <w:b/>
                <w:bCs/>
                <w:w w:val="105"/>
                <w:sz w:val="20"/>
                <w:szCs w:val="20"/>
              </w:rPr>
              <w:t>Definition</w:t>
            </w:r>
          </w:p>
        </w:tc>
      </w:tr>
      <w:tr w:rsidR="00730F6A" w:rsidRPr="00A74330" w14:paraId="4A5CD4BA" w14:textId="77777777" w:rsidTr="001736CC">
        <w:trPr>
          <w:trHeight w:hRule="exact" w:val="317"/>
        </w:trPr>
        <w:tc>
          <w:tcPr>
            <w:tcW w:w="922" w:type="dxa"/>
            <w:tcBorders>
              <w:top w:val="single" w:sz="2" w:space="0" w:color="000000"/>
              <w:left w:val="single" w:sz="2" w:space="0" w:color="000000"/>
              <w:bottom w:val="single" w:sz="2" w:space="0" w:color="000000"/>
              <w:right w:val="single" w:sz="2" w:space="0" w:color="000000"/>
            </w:tcBorders>
          </w:tcPr>
          <w:p w14:paraId="4803D31D" w14:textId="77777777" w:rsidR="00730F6A" w:rsidRPr="00A74330" w:rsidRDefault="00730F6A" w:rsidP="001736CC">
            <w:pPr>
              <w:pStyle w:val="TableParagraph"/>
              <w:kinsoku w:val="0"/>
              <w:overflowPunct w:val="0"/>
              <w:ind w:left="387" w:right="389"/>
              <w:jc w:val="center"/>
              <w:rPr>
                <w:rFonts w:eastAsiaTheme="minorEastAsia"/>
                <w:sz w:val="20"/>
                <w:szCs w:val="20"/>
              </w:rPr>
            </w:pPr>
            <w:r w:rsidRPr="00A74330">
              <w:rPr>
                <w:rFonts w:eastAsiaTheme="minorEastAsia"/>
                <w:w w:val="105"/>
                <w:sz w:val="20"/>
                <w:szCs w:val="20"/>
              </w:rPr>
              <w:t>1</w:t>
            </w:r>
          </w:p>
        </w:tc>
        <w:tc>
          <w:tcPr>
            <w:tcW w:w="7358" w:type="dxa"/>
            <w:tcBorders>
              <w:top w:val="single" w:sz="2" w:space="0" w:color="000000"/>
              <w:left w:val="single" w:sz="2" w:space="0" w:color="000000"/>
              <w:bottom w:val="single" w:sz="2" w:space="0" w:color="000000"/>
              <w:right w:val="single" w:sz="2" w:space="0" w:color="000000"/>
            </w:tcBorders>
          </w:tcPr>
          <w:p w14:paraId="55C6E570" w14:textId="77777777" w:rsidR="00730F6A" w:rsidRPr="00A74330" w:rsidRDefault="00730F6A" w:rsidP="001736CC">
            <w:pPr>
              <w:pStyle w:val="TableParagraph"/>
              <w:kinsoku w:val="0"/>
              <w:overflowPunct w:val="0"/>
              <w:ind w:left="104"/>
              <w:rPr>
                <w:rFonts w:eastAsiaTheme="minorEastAsia"/>
                <w:sz w:val="20"/>
                <w:szCs w:val="20"/>
              </w:rPr>
            </w:pPr>
            <w:r w:rsidRPr="00A74330">
              <w:rPr>
                <w:rFonts w:eastAsiaTheme="minorEastAsia"/>
                <w:w w:val="105"/>
                <w:sz w:val="20"/>
                <w:szCs w:val="20"/>
              </w:rPr>
              <w:t>New</w:t>
            </w:r>
            <w:r w:rsidRPr="00A74330">
              <w:rPr>
                <w:rFonts w:eastAsiaTheme="minorEastAsia"/>
                <w:spacing w:val="-12"/>
                <w:w w:val="105"/>
                <w:sz w:val="20"/>
                <w:szCs w:val="20"/>
              </w:rPr>
              <w:t xml:space="preserve"> </w:t>
            </w:r>
            <w:r w:rsidRPr="00A74330">
              <w:rPr>
                <w:rFonts w:eastAsiaTheme="minorEastAsia"/>
                <w:w w:val="105"/>
                <w:sz w:val="20"/>
                <w:szCs w:val="20"/>
              </w:rPr>
              <w:t>molecular</w:t>
            </w:r>
            <w:r w:rsidRPr="00A74330">
              <w:rPr>
                <w:rFonts w:eastAsiaTheme="minorEastAsia"/>
                <w:spacing w:val="-11"/>
                <w:w w:val="105"/>
                <w:sz w:val="20"/>
                <w:szCs w:val="20"/>
              </w:rPr>
              <w:t xml:space="preserve"> </w:t>
            </w:r>
            <w:r w:rsidRPr="00A74330">
              <w:rPr>
                <w:rFonts w:eastAsiaTheme="minorEastAsia"/>
                <w:w w:val="105"/>
                <w:sz w:val="20"/>
                <w:szCs w:val="20"/>
              </w:rPr>
              <w:t>entity</w:t>
            </w:r>
            <w:r w:rsidRPr="00A74330">
              <w:rPr>
                <w:rFonts w:eastAsiaTheme="minorEastAsia"/>
                <w:spacing w:val="-11"/>
                <w:w w:val="105"/>
                <w:sz w:val="20"/>
                <w:szCs w:val="20"/>
              </w:rPr>
              <w:t xml:space="preserve"> </w:t>
            </w:r>
            <w:r w:rsidRPr="00A74330">
              <w:rPr>
                <w:rFonts w:eastAsiaTheme="minorEastAsia"/>
                <w:w w:val="105"/>
                <w:sz w:val="20"/>
                <w:szCs w:val="20"/>
              </w:rPr>
              <w:t>not</w:t>
            </w:r>
            <w:r w:rsidRPr="00A74330">
              <w:rPr>
                <w:rFonts w:eastAsiaTheme="minorEastAsia"/>
                <w:spacing w:val="-12"/>
                <w:w w:val="105"/>
                <w:sz w:val="20"/>
                <w:szCs w:val="20"/>
              </w:rPr>
              <w:t xml:space="preserve"> </w:t>
            </w:r>
            <w:r w:rsidRPr="00A74330">
              <w:rPr>
                <w:rFonts w:eastAsiaTheme="minorEastAsia"/>
                <w:w w:val="105"/>
                <w:sz w:val="20"/>
                <w:szCs w:val="20"/>
              </w:rPr>
              <w:t>marketed</w:t>
            </w:r>
            <w:r w:rsidRPr="00A74330">
              <w:rPr>
                <w:rFonts w:eastAsiaTheme="minorEastAsia"/>
                <w:spacing w:val="-11"/>
                <w:w w:val="105"/>
                <w:sz w:val="20"/>
                <w:szCs w:val="20"/>
              </w:rPr>
              <w:t xml:space="preserve"> </w:t>
            </w:r>
            <w:r w:rsidRPr="00A74330">
              <w:rPr>
                <w:rFonts w:eastAsiaTheme="minorEastAsia"/>
                <w:w w:val="105"/>
                <w:sz w:val="20"/>
                <w:szCs w:val="20"/>
              </w:rPr>
              <w:t>in</w:t>
            </w:r>
            <w:r w:rsidRPr="00A74330">
              <w:rPr>
                <w:rFonts w:eastAsiaTheme="minorEastAsia"/>
                <w:spacing w:val="-11"/>
                <w:w w:val="105"/>
                <w:sz w:val="20"/>
                <w:szCs w:val="20"/>
              </w:rPr>
              <w:t xml:space="preserve"> </w:t>
            </w:r>
            <w:r w:rsidRPr="00A74330">
              <w:rPr>
                <w:rFonts w:eastAsiaTheme="minorEastAsia"/>
                <w:w w:val="105"/>
                <w:sz w:val="20"/>
                <w:szCs w:val="20"/>
              </w:rPr>
              <w:t>U.S.</w:t>
            </w:r>
          </w:p>
        </w:tc>
      </w:tr>
      <w:tr w:rsidR="00730F6A" w:rsidRPr="00A74330" w14:paraId="3048D87B" w14:textId="77777777" w:rsidTr="001736CC">
        <w:trPr>
          <w:trHeight w:hRule="exact" w:val="312"/>
        </w:trPr>
        <w:tc>
          <w:tcPr>
            <w:tcW w:w="922" w:type="dxa"/>
            <w:tcBorders>
              <w:top w:val="single" w:sz="2" w:space="0" w:color="000000"/>
              <w:left w:val="single" w:sz="2" w:space="0" w:color="000000"/>
              <w:bottom w:val="single" w:sz="2" w:space="0" w:color="000000"/>
              <w:right w:val="single" w:sz="2" w:space="0" w:color="000000"/>
            </w:tcBorders>
          </w:tcPr>
          <w:p w14:paraId="6659B1A5" w14:textId="77777777" w:rsidR="00730F6A" w:rsidRPr="00A74330" w:rsidRDefault="00730F6A" w:rsidP="001736CC">
            <w:pPr>
              <w:pStyle w:val="TableParagraph"/>
              <w:kinsoku w:val="0"/>
              <w:overflowPunct w:val="0"/>
              <w:ind w:left="387" w:right="389"/>
              <w:jc w:val="center"/>
              <w:rPr>
                <w:rFonts w:eastAsiaTheme="minorEastAsia"/>
                <w:sz w:val="20"/>
                <w:szCs w:val="20"/>
              </w:rPr>
            </w:pPr>
            <w:r w:rsidRPr="00A74330">
              <w:rPr>
                <w:rFonts w:eastAsiaTheme="minorEastAsia"/>
                <w:w w:val="105"/>
                <w:sz w:val="20"/>
                <w:szCs w:val="20"/>
              </w:rPr>
              <w:t>2</w:t>
            </w:r>
          </w:p>
        </w:tc>
        <w:tc>
          <w:tcPr>
            <w:tcW w:w="7358" w:type="dxa"/>
            <w:tcBorders>
              <w:top w:val="single" w:sz="2" w:space="0" w:color="000000"/>
              <w:left w:val="single" w:sz="2" w:space="0" w:color="000000"/>
              <w:bottom w:val="single" w:sz="2" w:space="0" w:color="000000"/>
              <w:right w:val="single" w:sz="2" w:space="0" w:color="000000"/>
            </w:tcBorders>
          </w:tcPr>
          <w:p w14:paraId="1A00EB20" w14:textId="77777777" w:rsidR="00730F6A" w:rsidRPr="00A74330" w:rsidRDefault="00730F6A" w:rsidP="001736CC">
            <w:pPr>
              <w:pStyle w:val="TableParagraph"/>
              <w:kinsoku w:val="0"/>
              <w:overflowPunct w:val="0"/>
              <w:ind w:left="104"/>
              <w:rPr>
                <w:rFonts w:eastAsiaTheme="minorEastAsia"/>
                <w:sz w:val="20"/>
                <w:szCs w:val="20"/>
              </w:rPr>
            </w:pPr>
            <w:r w:rsidRPr="00A74330">
              <w:rPr>
                <w:rFonts w:eastAsiaTheme="minorEastAsia"/>
                <w:w w:val="105"/>
                <w:sz w:val="20"/>
                <w:szCs w:val="20"/>
              </w:rPr>
              <w:t>New</w:t>
            </w:r>
            <w:r w:rsidRPr="00A74330">
              <w:rPr>
                <w:rFonts w:eastAsiaTheme="minorEastAsia"/>
                <w:spacing w:val="-10"/>
                <w:w w:val="105"/>
                <w:sz w:val="20"/>
                <w:szCs w:val="20"/>
              </w:rPr>
              <w:t xml:space="preserve"> </w:t>
            </w:r>
            <w:r w:rsidRPr="00A74330">
              <w:rPr>
                <w:rFonts w:eastAsiaTheme="minorEastAsia"/>
                <w:w w:val="105"/>
                <w:sz w:val="20"/>
                <w:szCs w:val="20"/>
              </w:rPr>
              <w:t>salt,</w:t>
            </w:r>
            <w:r w:rsidRPr="00A74330">
              <w:rPr>
                <w:rFonts w:eastAsiaTheme="minorEastAsia"/>
                <w:spacing w:val="-10"/>
                <w:w w:val="105"/>
                <w:sz w:val="20"/>
                <w:szCs w:val="20"/>
              </w:rPr>
              <w:t xml:space="preserve"> </w:t>
            </w:r>
            <w:r w:rsidRPr="00A74330">
              <w:rPr>
                <w:rFonts w:eastAsiaTheme="minorEastAsia"/>
                <w:w w:val="105"/>
                <w:sz w:val="20"/>
                <w:szCs w:val="20"/>
              </w:rPr>
              <w:t>ester,</w:t>
            </w:r>
            <w:r w:rsidRPr="00A74330">
              <w:rPr>
                <w:rFonts w:eastAsiaTheme="minorEastAsia"/>
                <w:spacing w:val="-9"/>
                <w:w w:val="105"/>
                <w:sz w:val="20"/>
                <w:szCs w:val="20"/>
              </w:rPr>
              <w:t xml:space="preserve"> </w:t>
            </w:r>
            <w:r w:rsidRPr="00A74330">
              <w:rPr>
                <w:rFonts w:eastAsiaTheme="minorEastAsia"/>
                <w:w w:val="105"/>
                <w:sz w:val="20"/>
                <w:szCs w:val="20"/>
              </w:rPr>
              <w:t>or</w:t>
            </w:r>
            <w:r w:rsidRPr="00A74330">
              <w:rPr>
                <w:rFonts w:eastAsiaTheme="minorEastAsia"/>
                <w:spacing w:val="-10"/>
                <w:w w:val="105"/>
                <w:sz w:val="20"/>
                <w:szCs w:val="20"/>
              </w:rPr>
              <w:t xml:space="preserve"> </w:t>
            </w:r>
            <w:r w:rsidRPr="00A74330">
              <w:rPr>
                <w:rFonts w:eastAsiaTheme="minorEastAsia"/>
                <w:w w:val="105"/>
                <w:sz w:val="20"/>
                <w:szCs w:val="20"/>
              </w:rPr>
              <w:t>other</w:t>
            </w:r>
            <w:r w:rsidRPr="00A74330">
              <w:rPr>
                <w:rFonts w:eastAsiaTheme="minorEastAsia"/>
                <w:spacing w:val="-9"/>
                <w:w w:val="105"/>
                <w:sz w:val="20"/>
                <w:szCs w:val="20"/>
              </w:rPr>
              <w:t xml:space="preserve"> </w:t>
            </w:r>
            <w:r w:rsidRPr="00A74330">
              <w:rPr>
                <w:rFonts w:eastAsiaTheme="minorEastAsia"/>
                <w:w w:val="105"/>
                <w:sz w:val="20"/>
                <w:szCs w:val="20"/>
              </w:rPr>
              <w:t>derivative</w:t>
            </w:r>
            <w:r w:rsidRPr="00A74330">
              <w:rPr>
                <w:rFonts w:eastAsiaTheme="minorEastAsia"/>
                <w:spacing w:val="-10"/>
                <w:w w:val="105"/>
                <w:sz w:val="20"/>
                <w:szCs w:val="20"/>
              </w:rPr>
              <w:t xml:space="preserve"> </w:t>
            </w:r>
            <w:r w:rsidRPr="00A74330">
              <w:rPr>
                <w:rFonts w:eastAsiaTheme="minorEastAsia"/>
                <w:w w:val="105"/>
                <w:sz w:val="20"/>
                <w:szCs w:val="20"/>
              </w:rPr>
              <w:t>of</w:t>
            </w:r>
            <w:r w:rsidRPr="00A74330">
              <w:rPr>
                <w:rFonts w:eastAsiaTheme="minorEastAsia"/>
                <w:spacing w:val="-9"/>
                <w:w w:val="105"/>
                <w:sz w:val="20"/>
                <w:szCs w:val="20"/>
              </w:rPr>
              <w:t xml:space="preserve"> </w:t>
            </w:r>
            <w:r w:rsidRPr="00A74330">
              <w:rPr>
                <w:rFonts w:eastAsiaTheme="minorEastAsia"/>
                <w:w w:val="105"/>
                <w:sz w:val="20"/>
                <w:szCs w:val="20"/>
              </w:rPr>
              <w:t>another</w:t>
            </w:r>
            <w:r w:rsidRPr="00A74330">
              <w:rPr>
                <w:rFonts w:eastAsiaTheme="minorEastAsia"/>
                <w:spacing w:val="-10"/>
                <w:w w:val="105"/>
                <w:sz w:val="20"/>
                <w:szCs w:val="20"/>
              </w:rPr>
              <w:t xml:space="preserve"> </w:t>
            </w:r>
            <w:r w:rsidRPr="00A74330">
              <w:rPr>
                <w:rFonts w:eastAsiaTheme="minorEastAsia"/>
                <w:w w:val="105"/>
                <w:sz w:val="20"/>
                <w:szCs w:val="20"/>
              </w:rPr>
              <w:t>drug</w:t>
            </w:r>
            <w:r w:rsidRPr="00A74330">
              <w:rPr>
                <w:rFonts w:eastAsiaTheme="minorEastAsia"/>
                <w:spacing w:val="-9"/>
                <w:w w:val="105"/>
                <w:sz w:val="20"/>
                <w:szCs w:val="20"/>
              </w:rPr>
              <w:t xml:space="preserve"> </w:t>
            </w:r>
            <w:r w:rsidRPr="00A74330">
              <w:rPr>
                <w:rFonts w:eastAsiaTheme="minorEastAsia"/>
                <w:w w:val="105"/>
                <w:sz w:val="20"/>
                <w:szCs w:val="20"/>
              </w:rPr>
              <w:t>marketed</w:t>
            </w:r>
            <w:r w:rsidRPr="00A74330">
              <w:rPr>
                <w:rFonts w:eastAsiaTheme="minorEastAsia"/>
                <w:spacing w:val="-10"/>
                <w:w w:val="105"/>
                <w:sz w:val="20"/>
                <w:szCs w:val="20"/>
              </w:rPr>
              <w:t xml:space="preserve"> </w:t>
            </w:r>
            <w:r w:rsidRPr="00A74330">
              <w:rPr>
                <w:rFonts w:eastAsiaTheme="minorEastAsia"/>
                <w:w w:val="105"/>
                <w:sz w:val="20"/>
                <w:szCs w:val="20"/>
              </w:rPr>
              <w:t>in</w:t>
            </w:r>
            <w:r w:rsidRPr="00A74330">
              <w:rPr>
                <w:rFonts w:eastAsiaTheme="minorEastAsia"/>
                <w:spacing w:val="-9"/>
                <w:w w:val="105"/>
                <w:sz w:val="20"/>
                <w:szCs w:val="20"/>
              </w:rPr>
              <w:t xml:space="preserve"> </w:t>
            </w:r>
            <w:r w:rsidRPr="00A74330">
              <w:rPr>
                <w:rFonts w:eastAsiaTheme="minorEastAsia"/>
                <w:w w:val="105"/>
                <w:sz w:val="20"/>
                <w:szCs w:val="20"/>
              </w:rPr>
              <w:t>the</w:t>
            </w:r>
            <w:r w:rsidRPr="00A74330">
              <w:rPr>
                <w:rFonts w:eastAsiaTheme="minorEastAsia"/>
                <w:spacing w:val="-10"/>
                <w:w w:val="105"/>
                <w:sz w:val="20"/>
                <w:szCs w:val="20"/>
              </w:rPr>
              <w:t xml:space="preserve"> </w:t>
            </w:r>
            <w:r w:rsidRPr="00A74330">
              <w:rPr>
                <w:rFonts w:eastAsiaTheme="minorEastAsia"/>
                <w:w w:val="105"/>
                <w:sz w:val="20"/>
                <w:szCs w:val="20"/>
              </w:rPr>
              <w:t>U.S.</w:t>
            </w:r>
          </w:p>
        </w:tc>
      </w:tr>
      <w:tr w:rsidR="00730F6A" w:rsidRPr="00A74330" w14:paraId="0530630E" w14:textId="77777777" w:rsidTr="001736CC">
        <w:trPr>
          <w:trHeight w:hRule="exact" w:val="317"/>
        </w:trPr>
        <w:tc>
          <w:tcPr>
            <w:tcW w:w="922" w:type="dxa"/>
            <w:tcBorders>
              <w:top w:val="single" w:sz="2" w:space="0" w:color="000000"/>
              <w:left w:val="single" w:sz="2" w:space="0" w:color="000000"/>
              <w:bottom w:val="single" w:sz="2" w:space="0" w:color="000000"/>
              <w:right w:val="single" w:sz="2" w:space="0" w:color="000000"/>
            </w:tcBorders>
          </w:tcPr>
          <w:p w14:paraId="75A5C6D0" w14:textId="77777777" w:rsidR="00730F6A" w:rsidRPr="00A74330" w:rsidRDefault="00730F6A" w:rsidP="001736CC">
            <w:pPr>
              <w:pStyle w:val="TableParagraph"/>
              <w:kinsoku w:val="0"/>
              <w:overflowPunct w:val="0"/>
              <w:ind w:left="387" w:right="389"/>
              <w:jc w:val="center"/>
              <w:rPr>
                <w:rFonts w:eastAsiaTheme="minorEastAsia"/>
                <w:sz w:val="20"/>
                <w:szCs w:val="20"/>
              </w:rPr>
            </w:pPr>
            <w:r w:rsidRPr="00A74330">
              <w:rPr>
                <w:rFonts w:eastAsiaTheme="minorEastAsia"/>
                <w:w w:val="105"/>
                <w:sz w:val="20"/>
                <w:szCs w:val="20"/>
              </w:rPr>
              <w:t>3</w:t>
            </w:r>
          </w:p>
        </w:tc>
        <w:tc>
          <w:tcPr>
            <w:tcW w:w="7358" w:type="dxa"/>
            <w:tcBorders>
              <w:top w:val="single" w:sz="2" w:space="0" w:color="000000"/>
              <w:left w:val="single" w:sz="2" w:space="0" w:color="000000"/>
              <w:bottom w:val="single" w:sz="2" w:space="0" w:color="000000"/>
              <w:right w:val="single" w:sz="2" w:space="0" w:color="000000"/>
            </w:tcBorders>
          </w:tcPr>
          <w:p w14:paraId="73C91B7C" w14:textId="77777777" w:rsidR="00730F6A" w:rsidRPr="00A74330" w:rsidRDefault="00730F6A" w:rsidP="001736CC">
            <w:pPr>
              <w:pStyle w:val="TableParagraph"/>
              <w:kinsoku w:val="0"/>
              <w:overflowPunct w:val="0"/>
              <w:ind w:left="104"/>
              <w:rPr>
                <w:rFonts w:eastAsiaTheme="minorEastAsia"/>
                <w:sz w:val="20"/>
                <w:szCs w:val="20"/>
              </w:rPr>
            </w:pPr>
            <w:r w:rsidRPr="00A74330">
              <w:rPr>
                <w:rFonts w:eastAsiaTheme="minorEastAsia"/>
                <w:w w:val="105"/>
                <w:sz w:val="20"/>
                <w:szCs w:val="20"/>
              </w:rPr>
              <w:t>New</w:t>
            </w:r>
            <w:r w:rsidRPr="00A74330">
              <w:rPr>
                <w:rFonts w:eastAsiaTheme="minorEastAsia"/>
                <w:spacing w:val="-11"/>
                <w:w w:val="105"/>
                <w:sz w:val="20"/>
                <w:szCs w:val="20"/>
              </w:rPr>
              <w:t xml:space="preserve"> ADF </w:t>
            </w:r>
            <w:r w:rsidRPr="00A74330">
              <w:rPr>
                <w:rFonts w:eastAsiaTheme="minorEastAsia"/>
                <w:w w:val="105"/>
                <w:sz w:val="20"/>
                <w:szCs w:val="20"/>
              </w:rPr>
              <w:t>formulation</w:t>
            </w:r>
            <w:r w:rsidRPr="00A74330">
              <w:rPr>
                <w:rFonts w:eastAsiaTheme="minorEastAsia"/>
                <w:spacing w:val="-10"/>
                <w:w w:val="105"/>
                <w:sz w:val="20"/>
                <w:szCs w:val="20"/>
              </w:rPr>
              <w:t xml:space="preserve"> </w:t>
            </w:r>
            <w:r w:rsidRPr="00A74330">
              <w:rPr>
                <w:rFonts w:eastAsiaTheme="minorEastAsia"/>
                <w:w w:val="105"/>
                <w:sz w:val="20"/>
                <w:szCs w:val="20"/>
              </w:rPr>
              <w:t>of</w:t>
            </w:r>
            <w:r w:rsidRPr="00A74330">
              <w:rPr>
                <w:rFonts w:eastAsiaTheme="minorEastAsia"/>
                <w:spacing w:val="-10"/>
                <w:w w:val="105"/>
                <w:sz w:val="20"/>
                <w:szCs w:val="20"/>
              </w:rPr>
              <w:t xml:space="preserve"> </w:t>
            </w:r>
            <w:r w:rsidRPr="00A74330">
              <w:rPr>
                <w:rFonts w:eastAsiaTheme="minorEastAsia"/>
                <w:w w:val="105"/>
                <w:sz w:val="20"/>
                <w:szCs w:val="20"/>
              </w:rPr>
              <w:t>a</w:t>
            </w:r>
            <w:r w:rsidRPr="00A74330">
              <w:rPr>
                <w:rFonts w:eastAsiaTheme="minorEastAsia"/>
                <w:spacing w:val="-10"/>
                <w:w w:val="105"/>
                <w:sz w:val="20"/>
                <w:szCs w:val="20"/>
              </w:rPr>
              <w:t xml:space="preserve"> </w:t>
            </w:r>
            <w:r w:rsidRPr="00A74330">
              <w:rPr>
                <w:rFonts w:eastAsiaTheme="minorEastAsia"/>
                <w:w w:val="105"/>
                <w:sz w:val="20"/>
                <w:szCs w:val="20"/>
              </w:rPr>
              <w:t>drug</w:t>
            </w:r>
            <w:r w:rsidRPr="00A74330">
              <w:rPr>
                <w:rFonts w:eastAsiaTheme="minorEastAsia"/>
                <w:spacing w:val="-10"/>
                <w:w w:val="105"/>
                <w:sz w:val="20"/>
                <w:szCs w:val="20"/>
              </w:rPr>
              <w:t xml:space="preserve"> </w:t>
            </w:r>
            <w:r w:rsidRPr="00A74330">
              <w:rPr>
                <w:rFonts w:eastAsiaTheme="minorEastAsia"/>
                <w:w w:val="105"/>
                <w:sz w:val="20"/>
                <w:szCs w:val="20"/>
              </w:rPr>
              <w:t>marketed</w:t>
            </w:r>
            <w:r w:rsidRPr="00A74330">
              <w:rPr>
                <w:rFonts w:eastAsiaTheme="minorEastAsia"/>
                <w:spacing w:val="-10"/>
                <w:w w:val="105"/>
                <w:sz w:val="20"/>
                <w:szCs w:val="20"/>
              </w:rPr>
              <w:t xml:space="preserve"> </w:t>
            </w:r>
            <w:r w:rsidRPr="00A74330">
              <w:rPr>
                <w:rFonts w:eastAsiaTheme="minorEastAsia"/>
                <w:w w:val="105"/>
                <w:sz w:val="20"/>
                <w:szCs w:val="20"/>
              </w:rPr>
              <w:t>in</w:t>
            </w:r>
            <w:r w:rsidRPr="00A74330">
              <w:rPr>
                <w:rFonts w:eastAsiaTheme="minorEastAsia"/>
                <w:spacing w:val="-10"/>
                <w:w w:val="105"/>
                <w:sz w:val="20"/>
                <w:szCs w:val="20"/>
              </w:rPr>
              <w:t xml:space="preserve"> </w:t>
            </w:r>
            <w:r w:rsidRPr="00A74330">
              <w:rPr>
                <w:rFonts w:eastAsiaTheme="minorEastAsia"/>
                <w:w w:val="105"/>
                <w:sz w:val="20"/>
                <w:szCs w:val="20"/>
              </w:rPr>
              <w:t>U.S.</w:t>
            </w:r>
          </w:p>
        </w:tc>
      </w:tr>
      <w:tr w:rsidR="00730F6A" w:rsidRPr="00A74330" w14:paraId="18B29780" w14:textId="77777777" w:rsidTr="001736CC">
        <w:trPr>
          <w:trHeight w:hRule="exact" w:val="317"/>
        </w:trPr>
        <w:tc>
          <w:tcPr>
            <w:tcW w:w="922" w:type="dxa"/>
            <w:tcBorders>
              <w:top w:val="single" w:sz="2" w:space="0" w:color="000000"/>
              <w:left w:val="single" w:sz="2" w:space="0" w:color="000000"/>
              <w:bottom w:val="single" w:sz="2" w:space="0" w:color="000000"/>
              <w:right w:val="single" w:sz="2" w:space="0" w:color="000000"/>
            </w:tcBorders>
          </w:tcPr>
          <w:p w14:paraId="2C54BF11" w14:textId="77777777" w:rsidR="00730F6A" w:rsidRPr="00A74330" w:rsidRDefault="00730F6A" w:rsidP="001736CC">
            <w:pPr>
              <w:pStyle w:val="TableParagraph"/>
              <w:kinsoku w:val="0"/>
              <w:overflowPunct w:val="0"/>
              <w:ind w:left="387" w:right="389"/>
              <w:jc w:val="center"/>
              <w:rPr>
                <w:rFonts w:eastAsiaTheme="minorEastAsia"/>
                <w:sz w:val="20"/>
                <w:szCs w:val="20"/>
              </w:rPr>
            </w:pPr>
            <w:r w:rsidRPr="00A74330">
              <w:rPr>
                <w:rFonts w:eastAsiaTheme="minorEastAsia"/>
                <w:iCs/>
                <w:w w:val="105"/>
                <w:sz w:val="20"/>
                <w:szCs w:val="20"/>
              </w:rPr>
              <w:t>4</w:t>
            </w:r>
            <w:r w:rsidRPr="00A74330">
              <w:rPr>
                <w:rFonts w:eastAsiaTheme="minorEastAsia"/>
                <w:i/>
                <w:iCs/>
                <w:w w:val="105"/>
                <w:sz w:val="20"/>
                <w:szCs w:val="20"/>
              </w:rPr>
              <w:t>7By</w:t>
            </w:r>
            <w:r w:rsidRPr="00A74330">
              <w:rPr>
                <w:rFonts w:eastAsiaTheme="minorEastAsia"/>
                <w:i/>
                <w:iCs/>
                <w:spacing w:val="-20"/>
                <w:w w:val="105"/>
                <w:sz w:val="20"/>
                <w:szCs w:val="20"/>
              </w:rPr>
              <w:t xml:space="preserve"> </w:t>
            </w:r>
            <w:r w:rsidRPr="00A74330">
              <w:rPr>
                <w:rFonts w:eastAsiaTheme="minorEastAsia"/>
                <w:i/>
                <w:iCs/>
                <w:w w:val="105"/>
                <w:sz w:val="20"/>
                <w:szCs w:val="20"/>
              </w:rPr>
              <w:t>Therapeutic</w:t>
            </w:r>
            <w:r w:rsidRPr="00A74330">
              <w:rPr>
                <w:rFonts w:eastAsiaTheme="minorEastAsia"/>
                <w:i/>
                <w:iCs/>
                <w:spacing w:val="-20"/>
                <w:w w:val="105"/>
                <w:sz w:val="20"/>
                <w:szCs w:val="20"/>
              </w:rPr>
              <w:t xml:space="preserve"> </w:t>
            </w:r>
            <w:r w:rsidRPr="00A74330">
              <w:rPr>
                <w:rFonts w:eastAsiaTheme="minorEastAsia"/>
                <w:i/>
                <w:iCs/>
                <w:w w:val="105"/>
                <w:sz w:val="20"/>
                <w:szCs w:val="20"/>
              </w:rPr>
              <w:t>Potential</w:t>
            </w:r>
          </w:p>
        </w:tc>
        <w:tc>
          <w:tcPr>
            <w:tcW w:w="7358" w:type="dxa"/>
            <w:tcBorders>
              <w:top w:val="single" w:sz="2" w:space="0" w:color="000000"/>
              <w:left w:val="single" w:sz="2" w:space="0" w:color="000000"/>
              <w:bottom w:val="single" w:sz="2" w:space="0" w:color="000000"/>
              <w:right w:val="single" w:sz="2" w:space="0" w:color="000000"/>
            </w:tcBorders>
          </w:tcPr>
          <w:p w14:paraId="4A32C4BE" w14:textId="77777777" w:rsidR="00730F6A" w:rsidRPr="00A74330" w:rsidRDefault="00730F6A" w:rsidP="001736CC">
            <w:pPr>
              <w:pStyle w:val="TableParagraph"/>
              <w:kinsoku w:val="0"/>
              <w:overflowPunct w:val="0"/>
              <w:ind w:left="104"/>
              <w:rPr>
                <w:rFonts w:eastAsiaTheme="minorEastAsia"/>
                <w:sz w:val="20"/>
                <w:szCs w:val="20"/>
              </w:rPr>
            </w:pPr>
            <w:r w:rsidRPr="00A74330">
              <w:rPr>
                <w:rFonts w:eastAsiaTheme="minorEastAsia"/>
                <w:w w:val="105"/>
                <w:sz w:val="20"/>
                <w:szCs w:val="20"/>
              </w:rPr>
              <w:t>Type of ADF technology</w:t>
            </w:r>
          </w:p>
        </w:tc>
      </w:tr>
      <w:tr w:rsidR="00730F6A" w:rsidRPr="00A74330" w14:paraId="2B5B12EF" w14:textId="77777777" w:rsidTr="001736CC">
        <w:trPr>
          <w:trHeight w:hRule="exact" w:val="317"/>
        </w:trPr>
        <w:tc>
          <w:tcPr>
            <w:tcW w:w="922" w:type="dxa"/>
            <w:tcBorders>
              <w:top w:val="single" w:sz="2" w:space="0" w:color="000000"/>
              <w:left w:val="single" w:sz="2" w:space="0" w:color="000000"/>
              <w:bottom w:val="single" w:sz="2" w:space="0" w:color="000000"/>
              <w:right w:val="single" w:sz="2" w:space="0" w:color="000000"/>
            </w:tcBorders>
          </w:tcPr>
          <w:p w14:paraId="166AC140" w14:textId="77777777" w:rsidR="00730F6A" w:rsidRPr="00A74330" w:rsidRDefault="00730F6A" w:rsidP="001736CC">
            <w:pPr>
              <w:pStyle w:val="TableParagraph"/>
              <w:kinsoku w:val="0"/>
              <w:overflowPunct w:val="0"/>
              <w:ind w:left="387" w:right="389"/>
              <w:jc w:val="center"/>
              <w:rPr>
                <w:rFonts w:eastAsiaTheme="minorEastAsia"/>
                <w:sz w:val="20"/>
                <w:szCs w:val="20"/>
              </w:rPr>
            </w:pPr>
            <w:r w:rsidRPr="00A74330">
              <w:rPr>
                <w:rFonts w:eastAsiaTheme="minorEastAsia"/>
                <w:w w:val="105"/>
                <w:sz w:val="20"/>
                <w:szCs w:val="20"/>
              </w:rPr>
              <w:t xml:space="preserve">58   </w:t>
            </w:r>
          </w:p>
        </w:tc>
        <w:tc>
          <w:tcPr>
            <w:tcW w:w="7358" w:type="dxa"/>
            <w:tcBorders>
              <w:top w:val="single" w:sz="2" w:space="0" w:color="000000"/>
              <w:left w:val="single" w:sz="2" w:space="0" w:color="000000"/>
              <w:bottom w:val="single" w:sz="2" w:space="0" w:color="000000"/>
              <w:right w:val="single" w:sz="2" w:space="0" w:color="000000"/>
            </w:tcBorders>
          </w:tcPr>
          <w:p w14:paraId="18846D20" w14:textId="77777777" w:rsidR="00730F6A" w:rsidRPr="00A74330" w:rsidRDefault="00730F6A" w:rsidP="001736CC">
            <w:pPr>
              <w:pStyle w:val="TableParagraph"/>
              <w:kinsoku w:val="0"/>
              <w:overflowPunct w:val="0"/>
              <w:ind w:left="104"/>
              <w:rPr>
                <w:rFonts w:eastAsiaTheme="minorEastAsia"/>
                <w:sz w:val="20"/>
                <w:szCs w:val="20"/>
              </w:rPr>
            </w:pPr>
            <w:r w:rsidRPr="00A74330">
              <w:rPr>
                <w:rFonts w:eastAsiaTheme="minorEastAsia"/>
                <w:sz w:val="20"/>
                <w:szCs w:val="20"/>
              </w:rPr>
              <w:t>Manufacturer Post-Marketing data if available</w:t>
            </w:r>
          </w:p>
        </w:tc>
      </w:tr>
      <w:tr w:rsidR="00730F6A" w:rsidRPr="00A74330" w14:paraId="0BA5661F" w14:textId="77777777" w:rsidTr="001736CC">
        <w:trPr>
          <w:trHeight w:hRule="exact" w:val="317"/>
        </w:trPr>
        <w:tc>
          <w:tcPr>
            <w:tcW w:w="922" w:type="dxa"/>
            <w:tcBorders>
              <w:top w:val="single" w:sz="2" w:space="0" w:color="000000"/>
              <w:left w:val="single" w:sz="2" w:space="0" w:color="000000"/>
              <w:bottom w:val="single" w:sz="2" w:space="0" w:color="000000"/>
              <w:right w:val="single" w:sz="2" w:space="0" w:color="000000"/>
            </w:tcBorders>
          </w:tcPr>
          <w:p w14:paraId="5FF2180A" w14:textId="77777777" w:rsidR="00730F6A" w:rsidRPr="00A74330" w:rsidRDefault="00730F6A" w:rsidP="001736CC">
            <w:pPr>
              <w:pStyle w:val="TableParagraph"/>
              <w:kinsoku w:val="0"/>
              <w:overflowPunct w:val="0"/>
              <w:ind w:left="387" w:right="389"/>
              <w:jc w:val="center"/>
              <w:rPr>
                <w:rFonts w:eastAsiaTheme="minorEastAsia"/>
                <w:sz w:val="20"/>
                <w:szCs w:val="20"/>
              </w:rPr>
            </w:pPr>
            <w:r w:rsidRPr="00A74330">
              <w:rPr>
                <w:rFonts w:eastAsiaTheme="minorEastAsia"/>
                <w:sz w:val="20"/>
                <w:szCs w:val="20"/>
              </w:rPr>
              <w:t>6</w:t>
            </w:r>
          </w:p>
        </w:tc>
        <w:tc>
          <w:tcPr>
            <w:tcW w:w="7358" w:type="dxa"/>
            <w:tcBorders>
              <w:top w:val="single" w:sz="2" w:space="0" w:color="000000"/>
              <w:left w:val="single" w:sz="2" w:space="0" w:color="000000"/>
              <w:bottom w:val="single" w:sz="2" w:space="0" w:color="000000"/>
              <w:right w:val="single" w:sz="2" w:space="0" w:color="000000"/>
            </w:tcBorders>
          </w:tcPr>
          <w:p w14:paraId="659120D5" w14:textId="77777777" w:rsidR="00730F6A" w:rsidRPr="00A74330" w:rsidRDefault="00730F6A" w:rsidP="001736CC">
            <w:pPr>
              <w:pStyle w:val="TableParagraph"/>
              <w:kinsoku w:val="0"/>
              <w:overflowPunct w:val="0"/>
              <w:ind w:left="104"/>
              <w:rPr>
                <w:rFonts w:eastAsiaTheme="minorEastAsia"/>
                <w:sz w:val="20"/>
                <w:szCs w:val="20"/>
              </w:rPr>
            </w:pPr>
            <w:r w:rsidRPr="00A74330">
              <w:rPr>
                <w:rFonts w:eastAsiaTheme="minorEastAsia"/>
                <w:w w:val="105"/>
                <w:sz w:val="20"/>
                <w:szCs w:val="20"/>
              </w:rPr>
              <w:t>Additional references</w:t>
            </w:r>
          </w:p>
        </w:tc>
      </w:tr>
    </w:tbl>
    <w:p w14:paraId="634B6576" w14:textId="77777777" w:rsidR="00730F6A" w:rsidRDefault="00730F6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4067F" w14:textId="77777777" w:rsidR="00730F6A" w:rsidRDefault="00730F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2EC5" w14:textId="77777777" w:rsidR="00730F6A" w:rsidRDefault="00730F6A">
    <w:pPr>
      <w:pStyle w:val="Footer"/>
      <w:jc w:val="right"/>
    </w:pPr>
    <w:r>
      <w:fldChar w:fldCharType="begin"/>
    </w:r>
    <w:r>
      <w:instrText xml:space="preserve"> PAGE   \* MERGEFORMAT </w:instrText>
    </w:r>
    <w:r>
      <w:fldChar w:fldCharType="separate"/>
    </w:r>
    <w:r w:rsidR="002E6073">
      <w:rPr>
        <w:noProof/>
      </w:rPr>
      <w:t>1</w:t>
    </w:r>
    <w:r>
      <w:rPr>
        <w:noProof/>
      </w:rPr>
      <w:fldChar w:fldCharType="end"/>
    </w:r>
  </w:p>
  <w:p w14:paraId="3CF120F2" w14:textId="77777777" w:rsidR="00730F6A" w:rsidRDefault="00730F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BBE4A" w14:textId="77777777" w:rsidR="00730F6A" w:rsidRDefault="00730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C3CD3" w14:textId="77777777" w:rsidR="006A33AC" w:rsidRDefault="006A33AC" w:rsidP="002931BB">
      <w:r>
        <w:separator/>
      </w:r>
    </w:p>
  </w:footnote>
  <w:footnote w:type="continuationSeparator" w:id="0">
    <w:p w14:paraId="66E7E92F" w14:textId="77777777" w:rsidR="006A33AC" w:rsidRDefault="006A33AC" w:rsidP="00293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C243C" w14:textId="77777777" w:rsidR="00730F6A" w:rsidRDefault="00730F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460F4" w14:textId="77777777" w:rsidR="00730F6A" w:rsidRDefault="002E6073">
    <w:pPr>
      <w:pStyle w:val="Header"/>
    </w:pPr>
    <w:r>
      <w:rPr>
        <w:noProof/>
        <w:lang w:eastAsia="zh-TW"/>
      </w:rPr>
      <w:pict w14:anchorId="603C2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5CE1E" w14:textId="77777777" w:rsidR="00730F6A" w:rsidRDefault="00730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269"/>
      </w:pPr>
      <w:rPr>
        <w:rFonts w:ascii="Arial" w:hAnsi="Arial"/>
        <w:b w:val="0"/>
        <w:w w:val="135"/>
        <w:sz w:val="21"/>
      </w:rPr>
    </w:lvl>
    <w:lvl w:ilvl="1">
      <w:numFmt w:val="bullet"/>
      <w:lvlText w:val="—"/>
      <w:lvlJc w:val="left"/>
      <w:pPr>
        <w:ind w:hanging="360"/>
      </w:pPr>
      <w:rPr>
        <w:rFonts w:ascii="Times New Roman" w:hAnsi="Times New Roman"/>
        <w:b w:val="0"/>
        <w:w w:val="102"/>
        <w:sz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360"/>
      </w:pPr>
      <w:rPr>
        <w:rFonts w:ascii="Times New Roman" w:hAnsi="Times New Roman" w:cs="Times New Roman"/>
        <w:b w:val="0"/>
        <w:bCs w:val="0"/>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244267B"/>
    <w:multiLevelType w:val="multilevel"/>
    <w:tmpl w:val="8ACC5C7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32978AF"/>
    <w:multiLevelType w:val="hybridMultilevel"/>
    <w:tmpl w:val="E5906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484D74"/>
    <w:multiLevelType w:val="hybridMultilevel"/>
    <w:tmpl w:val="324A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E2945"/>
    <w:multiLevelType w:val="hybridMultilevel"/>
    <w:tmpl w:val="DFA4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60E11"/>
    <w:multiLevelType w:val="hybridMultilevel"/>
    <w:tmpl w:val="8ACC5C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010FA6"/>
    <w:multiLevelType w:val="multilevel"/>
    <w:tmpl w:val="5D6456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BC182C"/>
    <w:multiLevelType w:val="hybridMultilevel"/>
    <w:tmpl w:val="20CE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B7015"/>
    <w:multiLevelType w:val="hybridMultilevel"/>
    <w:tmpl w:val="953486EE"/>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10">
    <w:nsid w:val="257954AF"/>
    <w:multiLevelType w:val="hybridMultilevel"/>
    <w:tmpl w:val="5D645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9210E4"/>
    <w:multiLevelType w:val="hybridMultilevel"/>
    <w:tmpl w:val="596E6D2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2EC4615B"/>
    <w:multiLevelType w:val="multilevel"/>
    <w:tmpl w:val="B7B88396"/>
    <w:lvl w:ilvl="0">
      <w:start w:val="1"/>
      <w:numFmt w:val="upperRoman"/>
      <w:lvlText w:val="%1."/>
      <w:lvlJc w:val="left"/>
      <w:pPr>
        <w:ind w:left="99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CB68F5"/>
    <w:multiLevelType w:val="hybridMultilevel"/>
    <w:tmpl w:val="B8F8B4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0F7433E"/>
    <w:multiLevelType w:val="hybridMultilevel"/>
    <w:tmpl w:val="D76A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1F7E25"/>
    <w:multiLevelType w:val="multilevel"/>
    <w:tmpl w:val="92FAFC3C"/>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6">
    <w:nsid w:val="366D4074"/>
    <w:multiLevelType w:val="multilevel"/>
    <w:tmpl w:val="596E6D26"/>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7">
    <w:nsid w:val="37B2757B"/>
    <w:multiLevelType w:val="hybridMultilevel"/>
    <w:tmpl w:val="71A4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E16362"/>
    <w:multiLevelType w:val="hybridMultilevel"/>
    <w:tmpl w:val="FCC0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8F498D"/>
    <w:multiLevelType w:val="hybridMultilevel"/>
    <w:tmpl w:val="F89C1F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561BC8"/>
    <w:multiLevelType w:val="hybridMultilevel"/>
    <w:tmpl w:val="9084C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1134D4"/>
    <w:multiLevelType w:val="hybridMultilevel"/>
    <w:tmpl w:val="AB0E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CC0C76"/>
    <w:multiLevelType w:val="hybridMultilevel"/>
    <w:tmpl w:val="6A1048B0"/>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3">
    <w:nsid w:val="6BB415DB"/>
    <w:multiLevelType w:val="multilevel"/>
    <w:tmpl w:val="F89C1F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6C542453"/>
    <w:multiLevelType w:val="hybridMultilevel"/>
    <w:tmpl w:val="7D0E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CB2215"/>
    <w:multiLevelType w:val="hybridMultilevel"/>
    <w:tmpl w:val="83F0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315F3"/>
    <w:multiLevelType w:val="hybridMultilevel"/>
    <w:tmpl w:val="6A84B694"/>
    <w:lvl w:ilvl="0" w:tplc="04090013">
      <w:start w:val="1"/>
      <w:numFmt w:val="upperRoman"/>
      <w:lvlText w:val="%1."/>
      <w:lvlJc w:val="right"/>
      <w:pPr>
        <w:ind w:left="810" w:hanging="18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73457D2B"/>
    <w:multiLevelType w:val="hybridMultilevel"/>
    <w:tmpl w:val="710C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AD59A1"/>
    <w:multiLevelType w:val="hybridMultilevel"/>
    <w:tmpl w:val="B7B88396"/>
    <w:lvl w:ilvl="0" w:tplc="E6863374">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6E7C50"/>
    <w:multiLevelType w:val="hybridMultilevel"/>
    <w:tmpl w:val="6B5E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0"/>
  </w:num>
  <w:num w:numId="5">
    <w:abstractNumId w:val="10"/>
  </w:num>
  <w:num w:numId="6">
    <w:abstractNumId w:val="24"/>
  </w:num>
  <w:num w:numId="7">
    <w:abstractNumId w:val="8"/>
  </w:num>
  <w:num w:numId="8">
    <w:abstractNumId w:val="17"/>
  </w:num>
  <w:num w:numId="9">
    <w:abstractNumId w:val="14"/>
  </w:num>
  <w:num w:numId="10">
    <w:abstractNumId w:val="25"/>
  </w:num>
  <w:num w:numId="11">
    <w:abstractNumId w:val="18"/>
  </w:num>
  <w:num w:numId="12">
    <w:abstractNumId w:val="9"/>
  </w:num>
  <w:num w:numId="13">
    <w:abstractNumId w:val="27"/>
  </w:num>
  <w:num w:numId="14">
    <w:abstractNumId w:val="21"/>
  </w:num>
  <w:num w:numId="15">
    <w:abstractNumId w:val="29"/>
  </w:num>
  <w:num w:numId="16">
    <w:abstractNumId w:val="22"/>
  </w:num>
  <w:num w:numId="17">
    <w:abstractNumId w:val="28"/>
  </w:num>
  <w:num w:numId="18">
    <w:abstractNumId w:val="4"/>
  </w:num>
  <w:num w:numId="19">
    <w:abstractNumId w:val="3"/>
  </w:num>
  <w:num w:numId="20">
    <w:abstractNumId w:val="26"/>
  </w:num>
  <w:num w:numId="21">
    <w:abstractNumId w:val="15"/>
  </w:num>
  <w:num w:numId="22">
    <w:abstractNumId w:val="7"/>
  </w:num>
  <w:num w:numId="23">
    <w:abstractNumId w:val="11"/>
  </w:num>
  <w:num w:numId="24">
    <w:abstractNumId w:val="16"/>
  </w:num>
  <w:num w:numId="25">
    <w:abstractNumId w:val="19"/>
  </w:num>
  <w:num w:numId="26">
    <w:abstractNumId w:val="23"/>
  </w:num>
  <w:num w:numId="27">
    <w:abstractNumId w:val="6"/>
  </w:num>
  <w:num w:numId="28">
    <w:abstractNumId w:val="2"/>
  </w:num>
  <w:num w:numId="29">
    <w:abstractNumId w:val="1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38E"/>
    <w:rsid w:val="00017F91"/>
    <w:rsid w:val="00022FC4"/>
    <w:rsid w:val="00031135"/>
    <w:rsid w:val="00041BDC"/>
    <w:rsid w:val="000422F1"/>
    <w:rsid w:val="000528AD"/>
    <w:rsid w:val="00072838"/>
    <w:rsid w:val="000913E4"/>
    <w:rsid w:val="000924BC"/>
    <w:rsid w:val="000975C1"/>
    <w:rsid w:val="000E6B75"/>
    <w:rsid w:val="000F1FAA"/>
    <w:rsid w:val="0010186E"/>
    <w:rsid w:val="0012098E"/>
    <w:rsid w:val="00160EE9"/>
    <w:rsid w:val="001736CC"/>
    <w:rsid w:val="001A4D94"/>
    <w:rsid w:val="001A68BA"/>
    <w:rsid w:val="001D1844"/>
    <w:rsid w:val="00205EF3"/>
    <w:rsid w:val="00215EA8"/>
    <w:rsid w:val="0025103D"/>
    <w:rsid w:val="00252AB6"/>
    <w:rsid w:val="00292705"/>
    <w:rsid w:val="002931BB"/>
    <w:rsid w:val="002B2A96"/>
    <w:rsid w:val="002E6073"/>
    <w:rsid w:val="002F46FA"/>
    <w:rsid w:val="00312923"/>
    <w:rsid w:val="00343039"/>
    <w:rsid w:val="0039378A"/>
    <w:rsid w:val="003C3BF1"/>
    <w:rsid w:val="003C428B"/>
    <w:rsid w:val="003D461C"/>
    <w:rsid w:val="003D70D1"/>
    <w:rsid w:val="003E2819"/>
    <w:rsid w:val="003F4D2F"/>
    <w:rsid w:val="003F7B43"/>
    <w:rsid w:val="00406663"/>
    <w:rsid w:val="00417D78"/>
    <w:rsid w:val="00421D7C"/>
    <w:rsid w:val="00423BD4"/>
    <w:rsid w:val="00445CE3"/>
    <w:rsid w:val="00461AE3"/>
    <w:rsid w:val="00495ABD"/>
    <w:rsid w:val="004B191F"/>
    <w:rsid w:val="004B5BE8"/>
    <w:rsid w:val="004E5D38"/>
    <w:rsid w:val="004F0968"/>
    <w:rsid w:val="00514F5D"/>
    <w:rsid w:val="00563A17"/>
    <w:rsid w:val="00566B54"/>
    <w:rsid w:val="00571FF9"/>
    <w:rsid w:val="005769FB"/>
    <w:rsid w:val="00585381"/>
    <w:rsid w:val="00596DA3"/>
    <w:rsid w:val="005C6B05"/>
    <w:rsid w:val="005F5A97"/>
    <w:rsid w:val="00636ED0"/>
    <w:rsid w:val="00652A67"/>
    <w:rsid w:val="006667A5"/>
    <w:rsid w:val="00670EE4"/>
    <w:rsid w:val="00697AAC"/>
    <w:rsid w:val="006A0699"/>
    <w:rsid w:val="006A33AC"/>
    <w:rsid w:val="006A6242"/>
    <w:rsid w:val="006B041B"/>
    <w:rsid w:val="006C47CF"/>
    <w:rsid w:val="006C6BBF"/>
    <w:rsid w:val="006D62DB"/>
    <w:rsid w:val="006F05FF"/>
    <w:rsid w:val="006F2F5E"/>
    <w:rsid w:val="00730F6A"/>
    <w:rsid w:val="00731E27"/>
    <w:rsid w:val="00735E02"/>
    <w:rsid w:val="007603B9"/>
    <w:rsid w:val="00761C0C"/>
    <w:rsid w:val="00763128"/>
    <w:rsid w:val="00764566"/>
    <w:rsid w:val="00767C83"/>
    <w:rsid w:val="007A249E"/>
    <w:rsid w:val="007A2768"/>
    <w:rsid w:val="007B0B65"/>
    <w:rsid w:val="007B4F0F"/>
    <w:rsid w:val="007C1E84"/>
    <w:rsid w:val="007D6BE3"/>
    <w:rsid w:val="007E4670"/>
    <w:rsid w:val="008068BB"/>
    <w:rsid w:val="008134E0"/>
    <w:rsid w:val="0082113F"/>
    <w:rsid w:val="008457BA"/>
    <w:rsid w:val="008F394F"/>
    <w:rsid w:val="008F4453"/>
    <w:rsid w:val="00922643"/>
    <w:rsid w:val="00935F39"/>
    <w:rsid w:val="009373D2"/>
    <w:rsid w:val="009435CC"/>
    <w:rsid w:val="009438AF"/>
    <w:rsid w:val="00996BD7"/>
    <w:rsid w:val="009B18E5"/>
    <w:rsid w:val="009E13C9"/>
    <w:rsid w:val="00A13620"/>
    <w:rsid w:val="00A259F3"/>
    <w:rsid w:val="00A3438E"/>
    <w:rsid w:val="00A3520A"/>
    <w:rsid w:val="00A36979"/>
    <w:rsid w:val="00A37A0D"/>
    <w:rsid w:val="00A46AF1"/>
    <w:rsid w:val="00A56FA6"/>
    <w:rsid w:val="00A74330"/>
    <w:rsid w:val="00A7775E"/>
    <w:rsid w:val="00AA2917"/>
    <w:rsid w:val="00AA6416"/>
    <w:rsid w:val="00AB778D"/>
    <w:rsid w:val="00AC02F1"/>
    <w:rsid w:val="00B10D83"/>
    <w:rsid w:val="00B55F4C"/>
    <w:rsid w:val="00BB2FB0"/>
    <w:rsid w:val="00BD6523"/>
    <w:rsid w:val="00BE36F6"/>
    <w:rsid w:val="00BF31F2"/>
    <w:rsid w:val="00BF704D"/>
    <w:rsid w:val="00C004F3"/>
    <w:rsid w:val="00C0412D"/>
    <w:rsid w:val="00C07C41"/>
    <w:rsid w:val="00C22615"/>
    <w:rsid w:val="00C4266C"/>
    <w:rsid w:val="00C53406"/>
    <w:rsid w:val="00C62418"/>
    <w:rsid w:val="00C76CB0"/>
    <w:rsid w:val="00C85E97"/>
    <w:rsid w:val="00C86740"/>
    <w:rsid w:val="00C948A9"/>
    <w:rsid w:val="00CA1464"/>
    <w:rsid w:val="00CE6756"/>
    <w:rsid w:val="00D020EE"/>
    <w:rsid w:val="00D276E4"/>
    <w:rsid w:val="00D43212"/>
    <w:rsid w:val="00D613B6"/>
    <w:rsid w:val="00DB6EC3"/>
    <w:rsid w:val="00E362E5"/>
    <w:rsid w:val="00E45FAF"/>
    <w:rsid w:val="00E47404"/>
    <w:rsid w:val="00E54757"/>
    <w:rsid w:val="00E8394A"/>
    <w:rsid w:val="00EA4662"/>
    <w:rsid w:val="00EA6D54"/>
    <w:rsid w:val="00F250ED"/>
    <w:rsid w:val="00F41A51"/>
    <w:rsid w:val="00F455D2"/>
    <w:rsid w:val="00F54844"/>
    <w:rsid w:val="00F61A8D"/>
    <w:rsid w:val="00F83E36"/>
    <w:rsid w:val="00F92C75"/>
    <w:rsid w:val="00F940B6"/>
    <w:rsid w:val="00FB1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9F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00"/>
      <w:outlineLvl w:val="0"/>
    </w:pPr>
    <w:rPr>
      <w:rFonts w:ascii="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spacing w:before="93"/>
      <w:ind w:left="460" w:hanging="269"/>
    </w:pPr>
    <w:rPr>
      <w:sz w:val="21"/>
      <w:szCs w:val="21"/>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31BB"/>
    <w:pPr>
      <w:tabs>
        <w:tab w:val="center" w:pos="4680"/>
        <w:tab w:val="right" w:pos="9360"/>
      </w:tabs>
    </w:pPr>
  </w:style>
  <w:style w:type="character" w:customStyle="1" w:styleId="HeaderChar">
    <w:name w:val="Header Char"/>
    <w:basedOn w:val="DefaultParagraphFont"/>
    <w:link w:val="Header"/>
    <w:uiPriority w:val="99"/>
    <w:rsid w:val="002931BB"/>
    <w:rPr>
      <w:rFonts w:ascii="Times New Roman" w:hAnsi="Times New Roman"/>
      <w:sz w:val="24"/>
      <w:szCs w:val="24"/>
    </w:rPr>
  </w:style>
  <w:style w:type="paragraph" w:styleId="Footer">
    <w:name w:val="footer"/>
    <w:basedOn w:val="Normal"/>
    <w:link w:val="FooterChar"/>
    <w:uiPriority w:val="99"/>
    <w:unhideWhenUsed/>
    <w:rsid w:val="002931BB"/>
    <w:pPr>
      <w:tabs>
        <w:tab w:val="center" w:pos="4680"/>
        <w:tab w:val="right" w:pos="9360"/>
      </w:tabs>
    </w:pPr>
  </w:style>
  <w:style w:type="character" w:customStyle="1" w:styleId="FooterChar">
    <w:name w:val="Footer Char"/>
    <w:basedOn w:val="DefaultParagraphFont"/>
    <w:link w:val="Footer"/>
    <w:uiPriority w:val="99"/>
    <w:rsid w:val="002931BB"/>
    <w:rPr>
      <w:rFonts w:ascii="Times New Roman" w:hAnsi="Times New Roman"/>
      <w:sz w:val="24"/>
      <w:szCs w:val="24"/>
    </w:rPr>
  </w:style>
  <w:style w:type="character" w:styleId="CommentReference">
    <w:name w:val="annotation reference"/>
    <w:basedOn w:val="DefaultParagraphFont"/>
    <w:uiPriority w:val="99"/>
    <w:semiHidden/>
    <w:unhideWhenUsed/>
    <w:rsid w:val="002931BB"/>
    <w:rPr>
      <w:sz w:val="16"/>
      <w:szCs w:val="16"/>
    </w:rPr>
  </w:style>
  <w:style w:type="paragraph" w:styleId="CommentText">
    <w:name w:val="annotation text"/>
    <w:basedOn w:val="Normal"/>
    <w:link w:val="CommentTextChar"/>
    <w:uiPriority w:val="99"/>
    <w:unhideWhenUsed/>
    <w:rsid w:val="002931BB"/>
    <w:rPr>
      <w:sz w:val="20"/>
      <w:szCs w:val="20"/>
    </w:rPr>
  </w:style>
  <w:style w:type="character" w:customStyle="1" w:styleId="CommentTextChar">
    <w:name w:val="Comment Text Char"/>
    <w:basedOn w:val="DefaultParagraphFont"/>
    <w:link w:val="CommentText"/>
    <w:uiPriority w:val="99"/>
    <w:rsid w:val="002931B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931BB"/>
    <w:rPr>
      <w:b/>
      <w:bCs/>
    </w:rPr>
  </w:style>
  <w:style w:type="character" w:customStyle="1" w:styleId="CommentSubjectChar">
    <w:name w:val="Comment Subject Char"/>
    <w:basedOn w:val="CommentTextChar"/>
    <w:link w:val="CommentSubject"/>
    <w:uiPriority w:val="99"/>
    <w:semiHidden/>
    <w:rsid w:val="002931BB"/>
    <w:rPr>
      <w:rFonts w:ascii="Times New Roman" w:hAnsi="Times New Roman"/>
      <w:b/>
      <w:bCs/>
      <w:sz w:val="20"/>
      <w:szCs w:val="20"/>
    </w:rPr>
  </w:style>
  <w:style w:type="paragraph" w:styleId="BalloonText">
    <w:name w:val="Balloon Text"/>
    <w:basedOn w:val="Normal"/>
    <w:link w:val="BalloonTextChar"/>
    <w:uiPriority w:val="99"/>
    <w:semiHidden/>
    <w:unhideWhenUsed/>
    <w:rsid w:val="002931BB"/>
    <w:rPr>
      <w:rFonts w:ascii="Tahoma" w:hAnsi="Tahoma" w:cs="Tahoma"/>
      <w:sz w:val="16"/>
      <w:szCs w:val="16"/>
    </w:rPr>
  </w:style>
  <w:style w:type="character" w:customStyle="1" w:styleId="BalloonTextChar">
    <w:name w:val="Balloon Text Char"/>
    <w:basedOn w:val="DefaultParagraphFont"/>
    <w:link w:val="BalloonText"/>
    <w:uiPriority w:val="99"/>
    <w:semiHidden/>
    <w:rsid w:val="002931BB"/>
    <w:rPr>
      <w:rFonts w:ascii="Tahoma" w:hAnsi="Tahoma" w:cs="Tahoma"/>
      <w:sz w:val="16"/>
      <w:szCs w:val="16"/>
    </w:rPr>
  </w:style>
  <w:style w:type="table" w:styleId="TableGrid">
    <w:name w:val="Table Grid"/>
    <w:basedOn w:val="TableNormal"/>
    <w:uiPriority w:val="59"/>
    <w:rsid w:val="001A6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B2FB0"/>
    <w:rPr>
      <w:sz w:val="20"/>
      <w:szCs w:val="20"/>
    </w:rPr>
  </w:style>
  <w:style w:type="character" w:customStyle="1" w:styleId="EndnoteTextChar">
    <w:name w:val="Endnote Text Char"/>
    <w:basedOn w:val="DefaultParagraphFont"/>
    <w:link w:val="EndnoteText"/>
    <w:uiPriority w:val="99"/>
    <w:semiHidden/>
    <w:rsid w:val="00BB2FB0"/>
    <w:rPr>
      <w:rFonts w:ascii="Times New Roman" w:hAnsi="Times New Roman"/>
    </w:rPr>
  </w:style>
  <w:style w:type="character" w:styleId="EndnoteReference">
    <w:name w:val="endnote reference"/>
    <w:basedOn w:val="DefaultParagraphFont"/>
    <w:uiPriority w:val="99"/>
    <w:semiHidden/>
    <w:unhideWhenUsed/>
    <w:rsid w:val="00BB2FB0"/>
    <w:rPr>
      <w:vertAlign w:val="superscript"/>
    </w:rPr>
  </w:style>
  <w:style w:type="character" w:styleId="Hyperlink">
    <w:name w:val="Hyperlink"/>
    <w:basedOn w:val="DefaultParagraphFont"/>
    <w:uiPriority w:val="99"/>
    <w:unhideWhenUsed/>
    <w:rsid w:val="00636ED0"/>
    <w:rPr>
      <w:color w:val="0000FF" w:themeColor="hyperlink"/>
      <w:u w:val="single"/>
    </w:rPr>
  </w:style>
  <w:style w:type="character" w:styleId="FollowedHyperlink">
    <w:name w:val="FollowedHyperlink"/>
    <w:basedOn w:val="DefaultParagraphFont"/>
    <w:uiPriority w:val="99"/>
    <w:semiHidden/>
    <w:unhideWhenUsed/>
    <w:rsid w:val="003129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00"/>
      <w:outlineLvl w:val="0"/>
    </w:pPr>
    <w:rPr>
      <w:rFonts w:ascii="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spacing w:before="93"/>
      <w:ind w:left="460" w:hanging="269"/>
    </w:pPr>
    <w:rPr>
      <w:sz w:val="21"/>
      <w:szCs w:val="21"/>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31BB"/>
    <w:pPr>
      <w:tabs>
        <w:tab w:val="center" w:pos="4680"/>
        <w:tab w:val="right" w:pos="9360"/>
      </w:tabs>
    </w:pPr>
  </w:style>
  <w:style w:type="character" w:customStyle="1" w:styleId="HeaderChar">
    <w:name w:val="Header Char"/>
    <w:basedOn w:val="DefaultParagraphFont"/>
    <w:link w:val="Header"/>
    <w:uiPriority w:val="99"/>
    <w:rsid w:val="002931BB"/>
    <w:rPr>
      <w:rFonts w:ascii="Times New Roman" w:hAnsi="Times New Roman"/>
      <w:sz w:val="24"/>
      <w:szCs w:val="24"/>
    </w:rPr>
  </w:style>
  <w:style w:type="paragraph" w:styleId="Footer">
    <w:name w:val="footer"/>
    <w:basedOn w:val="Normal"/>
    <w:link w:val="FooterChar"/>
    <w:uiPriority w:val="99"/>
    <w:unhideWhenUsed/>
    <w:rsid w:val="002931BB"/>
    <w:pPr>
      <w:tabs>
        <w:tab w:val="center" w:pos="4680"/>
        <w:tab w:val="right" w:pos="9360"/>
      </w:tabs>
    </w:pPr>
  </w:style>
  <w:style w:type="character" w:customStyle="1" w:styleId="FooterChar">
    <w:name w:val="Footer Char"/>
    <w:basedOn w:val="DefaultParagraphFont"/>
    <w:link w:val="Footer"/>
    <w:uiPriority w:val="99"/>
    <w:rsid w:val="002931BB"/>
    <w:rPr>
      <w:rFonts w:ascii="Times New Roman" w:hAnsi="Times New Roman"/>
      <w:sz w:val="24"/>
      <w:szCs w:val="24"/>
    </w:rPr>
  </w:style>
  <w:style w:type="character" w:styleId="CommentReference">
    <w:name w:val="annotation reference"/>
    <w:basedOn w:val="DefaultParagraphFont"/>
    <w:uiPriority w:val="99"/>
    <w:semiHidden/>
    <w:unhideWhenUsed/>
    <w:rsid w:val="002931BB"/>
    <w:rPr>
      <w:sz w:val="16"/>
      <w:szCs w:val="16"/>
    </w:rPr>
  </w:style>
  <w:style w:type="paragraph" w:styleId="CommentText">
    <w:name w:val="annotation text"/>
    <w:basedOn w:val="Normal"/>
    <w:link w:val="CommentTextChar"/>
    <w:uiPriority w:val="99"/>
    <w:unhideWhenUsed/>
    <w:rsid w:val="002931BB"/>
    <w:rPr>
      <w:sz w:val="20"/>
      <w:szCs w:val="20"/>
    </w:rPr>
  </w:style>
  <w:style w:type="character" w:customStyle="1" w:styleId="CommentTextChar">
    <w:name w:val="Comment Text Char"/>
    <w:basedOn w:val="DefaultParagraphFont"/>
    <w:link w:val="CommentText"/>
    <w:uiPriority w:val="99"/>
    <w:rsid w:val="002931B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931BB"/>
    <w:rPr>
      <w:b/>
      <w:bCs/>
    </w:rPr>
  </w:style>
  <w:style w:type="character" w:customStyle="1" w:styleId="CommentSubjectChar">
    <w:name w:val="Comment Subject Char"/>
    <w:basedOn w:val="CommentTextChar"/>
    <w:link w:val="CommentSubject"/>
    <w:uiPriority w:val="99"/>
    <w:semiHidden/>
    <w:rsid w:val="002931BB"/>
    <w:rPr>
      <w:rFonts w:ascii="Times New Roman" w:hAnsi="Times New Roman"/>
      <w:b/>
      <w:bCs/>
      <w:sz w:val="20"/>
      <w:szCs w:val="20"/>
    </w:rPr>
  </w:style>
  <w:style w:type="paragraph" w:styleId="BalloonText">
    <w:name w:val="Balloon Text"/>
    <w:basedOn w:val="Normal"/>
    <w:link w:val="BalloonTextChar"/>
    <w:uiPriority w:val="99"/>
    <w:semiHidden/>
    <w:unhideWhenUsed/>
    <w:rsid w:val="002931BB"/>
    <w:rPr>
      <w:rFonts w:ascii="Tahoma" w:hAnsi="Tahoma" w:cs="Tahoma"/>
      <w:sz w:val="16"/>
      <w:szCs w:val="16"/>
    </w:rPr>
  </w:style>
  <w:style w:type="character" w:customStyle="1" w:styleId="BalloonTextChar">
    <w:name w:val="Balloon Text Char"/>
    <w:basedOn w:val="DefaultParagraphFont"/>
    <w:link w:val="BalloonText"/>
    <w:uiPriority w:val="99"/>
    <w:semiHidden/>
    <w:rsid w:val="002931BB"/>
    <w:rPr>
      <w:rFonts w:ascii="Tahoma" w:hAnsi="Tahoma" w:cs="Tahoma"/>
      <w:sz w:val="16"/>
      <w:szCs w:val="16"/>
    </w:rPr>
  </w:style>
  <w:style w:type="table" w:styleId="TableGrid">
    <w:name w:val="Table Grid"/>
    <w:basedOn w:val="TableNormal"/>
    <w:uiPriority w:val="59"/>
    <w:rsid w:val="001A6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B2FB0"/>
    <w:rPr>
      <w:sz w:val="20"/>
      <w:szCs w:val="20"/>
    </w:rPr>
  </w:style>
  <w:style w:type="character" w:customStyle="1" w:styleId="EndnoteTextChar">
    <w:name w:val="Endnote Text Char"/>
    <w:basedOn w:val="DefaultParagraphFont"/>
    <w:link w:val="EndnoteText"/>
    <w:uiPriority w:val="99"/>
    <w:semiHidden/>
    <w:rsid w:val="00BB2FB0"/>
    <w:rPr>
      <w:rFonts w:ascii="Times New Roman" w:hAnsi="Times New Roman"/>
    </w:rPr>
  </w:style>
  <w:style w:type="character" w:styleId="EndnoteReference">
    <w:name w:val="endnote reference"/>
    <w:basedOn w:val="DefaultParagraphFont"/>
    <w:uiPriority w:val="99"/>
    <w:semiHidden/>
    <w:unhideWhenUsed/>
    <w:rsid w:val="00BB2FB0"/>
    <w:rPr>
      <w:vertAlign w:val="superscript"/>
    </w:rPr>
  </w:style>
  <w:style w:type="character" w:styleId="Hyperlink">
    <w:name w:val="Hyperlink"/>
    <w:basedOn w:val="DefaultParagraphFont"/>
    <w:uiPriority w:val="99"/>
    <w:unhideWhenUsed/>
    <w:rsid w:val="00636ED0"/>
    <w:rPr>
      <w:color w:val="0000FF" w:themeColor="hyperlink"/>
      <w:u w:val="single"/>
    </w:rPr>
  </w:style>
  <w:style w:type="character" w:styleId="FollowedHyperlink">
    <w:name w:val="FollowedHyperlink"/>
    <w:basedOn w:val="DefaultParagraphFont"/>
    <w:uiPriority w:val="99"/>
    <w:semiHidden/>
    <w:unhideWhenUsed/>
    <w:rsid w:val="003129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dx.doi.org/10.1002%2Fpds.2129"/>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dx.doi.org/10.1037%2Fa00136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52907-FC4F-4715-92B4-3CBB5425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1761</Words>
  <Characters>10797</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Microsoft Word - Evaluating Drugs for Formulary</vt:lpstr>
    </vt:vector>
  </TitlesOfParts>
  <Company>EOHHS</Company>
  <LinksUpToDate>false</LinksUpToDate>
  <CharactersWithSpaces>12533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2015-12-14T17:47:00Z</dcterms:created>
  <dc:creator>Stan Weber</dc:creator>
  <lastModifiedBy/>
  <lastPrinted>2015-10-14T14:19:00Z</lastPrinted>
  <dcterms:modified xsi:type="dcterms:W3CDTF">2015-12-14T17:47:00Z</dcterms:modified>
  <revision>2</revision>
  <dc:title>Microsoft Word - Evaluating Drugs for Formulary</dc:title>
</coreProperties>
</file>