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E07FA" w14:textId="03EEBB33"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r w:rsidRPr="001071FD">
        <w:rPr>
          <w:rFonts w:cs="Arial"/>
          <w:b/>
          <w:bCs/>
          <w:smallCaps/>
          <w:color w:val="000000" w:themeColor="text1"/>
          <w:sz w:val="32"/>
          <w:szCs w:val="32"/>
        </w:rPr>
        <w:t>State Performance Plan / Annual Performance Report: Part C</w:t>
      </w:r>
    </w:p>
    <w:p w14:paraId="35A4F3A3" w14:textId="1C32BC71"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for STATE FORMULA GRANT PROGRAMS under the Individuals with Disabilities Education Act</w:t>
      </w:r>
    </w:p>
    <w:p w14:paraId="14238AAF" w14:textId="29BE8FEC"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FFY 2020</w:t>
      </w:r>
    </w:p>
    <w:p w14:paraId="328C2694"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Massachusetts</w:t>
      </w:r>
    </w:p>
    <w:p w14:paraId="45B0CEC9"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2AF9D8C0" w14:textId="0EA41213"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Pr="005C29F8">
        <w:rPr>
          <w:rFonts w:cs="Arial"/>
          <w:b/>
          <w:bCs/>
          <w:color w:val="000000" w:themeColor="text1"/>
          <w:sz w:val="24"/>
          <w:szCs w:val="24"/>
        </w:rPr>
        <w:t xml:space="preserve">February </w:t>
      </w:r>
      <w:r>
        <w:rPr>
          <w:rFonts w:cs="Arial"/>
          <w:b/>
          <w:bCs/>
          <w:color w:val="000000" w:themeColor="text1"/>
          <w:sz w:val="24"/>
          <w:szCs w:val="24"/>
        </w:rPr>
        <w:t>1</w:t>
      </w:r>
      <w:r w:rsidRPr="005C29F8">
        <w:rPr>
          <w:rFonts w:cs="Arial"/>
          <w:b/>
          <w:bCs/>
          <w:color w:val="000000" w:themeColor="text1"/>
          <w:sz w:val="24"/>
          <w:szCs w:val="24"/>
        </w:rPr>
        <w:t xml:space="preserve">, </w:t>
      </w:r>
      <w:r w:rsidR="00F22D09">
        <w:rPr>
          <w:rFonts w:cs="Arial"/>
          <w:b/>
          <w:bCs/>
          <w:color w:val="000000" w:themeColor="text1"/>
          <w:sz w:val="24"/>
          <w:szCs w:val="24"/>
        </w:rPr>
        <w:t>2022</w:t>
      </w:r>
    </w:p>
    <w:p w14:paraId="4DFD0E86"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0022FD2E" w14:textId="6A23E138"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30F07D4A" w14:textId="17EF1B20" w:rsidR="00181DEB" w:rsidRPr="00ED172B" w:rsidRDefault="00F563DA" w:rsidP="00F563DA">
      <w:pPr>
        <w:pStyle w:val="Heading1"/>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p>
    <w:p w14:paraId="51365A5D"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2D358717" w14:textId="30358795"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Provide sufficient detail to ensure that the Secretary and the public are informed of and understand the State’s systems designed to drive improved results for infants and toddlers with disabilities and their families and to ensure that the Lead Agency (LA) meets the requirements of Part C of the IDEA. This introduction must include descriptions of the State’s General Supervision System, Technical Assistance System, Professional Development System, Stakeholder Involvement, and Reporting to the Public.</w:t>
      </w:r>
    </w:p>
    <w:p w14:paraId="0DFB17FF" w14:textId="49892274" w:rsidR="00042EBF" w:rsidRPr="00A40EE1" w:rsidRDefault="00571E72" w:rsidP="00C15786">
      <w:pPr>
        <w:pStyle w:val="Heading2"/>
      </w:pPr>
      <w:r w:rsidRPr="00A40EE1">
        <w:t xml:space="preserve">Intro - </w:t>
      </w:r>
      <w:r w:rsidR="00042EBF" w:rsidRPr="00A40EE1">
        <w:t>Indicator Data</w:t>
      </w:r>
    </w:p>
    <w:p w14:paraId="15034079" w14:textId="66F2BB2C" w:rsidR="00181DEB" w:rsidRPr="00ED172B" w:rsidRDefault="00181DEB">
      <w:pPr>
        <w:rPr>
          <w:b/>
          <w:color w:val="000000" w:themeColor="text1"/>
        </w:rPr>
      </w:pPr>
      <w:r w:rsidRPr="00ED172B">
        <w:rPr>
          <w:b/>
          <w:color w:val="000000" w:themeColor="text1"/>
        </w:rPr>
        <w:t>Executive Summary</w:t>
      </w:r>
    </w:p>
    <w:p w14:paraId="09038252" w14:textId="4DBCDFF1" w:rsidR="003A4D77" w:rsidRPr="00ED172B" w:rsidRDefault="00860830" w:rsidP="003A4D77">
      <w:pPr>
        <w:rPr>
          <w:color w:val="000000" w:themeColor="text1"/>
        </w:rPr>
      </w:pPr>
      <w:r w:rsidRPr="00ED172B">
        <w:rPr>
          <w:color w:val="000000" w:themeColor="text1"/>
        </w:rPr>
        <w:t>The Early Intervention Division with the Department of Public Health serves as the Lead Agency for the Part C System for the Commonwealth of Massachusetts. The Lead Agency (MA-C) administers and oversees the provision of early intervention services to infants and toddlers ages birth to three who are diagnosed with conditions bearing relatively well-known expectations for developmental delay, are experiencing developmental delays, and those for who social factors place them at risk for developing delays. children at risk for delay. During FFY20, 43,085 infants and toddlers were enrolled in the Commonwealth's Part C system, which is operated by a network of 59 Early Intervention Service (EIS) programs.</w:t>
      </w:r>
      <w:r w:rsidRPr="00ED172B">
        <w:rPr>
          <w:color w:val="000000" w:themeColor="text1"/>
        </w:rPr>
        <w:br/>
      </w:r>
      <w:r w:rsidRPr="00ED172B">
        <w:rPr>
          <w:color w:val="000000" w:themeColor="text1"/>
        </w:rPr>
        <w:br/>
        <w:t>Despite its best efforts, MA-C's performance was adversely affected by the COVID-19 pandemic. On March 10, 2020, Governor Baker declared a state of emergency giving the Commonwealth, which remained in place until June 15, 2021. That is, MA-C operated for within a state of emergency for all but the final 15 days of the FFY20 reporting period. The public health measures necessitated by the COVID-19 pandemic challenged the infrastructure of the MA-C system: MA-C staff learned to telework for the first time. Similarly, EIS providers began delivering telehealth services, which had never before been permitted in the Commonwealth. Required social distancing and quarantine rules weakened the EIS workforce; the closure of elementary and secondary schools further strained this overburdened workforce as EIS programs saw fewer staff available for the provision of services and struggled with a novel state database that had been implemented only a few months prior to reporting year. The number of infants and toddlers referred to early intervention services dropped by 43% compared to the prior year; a similar trend is observed in evaluations, with a 41% decline. Many families chose not to participate in Part C services due to fears about COVID-19. Taken together, these facts led many EIS programs to temporarily or permanently reduce their workforce. Families served by MA-C were undeniably affected: some were essential workers, others found their workplace relocated overnight to their home. Still others lost their jobs and livelihoods. No individual involved in the Commonwealth's Part C system was unscathed by the effects of the COVID-19 pandemic.</w:t>
      </w:r>
    </w:p>
    <w:p w14:paraId="6009AC06" w14:textId="7EF72D40" w:rsidR="004C7EE6" w:rsidRDefault="004C7EE6" w:rsidP="004C7EE6">
      <w:pPr>
        <w:pStyle w:val="Subhed"/>
      </w:pPr>
      <w:r>
        <w:t>A</w:t>
      </w:r>
      <w:r w:rsidRPr="001B6EB0">
        <w:t>dditional information related to data collection and reporting</w:t>
      </w:r>
    </w:p>
    <w:p w14:paraId="35504308" w14:textId="29D7C803" w:rsidR="008C6D27" w:rsidRPr="00ED172B" w:rsidRDefault="008C6D27" w:rsidP="008C6D27">
      <w:pPr>
        <w:rPr>
          <w:color w:val="000000" w:themeColor="text1"/>
        </w:rPr>
      </w:pPr>
      <w:r w:rsidRPr="00ED172B">
        <w:rPr>
          <w:color w:val="000000" w:themeColor="text1"/>
        </w:rPr>
        <w:t xml:space="preserve">Data collection and reporting, too, were adversely affected by the COVID-19 pandemic. EIS providers, suddenly teleworking from home, had to learn new protocols for documenting services and entering data into the state database. Timeliness of data entry proved challenging for those providers who were now sharing their computers with their own children who were attending public schools remotely. EIS providers across the Commonwealth persisted under arduous conditions to deliver necessary early intervention services to some of the Commonwealth's most vulnerable residents. These data, although difficult to gather at times, does appear to be valid and reliable. EIS providers subsequently were provided the opportunity to compare the state database data to their paper files and revise data entry errors. </w:t>
      </w:r>
    </w:p>
    <w:p w14:paraId="255BEFE2" w14:textId="0EBDC8B7" w:rsidR="00181DEB" w:rsidRPr="00ED172B" w:rsidRDefault="00181DEB">
      <w:pPr>
        <w:rPr>
          <w:b/>
          <w:color w:val="000000" w:themeColor="text1"/>
        </w:rPr>
      </w:pPr>
      <w:r w:rsidRPr="00ED172B">
        <w:rPr>
          <w:b/>
          <w:color w:val="000000" w:themeColor="text1"/>
        </w:rPr>
        <w:t>General Supervision System</w:t>
      </w:r>
    </w:p>
    <w:p w14:paraId="530E7A61" w14:textId="03597E86" w:rsidR="00181DEB" w:rsidRPr="00ED172B" w:rsidRDefault="00181DEB" w:rsidP="00042EBF">
      <w:pPr>
        <w:rPr>
          <w:b/>
          <w:color w:val="000000" w:themeColor="text1"/>
          <w:szCs w:val="16"/>
        </w:rPr>
      </w:pPr>
      <w:r w:rsidRPr="00ED172B">
        <w:rPr>
          <w:b/>
          <w:color w:val="000000" w:themeColor="text1"/>
          <w:szCs w:val="16"/>
        </w:rPr>
        <w:t>The systems that are in place to ensure that IDEA Part C requirements are met, e.g., monitoring systems, dispute resolution systems.</w:t>
      </w:r>
    </w:p>
    <w:p w14:paraId="1B57950D" w14:textId="1D7D48FB" w:rsidR="003A4D77" w:rsidRPr="00ED172B" w:rsidRDefault="00860830" w:rsidP="00042EBF">
      <w:pPr>
        <w:rPr>
          <w:color w:val="000000" w:themeColor="text1"/>
          <w:szCs w:val="16"/>
        </w:rPr>
      </w:pPr>
      <w:r w:rsidRPr="00ED172B">
        <w:rPr>
          <w:color w:val="000000" w:themeColor="text1"/>
          <w:szCs w:val="16"/>
        </w:rPr>
        <w:t xml:space="preserve">The Lead Agency (MA-C) has established a general supervision system to ensure the provision of high-quality early intervention services. </w:t>
      </w:r>
      <w:r w:rsidRPr="00ED172B">
        <w:rPr>
          <w:color w:val="000000" w:themeColor="text1"/>
          <w:szCs w:val="16"/>
        </w:rPr>
        <w:br/>
      </w:r>
      <w:r w:rsidRPr="00ED172B">
        <w:rPr>
          <w:color w:val="000000" w:themeColor="text1"/>
          <w:szCs w:val="16"/>
        </w:rPr>
        <w:br/>
        <w:t xml:space="preserve">At the heart of its general supervision system is valid and reliable data. MA-C is building a database to collect valid and reliable data. Contracted EIS programs are expected to report timely and accurate data in the state database. The database includes automated data quality/validation checks to promote EIS program compliance with regulation and capture accurate information. For example, reminder appears in dashboard for toddlers approaching timely services deadline. When late, program director must identify a reason for delay. Technical Assistance is provided to EIS programs to ensure accurate data entry; MA-C provides a general Technical Assistance webinar twice monthly and schedules targeted TA individually for EIS programs. Additionally, MA-C has developed and maintained written materials embedded within the database’s help section including a User Manual to help personnel understand data entry and reporting requirements. </w:t>
      </w:r>
      <w:r w:rsidRPr="00ED172B">
        <w:rPr>
          <w:color w:val="000000" w:themeColor="text1"/>
          <w:szCs w:val="16"/>
        </w:rPr>
        <w:br/>
      </w:r>
      <w:r w:rsidRPr="00ED172B">
        <w:rPr>
          <w:color w:val="000000" w:themeColor="text1"/>
          <w:szCs w:val="16"/>
        </w:rPr>
        <w:br/>
        <w:t>The data entered by EIS programs informs other aspects of the general supervision system. First, MA-C uses its data to analyze performance across APR indicators by EIS program and by child’s race/ethnicity. Additionally, trends in EIS program performance are assessed by comparing performance across EIS programs and service areas. The specific needs of each local program by reviewing its indicator data, speaking with the program director, and soliciting overarching feedback from the State Interagency Coordinating Council (ICC). Local determinations are made consistent with requirements by the Coordinator of General Supervision. The Part C Coordinator presents data to ICC quarterly to disseminate data.</w:t>
      </w:r>
      <w:r w:rsidRPr="00ED172B">
        <w:rPr>
          <w:color w:val="000000" w:themeColor="text1"/>
          <w:szCs w:val="16"/>
        </w:rPr>
        <w:br/>
      </w:r>
      <w:r w:rsidRPr="00ED172B">
        <w:rPr>
          <w:color w:val="000000" w:themeColor="text1"/>
          <w:szCs w:val="16"/>
        </w:rPr>
        <w:br/>
        <w:t xml:space="preserve">MA-C monitors EIS programs' compliance and improved results by relying on data collected from its state database to identify noncompliance. MA-C makes a finding of noncompliance when EIS program is &lt;100% compliant; Corrective Action Plans are required when a program is &lt;95% compliant. When noncompliance is detected, EIS programs are notified in writing. </w:t>
      </w:r>
      <w:r w:rsidRPr="00ED172B">
        <w:rPr>
          <w:color w:val="000000" w:themeColor="text1"/>
          <w:szCs w:val="16"/>
        </w:rPr>
        <w:br/>
      </w:r>
      <w:r w:rsidRPr="00ED172B">
        <w:rPr>
          <w:color w:val="000000" w:themeColor="text1"/>
          <w:szCs w:val="16"/>
        </w:rPr>
        <w:br/>
        <w:t xml:space="preserve">MA-C has established its Early Intervention Operational Standards to guide contracted providers in the effective delivery of early intervention services. These standards document the policies and procedures to ensure effective implementation of early intervention services across the Commonwealth. </w:t>
      </w:r>
      <w:r w:rsidRPr="00ED172B">
        <w:rPr>
          <w:color w:val="000000" w:themeColor="text1"/>
          <w:szCs w:val="16"/>
        </w:rPr>
        <w:br/>
      </w:r>
      <w:r w:rsidRPr="00ED172B">
        <w:rPr>
          <w:color w:val="000000" w:themeColor="text1"/>
          <w:szCs w:val="16"/>
        </w:rPr>
        <w:br/>
        <w:t xml:space="preserve">MA-C has established a system of fiscal oversight that includes contracts with providers outlining a clear scope of work, a reimbursement manual to identify the conditions under which MA-C will serve as the payor of last resort, internal controls and separation of activities to process, review, approve, and pay claims from contracted EIS providers. </w:t>
      </w:r>
      <w:r w:rsidRPr="00ED172B">
        <w:rPr>
          <w:color w:val="000000" w:themeColor="text1"/>
          <w:szCs w:val="16"/>
        </w:rPr>
        <w:br/>
      </w:r>
      <w:r w:rsidRPr="00ED172B">
        <w:rPr>
          <w:color w:val="000000" w:themeColor="text1"/>
          <w:szCs w:val="16"/>
        </w:rPr>
        <w:br/>
        <w:t>MA-C offers targeted technical assistance and training that are aligned with SSIP activities as well as those designed to increase below-criterion performance on APR (i.e., transition). Content offered is informed by the system's performance on federal indicators (e.g., declining performance in FFY20 for transition-related indicators necessitated the creation of additional transition-related technical assistance) as well as priority initiatives for MA-C and the Department of Public Health at large, such as the provision of specific training related to eliminating structural and historical racism.</w:t>
      </w:r>
      <w:r w:rsidRPr="00ED172B">
        <w:rPr>
          <w:color w:val="000000" w:themeColor="text1"/>
          <w:szCs w:val="16"/>
        </w:rPr>
        <w:br/>
      </w:r>
      <w:r w:rsidRPr="00ED172B">
        <w:rPr>
          <w:color w:val="000000" w:themeColor="text1"/>
          <w:szCs w:val="16"/>
        </w:rPr>
        <w:br/>
        <w:t>During FFY20, MA-C’s primary strategy to document and change EIS provider performance was via Corrective Action Plans (CAPs). The EIS provider developed the CAP in conjunction with MA-C, and the required actions typically focused on correcting past errors. The status of EIS programs are determined annually and published on the MA-C website.</w:t>
      </w:r>
      <w:r w:rsidRPr="00ED172B">
        <w:rPr>
          <w:color w:val="000000" w:themeColor="text1"/>
          <w:szCs w:val="16"/>
        </w:rPr>
        <w:br/>
      </w:r>
      <w:r w:rsidRPr="00ED172B">
        <w:rPr>
          <w:color w:val="000000" w:themeColor="text1"/>
          <w:szCs w:val="16"/>
        </w:rPr>
        <w:br/>
      </w:r>
      <w:r w:rsidRPr="00ED172B">
        <w:rPr>
          <w:color w:val="000000" w:themeColor="text1"/>
          <w:szCs w:val="16"/>
        </w:rPr>
        <w:lastRenderedPageBreak/>
        <w:t>MA-C ensures effective dispute resolution. Parental inquiries, complaints, and disputes are documented, and dispute resolution data are reported publicly on our website.</w:t>
      </w:r>
      <w:r w:rsidRPr="00ED172B">
        <w:rPr>
          <w:color w:val="000000" w:themeColor="text1"/>
          <w:szCs w:val="16"/>
        </w:rPr>
        <w:br/>
      </w:r>
      <w:r w:rsidRPr="00ED172B">
        <w:rPr>
          <w:color w:val="000000" w:themeColor="text1"/>
          <w:szCs w:val="16"/>
        </w:rPr>
        <w:br/>
        <w:t>MA-C ensures its State Performance Plan is informed by stakeholders. The Part C Coordinator reports annually to its State Interagency Coordinating Council (ICC) on its annual performance report and includes the ICC in the development of targets. MA-C recruits families and provider representatives who are geographically, linguistically, racially, and socio-economically diverse to participate in the ICC.</w:t>
      </w:r>
    </w:p>
    <w:p w14:paraId="49C3FD7F" w14:textId="77777777" w:rsidR="00181DEB" w:rsidRPr="00ED172B" w:rsidRDefault="00181DEB">
      <w:pPr>
        <w:rPr>
          <w:b/>
          <w:color w:val="000000" w:themeColor="text1"/>
        </w:rPr>
      </w:pPr>
      <w:r w:rsidRPr="00ED172B">
        <w:rPr>
          <w:b/>
          <w:color w:val="000000" w:themeColor="text1"/>
        </w:rPr>
        <w:t>Technical Assistance System:</w:t>
      </w:r>
    </w:p>
    <w:p w14:paraId="7EE0C7FA" w14:textId="10A149C6" w:rsidR="00181DEB" w:rsidRPr="00ED172B" w:rsidRDefault="00181DEB" w:rsidP="00042EBF">
      <w:pPr>
        <w:rPr>
          <w:b/>
          <w:color w:val="000000" w:themeColor="text1"/>
          <w:szCs w:val="16"/>
        </w:rPr>
      </w:pPr>
      <w:r w:rsidRPr="00ED172B">
        <w:rPr>
          <w:b/>
          <w:color w:val="000000" w:themeColor="text1"/>
          <w:szCs w:val="16"/>
        </w:rPr>
        <w:t>The mechanisms that the State has in place to ensure the timely delivery of high quality, evidenced based technical assistance and support to early intervention service (EIS) programs.</w:t>
      </w:r>
    </w:p>
    <w:p w14:paraId="1697FA23" w14:textId="56CF03A5" w:rsidR="003A4D77" w:rsidRPr="00ED172B" w:rsidRDefault="00860830" w:rsidP="00042EBF">
      <w:pPr>
        <w:rPr>
          <w:color w:val="000000" w:themeColor="text1"/>
          <w:szCs w:val="16"/>
        </w:rPr>
      </w:pPr>
      <w:r w:rsidRPr="00ED172B">
        <w:rPr>
          <w:color w:val="000000" w:themeColor="text1"/>
          <w:szCs w:val="16"/>
        </w:rPr>
        <w:t>MA-C provides Technical Assistance (TA) to EIS programs. Targeted TA is provided at the request of EIS program or per a Corrective Action Plan. General TA is scheduled as antecedent for all EIS programs and is available on-demand from MA-C’s training website and provided in a synchronous format monthly.</w:t>
      </w:r>
    </w:p>
    <w:p w14:paraId="6F4BBA1C" w14:textId="77777777" w:rsidR="00181DEB" w:rsidRPr="00ED172B" w:rsidRDefault="00181DEB">
      <w:pPr>
        <w:rPr>
          <w:b/>
          <w:color w:val="000000" w:themeColor="text1"/>
        </w:rPr>
      </w:pPr>
      <w:r w:rsidRPr="00ED172B">
        <w:rPr>
          <w:b/>
          <w:color w:val="000000" w:themeColor="text1"/>
        </w:rPr>
        <w:t>Professional Development System:</w:t>
      </w:r>
    </w:p>
    <w:p w14:paraId="472FC7D3" w14:textId="6229555E"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are effectively providing services that improve results for infants and toddlers with disabilities and their families.</w:t>
      </w:r>
    </w:p>
    <w:p w14:paraId="66BCEB0F" w14:textId="4812B8EE" w:rsidR="003A4D77" w:rsidRPr="00ED172B" w:rsidRDefault="00860830" w:rsidP="00181DEB">
      <w:pPr>
        <w:rPr>
          <w:color w:val="000000" w:themeColor="text1"/>
          <w:szCs w:val="16"/>
        </w:rPr>
      </w:pPr>
      <w:r w:rsidRPr="00ED172B">
        <w:rPr>
          <w:color w:val="000000" w:themeColor="text1"/>
          <w:szCs w:val="16"/>
        </w:rPr>
        <w:t xml:space="preserve">The Early Intervention Training Center is MA-C's professional development unit. Training content is developed following data analysis of EIS provider performance (e.g., deviation from required transition timelines), patterns in complaints or inquiries from parents (e.g., families reporting providers relying on "toy bags" instead of implementation of the Parents Interacting With Infants model), and other initiatives established by the Commonwealth (i.e., racial equity and racial justice).  </w:t>
      </w:r>
      <w:r w:rsidRPr="00ED172B">
        <w:rPr>
          <w:color w:val="000000" w:themeColor="text1"/>
          <w:szCs w:val="16"/>
        </w:rPr>
        <w:br/>
        <w:t>MA-C has created the Foundations training for all new early intervention staff. A Supervision training is required for all supervisors. a number of optional offerings are available for all providers.</w:t>
      </w:r>
    </w:p>
    <w:p w14:paraId="29B4BF78" w14:textId="77777777" w:rsidR="00D62BE4" w:rsidRPr="00D62BE4" w:rsidRDefault="00D62BE4" w:rsidP="00D62BE4">
      <w:pPr>
        <w:rPr>
          <w:b/>
          <w:color w:val="000000" w:themeColor="text1"/>
        </w:rPr>
      </w:pPr>
      <w:r w:rsidRPr="00D974E1">
        <w:rPr>
          <w:b/>
          <w:color w:val="000000" w:themeColor="text1"/>
        </w:rPr>
        <w:t xml:space="preserve">Broad Stakeholder Input: </w:t>
      </w:r>
    </w:p>
    <w:p w14:paraId="4993DCA5" w14:textId="6BB10D1A" w:rsidR="00D62BE4" w:rsidRDefault="00D62BE4" w:rsidP="00D62BE4">
      <w:pPr>
        <w:rPr>
          <w:b/>
          <w:color w:val="000000" w:themeColor="text1"/>
        </w:rPr>
      </w:pPr>
      <w:r w:rsidRPr="00D62BE4">
        <w:rPr>
          <w:b/>
          <w:color w:val="000000" w:themeColor="text1"/>
        </w:rPr>
        <w:t>The mechanisms for soliciting broad stakeholder input on the State’s targets in the SPP/APR and any subsequent revisions that the State has made to those targets, and the development and implementation of Indicator 11, the State’s Systemic Improvement Plan (SSIP).</w:t>
      </w:r>
    </w:p>
    <w:p w14:paraId="025083D4" w14:textId="1FBE7633" w:rsidR="00D62BE4" w:rsidRPr="00F85A5B" w:rsidRDefault="00116D8B" w:rsidP="00D62BE4">
      <w:pPr>
        <w:rPr>
          <w:color w:val="000000" w:themeColor="text1"/>
          <w:szCs w:val="16"/>
        </w:rPr>
      </w:pPr>
      <w:r w:rsidRPr="00ED172B">
        <w:rPr>
          <w:color w:val="000000" w:themeColor="text1"/>
          <w:szCs w:val="16"/>
        </w:rPr>
        <w:t>The State Interagency Coordinating Council (ICC) serves as the primary stakeholder body for MA-C. ICC provides feedback to develop state targets, identify areas of need, and help recommend additional data analysis to improve MA-C performance. The ICC is comprised of 41 appointed members with variation in level of experience, discipline, role, geographic location across the Commonwealth, and race/ethnicity. Additionally, the ICC meetings are made available to the public and agendas and meeting links are published on MA-C's website and advertised through by the Parent Training and Information Center.</w:t>
      </w:r>
    </w:p>
    <w:p w14:paraId="250D9274" w14:textId="6E0A6E40"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1CB822D1" w14:textId="77777777" w:rsidR="00907A9B" w:rsidRDefault="003747D0">
      <w:pPr>
        <w:rPr>
          <w:color w:val="000000" w:themeColor="text1"/>
          <w:szCs w:val="16"/>
        </w:rPr>
      </w:pPr>
      <w:r w:rsidRPr="00ED172B">
        <w:rPr>
          <w:color w:val="000000" w:themeColor="text1"/>
          <w:szCs w:val="16"/>
        </w:rPr>
        <w:t>YES</w:t>
      </w:r>
    </w:p>
    <w:p w14:paraId="7DEA0B5E" w14:textId="030CCA43" w:rsidR="00887FBA" w:rsidRDefault="00887FBA">
      <w:pPr>
        <w:rPr>
          <w:b/>
          <w:color w:val="000000" w:themeColor="text1"/>
        </w:rPr>
      </w:pPr>
      <w:r w:rsidRPr="00887FBA">
        <w:rPr>
          <w:b/>
          <w:color w:val="000000" w:themeColor="text1"/>
        </w:rPr>
        <w:t>Number of Parent Members:</w:t>
      </w:r>
    </w:p>
    <w:p w14:paraId="6F9BBC61" w14:textId="058E2B2B" w:rsidR="00887FBA" w:rsidRPr="00ED172B" w:rsidRDefault="00887FBA" w:rsidP="00887FBA">
      <w:pPr>
        <w:rPr>
          <w:color w:val="000000" w:themeColor="text1"/>
          <w:szCs w:val="16"/>
        </w:rPr>
      </w:pPr>
      <w:r w:rsidRPr="00ED172B">
        <w:rPr>
          <w:color w:val="000000" w:themeColor="text1"/>
          <w:szCs w:val="16"/>
        </w:rPr>
        <w:t>13</w:t>
      </w:r>
    </w:p>
    <w:p w14:paraId="3124ECA4" w14:textId="733293E7" w:rsidR="00887FBA" w:rsidRDefault="00887FBA">
      <w:pPr>
        <w:rPr>
          <w:b/>
          <w:color w:val="000000" w:themeColor="text1"/>
        </w:rPr>
      </w:pPr>
      <w:r w:rsidRPr="00887FBA">
        <w:rPr>
          <w:b/>
          <w:color w:val="000000" w:themeColor="text1"/>
        </w:rPr>
        <w:t>Parent Members Engagement:</w:t>
      </w:r>
    </w:p>
    <w:p w14:paraId="7660E9C5" w14:textId="505FA6B2" w:rsidR="00887FBA" w:rsidRDefault="00887FBA">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7CE6FAFE" w14:textId="5A01E2A2" w:rsidR="00887FBA" w:rsidRPr="00F85A5B" w:rsidRDefault="00091E9A">
      <w:pPr>
        <w:rPr>
          <w:color w:val="000000" w:themeColor="text1"/>
          <w:szCs w:val="16"/>
        </w:rPr>
      </w:pPr>
      <w:r w:rsidRPr="00ED172B">
        <w:rPr>
          <w:color w:val="000000" w:themeColor="text1"/>
          <w:szCs w:val="16"/>
        </w:rPr>
        <w:t xml:space="preserve">The ICC is the primary stakeholder body, and during FFY20, MA-C worked to increase parent engagement within the ICC. </w:t>
      </w:r>
      <w:r w:rsidRPr="00ED172B">
        <w:rPr>
          <w:color w:val="000000" w:themeColor="text1"/>
          <w:szCs w:val="16"/>
        </w:rPr>
        <w:br/>
      </w:r>
      <w:r w:rsidRPr="00ED172B">
        <w:rPr>
          <w:color w:val="000000" w:themeColor="text1"/>
          <w:szCs w:val="16"/>
        </w:rPr>
        <w:br/>
        <w:t xml:space="preserve">The thirteen parent members of the ICC were engaged in setting targets, analyzing data, developing improvement strategies, and evaluating progress via the typical ICC meetings. The co-chaired by a parent and a provider representative. During ICC meetings, the Part C Coordinator presented data on MA-C performance and solicited feedback and recommendations (i.e., in synchronous discussion, via asychronous collaboration methods such as virtual white boards). </w:t>
      </w:r>
      <w:r w:rsidRPr="00ED172B">
        <w:rPr>
          <w:color w:val="000000" w:themeColor="text1"/>
          <w:szCs w:val="16"/>
        </w:rPr>
        <w:br/>
      </w:r>
      <w:r w:rsidRPr="00ED172B">
        <w:rPr>
          <w:color w:val="000000" w:themeColor="text1"/>
          <w:szCs w:val="16"/>
        </w:rPr>
        <w:br/>
        <w:t xml:space="preserve">The Federation for Children with Special Needs (FCSN) is the Commonwealth’s Parent Training and Information Center and is staffed by individuals with lived experience caring for a child with special needs. FCSN participates on the ICC by having representatives, one of whom served as the co-chair of the Family Engagement subcommittee during the reporting year. In addition to ICC meetings, FCSN met regularly with MA-C staff to share common themes from the parent support network they offer. The most common theme from FFY20 related to the provision of high-quality early intervention services via telehealth. These concerns informed MA-C's strategic planning initiatives. </w:t>
      </w:r>
      <w:r w:rsidRPr="00ED172B">
        <w:rPr>
          <w:color w:val="000000" w:themeColor="text1"/>
          <w:szCs w:val="16"/>
        </w:rPr>
        <w:br/>
      </w:r>
      <w:r w:rsidRPr="00ED172B">
        <w:rPr>
          <w:color w:val="000000" w:themeColor="text1"/>
          <w:szCs w:val="16"/>
        </w:rPr>
        <w:br/>
        <w:t>Finally, the Early Intervention Parent Leadership Project (EIPLP) provided family engagement and support for a small group of individual families enrolled in early intervention during FFY20. This staff of three held focus groups with families to identify areas of interest for improvement across the system. To help families feel empowered to participate in the process, MA-C sponsored four families to attend the FCSN conference in March 2021 to increase their knowledge of their rights and high-quality early intervention services. The recommendations and feedback from these individual families also informed MA-C's strategic planning initiatives.</w:t>
      </w:r>
    </w:p>
    <w:p w14:paraId="478ADE7A"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7C7668E9" w14:textId="40A34C84"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054E8935" w14:textId="2FBC8274" w:rsidR="00375DCE" w:rsidRDefault="002D7C09" w:rsidP="00375DCE">
      <w:pPr>
        <w:rPr>
          <w:color w:val="000000" w:themeColor="text1"/>
          <w:szCs w:val="16"/>
        </w:rPr>
      </w:pPr>
      <w:r w:rsidRPr="00ED172B">
        <w:rPr>
          <w:color w:val="000000" w:themeColor="text1"/>
          <w:szCs w:val="16"/>
        </w:rPr>
        <w:t>MA-C has supported training for parents with a specific goal of increasing their knowledge of their rights. To that end, MA-C has collaborated with the Commonwealth’s Parent Training and Information Center, The Federation for Children with Special Needs (FCSN) to offer a quarterly training to prepare for transition to Part B services, which was attended by 179 parents across the reporting period. A second goal for training parents is to increase effective outcomes for toddlers, and MA-C has developed video overviews of early intervention services in MA, each of which have been viewed 350 times. MA-C has created resources to help families distinguish child-centered from provider-centered services and has offered a training to families enrolled in the Part C system. Additionally, MA-C recruited and trained 20 family members to participate in the review process for new provider contracts to ensure family perspectives are included in the selection process.</w:t>
      </w:r>
    </w:p>
    <w:p w14:paraId="568574BC" w14:textId="77777777" w:rsidR="006D0CD0" w:rsidRPr="00F85A5B" w:rsidRDefault="006D0CD0" w:rsidP="006D0CD0">
      <w:pPr>
        <w:rPr>
          <w:b/>
          <w:color w:val="000000" w:themeColor="text1"/>
        </w:rPr>
      </w:pPr>
      <w:r w:rsidRPr="00F85A5B">
        <w:rPr>
          <w:b/>
          <w:color w:val="000000" w:themeColor="text1"/>
        </w:rPr>
        <w:t>Soliciting Public Input:</w:t>
      </w:r>
    </w:p>
    <w:p w14:paraId="6DE56C89" w14:textId="65E52F00"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0381CFBB" w14:textId="64F886B8" w:rsidR="006D0CD0" w:rsidRDefault="006D0CD0" w:rsidP="006D0CD0">
      <w:pPr>
        <w:rPr>
          <w:color w:val="000000" w:themeColor="text1"/>
          <w:szCs w:val="16"/>
        </w:rPr>
      </w:pPr>
      <w:r w:rsidRPr="00ED172B">
        <w:rPr>
          <w:color w:val="000000" w:themeColor="text1"/>
          <w:szCs w:val="16"/>
        </w:rPr>
        <w:lastRenderedPageBreak/>
        <w:t xml:space="preserve">MA-C embeds stakeholder input and analysis into its activities related to setting targets, analyzing data, developing improvement strategies, and evaluating progress. In March 2021, MA-C planned the stakeholder analysis process for the remainder of FFY20, and identified target setting for results indicators and evaluation of the system's performance to be the most pressing foci of stakeholder engagement. After reviewing the bylaws and appointed members for the State Interagency Coordinating Council (ICC), MA-C sought to leverage the ICC as its primary stakeholder group in FFY20. To promote broad and representative participation, MA-C publishes ICC meeting dates and topical agendas on its website and distributes notification of upcoming meetings to families via its Parent Training and Information Center's contact list, as well as to contracted EIS programs. </w:t>
      </w:r>
      <w:r w:rsidRPr="00ED172B">
        <w:rPr>
          <w:color w:val="000000" w:themeColor="text1"/>
          <w:szCs w:val="16"/>
        </w:rPr>
        <w:br/>
      </w:r>
      <w:r w:rsidRPr="00ED172B">
        <w:rPr>
          <w:color w:val="000000" w:themeColor="text1"/>
          <w:szCs w:val="16"/>
        </w:rPr>
        <w:br/>
        <w:t xml:space="preserve">First, MA-C analyzed ICC members and public attendees to ensure broad and representative participation, in terms of stakeholder characteristics (e.g., geographic location, race/ethnicity, seniority and experience within the EIS workforce and for parent members, the age(s) of their children). A stakeholder table was created to identify gaps and drive future recruitment of ICC members (e.g., MA-C acknowledges that the steering committee disproportionally represents providers who are highly experienced within the EIS workforce and are more senior in their places of employment and front-line staff are not well represented). </w:t>
      </w:r>
      <w:r w:rsidRPr="00ED172B">
        <w:rPr>
          <w:color w:val="000000" w:themeColor="text1"/>
          <w:szCs w:val="16"/>
        </w:rPr>
        <w:br/>
      </w:r>
      <w:r w:rsidRPr="00ED172B">
        <w:rPr>
          <w:color w:val="000000" w:themeColor="text1"/>
          <w:szCs w:val="16"/>
        </w:rPr>
        <w:br/>
        <w:t xml:space="preserve">Having identified its key stakeholders, MA-C established a smaller working group within the ICC Steering Committee, comprised of three parent members (one being the co-chair), a representative from the Parent Training and Information Center, the Part C Coordinator, and six provider members, including the chairpersons of the standing committees, a representative to the EIS providers' professional association. The ICC Steering Committee assisted in the development of a Lead Agency report, or data to be presented by the Part C Coordinator during each ICC meeting to ensure stakeholders were well-informed of the data. In preparation for target setting activities, a virtual questionnaire was developed along with a reference slide for ICC members. After data were presented, the Part C Coordinator addressed questions from the ICC and then polled them to obtain the total number of respondents for each target (mean 19, range 11-25) as well as the respondent's identity to allow for more detailed analyses to inform MA-C's target setting (i.e., is there differentiation in responding between parent and provider members?). Responses from providers were also analyzed in light of their employer's performance (e.g., if a provider member was employed by an EIS program with historically lower performance on Indicator 4, did they recommend lower targets be set?). </w:t>
      </w:r>
      <w:r w:rsidRPr="00ED172B">
        <w:rPr>
          <w:color w:val="000000" w:themeColor="text1"/>
          <w:szCs w:val="16"/>
        </w:rPr>
        <w:br/>
      </w:r>
      <w:r w:rsidRPr="00ED172B">
        <w:rPr>
          <w:color w:val="000000" w:themeColor="text1"/>
          <w:szCs w:val="16"/>
        </w:rPr>
        <w:br/>
        <w:t>The FFY20 timeline for soliciting public input included activities throughout the reporting year. In September 2020, the ICC charges developed in collaboration with MA-C staff. This meeting was facilitated virtually; charges were selected by separating into smaller groups to discuss and identify priorities. The Acting Assistant Director for MA-C attended the ICC Retreat and agreed to the charges proposed by the ICC. The ICC then met in November 2020, January 2021, April 2021, and June 2021 to work toward those charges. During each meeting, the Part C Coordinator presented data on MA-C's performance as well as other metrics requested by the ICC (e.g., data on personnel entering the EIS workforce). In March 2021, the Part C Application was made available to the public. A notification was posted in the newspaper with the largest distribution in the Commonwealth, an announcement was made on MA-C's website, distributed via email to all contracted EIS programs, and announced via email via the Parent Training and Information Center's contact list. The Part C Coordinator then held a listening session to receive feedback from the public. Comments were documented and MA-C reviewed for patterns of questions or concerns related to the Part C Application. A similar series of activities occurred when the American Rescue Plan funds were announced for MA-C: a special item was added to the June 2021 ICC agenda for the Part C Coordinator to present the priority areas (e.g., workforce development, family engagement and support) and recruit ideas and feedback from the ICC members about specific actions MA-C could take to accomplish these outcomes. Stakeholder feedback was collected via small group discussion and an interactive virtual whiteboard and served as the basis for future budget planning for ARP funds. Also in June, ICC stakeholders were asked to review data for Indicator 4 from the prior five reporting periods and nominate targets for the next two reporting periods.</w:t>
      </w:r>
    </w:p>
    <w:p w14:paraId="2BC7B253" w14:textId="77777777" w:rsidR="00583FAD" w:rsidRPr="00F85A5B" w:rsidRDefault="00583FAD" w:rsidP="00583FAD">
      <w:pPr>
        <w:rPr>
          <w:b/>
          <w:color w:val="000000" w:themeColor="text1"/>
        </w:rPr>
      </w:pPr>
      <w:r w:rsidRPr="00F85A5B">
        <w:rPr>
          <w:b/>
          <w:color w:val="000000" w:themeColor="text1"/>
        </w:rPr>
        <w:t>Making Results Available to the Public:</w:t>
      </w:r>
    </w:p>
    <w:p w14:paraId="76B02DE6" w14:textId="74DEC32D" w:rsidR="00583FAD" w:rsidRDefault="00583FAD" w:rsidP="00583FAD">
      <w:pPr>
        <w:rPr>
          <w:b/>
          <w:color w:val="000000" w:themeColor="text1"/>
        </w:rPr>
      </w:pPr>
      <w:r w:rsidRPr="00F85A5B">
        <w:rPr>
          <w:b/>
          <w:color w:val="000000" w:themeColor="text1"/>
        </w:rPr>
        <w:t>The mechanisms and timelines for making the results of the target setting, data analysis, development of the improvement strategies, and evaluation available to the public.</w:t>
      </w:r>
    </w:p>
    <w:p w14:paraId="11C27D9E" w14:textId="4B17759B" w:rsidR="00583FAD" w:rsidRDefault="00583FAD" w:rsidP="00583FAD">
      <w:pPr>
        <w:rPr>
          <w:color w:val="000000" w:themeColor="text1"/>
          <w:szCs w:val="16"/>
        </w:rPr>
      </w:pPr>
      <w:r w:rsidRPr="00ED172B">
        <w:rPr>
          <w:color w:val="000000" w:themeColor="text1"/>
          <w:szCs w:val="16"/>
        </w:rPr>
        <w:t>To make results available to the public, the Part C Coordinator presented the Lead Agency Report during the State Interagency Coordinating Council (ICC) meetings held in March and June 2021, the Part C Coordinator presented data for Indicators 5 and 6, as well as additional metrics such as the number of new personnel entering the EIS workforce, racial disparities in access to early intervention services, mode of service delivery (i.e., in-person v. telehealth services).</w:t>
      </w:r>
    </w:p>
    <w:p w14:paraId="2B722A72" w14:textId="77777777" w:rsidR="00181DEB" w:rsidRPr="00ED172B" w:rsidRDefault="00181DEB">
      <w:pPr>
        <w:rPr>
          <w:b/>
          <w:color w:val="000000" w:themeColor="text1"/>
        </w:rPr>
      </w:pPr>
      <w:r w:rsidRPr="00ED172B">
        <w:rPr>
          <w:b/>
          <w:color w:val="000000" w:themeColor="text1"/>
        </w:rPr>
        <w:t>Reporting to the Public:</w:t>
      </w:r>
    </w:p>
    <w:p w14:paraId="1A46B98A" w14:textId="70706D6A" w:rsidR="004868E8" w:rsidRPr="00ED172B" w:rsidRDefault="004868E8" w:rsidP="004868E8">
      <w:pPr>
        <w:rPr>
          <w:b/>
          <w:color w:val="000000" w:themeColor="text1"/>
          <w:szCs w:val="16"/>
        </w:rPr>
      </w:pPr>
      <w:r w:rsidRPr="00ED172B">
        <w:rPr>
          <w:b/>
          <w:color w:val="000000" w:themeColor="text1"/>
          <w:szCs w:val="16"/>
        </w:rPr>
        <w:t>How and where the State reported to the public on the FFY 2019 performance of each EIS Program located in the State on the targets in the SPP/APR as soon as practicable, but no later than 120 days following the State’s submission of its FFY 2019 APR, as required by 34 CFR §303.702(b)(1)(i)(A); and a description of where, on its website, a complete copy of the State’s SPP/APR, including any revision if the State has revised the targets that it submitted with its FFY 2019 APR in 2021, is available.</w:t>
      </w:r>
    </w:p>
    <w:p w14:paraId="788E8800" w14:textId="7E8AC8B9" w:rsidR="003A4D77" w:rsidRPr="00ED172B" w:rsidRDefault="00860830" w:rsidP="00DF09CC">
      <w:pPr>
        <w:rPr>
          <w:color w:val="000000" w:themeColor="text1"/>
          <w:szCs w:val="16"/>
        </w:rPr>
      </w:pPr>
      <w:r w:rsidRPr="00ED172B">
        <w:rPr>
          <w:color w:val="000000" w:themeColor="text1"/>
          <w:szCs w:val="16"/>
        </w:rPr>
        <w:t>MA-C published its FFY19 APR on its website: https://www.mass.gov/lists/public-reporting-for-early-intervention</w:t>
      </w:r>
      <w:r w:rsidRPr="00ED172B">
        <w:rPr>
          <w:color w:val="000000" w:themeColor="text1"/>
          <w:szCs w:val="16"/>
        </w:rPr>
        <w:br/>
        <w:t>MA-C published local EIS program determinations on its website: https://www.mass.gov/lists/public-reporting-for-early-intervention</w:t>
      </w:r>
    </w:p>
    <w:p w14:paraId="6A6F1771" w14:textId="3EDEB232" w:rsidR="003A4D77" w:rsidRPr="00A40EE1" w:rsidRDefault="00571E72" w:rsidP="00C15786">
      <w:pPr>
        <w:pStyle w:val="Heading2"/>
      </w:pPr>
      <w:r w:rsidRPr="00A40EE1">
        <w:t xml:space="preserve">Intro - </w:t>
      </w:r>
      <w:r w:rsidR="003A4D77" w:rsidRPr="00A40EE1">
        <w:t xml:space="preserve">Prior FFY Required Actions </w:t>
      </w:r>
    </w:p>
    <w:p w14:paraId="42E348D4" w14:textId="355A8F7D" w:rsidR="003A4D77" w:rsidRPr="00ED172B" w:rsidRDefault="00027F39" w:rsidP="00027F39">
      <w:pPr>
        <w:rPr>
          <w:color w:val="000000" w:themeColor="text1"/>
        </w:rPr>
      </w:pPr>
      <w:r w:rsidRPr="00ED172B">
        <w:rPr>
          <w:color w:val="000000" w:themeColor="text1"/>
        </w:rPr>
        <w:t>The State's IDEA Part C determination for both 2020 and 2021 is Needs Assistance. In the State's 2021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2020 SPP/APR submission, due February 1, 2022, on: (1) the technical assistance sources from which the State received assistance; and (2) the actions the State took as a result of that technical assistance.</w:t>
      </w:r>
    </w:p>
    <w:p w14:paraId="49F2B657" w14:textId="77777777" w:rsidR="005A43C0" w:rsidRPr="00ED172B" w:rsidRDefault="005A43C0" w:rsidP="003A4D77">
      <w:pPr>
        <w:rPr>
          <w:rFonts w:cs="Arial"/>
          <w:color w:val="000000" w:themeColor="text1"/>
          <w:szCs w:val="16"/>
        </w:rPr>
      </w:pPr>
    </w:p>
    <w:p w14:paraId="246DD3BF" w14:textId="07502E19" w:rsidR="003A4D77" w:rsidRPr="00ED172B" w:rsidRDefault="003A4D77">
      <w:pPr>
        <w:rPr>
          <w:color w:val="000000" w:themeColor="text1"/>
        </w:rPr>
      </w:pPr>
      <w:r w:rsidRPr="00ED172B">
        <w:rPr>
          <w:b/>
          <w:color w:val="000000" w:themeColor="text1"/>
        </w:rPr>
        <w:t xml:space="preserve">Response to actions required in FFY 2019 SPP/APR </w:t>
      </w:r>
      <w:r w:rsidRPr="00ED172B">
        <w:rPr>
          <w:color w:val="000000" w:themeColor="text1"/>
        </w:rPr>
        <w:t xml:space="preserve"> </w:t>
      </w:r>
    </w:p>
    <w:p w14:paraId="2460FAFD" w14:textId="2553279D" w:rsidR="003A4D77" w:rsidRPr="00ED172B" w:rsidRDefault="002332D6">
      <w:pPr>
        <w:rPr>
          <w:color w:val="000000" w:themeColor="text1"/>
        </w:rPr>
      </w:pPr>
      <w:r w:rsidRPr="00ED172B">
        <w:rPr>
          <w:color w:val="000000" w:themeColor="text1"/>
        </w:rPr>
        <w:t>The Lead Agency (MA-C) received a determination of Needs Assistance and is required to report on its efforts to improve its system. One way has been through regular access of OSEP-funded Technical Assistance by experts in the areas in which MA-C needs assistance. MA-C has accessed TA during FFY20</w:t>
      </w:r>
      <w:r w:rsidRPr="00ED172B">
        <w:rPr>
          <w:color w:val="000000" w:themeColor="text1"/>
        </w:rPr>
        <w:br/>
        <w:t>o Ensuring full implementation of Part C procedural safeguards during COVID-19 pandemic (CADRE, July 2020-May 2021). As a result of this ongoing TA, MA-C provided training to its contracted mediators and hearing officers on implementing the Early Intervention Operational Standards during the COVID-19 pandemic.</w:t>
      </w:r>
      <w:r w:rsidRPr="00ED172B">
        <w:rPr>
          <w:color w:val="000000" w:themeColor="text1"/>
        </w:rPr>
        <w:br/>
        <w:t>o Ensuring MA-C policies and procedures ensure full implementation of Part C requirements (ECTA, March-June 2021). As a result of this ongoing TA, MA-C released written guidance to its contracted EIS providers (e.g., June 2021 Home Visiting Guidance), as well as started the revision of its Early Intervention Operational Standards.</w:t>
      </w:r>
      <w:r w:rsidRPr="00ED172B">
        <w:rPr>
          <w:color w:val="000000" w:themeColor="text1"/>
        </w:rPr>
        <w:br/>
        <w:t xml:space="preserve">o Ensuring fiscal integrity of Part C funds (CIFR, April-June 2021). As a function of this ongoing TA, MA-C has revised its reimbursement manual to </w:t>
      </w:r>
      <w:r w:rsidRPr="00ED172B">
        <w:rPr>
          <w:color w:val="000000" w:themeColor="text1"/>
        </w:rPr>
        <w:lastRenderedPageBreak/>
        <w:t>clarify for contracted EIS providers the definition of "payor of last resort". Additionally, MA-C has adapted its internal training procedures to include the CIFR Fiscal Training Modules and shared this resource with the ICC Fiscal Comittee.</w:t>
      </w:r>
      <w:r w:rsidRPr="00ED172B">
        <w:rPr>
          <w:color w:val="000000" w:themeColor="text1"/>
        </w:rPr>
        <w:br/>
        <w:t>o Support for APR clarification (ECTA, April 2021). As a result of this TA, MA-C addressed OSEP's comments in the FFY19 APR and developed a timeline and internal procedures to ensure more timely and effective planning for the APR for future years.</w:t>
      </w:r>
      <w:r w:rsidRPr="00ED172B">
        <w:rPr>
          <w:color w:val="000000" w:themeColor="text1"/>
        </w:rPr>
        <w:br/>
        <w:t>o Improving Data Governance policy (DaSy, June 2021). As a result of this TA, MA-C began developing a data governance policy.</w:t>
      </w:r>
    </w:p>
    <w:p w14:paraId="37898305" w14:textId="383BCBB8" w:rsidR="003A4D77" w:rsidRPr="00A40EE1" w:rsidRDefault="00571E72" w:rsidP="00C15786">
      <w:pPr>
        <w:pStyle w:val="Heading2"/>
      </w:pPr>
      <w:r w:rsidRPr="00A40EE1">
        <w:t>Intro - OSEP Response</w:t>
      </w:r>
    </w:p>
    <w:p w14:paraId="317418C1" w14:textId="65B78829" w:rsidR="003A4D77" w:rsidRPr="00ED172B" w:rsidRDefault="00027F39" w:rsidP="00027F3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r>
      <w:r w:rsidRPr="00ED172B">
        <w:rPr>
          <w:color w:val="000000" w:themeColor="text1"/>
        </w:rPr>
        <w:br/>
      </w:r>
      <w:r w:rsidRPr="00ED172B">
        <w:rPr>
          <w:color w:val="000000" w:themeColor="text1"/>
        </w:rPr>
        <w:br/>
        <w:t xml:space="preserve">The State's determinations for both 2020 and 2021 were Needs Assistance.  Pursuant to sections 616(e)(1) and 642 of the IDEA and 34 C.F.R. § 303.704(a), OSEP's June 22, 2021 determination letter informed the State that it must report with its FFY 2020 SPP/APR submission, due February 1, 2022, on: (1) the technical assistance sources from which the State received assistance; and (2) the actions the State took as a result of that technical assistance. The State provided the required information. </w:t>
      </w:r>
    </w:p>
    <w:p w14:paraId="4DE677F5" w14:textId="22C5CCC7" w:rsidR="003A4D77" w:rsidRPr="00A40EE1" w:rsidRDefault="00571E72" w:rsidP="00C15786">
      <w:pPr>
        <w:pStyle w:val="Heading2"/>
      </w:pPr>
      <w:r w:rsidRPr="00A40EE1">
        <w:t>Intro - Required Actions</w:t>
      </w:r>
    </w:p>
    <w:p w14:paraId="1D94D5A9" w14:textId="74A17E4D" w:rsidR="003A4D77" w:rsidRPr="00ED172B" w:rsidRDefault="003A4D77" w:rsidP="00027F39">
      <w:pPr>
        <w:rPr>
          <w:color w:val="000000" w:themeColor="text1"/>
        </w:rPr>
      </w:pPr>
    </w:p>
    <w:p w14:paraId="363852FA"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29D41139" w14:textId="781A6B87" w:rsidR="00EB0146" w:rsidRPr="00ED172B" w:rsidRDefault="00EB0146" w:rsidP="0077063D">
      <w:pPr>
        <w:pStyle w:val="Heading1"/>
        <w:rPr>
          <w:color w:val="000000" w:themeColor="text1"/>
        </w:rPr>
      </w:pPr>
      <w:r w:rsidRPr="00ED172B">
        <w:rPr>
          <w:color w:val="000000" w:themeColor="text1"/>
        </w:rPr>
        <w:lastRenderedPageBreak/>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289C1D05" w14:textId="23E658E1"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47A57E5D" w14:textId="77777777" w:rsidR="005F5034" w:rsidRPr="00ED172B" w:rsidRDefault="005F5034" w:rsidP="0077063D">
      <w:pPr>
        <w:rPr>
          <w:b/>
          <w:color w:val="000000" w:themeColor="text1"/>
          <w:szCs w:val="16"/>
        </w:rPr>
      </w:pPr>
      <w:bookmarkStart w:id="2" w:name="_Toc392159259"/>
      <w:r w:rsidRPr="00ED172B">
        <w:rPr>
          <w:b/>
          <w:color w:val="000000" w:themeColor="text1"/>
          <w:szCs w:val="16"/>
        </w:rPr>
        <w:t xml:space="preserve">Monitoring Priority: </w:t>
      </w:r>
      <w:r w:rsidRPr="00ED172B">
        <w:rPr>
          <w:color w:val="000000" w:themeColor="text1"/>
          <w:szCs w:val="16"/>
        </w:rPr>
        <w:t>Early Intervention Services In Natural Environments</w:t>
      </w:r>
    </w:p>
    <w:p w14:paraId="32ED9AA4" w14:textId="4704EC03"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5ECAED3F" w14:textId="77777777" w:rsidR="00DF09CC" w:rsidRPr="00ED172B" w:rsidRDefault="00DF09CC">
      <w:pPr>
        <w:rPr>
          <w:b/>
          <w:color w:val="000000" w:themeColor="text1"/>
        </w:rPr>
      </w:pPr>
      <w:r w:rsidRPr="00ED172B">
        <w:rPr>
          <w:b/>
          <w:color w:val="000000" w:themeColor="text1"/>
        </w:rPr>
        <w:t>Data Source</w:t>
      </w:r>
    </w:p>
    <w:p w14:paraId="29FC80BA" w14:textId="724018B8" w:rsidR="00DF09CC" w:rsidRPr="00ED172B" w:rsidRDefault="00A86E16" w:rsidP="0077063D">
      <w:pPr>
        <w:rPr>
          <w:color w:val="000000" w:themeColor="text1"/>
          <w:szCs w:val="16"/>
        </w:rPr>
      </w:pPr>
      <w:r w:rsidRPr="00ED172B">
        <w:rPr>
          <w:color w:val="000000" w:themeColor="text1"/>
          <w:szCs w:val="16"/>
        </w:rPr>
        <w:t>Data to be taken from monitoring or State data system and must be based on actual, not an average, number of days. Include the State’s criteria for “timely” receipt of early intervention services (i.e., the time period from parent consent to when IFSP services are actually initiated).</w:t>
      </w:r>
    </w:p>
    <w:p w14:paraId="56E31631" w14:textId="77777777" w:rsidR="00DF09CC" w:rsidRPr="00ED172B" w:rsidRDefault="00DF09CC">
      <w:pPr>
        <w:rPr>
          <w:b/>
          <w:color w:val="000000" w:themeColor="text1"/>
        </w:rPr>
      </w:pPr>
      <w:r w:rsidRPr="00ED172B">
        <w:rPr>
          <w:b/>
          <w:color w:val="000000" w:themeColor="text1"/>
        </w:rPr>
        <w:t>Measurement</w:t>
      </w:r>
    </w:p>
    <w:p w14:paraId="4B425749" w14:textId="77777777" w:rsidR="00A86E16" w:rsidRPr="00ED172B" w:rsidRDefault="00A86E16" w:rsidP="0077063D">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14:paraId="4B1B5A45"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3CAFBCB4" w14:textId="77777777" w:rsidR="00DF09CC" w:rsidRPr="00ED172B" w:rsidRDefault="00DF09CC">
      <w:pPr>
        <w:rPr>
          <w:b/>
          <w:color w:val="000000" w:themeColor="text1"/>
        </w:rPr>
      </w:pPr>
      <w:r w:rsidRPr="00ED172B">
        <w:rPr>
          <w:b/>
          <w:color w:val="000000" w:themeColor="text1"/>
        </w:rPr>
        <w:t>Instructions</w:t>
      </w:r>
    </w:p>
    <w:p w14:paraId="3EE1C546" w14:textId="77777777" w:rsidR="00A86E16" w:rsidRPr="00ED172B" w:rsidRDefault="00A86E16" w:rsidP="0077063D">
      <w:pPr>
        <w:rPr>
          <w:color w:val="000000" w:themeColor="text1"/>
          <w:szCs w:val="16"/>
        </w:rPr>
      </w:pPr>
      <w:r w:rsidRPr="00ED172B">
        <w:rPr>
          <w:color w:val="000000" w:themeColor="text1"/>
          <w:szCs w:val="16"/>
        </w:rPr>
        <w:t>If data are from State monitoring, describe the method used to select early intervention service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659DB14" w14:textId="77777777" w:rsidR="00A86E16" w:rsidRPr="00ED172B" w:rsidRDefault="00A86E16" w:rsidP="0077063D">
      <w:pPr>
        <w:rPr>
          <w:color w:val="000000" w:themeColor="text1"/>
          <w:szCs w:val="16"/>
        </w:rPr>
      </w:pPr>
      <w:r w:rsidRPr="00ED172B">
        <w:rPr>
          <w:color w:val="000000" w:themeColor="text1"/>
          <w:szCs w:val="16"/>
        </w:rPr>
        <w:t>Targets must be 100%.</w:t>
      </w:r>
    </w:p>
    <w:p w14:paraId="7036877F" w14:textId="77777777" w:rsidR="00A86E16" w:rsidRPr="00ED172B" w:rsidRDefault="00A86E16" w:rsidP="0077063D">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14:paraId="76F90F71" w14:textId="77777777" w:rsidR="00A86E16" w:rsidRPr="00ED172B" w:rsidRDefault="00A86E16" w:rsidP="0077063D">
      <w:pPr>
        <w:rPr>
          <w:color w:val="000000" w:themeColor="text1"/>
          <w:szCs w:val="16"/>
        </w:rPr>
      </w:pPr>
      <w:r w:rsidRPr="00ED172B">
        <w:rPr>
          <w:color w:val="000000" w:themeColor="text1"/>
          <w:szCs w:val="16"/>
        </w:rPr>
        <w:t>The State’s timeliness measure for this indicator must be either: (1) a time period that runs from when the parent consents to IFSP services; or (2) the IFSP initiation date (established by the IFSP Team, including the parent).</w:t>
      </w:r>
    </w:p>
    <w:p w14:paraId="4BD24914" w14:textId="77777777" w:rsidR="00A86E16" w:rsidRPr="00ED172B" w:rsidRDefault="00A86E16" w:rsidP="0077063D">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D4A54D0" w14:textId="77777777" w:rsidR="00A86E16" w:rsidRPr="00ED172B" w:rsidRDefault="00A86E16" w:rsidP="0077063D">
      <w:pPr>
        <w:rPr>
          <w:color w:val="000000" w:themeColor="text1"/>
          <w:szCs w:val="16"/>
        </w:rPr>
      </w:pPr>
      <w:r w:rsidRPr="00ED172B">
        <w:rPr>
          <w:color w:val="000000" w:themeColor="text1"/>
          <w:szCs w:val="16"/>
        </w:rPr>
        <w:t>Provide detailed information about the timely correction of noncompliance as noted in the Office of Special Education Programs’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7A49385" w14:textId="13C079A5"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66EA9111" w14:textId="77777777" w:rsidR="00193E59" w:rsidRPr="00ED172B" w:rsidRDefault="00193E59" w:rsidP="0077063D">
      <w:pPr>
        <w:rPr>
          <w:color w:val="000000" w:themeColor="text1"/>
          <w:szCs w:val="16"/>
        </w:rPr>
      </w:pPr>
    </w:p>
    <w:bookmarkEnd w:id="2"/>
    <w:p w14:paraId="50323F6D" w14:textId="004783BF" w:rsidR="005E59DB" w:rsidRPr="00A40EE1" w:rsidRDefault="000D0117" w:rsidP="005C3FFD">
      <w:pPr>
        <w:pStyle w:val="Heading2"/>
      </w:pPr>
      <w:r w:rsidRPr="00A40EE1">
        <w:t xml:space="preserve">1 - </w:t>
      </w:r>
      <w:r w:rsidR="0077063D" w:rsidRPr="00A40EE1">
        <w:t>Indicator Data</w:t>
      </w:r>
    </w:p>
    <w:p w14:paraId="32B81788" w14:textId="009B6C8A" w:rsidR="00761753" w:rsidRDefault="00761753">
      <w:pPr>
        <w:rPr>
          <w:b/>
          <w:color w:val="000000" w:themeColor="text1"/>
        </w:rPr>
      </w:pPr>
      <w:bookmarkStart w:id="3"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1641C315" w14:textId="77777777" w:rsidTr="00A40EE1">
        <w:trPr>
          <w:trHeight w:val="311"/>
          <w:tblHeader/>
        </w:trPr>
        <w:tc>
          <w:tcPr>
            <w:tcW w:w="1797" w:type="dxa"/>
          </w:tcPr>
          <w:p w14:paraId="6D8A83A6"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75E967D8"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3FD36428" w14:textId="77777777" w:rsidTr="00A40EE1">
        <w:trPr>
          <w:trHeight w:val="311"/>
        </w:trPr>
        <w:tc>
          <w:tcPr>
            <w:tcW w:w="1797" w:type="dxa"/>
            <w:vAlign w:val="center"/>
          </w:tcPr>
          <w:p w14:paraId="73E5A89C" w14:textId="26AE6D7B" w:rsidR="000A2C40" w:rsidRDefault="000A2C40" w:rsidP="000A2C40">
            <w:pPr>
              <w:jc w:val="center"/>
              <w:rPr>
                <w:b/>
                <w:color w:val="000000" w:themeColor="text1"/>
              </w:rPr>
            </w:pPr>
            <w:r w:rsidRPr="005C29F8">
              <w:rPr>
                <w:rFonts w:cs="Arial"/>
                <w:color w:val="000000" w:themeColor="text1"/>
                <w:szCs w:val="16"/>
              </w:rPr>
              <w:t>2005</w:t>
            </w:r>
          </w:p>
        </w:tc>
        <w:tc>
          <w:tcPr>
            <w:tcW w:w="1798" w:type="dxa"/>
            <w:vAlign w:val="center"/>
          </w:tcPr>
          <w:p w14:paraId="4C825A6A" w14:textId="0D819E12" w:rsidR="000A2C40" w:rsidRDefault="000A2C40" w:rsidP="000A2C40">
            <w:pPr>
              <w:jc w:val="center"/>
              <w:rPr>
                <w:b/>
                <w:color w:val="000000" w:themeColor="text1"/>
              </w:rPr>
            </w:pPr>
            <w:r w:rsidRPr="005C29F8">
              <w:rPr>
                <w:rFonts w:cs="Arial"/>
                <w:color w:val="000000" w:themeColor="text1"/>
                <w:szCs w:val="16"/>
              </w:rPr>
              <w:t>74.00%</w:t>
            </w:r>
          </w:p>
        </w:tc>
      </w:tr>
    </w:tbl>
    <w:p w14:paraId="659F9D02" w14:textId="24567A3D" w:rsidR="000A2C40" w:rsidRDefault="000A2C40">
      <w:pPr>
        <w:rPr>
          <w:b/>
          <w:color w:val="000000" w:themeColor="text1"/>
        </w:rPr>
      </w:pPr>
    </w:p>
    <w:p w14:paraId="249C4D61"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22CB2AFF" w14:textId="11B2D5F0" w:rsidTr="00986B99">
        <w:trPr>
          <w:trHeight w:val="350"/>
        </w:trPr>
        <w:tc>
          <w:tcPr>
            <w:tcW w:w="456" w:type="pct"/>
            <w:tcBorders>
              <w:bottom w:val="single" w:sz="4" w:space="0" w:color="auto"/>
            </w:tcBorders>
            <w:shd w:val="clear" w:color="auto" w:fill="auto"/>
          </w:tcPr>
          <w:p w14:paraId="171B41E8"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shd w:val="clear" w:color="auto" w:fill="auto"/>
            <w:vAlign w:val="center"/>
          </w:tcPr>
          <w:p w14:paraId="0BBC31D5" w14:textId="34E2A72C" w:rsidR="003A4D77" w:rsidRPr="00ED172B" w:rsidRDefault="002163F2" w:rsidP="003A4D77">
            <w:pPr>
              <w:jc w:val="center"/>
              <w:rPr>
                <w:b/>
                <w:color w:val="000000" w:themeColor="text1"/>
                <w:szCs w:val="16"/>
              </w:rPr>
            </w:pPr>
            <w:r w:rsidRPr="00ED172B">
              <w:rPr>
                <w:rFonts w:cs="Arial"/>
                <w:b/>
                <w:color w:val="000000" w:themeColor="text1"/>
                <w:szCs w:val="16"/>
              </w:rPr>
              <w:t>2015</w:t>
            </w:r>
          </w:p>
        </w:tc>
        <w:tc>
          <w:tcPr>
            <w:tcW w:w="918" w:type="pct"/>
            <w:shd w:val="clear" w:color="auto" w:fill="auto"/>
            <w:vAlign w:val="center"/>
          </w:tcPr>
          <w:p w14:paraId="4DD075F8" w14:textId="7F484A8A" w:rsidR="003A4D77" w:rsidRPr="00ED172B" w:rsidRDefault="002163F2" w:rsidP="003A4D77">
            <w:pPr>
              <w:jc w:val="center"/>
              <w:rPr>
                <w:b/>
                <w:color w:val="000000" w:themeColor="text1"/>
                <w:szCs w:val="16"/>
              </w:rPr>
            </w:pPr>
            <w:r w:rsidRPr="00ED172B">
              <w:rPr>
                <w:rFonts w:cs="Arial"/>
                <w:b/>
                <w:color w:val="000000" w:themeColor="text1"/>
                <w:szCs w:val="16"/>
              </w:rPr>
              <w:t>2016</w:t>
            </w:r>
          </w:p>
        </w:tc>
        <w:tc>
          <w:tcPr>
            <w:tcW w:w="850" w:type="pct"/>
            <w:shd w:val="clear" w:color="auto" w:fill="auto"/>
            <w:vAlign w:val="center"/>
          </w:tcPr>
          <w:p w14:paraId="514A90C5" w14:textId="37A399C8" w:rsidR="003A4D77" w:rsidRPr="00ED172B" w:rsidRDefault="002163F2" w:rsidP="003A4D77">
            <w:pPr>
              <w:jc w:val="center"/>
              <w:rPr>
                <w:b/>
                <w:color w:val="000000" w:themeColor="text1"/>
                <w:szCs w:val="16"/>
              </w:rPr>
            </w:pPr>
            <w:r w:rsidRPr="00ED172B">
              <w:rPr>
                <w:rFonts w:cs="Arial"/>
                <w:b/>
                <w:color w:val="000000" w:themeColor="text1"/>
                <w:szCs w:val="16"/>
              </w:rPr>
              <w:t>2017</w:t>
            </w:r>
          </w:p>
        </w:tc>
        <w:tc>
          <w:tcPr>
            <w:tcW w:w="930" w:type="pct"/>
            <w:shd w:val="clear" w:color="auto" w:fill="auto"/>
            <w:vAlign w:val="center"/>
          </w:tcPr>
          <w:p w14:paraId="34A0C210" w14:textId="0D3E0248" w:rsidR="003A4D77" w:rsidRPr="00ED172B" w:rsidRDefault="002163F2" w:rsidP="003A4D77">
            <w:pPr>
              <w:jc w:val="center"/>
              <w:rPr>
                <w:b/>
                <w:color w:val="000000" w:themeColor="text1"/>
                <w:szCs w:val="16"/>
              </w:rPr>
            </w:pPr>
            <w:r w:rsidRPr="00ED172B">
              <w:rPr>
                <w:rFonts w:cs="Arial"/>
                <w:b/>
                <w:color w:val="000000" w:themeColor="text1"/>
                <w:szCs w:val="16"/>
              </w:rPr>
              <w:t>2018</w:t>
            </w:r>
          </w:p>
        </w:tc>
        <w:tc>
          <w:tcPr>
            <w:tcW w:w="929" w:type="pct"/>
            <w:shd w:val="clear" w:color="auto" w:fill="auto"/>
            <w:vAlign w:val="center"/>
          </w:tcPr>
          <w:p w14:paraId="1641BA41" w14:textId="0CD4505D" w:rsidR="003A4D77" w:rsidRPr="00ED172B" w:rsidRDefault="006D43D3" w:rsidP="003A4D77">
            <w:pPr>
              <w:jc w:val="center"/>
              <w:rPr>
                <w:b/>
                <w:color w:val="000000" w:themeColor="text1"/>
                <w:szCs w:val="16"/>
              </w:rPr>
            </w:pPr>
            <w:r w:rsidRPr="00ED172B">
              <w:rPr>
                <w:rFonts w:cs="Arial"/>
                <w:b/>
                <w:color w:val="000000" w:themeColor="text1"/>
                <w:szCs w:val="16"/>
              </w:rPr>
              <w:t>2019</w:t>
            </w:r>
          </w:p>
        </w:tc>
      </w:tr>
      <w:tr w:rsidR="00ED172B" w:rsidRPr="00ED172B" w14:paraId="6CE8763A" w14:textId="0E161AC9" w:rsidTr="00986B99">
        <w:trPr>
          <w:trHeight w:val="357"/>
        </w:trPr>
        <w:tc>
          <w:tcPr>
            <w:tcW w:w="456" w:type="pct"/>
            <w:shd w:val="clear" w:color="auto" w:fill="auto"/>
          </w:tcPr>
          <w:p w14:paraId="673D2FDB" w14:textId="77777777" w:rsidR="00CB5BE6" w:rsidRPr="00ED172B" w:rsidRDefault="00CB5BE6" w:rsidP="00B83404">
            <w:pPr>
              <w:rPr>
                <w:color w:val="000000" w:themeColor="text1"/>
                <w:szCs w:val="16"/>
              </w:rPr>
            </w:pPr>
            <w:r w:rsidRPr="00ED172B">
              <w:rPr>
                <w:color w:val="000000" w:themeColor="text1"/>
                <w:szCs w:val="16"/>
              </w:rPr>
              <w:t xml:space="preserve">Target </w:t>
            </w:r>
          </w:p>
        </w:tc>
        <w:tc>
          <w:tcPr>
            <w:tcW w:w="917" w:type="pct"/>
            <w:shd w:val="clear" w:color="auto" w:fill="auto"/>
          </w:tcPr>
          <w:p w14:paraId="3161DFBE" w14:textId="692C0959"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shd w:val="clear" w:color="auto" w:fill="auto"/>
          </w:tcPr>
          <w:p w14:paraId="12D1472E" w14:textId="2561B9FA"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shd w:val="clear" w:color="auto" w:fill="auto"/>
          </w:tcPr>
          <w:p w14:paraId="01A46A4F" w14:textId="759D4F9D"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shd w:val="clear" w:color="auto" w:fill="auto"/>
          </w:tcPr>
          <w:p w14:paraId="1B8F0DD3" w14:textId="4F0775AB"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shd w:val="clear" w:color="auto" w:fill="auto"/>
          </w:tcPr>
          <w:p w14:paraId="5A12292D" w14:textId="0A238119"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58686DBF" w14:textId="1B582E75" w:rsidTr="00986B99">
        <w:trPr>
          <w:trHeight w:val="85"/>
        </w:trPr>
        <w:tc>
          <w:tcPr>
            <w:tcW w:w="456" w:type="pct"/>
            <w:shd w:val="clear" w:color="auto" w:fill="auto"/>
          </w:tcPr>
          <w:p w14:paraId="2D0C7D71" w14:textId="77777777" w:rsidR="003A4D77" w:rsidRPr="00ED172B" w:rsidRDefault="003A4D77" w:rsidP="00B83404">
            <w:pPr>
              <w:rPr>
                <w:color w:val="000000" w:themeColor="text1"/>
                <w:szCs w:val="16"/>
              </w:rPr>
            </w:pPr>
            <w:r w:rsidRPr="00ED172B">
              <w:rPr>
                <w:color w:val="000000" w:themeColor="text1"/>
                <w:szCs w:val="16"/>
              </w:rPr>
              <w:t>Data</w:t>
            </w:r>
          </w:p>
        </w:tc>
        <w:tc>
          <w:tcPr>
            <w:tcW w:w="917" w:type="pct"/>
            <w:shd w:val="clear" w:color="auto" w:fill="auto"/>
            <w:vAlign w:val="center"/>
          </w:tcPr>
          <w:p w14:paraId="533520F5" w14:textId="68A00307" w:rsidR="003A4D77" w:rsidRPr="00ED172B" w:rsidRDefault="00860830" w:rsidP="003A4D77">
            <w:pPr>
              <w:jc w:val="center"/>
              <w:rPr>
                <w:color w:val="000000" w:themeColor="text1"/>
                <w:szCs w:val="16"/>
              </w:rPr>
            </w:pPr>
            <w:r w:rsidRPr="00ED172B">
              <w:rPr>
                <w:rFonts w:cs="Arial"/>
                <w:color w:val="000000" w:themeColor="text1"/>
                <w:szCs w:val="16"/>
              </w:rPr>
              <w:t>99.67%</w:t>
            </w:r>
          </w:p>
        </w:tc>
        <w:tc>
          <w:tcPr>
            <w:tcW w:w="918" w:type="pct"/>
            <w:tcBorders>
              <w:bottom w:val="single" w:sz="4" w:space="0" w:color="auto"/>
            </w:tcBorders>
            <w:shd w:val="clear" w:color="auto" w:fill="auto"/>
            <w:vAlign w:val="center"/>
          </w:tcPr>
          <w:p w14:paraId="383E26BA" w14:textId="07A641ED" w:rsidR="003A4D77" w:rsidRPr="00ED172B" w:rsidRDefault="00860830" w:rsidP="003A4D77">
            <w:pPr>
              <w:jc w:val="center"/>
              <w:rPr>
                <w:color w:val="000000" w:themeColor="text1"/>
                <w:szCs w:val="16"/>
              </w:rPr>
            </w:pPr>
            <w:r w:rsidRPr="00ED172B">
              <w:rPr>
                <w:rFonts w:cs="Arial"/>
                <w:color w:val="000000" w:themeColor="text1"/>
                <w:szCs w:val="16"/>
              </w:rPr>
              <w:t>99.50%</w:t>
            </w:r>
          </w:p>
        </w:tc>
        <w:tc>
          <w:tcPr>
            <w:tcW w:w="850" w:type="pct"/>
            <w:tcBorders>
              <w:bottom w:val="single" w:sz="4" w:space="0" w:color="auto"/>
            </w:tcBorders>
            <w:shd w:val="clear" w:color="auto" w:fill="auto"/>
            <w:vAlign w:val="center"/>
          </w:tcPr>
          <w:p w14:paraId="4360919A" w14:textId="650E7DC6" w:rsidR="003A4D77" w:rsidRPr="00ED172B" w:rsidRDefault="00860830" w:rsidP="003A4D77">
            <w:pPr>
              <w:jc w:val="center"/>
              <w:rPr>
                <w:color w:val="000000" w:themeColor="text1"/>
                <w:szCs w:val="16"/>
              </w:rPr>
            </w:pPr>
            <w:r w:rsidRPr="00ED172B">
              <w:rPr>
                <w:rFonts w:cs="Arial"/>
                <w:color w:val="000000" w:themeColor="text1"/>
                <w:szCs w:val="16"/>
              </w:rPr>
              <w:t>99.33%</w:t>
            </w:r>
          </w:p>
        </w:tc>
        <w:tc>
          <w:tcPr>
            <w:tcW w:w="930" w:type="pct"/>
            <w:tcBorders>
              <w:bottom w:val="single" w:sz="4" w:space="0" w:color="auto"/>
            </w:tcBorders>
            <w:shd w:val="clear" w:color="auto" w:fill="auto"/>
            <w:vAlign w:val="center"/>
          </w:tcPr>
          <w:p w14:paraId="6ABE873A" w14:textId="1CB80B8B" w:rsidR="003A4D77" w:rsidRPr="00ED172B" w:rsidRDefault="00860830" w:rsidP="003A4D77">
            <w:pPr>
              <w:jc w:val="center"/>
              <w:rPr>
                <w:color w:val="000000" w:themeColor="text1"/>
                <w:szCs w:val="16"/>
              </w:rPr>
            </w:pPr>
            <w:r w:rsidRPr="00ED172B">
              <w:rPr>
                <w:rFonts w:cs="Arial"/>
                <w:color w:val="000000" w:themeColor="text1"/>
                <w:szCs w:val="16"/>
              </w:rPr>
              <w:t>99.00%</w:t>
            </w:r>
          </w:p>
        </w:tc>
        <w:tc>
          <w:tcPr>
            <w:tcW w:w="929" w:type="pct"/>
            <w:tcBorders>
              <w:bottom w:val="single" w:sz="4" w:space="0" w:color="auto"/>
            </w:tcBorders>
            <w:shd w:val="clear" w:color="auto" w:fill="auto"/>
            <w:vAlign w:val="center"/>
          </w:tcPr>
          <w:p w14:paraId="2A56A472" w14:textId="1476B433" w:rsidR="003A4D77" w:rsidRPr="00ED172B" w:rsidRDefault="00860830" w:rsidP="003A4D77">
            <w:pPr>
              <w:jc w:val="center"/>
              <w:rPr>
                <w:color w:val="000000" w:themeColor="text1"/>
                <w:szCs w:val="16"/>
              </w:rPr>
            </w:pPr>
            <w:r w:rsidRPr="00ED172B">
              <w:rPr>
                <w:rFonts w:cs="Arial"/>
                <w:color w:val="000000" w:themeColor="text1"/>
                <w:szCs w:val="16"/>
              </w:rPr>
              <w:t>99.21%</w:t>
            </w:r>
          </w:p>
        </w:tc>
      </w:tr>
    </w:tbl>
    <w:p w14:paraId="461F44EB" w14:textId="77777777" w:rsidR="000A2C40" w:rsidRDefault="000A2C40">
      <w:pPr>
        <w:rPr>
          <w:b/>
          <w:color w:val="000000" w:themeColor="text1"/>
        </w:rPr>
      </w:pPr>
    </w:p>
    <w:p w14:paraId="33CA97E7" w14:textId="2A9F8E35" w:rsidR="00B609A4" w:rsidRPr="00ED172B" w:rsidRDefault="00B609A4">
      <w:pPr>
        <w:rPr>
          <w:b/>
          <w:color w:val="000000" w:themeColor="text1"/>
        </w:rPr>
      </w:pPr>
      <w:r w:rsidRPr="00ED172B">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79"/>
        <w:gridCol w:w="1686"/>
        <w:gridCol w:w="1685"/>
        <w:gridCol w:w="1685"/>
        <w:gridCol w:w="1685"/>
        <w:gridCol w:w="1685"/>
        <w:gridCol w:w="1685"/>
      </w:tblGrid>
      <w:tr w:rsidR="00782908" w:rsidRPr="00ED172B" w14:paraId="246DB490" w14:textId="7B55901D" w:rsidTr="00120AE3">
        <w:trPr>
          <w:trHeight w:val="350"/>
        </w:trPr>
        <w:tc>
          <w:tcPr>
            <w:tcW w:w="314" w:type="pct"/>
            <w:tcBorders>
              <w:bottom w:val="single" w:sz="4" w:space="0" w:color="auto"/>
            </w:tcBorders>
            <w:shd w:val="clear" w:color="auto" w:fill="auto"/>
          </w:tcPr>
          <w:p w14:paraId="7E3256F3" w14:textId="77777777" w:rsidR="00782908" w:rsidRPr="00ED172B" w:rsidRDefault="00782908" w:rsidP="00E01C49">
            <w:pPr>
              <w:jc w:val="center"/>
              <w:rPr>
                <w:b/>
                <w:color w:val="000000" w:themeColor="text1"/>
                <w:szCs w:val="16"/>
              </w:rPr>
            </w:pPr>
            <w:r w:rsidRPr="00ED172B">
              <w:rPr>
                <w:b/>
                <w:color w:val="000000" w:themeColor="text1"/>
                <w:szCs w:val="16"/>
              </w:rPr>
              <w:t>FFY</w:t>
            </w:r>
          </w:p>
        </w:tc>
        <w:tc>
          <w:tcPr>
            <w:tcW w:w="781" w:type="pct"/>
            <w:shd w:val="clear" w:color="auto" w:fill="auto"/>
            <w:vAlign w:val="center"/>
          </w:tcPr>
          <w:p w14:paraId="6C3EA6E7" w14:textId="0CD96192" w:rsidR="00782908" w:rsidRPr="00ED172B" w:rsidRDefault="00782908" w:rsidP="003A4D77">
            <w:pPr>
              <w:jc w:val="center"/>
              <w:rPr>
                <w:b/>
                <w:color w:val="000000" w:themeColor="text1"/>
                <w:szCs w:val="16"/>
              </w:rPr>
            </w:pPr>
            <w:r w:rsidRPr="00ED172B">
              <w:rPr>
                <w:rFonts w:cs="Arial"/>
                <w:b/>
                <w:color w:val="000000" w:themeColor="text1"/>
                <w:szCs w:val="16"/>
              </w:rPr>
              <w:t>2020</w:t>
            </w:r>
          </w:p>
        </w:tc>
        <w:tc>
          <w:tcPr>
            <w:tcW w:w="781" w:type="pct"/>
          </w:tcPr>
          <w:p w14:paraId="44A76023" w14:textId="1CD7C23A" w:rsidR="00782908" w:rsidRPr="00ED172B" w:rsidRDefault="00782908" w:rsidP="003A4D77">
            <w:pPr>
              <w:jc w:val="center"/>
              <w:rPr>
                <w:rFonts w:cs="Arial"/>
                <w:b/>
                <w:color w:val="000000" w:themeColor="text1"/>
                <w:szCs w:val="16"/>
              </w:rPr>
            </w:pPr>
            <w:r>
              <w:rPr>
                <w:rFonts w:cs="Arial"/>
                <w:b/>
                <w:color w:val="000000" w:themeColor="text1"/>
                <w:szCs w:val="16"/>
              </w:rPr>
              <w:t>2021</w:t>
            </w:r>
          </w:p>
        </w:tc>
        <w:tc>
          <w:tcPr>
            <w:tcW w:w="781" w:type="pct"/>
          </w:tcPr>
          <w:p w14:paraId="40AA5EA9" w14:textId="37071A4C" w:rsidR="00782908" w:rsidRPr="00ED172B" w:rsidRDefault="00782908" w:rsidP="003A4D77">
            <w:pPr>
              <w:jc w:val="center"/>
              <w:rPr>
                <w:rFonts w:cs="Arial"/>
                <w:b/>
                <w:color w:val="000000" w:themeColor="text1"/>
                <w:szCs w:val="16"/>
              </w:rPr>
            </w:pPr>
            <w:r>
              <w:rPr>
                <w:rFonts w:cs="Arial"/>
                <w:b/>
                <w:color w:val="000000" w:themeColor="text1"/>
                <w:szCs w:val="16"/>
              </w:rPr>
              <w:t>2022</w:t>
            </w:r>
          </w:p>
        </w:tc>
        <w:tc>
          <w:tcPr>
            <w:tcW w:w="781" w:type="pct"/>
          </w:tcPr>
          <w:p w14:paraId="489AC9B0" w14:textId="3222C7C4" w:rsidR="00782908" w:rsidRPr="00ED172B" w:rsidRDefault="00782908" w:rsidP="003A4D77">
            <w:pPr>
              <w:jc w:val="center"/>
              <w:rPr>
                <w:rFonts w:cs="Arial"/>
                <w:b/>
                <w:color w:val="000000" w:themeColor="text1"/>
                <w:szCs w:val="16"/>
              </w:rPr>
            </w:pPr>
            <w:r>
              <w:rPr>
                <w:rFonts w:cs="Arial"/>
                <w:b/>
                <w:color w:val="000000" w:themeColor="text1"/>
                <w:szCs w:val="16"/>
              </w:rPr>
              <w:t>2023</w:t>
            </w:r>
          </w:p>
        </w:tc>
        <w:tc>
          <w:tcPr>
            <w:tcW w:w="781" w:type="pct"/>
          </w:tcPr>
          <w:p w14:paraId="1C86A691" w14:textId="22914B21" w:rsidR="00782908" w:rsidRDefault="00782908" w:rsidP="003A4D77">
            <w:pPr>
              <w:jc w:val="center"/>
              <w:rPr>
                <w:rFonts w:cs="Arial"/>
                <w:b/>
                <w:color w:val="000000" w:themeColor="text1"/>
                <w:szCs w:val="16"/>
              </w:rPr>
            </w:pPr>
            <w:r>
              <w:rPr>
                <w:rFonts w:cs="Arial"/>
                <w:b/>
                <w:color w:val="000000" w:themeColor="text1"/>
                <w:szCs w:val="16"/>
              </w:rPr>
              <w:t>2024</w:t>
            </w:r>
          </w:p>
        </w:tc>
        <w:tc>
          <w:tcPr>
            <w:tcW w:w="781" w:type="pct"/>
          </w:tcPr>
          <w:p w14:paraId="74B0D03B" w14:textId="6FA0368F" w:rsidR="00782908" w:rsidRDefault="00782908" w:rsidP="003A4D77">
            <w:pPr>
              <w:jc w:val="center"/>
              <w:rPr>
                <w:rFonts w:cs="Arial"/>
                <w:b/>
                <w:color w:val="000000" w:themeColor="text1"/>
                <w:szCs w:val="16"/>
              </w:rPr>
            </w:pPr>
            <w:r>
              <w:rPr>
                <w:rFonts w:cs="Arial"/>
                <w:b/>
                <w:color w:val="000000" w:themeColor="text1"/>
                <w:szCs w:val="16"/>
              </w:rPr>
              <w:t>2025</w:t>
            </w:r>
          </w:p>
        </w:tc>
      </w:tr>
      <w:tr w:rsidR="00782908" w:rsidRPr="00ED172B" w14:paraId="31760632" w14:textId="0D9FE637" w:rsidTr="00120AE3">
        <w:trPr>
          <w:trHeight w:val="357"/>
        </w:trPr>
        <w:tc>
          <w:tcPr>
            <w:tcW w:w="314" w:type="pct"/>
            <w:shd w:val="clear" w:color="auto" w:fill="auto"/>
          </w:tcPr>
          <w:p w14:paraId="1FB4BD66" w14:textId="77777777" w:rsidR="00782908" w:rsidRPr="00ED172B" w:rsidRDefault="00782908" w:rsidP="00B83404">
            <w:pPr>
              <w:rPr>
                <w:color w:val="000000" w:themeColor="text1"/>
                <w:szCs w:val="16"/>
              </w:rPr>
            </w:pPr>
            <w:r w:rsidRPr="00ED172B">
              <w:rPr>
                <w:color w:val="000000" w:themeColor="text1"/>
                <w:szCs w:val="16"/>
              </w:rPr>
              <w:t>Target</w:t>
            </w:r>
          </w:p>
        </w:tc>
        <w:tc>
          <w:tcPr>
            <w:tcW w:w="781" w:type="pct"/>
            <w:shd w:val="clear" w:color="auto" w:fill="auto"/>
          </w:tcPr>
          <w:p w14:paraId="73D2B7A9" w14:textId="1EA3E525" w:rsidR="00782908" w:rsidRPr="00ED172B" w:rsidRDefault="00782908" w:rsidP="00715B7C">
            <w:pPr>
              <w:jc w:val="center"/>
              <w:rPr>
                <w:color w:val="000000" w:themeColor="text1"/>
                <w:szCs w:val="16"/>
              </w:rPr>
            </w:pPr>
            <w:r w:rsidRPr="00ED172B">
              <w:rPr>
                <w:color w:val="000000" w:themeColor="text1"/>
                <w:szCs w:val="16"/>
              </w:rPr>
              <w:t>100%</w:t>
            </w:r>
          </w:p>
        </w:tc>
        <w:tc>
          <w:tcPr>
            <w:tcW w:w="781" w:type="pct"/>
          </w:tcPr>
          <w:p w14:paraId="04EEAAC8" w14:textId="11881C4E" w:rsidR="00782908" w:rsidRPr="00ED172B" w:rsidRDefault="00782908" w:rsidP="00715B7C">
            <w:pPr>
              <w:jc w:val="center"/>
              <w:rPr>
                <w:color w:val="000000" w:themeColor="text1"/>
                <w:szCs w:val="16"/>
              </w:rPr>
            </w:pPr>
            <w:r>
              <w:rPr>
                <w:color w:val="000000" w:themeColor="text1"/>
                <w:szCs w:val="16"/>
              </w:rPr>
              <w:t>100%</w:t>
            </w:r>
          </w:p>
        </w:tc>
        <w:tc>
          <w:tcPr>
            <w:tcW w:w="781" w:type="pct"/>
          </w:tcPr>
          <w:p w14:paraId="041BBD6F" w14:textId="37DE789D" w:rsidR="00782908" w:rsidRPr="00ED172B" w:rsidRDefault="00803AC9" w:rsidP="00715B7C">
            <w:pPr>
              <w:jc w:val="center"/>
              <w:rPr>
                <w:color w:val="000000" w:themeColor="text1"/>
                <w:szCs w:val="16"/>
              </w:rPr>
            </w:pPr>
            <w:r>
              <w:rPr>
                <w:color w:val="000000" w:themeColor="text1"/>
                <w:szCs w:val="16"/>
              </w:rPr>
              <w:t>100%</w:t>
            </w:r>
          </w:p>
        </w:tc>
        <w:tc>
          <w:tcPr>
            <w:tcW w:w="781" w:type="pct"/>
          </w:tcPr>
          <w:p w14:paraId="57F0B811" w14:textId="00234F7C" w:rsidR="00782908" w:rsidRPr="00ED172B" w:rsidRDefault="00803AC9" w:rsidP="00715B7C">
            <w:pPr>
              <w:jc w:val="center"/>
              <w:rPr>
                <w:color w:val="000000" w:themeColor="text1"/>
                <w:szCs w:val="16"/>
              </w:rPr>
            </w:pPr>
            <w:r>
              <w:rPr>
                <w:color w:val="000000" w:themeColor="text1"/>
                <w:szCs w:val="16"/>
              </w:rPr>
              <w:t>100%</w:t>
            </w:r>
          </w:p>
        </w:tc>
        <w:tc>
          <w:tcPr>
            <w:tcW w:w="781" w:type="pct"/>
          </w:tcPr>
          <w:p w14:paraId="4A4F7471" w14:textId="380097F1" w:rsidR="00782908" w:rsidRPr="00ED172B" w:rsidRDefault="00803AC9" w:rsidP="00715B7C">
            <w:pPr>
              <w:jc w:val="center"/>
              <w:rPr>
                <w:color w:val="000000" w:themeColor="text1"/>
                <w:szCs w:val="16"/>
              </w:rPr>
            </w:pPr>
            <w:r>
              <w:rPr>
                <w:color w:val="000000" w:themeColor="text1"/>
                <w:szCs w:val="16"/>
              </w:rPr>
              <w:t>100%</w:t>
            </w:r>
          </w:p>
        </w:tc>
        <w:tc>
          <w:tcPr>
            <w:tcW w:w="781" w:type="pct"/>
          </w:tcPr>
          <w:p w14:paraId="6532F02F" w14:textId="4EB27855" w:rsidR="00782908" w:rsidRPr="00ED172B" w:rsidRDefault="00803AC9" w:rsidP="00715B7C">
            <w:pPr>
              <w:jc w:val="center"/>
              <w:rPr>
                <w:color w:val="000000" w:themeColor="text1"/>
                <w:szCs w:val="16"/>
              </w:rPr>
            </w:pPr>
            <w:r>
              <w:rPr>
                <w:color w:val="000000" w:themeColor="text1"/>
                <w:szCs w:val="16"/>
              </w:rPr>
              <w:t>100%</w:t>
            </w:r>
          </w:p>
        </w:tc>
      </w:tr>
    </w:tbl>
    <w:p w14:paraId="00A2F9D5" w14:textId="77777777" w:rsidR="000A2C40" w:rsidRDefault="000A2C40">
      <w:pPr>
        <w:rPr>
          <w:b/>
          <w:color w:val="000000" w:themeColor="text1"/>
        </w:rPr>
      </w:pPr>
    </w:p>
    <w:p w14:paraId="4BF12CE7" w14:textId="3757968E" w:rsidR="00441FB4" w:rsidRPr="00ED172B" w:rsidRDefault="00F22D09">
      <w:pPr>
        <w:rPr>
          <w:b/>
          <w:color w:val="000000" w:themeColor="text1"/>
        </w:rPr>
      </w:pPr>
      <w:r>
        <w:rPr>
          <w:b/>
          <w:color w:val="000000" w:themeColor="text1"/>
        </w:rPr>
        <w:t>FFY 2020 SPP/APR Data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7"/>
        <w:gridCol w:w="1278"/>
        <w:gridCol w:w="1912"/>
        <w:gridCol w:w="1152"/>
        <w:gridCol w:w="1459"/>
        <w:gridCol w:w="1411"/>
      </w:tblGrid>
      <w:tr w:rsidR="00ED172B" w:rsidRPr="00ED172B" w14:paraId="0F119A4D" w14:textId="77B8E4E9" w:rsidTr="00A40EE1">
        <w:trPr>
          <w:tblHeader/>
        </w:trPr>
        <w:tc>
          <w:tcPr>
            <w:tcW w:w="793" w:type="pct"/>
            <w:shd w:val="clear" w:color="auto" w:fill="auto"/>
            <w:vAlign w:val="bottom"/>
          </w:tcPr>
          <w:p w14:paraId="7E547840" w14:textId="77777777" w:rsidR="006A05A9" w:rsidRPr="00ED172B" w:rsidRDefault="006A05A9" w:rsidP="006A05A9">
            <w:pPr>
              <w:jc w:val="center"/>
              <w:rPr>
                <w:b/>
                <w:color w:val="000000" w:themeColor="text1"/>
                <w:szCs w:val="16"/>
              </w:rPr>
            </w:pPr>
            <w:bookmarkStart w:id="4" w:name="_Toc392159261"/>
            <w:r w:rsidRPr="00ED172B">
              <w:rPr>
                <w:b/>
                <w:color w:val="000000" w:themeColor="text1"/>
                <w:szCs w:val="16"/>
              </w:rPr>
              <w:lastRenderedPageBreak/>
              <w:t>Number of infants and toddlers with IFSPs who receive the early intervention services on their IFSPs in a timely manner</w:t>
            </w:r>
          </w:p>
        </w:tc>
        <w:tc>
          <w:tcPr>
            <w:tcW w:w="865" w:type="pct"/>
            <w:shd w:val="clear" w:color="auto" w:fill="auto"/>
            <w:vAlign w:val="bottom"/>
          </w:tcPr>
          <w:p w14:paraId="09962364"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shd w:val="clear" w:color="auto" w:fill="auto"/>
            <w:vAlign w:val="bottom"/>
          </w:tcPr>
          <w:p w14:paraId="2096A85C" w14:textId="58A23212" w:rsidR="006A05A9" w:rsidRPr="00ED172B" w:rsidRDefault="00CD74B5" w:rsidP="006A05A9">
            <w:pPr>
              <w:jc w:val="center"/>
              <w:rPr>
                <w:b/>
                <w:color w:val="000000" w:themeColor="text1"/>
                <w:szCs w:val="16"/>
              </w:rPr>
            </w:pPr>
            <w:r>
              <w:rPr>
                <w:rFonts w:cs="Arial"/>
                <w:b/>
                <w:color w:val="000000" w:themeColor="text1"/>
                <w:szCs w:val="16"/>
              </w:rPr>
              <w:t>FFY 2019 Data</w:t>
            </w:r>
          </w:p>
        </w:tc>
        <w:tc>
          <w:tcPr>
            <w:tcW w:w="886" w:type="pct"/>
            <w:shd w:val="clear" w:color="auto" w:fill="auto"/>
            <w:vAlign w:val="bottom"/>
          </w:tcPr>
          <w:p w14:paraId="64E16C07" w14:textId="6167C417" w:rsidR="006A05A9" w:rsidRPr="00ED172B" w:rsidRDefault="00F22D09" w:rsidP="006A05A9">
            <w:pPr>
              <w:jc w:val="center"/>
              <w:rPr>
                <w:b/>
                <w:color w:val="000000" w:themeColor="text1"/>
                <w:szCs w:val="16"/>
              </w:rPr>
            </w:pPr>
            <w:r>
              <w:rPr>
                <w:rFonts w:cs="Arial"/>
                <w:b/>
                <w:color w:val="000000" w:themeColor="text1"/>
                <w:szCs w:val="16"/>
              </w:rPr>
              <w:t>FFY 2020 Target</w:t>
            </w:r>
          </w:p>
        </w:tc>
        <w:tc>
          <w:tcPr>
            <w:tcW w:w="534" w:type="pct"/>
            <w:shd w:val="clear" w:color="auto" w:fill="auto"/>
            <w:vAlign w:val="bottom"/>
          </w:tcPr>
          <w:p w14:paraId="3A16633D" w14:textId="64DA813E" w:rsidR="006A05A9" w:rsidRPr="00ED172B" w:rsidRDefault="00F22D09" w:rsidP="006A05A9">
            <w:pPr>
              <w:jc w:val="center"/>
              <w:rPr>
                <w:b/>
                <w:color w:val="000000" w:themeColor="text1"/>
                <w:szCs w:val="16"/>
              </w:rPr>
            </w:pPr>
            <w:r>
              <w:rPr>
                <w:rFonts w:cs="Arial"/>
                <w:b/>
                <w:color w:val="000000" w:themeColor="text1"/>
                <w:szCs w:val="16"/>
              </w:rPr>
              <w:t>FFY 2020 Data</w:t>
            </w:r>
          </w:p>
        </w:tc>
        <w:tc>
          <w:tcPr>
            <w:tcW w:w="676" w:type="pct"/>
            <w:shd w:val="clear" w:color="auto" w:fill="auto"/>
            <w:vAlign w:val="bottom"/>
          </w:tcPr>
          <w:p w14:paraId="0F52761C" w14:textId="0B0E8DE2"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shd w:val="clear" w:color="auto" w:fill="auto"/>
            <w:vAlign w:val="bottom"/>
          </w:tcPr>
          <w:p w14:paraId="0B32A54D" w14:textId="349A897C"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620F9784" w14:textId="30FC28C1" w:rsidTr="00A40EE1">
        <w:tc>
          <w:tcPr>
            <w:tcW w:w="793" w:type="pct"/>
            <w:shd w:val="clear" w:color="auto" w:fill="auto"/>
            <w:vAlign w:val="center"/>
          </w:tcPr>
          <w:p w14:paraId="31592C01" w14:textId="6D092DA6" w:rsidR="00F97A57" w:rsidRPr="00ED172B" w:rsidRDefault="00860830" w:rsidP="00F97A57">
            <w:pPr>
              <w:jc w:val="center"/>
              <w:rPr>
                <w:color w:val="000000" w:themeColor="text1"/>
                <w:szCs w:val="16"/>
              </w:rPr>
            </w:pPr>
            <w:r w:rsidRPr="00ED172B">
              <w:rPr>
                <w:color w:val="000000" w:themeColor="text1"/>
                <w:szCs w:val="16"/>
              </w:rPr>
              <w:t>9,531</w:t>
            </w:r>
          </w:p>
        </w:tc>
        <w:tc>
          <w:tcPr>
            <w:tcW w:w="865" w:type="pct"/>
            <w:shd w:val="clear" w:color="auto" w:fill="auto"/>
            <w:vAlign w:val="center"/>
          </w:tcPr>
          <w:p w14:paraId="44F9E666" w14:textId="0948A7BD" w:rsidR="00F97A57" w:rsidRPr="00ED172B" w:rsidRDefault="00860830" w:rsidP="00F97A57">
            <w:pPr>
              <w:jc w:val="center"/>
              <w:rPr>
                <w:color w:val="000000" w:themeColor="text1"/>
                <w:szCs w:val="16"/>
              </w:rPr>
            </w:pPr>
            <w:r w:rsidRPr="00ED172B">
              <w:rPr>
                <w:color w:val="000000" w:themeColor="text1"/>
                <w:szCs w:val="16"/>
              </w:rPr>
              <w:t>11,354</w:t>
            </w:r>
          </w:p>
        </w:tc>
        <w:tc>
          <w:tcPr>
            <w:tcW w:w="592" w:type="pct"/>
            <w:shd w:val="clear" w:color="auto" w:fill="auto"/>
          </w:tcPr>
          <w:p w14:paraId="576AB130" w14:textId="21AB123C" w:rsidR="00F97A57" w:rsidRPr="00ED172B" w:rsidRDefault="00860830" w:rsidP="00F97A57">
            <w:pPr>
              <w:jc w:val="center"/>
              <w:rPr>
                <w:color w:val="000000" w:themeColor="text1"/>
                <w:szCs w:val="16"/>
              </w:rPr>
            </w:pPr>
            <w:r w:rsidRPr="00ED172B">
              <w:rPr>
                <w:rFonts w:cs="Arial"/>
                <w:color w:val="000000" w:themeColor="text1"/>
                <w:szCs w:val="16"/>
              </w:rPr>
              <w:t>99.21%</w:t>
            </w:r>
          </w:p>
        </w:tc>
        <w:tc>
          <w:tcPr>
            <w:tcW w:w="886" w:type="pct"/>
            <w:shd w:val="clear" w:color="auto" w:fill="auto"/>
          </w:tcPr>
          <w:p w14:paraId="3533D935" w14:textId="1949D9D3"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shd w:val="clear" w:color="auto" w:fill="auto"/>
          </w:tcPr>
          <w:p w14:paraId="354EFF4D" w14:textId="5546CDAD" w:rsidR="00F97A57" w:rsidRPr="00ED172B" w:rsidRDefault="00860830" w:rsidP="00F97A57">
            <w:pPr>
              <w:jc w:val="center"/>
              <w:rPr>
                <w:color w:val="000000" w:themeColor="text1"/>
                <w:szCs w:val="16"/>
              </w:rPr>
            </w:pPr>
            <w:r w:rsidRPr="00ED172B">
              <w:rPr>
                <w:rFonts w:cs="Arial"/>
                <w:color w:val="000000" w:themeColor="text1"/>
                <w:szCs w:val="16"/>
              </w:rPr>
              <w:t>99.82%</w:t>
            </w:r>
          </w:p>
        </w:tc>
        <w:tc>
          <w:tcPr>
            <w:tcW w:w="676" w:type="pct"/>
            <w:shd w:val="clear" w:color="auto" w:fill="auto"/>
          </w:tcPr>
          <w:p w14:paraId="64C1CD5F" w14:textId="24AEC3C0"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shd w:val="clear" w:color="auto" w:fill="auto"/>
          </w:tcPr>
          <w:p w14:paraId="54B44D47" w14:textId="3452B2C9" w:rsidR="00F97A57" w:rsidRPr="00ED172B" w:rsidRDefault="005E414F" w:rsidP="00027F39">
            <w:pPr>
              <w:jc w:val="center"/>
              <w:rPr>
                <w:color w:val="000000" w:themeColor="text1"/>
              </w:rPr>
            </w:pPr>
            <w:r w:rsidRPr="00ED172B">
              <w:rPr>
                <w:rFonts w:cs="Arial"/>
                <w:color w:val="000000" w:themeColor="text1"/>
                <w:szCs w:val="16"/>
              </w:rPr>
              <w:t>No Slippage</w:t>
            </w:r>
          </w:p>
        </w:tc>
      </w:tr>
    </w:tbl>
    <w:p w14:paraId="3D57C24C" w14:textId="2CACC1E9"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7A97E4C7" w14:textId="30309E08"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1BDA9B66" w14:textId="0D509F41" w:rsidR="00B54E6C" w:rsidRPr="00ED172B" w:rsidRDefault="00B54E6C" w:rsidP="00133698">
      <w:pPr>
        <w:rPr>
          <w:rFonts w:cs="Arial"/>
          <w:color w:val="000000" w:themeColor="text1"/>
          <w:szCs w:val="16"/>
        </w:rPr>
      </w:pPr>
      <w:bookmarkStart w:id="5" w:name="_Toc382082358"/>
      <w:bookmarkEnd w:id="4"/>
      <w:r w:rsidRPr="00ED172B">
        <w:rPr>
          <w:color w:val="000000" w:themeColor="text1"/>
          <w:szCs w:val="16"/>
        </w:rPr>
        <w:t>1,802</w:t>
      </w:r>
    </w:p>
    <w:p w14:paraId="5AF9B014" w14:textId="3F4B839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71C1ED23" w14:textId="2777F026" w:rsidR="003739C5" w:rsidRPr="00ED172B" w:rsidRDefault="003739C5" w:rsidP="003739C5">
      <w:pPr>
        <w:rPr>
          <w:rFonts w:cs="Arial"/>
          <w:color w:val="000000" w:themeColor="text1"/>
          <w:szCs w:val="16"/>
        </w:rPr>
      </w:pPr>
      <w:r w:rsidRPr="00ED172B">
        <w:rPr>
          <w:color w:val="000000" w:themeColor="text1"/>
          <w:szCs w:val="16"/>
        </w:rPr>
        <w:t>MA-C identifies the reason for services provided outside the required timeline. The majority of delays resulted from exceptional family circumstances, including those who cancelled the service or did not attend it as scheduled. Other delays resulted from EIS providers being unable to contact a family or schedule a service within the time frame and extreme weather.</w:t>
      </w:r>
    </w:p>
    <w:p w14:paraId="3E95DC92" w14:textId="76EF721D" w:rsidR="007E0FCC" w:rsidRPr="00ED172B" w:rsidRDefault="00A86E16" w:rsidP="00133698">
      <w:pPr>
        <w:rPr>
          <w:rFonts w:cs="Arial"/>
          <w:b/>
          <w:color w:val="000000" w:themeColor="text1"/>
          <w:szCs w:val="16"/>
        </w:rPr>
      </w:pPr>
      <w:r w:rsidRPr="00ED172B">
        <w:rPr>
          <w:rFonts w:cs="Arial"/>
          <w:b/>
          <w:color w:val="000000" w:themeColor="text1"/>
          <w:szCs w:val="16"/>
        </w:rPr>
        <w:t>Include your State’s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14:paraId="3F2D8FDD" w14:textId="687B9DF6" w:rsidR="007F3393" w:rsidRPr="00ED172B" w:rsidRDefault="00860830" w:rsidP="00133698">
      <w:pPr>
        <w:rPr>
          <w:color w:val="000000" w:themeColor="text1"/>
          <w:szCs w:val="16"/>
        </w:rPr>
      </w:pPr>
      <w:r w:rsidRPr="00ED172B">
        <w:rPr>
          <w:color w:val="000000" w:themeColor="text1"/>
          <w:szCs w:val="16"/>
        </w:rPr>
        <w:t>MA-C defines “timely” receipt of early intervention services as the latency between a parent or legal guardian’s consent to when IFSP services are initiated. "Timely" services are those that begin within 30 days of the parent or legal guardian's consent to the IFSP.</w:t>
      </w:r>
    </w:p>
    <w:p w14:paraId="63EBC4F0"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261B8254" w14:textId="6C7DD3A3" w:rsidR="00431D4D" w:rsidRDefault="00431D4D" w:rsidP="00B83404">
      <w:pPr>
        <w:rPr>
          <w:rFonts w:cs="Arial"/>
          <w:color w:val="000000" w:themeColor="text1"/>
          <w:szCs w:val="16"/>
        </w:rPr>
      </w:pPr>
      <w:bookmarkStart w:id="6" w:name="_Hlk23243004"/>
      <w:r w:rsidRPr="00ED172B">
        <w:rPr>
          <w:rFonts w:cs="Arial"/>
          <w:color w:val="000000" w:themeColor="text1"/>
          <w:szCs w:val="16"/>
        </w:rPr>
        <w:t>State database</w:t>
      </w:r>
    </w:p>
    <w:bookmarkEnd w:id="6"/>
    <w:p w14:paraId="0FB58200" w14:textId="713593EA" w:rsidR="007F3393" w:rsidRPr="00ED172B" w:rsidRDefault="007F3393" w:rsidP="00B83404">
      <w:pPr>
        <w:rPr>
          <w:b/>
          <w:color w:val="000000" w:themeColor="text1"/>
        </w:rPr>
      </w:pPr>
      <w:r w:rsidRPr="00ED172B">
        <w:rPr>
          <w:b/>
          <w:color w:val="000000" w:themeColor="text1"/>
        </w:rPr>
        <w:t>Provide the time period in which the data were collected (e.g., September through December, fourth quarter, selection from the full reporting period).</w:t>
      </w:r>
    </w:p>
    <w:p w14:paraId="04F7364E" w14:textId="24AB7EC2" w:rsidR="007F3393" w:rsidRPr="00ED172B" w:rsidRDefault="00860830" w:rsidP="00B83404">
      <w:pPr>
        <w:rPr>
          <w:color w:val="000000" w:themeColor="text1"/>
        </w:rPr>
      </w:pPr>
      <w:r w:rsidRPr="00ED172B">
        <w:rPr>
          <w:color w:val="000000" w:themeColor="text1"/>
        </w:rPr>
        <w:t>The Lead Agency (MA-C) selected a six-month sample to collect data on this indicator: January 1, 2021 to June 30, 2021.</w:t>
      </w:r>
    </w:p>
    <w:p w14:paraId="45217531" w14:textId="7621120B" w:rsidR="007F3393" w:rsidRPr="00ED172B" w:rsidRDefault="007F3393" w:rsidP="00B83404">
      <w:pPr>
        <w:rPr>
          <w:b/>
          <w:color w:val="000000" w:themeColor="text1"/>
        </w:rPr>
      </w:pPr>
      <w:r w:rsidRPr="00ED172B">
        <w:rPr>
          <w:b/>
          <w:color w:val="000000" w:themeColor="text1"/>
        </w:rPr>
        <w:t>Describe how the data accurately reflect data for infants and toddlers with IFSPs for the full reporting period.</w:t>
      </w:r>
    </w:p>
    <w:p w14:paraId="78DAE0FF" w14:textId="5897C081" w:rsidR="007F3393" w:rsidRDefault="00860830" w:rsidP="00B83404">
      <w:pPr>
        <w:rPr>
          <w:color w:val="000000" w:themeColor="text1"/>
        </w:rPr>
      </w:pPr>
      <w:r w:rsidRPr="00ED172B">
        <w:rPr>
          <w:color w:val="000000" w:themeColor="text1"/>
        </w:rPr>
        <w:t>These data accurately reflect data for infants and toddlers with IFSPs for the full reporting period because they include data on from 53 out of 59 contracted Early Intervention Service programs. Additionally, these data include Initial Individualized Family Service Plans (i.e., the first IFSP developed at the outset of the child’s enrollment in the EI system) and for all annual IFSPs (i.e., those IFSPs evaluated after one year). These data are entered into the state database by the contracted EIS programs.</w:t>
      </w:r>
    </w:p>
    <w:p w14:paraId="0A887955"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7BC214DF" w14:textId="3B536CFA" w:rsidR="006E322D" w:rsidRPr="00ED172B" w:rsidRDefault="006E322D" w:rsidP="00361F62">
      <w:pPr>
        <w:rPr>
          <w:color w:val="000000" w:themeColor="text1"/>
        </w:rPr>
      </w:pPr>
    </w:p>
    <w:p w14:paraId="53FAF326" w14:textId="2D9D0E07" w:rsidR="002F1A9A" w:rsidRPr="00ED172B" w:rsidRDefault="002F1A9A" w:rsidP="00B83404">
      <w:pPr>
        <w:rPr>
          <w:color w:val="000000" w:themeColor="text1"/>
        </w:rPr>
      </w:pPr>
      <w:r w:rsidRPr="00ED172B">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34A38ABD" w14:textId="77777777" w:rsidTr="00986B99">
        <w:trPr>
          <w:trHeight w:val="389"/>
          <w:tblHeader/>
        </w:trPr>
        <w:tc>
          <w:tcPr>
            <w:tcW w:w="1226" w:type="pct"/>
            <w:shd w:val="clear" w:color="auto" w:fill="auto"/>
            <w:vAlign w:val="bottom"/>
          </w:tcPr>
          <w:p w14:paraId="5D4EE2C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365DD9C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4979AFE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5C5E9C6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FD61D9A" w14:textId="77777777" w:rsidTr="00986B99">
        <w:tc>
          <w:tcPr>
            <w:tcW w:w="1226" w:type="pct"/>
            <w:shd w:val="clear" w:color="auto" w:fill="auto"/>
          </w:tcPr>
          <w:p w14:paraId="010E54A6" w14:textId="0E2FA923"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86" w:type="pct"/>
            <w:shd w:val="clear" w:color="auto" w:fill="auto"/>
          </w:tcPr>
          <w:p w14:paraId="1DD20B92" w14:textId="04C9E392"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29" w:type="pct"/>
            <w:shd w:val="clear" w:color="auto" w:fill="auto"/>
          </w:tcPr>
          <w:p w14:paraId="1E129A69" w14:textId="461E68FA"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shd w:val="clear" w:color="auto" w:fill="auto"/>
          </w:tcPr>
          <w:p w14:paraId="4ABA803A" w14:textId="0CE67DB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0275179C" w14:textId="0C56DCD6" w:rsidR="002F1A9A" w:rsidRPr="00ED172B" w:rsidRDefault="002F1A9A" w:rsidP="00B83404">
      <w:pPr>
        <w:rPr>
          <w:color w:val="000000" w:themeColor="text1"/>
        </w:rPr>
      </w:pPr>
      <w:r w:rsidRPr="00ED172B">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7E28CC0F" w14:textId="77777777" w:rsidTr="00986B99">
        <w:trPr>
          <w:tblHeader/>
        </w:trPr>
        <w:tc>
          <w:tcPr>
            <w:tcW w:w="899" w:type="pct"/>
            <w:shd w:val="clear" w:color="auto" w:fill="auto"/>
            <w:vAlign w:val="bottom"/>
          </w:tcPr>
          <w:p w14:paraId="61175C0A"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5832D775" w14:textId="7B62C3B9"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2019 APR</w:t>
            </w:r>
          </w:p>
        </w:tc>
        <w:tc>
          <w:tcPr>
            <w:tcW w:w="1394" w:type="pct"/>
            <w:shd w:val="clear" w:color="auto" w:fill="auto"/>
            <w:vAlign w:val="bottom"/>
          </w:tcPr>
          <w:p w14:paraId="31807C98"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2938ABF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5A6AE6B0" w14:textId="77777777" w:rsidTr="00986B99">
        <w:tc>
          <w:tcPr>
            <w:tcW w:w="899" w:type="pct"/>
            <w:shd w:val="clear" w:color="auto" w:fill="auto"/>
          </w:tcPr>
          <w:p w14:paraId="7E294C4A" w14:textId="793E00D3" w:rsidR="002F1A9A" w:rsidRPr="00ED172B" w:rsidRDefault="002F1A9A" w:rsidP="00186420">
            <w:pPr>
              <w:jc w:val="center"/>
              <w:rPr>
                <w:rFonts w:cs="Arial"/>
                <w:color w:val="000000" w:themeColor="text1"/>
                <w:szCs w:val="16"/>
              </w:rPr>
            </w:pPr>
          </w:p>
        </w:tc>
        <w:tc>
          <w:tcPr>
            <w:tcW w:w="1399" w:type="pct"/>
            <w:shd w:val="clear" w:color="auto" w:fill="auto"/>
          </w:tcPr>
          <w:p w14:paraId="1160A201" w14:textId="0E2C6FD9" w:rsidR="002F1A9A" w:rsidRPr="00ED172B" w:rsidRDefault="002F1A9A" w:rsidP="009A3621">
            <w:pPr>
              <w:jc w:val="center"/>
              <w:rPr>
                <w:rFonts w:cs="Arial"/>
                <w:noProof/>
                <w:color w:val="000000" w:themeColor="text1"/>
                <w:szCs w:val="16"/>
              </w:rPr>
            </w:pPr>
          </w:p>
        </w:tc>
        <w:tc>
          <w:tcPr>
            <w:tcW w:w="1394" w:type="pct"/>
            <w:shd w:val="clear" w:color="auto" w:fill="auto"/>
          </w:tcPr>
          <w:p w14:paraId="4333C23A" w14:textId="71B77B57" w:rsidR="002F1A9A" w:rsidRPr="00ED172B" w:rsidRDefault="002F1A9A" w:rsidP="009A3621">
            <w:pPr>
              <w:jc w:val="center"/>
              <w:rPr>
                <w:rFonts w:cs="Arial"/>
                <w:noProof/>
                <w:color w:val="000000" w:themeColor="text1"/>
                <w:szCs w:val="16"/>
              </w:rPr>
            </w:pPr>
          </w:p>
        </w:tc>
        <w:tc>
          <w:tcPr>
            <w:tcW w:w="1307" w:type="pct"/>
            <w:shd w:val="clear" w:color="auto" w:fill="auto"/>
          </w:tcPr>
          <w:p w14:paraId="33AEF7F3" w14:textId="54D2CF26" w:rsidR="002F1A9A" w:rsidRPr="00ED172B" w:rsidRDefault="002F1A9A" w:rsidP="00433DB7">
            <w:pPr>
              <w:jc w:val="center"/>
              <w:rPr>
                <w:rFonts w:cs="Arial"/>
                <w:noProof/>
                <w:color w:val="000000" w:themeColor="text1"/>
                <w:szCs w:val="16"/>
              </w:rPr>
            </w:pPr>
          </w:p>
        </w:tc>
      </w:tr>
      <w:tr w:rsidR="00ED172B" w:rsidRPr="00ED172B" w14:paraId="77EEF846" w14:textId="77777777" w:rsidTr="00986B99">
        <w:tc>
          <w:tcPr>
            <w:tcW w:w="899" w:type="pct"/>
            <w:shd w:val="clear" w:color="auto" w:fill="auto"/>
          </w:tcPr>
          <w:p w14:paraId="5220DDBB" w14:textId="617F1338" w:rsidR="002F1A9A" w:rsidRPr="00ED172B" w:rsidRDefault="002F1A9A" w:rsidP="00186420">
            <w:pPr>
              <w:jc w:val="center"/>
              <w:rPr>
                <w:rFonts w:cs="Arial"/>
                <w:color w:val="000000" w:themeColor="text1"/>
                <w:szCs w:val="16"/>
              </w:rPr>
            </w:pPr>
          </w:p>
        </w:tc>
        <w:tc>
          <w:tcPr>
            <w:tcW w:w="1399" w:type="pct"/>
            <w:shd w:val="clear" w:color="auto" w:fill="auto"/>
          </w:tcPr>
          <w:p w14:paraId="51E72912" w14:textId="28137C7A" w:rsidR="002F1A9A" w:rsidRPr="00ED172B" w:rsidRDefault="002F1A9A" w:rsidP="009A3621">
            <w:pPr>
              <w:jc w:val="center"/>
              <w:rPr>
                <w:rFonts w:cs="Arial"/>
                <w:noProof/>
                <w:color w:val="000000" w:themeColor="text1"/>
                <w:szCs w:val="16"/>
              </w:rPr>
            </w:pPr>
          </w:p>
        </w:tc>
        <w:tc>
          <w:tcPr>
            <w:tcW w:w="1394" w:type="pct"/>
            <w:shd w:val="clear" w:color="auto" w:fill="auto"/>
          </w:tcPr>
          <w:p w14:paraId="2C1F8516" w14:textId="6CE00AC5" w:rsidR="002F1A9A" w:rsidRPr="00ED172B" w:rsidRDefault="002F1A9A" w:rsidP="009A3621">
            <w:pPr>
              <w:jc w:val="center"/>
              <w:rPr>
                <w:rFonts w:cs="Arial"/>
                <w:noProof/>
                <w:color w:val="000000" w:themeColor="text1"/>
                <w:szCs w:val="16"/>
              </w:rPr>
            </w:pPr>
          </w:p>
        </w:tc>
        <w:tc>
          <w:tcPr>
            <w:tcW w:w="1307" w:type="pct"/>
            <w:shd w:val="clear" w:color="auto" w:fill="auto"/>
          </w:tcPr>
          <w:p w14:paraId="504165E6" w14:textId="20AD78DF" w:rsidR="002F1A9A" w:rsidRPr="00ED172B" w:rsidRDefault="002F1A9A" w:rsidP="00433DB7">
            <w:pPr>
              <w:jc w:val="center"/>
              <w:rPr>
                <w:rFonts w:cs="Arial"/>
                <w:noProof/>
                <w:color w:val="000000" w:themeColor="text1"/>
                <w:szCs w:val="16"/>
              </w:rPr>
            </w:pPr>
          </w:p>
        </w:tc>
      </w:tr>
      <w:tr w:rsidR="00ED172B" w:rsidRPr="00ED172B" w14:paraId="06686058" w14:textId="77777777" w:rsidTr="00986B99">
        <w:tc>
          <w:tcPr>
            <w:tcW w:w="899" w:type="pct"/>
            <w:shd w:val="clear" w:color="auto" w:fill="auto"/>
          </w:tcPr>
          <w:p w14:paraId="25B79FD3" w14:textId="19A616F7" w:rsidR="002F1A9A" w:rsidRPr="00ED172B" w:rsidRDefault="002F1A9A" w:rsidP="00186420">
            <w:pPr>
              <w:jc w:val="center"/>
              <w:rPr>
                <w:rFonts w:cs="Arial"/>
                <w:color w:val="000000" w:themeColor="text1"/>
                <w:szCs w:val="16"/>
              </w:rPr>
            </w:pPr>
          </w:p>
        </w:tc>
        <w:tc>
          <w:tcPr>
            <w:tcW w:w="1399" w:type="pct"/>
            <w:shd w:val="clear" w:color="auto" w:fill="auto"/>
          </w:tcPr>
          <w:p w14:paraId="107B2803" w14:textId="0CF5B5C3" w:rsidR="002F1A9A" w:rsidRPr="00ED172B" w:rsidRDefault="002F1A9A" w:rsidP="009A3621">
            <w:pPr>
              <w:jc w:val="center"/>
              <w:rPr>
                <w:rFonts w:cs="Arial"/>
                <w:noProof/>
                <w:color w:val="000000" w:themeColor="text1"/>
                <w:szCs w:val="16"/>
              </w:rPr>
            </w:pPr>
          </w:p>
        </w:tc>
        <w:tc>
          <w:tcPr>
            <w:tcW w:w="1394" w:type="pct"/>
            <w:shd w:val="clear" w:color="auto" w:fill="auto"/>
          </w:tcPr>
          <w:p w14:paraId="5FBAC412" w14:textId="4ED40606" w:rsidR="002F1A9A" w:rsidRPr="00ED172B" w:rsidRDefault="002F1A9A" w:rsidP="009A3621">
            <w:pPr>
              <w:jc w:val="center"/>
              <w:rPr>
                <w:rFonts w:cs="Arial"/>
                <w:noProof/>
                <w:color w:val="000000" w:themeColor="text1"/>
                <w:szCs w:val="16"/>
              </w:rPr>
            </w:pPr>
          </w:p>
        </w:tc>
        <w:tc>
          <w:tcPr>
            <w:tcW w:w="1307" w:type="pct"/>
            <w:shd w:val="clear" w:color="auto" w:fill="auto"/>
          </w:tcPr>
          <w:p w14:paraId="1B00BD3C" w14:textId="5FA6F0AB" w:rsidR="002F1A9A" w:rsidRPr="00ED172B" w:rsidRDefault="002F1A9A" w:rsidP="00433DB7">
            <w:pPr>
              <w:jc w:val="center"/>
              <w:rPr>
                <w:rFonts w:cs="Arial"/>
                <w:noProof/>
                <w:color w:val="000000" w:themeColor="text1"/>
                <w:szCs w:val="16"/>
              </w:rPr>
            </w:pPr>
          </w:p>
        </w:tc>
      </w:tr>
    </w:tbl>
    <w:p w14:paraId="7D42D1C9" w14:textId="0CD6E9DC" w:rsidR="002F1A9A" w:rsidRPr="00A40EE1" w:rsidRDefault="000D0117" w:rsidP="005C3FFD">
      <w:pPr>
        <w:pStyle w:val="Heading2"/>
      </w:pPr>
      <w:r w:rsidRPr="00A40EE1">
        <w:t xml:space="preserve">1 - </w:t>
      </w:r>
      <w:r w:rsidR="002F1A9A" w:rsidRPr="00A40EE1">
        <w:t>Prior FFY Required Actions</w:t>
      </w:r>
    </w:p>
    <w:p w14:paraId="07770A6D" w14:textId="113FE3B3" w:rsidR="002F1A9A" w:rsidRPr="00ED172B" w:rsidRDefault="005E414F" w:rsidP="00027F39">
      <w:pPr>
        <w:rPr>
          <w:color w:val="000000" w:themeColor="text1"/>
        </w:rPr>
      </w:pPr>
      <w:r w:rsidRPr="00ED172B">
        <w:rPr>
          <w:color w:val="000000" w:themeColor="text1"/>
        </w:rPr>
        <w:t xml:space="preserve">The State did not report that it identified any findings of noncompliance in FFY 2018, although its FFY 2018 data reflect less than 100% compliance. In the FFY 2020 SPP/APR, the State must provide an explanation of why it did not identify any findings of noncompliance in FFY 2018. </w:t>
      </w:r>
      <w:r w:rsidRPr="00ED172B">
        <w:rPr>
          <w:color w:val="000000" w:themeColor="text1"/>
        </w:rPr>
        <w:br/>
      </w:r>
      <w:r w:rsidRPr="00ED172B">
        <w:rPr>
          <w:color w:val="000000" w:themeColor="text1"/>
        </w:rPr>
        <w:br/>
        <w:t xml:space="preserve">Because the State reported less than 100% compliance for FFY 2019, the State must report on the status of correction of noncompliance identified in FFY 2019 for this indicator. When reporting on the correction of noncompliance, the State must report, in the FFY 2020 SPP/APR, that it has verified that each EIS program or provider with findings of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2020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2019, although its FFY 2019 data reflect less than 100% compliance, provide an explanation of why the State did not identify any findings of noncompliance in FFY 2019.</w:t>
      </w:r>
    </w:p>
    <w:p w14:paraId="50B0C9A3" w14:textId="77777777" w:rsidR="004C1CEE" w:rsidRPr="00ED172B" w:rsidRDefault="004C1CEE" w:rsidP="002F1A9A">
      <w:pPr>
        <w:rPr>
          <w:rFonts w:cs="Arial"/>
          <w:color w:val="000000" w:themeColor="text1"/>
          <w:szCs w:val="16"/>
        </w:rPr>
      </w:pPr>
    </w:p>
    <w:p w14:paraId="7CD7BB8E" w14:textId="16FB8313" w:rsidR="002F1A9A" w:rsidRPr="00ED172B" w:rsidRDefault="002F1A9A" w:rsidP="00B83404">
      <w:pPr>
        <w:rPr>
          <w:color w:val="000000" w:themeColor="text1"/>
        </w:rPr>
      </w:pPr>
      <w:r w:rsidRPr="00ED172B">
        <w:rPr>
          <w:b/>
          <w:color w:val="000000" w:themeColor="text1"/>
        </w:rPr>
        <w:t>Response to actions required in FFY 2019 SPP/APR</w:t>
      </w:r>
      <w:r w:rsidR="00950382" w:rsidRPr="00ED172B">
        <w:rPr>
          <w:color w:val="000000" w:themeColor="text1"/>
        </w:rPr>
        <w:t xml:space="preserve"> </w:t>
      </w:r>
    </w:p>
    <w:p w14:paraId="7B432D1F" w14:textId="30BE75E8" w:rsidR="002F1A9A" w:rsidRPr="00ED172B" w:rsidRDefault="00027F39" w:rsidP="00027F39">
      <w:pPr>
        <w:rPr>
          <w:color w:val="000000" w:themeColor="text1"/>
        </w:rPr>
      </w:pPr>
      <w:r w:rsidRPr="00ED172B">
        <w:rPr>
          <w:color w:val="000000" w:themeColor="text1"/>
        </w:rPr>
        <w:lastRenderedPageBreak/>
        <w:t>The Lead Agency (MA-C) identified FFY18 noncompliance through annual monitoring of its state database, implementing a process to distinguish inaccurate implementation of the regulatory requirement from inaccurate or delayed data entry.</w:t>
      </w:r>
      <w:r w:rsidRPr="00ED172B">
        <w:rPr>
          <w:color w:val="000000" w:themeColor="text1"/>
        </w:rPr>
        <w:br/>
      </w:r>
      <w:r w:rsidRPr="00ED172B">
        <w:rPr>
          <w:color w:val="000000" w:themeColor="text1"/>
        </w:rPr>
        <w:br/>
        <w:t>In FFY18, MA-C determined that eight children received services, although late. MA-C notified the local programs of the discovery of noncompliance. MA-C's General Supervision procedures allowed local programs with minimal noncompliance to correct noncompliance prior to the issuance of a written finding. Subsequent to the discovery of noncompliance, MA-C then verified correction of each instance of child-specific noncompliance. MA-C then reviewed updated program data and confirmed 100% compliance with each statutory or regulatory requirement with which noncompliance was identified.</w:t>
      </w:r>
      <w:r w:rsidRPr="00ED172B">
        <w:rPr>
          <w:color w:val="000000" w:themeColor="text1"/>
        </w:rPr>
        <w:br/>
      </w:r>
      <w:r w:rsidRPr="00ED172B">
        <w:rPr>
          <w:color w:val="000000" w:themeColor="text1"/>
        </w:rPr>
        <w:br/>
        <w:t xml:space="preserve">To verify the accuracy of data, MA-C notified local programs of each instance of noncompliance or missing data (i.e., each toddler whose record did not demonstrate timely provision of services) in FFY18. Local programs were required to review their paper records for each instance of noncompliance within 30 days. Local programs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1 in FFY18 through annual monitoring of its state database. </w:t>
      </w:r>
      <w:r w:rsidRPr="00ED172B">
        <w:rPr>
          <w:color w:val="000000" w:themeColor="text1"/>
        </w:rPr>
        <w:br/>
      </w:r>
      <w:r w:rsidRPr="00ED172B">
        <w:rPr>
          <w:color w:val="000000" w:themeColor="text1"/>
        </w:rPr>
        <w:br/>
        <w:t xml:space="preserve">MA-C required the correction of every instance of FFY18 noncompliance. As stated above, MA-C determined that eight children received services, although late. </w:t>
      </w:r>
      <w:r w:rsidRPr="00ED172B">
        <w:rPr>
          <w:color w:val="000000" w:themeColor="text1"/>
        </w:rPr>
        <w:br/>
      </w:r>
      <w:r w:rsidRPr="00ED172B">
        <w:rPr>
          <w:color w:val="000000" w:themeColor="text1"/>
        </w:rPr>
        <w:br/>
        <w:t>MA-C collected and reviewed updated data to verify timely correction of FFY18 noncompliance. MA-C’s specific procedures differed based on the extent of noncompliance and its root cause. For all local programs with compliance rates below 100%, MA-C sampled 10 child records at random using subsequent data from its state database and documented its verification in its records. MA-C notified each local program in writing that compliance had been reached. MA-C has verified that all local programs with less than 100% compliance in FFY18 has demonstrated ongoing compliance.</w:t>
      </w:r>
      <w:r w:rsidRPr="00ED172B">
        <w:rPr>
          <w:color w:val="000000" w:themeColor="text1"/>
        </w:rPr>
        <w:br/>
      </w:r>
      <w:r w:rsidRPr="00ED172B">
        <w:rPr>
          <w:color w:val="000000" w:themeColor="text1"/>
        </w:rPr>
        <w:br/>
        <w:t xml:space="preserve">Per PSC ticket #22-04814AW, MA-C is unable to edit the table "Correction of Findings of Noncompliance Identified Prior to FFY2019" in the Indicator Data. In FFY2018, there were eight findings of noncompliance. All eight have been verified as corrected as of April 2022. </w:t>
      </w:r>
      <w:r w:rsidRPr="00ED172B">
        <w:rPr>
          <w:color w:val="000000" w:themeColor="text1"/>
        </w:rPr>
        <w:br/>
      </w:r>
      <w:r w:rsidRPr="00ED172B">
        <w:rPr>
          <w:color w:val="000000" w:themeColor="text1"/>
        </w:rPr>
        <w:br/>
        <w:t>In FFY19, MA-C originally reported 99.21% compliance and identified 6 children whose records did not reflect the provision of timely services. MA-C subsequently reviewed data included its’ the state database and discovered an error in its earlier analysis: the state database was comparing the date services began against a field designed to document the EIS provider's visit. In these six cases, the field was blank, flagging the child's record as noncompliant. MA-C subsequently reviewed each service for each of the six children on the claims submitted to MA-C by providers and verified that all six children did receive services in a timely manner. MA-C should have reported 100% compliant for FFY19.</w:t>
      </w:r>
    </w:p>
    <w:p w14:paraId="5B26E5E3" w14:textId="4D399F9F" w:rsidR="002F1A9A" w:rsidRPr="00A40EE1" w:rsidRDefault="000D0117" w:rsidP="005C3FFD">
      <w:pPr>
        <w:pStyle w:val="Heading2"/>
      </w:pPr>
      <w:r w:rsidRPr="00A40EE1">
        <w:t xml:space="preserve">1 - </w:t>
      </w:r>
      <w:r w:rsidR="002F1A9A" w:rsidRPr="00A40EE1">
        <w:t>OSEP Response</w:t>
      </w:r>
    </w:p>
    <w:p w14:paraId="7E4E1765" w14:textId="5486F1D2" w:rsidR="002F1A9A" w:rsidRPr="00ED172B" w:rsidRDefault="005E414F" w:rsidP="00027F39">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2020 - June 30, 2021). The State described how the time period in which the data were collected accurately reflects data for infants and toddlers with IFSPs for the full reporting period.</w:t>
      </w:r>
    </w:p>
    <w:p w14:paraId="14E4670B" w14:textId="0CF10102" w:rsidR="002F1A9A" w:rsidRPr="00A40EE1" w:rsidRDefault="000D0117" w:rsidP="005C3FFD">
      <w:pPr>
        <w:pStyle w:val="Heading2"/>
      </w:pPr>
      <w:r w:rsidRPr="00A40EE1">
        <w:t xml:space="preserve">1 - </w:t>
      </w:r>
      <w:r w:rsidR="002F1A9A" w:rsidRPr="00A40EE1">
        <w:t>Required Actions</w:t>
      </w:r>
    </w:p>
    <w:p w14:paraId="1951D376" w14:textId="06E81FEF" w:rsidR="002F1A9A" w:rsidRPr="00ED172B" w:rsidRDefault="00027F39" w:rsidP="00027F39">
      <w:pPr>
        <w:rPr>
          <w:color w:val="000000" w:themeColor="text1"/>
        </w:rPr>
      </w:pPr>
      <w:r w:rsidRPr="00ED172B">
        <w:rPr>
          <w:color w:val="000000" w:themeColor="text1"/>
        </w:rPr>
        <w:t xml:space="preserve">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EIS program or provider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2020, although its FFY 2020 data reflect less than 100% compliance, provide an explanation of why the State did not identify any findings of noncompliance in FFY 2020.</w:t>
      </w:r>
    </w:p>
    <w:p w14:paraId="5457E150" w14:textId="2454D9B8" w:rsidR="006B486C" w:rsidRPr="00ED172B" w:rsidRDefault="006B486C" w:rsidP="00604467">
      <w:pPr>
        <w:rPr>
          <w:color w:val="000000" w:themeColor="text1"/>
        </w:rPr>
        <w:sectPr w:rsidR="006B486C" w:rsidRPr="00ED172B" w:rsidSect="006F2318">
          <w:headerReference w:type="default" r:id="rId13"/>
          <w:footerReference w:type="default" r:id="rId14"/>
          <w:pgSz w:w="12240" w:h="15840"/>
          <w:pgMar w:top="720" w:right="720" w:bottom="720" w:left="720" w:header="720" w:footer="463" w:gutter="0"/>
          <w:cols w:space="720"/>
          <w:docGrid w:linePitch="360"/>
        </w:sectPr>
      </w:pPr>
    </w:p>
    <w:p w14:paraId="4A6B8FA1" w14:textId="0413C7A8" w:rsidR="00D21EAA" w:rsidRPr="00ED172B" w:rsidRDefault="00D21EAA" w:rsidP="00174E1C">
      <w:pPr>
        <w:pStyle w:val="Heading1"/>
        <w:rPr>
          <w:color w:val="000000" w:themeColor="text1"/>
        </w:rPr>
      </w:pPr>
      <w:bookmarkStart w:id="7" w:name="_Toc392159262"/>
      <w:r w:rsidRPr="00ED172B">
        <w:rPr>
          <w:color w:val="000000" w:themeColor="text1"/>
        </w:rPr>
        <w:lastRenderedPageBreak/>
        <w:t xml:space="preserve">Indicator 2: </w:t>
      </w:r>
      <w:bookmarkEnd w:id="5"/>
      <w:bookmarkEnd w:id="7"/>
      <w:r w:rsidR="00B55C3D" w:rsidRPr="00ED172B">
        <w:rPr>
          <w:color w:val="000000" w:themeColor="text1"/>
        </w:rPr>
        <w:t>Services in Natural Environments</w:t>
      </w:r>
    </w:p>
    <w:p w14:paraId="4A896E65" w14:textId="77777777" w:rsidR="00174E1C" w:rsidRPr="00ED172B" w:rsidRDefault="00174E1C" w:rsidP="00186420">
      <w:pPr>
        <w:rPr>
          <w:color w:val="000000" w:themeColor="text1"/>
          <w:szCs w:val="20"/>
        </w:rPr>
      </w:pPr>
      <w:bookmarkStart w:id="8" w:name="_Toc392159263"/>
      <w:r w:rsidRPr="00ED172B">
        <w:rPr>
          <w:b/>
          <w:color w:val="000000" w:themeColor="text1"/>
          <w:sz w:val="20"/>
          <w:szCs w:val="20"/>
        </w:rPr>
        <w:t>Instructions and Measurement</w:t>
      </w:r>
    </w:p>
    <w:p w14:paraId="1B71FDF7"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Early Intervention Services In Natural Environments</w:t>
      </w:r>
    </w:p>
    <w:p w14:paraId="7F28A479" w14:textId="155CFC80"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6BD43E0B" w14:textId="77777777" w:rsidR="006628E4" w:rsidRPr="00ED172B" w:rsidRDefault="006628E4">
      <w:pPr>
        <w:rPr>
          <w:b/>
          <w:color w:val="000000" w:themeColor="text1"/>
        </w:rPr>
      </w:pPr>
      <w:r w:rsidRPr="00ED172B">
        <w:rPr>
          <w:b/>
          <w:color w:val="000000" w:themeColor="text1"/>
        </w:rPr>
        <w:t>Data Source</w:t>
      </w:r>
    </w:p>
    <w:p w14:paraId="3DA519AD" w14:textId="7BC50025" w:rsidR="006628E4" w:rsidRPr="00ED172B" w:rsidRDefault="006628E4" w:rsidP="00174E1C">
      <w:pPr>
        <w:rPr>
          <w:color w:val="000000" w:themeColor="text1"/>
          <w:szCs w:val="16"/>
        </w:rPr>
      </w:pPr>
      <w:r w:rsidRPr="00ED172B">
        <w:rPr>
          <w:color w:val="000000" w:themeColor="text1"/>
          <w:szCs w:val="16"/>
        </w:rPr>
        <w:t>Data collected under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p>
    <w:p w14:paraId="01D6DC11" w14:textId="77777777" w:rsidR="006628E4" w:rsidRPr="00ED172B" w:rsidRDefault="006628E4">
      <w:pPr>
        <w:rPr>
          <w:b/>
          <w:color w:val="000000" w:themeColor="text1"/>
        </w:rPr>
      </w:pPr>
      <w:r w:rsidRPr="00ED172B">
        <w:rPr>
          <w:b/>
          <w:color w:val="000000" w:themeColor="text1"/>
        </w:rPr>
        <w:t>Measurement</w:t>
      </w:r>
    </w:p>
    <w:p w14:paraId="05B82688" w14:textId="27C10D0B" w:rsidR="006628E4" w:rsidRPr="00ED172B" w:rsidRDefault="006628E4" w:rsidP="00174E1C">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14:paraId="04AAE1E9" w14:textId="77777777" w:rsidR="006628E4" w:rsidRPr="00ED172B" w:rsidRDefault="006628E4">
      <w:pPr>
        <w:rPr>
          <w:b/>
          <w:color w:val="000000" w:themeColor="text1"/>
        </w:rPr>
      </w:pPr>
      <w:r w:rsidRPr="00ED172B">
        <w:rPr>
          <w:b/>
          <w:color w:val="000000" w:themeColor="text1"/>
        </w:rPr>
        <w:t>Instructions</w:t>
      </w:r>
    </w:p>
    <w:p w14:paraId="4FC585CD" w14:textId="77777777" w:rsidR="006628E4" w:rsidRPr="00ED172B" w:rsidRDefault="006628E4" w:rsidP="00174E1C">
      <w:pPr>
        <w:rPr>
          <w:color w:val="000000" w:themeColor="text1"/>
          <w:szCs w:val="16"/>
        </w:rPr>
      </w:pPr>
      <w:r w:rsidRPr="00ED172B">
        <w:rPr>
          <w:color w:val="000000" w:themeColor="text1"/>
          <w:szCs w:val="16"/>
        </w:rPr>
        <w:t>Sampling from the State’s 618 data is not allowed.</w:t>
      </w:r>
    </w:p>
    <w:p w14:paraId="67AADE97"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42AB5A74" w14:textId="6A2F0793"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14:paraId="493A0B54" w14:textId="0A91F1AD" w:rsidR="00DE5141" w:rsidRPr="00A40EE1" w:rsidRDefault="000D0117" w:rsidP="005C3FFD">
      <w:pPr>
        <w:pStyle w:val="Heading2"/>
      </w:pPr>
      <w:r w:rsidRPr="00A40EE1">
        <w:t xml:space="preserve">2 - </w:t>
      </w:r>
      <w:r w:rsidR="00174E1C" w:rsidRPr="00A40EE1">
        <w:t>Indicator Data</w:t>
      </w:r>
    </w:p>
    <w:p w14:paraId="52D18010" w14:textId="2BDFB139" w:rsidR="00B312CC" w:rsidRDefault="00B312CC">
      <w:pPr>
        <w:rPr>
          <w:b/>
          <w:color w:val="000000" w:themeColor="text1"/>
        </w:rPr>
      </w:pPr>
      <w:bookmarkStart w:id="9" w:name="_Toc392159264"/>
      <w:r w:rsidRPr="00ED172B">
        <w:rPr>
          <w:b/>
          <w:color w:val="000000" w:themeColor="text1"/>
        </w:rPr>
        <w:t>Historical Data</w:t>
      </w:r>
    </w:p>
    <w:p w14:paraId="3F9E9E24" w14:textId="1F2AEED2"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70F8F73D" w14:textId="77777777" w:rsidTr="004B3BC6">
        <w:trPr>
          <w:trHeight w:val="350"/>
          <w:tblHeader/>
        </w:trPr>
        <w:tc>
          <w:tcPr>
            <w:tcW w:w="1800" w:type="dxa"/>
            <w:tcBorders>
              <w:bottom w:val="single" w:sz="4" w:space="0" w:color="auto"/>
            </w:tcBorders>
            <w:shd w:val="clear" w:color="auto" w:fill="auto"/>
            <w:vAlign w:val="center"/>
          </w:tcPr>
          <w:p w14:paraId="3AEF722A" w14:textId="2D4AF0D4"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shd w:val="clear" w:color="auto" w:fill="auto"/>
            <w:vAlign w:val="center"/>
          </w:tcPr>
          <w:p w14:paraId="0EFB96D1" w14:textId="773D5379"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1FE14E73" w14:textId="77777777" w:rsidTr="00A40EE1">
        <w:trPr>
          <w:trHeight w:val="350"/>
        </w:trPr>
        <w:tc>
          <w:tcPr>
            <w:tcW w:w="1800" w:type="dxa"/>
            <w:tcBorders>
              <w:bottom w:val="single" w:sz="4" w:space="0" w:color="auto"/>
            </w:tcBorders>
            <w:shd w:val="clear" w:color="auto" w:fill="auto"/>
            <w:vAlign w:val="center"/>
          </w:tcPr>
          <w:p w14:paraId="2412809D" w14:textId="77777777" w:rsidR="0038029B" w:rsidRPr="00ED172B" w:rsidRDefault="0038029B" w:rsidP="000A2C40">
            <w:pPr>
              <w:jc w:val="center"/>
              <w:rPr>
                <w:b/>
                <w:color w:val="000000" w:themeColor="text1"/>
              </w:rPr>
            </w:pPr>
            <w:r w:rsidRPr="00ED172B">
              <w:rPr>
                <w:color w:val="000000" w:themeColor="text1"/>
              </w:rPr>
              <w:t>2005</w:t>
            </w:r>
          </w:p>
        </w:tc>
        <w:tc>
          <w:tcPr>
            <w:tcW w:w="1800" w:type="dxa"/>
            <w:tcBorders>
              <w:top w:val="single" w:sz="4" w:space="0" w:color="auto"/>
              <w:right w:val="single" w:sz="4" w:space="0" w:color="auto"/>
            </w:tcBorders>
            <w:shd w:val="clear" w:color="auto" w:fill="auto"/>
            <w:vAlign w:val="center"/>
          </w:tcPr>
          <w:p w14:paraId="74DCC466" w14:textId="77777777" w:rsidR="0038029B" w:rsidRPr="00ED172B" w:rsidRDefault="0038029B" w:rsidP="000A2C40">
            <w:pPr>
              <w:jc w:val="center"/>
              <w:rPr>
                <w:b/>
                <w:color w:val="000000" w:themeColor="text1"/>
                <w:szCs w:val="16"/>
              </w:rPr>
            </w:pPr>
            <w:r w:rsidRPr="00ED172B">
              <w:rPr>
                <w:rFonts w:cs="Arial"/>
                <w:color w:val="000000" w:themeColor="text1"/>
                <w:szCs w:val="16"/>
              </w:rPr>
              <w:t>98.80%</w:t>
            </w:r>
          </w:p>
        </w:tc>
      </w:tr>
    </w:tbl>
    <w:p w14:paraId="4D18B16D" w14:textId="475B72D9" w:rsidR="000A2C40" w:rsidRDefault="000A2C40">
      <w:pPr>
        <w:rPr>
          <w:b/>
          <w:color w:val="000000" w:themeColor="text1"/>
        </w:rPr>
      </w:pPr>
    </w:p>
    <w:p w14:paraId="1A51B6EA"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7FDD231D" w14:textId="25ECD173" w:rsidTr="00986B99">
        <w:trPr>
          <w:trHeight w:val="350"/>
        </w:trPr>
        <w:tc>
          <w:tcPr>
            <w:tcW w:w="666" w:type="pct"/>
            <w:tcBorders>
              <w:bottom w:val="single" w:sz="4" w:space="0" w:color="auto"/>
            </w:tcBorders>
            <w:shd w:val="clear" w:color="auto" w:fill="auto"/>
          </w:tcPr>
          <w:p w14:paraId="787C292C"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shd w:val="clear" w:color="auto" w:fill="auto"/>
            <w:vAlign w:val="center"/>
          </w:tcPr>
          <w:p w14:paraId="4E446356" w14:textId="285A1B3B" w:rsidR="00472221" w:rsidRPr="00ED172B" w:rsidRDefault="002163F2" w:rsidP="00472221">
            <w:pPr>
              <w:jc w:val="center"/>
              <w:rPr>
                <w:b/>
                <w:color w:val="000000" w:themeColor="text1"/>
                <w:szCs w:val="16"/>
              </w:rPr>
            </w:pPr>
            <w:r w:rsidRPr="00ED172B">
              <w:rPr>
                <w:rFonts w:cs="Arial"/>
                <w:b/>
                <w:color w:val="000000" w:themeColor="text1"/>
                <w:szCs w:val="16"/>
              </w:rPr>
              <w:t>2015</w:t>
            </w:r>
          </w:p>
        </w:tc>
        <w:tc>
          <w:tcPr>
            <w:tcW w:w="867" w:type="pct"/>
            <w:shd w:val="clear" w:color="auto" w:fill="auto"/>
            <w:vAlign w:val="center"/>
          </w:tcPr>
          <w:p w14:paraId="30A3B8E1" w14:textId="24F22632" w:rsidR="00472221" w:rsidRPr="00ED172B" w:rsidRDefault="002163F2" w:rsidP="00472221">
            <w:pPr>
              <w:jc w:val="center"/>
              <w:rPr>
                <w:b/>
                <w:color w:val="000000" w:themeColor="text1"/>
                <w:szCs w:val="16"/>
              </w:rPr>
            </w:pPr>
            <w:r w:rsidRPr="00ED172B">
              <w:rPr>
                <w:rFonts w:cs="Arial"/>
                <w:b/>
                <w:color w:val="000000" w:themeColor="text1"/>
                <w:szCs w:val="16"/>
              </w:rPr>
              <w:t>2016</w:t>
            </w:r>
          </w:p>
        </w:tc>
        <w:tc>
          <w:tcPr>
            <w:tcW w:w="867" w:type="pct"/>
            <w:shd w:val="clear" w:color="auto" w:fill="auto"/>
            <w:vAlign w:val="center"/>
          </w:tcPr>
          <w:p w14:paraId="13F85307" w14:textId="0DEF098F" w:rsidR="00472221" w:rsidRPr="00ED172B" w:rsidRDefault="002163F2" w:rsidP="00472221">
            <w:pPr>
              <w:jc w:val="center"/>
              <w:rPr>
                <w:b/>
                <w:color w:val="000000" w:themeColor="text1"/>
                <w:szCs w:val="16"/>
              </w:rPr>
            </w:pPr>
            <w:r w:rsidRPr="00ED172B">
              <w:rPr>
                <w:rFonts w:cs="Arial"/>
                <w:b/>
                <w:color w:val="000000" w:themeColor="text1"/>
                <w:szCs w:val="16"/>
              </w:rPr>
              <w:t>2017</w:t>
            </w:r>
          </w:p>
        </w:tc>
        <w:tc>
          <w:tcPr>
            <w:tcW w:w="867" w:type="pct"/>
            <w:shd w:val="clear" w:color="auto" w:fill="auto"/>
            <w:vAlign w:val="center"/>
          </w:tcPr>
          <w:p w14:paraId="3895EB5E" w14:textId="70A997D1" w:rsidR="00472221" w:rsidRPr="00ED172B" w:rsidRDefault="002163F2" w:rsidP="00472221">
            <w:pPr>
              <w:jc w:val="center"/>
              <w:rPr>
                <w:b/>
                <w:color w:val="000000" w:themeColor="text1"/>
                <w:szCs w:val="16"/>
              </w:rPr>
            </w:pPr>
            <w:r w:rsidRPr="00ED172B">
              <w:rPr>
                <w:rFonts w:cs="Arial"/>
                <w:b/>
                <w:color w:val="000000" w:themeColor="text1"/>
                <w:szCs w:val="16"/>
              </w:rPr>
              <w:t>2018</w:t>
            </w:r>
          </w:p>
        </w:tc>
        <w:tc>
          <w:tcPr>
            <w:tcW w:w="866" w:type="pct"/>
            <w:shd w:val="clear" w:color="auto" w:fill="auto"/>
            <w:vAlign w:val="center"/>
          </w:tcPr>
          <w:p w14:paraId="6A7334FC" w14:textId="23611369" w:rsidR="00472221" w:rsidRPr="00ED172B" w:rsidRDefault="006D43D3" w:rsidP="00472221">
            <w:pPr>
              <w:jc w:val="center"/>
              <w:rPr>
                <w:b/>
                <w:color w:val="000000" w:themeColor="text1"/>
                <w:szCs w:val="16"/>
              </w:rPr>
            </w:pPr>
            <w:r w:rsidRPr="00ED172B">
              <w:rPr>
                <w:rFonts w:cs="Arial"/>
                <w:b/>
                <w:color w:val="000000" w:themeColor="text1"/>
                <w:szCs w:val="16"/>
              </w:rPr>
              <w:t>2019</w:t>
            </w:r>
          </w:p>
        </w:tc>
      </w:tr>
      <w:tr w:rsidR="00ED172B" w:rsidRPr="00ED172B" w14:paraId="1A3FBEC1" w14:textId="758D5A2D" w:rsidTr="00986B99">
        <w:trPr>
          <w:trHeight w:val="357"/>
        </w:trPr>
        <w:tc>
          <w:tcPr>
            <w:tcW w:w="666" w:type="pct"/>
            <w:shd w:val="clear" w:color="auto" w:fill="auto"/>
          </w:tcPr>
          <w:p w14:paraId="619910EF" w14:textId="5E3258DE" w:rsidR="00D71B7C" w:rsidRPr="00ED172B" w:rsidRDefault="00D71B7C" w:rsidP="00B83404">
            <w:pPr>
              <w:rPr>
                <w:color w:val="000000" w:themeColor="text1"/>
                <w:szCs w:val="16"/>
              </w:rPr>
            </w:pPr>
            <w:r w:rsidRPr="00ED172B">
              <w:rPr>
                <w:color w:val="000000" w:themeColor="text1"/>
                <w:szCs w:val="16"/>
              </w:rPr>
              <w:t>Target&gt;=</w:t>
            </w:r>
          </w:p>
        </w:tc>
        <w:tc>
          <w:tcPr>
            <w:tcW w:w="867" w:type="pct"/>
            <w:shd w:val="clear" w:color="auto" w:fill="auto"/>
            <w:vAlign w:val="center"/>
          </w:tcPr>
          <w:p w14:paraId="482B9556" w14:textId="1A803C94" w:rsidR="00D71B7C" w:rsidRPr="00ED172B" w:rsidRDefault="00860830" w:rsidP="00D71B7C">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14:paraId="4B0CEF64" w14:textId="5DF3545B" w:rsidR="00D71B7C" w:rsidRPr="00ED172B" w:rsidRDefault="00860830" w:rsidP="00D71B7C">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14:paraId="4A489F6D" w14:textId="7F753FC5" w:rsidR="00D71B7C" w:rsidRPr="00ED172B" w:rsidRDefault="00860830" w:rsidP="00D71B7C">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14:paraId="5F18F91B" w14:textId="7540D14E" w:rsidR="00D71B7C" w:rsidRPr="00ED172B" w:rsidRDefault="00860830" w:rsidP="00D71B7C">
            <w:pPr>
              <w:jc w:val="center"/>
              <w:rPr>
                <w:color w:val="000000" w:themeColor="text1"/>
                <w:szCs w:val="16"/>
              </w:rPr>
            </w:pPr>
            <w:r w:rsidRPr="00ED172B">
              <w:rPr>
                <w:rFonts w:cs="Arial"/>
                <w:color w:val="000000" w:themeColor="text1"/>
                <w:szCs w:val="16"/>
              </w:rPr>
              <w:t>96.00%</w:t>
            </w:r>
          </w:p>
        </w:tc>
        <w:tc>
          <w:tcPr>
            <w:tcW w:w="866" w:type="pct"/>
            <w:shd w:val="clear" w:color="auto" w:fill="auto"/>
            <w:vAlign w:val="center"/>
          </w:tcPr>
          <w:p w14:paraId="5C1958D9" w14:textId="1D59A645" w:rsidR="00D71B7C" w:rsidRPr="00ED172B" w:rsidRDefault="00860830" w:rsidP="00D71B7C">
            <w:pPr>
              <w:jc w:val="center"/>
              <w:rPr>
                <w:color w:val="000000" w:themeColor="text1"/>
                <w:szCs w:val="16"/>
              </w:rPr>
            </w:pPr>
            <w:r w:rsidRPr="00ED172B">
              <w:rPr>
                <w:rFonts w:cs="Arial"/>
                <w:color w:val="000000" w:themeColor="text1"/>
                <w:szCs w:val="16"/>
              </w:rPr>
              <w:t>97.00%</w:t>
            </w:r>
          </w:p>
        </w:tc>
      </w:tr>
      <w:tr w:rsidR="00ED172B" w:rsidRPr="00ED172B" w14:paraId="5833C430" w14:textId="29FE84DB" w:rsidTr="00986B99">
        <w:trPr>
          <w:trHeight w:val="85"/>
        </w:trPr>
        <w:tc>
          <w:tcPr>
            <w:tcW w:w="666" w:type="pct"/>
            <w:shd w:val="clear" w:color="auto" w:fill="auto"/>
          </w:tcPr>
          <w:p w14:paraId="1A85A0DF" w14:textId="77777777" w:rsidR="00D71B7C" w:rsidRPr="00ED172B" w:rsidRDefault="00D71B7C" w:rsidP="00B83404">
            <w:pPr>
              <w:rPr>
                <w:color w:val="000000" w:themeColor="text1"/>
                <w:szCs w:val="16"/>
              </w:rPr>
            </w:pPr>
            <w:r w:rsidRPr="00ED172B">
              <w:rPr>
                <w:color w:val="000000" w:themeColor="text1"/>
                <w:szCs w:val="16"/>
              </w:rPr>
              <w:t>Data</w:t>
            </w:r>
          </w:p>
        </w:tc>
        <w:tc>
          <w:tcPr>
            <w:tcW w:w="867" w:type="pct"/>
            <w:shd w:val="clear" w:color="auto" w:fill="auto"/>
            <w:vAlign w:val="center"/>
          </w:tcPr>
          <w:p w14:paraId="13794BAE" w14:textId="51B76448" w:rsidR="00D71B7C" w:rsidRPr="00ED172B" w:rsidRDefault="00860830" w:rsidP="00D71B7C">
            <w:pPr>
              <w:jc w:val="center"/>
              <w:rPr>
                <w:color w:val="000000" w:themeColor="text1"/>
                <w:szCs w:val="16"/>
              </w:rPr>
            </w:pPr>
            <w:r w:rsidRPr="00ED172B">
              <w:rPr>
                <w:rFonts w:cs="Arial"/>
                <w:color w:val="000000" w:themeColor="text1"/>
                <w:szCs w:val="16"/>
              </w:rPr>
              <w:t>99.77%</w:t>
            </w:r>
          </w:p>
        </w:tc>
        <w:tc>
          <w:tcPr>
            <w:tcW w:w="867" w:type="pct"/>
            <w:shd w:val="clear" w:color="auto" w:fill="auto"/>
            <w:vAlign w:val="center"/>
          </w:tcPr>
          <w:p w14:paraId="2F58FC52" w14:textId="1FD2578B" w:rsidR="00D71B7C" w:rsidRPr="00ED172B" w:rsidRDefault="00860830" w:rsidP="00D71B7C">
            <w:pPr>
              <w:jc w:val="center"/>
              <w:rPr>
                <w:color w:val="000000" w:themeColor="text1"/>
                <w:szCs w:val="16"/>
              </w:rPr>
            </w:pPr>
            <w:r w:rsidRPr="00ED172B">
              <w:rPr>
                <w:rFonts w:cs="Arial"/>
                <w:color w:val="000000" w:themeColor="text1"/>
                <w:szCs w:val="16"/>
              </w:rPr>
              <w:t>99.76%</w:t>
            </w:r>
          </w:p>
        </w:tc>
        <w:tc>
          <w:tcPr>
            <w:tcW w:w="867" w:type="pct"/>
            <w:tcBorders>
              <w:bottom w:val="single" w:sz="4" w:space="0" w:color="auto"/>
            </w:tcBorders>
            <w:shd w:val="clear" w:color="auto" w:fill="auto"/>
            <w:vAlign w:val="center"/>
          </w:tcPr>
          <w:p w14:paraId="03D4B2C7" w14:textId="2104CE09" w:rsidR="00D71B7C" w:rsidRPr="00ED172B" w:rsidRDefault="00860830" w:rsidP="00D71B7C">
            <w:pPr>
              <w:jc w:val="center"/>
              <w:rPr>
                <w:color w:val="000000" w:themeColor="text1"/>
                <w:szCs w:val="16"/>
              </w:rPr>
            </w:pPr>
            <w:r w:rsidRPr="00ED172B">
              <w:rPr>
                <w:rFonts w:cs="Arial"/>
                <w:color w:val="000000" w:themeColor="text1"/>
                <w:szCs w:val="16"/>
              </w:rPr>
              <w:t>99.85%</w:t>
            </w:r>
          </w:p>
        </w:tc>
        <w:tc>
          <w:tcPr>
            <w:tcW w:w="867" w:type="pct"/>
            <w:tcBorders>
              <w:bottom w:val="single" w:sz="4" w:space="0" w:color="auto"/>
            </w:tcBorders>
            <w:shd w:val="clear" w:color="auto" w:fill="auto"/>
            <w:vAlign w:val="center"/>
          </w:tcPr>
          <w:p w14:paraId="11DB3FBB" w14:textId="31829891" w:rsidR="00D71B7C" w:rsidRPr="00ED172B" w:rsidRDefault="00860830" w:rsidP="00D71B7C">
            <w:pPr>
              <w:jc w:val="center"/>
              <w:rPr>
                <w:color w:val="000000" w:themeColor="text1"/>
                <w:szCs w:val="16"/>
              </w:rPr>
            </w:pPr>
            <w:r w:rsidRPr="00ED172B">
              <w:rPr>
                <w:rFonts w:cs="Arial"/>
                <w:color w:val="000000" w:themeColor="text1"/>
                <w:szCs w:val="16"/>
              </w:rPr>
              <w:t>99.94%</w:t>
            </w:r>
          </w:p>
        </w:tc>
        <w:tc>
          <w:tcPr>
            <w:tcW w:w="866" w:type="pct"/>
            <w:tcBorders>
              <w:bottom w:val="single" w:sz="4" w:space="0" w:color="auto"/>
            </w:tcBorders>
            <w:shd w:val="clear" w:color="auto" w:fill="auto"/>
            <w:vAlign w:val="center"/>
          </w:tcPr>
          <w:p w14:paraId="2328AEB2" w14:textId="4844AE53" w:rsidR="00D71B7C" w:rsidRPr="00ED172B" w:rsidRDefault="00860830" w:rsidP="00D71B7C">
            <w:pPr>
              <w:jc w:val="center"/>
              <w:rPr>
                <w:color w:val="000000" w:themeColor="text1"/>
                <w:szCs w:val="16"/>
              </w:rPr>
            </w:pPr>
            <w:r w:rsidRPr="00ED172B">
              <w:rPr>
                <w:rFonts w:cs="Arial"/>
                <w:color w:val="000000" w:themeColor="text1"/>
                <w:szCs w:val="16"/>
              </w:rPr>
              <w:t>99.88%</w:t>
            </w:r>
          </w:p>
        </w:tc>
      </w:tr>
    </w:tbl>
    <w:p w14:paraId="54FA3A41" w14:textId="1A075C46" w:rsidR="00B312CC" w:rsidRPr="00ED172B" w:rsidRDefault="00B312CC">
      <w:pPr>
        <w:rPr>
          <w:b/>
          <w:color w:val="000000" w:themeColor="text1"/>
        </w:rPr>
      </w:pPr>
      <w:r w:rsidRPr="00ED172B">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28"/>
        <w:gridCol w:w="1677"/>
        <w:gridCol w:w="1677"/>
        <w:gridCol w:w="1677"/>
        <w:gridCol w:w="1677"/>
        <w:gridCol w:w="1677"/>
        <w:gridCol w:w="1677"/>
      </w:tblGrid>
      <w:tr w:rsidR="003546A3" w:rsidRPr="00ED172B" w14:paraId="69640561" w14:textId="00BF0E9A" w:rsidTr="00F85A5B">
        <w:trPr>
          <w:trHeight w:val="350"/>
        </w:trPr>
        <w:tc>
          <w:tcPr>
            <w:tcW w:w="337" w:type="pct"/>
            <w:tcBorders>
              <w:bottom w:val="single" w:sz="4" w:space="0" w:color="auto"/>
            </w:tcBorders>
            <w:shd w:val="clear" w:color="auto" w:fill="auto"/>
          </w:tcPr>
          <w:p w14:paraId="1E99C122" w14:textId="77777777" w:rsidR="003546A3" w:rsidRPr="00ED172B" w:rsidRDefault="003546A3" w:rsidP="003546A3">
            <w:pPr>
              <w:jc w:val="center"/>
              <w:rPr>
                <w:b/>
                <w:color w:val="000000" w:themeColor="text1"/>
                <w:szCs w:val="16"/>
              </w:rPr>
            </w:pPr>
            <w:r w:rsidRPr="00ED172B">
              <w:rPr>
                <w:b/>
                <w:color w:val="000000" w:themeColor="text1"/>
                <w:szCs w:val="16"/>
              </w:rPr>
              <w:t>FFY</w:t>
            </w:r>
          </w:p>
        </w:tc>
        <w:tc>
          <w:tcPr>
            <w:tcW w:w="777" w:type="pct"/>
            <w:shd w:val="clear" w:color="auto" w:fill="auto"/>
            <w:vAlign w:val="center"/>
          </w:tcPr>
          <w:p w14:paraId="65FF2B00" w14:textId="7CCAF341" w:rsidR="003546A3" w:rsidRPr="00ED172B" w:rsidRDefault="003546A3" w:rsidP="003546A3">
            <w:pPr>
              <w:jc w:val="center"/>
              <w:rPr>
                <w:b/>
                <w:color w:val="000000" w:themeColor="text1"/>
                <w:szCs w:val="16"/>
              </w:rPr>
            </w:pPr>
            <w:r w:rsidRPr="00ED172B">
              <w:rPr>
                <w:rFonts w:cs="Arial"/>
                <w:b/>
                <w:color w:val="000000" w:themeColor="text1"/>
                <w:szCs w:val="16"/>
              </w:rPr>
              <w:t>2020</w:t>
            </w:r>
          </w:p>
        </w:tc>
        <w:tc>
          <w:tcPr>
            <w:tcW w:w="777" w:type="pct"/>
          </w:tcPr>
          <w:p w14:paraId="6A5B5290" w14:textId="1CFF28ED" w:rsidR="003546A3" w:rsidRPr="00ED172B" w:rsidRDefault="003546A3" w:rsidP="003546A3">
            <w:pPr>
              <w:jc w:val="center"/>
              <w:rPr>
                <w:rFonts w:cs="Arial"/>
                <w:b/>
                <w:color w:val="000000" w:themeColor="text1"/>
                <w:szCs w:val="16"/>
              </w:rPr>
            </w:pPr>
            <w:r>
              <w:rPr>
                <w:rFonts w:cs="Arial"/>
                <w:b/>
                <w:color w:val="000000" w:themeColor="text1"/>
                <w:szCs w:val="16"/>
              </w:rPr>
              <w:t>2021</w:t>
            </w:r>
          </w:p>
        </w:tc>
        <w:tc>
          <w:tcPr>
            <w:tcW w:w="777" w:type="pct"/>
          </w:tcPr>
          <w:p w14:paraId="4C7B3CA6" w14:textId="5B6A1FA8" w:rsidR="003546A3" w:rsidRPr="00ED172B" w:rsidRDefault="003546A3" w:rsidP="003546A3">
            <w:pPr>
              <w:jc w:val="center"/>
              <w:rPr>
                <w:rFonts w:cs="Arial"/>
                <w:b/>
                <w:color w:val="000000" w:themeColor="text1"/>
                <w:szCs w:val="16"/>
              </w:rPr>
            </w:pPr>
            <w:r w:rsidRPr="005A1B4F">
              <w:rPr>
                <w:rFonts w:cs="Arial"/>
                <w:b/>
                <w:color w:val="000000" w:themeColor="text1"/>
                <w:szCs w:val="16"/>
              </w:rPr>
              <w:t>2022</w:t>
            </w:r>
          </w:p>
        </w:tc>
        <w:tc>
          <w:tcPr>
            <w:tcW w:w="777" w:type="pct"/>
          </w:tcPr>
          <w:p w14:paraId="42E64847" w14:textId="5D935C1F" w:rsidR="003546A3" w:rsidRPr="00ED172B" w:rsidRDefault="003546A3" w:rsidP="003546A3">
            <w:pPr>
              <w:jc w:val="center"/>
              <w:rPr>
                <w:rFonts w:cs="Arial"/>
                <w:b/>
                <w:color w:val="000000" w:themeColor="text1"/>
                <w:szCs w:val="16"/>
              </w:rPr>
            </w:pPr>
            <w:r w:rsidRPr="005A1B4F">
              <w:rPr>
                <w:rFonts w:cs="Arial"/>
                <w:b/>
                <w:color w:val="000000" w:themeColor="text1"/>
                <w:szCs w:val="16"/>
              </w:rPr>
              <w:t>2023</w:t>
            </w:r>
          </w:p>
        </w:tc>
        <w:tc>
          <w:tcPr>
            <w:tcW w:w="777" w:type="pct"/>
          </w:tcPr>
          <w:p w14:paraId="176FB67E" w14:textId="73045DAC" w:rsidR="003546A3" w:rsidRPr="00ED172B" w:rsidRDefault="003546A3" w:rsidP="003546A3">
            <w:pPr>
              <w:jc w:val="center"/>
              <w:rPr>
                <w:rFonts w:cs="Arial"/>
                <w:b/>
                <w:color w:val="000000" w:themeColor="text1"/>
                <w:szCs w:val="16"/>
              </w:rPr>
            </w:pPr>
            <w:r w:rsidRPr="005A1B4F">
              <w:rPr>
                <w:rFonts w:cs="Arial"/>
                <w:b/>
                <w:color w:val="000000" w:themeColor="text1"/>
                <w:szCs w:val="16"/>
              </w:rPr>
              <w:t>2024</w:t>
            </w:r>
          </w:p>
        </w:tc>
        <w:tc>
          <w:tcPr>
            <w:tcW w:w="777" w:type="pct"/>
          </w:tcPr>
          <w:p w14:paraId="3C9FE01E" w14:textId="21EB3961" w:rsidR="003546A3" w:rsidRPr="00ED172B" w:rsidRDefault="003546A3" w:rsidP="003546A3">
            <w:pPr>
              <w:jc w:val="center"/>
              <w:rPr>
                <w:rFonts w:cs="Arial"/>
                <w:b/>
                <w:color w:val="000000" w:themeColor="text1"/>
                <w:szCs w:val="16"/>
              </w:rPr>
            </w:pPr>
            <w:r w:rsidRPr="005A1B4F">
              <w:rPr>
                <w:rFonts w:cs="Arial"/>
                <w:b/>
                <w:color w:val="000000" w:themeColor="text1"/>
                <w:szCs w:val="16"/>
              </w:rPr>
              <w:t>2025</w:t>
            </w:r>
          </w:p>
        </w:tc>
      </w:tr>
      <w:tr w:rsidR="00573310" w:rsidRPr="00ED172B" w14:paraId="67435F39" w14:textId="4B221A6D" w:rsidTr="00F85A5B">
        <w:trPr>
          <w:trHeight w:val="357"/>
        </w:trPr>
        <w:tc>
          <w:tcPr>
            <w:tcW w:w="337" w:type="pct"/>
            <w:shd w:val="clear" w:color="auto" w:fill="auto"/>
          </w:tcPr>
          <w:p w14:paraId="3D2F539F" w14:textId="00377A5F" w:rsidR="00573310" w:rsidRPr="00ED172B" w:rsidRDefault="00573310" w:rsidP="00573310">
            <w:pPr>
              <w:rPr>
                <w:color w:val="000000" w:themeColor="text1"/>
                <w:szCs w:val="16"/>
              </w:rPr>
            </w:pPr>
            <w:r w:rsidRPr="00ED172B">
              <w:rPr>
                <w:color w:val="000000" w:themeColor="text1"/>
                <w:szCs w:val="16"/>
              </w:rPr>
              <w:t>Target&gt;=</w:t>
            </w:r>
          </w:p>
        </w:tc>
        <w:tc>
          <w:tcPr>
            <w:tcW w:w="777" w:type="pct"/>
            <w:shd w:val="clear" w:color="auto" w:fill="auto"/>
            <w:vAlign w:val="center"/>
          </w:tcPr>
          <w:p w14:paraId="64D40D5F" w14:textId="4B9F73CA" w:rsidR="00573310" w:rsidRPr="00ED172B" w:rsidRDefault="00573310" w:rsidP="00573310">
            <w:pPr>
              <w:jc w:val="center"/>
              <w:rPr>
                <w:color w:val="000000" w:themeColor="text1"/>
                <w:szCs w:val="16"/>
              </w:rPr>
            </w:pPr>
            <w:r w:rsidRPr="00ED172B">
              <w:rPr>
                <w:rFonts w:cs="Arial"/>
                <w:color w:val="000000" w:themeColor="text1"/>
                <w:szCs w:val="16"/>
              </w:rPr>
              <w:t>97.00%</w:t>
            </w:r>
          </w:p>
        </w:tc>
        <w:tc>
          <w:tcPr>
            <w:tcW w:w="777" w:type="pct"/>
          </w:tcPr>
          <w:p w14:paraId="729751AD" w14:textId="13A0179F" w:rsidR="00573310" w:rsidRPr="00ED172B" w:rsidRDefault="00573310" w:rsidP="00573310">
            <w:pPr>
              <w:jc w:val="center"/>
              <w:rPr>
                <w:rFonts w:cs="Arial"/>
                <w:color w:val="000000" w:themeColor="text1"/>
                <w:szCs w:val="16"/>
              </w:rPr>
            </w:pPr>
            <w:r>
              <w:rPr>
                <w:rFonts w:cs="Arial"/>
                <w:color w:val="000000" w:themeColor="text1"/>
                <w:szCs w:val="16"/>
              </w:rPr>
              <w:t>97.50%</w:t>
            </w:r>
          </w:p>
        </w:tc>
        <w:tc>
          <w:tcPr>
            <w:tcW w:w="777" w:type="pct"/>
          </w:tcPr>
          <w:p w14:paraId="32254393" w14:textId="0DA02971" w:rsidR="00573310" w:rsidRPr="00ED172B" w:rsidRDefault="00573310" w:rsidP="00573310">
            <w:pPr>
              <w:jc w:val="center"/>
              <w:rPr>
                <w:rFonts w:cs="Arial"/>
                <w:color w:val="000000" w:themeColor="text1"/>
                <w:szCs w:val="16"/>
              </w:rPr>
            </w:pPr>
            <w:r w:rsidRPr="005F5F3C">
              <w:rPr>
                <w:rFonts w:cs="Arial"/>
                <w:color w:val="000000" w:themeColor="text1"/>
                <w:szCs w:val="16"/>
              </w:rPr>
              <w:t>97.50%</w:t>
            </w:r>
          </w:p>
        </w:tc>
        <w:tc>
          <w:tcPr>
            <w:tcW w:w="777" w:type="pct"/>
          </w:tcPr>
          <w:p w14:paraId="36BBFFFB" w14:textId="63C7EE46" w:rsidR="00573310" w:rsidRPr="00ED172B" w:rsidRDefault="00573310" w:rsidP="00573310">
            <w:pPr>
              <w:jc w:val="center"/>
              <w:rPr>
                <w:rFonts w:cs="Arial"/>
                <w:color w:val="000000" w:themeColor="text1"/>
                <w:szCs w:val="16"/>
              </w:rPr>
            </w:pPr>
            <w:r w:rsidRPr="005F5F3C">
              <w:rPr>
                <w:rFonts w:cs="Arial"/>
                <w:color w:val="000000" w:themeColor="text1"/>
                <w:szCs w:val="16"/>
              </w:rPr>
              <w:t>98.00%</w:t>
            </w:r>
          </w:p>
        </w:tc>
        <w:tc>
          <w:tcPr>
            <w:tcW w:w="777" w:type="pct"/>
          </w:tcPr>
          <w:p w14:paraId="655811EE" w14:textId="6F033809" w:rsidR="00573310" w:rsidRPr="00ED172B" w:rsidRDefault="00573310" w:rsidP="00573310">
            <w:pPr>
              <w:jc w:val="center"/>
              <w:rPr>
                <w:rFonts w:cs="Arial"/>
                <w:color w:val="000000" w:themeColor="text1"/>
                <w:szCs w:val="16"/>
              </w:rPr>
            </w:pPr>
            <w:r w:rsidRPr="005F5F3C">
              <w:rPr>
                <w:rFonts w:cs="Arial"/>
                <w:color w:val="000000" w:themeColor="text1"/>
                <w:szCs w:val="16"/>
              </w:rPr>
              <w:t>98.00%</w:t>
            </w:r>
          </w:p>
        </w:tc>
        <w:tc>
          <w:tcPr>
            <w:tcW w:w="777" w:type="pct"/>
          </w:tcPr>
          <w:p w14:paraId="765C99A4" w14:textId="269BABAD" w:rsidR="00573310" w:rsidRPr="005F5F3C" w:rsidRDefault="00573310" w:rsidP="00573310">
            <w:pPr>
              <w:jc w:val="center"/>
              <w:rPr>
                <w:rFonts w:cs="Arial"/>
                <w:color w:val="000000" w:themeColor="text1"/>
                <w:szCs w:val="16"/>
              </w:rPr>
            </w:pPr>
            <w:r w:rsidRPr="005F5F3C">
              <w:rPr>
                <w:rFonts w:cs="Arial"/>
                <w:color w:val="000000" w:themeColor="text1"/>
                <w:szCs w:val="16"/>
              </w:rPr>
              <w:t>98.50%</w:t>
            </w:r>
          </w:p>
        </w:tc>
      </w:tr>
    </w:tbl>
    <w:p w14:paraId="048B5BE7" w14:textId="7B076B48" w:rsidR="00BF7D80" w:rsidRDefault="00F80C9C" w:rsidP="00B83404">
      <w:pPr>
        <w:rPr>
          <w:b/>
          <w:color w:val="000000" w:themeColor="text1"/>
        </w:rPr>
      </w:pPr>
      <w:bookmarkStart w:id="10" w:name="_Toc392159265"/>
      <w:bookmarkEnd w:id="9"/>
      <w:r w:rsidRPr="00ED172B">
        <w:rPr>
          <w:b/>
          <w:color w:val="000000" w:themeColor="text1"/>
        </w:rPr>
        <w:t>Targets: Description of Stakeholder Input</w:t>
      </w:r>
    </w:p>
    <w:p w14:paraId="58140005" w14:textId="254A99F8" w:rsidR="00F80C9C" w:rsidRDefault="00CF03E0" w:rsidP="00CF03E0">
      <w:pPr>
        <w:rPr>
          <w:color w:val="000000" w:themeColor="text1"/>
        </w:rPr>
      </w:pPr>
      <w:r w:rsidRPr="00ED172B">
        <w:rPr>
          <w:b/>
          <w:color w:val="000000" w:themeColor="text1"/>
        </w:rPr>
        <w:t xml:space="preserve"> </w:t>
      </w:r>
      <w:r w:rsidRPr="00ED172B">
        <w:rPr>
          <w:color w:val="000000" w:themeColor="text1"/>
        </w:rPr>
        <w:t>The State Interagency Coordinating Council (ICC) serves as the primary stakeholder body for MA-C. ICC provides feedback to develop state targets, identify areas of need, and help recommend additional data analysis to improve MA-C performance. The ICC is comprised of 41 appointed members with variation in level of experience, discipline, role, geographic location across the Commonwealth, and race/ethnicity. Additionally, the ICC meetings are made available to the public and agendas and meeting links are published on MA-C's website and advertised through by the Parent Training and Information Center.</w:t>
      </w:r>
    </w:p>
    <w:p w14:paraId="7615FD78" w14:textId="04DD62A8" w:rsidR="00AE7452" w:rsidRPr="00ED172B" w:rsidRDefault="00AE7452" w:rsidP="00B83404">
      <w:pPr>
        <w:rPr>
          <w:color w:val="000000" w:themeColor="text1"/>
        </w:rPr>
      </w:pPr>
      <w:r w:rsidRPr="00ED172B">
        <w:rPr>
          <w:rFonts w:cs="Arial"/>
          <w:color w:val="000000" w:themeColor="text1"/>
          <w:szCs w:val="16"/>
        </w:rPr>
        <w:t xml:space="preserve">Target setting for Indicator 2 took place during an ICC meeting. The Part C Coordinator presented data on MA-C's performance on indicator 2 for the past five FFYs relative to the targets, answered questions about the data, and then solicited recommendations from the attendees. </w:t>
      </w:r>
      <w:r w:rsidRPr="00ED172B">
        <w:rPr>
          <w:rFonts w:cs="Arial"/>
          <w:color w:val="000000" w:themeColor="text1"/>
          <w:szCs w:val="16"/>
        </w:rPr>
        <w:br/>
      </w:r>
      <w:r w:rsidRPr="00ED172B">
        <w:rPr>
          <w:rFonts w:cs="Arial"/>
          <w:color w:val="000000" w:themeColor="text1"/>
          <w:szCs w:val="16"/>
        </w:rPr>
        <w:br/>
        <w:t xml:space="preserve">For Indicator 2, 25 attendees responded (13 providers, five parent members, and four representatives from other state agencies). Four state agency representatives, including two MA-C employees, recommended immediate increases in the targets with increases up to 99% in FFY25. One state agency representative recommended no changes, and the remaining two recommended maintain the target in FFY21 and increasing over time to 99% in FFY25. One parent member recommended no changes to the target; the others recommended slow increases to 99% by FFY25. Six providers recommended no change to the target (i.e., maintained at 97% for the next five FFYs). Three recommended it be immediately increased to 99% and maintained there for the duration of the next five FFYs. Others recommended slow increases resulting in 98% by FFY25. </w:t>
      </w:r>
      <w:r w:rsidRPr="00ED172B">
        <w:rPr>
          <w:rFonts w:cs="Arial"/>
          <w:color w:val="000000" w:themeColor="text1"/>
          <w:szCs w:val="16"/>
        </w:rPr>
        <w:br/>
      </w:r>
      <w:r w:rsidRPr="00ED172B">
        <w:rPr>
          <w:rFonts w:cs="Arial"/>
          <w:color w:val="000000" w:themeColor="text1"/>
          <w:szCs w:val="16"/>
        </w:rPr>
        <w:br/>
        <w:t>Results of target setting responses demonstrate the majority of stakeholders support moderately increased targets for the percentage of infants and toddlers with IFSPs who primarily receive early intervention services in the home or community-based settings. For this reason, MA-C has established targets that continue to show improvement over baseline. MA-C does acknowledge that its baseline was established nearly 10 years ago and may warrant a reset in an upcoming FFY.</w:t>
      </w:r>
    </w:p>
    <w:p w14:paraId="021B388F"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43EF5C6C" w14:textId="77777777" w:rsidTr="00986B99">
        <w:trPr>
          <w:trHeight w:val="372"/>
          <w:tblHeader/>
        </w:trPr>
        <w:tc>
          <w:tcPr>
            <w:tcW w:w="1207" w:type="pct"/>
            <w:shd w:val="clear" w:color="auto" w:fill="auto"/>
          </w:tcPr>
          <w:p w14:paraId="69556F9B"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shd w:val="clear" w:color="auto" w:fill="auto"/>
          </w:tcPr>
          <w:p w14:paraId="0DA78D38"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shd w:val="clear" w:color="auto" w:fill="auto"/>
          </w:tcPr>
          <w:p w14:paraId="6FE143C8"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shd w:val="clear" w:color="auto" w:fill="auto"/>
          </w:tcPr>
          <w:p w14:paraId="2FF23077"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0F537033" w14:textId="77777777" w:rsidTr="00986B99">
        <w:trPr>
          <w:trHeight w:val="380"/>
        </w:trPr>
        <w:tc>
          <w:tcPr>
            <w:tcW w:w="1207" w:type="pct"/>
            <w:shd w:val="clear" w:color="auto" w:fill="auto"/>
            <w:vAlign w:val="center"/>
          </w:tcPr>
          <w:p w14:paraId="50B96616" w14:textId="5FDBEB69" w:rsidR="006111D4" w:rsidRPr="00ED172B" w:rsidRDefault="00753E04" w:rsidP="006111D4">
            <w:pPr>
              <w:jc w:val="center"/>
              <w:rPr>
                <w:color w:val="000000" w:themeColor="text1"/>
                <w:szCs w:val="16"/>
              </w:rPr>
            </w:pPr>
            <w:r w:rsidRPr="00ED172B">
              <w:rPr>
                <w:rFonts w:cs="Arial"/>
                <w:color w:val="000000" w:themeColor="text1"/>
                <w:szCs w:val="16"/>
              </w:rPr>
              <w:t>SY 2020-21 EMAPS IDEA Part C Child Count and Settings Survey; Section A: Child Count and Settings by Age</w:t>
            </w:r>
          </w:p>
        </w:tc>
        <w:tc>
          <w:tcPr>
            <w:tcW w:w="1460" w:type="pct"/>
            <w:shd w:val="clear" w:color="auto" w:fill="auto"/>
          </w:tcPr>
          <w:p w14:paraId="738E4570" w14:textId="08441A46" w:rsidR="006111D4" w:rsidRPr="00ED172B" w:rsidRDefault="00753E04" w:rsidP="006111D4">
            <w:pPr>
              <w:jc w:val="center"/>
              <w:rPr>
                <w:rFonts w:cs="Arial"/>
                <w:color w:val="000000" w:themeColor="text1"/>
                <w:szCs w:val="16"/>
              </w:rPr>
            </w:pPr>
            <w:r w:rsidRPr="00ED172B">
              <w:rPr>
                <w:rFonts w:cs="Arial"/>
                <w:color w:val="000000" w:themeColor="text1"/>
                <w:szCs w:val="16"/>
              </w:rPr>
              <w:t>07/08/2021</w:t>
            </w:r>
          </w:p>
        </w:tc>
        <w:tc>
          <w:tcPr>
            <w:tcW w:w="1487" w:type="pct"/>
            <w:shd w:val="clear" w:color="auto" w:fill="auto"/>
          </w:tcPr>
          <w:p w14:paraId="340AC5A9" w14:textId="339193EA"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shd w:val="clear" w:color="auto" w:fill="auto"/>
          </w:tcPr>
          <w:p w14:paraId="1C4DB47F" w14:textId="62B147B6" w:rsidR="006111D4" w:rsidRPr="00ED172B" w:rsidRDefault="00860830" w:rsidP="006111D4">
            <w:pPr>
              <w:jc w:val="center"/>
              <w:rPr>
                <w:color w:val="000000" w:themeColor="text1"/>
                <w:szCs w:val="16"/>
              </w:rPr>
            </w:pPr>
            <w:r w:rsidRPr="00ED172B">
              <w:rPr>
                <w:color w:val="000000" w:themeColor="text1"/>
                <w:szCs w:val="16"/>
              </w:rPr>
              <w:t>21,534</w:t>
            </w:r>
          </w:p>
        </w:tc>
      </w:tr>
      <w:tr w:rsidR="00ED172B" w:rsidRPr="00ED172B" w14:paraId="23879959" w14:textId="77777777" w:rsidTr="00986B99">
        <w:trPr>
          <w:trHeight w:val="380"/>
        </w:trPr>
        <w:tc>
          <w:tcPr>
            <w:tcW w:w="1207" w:type="pct"/>
            <w:shd w:val="clear" w:color="auto" w:fill="auto"/>
            <w:vAlign w:val="center"/>
          </w:tcPr>
          <w:p w14:paraId="0F04187E" w14:textId="0D4F9C80" w:rsidR="00F32B6D" w:rsidRPr="00ED172B" w:rsidRDefault="00753E04" w:rsidP="00F32B6D">
            <w:pPr>
              <w:jc w:val="center"/>
              <w:rPr>
                <w:color w:val="000000" w:themeColor="text1"/>
                <w:szCs w:val="16"/>
              </w:rPr>
            </w:pPr>
            <w:r w:rsidRPr="00ED172B">
              <w:rPr>
                <w:rFonts w:cs="Arial"/>
                <w:color w:val="000000" w:themeColor="text1"/>
                <w:szCs w:val="16"/>
              </w:rPr>
              <w:lastRenderedPageBreak/>
              <w:t>SY 2020-21 EMAPS IDEA Part C Child Count and Settings Survey; Section A: Child Count and Settings by Age</w:t>
            </w:r>
          </w:p>
        </w:tc>
        <w:tc>
          <w:tcPr>
            <w:tcW w:w="1460" w:type="pct"/>
            <w:shd w:val="clear" w:color="auto" w:fill="auto"/>
          </w:tcPr>
          <w:p w14:paraId="2B2C4396" w14:textId="37230B50" w:rsidR="00F32B6D" w:rsidRPr="00ED172B" w:rsidRDefault="00753E04" w:rsidP="00F32B6D">
            <w:pPr>
              <w:jc w:val="center"/>
              <w:rPr>
                <w:color w:val="000000" w:themeColor="text1"/>
                <w:szCs w:val="16"/>
              </w:rPr>
            </w:pPr>
            <w:r w:rsidRPr="00ED172B">
              <w:rPr>
                <w:rFonts w:cs="Arial"/>
                <w:color w:val="000000" w:themeColor="text1"/>
                <w:szCs w:val="16"/>
              </w:rPr>
              <w:t>07/08/2021</w:t>
            </w:r>
          </w:p>
        </w:tc>
        <w:tc>
          <w:tcPr>
            <w:tcW w:w="1487" w:type="pct"/>
            <w:shd w:val="clear" w:color="auto" w:fill="auto"/>
          </w:tcPr>
          <w:p w14:paraId="5C29929A" w14:textId="586BB346"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shd w:val="clear" w:color="auto" w:fill="auto"/>
            <w:vAlign w:val="center"/>
          </w:tcPr>
          <w:p w14:paraId="41EA183A" w14:textId="192C1E18" w:rsidR="00F32B6D" w:rsidRPr="00ED172B" w:rsidRDefault="00860830" w:rsidP="00F32B6D">
            <w:pPr>
              <w:jc w:val="center"/>
              <w:rPr>
                <w:color w:val="000000" w:themeColor="text1"/>
                <w:szCs w:val="16"/>
              </w:rPr>
            </w:pPr>
            <w:r w:rsidRPr="00ED172B">
              <w:rPr>
                <w:color w:val="000000" w:themeColor="text1"/>
                <w:szCs w:val="16"/>
              </w:rPr>
              <w:t>21,783</w:t>
            </w:r>
          </w:p>
        </w:tc>
      </w:tr>
    </w:tbl>
    <w:p w14:paraId="7B961186" w14:textId="363F19EA" w:rsidR="006628E4" w:rsidRPr="00ED172B" w:rsidRDefault="00F22D09">
      <w:pPr>
        <w:rPr>
          <w:b/>
          <w:color w:val="000000" w:themeColor="text1"/>
        </w:rPr>
      </w:pPr>
      <w:r>
        <w:rPr>
          <w:b/>
          <w:color w:val="000000" w:themeColor="text1"/>
        </w:rPr>
        <w:t>FFY 2020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9"/>
        <w:gridCol w:w="1268"/>
        <w:gridCol w:w="1893"/>
        <w:gridCol w:w="1140"/>
        <w:gridCol w:w="1444"/>
        <w:gridCol w:w="1399"/>
      </w:tblGrid>
      <w:tr w:rsidR="00ED172B" w:rsidRPr="00ED172B" w14:paraId="07885561" w14:textId="77777777" w:rsidTr="00986B99">
        <w:trPr>
          <w:trHeight w:val="359"/>
          <w:tblHeader/>
        </w:trPr>
        <w:tc>
          <w:tcPr>
            <w:tcW w:w="834" w:type="pct"/>
            <w:shd w:val="clear" w:color="auto" w:fill="auto"/>
            <w:vAlign w:val="bottom"/>
          </w:tcPr>
          <w:p w14:paraId="472B2B7A" w14:textId="59B6334C" w:rsidR="00B605F5" w:rsidRPr="00ED172B" w:rsidRDefault="00B605F5" w:rsidP="00B605F5">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shd w:val="clear" w:color="auto" w:fill="auto"/>
            <w:vAlign w:val="bottom"/>
          </w:tcPr>
          <w:p w14:paraId="6BCF7402" w14:textId="4259095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shd w:val="clear" w:color="auto" w:fill="auto"/>
            <w:vAlign w:val="bottom"/>
          </w:tcPr>
          <w:p w14:paraId="10A26864" w14:textId="2DD1F0DD" w:rsidR="00B605F5" w:rsidRPr="00ED172B" w:rsidRDefault="00CD74B5" w:rsidP="00B605F5">
            <w:pPr>
              <w:jc w:val="center"/>
              <w:rPr>
                <w:b/>
                <w:color w:val="000000" w:themeColor="text1"/>
                <w:szCs w:val="16"/>
              </w:rPr>
            </w:pPr>
            <w:r>
              <w:rPr>
                <w:rFonts w:cs="Arial"/>
                <w:b/>
                <w:color w:val="000000" w:themeColor="text1"/>
                <w:szCs w:val="16"/>
              </w:rPr>
              <w:t>FFY 2019 Data</w:t>
            </w:r>
          </w:p>
        </w:tc>
        <w:tc>
          <w:tcPr>
            <w:tcW w:w="877" w:type="pct"/>
            <w:shd w:val="clear" w:color="auto" w:fill="auto"/>
            <w:vAlign w:val="bottom"/>
          </w:tcPr>
          <w:p w14:paraId="418B7AF3" w14:textId="6A12135E" w:rsidR="00B605F5" w:rsidRPr="00ED172B" w:rsidRDefault="00F22D09" w:rsidP="00B605F5">
            <w:pPr>
              <w:jc w:val="center"/>
              <w:rPr>
                <w:b/>
                <w:color w:val="000000" w:themeColor="text1"/>
                <w:szCs w:val="16"/>
              </w:rPr>
            </w:pPr>
            <w:r>
              <w:rPr>
                <w:rFonts w:cs="Arial"/>
                <w:b/>
                <w:color w:val="000000" w:themeColor="text1"/>
                <w:szCs w:val="16"/>
              </w:rPr>
              <w:t>FFY 2020 Target</w:t>
            </w:r>
          </w:p>
        </w:tc>
        <w:tc>
          <w:tcPr>
            <w:tcW w:w="528" w:type="pct"/>
            <w:shd w:val="clear" w:color="auto" w:fill="auto"/>
            <w:vAlign w:val="bottom"/>
          </w:tcPr>
          <w:p w14:paraId="1EF8A614" w14:textId="527DE91F" w:rsidR="00B605F5" w:rsidRPr="00ED172B" w:rsidRDefault="00F22D09" w:rsidP="00B605F5">
            <w:pPr>
              <w:jc w:val="center"/>
              <w:rPr>
                <w:b/>
                <w:color w:val="000000" w:themeColor="text1"/>
                <w:szCs w:val="16"/>
              </w:rPr>
            </w:pPr>
            <w:r>
              <w:rPr>
                <w:rFonts w:cs="Arial"/>
                <w:b/>
                <w:color w:val="000000" w:themeColor="text1"/>
                <w:szCs w:val="16"/>
              </w:rPr>
              <w:t>FFY 2020 Data</w:t>
            </w:r>
          </w:p>
        </w:tc>
        <w:tc>
          <w:tcPr>
            <w:tcW w:w="669" w:type="pct"/>
            <w:shd w:val="clear" w:color="auto" w:fill="auto"/>
            <w:vAlign w:val="bottom"/>
          </w:tcPr>
          <w:p w14:paraId="44081306"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shd w:val="clear" w:color="auto" w:fill="auto"/>
            <w:vAlign w:val="bottom"/>
          </w:tcPr>
          <w:p w14:paraId="04CEAB25"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7B353118" w14:textId="77777777" w:rsidTr="00986B99">
        <w:trPr>
          <w:trHeight w:val="366"/>
        </w:trPr>
        <w:tc>
          <w:tcPr>
            <w:tcW w:w="834" w:type="pct"/>
            <w:shd w:val="clear" w:color="auto" w:fill="auto"/>
            <w:vAlign w:val="center"/>
          </w:tcPr>
          <w:p w14:paraId="144020CA" w14:textId="64560A31" w:rsidR="00650CF7" w:rsidRPr="00ED172B" w:rsidRDefault="00860830" w:rsidP="00694144">
            <w:pPr>
              <w:jc w:val="center"/>
              <w:rPr>
                <w:color w:val="000000" w:themeColor="text1"/>
                <w:szCs w:val="16"/>
              </w:rPr>
            </w:pPr>
            <w:r w:rsidRPr="00ED172B">
              <w:rPr>
                <w:color w:val="000000" w:themeColor="text1"/>
                <w:szCs w:val="16"/>
              </w:rPr>
              <w:t>21,534</w:t>
            </w:r>
          </w:p>
        </w:tc>
        <w:tc>
          <w:tcPr>
            <w:tcW w:w="856" w:type="pct"/>
            <w:shd w:val="clear" w:color="auto" w:fill="auto"/>
            <w:vAlign w:val="center"/>
          </w:tcPr>
          <w:p w14:paraId="7B36A1D9" w14:textId="53D1EA58" w:rsidR="00650CF7" w:rsidRPr="00ED172B" w:rsidRDefault="00860830" w:rsidP="00694144">
            <w:pPr>
              <w:jc w:val="center"/>
              <w:rPr>
                <w:color w:val="000000" w:themeColor="text1"/>
                <w:szCs w:val="16"/>
              </w:rPr>
            </w:pPr>
            <w:r w:rsidRPr="00ED172B">
              <w:rPr>
                <w:color w:val="000000" w:themeColor="text1"/>
                <w:szCs w:val="16"/>
              </w:rPr>
              <w:t>21,783</w:t>
            </w:r>
          </w:p>
        </w:tc>
        <w:tc>
          <w:tcPr>
            <w:tcW w:w="587" w:type="pct"/>
            <w:shd w:val="clear" w:color="auto" w:fill="auto"/>
            <w:vAlign w:val="center"/>
          </w:tcPr>
          <w:p w14:paraId="79EBF212" w14:textId="3ECE0202" w:rsidR="00650CF7" w:rsidRPr="00ED172B" w:rsidRDefault="00860830" w:rsidP="00694144">
            <w:pPr>
              <w:jc w:val="center"/>
              <w:rPr>
                <w:color w:val="000000" w:themeColor="text1"/>
                <w:szCs w:val="16"/>
              </w:rPr>
            </w:pPr>
            <w:r w:rsidRPr="00ED172B">
              <w:rPr>
                <w:rFonts w:cs="Arial"/>
                <w:color w:val="000000" w:themeColor="text1"/>
                <w:szCs w:val="16"/>
              </w:rPr>
              <w:t>99.88%</w:t>
            </w:r>
          </w:p>
        </w:tc>
        <w:tc>
          <w:tcPr>
            <w:tcW w:w="877" w:type="pct"/>
            <w:shd w:val="clear" w:color="auto" w:fill="auto"/>
            <w:vAlign w:val="center"/>
          </w:tcPr>
          <w:p w14:paraId="6BB2A0A3" w14:textId="2F872183" w:rsidR="00650CF7" w:rsidRPr="00ED172B" w:rsidRDefault="00860830" w:rsidP="00694144">
            <w:pPr>
              <w:jc w:val="center"/>
              <w:rPr>
                <w:color w:val="000000" w:themeColor="text1"/>
                <w:szCs w:val="16"/>
              </w:rPr>
            </w:pPr>
            <w:r w:rsidRPr="00ED172B">
              <w:rPr>
                <w:rFonts w:cs="Arial"/>
                <w:color w:val="000000" w:themeColor="text1"/>
                <w:szCs w:val="16"/>
              </w:rPr>
              <w:t>97.00%</w:t>
            </w:r>
          </w:p>
        </w:tc>
        <w:tc>
          <w:tcPr>
            <w:tcW w:w="528" w:type="pct"/>
            <w:shd w:val="clear" w:color="auto" w:fill="auto"/>
            <w:vAlign w:val="center"/>
          </w:tcPr>
          <w:p w14:paraId="3EC9700C" w14:textId="27692569" w:rsidR="00650CF7" w:rsidRPr="00ED172B" w:rsidRDefault="00860830" w:rsidP="00694144">
            <w:pPr>
              <w:jc w:val="center"/>
              <w:rPr>
                <w:color w:val="000000" w:themeColor="text1"/>
                <w:szCs w:val="16"/>
              </w:rPr>
            </w:pPr>
            <w:r w:rsidRPr="00ED172B">
              <w:rPr>
                <w:rFonts w:cs="Arial"/>
                <w:color w:val="000000" w:themeColor="text1"/>
                <w:szCs w:val="16"/>
              </w:rPr>
              <w:t>98.86%</w:t>
            </w:r>
          </w:p>
        </w:tc>
        <w:tc>
          <w:tcPr>
            <w:tcW w:w="669" w:type="pct"/>
            <w:shd w:val="clear" w:color="auto" w:fill="auto"/>
            <w:vAlign w:val="center"/>
          </w:tcPr>
          <w:p w14:paraId="50DC4650" w14:textId="13CA2BE4" w:rsidR="00650CF7" w:rsidRPr="00ED172B" w:rsidRDefault="002F5A9E" w:rsidP="00027F39">
            <w:pPr>
              <w:jc w:val="center"/>
              <w:rPr>
                <w:color w:val="000000" w:themeColor="text1"/>
              </w:rPr>
            </w:pPr>
            <w:r w:rsidRPr="00ED172B">
              <w:rPr>
                <w:color w:val="000000" w:themeColor="text1"/>
              </w:rPr>
              <w:t>Met target</w:t>
            </w:r>
          </w:p>
        </w:tc>
        <w:tc>
          <w:tcPr>
            <w:tcW w:w="648" w:type="pct"/>
            <w:shd w:val="clear" w:color="auto" w:fill="auto"/>
            <w:vAlign w:val="center"/>
          </w:tcPr>
          <w:p w14:paraId="2D824F9E" w14:textId="714F97F8" w:rsidR="00650CF7" w:rsidRPr="00ED172B" w:rsidRDefault="002F5A9E" w:rsidP="00027F39">
            <w:pPr>
              <w:jc w:val="center"/>
              <w:rPr>
                <w:color w:val="000000" w:themeColor="text1"/>
              </w:rPr>
            </w:pPr>
            <w:r w:rsidRPr="00ED172B">
              <w:rPr>
                <w:color w:val="000000" w:themeColor="text1"/>
              </w:rPr>
              <w:t>No Slippage</w:t>
            </w:r>
          </w:p>
        </w:tc>
      </w:tr>
    </w:tbl>
    <w:p w14:paraId="34E598B5" w14:textId="0DFDF6A9" w:rsidR="003A3693" w:rsidRPr="00ED172B" w:rsidRDefault="003A3693" w:rsidP="003A3693">
      <w:pPr>
        <w:rPr>
          <w:rFonts w:cs="Arial"/>
          <w:b/>
          <w:color w:val="000000" w:themeColor="text1"/>
          <w:szCs w:val="16"/>
        </w:rPr>
      </w:pPr>
      <w:bookmarkStart w:id="11" w:name="_Toc382082359"/>
      <w:bookmarkStart w:id="12" w:name="_Toc392159266"/>
      <w:bookmarkStart w:id="13" w:name="_Toc365403651"/>
      <w:bookmarkEnd w:id="10"/>
      <w:r w:rsidRPr="00ED172B">
        <w:rPr>
          <w:rFonts w:cs="Arial"/>
          <w:b/>
          <w:color w:val="000000" w:themeColor="text1"/>
          <w:szCs w:val="16"/>
        </w:rPr>
        <w:t>Provide additional information about this indicator (optional).</w:t>
      </w:r>
    </w:p>
    <w:p w14:paraId="67203ABB" w14:textId="34BF3061" w:rsidR="003A3693" w:rsidRPr="00ED172B" w:rsidRDefault="003A3693" w:rsidP="003A3693">
      <w:pPr>
        <w:rPr>
          <w:rFonts w:cs="Arial"/>
          <w:color w:val="000000" w:themeColor="text1"/>
          <w:szCs w:val="16"/>
        </w:rPr>
      </w:pPr>
    </w:p>
    <w:p w14:paraId="1F801FF4" w14:textId="35B46122" w:rsidR="00DC0682" w:rsidRPr="00A40EE1" w:rsidRDefault="000D0117" w:rsidP="005C3FFD">
      <w:pPr>
        <w:pStyle w:val="Heading2"/>
      </w:pPr>
      <w:r w:rsidRPr="00A40EE1">
        <w:t xml:space="preserve">2 - </w:t>
      </w:r>
      <w:r w:rsidR="00DC0682" w:rsidRPr="00A40EE1">
        <w:t>Prior FFY Required Actions</w:t>
      </w:r>
    </w:p>
    <w:p w14:paraId="127F5C56" w14:textId="4FCFDE78" w:rsidR="004C1CEE" w:rsidRPr="00ED172B" w:rsidRDefault="002F5A9E" w:rsidP="00DC0682">
      <w:pPr>
        <w:rPr>
          <w:rFonts w:cs="Arial"/>
          <w:color w:val="000000" w:themeColor="text1"/>
          <w:szCs w:val="16"/>
        </w:rPr>
      </w:pPr>
      <w:r w:rsidRPr="00ED172B">
        <w:rPr>
          <w:color w:val="000000" w:themeColor="text1"/>
        </w:rPr>
        <w:t>None</w:t>
      </w:r>
    </w:p>
    <w:p w14:paraId="7C49F614" w14:textId="3891505A" w:rsidR="00DC0682" w:rsidRPr="00A40EE1" w:rsidRDefault="000D0117" w:rsidP="005C3FFD">
      <w:pPr>
        <w:pStyle w:val="Heading2"/>
      </w:pPr>
      <w:r w:rsidRPr="00A40EE1">
        <w:t xml:space="preserve">2 - </w:t>
      </w:r>
      <w:r w:rsidR="00DC0682" w:rsidRPr="00A40EE1">
        <w:t>OSEP Response</w:t>
      </w:r>
    </w:p>
    <w:p w14:paraId="3C724ABD" w14:textId="240B5FAA" w:rsidR="00DC0682" w:rsidRPr="00ED172B" w:rsidRDefault="002F5A9E" w:rsidP="002F5A9E">
      <w:pPr>
        <w:rPr>
          <w:color w:val="000000" w:themeColor="text1"/>
        </w:rPr>
      </w:pPr>
      <w:r w:rsidRPr="00ED172B">
        <w:rPr>
          <w:color w:val="000000" w:themeColor="text1"/>
        </w:rPr>
        <w:t xml:space="preserve">The State provided targets for FFYs 2020 through 2025 for this indicator, and OSEP accepts those targets. </w:t>
      </w:r>
    </w:p>
    <w:p w14:paraId="07A9F6AD" w14:textId="269C71A0" w:rsidR="00DC0682" w:rsidRPr="00A40EE1" w:rsidRDefault="000D0117" w:rsidP="005C3FFD">
      <w:pPr>
        <w:pStyle w:val="Heading2"/>
      </w:pPr>
      <w:r w:rsidRPr="00A40EE1">
        <w:t xml:space="preserve">2 - </w:t>
      </w:r>
      <w:r w:rsidR="00DC0682" w:rsidRPr="00A40EE1">
        <w:t>Required Actions</w:t>
      </w:r>
    </w:p>
    <w:p w14:paraId="1E68FF4D" w14:textId="53301172" w:rsidR="00DC0682" w:rsidRPr="00ED172B" w:rsidRDefault="00DC0682" w:rsidP="002F5A9E">
      <w:pPr>
        <w:rPr>
          <w:color w:val="000000" w:themeColor="text1"/>
        </w:rPr>
      </w:pPr>
    </w:p>
    <w:p w14:paraId="08C95D8D"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A74FD4B" w14:textId="7206C53B"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1"/>
      <w:bookmarkEnd w:id="12"/>
      <w:r w:rsidR="005F4279" w:rsidRPr="00ED172B">
        <w:rPr>
          <w:color w:val="000000" w:themeColor="text1"/>
        </w:rPr>
        <w:t>3: Early Childhood Outcomes</w:t>
      </w:r>
    </w:p>
    <w:p w14:paraId="6C56BCF0" w14:textId="77777777" w:rsidR="000C5918" w:rsidRPr="00ED172B" w:rsidRDefault="000C5918" w:rsidP="00186420">
      <w:pPr>
        <w:rPr>
          <w:color w:val="000000" w:themeColor="text1"/>
          <w:szCs w:val="20"/>
        </w:rPr>
      </w:pPr>
      <w:bookmarkStart w:id="14" w:name="_Toc392159267"/>
      <w:r w:rsidRPr="00ED172B">
        <w:rPr>
          <w:b/>
          <w:color w:val="000000" w:themeColor="text1"/>
          <w:sz w:val="20"/>
          <w:szCs w:val="20"/>
        </w:rPr>
        <w:t>Instructions and Measurement</w:t>
      </w:r>
    </w:p>
    <w:p w14:paraId="6525FF69"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7DC43ED3"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6CAB2321" w14:textId="2DB2028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14:paraId="7C6F9A34" w14:textId="4B08B8E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607BA869" w14:textId="484FD2C0"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02F8B72A"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2207A350" w14:textId="77777777" w:rsidR="00F83F88" w:rsidRPr="00ED172B" w:rsidRDefault="00F83F88">
      <w:pPr>
        <w:rPr>
          <w:b/>
          <w:color w:val="000000" w:themeColor="text1"/>
        </w:rPr>
      </w:pPr>
      <w:r w:rsidRPr="00ED172B">
        <w:rPr>
          <w:b/>
          <w:color w:val="000000" w:themeColor="text1"/>
        </w:rPr>
        <w:t>Data Source</w:t>
      </w:r>
    </w:p>
    <w:p w14:paraId="156A0C7D" w14:textId="5C588A7F"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206DD9A6" w14:textId="77777777" w:rsidR="00F83F88" w:rsidRPr="00ED172B" w:rsidRDefault="00F83F88">
      <w:pPr>
        <w:rPr>
          <w:b/>
          <w:color w:val="000000" w:themeColor="text1"/>
        </w:rPr>
      </w:pPr>
      <w:r w:rsidRPr="00ED172B">
        <w:rPr>
          <w:b/>
          <w:color w:val="000000" w:themeColor="text1"/>
        </w:rPr>
        <w:t>Measurement</w:t>
      </w:r>
    </w:p>
    <w:p w14:paraId="02CDD99A"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2E218DAA" w14:textId="6183F4B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
    <w:p w14:paraId="584471E2" w14:textId="1E4F211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54D1C25B" w14:textId="5CB438D4"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0E19F7BA"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01E3EFA9" w14:textId="4705CE46" w:rsidR="00F83F88" w:rsidRPr="00ED172B" w:rsidRDefault="007F55E8" w:rsidP="00ED172B">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14:paraId="7887E639" w14:textId="17325666" w:rsidR="00F83F88" w:rsidRPr="00ED172B" w:rsidRDefault="007F55E8" w:rsidP="00ED172B">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14:paraId="5BA9195E" w14:textId="4B83F5C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0D9D3767" w14:textId="0A74AD9F" w:rsidR="00F83F88" w:rsidRPr="00ED172B" w:rsidRDefault="007F55E8" w:rsidP="00ED172B">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14:paraId="4F6F4FE8" w14:textId="718C9D87" w:rsidR="00F83F88" w:rsidRPr="00ED172B" w:rsidRDefault="007F55E8" w:rsidP="00ED172B">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14:paraId="7C594667"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07EED66E"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14:paraId="70A4FAEC"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043B1C1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6AB11E47"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14:paraId="27E38307"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5E26795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14:paraId="25A641FB" w14:textId="77777777" w:rsidR="00F83F88" w:rsidRPr="00ED172B" w:rsidRDefault="00F83F88">
      <w:pPr>
        <w:rPr>
          <w:b/>
          <w:color w:val="000000" w:themeColor="text1"/>
        </w:rPr>
      </w:pPr>
      <w:r w:rsidRPr="00ED172B">
        <w:rPr>
          <w:b/>
          <w:color w:val="000000" w:themeColor="text1"/>
        </w:rPr>
        <w:t>Instructions</w:t>
      </w:r>
    </w:p>
    <w:p w14:paraId="7EEB2122"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1D631ACD"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7E07F147"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1321EF76" w14:textId="7EEF9F28"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17EC3DAA" w14:textId="77777777" w:rsidR="00F83F88" w:rsidRPr="00ED172B" w:rsidRDefault="00F83F88" w:rsidP="004A4483">
      <w:pPr>
        <w:rPr>
          <w:color w:val="000000" w:themeColor="text1"/>
          <w:szCs w:val="16"/>
        </w:rPr>
      </w:pPr>
      <w:r w:rsidRPr="00ED172B">
        <w:rPr>
          <w:color w:val="000000" w:themeColor="text1"/>
          <w:szCs w:val="16"/>
        </w:rPr>
        <w:t>Report progress data and calculate Summary Statements to compare against the six targets. Provide the actual numbers and percentages for the five reporting categories for each of the three outcomes.</w:t>
      </w:r>
    </w:p>
    <w:p w14:paraId="5D065449"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56DC50D5"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7420D0BF" w14:textId="285FA580" w:rsidR="00F83F88" w:rsidRPr="00ED172B" w:rsidRDefault="00F83F88" w:rsidP="004A4483">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14:paraId="3F1A9F00" w14:textId="6E8EB8B7" w:rsidR="00833727" w:rsidRPr="00A40EE1" w:rsidRDefault="000D0117" w:rsidP="005C3FFD">
      <w:pPr>
        <w:pStyle w:val="Heading2"/>
      </w:pPr>
      <w:r w:rsidRPr="00A40EE1">
        <w:lastRenderedPageBreak/>
        <w:t xml:space="preserve">3 - </w:t>
      </w:r>
      <w:r w:rsidR="004A4483" w:rsidRPr="00A40EE1">
        <w:t>Indicator Data</w:t>
      </w:r>
      <w:bookmarkEnd w:id="14"/>
    </w:p>
    <w:p w14:paraId="4F24CCB1" w14:textId="0C4D54E3" w:rsidR="00363AAB" w:rsidRPr="00ED172B" w:rsidRDefault="00363AAB" w:rsidP="00186420">
      <w:pPr>
        <w:rPr>
          <w:b/>
          <w:color w:val="000000" w:themeColor="text1"/>
        </w:rPr>
      </w:pPr>
      <w:bookmarkStart w:id="15" w:name="_Toc392159268"/>
      <w:r w:rsidRPr="00ED172B">
        <w:rPr>
          <w:b/>
          <w:color w:val="000000" w:themeColor="text1"/>
        </w:rPr>
        <w:t>Does your State's Part C eligibility criteria include infants and toddlers who are at risk of having substantial developmental delays (or “at-risk infants and toddlers”) under IDEA section 632(5)(B)(i)? (yes/no)</w:t>
      </w:r>
    </w:p>
    <w:p w14:paraId="6E42FBC3" w14:textId="45672C6E" w:rsidR="00363AAB" w:rsidRPr="00ED172B" w:rsidRDefault="00363AAB">
      <w:pPr>
        <w:rPr>
          <w:color w:val="000000" w:themeColor="text1"/>
        </w:rPr>
      </w:pPr>
      <w:r w:rsidRPr="00ED172B">
        <w:rPr>
          <w:color w:val="000000" w:themeColor="text1"/>
        </w:rPr>
        <w:t>YES</w:t>
      </w:r>
    </w:p>
    <w:p w14:paraId="1A3E318B" w14:textId="77777777" w:rsidR="00F32724" w:rsidRPr="00ED172B" w:rsidRDefault="00F32724" w:rsidP="00F32724">
      <w:pPr>
        <w:rPr>
          <w:b/>
          <w:color w:val="000000" w:themeColor="text1"/>
        </w:rPr>
      </w:pPr>
    </w:p>
    <w:p w14:paraId="4AA49CFE" w14:textId="159CB7D7" w:rsidR="00F32724" w:rsidRDefault="00F32724" w:rsidP="00F32724">
      <w:pPr>
        <w:rPr>
          <w:b/>
          <w:color w:val="000000" w:themeColor="text1"/>
        </w:rPr>
      </w:pPr>
      <w:r w:rsidRPr="00ED172B">
        <w:rPr>
          <w:b/>
          <w:color w:val="000000" w:themeColor="text1"/>
        </w:rPr>
        <w:t xml:space="preserve">Targets: Description of Stakeholder Input </w:t>
      </w:r>
    </w:p>
    <w:p w14:paraId="28278A5A" w14:textId="77CA1927" w:rsidR="00F32724" w:rsidRDefault="00CF03E0" w:rsidP="00CF03E0">
      <w:pPr>
        <w:rPr>
          <w:color w:val="000000" w:themeColor="text1"/>
        </w:rPr>
      </w:pPr>
      <w:r w:rsidRPr="00ED172B">
        <w:rPr>
          <w:color w:val="000000" w:themeColor="text1"/>
        </w:rPr>
        <w:t>The State Interagency Coordinating Council (ICC) serves as the primary stakeholder body for MA-C. ICC provides feedback to develop state targets, identify areas of need, and help recommend additional data analysis to improve MA-C performance. The ICC is comprised of 41 appointed members with variation in level of experience, discipline, role, geographic location across the Commonwealth, and race/ethnicity. Additionally, the ICC meetings are made available to the public and agendas and meeting links are published on MA-C's website and advertised through by the Parent Training and Information Center.</w:t>
      </w:r>
    </w:p>
    <w:p w14:paraId="4E7E8330" w14:textId="749679DB" w:rsidR="004C1CEE" w:rsidRPr="00ED172B" w:rsidRDefault="00F32724" w:rsidP="00F32724">
      <w:pPr>
        <w:rPr>
          <w:color w:val="000000" w:themeColor="text1"/>
        </w:rPr>
      </w:pPr>
      <w:r w:rsidRPr="00ED172B">
        <w:rPr>
          <w:rFonts w:cs="Arial"/>
          <w:color w:val="000000" w:themeColor="text1"/>
          <w:szCs w:val="16"/>
        </w:rPr>
        <w:t>A special survey was developed in June 2021 to review the targets for Indicators 3 and 4 with stakeholders. This meeting was held in light of the ongoing COVID-19 pandemic and the public health measures necessitated. The purpose of the meeting was to review the FFY20 and FFY21 targets in light of the realities of delivering early intervention services in a pandemic. The stakeholders encouraged MA-C to continue to strive for the provision of high-quality early intervention services and retain the targets as they had previously been set.</w:t>
      </w:r>
      <w:r w:rsidRPr="00ED172B">
        <w:rPr>
          <w:rFonts w:cs="Arial"/>
          <w:color w:val="000000" w:themeColor="text1"/>
          <w:szCs w:val="16"/>
        </w:rPr>
        <w:br/>
      </w:r>
      <w:r w:rsidRPr="00ED172B">
        <w:rPr>
          <w:rFonts w:cs="Arial"/>
          <w:color w:val="000000" w:themeColor="text1"/>
          <w:szCs w:val="16"/>
        </w:rPr>
        <w:br/>
        <w:t xml:space="preserve">Target setting for Indicator 3 for the remaining FFYs took place during an ICC meeting. The Part C Coordinator presented data on MA-C's performance on indicator 3 for the past five FFYs relative to the targets, answered questions about the data, and then solicited recommendations from the attendees. </w:t>
      </w:r>
      <w:r w:rsidRPr="00ED172B">
        <w:rPr>
          <w:rFonts w:cs="Arial"/>
          <w:color w:val="000000" w:themeColor="text1"/>
          <w:szCs w:val="16"/>
        </w:rPr>
        <w:br/>
      </w:r>
      <w:r w:rsidRPr="00ED172B">
        <w:rPr>
          <w:rFonts w:cs="Arial"/>
          <w:color w:val="000000" w:themeColor="text1"/>
          <w:szCs w:val="16"/>
        </w:rPr>
        <w:br/>
        <w:t xml:space="preserve">For Indicator 3A1, 20 attendees responded (12 providers, three parent members, and five representatives from other state agencies). Four state agency representatives, including one MA-C employee, recommended that targets be set higher than previous for all or some of the next five FFYs. One recommended the target be maintained at 57% and slowly increased to 57.2% over the next five FFYs. Others recommended targets be initially lowered to 85% and increased to a higher than previously set target over the next five FFYs. Parent members recommended that targets be increased to at least 57.4% and either maintained or slowly increased over the next three FFYs. One provider recommended no change to the target over the next five FFYs. Five of the provider members recommended the target be increased as high as 57.4% across the five years. Five provider members recommended the targets all be set higher for some or all of the next five FFYs. </w:t>
      </w:r>
      <w:r w:rsidRPr="00ED172B">
        <w:rPr>
          <w:rFonts w:cs="Arial"/>
          <w:color w:val="000000" w:themeColor="text1"/>
          <w:szCs w:val="16"/>
        </w:rPr>
        <w:br/>
      </w:r>
      <w:r w:rsidRPr="00ED172B">
        <w:rPr>
          <w:rFonts w:cs="Arial"/>
          <w:color w:val="000000" w:themeColor="text1"/>
          <w:szCs w:val="16"/>
        </w:rPr>
        <w:br/>
        <w:t>For Indicator 3A2, 20 attendees responded (12 providers, three parent members, and five representatives from other state agencies). State agency representatives, including one MA-C employee, recommended that targets be maintained or lowered in FFY22 and slowly increased until FFY25. Two parent members encouraged MA-C to increase the target significantly over the current level. Others recommended starting at 71.4% and increasing to 71.5% over the next five FFYs. Five of the provider members recommended the target be increased to something significantly higher than its current level, either for all five FFYs or the final three. Two providers recommended recommended the target be lowered to 71.1% and be maintained there for the next five FFYs. Others recommended targets be lowered and increase to a max of 71.5% by 2025. One provider member recommended something higher for each of the years.</w:t>
      </w:r>
      <w:r w:rsidRPr="00ED172B">
        <w:rPr>
          <w:rFonts w:cs="Arial"/>
          <w:color w:val="000000" w:themeColor="text1"/>
          <w:szCs w:val="16"/>
        </w:rPr>
        <w:br/>
      </w:r>
      <w:r w:rsidRPr="00ED172B">
        <w:rPr>
          <w:rFonts w:cs="Arial"/>
          <w:color w:val="000000" w:themeColor="text1"/>
          <w:szCs w:val="16"/>
        </w:rPr>
        <w:br/>
        <w:t xml:space="preserve">For Indicator 3B1, 11 attendees responded (three providers, three parent members, and five representatives from other state agencies). Four state agency representatives, including one MA-C employee, recommended that targets be increased over time to at least 88.4%, with two representative encouraging a number significantly higher. One state agency representative recommended no change over time (i.e., 88% thorough FFY25). Two parent representative set higher than previous for all or some of the next five FFYs; the other recommended that the target be maintained at 88% and increase slightly over the next five FFYs. One provider recommended no change to the target over the next five FFYs. The other two recommended maintaining 88% and increasing to 88.10% over the next five FFYs. </w:t>
      </w:r>
      <w:r w:rsidRPr="00ED172B">
        <w:rPr>
          <w:rFonts w:cs="Arial"/>
          <w:color w:val="000000" w:themeColor="text1"/>
          <w:szCs w:val="16"/>
        </w:rPr>
        <w:br/>
      </w:r>
      <w:r w:rsidRPr="00ED172B">
        <w:rPr>
          <w:rFonts w:cs="Arial"/>
          <w:color w:val="000000" w:themeColor="text1"/>
          <w:szCs w:val="16"/>
        </w:rPr>
        <w:br/>
        <w:t>For Indicator 3B2, 14 attendees responded (seven providers, three parent members, and four representatives from other state agencies). Three state agency representatives, including one MA-C employee, recommended that targets be set at 95% with slow increases to 95.3% in FFY25. One recommended no change to the target over the next five FFYs; one recommended all targets be established at significantly higher levels. Two parent representative set higher than previous for all or some of the next five FFYs; the other recommended that the target be maintained at 52% and increase slightly over the next five FFYs to 52.4%. Two providers recommended no change to the target over the next five FFYs. All others recommended beginning at 52.5% and increasing over time to 52.2% or a significantly higher number by FFY25.</w:t>
      </w:r>
      <w:r w:rsidRPr="00ED172B">
        <w:rPr>
          <w:rFonts w:cs="Arial"/>
          <w:color w:val="000000" w:themeColor="text1"/>
          <w:szCs w:val="16"/>
        </w:rPr>
        <w:br/>
      </w:r>
      <w:r w:rsidRPr="00ED172B">
        <w:rPr>
          <w:rFonts w:cs="Arial"/>
          <w:color w:val="000000" w:themeColor="text1"/>
          <w:szCs w:val="16"/>
        </w:rPr>
        <w:br/>
        <w:t>For Indicator 3C1, 14 attendees responded (six providers, three parent members, and five representatives from other state agencies). Three state agency representatives, including one MA-C employee, recommended that targets be either slowly increased to a max of 95.4% in FFY25. One state agency representative recommended no changes; another recommended the targets be set significantly higher than current levels. All three parent representatives recommended increasing to 95.4% by FFY25. Four providers recommended no change to the target over the next five FFYs (i.e., maintain at 95%). Two providers recommended increasing to 95.4% by FFY25.</w:t>
      </w:r>
      <w:r w:rsidRPr="00ED172B">
        <w:rPr>
          <w:rFonts w:cs="Arial"/>
          <w:color w:val="000000" w:themeColor="text1"/>
          <w:szCs w:val="16"/>
        </w:rPr>
        <w:br/>
      </w:r>
      <w:r w:rsidRPr="00ED172B">
        <w:rPr>
          <w:rFonts w:cs="Arial"/>
          <w:color w:val="000000" w:themeColor="text1"/>
          <w:szCs w:val="16"/>
        </w:rPr>
        <w:br/>
        <w:t xml:space="preserve">For Indicator 3C2, 12 attendees responded (six providers, two parent members, and four representatives from other state agencies). Three state agency representatives recommended reducing the target in FFY21 and increasing over time to 74% in FFY25. One state agency representative, a MA-C employee, recommended that targets be either slowly increased to a max of 74.3% in FFY25. Parent representatives recommended increasing to 74.3% by FFY25. Three providers recommended the targets be reduced to 73.9% and either maintained or increased to a max of 74% by FFY25. Two providers recommended targets be established at significantly higher levels beginning in FFY22. </w:t>
      </w:r>
      <w:r w:rsidRPr="00ED172B">
        <w:rPr>
          <w:rFonts w:cs="Arial"/>
          <w:color w:val="000000" w:themeColor="text1"/>
          <w:szCs w:val="16"/>
        </w:rPr>
        <w:br/>
      </w:r>
      <w:r w:rsidRPr="00ED172B">
        <w:rPr>
          <w:rFonts w:cs="Arial"/>
          <w:color w:val="000000" w:themeColor="text1"/>
          <w:szCs w:val="16"/>
        </w:rPr>
        <w:br/>
        <w:t>Results of target setting responses demonstrate stunning variation in the perspectives and recommendations of different groups of stakeholders. As Part C services place the child and family in the center of every conversation, MA-C has weighted recommendations from its ICC Parent members more heavily than others. For this reason, MA-C has established targets that continue to show improvement over baseline and will seek to implement improvement strategies in the next FFY before proposing lowering its targets. MA-C does acknowledge that its baseline was established nearly 10 years ago and may warrant a reset in an upcoming FFY.</w:t>
      </w:r>
    </w:p>
    <w:p w14:paraId="5DC9CE62" w14:textId="77777777" w:rsidR="00006354" w:rsidRPr="00ED172B" w:rsidRDefault="001D7F3B" w:rsidP="00B83404">
      <w:pPr>
        <w:rPr>
          <w:b/>
          <w:color w:val="000000" w:themeColor="text1"/>
        </w:rPr>
      </w:pPr>
      <w:r w:rsidRPr="00ED172B">
        <w:rPr>
          <w:b/>
          <w:color w:val="000000" w:themeColor="text1"/>
        </w:rPr>
        <w:t xml:space="preserve">Will your separate report be just the at-risk infants and toddlers or aggregated performance data on all of the infants and toddlers it serves under Part C? </w:t>
      </w:r>
    </w:p>
    <w:p w14:paraId="41243B5C" w14:textId="3ADA24FD" w:rsidR="00834FB7" w:rsidRPr="00ED172B" w:rsidRDefault="001D7F3B" w:rsidP="00B83404">
      <w:pPr>
        <w:rPr>
          <w:color w:val="000000" w:themeColor="text1"/>
        </w:rPr>
      </w:pPr>
      <w:r w:rsidRPr="00ED172B">
        <w:rPr>
          <w:color w:val="000000" w:themeColor="text1"/>
        </w:rPr>
        <w:t>At-risk infants and toddlers</w:t>
      </w:r>
    </w:p>
    <w:p w14:paraId="681B93F5" w14:textId="65621B11" w:rsidR="009000CE" w:rsidRPr="00ED172B" w:rsidRDefault="009000CE">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C03HISTDATA2"/>
      </w:tblPr>
      <w:tblGrid>
        <w:gridCol w:w="989"/>
        <w:gridCol w:w="988"/>
        <w:gridCol w:w="988"/>
        <w:gridCol w:w="1565"/>
        <w:gridCol w:w="1565"/>
        <w:gridCol w:w="1565"/>
        <w:gridCol w:w="1565"/>
        <w:gridCol w:w="1565"/>
      </w:tblGrid>
      <w:tr w:rsidR="00ED172B" w:rsidRPr="00ED172B" w14:paraId="0C88ABEB" w14:textId="2303324E" w:rsidTr="00A40EE1">
        <w:trPr>
          <w:trHeight w:val="397"/>
        </w:trPr>
        <w:tc>
          <w:tcPr>
            <w:tcW w:w="458" w:type="pct"/>
            <w:tcBorders>
              <w:top w:val="single" w:sz="4" w:space="0" w:color="auto"/>
              <w:left w:val="single" w:sz="4" w:space="0" w:color="auto"/>
              <w:bottom w:val="single" w:sz="4" w:space="0" w:color="auto"/>
              <w:right w:val="single" w:sz="4" w:space="0" w:color="auto"/>
            </w:tcBorders>
            <w:shd w:val="clear" w:color="auto" w:fill="auto"/>
            <w:vAlign w:val="bottom"/>
          </w:tcPr>
          <w:p w14:paraId="653CD1ED" w14:textId="0926D04A" w:rsidR="00037032" w:rsidRPr="00ED172B" w:rsidRDefault="00017FA6" w:rsidP="00037032">
            <w:pPr>
              <w:jc w:val="center"/>
              <w:rPr>
                <w:rFonts w:cs="Arial"/>
                <w:b/>
                <w:color w:val="000000" w:themeColor="text1"/>
                <w:szCs w:val="16"/>
              </w:rPr>
            </w:pPr>
            <w:r>
              <w:rPr>
                <w:rFonts w:cs="Arial"/>
                <w:b/>
                <w:color w:val="000000" w:themeColor="text1"/>
                <w:szCs w:val="16"/>
              </w:rPr>
              <w:lastRenderedPageBreak/>
              <w:t>Outcome</w:t>
            </w:r>
          </w:p>
        </w:tc>
        <w:tc>
          <w:tcPr>
            <w:tcW w:w="458" w:type="pct"/>
            <w:tcBorders>
              <w:top w:val="single" w:sz="4" w:space="0" w:color="auto"/>
              <w:left w:val="single" w:sz="4" w:space="0" w:color="auto"/>
              <w:bottom w:val="single" w:sz="4" w:space="0" w:color="auto"/>
              <w:right w:val="single" w:sz="4" w:space="0" w:color="auto"/>
            </w:tcBorders>
            <w:shd w:val="clear" w:color="auto" w:fill="auto"/>
            <w:vAlign w:val="bottom"/>
          </w:tcPr>
          <w:p w14:paraId="1AD8ADFF" w14:textId="68521B3C" w:rsidR="00037032" w:rsidRPr="00ED172B" w:rsidRDefault="00037032" w:rsidP="00037032">
            <w:pPr>
              <w:jc w:val="center"/>
              <w:rPr>
                <w:rFonts w:cs="Arial"/>
                <w:b/>
                <w:color w:val="000000" w:themeColor="text1"/>
                <w:szCs w:val="16"/>
              </w:rPr>
            </w:pPr>
            <w:r w:rsidRPr="00ED172B">
              <w:rPr>
                <w:rFonts w:cs="Arial"/>
                <w:b/>
                <w:color w:val="000000" w:themeColor="text1"/>
                <w:szCs w:val="16"/>
              </w:rPr>
              <w:t xml:space="preserve">Baseline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bottom"/>
          </w:tcPr>
          <w:p w14:paraId="7A0F20E5" w14:textId="5135DFD4" w:rsidR="00037032" w:rsidRPr="00ED172B" w:rsidRDefault="00037032" w:rsidP="00037032">
            <w:pPr>
              <w:jc w:val="center"/>
              <w:rPr>
                <w:rFonts w:cs="Arial"/>
                <w:b/>
                <w:color w:val="000000" w:themeColor="text1"/>
                <w:szCs w:val="16"/>
              </w:rPr>
            </w:pPr>
            <w:r w:rsidRPr="00ED172B">
              <w:rPr>
                <w:rFonts w:cs="Arial"/>
                <w:b/>
                <w:color w:val="000000" w:themeColor="text1"/>
                <w:szCs w:val="16"/>
              </w:rPr>
              <w:t>FFY</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84D3CE9" w14:textId="3598135C" w:rsidR="00037032" w:rsidRPr="00ED172B" w:rsidRDefault="002163F2" w:rsidP="00037032">
            <w:pPr>
              <w:jc w:val="center"/>
              <w:rPr>
                <w:rFonts w:cs="Arial"/>
                <w:b/>
                <w:color w:val="000000" w:themeColor="text1"/>
                <w:szCs w:val="16"/>
              </w:rPr>
            </w:pPr>
            <w:r w:rsidRPr="00ED172B">
              <w:rPr>
                <w:rFonts w:cs="Arial"/>
                <w:b/>
                <w:color w:val="000000" w:themeColor="text1"/>
                <w:szCs w:val="16"/>
              </w:rPr>
              <w:t>2015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626A3E4" w14:textId="6E9D093F" w:rsidR="00037032" w:rsidRPr="00ED172B" w:rsidRDefault="002163F2" w:rsidP="00037032">
            <w:pPr>
              <w:jc w:val="center"/>
              <w:rPr>
                <w:rFonts w:cs="Arial"/>
                <w:b/>
                <w:color w:val="000000" w:themeColor="text1"/>
                <w:szCs w:val="16"/>
              </w:rPr>
            </w:pPr>
            <w:r w:rsidRPr="00ED172B">
              <w:rPr>
                <w:rFonts w:cs="Arial"/>
                <w:b/>
                <w:color w:val="000000" w:themeColor="text1"/>
                <w:szCs w:val="16"/>
              </w:rPr>
              <w:t>2016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36A3539" w14:textId="2900568C" w:rsidR="00037032" w:rsidRPr="00ED172B" w:rsidRDefault="002163F2" w:rsidP="00037032">
            <w:pPr>
              <w:jc w:val="center"/>
              <w:rPr>
                <w:rFonts w:cs="Arial"/>
                <w:b/>
                <w:color w:val="000000" w:themeColor="text1"/>
                <w:szCs w:val="16"/>
              </w:rPr>
            </w:pPr>
            <w:r w:rsidRPr="00ED172B">
              <w:rPr>
                <w:rFonts w:cs="Arial"/>
                <w:b/>
                <w:color w:val="000000" w:themeColor="text1"/>
                <w:szCs w:val="16"/>
              </w:rPr>
              <w:t>2017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F8C3CF2" w14:textId="6601E720" w:rsidR="00037032" w:rsidRPr="00ED172B" w:rsidRDefault="002163F2" w:rsidP="00037032">
            <w:pPr>
              <w:jc w:val="center"/>
              <w:rPr>
                <w:rFonts w:cs="Arial"/>
                <w:b/>
                <w:color w:val="000000" w:themeColor="text1"/>
                <w:szCs w:val="16"/>
              </w:rPr>
            </w:pPr>
            <w:r w:rsidRPr="00ED172B">
              <w:rPr>
                <w:rFonts w:cs="Arial"/>
                <w:b/>
                <w:color w:val="000000" w:themeColor="text1"/>
                <w:szCs w:val="16"/>
              </w:rPr>
              <w:t>2018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CADA1E4" w14:textId="632CA7F0" w:rsidR="00037032" w:rsidRPr="00ED172B" w:rsidRDefault="006D43D3" w:rsidP="00037032">
            <w:pPr>
              <w:jc w:val="center"/>
              <w:rPr>
                <w:rFonts w:cs="Arial"/>
                <w:b/>
                <w:color w:val="000000" w:themeColor="text1"/>
                <w:szCs w:val="16"/>
              </w:rPr>
            </w:pPr>
            <w:r w:rsidRPr="00ED172B">
              <w:rPr>
                <w:rFonts w:cs="Arial"/>
                <w:b/>
                <w:color w:val="000000" w:themeColor="text1"/>
                <w:szCs w:val="16"/>
              </w:rPr>
              <w:t>2019</w:t>
            </w:r>
          </w:p>
        </w:tc>
      </w:tr>
      <w:tr w:rsidR="00ED172B" w:rsidRPr="00ED172B" w14:paraId="1F9CE60C" w14:textId="3C289393" w:rsidTr="00A40EE1">
        <w:trPr>
          <w:trHeight w:val="70"/>
        </w:trPr>
        <w:tc>
          <w:tcPr>
            <w:tcW w:w="458" w:type="pct"/>
            <w:tcBorders>
              <w:top w:val="single" w:sz="4" w:space="0" w:color="auto"/>
              <w:left w:val="single" w:sz="4" w:space="0" w:color="auto"/>
              <w:right w:val="single" w:sz="4" w:space="0" w:color="auto"/>
            </w:tcBorders>
            <w:shd w:val="clear" w:color="auto" w:fill="auto"/>
            <w:vAlign w:val="center"/>
          </w:tcPr>
          <w:p w14:paraId="72381289" w14:textId="27F60238" w:rsidR="00C97484" w:rsidRPr="00ED172B" w:rsidRDefault="00C97484" w:rsidP="00186420">
            <w:pPr>
              <w:jc w:val="center"/>
              <w:rPr>
                <w:rFonts w:cs="Arial"/>
                <w:b/>
                <w:color w:val="000000" w:themeColor="text1"/>
                <w:szCs w:val="16"/>
              </w:rPr>
            </w:pPr>
            <w:r w:rsidRPr="00ED172B">
              <w:rPr>
                <w:rFonts w:cs="Arial"/>
                <w:b/>
                <w:color w:val="000000" w:themeColor="text1"/>
                <w:szCs w:val="16"/>
              </w:rPr>
              <w:t>A1</w:t>
            </w:r>
          </w:p>
        </w:tc>
        <w:tc>
          <w:tcPr>
            <w:tcW w:w="458" w:type="pct"/>
            <w:tcBorders>
              <w:top w:val="single" w:sz="4" w:space="0" w:color="auto"/>
              <w:left w:val="single" w:sz="4" w:space="0" w:color="auto"/>
              <w:right w:val="single" w:sz="4" w:space="0" w:color="auto"/>
            </w:tcBorders>
            <w:shd w:val="clear" w:color="auto" w:fill="auto"/>
          </w:tcPr>
          <w:p w14:paraId="2B5E531D" w14:textId="6A971A80" w:rsidR="00C97484" w:rsidRPr="00ED172B" w:rsidRDefault="002F5A9E" w:rsidP="00027F39">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70E878B8" w14:textId="433388B1" w:rsidR="00C97484" w:rsidRPr="00ED172B" w:rsidRDefault="00C97484" w:rsidP="00C97484">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AA52B55" w14:textId="2B0FB45C" w:rsidR="00C97484" w:rsidRPr="00ED172B" w:rsidRDefault="00860830" w:rsidP="00186420">
            <w:pPr>
              <w:jc w:val="center"/>
              <w:rPr>
                <w:rFonts w:cs="Arial"/>
                <w:color w:val="000000" w:themeColor="text1"/>
                <w:szCs w:val="16"/>
              </w:rPr>
            </w:pPr>
            <w:r w:rsidRPr="00ED172B">
              <w:rPr>
                <w:rFonts w:cs="Arial"/>
                <w:color w:val="000000" w:themeColor="text1"/>
                <w:szCs w:val="16"/>
              </w:rPr>
              <w:t>56.70%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D7C4E98" w14:textId="148700E5" w:rsidR="00C97484" w:rsidRPr="00ED172B" w:rsidRDefault="00860830" w:rsidP="00186420">
            <w:pPr>
              <w:jc w:val="center"/>
              <w:rPr>
                <w:rFonts w:cs="Arial"/>
                <w:color w:val="000000" w:themeColor="text1"/>
                <w:szCs w:val="16"/>
              </w:rPr>
            </w:pPr>
            <w:r w:rsidRPr="00ED172B">
              <w:rPr>
                <w:rFonts w:cs="Arial"/>
                <w:color w:val="000000" w:themeColor="text1"/>
                <w:szCs w:val="16"/>
              </w:rPr>
              <w:t>56.70%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4DFFA95" w14:textId="1A3A1202" w:rsidR="00C97484" w:rsidRPr="00ED172B" w:rsidRDefault="00860830" w:rsidP="00186420">
            <w:pPr>
              <w:jc w:val="center"/>
              <w:rPr>
                <w:rFonts w:cs="Arial"/>
                <w:color w:val="000000" w:themeColor="text1"/>
                <w:szCs w:val="16"/>
              </w:rPr>
            </w:pPr>
            <w:r w:rsidRPr="00ED172B">
              <w:rPr>
                <w:rFonts w:cs="Arial"/>
                <w:color w:val="000000" w:themeColor="text1"/>
                <w:szCs w:val="16"/>
              </w:rPr>
              <w:t>56.80%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C035168" w14:textId="40D18EC6" w:rsidR="00C97484" w:rsidRPr="00ED172B" w:rsidRDefault="00860830" w:rsidP="00186420">
            <w:pPr>
              <w:jc w:val="center"/>
              <w:rPr>
                <w:rFonts w:cs="Arial"/>
                <w:color w:val="000000" w:themeColor="text1"/>
                <w:szCs w:val="16"/>
              </w:rPr>
            </w:pPr>
            <w:r w:rsidRPr="00ED172B">
              <w:rPr>
                <w:rFonts w:cs="Arial"/>
                <w:color w:val="000000" w:themeColor="text1"/>
                <w:szCs w:val="16"/>
              </w:rPr>
              <w:t>56.90%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BB24FE1" w14:textId="425F16AC" w:rsidR="00C97484" w:rsidRPr="00ED172B" w:rsidRDefault="00860830" w:rsidP="00186420">
            <w:pPr>
              <w:jc w:val="center"/>
              <w:rPr>
                <w:rFonts w:cs="Arial"/>
                <w:color w:val="000000" w:themeColor="text1"/>
                <w:szCs w:val="16"/>
              </w:rPr>
            </w:pPr>
            <w:r w:rsidRPr="00ED172B">
              <w:rPr>
                <w:rFonts w:cs="Arial"/>
                <w:color w:val="000000" w:themeColor="text1"/>
                <w:szCs w:val="16"/>
              </w:rPr>
              <w:t>56.90%</w:t>
            </w:r>
          </w:p>
        </w:tc>
      </w:tr>
      <w:tr w:rsidR="00ED172B" w:rsidRPr="00ED172B" w14:paraId="5D964328" w14:textId="02AF7702" w:rsidTr="00A40EE1">
        <w:trPr>
          <w:trHeight w:val="70"/>
        </w:trPr>
        <w:tc>
          <w:tcPr>
            <w:tcW w:w="458" w:type="pct"/>
            <w:tcBorders>
              <w:left w:val="single" w:sz="4" w:space="0" w:color="auto"/>
              <w:right w:val="single" w:sz="4" w:space="0" w:color="auto"/>
            </w:tcBorders>
            <w:shd w:val="clear" w:color="auto" w:fill="auto"/>
            <w:vAlign w:val="center"/>
          </w:tcPr>
          <w:p w14:paraId="61320B83" w14:textId="58DBCE73" w:rsidR="00C97484"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458" w:type="pct"/>
            <w:tcBorders>
              <w:left w:val="single" w:sz="4" w:space="0" w:color="auto"/>
              <w:right w:val="single" w:sz="4" w:space="0" w:color="auto"/>
            </w:tcBorders>
            <w:shd w:val="clear" w:color="auto" w:fill="auto"/>
          </w:tcPr>
          <w:p w14:paraId="16F7D945" w14:textId="6928B791" w:rsidR="00C97484" w:rsidRPr="00ED172B" w:rsidRDefault="002F5A9E" w:rsidP="00027F39">
            <w:pPr>
              <w:jc w:val="center"/>
              <w:rPr>
                <w:color w:val="000000" w:themeColor="text1"/>
              </w:rPr>
            </w:pPr>
            <w:r w:rsidRPr="00ED172B">
              <w:rPr>
                <w:color w:val="000000" w:themeColor="text1"/>
              </w:rPr>
              <w:t>56.67%</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407B9549" w14:textId="7B3DB5DB" w:rsidR="00C97484" w:rsidRPr="00ED172B" w:rsidRDefault="00C97484" w:rsidP="00C97484">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06538A3" w14:textId="59F83FE5" w:rsidR="00C97484" w:rsidRPr="00ED172B" w:rsidRDefault="00860830" w:rsidP="00186420">
            <w:pPr>
              <w:jc w:val="center"/>
              <w:rPr>
                <w:rFonts w:cs="Arial"/>
                <w:color w:val="000000" w:themeColor="text1"/>
                <w:szCs w:val="16"/>
              </w:rPr>
            </w:pPr>
            <w:r w:rsidRPr="00ED172B">
              <w:rPr>
                <w:rFonts w:cs="Arial"/>
                <w:color w:val="000000" w:themeColor="text1"/>
                <w:szCs w:val="16"/>
              </w:rPr>
              <w:t>55.83%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63A62D0" w14:textId="6B6BA79F" w:rsidR="00C97484" w:rsidRPr="00ED172B" w:rsidRDefault="00860830" w:rsidP="00186420">
            <w:pPr>
              <w:jc w:val="center"/>
              <w:rPr>
                <w:rFonts w:cs="Arial"/>
                <w:color w:val="000000" w:themeColor="text1"/>
                <w:szCs w:val="16"/>
              </w:rPr>
            </w:pPr>
            <w:r w:rsidRPr="00ED172B">
              <w:rPr>
                <w:rFonts w:cs="Arial"/>
                <w:color w:val="000000" w:themeColor="text1"/>
                <w:szCs w:val="16"/>
              </w:rPr>
              <w:t>56.17%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8ED95BD" w14:textId="57C731B8" w:rsidR="00C97484" w:rsidRPr="00ED172B" w:rsidRDefault="00860830" w:rsidP="00186420">
            <w:pPr>
              <w:jc w:val="center"/>
              <w:rPr>
                <w:rFonts w:cs="Arial"/>
                <w:color w:val="000000" w:themeColor="text1"/>
                <w:szCs w:val="16"/>
              </w:rPr>
            </w:pPr>
            <w:r w:rsidRPr="00ED172B">
              <w:rPr>
                <w:rFonts w:cs="Arial"/>
                <w:color w:val="000000" w:themeColor="text1"/>
                <w:szCs w:val="16"/>
              </w:rPr>
              <w:t>55.74%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8D145AF" w14:textId="06283571" w:rsidR="00C97484" w:rsidRPr="00ED172B" w:rsidRDefault="00860830" w:rsidP="00186420">
            <w:pPr>
              <w:jc w:val="center"/>
              <w:rPr>
                <w:rFonts w:cs="Arial"/>
                <w:color w:val="000000" w:themeColor="text1"/>
                <w:szCs w:val="16"/>
              </w:rPr>
            </w:pPr>
            <w:r w:rsidRPr="00ED172B">
              <w:rPr>
                <w:rFonts w:cs="Arial"/>
                <w:color w:val="000000" w:themeColor="text1"/>
                <w:szCs w:val="16"/>
              </w:rPr>
              <w:t>52.81%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0753C67" w14:textId="6D1EC722" w:rsidR="00C97484" w:rsidRPr="00ED172B" w:rsidRDefault="00860830" w:rsidP="00186420">
            <w:pPr>
              <w:jc w:val="center"/>
              <w:rPr>
                <w:rFonts w:cs="Arial"/>
                <w:color w:val="000000" w:themeColor="text1"/>
                <w:szCs w:val="16"/>
              </w:rPr>
            </w:pPr>
            <w:r w:rsidRPr="00ED172B">
              <w:rPr>
                <w:rFonts w:cs="Arial"/>
                <w:color w:val="000000" w:themeColor="text1"/>
                <w:szCs w:val="16"/>
              </w:rPr>
              <w:t>44.80%</w:t>
            </w:r>
          </w:p>
        </w:tc>
      </w:tr>
      <w:tr w:rsidR="00ED172B" w:rsidRPr="00ED172B" w14:paraId="0BA2BA9D" w14:textId="4C9B097F" w:rsidTr="00A40EE1">
        <w:trPr>
          <w:trHeight w:val="70"/>
        </w:trPr>
        <w:tc>
          <w:tcPr>
            <w:tcW w:w="458" w:type="pct"/>
            <w:tcBorders>
              <w:top w:val="single" w:sz="4" w:space="0" w:color="auto"/>
              <w:left w:val="single" w:sz="4" w:space="0" w:color="auto"/>
              <w:right w:val="single" w:sz="4" w:space="0" w:color="auto"/>
            </w:tcBorders>
            <w:shd w:val="clear" w:color="auto" w:fill="auto"/>
            <w:vAlign w:val="center"/>
          </w:tcPr>
          <w:p w14:paraId="689B4B04" w14:textId="22350DFC" w:rsidR="00456D75" w:rsidRPr="00ED172B" w:rsidRDefault="008B3D40" w:rsidP="00186420">
            <w:pPr>
              <w:jc w:val="center"/>
              <w:rPr>
                <w:rFonts w:cs="Arial"/>
                <w:b/>
                <w:color w:val="000000" w:themeColor="text1"/>
                <w:szCs w:val="16"/>
              </w:rPr>
            </w:pPr>
            <w:r w:rsidRPr="00ED172B">
              <w:rPr>
                <w:rFonts w:cs="Arial"/>
                <w:b/>
                <w:color w:val="000000" w:themeColor="text1"/>
                <w:szCs w:val="16"/>
              </w:rPr>
              <w:t>A1 AR</w:t>
            </w:r>
          </w:p>
        </w:tc>
        <w:tc>
          <w:tcPr>
            <w:tcW w:w="458" w:type="pct"/>
            <w:tcBorders>
              <w:top w:val="single" w:sz="4" w:space="0" w:color="auto"/>
              <w:left w:val="single" w:sz="4" w:space="0" w:color="auto"/>
              <w:right w:val="single" w:sz="4" w:space="0" w:color="auto"/>
            </w:tcBorders>
            <w:shd w:val="clear" w:color="auto" w:fill="auto"/>
          </w:tcPr>
          <w:p w14:paraId="4C655FA7" w14:textId="40590C58" w:rsidR="00456D75" w:rsidRPr="00ED172B" w:rsidRDefault="00456D75" w:rsidP="00027F39">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3005831F" w14:textId="54F5AF08" w:rsidR="00456D75" w:rsidRPr="00ED172B" w:rsidRDefault="00456D75" w:rsidP="00456D7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CFA9D2C" w14:textId="7048AAFB"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56C914D" w14:textId="2ED460A9"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0F1B9B" w14:textId="248D0871"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DA30CA" w14:textId="518990BF" w:rsidR="00456D75" w:rsidRPr="00ED172B" w:rsidRDefault="00860830" w:rsidP="00186420">
            <w:pPr>
              <w:jc w:val="center"/>
              <w:rPr>
                <w:rFonts w:cs="Arial"/>
                <w:color w:val="000000" w:themeColor="text1"/>
                <w:szCs w:val="16"/>
              </w:rPr>
            </w:pPr>
            <w:r w:rsidRPr="00ED172B">
              <w:rPr>
                <w:rFonts w:cs="Arial"/>
                <w:color w:val="000000" w:themeColor="text1"/>
                <w:szCs w:val="16"/>
              </w:rPr>
              <w:t>52.81%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2C821F4" w14:textId="2582C3FC" w:rsidR="00456D75" w:rsidRPr="00ED172B" w:rsidRDefault="00456D75" w:rsidP="00186420">
            <w:pPr>
              <w:jc w:val="center"/>
              <w:rPr>
                <w:rFonts w:cs="Arial"/>
                <w:color w:val="000000" w:themeColor="text1"/>
                <w:szCs w:val="16"/>
              </w:rPr>
            </w:pPr>
          </w:p>
        </w:tc>
      </w:tr>
      <w:tr w:rsidR="00ED172B" w:rsidRPr="00ED172B" w14:paraId="24C50F7E" w14:textId="02CB7F29" w:rsidTr="00A40EE1">
        <w:trPr>
          <w:trHeight w:val="287"/>
        </w:trPr>
        <w:tc>
          <w:tcPr>
            <w:tcW w:w="458" w:type="pct"/>
            <w:tcBorders>
              <w:left w:val="single" w:sz="4" w:space="0" w:color="auto"/>
              <w:right w:val="single" w:sz="4" w:space="0" w:color="auto"/>
            </w:tcBorders>
            <w:shd w:val="clear" w:color="auto" w:fill="auto"/>
            <w:vAlign w:val="center"/>
          </w:tcPr>
          <w:p w14:paraId="7CDDE070" w14:textId="68664107" w:rsidR="00456D75" w:rsidRPr="00ED172B" w:rsidRDefault="008B3D40" w:rsidP="00186420">
            <w:pPr>
              <w:jc w:val="center"/>
              <w:rPr>
                <w:rFonts w:cs="Arial"/>
                <w:b/>
                <w:color w:val="000000" w:themeColor="text1"/>
                <w:szCs w:val="16"/>
              </w:rPr>
            </w:pPr>
            <w:r w:rsidRPr="00ED172B">
              <w:rPr>
                <w:rFonts w:cs="Arial"/>
                <w:b/>
                <w:color w:val="000000" w:themeColor="text1"/>
                <w:szCs w:val="16"/>
              </w:rPr>
              <w:t>A1 AR</w:t>
            </w:r>
          </w:p>
        </w:tc>
        <w:tc>
          <w:tcPr>
            <w:tcW w:w="458" w:type="pct"/>
            <w:tcBorders>
              <w:left w:val="single" w:sz="4" w:space="0" w:color="auto"/>
              <w:right w:val="single" w:sz="4" w:space="0" w:color="auto"/>
            </w:tcBorders>
            <w:shd w:val="clear" w:color="auto" w:fill="auto"/>
          </w:tcPr>
          <w:p w14:paraId="4DC5C267" w14:textId="62676658" w:rsidR="00456D75" w:rsidRPr="00ED172B" w:rsidRDefault="00456D75" w:rsidP="00027F39">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59DDDDA5" w14:textId="42C587B1" w:rsidR="00456D75" w:rsidRPr="00ED172B" w:rsidRDefault="00456D75" w:rsidP="00456D7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A3D5E10" w14:textId="4ECA0D69"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4E7A8F" w14:textId="6EDE807B"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0C08541" w14:textId="718AA759" w:rsidR="00456D75" w:rsidRPr="00ED172B" w:rsidRDefault="00456D7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77B6200" w14:textId="78B2D5AF" w:rsidR="00456D75" w:rsidRPr="00ED172B" w:rsidRDefault="00860830" w:rsidP="00186420">
            <w:pPr>
              <w:jc w:val="center"/>
              <w:rPr>
                <w:rFonts w:cs="Arial"/>
                <w:color w:val="000000" w:themeColor="text1"/>
                <w:szCs w:val="16"/>
              </w:rPr>
            </w:pPr>
            <w:r w:rsidRPr="00ED172B">
              <w:rPr>
                <w:rFonts w:cs="Arial"/>
                <w:color w:val="000000" w:themeColor="text1"/>
                <w:szCs w:val="16"/>
              </w:rPr>
              <w:t>93.62%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3DA0290" w14:textId="7F40306B" w:rsidR="00456D75" w:rsidRPr="00ED172B" w:rsidRDefault="00860830" w:rsidP="00186420">
            <w:pPr>
              <w:jc w:val="center"/>
              <w:rPr>
                <w:rFonts w:cs="Arial"/>
                <w:color w:val="000000" w:themeColor="text1"/>
                <w:szCs w:val="16"/>
              </w:rPr>
            </w:pPr>
            <w:r w:rsidRPr="00ED172B">
              <w:rPr>
                <w:rFonts w:cs="Arial"/>
                <w:color w:val="000000" w:themeColor="text1"/>
                <w:szCs w:val="16"/>
              </w:rPr>
              <w:t>93.75%</w:t>
            </w:r>
          </w:p>
        </w:tc>
      </w:tr>
      <w:tr w:rsidR="00ED172B" w:rsidRPr="00ED172B" w14:paraId="40CBAAF1" w14:textId="6DA130C5" w:rsidTr="00A40EE1">
        <w:trPr>
          <w:trHeight w:val="85"/>
        </w:trPr>
        <w:tc>
          <w:tcPr>
            <w:tcW w:w="458" w:type="pct"/>
            <w:tcBorders>
              <w:left w:val="single" w:sz="4" w:space="0" w:color="auto"/>
              <w:right w:val="single" w:sz="4" w:space="0" w:color="auto"/>
            </w:tcBorders>
            <w:shd w:val="clear" w:color="auto" w:fill="auto"/>
            <w:vAlign w:val="center"/>
          </w:tcPr>
          <w:p w14:paraId="36F0186F" w14:textId="50D3C0B4" w:rsidR="009D6400" w:rsidRPr="00ED172B" w:rsidRDefault="009D6400" w:rsidP="00186420">
            <w:pPr>
              <w:jc w:val="center"/>
              <w:rPr>
                <w:rFonts w:cs="Arial"/>
                <w:b/>
                <w:color w:val="000000" w:themeColor="text1"/>
                <w:szCs w:val="16"/>
              </w:rPr>
            </w:pPr>
            <w:r w:rsidRPr="00ED172B">
              <w:rPr>
                <w:rFonts w:cs="Arial"/>
                <w:b/>
                <w:color w:val="000000" w:themeColor="text1"/>
                <w:szCs w:val="16"/>
              </w:rPr>
              <w:t>A2</w:t>
            </w:r>
          </w:p>
        </w:tc>
        <w:tc>
          <w:tcPr>
            <w:tcW w:w="458" w:type="pct"/>
            <w:tcBorders>
              <w:left w:val="single" w:sz="4" w:space="0" w:color="auto"/>
              <w:right w:val="single" w:sz="4" w:space="0" w:color="auto"/>
            </w:tcBorders>
            <w:shd w:val="clear" w:color="auto" w:fill="auto"/>
          </w:tcPr>
          <w:p w14:paraId="76A6E1A7" w14:textId="29F354AF" w:rsidR="009D6400" w:rsidRPr="00ED172B" w:rsidRDefault="001E39E3" w:rsidP="001E39E3">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8B9F82" w14:textId="24A550CC" w:rsidR="009D6400" w:rsidRPr="00ED172B" w:rsidRDefault="009D6400" w:rsidP="009D6400">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97C686E" w14:textId="75196910" w:rsidR="009D6400" w:rsidRPr="00ED172B" w:rsidRDefault="00860830" w:rsidP="00186420">
            <w:pPr>
              <w:jc w:val="center"/>
              <w:rPr>
                <w:rFonts w:cs="Arial"/>
                <w:color w:val="000000" w:themeColor="text1"/>
                <w:szCs w:val="16"/>
              </w:rPr>
            </w:pPr>
            <w:r w:rsidRPr="00ED172B">
              <w:rPr>
                <w:rFonts w:cs="Arial"/>
                <w:color w:val="000000" w:themeColor="text1"/>
                <w:szCs w:val="16"/>
              </w:rPr>
              <w:t>70.90%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4BF2D50" w14:textId="6AE08B89" w:rsidR="009D6400" w:rsidRPr="00ED172B" w:rsidRDefault="00860830" w:rsidP="00186420">
            <w:pPr>
              <w:jc w:val="center"/>
              <w:rPr>
                <w:rFonts w:cs="Arial"/>
                <w:color w:val="000000" w:themeColor="text1"/>
                <w:szCs w:val="16"/>
              </w:rPr>
            </w:pPr>
            <w:r w:rsidRPr="00ED172B">
              <w:rPr>
                <w:rFonts w:cs="Arial"/>
                <w:color w:val="000000" w:themeColor="text1"/>
                <w:szCs w:val="16"/>
              </w:rPr>
              <w:t>70.90%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53A1887" w14:textId="4356095F" w:rsidR="009D6400" w:rsidRPr="00ED172B" w:rsidRDefault="00860830" w:rsidP="00186420">
            <w:pPr>
              <w:jc w:val="center"/>
              <w:rPr>
                <w:rFonts w:cs="Arial"/>
                <w:color w:val="000000" w:themeColor="text1"/>
                <w:szCs w:val="16"/>
              </w:rPr>
            </w:pPr>
            <w:r w:rsidRPr="00ED172B">
              <w:rPr>
                <w:rFonts w:cs="Arial"/>
                <w:color w:val="000000" w:themeColor="text1"/>
                <w:szCs w:val="16"/>
              </w:rPr>
              <w:t>71.00%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EE87284" w14:textId="56B24C10" w:rsidR="009D6400" w:rsidRPr="00ED172B" w:rsidRDefault="00860830" w:rsidP="00186420">
            <w:pPr>
              <w:jc w:val="center"/>
              <w:rPr>
                <w:rFonts w:cs="Arial"/>
                <w:color w:val="000000" w:themeColor="text1"/>
                <w:szCs w:val="16"/>
              </w:rPr>
            </w:pPr>
            <w:r w:rsidRPr="00ED172B">
              <w:rPr>
                <w:rFonts w:cs="Arial"/>
                <w:color w:val="000000" w:themeColor="text1"/>
                <w:szCs w:val="16"/>
              </w:rPr>
              <w:t>71.10%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BD8D9F8" w14:textId="111CF7C1" w:rsidR="009D6400" w:rsidRPr="00ED172B" w:rsidRDefault="00860830" w:rsidP="00186420">
            <w:pPr>
              <w:jc w:val="center"/>
              <w:rPr>
                <w:rFonts w:cs="Arial"/>
                <w:color w:val="000000" w:themeColor="text1"/>
                <w:szCs w:val="16"/>
              </w:rPr>
            </w:pPr>
            <w:r w:rsidRPr="00ED172B">
              <w:rPr>
                <w:rFonts w:cs="Arial"/>
                <w:color w:val="000000" w:themeColor="text1"/>
                <w:szCs w:val="16"/>
              </w:rPr>
              <w:t>71.10%</w:t>
            </w:r>
          </w:p>
        </w:tc>
      </w:tr>
      <w:tr w:rsidR="00ED172B" w:rsidRPr="00ED172B" w14:paraId="5C01EB8C" w14:textId="292EE838" w:rsidTr="00A40EE1">
        <w:trPr>
          <w:trHeight w:val="85"/>
        </w:trPr>
        <w:tc>
          <w:tcPr>
            <w:tcW w:w="458" w:type="pct"/>
            <w:tcBorders>
              <w:left w:val="single" w:sz="4" w:space="0" w:color="auto"/>
              <w:right w:val="single" w:sz="4" w:space="0" w:color="auto"/>
            </w:tcBorders>
            <w:shd w:val="clear" w:color="auto" w:fill="auto"/>
            <w:vAlign w:val="center"/>
          </w:tcPr>
          <w:p w14:paraId="6069A65B" w14:textId="218CEA15" w:rsidR="009D6400"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458" w:type="pct"/>
            <w:tcBorders>
              <w:left w:val="single" w:sz="4" w:space="0" w:color="auto"/>
              <w:right w:val="single" w:sz="4" w:space="0" w:color="auto"/>
            </w:tcBorders>
            <w:shd w:val="clear" w:color="auto" w:fill="auto"/>
          </w:tcPr>
          <w:p w14:paraId="58343D46" w14:textId="38F2491D" w:rsidR="009D6400" w:rsidRPr="00ED172B" w:rsidRDefault="001E39E3" w:rsidP="001E39E3">
            <w:pPr>
              <w:jc w:val="center"/>
              <w:rPr>
                <w:color w:val="000000" w:themeColor="text1"/>
              </w:rPr>
            </w:pPr>
            <w:r w:rsidRPr="00ED172B">
              <w:rPr>
                <w:color w:val="000000" w:themeColor="text1"/>
              </w:rPr>
              <w:t>70.85%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274E029" w14:textId="6D995992" w:rsidR="009D6400" w:rsidRPr="00ED172B" w:rsidRDefault="009D6400" w:rsidP="009D6400">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84FAAD7" w14:textId="5D156EF7" w:rsidR="009D6400" w:rsidRPr="00ED172B" w:rsidRDefault="00860830" w:rsidP="00186420">
            <w:pPr>
              <w:jc w:val="center"/>
              <w:rPr>
                <w:rFonts w:cs="Arial"/>
                <w:color w:val="000000" w:themeColor="text1"/>
                <w:szCs w:val="16"/>
              </w:rPr>
            </w:pPr>
            <w:r w:rsidRPr="00ED172B">
              <w:rPr>
                <w:rFonts w:cs="Arial"/>
                <w:color w:val="000000" w:themeColor="text1"/>
                <w:szCs w:val="16"/>
              </w:rPr>
              <w:t>68.33%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359CA95" w14:textId="5DD7F10B" w:rsidR="009D6400" w:rsidRPr="00ED172B" w:rsidRDefault="00860830" w:rsidP="00186420">
            <w:pPr>
              <w:jc w:val="center"/>
              <w:rPr>
                <w:rFonts w:cs="Arial"/>
                <w:color w:val="000000" w:themeColor="text1"/>
                <w:szCs w:val="16"/>
              </w:rPr>
            </w:pPr>
            <w:r w:rsidRPr="00ED172B">
              <w:rPr>
                <w:rFonts w:cs="Arial"/>
                <w:color w:val="000000" w:themeColor="text1"/>
                <w:szCs w:val="16"/>
              </w:rPr>
              <w:t>69.01%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6BD6CC0" w14:textId="05506B0A" w:rsidR="009D6400" w:rsidRPr="00ED172B" w:rsidRDefault="00860830" w:rsidP="00186420">
            <w:pPr>
              <w:jc w:val="center"/>
              <w:rPr>
                <w:rFonts w:cs="Arial"/>
                <w:color w:val="000000" w:themeColor="text1"/>
                <w:szCs w:val="16"/>
              </w:rPr>
            </w:pPr>
            <w:r w:rsidRPr="00ED172B">
              <w:rPr>
                <w:rFonts w:cs="Arial"/>
                <w:color w:val="000000" w:themeColor="text1"/>
                <w:szCs w:val="16"/>
              </w:rPr>
              <w:t>69.14%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BBCC63F" w14:textId="6DB48DE6" w:rsidR="009D6400" w:rsidRPr="00ED172B" w:rsidRDefault="00860830" w:rsidP="00186420">
            <w:pPr>
              <w:jc w:val="center"/>
              <w:rPr>
                <w:rFonts w:cs="Arial"/>
                <w:color w:val="000000" w:themeColor="text1"/>
                <w:szCs w:val="16"/>
              </w:rPr>
            </w:pPr>
            <w:r w:rsidRPr="00ED172B">
              <w:rPr>
                <w:rFonts w:cs="Arial"/>
                <w:color w:val="000000" w:themeColor="text1"/>
                <w:szCs w:val="16"/>
              </w:rPr>
              <w:t>66.12%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78F801E" w14:textId="25CEB82E" w:rsidR="009D6400" w:rsidRPr="00ED172B" w:rsidRDefault="00860830" w:rsidP="00186420">
            <w:pPr>
              <w:jc w:val="center"/>
              <w:rPr>
                <w:rFonts w:cs="Arial"/>
                <w:color w:val="000000" w:themeColor="text1"/>
                <w:szCs w:val="16"/>
              </w:rPr>
            </w:pPr>
            <w:r w:rsidRPr="00ED172B">
              <w:rPr>
                <w:rFonts w:cs="Arial"/>
                <w:color w:val="000000" w:themeColor="text1"/>
                <w:szCs w:val="16"/>
              </w:rPr>
              <w:t>61.15%</w:t>
            </w:r>
          </w:p>
        </w:tc>
      </w:tr>
      <w:tr w:rsidR="00ED172B" w:rsidRPr="00ED172B" w14:paraId="634D06D5" w14:textId="2732B539" w:rsidTr="00A40EE1">
        <w:trPr>
          <w:trHeight w:val="85"/>
        </w:trPr>
        <w:tc>
          <w:tcPr>
            <w:tcW w:w="458" w:type="pct"/>
            <w:tcBorders>
              <w:left w:val="single" w:sz="4" w:space="0" w:color="auto"/>
              <w:right w:val="single" w:sz="4" w:space="0" w:color="auto"/>
            </w:tcBorders>
            <w:shd w:val="clear" w:color="auto" w:fill="auto"/>
            <w:vAlign w:val="center"/>
          </w:tcPr>
          <w:p w14:paraId="50B645FB" w14:textId="35D9AA7F" w:rsidR="009D6400" w:rsidRPr="00ED172B" w:rsidRDefault="008B3D40" w:rsidP="00186420">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sz="4" w:space="0" w:color="auto"/>
              <w:right w:val="single" w:sz="4" w:space="0" w:color="auto"/>
            </w:tcBorders>
            <w:shd w:val="clear" w:color="auto" w:fill="auto"/>
          </w:tcPr>
          <w:p w14:paraId="3FA81BCE" w14:textId="31C0E434" w:rsidR="009D6400" w:rsidRPr="00ED172B" w:rsidRDefault="009D6400" w:rsidP="001E39E3">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5B838BD" w14:textId="1F5956D8" w:rsidR="009D6400" w:rsidRPr="00ED172B" w:rsidRDefault="009D6400" w:rsidP="009D6400">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4EB9324" w14:textId="41656AFE"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C78BD98" w14:textId="6AC679E6"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F0E512C" w14:textId="5B3F4E69"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1833F3A" w14:textId="26AFF4AD" w:rsidR="009D6400" w:rsidRPr="00ED172B" w:rsidRDefault="00860830" w:rsidP="00186420">
            <w:pPr>
              <w:jc w:val="center"/>
              <w:rPr>
                <w:rFonts w:cs="Arial"/>
                <w:color w:val="000000" w:themeColor="text1"/>
                <w:szCs w:val="16"/>
              </w:rPr>
            </w:pPr>
            <w:r w:rsidRPr="00ED172B">
              <w:rPr>
                <w:rFonts w:cs="Arial"/>
                <w:color w:val="000000" w:themeColor="text1"/>
                <w:szCs w:val="16"/>
              </w:rPr>
              <w:t>66.12%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F5F19A2" w14:textId="474A6537" w:rsidR="009D6400" w:rsidRPr="00ED172B" w:rsidRDefault="009D6400" w:rsidP="00186420">
            <w:pPr>
              <w:jc w:val="center"/>
              <w:rPr>
                <w:rFonts w:cs="Arial"/>
                <w:color w:val="000000" w:themeColor="text1"/>
                <w:szCs w:val="16"/>
              </w:rPr>
            </w:pPr>
          </w:p>
        </w:tc>
      </w:tr>
      <w:tr w:rsidR="00ED172B" w:rsidRPr="00ED172B" w14:paraId="2272E5BB" w14:textId="5E673218" w:rsidTr="00A40EE1">
        <w:trPr>
          <w:trHeight w:val="85"/>
        </w:trPr>
        <w:tc>
          <w:tcPr>
            <w:tcW w:w="458" w:type="pct"/>
            <w:tcBorders>
              <w:left w:val="single" w:sz="4" w:space="0" w:color="auto"/>
              <w:right w:val="single" w:sz="4" w:space="0" w:color="auto"/>
            </w:tcBorders>
            <w:shd w:val="clear" w:color="auto" w:fill="auto"/>
            <w:vAlign w:val="center"/>
          </w:tcPr>
          <w:p w14:paraId="1D0C1157" w14:textId="7A6E94C3" w:rsidR="009D6400" w:rsidRPr="00ED172B" w:rsidRDefault="008B3D40" w:rsidP="00186420">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sz="4" w:space="0" w:color="auto"/>
              <w:right w:val="single" w:sz="4" w:space="0" w:color="auto"/>
            </w:tcBorders>
            <w:shd w:val="clear" w:color="auto" w:fill="auto"/>
          </w:tcPr>
          <w:p w14:paraId="34AEF93A" w14:textId="538EC8D5" w:rsidR="009D6400" w:rsidRPr="00ED172B" w:rsidRDefault="009D6400" w:rsidP="001E39E3">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02123E4" w14:textId="2CC32E3A" w:rsidR="009D6400" w:rsidRPr="00ED172B" w:rsidRDefault="009D6400" w:rsidP="009D6400">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18D420C" w14:textId="437BF4A4"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32BB901" w14:textId="104613F6"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F650B65" w14:textId="0955173A"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9A80F1" w14:textId="7018920B" w:rsidR="009D6400" w:rsidRPr="00ED172B" w:rsidRDefault="00860830" w:rsidP="00186420">
            <w:pPr>
              <w:jc w:val="center"/>
              <w:rPr>
                <w:rFonts w:cs="Arial"/>
                <w:color w:val="000000" w:themeColor="text1"/>
                <w:szCs w:val="16"/>
              </w:rPr>
            </w:pPr>
            <w:r w:rsidRPr="00ED172B">
              <w:rPr>
                <w:rFonts w:cs="Arial"/>
                <w:color w:val="000000" w:themeColor="text1"/>
                <w:szCs w:val="16"/>
              </w:rPr>
              <w:t>96.69%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7F99F2E" w14:textId="2E39C7A4" w:rsidR="009D6400" w:rsidRPr="00ED172B" w:rsidRDefault="00860830" w:rsidP="00186420">
            <w:pPr>
              <w:jc w:val="center"/>
              <w:rPr>
                <w:rFonts w:cs="Arial"/>
                <w:color w:val="000000" w:themeColor="text1"/>
                <w:szCs w:val="16"/>
              </w:rPr>
            </w:pPr>
            <w:r w:rsidRPr="00ED172B">
              <w:rPr>
                <w:rFonts w:cs="Arial"/>
                <w:color w:val="000000" w:themeColor="text1"/>
                <w:szCs w:val="16"/>
              </w:rPr>
              <w:t>96.75%</w:t>
            </w:r>
          </w:p>
        </w:tc>
      </w:tr>
      <w:tr w:rsidR="00ED172B" w:rsidRPr="00ED172B" w14:paraId="1529A87B" w14:textId="7E5C8717" w:rsidTr="00A40EE1">
        <w:trPr>
          <w:trHeight w:val="85"/>
        </w:trPr>
        <w:tc>
          <w:tcPr>
            <w:tcW w:w="458" w:type="pct"/>
            <w:tcBorders>
              <w:left w:val="single" w:sz="4" w:space="0" w:color="auto"/>
              <w:right w:val="single" w:sz="4" w:space="0" w:color="auto"/>
            </w:tcBorders>
            <w:shd w:val="clear" w:color="auto" w:fill="auto"/>
            <w:vAlign w:val="center"/>
          </w:tcPr>
          <w:p w14:paraId="2CE3FEB7" w14:textId="540B67BC" w:rsidR="009D6400" w:rsidRPr="00ED172B" w:rsidRDefault="009D6400" w:rsidP="00186420">
            <w:pPr>
              <w:jc w:val="center"/>
              <w:rPr>
                <w:rFonts w:cs="Arial"/>
                <w:b/>
                <w:color w:val="000000" w:themeColor="text1"/>
                <w:szCs w:val="16"/>
              </w:rPr>
            </w:pPr>
            <w:r w:rsidRPr="00ED172B">
              <w:rPr>
                <w:rFonts w:cs="Arial"/>
                <w:b/>
                <w:color w:val="000000" w:themeColor="text1"/>
                <w:szCs w:val="16"/>
              </w:rPr>
              <w:t>B1</w:t>
            </w:r>
          </w:p>
        </w:tc>
        <w:tc>
          <w:tcPr>
            <w:tcW w:w="458" w:type="pct"/>
            <w:tcBorders>
              <w:left w:val="single" w:sz="4" w:space="0" w:color="auto"/>
              <w:right w:val="single" w:sz="4" w:space="0" w:color="auto"/>
            </w:tcBorders>
            <w:shd w:val="clear" w:color="auto" w:fill="auto"/>
          </w:tcPr>
          <w:p w14:paraId="73908386" w14:textId="0F2866BB" w:rsidR="009D6400" w:rsidRPr="00ED172B" w:rsidRDefault="001E39E3"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6B836B0" w14:textId="0C19DD0E" w:rsidR="009D6400" w:rsidRPr="00ED172B" w:rsidRDefault="009D6400" w:rsidP="009D6400">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9E22441" w14:textId="57420F0B" w:rsidR="009D6400" w:rsidRPr="00ED172B" w:rsidRDefault="00860830" w:rsidP="00186420">
            <w:pPr>
              <w:jc w:val="center"/>
              <w:rPr>
                <w:rFonts w:cs="Arial"/>
                <w:color w:val="000000" w:themeColor="text1"/>
                <w:szCs w:val="16"/>
              </w:rPr>
            </w:pPr>
            <w:r w:rsidRPr="00ED172B">
              <w:rPr>
                <w:rFonts w:cs="Arial"/>
                <w:color w:val="000000" w:themeColor="text1"/>
                <w:szCs w:val="16"/>
              </w:rPr>
              <w:t>87.70%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395C1B5" w14:textId="1C47F23D" w:rsidR="009D6400" w:rsidRPr="00ED172B" w:rsidRDefault="00860830" w:rsidP="00186420">
            <w:pPr>
              <w:jc w:val="center"/>
              <w:rPr>
                <w:rFonts w:cs="Arial"/>
                <w:color w:val="000000" w:themeColor="text1"/>
                <w:szCs w:val="16"/>
              </w:rPr>
            </w:pPr>
            <w:r w:rsidRPr="00ED172B">
              <w:rPr>
                <w:rFonts w:cs="Arial"/>
                <w:color w:val="000000" w:themeColor="text1"/>
                <w:szCs w:val="16"/>
              </w:rPr>
              <w:t>87.70%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3350C67" w14:textId="0F24CE74" w:rsidR="009D6400" w:rsidRPr="00ED172B" w:rsidRDefault="00860830" w:rsidP="00186420">
            <w:pPr>
              <w:jc w:val="center"/>
              <w:rPr>
                <w:rFonts w:cs="Arial"/>
                <w:color w:val="000000" w:themeColor="text1"/>
                <w:szCs w:val="16"/>
              </w:rPr>
            </w:pPr>
            <w:r w:rsidRPr="00ED172B">
              <w:rPr>
                <w:rFonts w:cs="Arial"/>
                <w:color w:val="000000" w:themeColor="text1"/>
                <w:szCs w:val="16"/>
              </w:rPr>
              <w:t>87.80%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E644B46" w14:textId="1210E5C6" w:rsidR="009D6400" w:rsidRPr="00ED172B" w:rsidRDefault="00860830" w:rsidP="00186420">
            <w:pPr>
              <w:jc w:val="center"/>
              <w:rPr>
                <w:rFonts w:cs="Arial"/>
                <w:color w:val="000000" w:themeColor="text1"/>
                <w:szCs w:val="16"/>
              </w:rPr>
            </w:pPr>
            <w:r w:rsidRPr="00ED172B">
              <w:rPr>
                <w:rFonts w:cs="Arial"/>
                <w:color w:val="000000" w:themeColor="text1"/>
                <w:szCs w:val="16"/>
              </w:rPr>
              <w:t>87.90%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EB78653" w14:textId="2D4BA829" w:rsidR="009D6400" w:rsidRPr="00ED172B" w:rsidRDefault="00860830" w:rsidP="00186420">
            <w:pPr>
              <w:jc w:val="center"/>
              <w:rPr>
                <w:rFonts w:cs="Arial"/>
                <w:color w:val="000000" w:themeColor="text1"/>
                <w:szCs w:val="16"/>
              </w:rPr>
            </w:pPr>
            <w:r w:rsidRPr="00ED172B">
              <w:rPr>
                <w:rFonts w:cs="Arial"/>
                <w:color w:val="000000" w:themeColor="text1"/>
                <w:szCs w:val="16"/>
              </w:rPr>
              <w:t>87.90%</w:t>
            </w:r>
          </w:p>
        </w:tc>
      </w:tr>
      <w:tr w:rsidR="00ED172B" w:rsidRPr="00ED172B" w14:paraId="06E51325" w14:textId="21A8F97E" w:rsidTr="00A40EE1">
        <w:trPr>
          <w:trHeight w:val="85"/>
        </w:trPr>
        <w:tc>
          <w:tcPr>
            <w:tcW w:w="458" w:type="pct"/>
            <w:tcBorders>
              <w:left w:val="single" w:sz="4" w:space="0" w:color="auto"/>
              <w:right w:val="single" w:sz="4" w:space="0" w:color="auto"/>
            </w:tcBorders>
            <w:shd w:val="clear" w:color="auto" w:fill="auto"/>
            <w:vAlign w:val="center"/>
          </w:tcPr>
          <w:p w14:paraId="7A314116" w14:textId="7B0E5A42" w:rsidR="009D6400"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458" w:type="pct"/>
            <w:tcBorders>
              <w:left w:val="single" w:sz="4" w:space="0" w:color="auto"/>
              <w:right w:val="single" w:sz="4" w:space="0" w:color="auto"/>
            </w:tcBorders>
            <w:shd w:val="clear" w:color="auto" w:fill="auto"/>
          </w:tcPr>
          <w:p w14:paraId="09BA8A74" w14:textId="073B275B" w:rsidR="009D6400" w:rsidRPr="00ED172B" w:rsidRDefault="001E39E3" w:rsidP="005C14C2">
            <w:pPr>
              <w:jc w:val="center"/>
              <w:rPr>
                <w:color w:val="000000" w:themeColor="text1"/>
              </w:rPr>
            </w:pPr>
            <w:r w:rsidRPr="00ED172B">
              <w:rPr>
                <w:color w:val="000000" w:themeColor="text1"/>
              </w:rPr>
              <w:t>87.64%</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4507E9C" w14:textId="4E2B0B61" w:rsidR="009D6400" w:rsidRPr="00ED172B" w:rsidRDefault="009D6400" w:rsidP="009D6400">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38D500F" w14:textId="4DD69867" w:rsidR="009D6400" w:rsidRPr="00ED172B" w:rsidRDefault="00860830" w:rsidP="00186420">
            <w:pPr>
              <w:jc w:val="center"/>
              <w:rPr>
                <w:rFonts w:cs="Arial"/>
                <w:color w:val="000000" w:themeColor="text1"/>
                <w:szCs w:val="16"/>
              </w:rPr>
            </w:pPr>
            <w:r w:rsidRPr="00ED172B">
              <w:rPr>
                <w:rFonts w:cs="Arial"/>
                <w:color w:val="000000" w:themeColor="text1"/>
                <w:szCs w:val="16"/>
              </w:rPr>
              <w:t>84.96%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44FCA2" w14:textId="1E49CBB9" w:rsidR="009D6400" w:rsidRPr="00ED172B" w:rsidRDefault="00860830" w:rsidP="00186420">
            <w:pPr>
              <w:jc w:val="center"/>
              <w:rPr>
                <w:rFonts w:cs="Arial"/>
                <w:color w:val="000000" w:themeColor="text1"/>
                <w:szCs w:val="16"/>
              </w:rPr>
            </w:pPr>
            <w:r w:rsidRPr="00ED172B">
              <w:rPr>
                <w:rFonts w:cs="Arial"/>
                <w:color w:val="000000" w:themeColor="text1"/>
                <w:szCs w:val="16"/>
              </w:rPr>
              <w:t>85.78%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49C9AA3" w14:textId="34709EEC" w:rsidR="009D6400" w:rsidRPr="00ED172B" w:rsidRDefault="00860830" w:rsidP="00186420">
            <w:pPr>
              <w:jc w:val="center"/>
              <w:rPr>
                <w:rFonts w:cs="Arial"/>
                <w:color w:val="000000" w:themeColor="text1"/>
                <w:szCs w:val="16"/>
              </w:rPr>
            </w:pPr>
            <w:r w:rsidRPr="00ED172B">
              <w:rPr>
                <w:rFonts w:cs="Arial"/>
                <w:color w:val="000000" w:themeColor="text1"/>
                <w:szCs w:val="16"/>
              </w:rPr>
              <w:t>85.03%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377AAD2" w14:textId="56E5C1F2" w:rsidR="009D6400" w:rsidRPr="00ED172B" w:rsidRDefault="00860830" w:rsidP="00186420">
            <w:pPr>
              <w:jc w:val="center"/>
              <w:rPr>
                <w:rFonts w:cs="Arial"/>
                <w:color w:val="000000" w:themeColor="text1"/>
                <w:szCs w:val="16"/>
              </w:rPr>
            </w:pPr>
            <w:r w:rsidRPr="00ED172B">
              <w:rPr>
                <w:rFonts w:cs="Arial"/>
                <w:color w:val="000000" w:themeColor="text1"/>
                <w:szCs w:val="16"/>
              </w:rPr>
              <w:t>83.72%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A781A5B" w14:textId="1E8177AD" w:rsidR="009D6400" w:rsidRPr="00ED172B" w:rsidRDefault="00860830" w:rsidP="00186420">
            <w:pPr>
              <w:jc w:val="center"/>
              <w:rPr>
                <w:rFonts w:cs="Arial"/>
                <w:color w:val="000000" w:themeColor="text1"/>
                <w:szCs w:val="16"/>
              </w:rPr>
            </w:pPr>
            <w:r w:rsidRPr="00ED172B">
              <w:rPr>
                <w:rFonts w:cs="Arial"/>
                <w:color w:val="000000" w:themeColor="text1"/>
                <w:szCs w:val="16"/>
              </w:rPr>
              <w:t>43.55%</w:t>
            </w:r>
          </w:p>
        </w:tc>
      </w:tr>
      <w:tr w:rsidR="00ED172B" w:rsidRPr="00ED172B" w14:paraId="3ABA93CB" w14:textId="1C980F1F" w:rsidTr="00A40EE1">
        <w:trPr>
          <w:trHeight w:val="85"/>
        </w:trPr>
        <w:tc>
          <w:tcPr>
            <w:tcW w:w="458" w:type="pct"/>
            <w:tcBorders>
              <w:left w:val="single" w:sz="4" w:space="0" w:color="auto"/>
              <w:right w:val="single" w:sz="4" w:space="0" w:color="auto"/>
            </w:tcBorders>
            <w:shd w:val="clear" w:color="auto" w:fill="auto"/>
            <w:vAlign w:val="center"/>
          </w:tcPr>
          <w:p w14:paraId="1D1C2133" w14:textId="7F4DF9BE" w:rsidR="009D6400" w:rsidRPr="00ED172B" w:rsidRDefault="008B3D40" w:rsidP="00186420">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sz="4" w:space="0" w:color="auto"/>
              <w:right w:val="single" w:sz="4" w:space="0" w:color="auto"/>
            </w:tcBorders>
            <w:shd w:val="clear" w:color="auto" w:fill="auto"/>
          </w:tcPr>
          <w:p w14:paraId="408237CD" w14:textId="336A9168" w:rsidR="009D6400" w:rsidRPr="00ED172B" w:rsidRDefault="009D6400" w:rsidP="001E39E3">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6EDC246" w14:textId="4A7EEE75" w:rsidR="009D6400" w:rsidRPr="00ED172B" w:rsidRDefault="009D6400" w:rsidP="009D6400">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DC60756" w14:textId="028ED5E0"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1143965" w14:textId="3CAF9DE9"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FEAB8A7" w14:textId="3849BB94"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591AA60" w14:textId="7FADF5A1" w:rsidR="009D6400" w:rsidRPr="00ED172B" w:rsidRDefault="00860830" w:rsidP="00186420">
            <w:pPr>
              <w:jc w:val="center"/>
              <w:rPr>
                <w:rFonts w:cs="Arial"/>
                <w:color w:val="000000" w:themeColor="text1"/>
                <w:szCs w:val="16"/>
              </w:rPr>
            </w:pPr>
            <w:r w:rsidRPr="00ED172B">
              <w:rPr>
                <w:rFonts w:cs="Arial"/>
                <w:color w:val="000000" w:themeColor="text1"/>
                <w:szCs w:val="16"/>
              </w:rPr>
              <w:t>83.72%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088C79F" w14:textId="4FB50BA9" w:rsidR="009D6400" w:rsidRPr="00ED172B" w:rsidRDefault="009D6400" w:rsidP="00186420">
            <w:pPr>
              <w:jc w:val="center"/>
              <w:rPr>
                <w:rFonts w:cs="Arial"/>
                <w:color w:val="000000" w:themeColor="text1"/>
                <w:szCs w:val="16"/>
              </w:rPr>
            </w:pPr>
          </w:p>
        </w:tc>
      </w:tr>
      <w:tr w:rsidR="00ED172B" w:rsidRPr="00ED172B" w14:paraId="35AD70FD" w14:textId="6A5ECA71" w:rsidTr="00A40EE1">
        <w:trPr>
          <w:trHeight w:val="85"/>
        </w:trPr>
        <w:tc>
          <w:tcPr>
            <w:tcW w:w="458" w:type="pct"/>
            <w:tcBorders>
              <w:left w:val="single" w:sz="4" w:space="0" w:color="auto"/>
              <w:right w:val="single" w:sz="4" w:space="0" w:color="auto"/>
            </w:tcBorders>
            <w:shd w:val="clear" w:color="auto" w:fill="auto"/>
            <w:vAlign w:val="center"/>
          </w:tcPr>
          <w:p w14:paraId="22C4A445" w14:textId="6D72E66E" w:rsidR="009D6400" w:rsidRPr="00ED172B" w:rsidRDefault="008B3D40" w:rsidP="00186420">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sz="4" w:space="0" w:color="auto"/>
              <w:right w:val="single" w:sz="4" w:space="0" w:color="auto"/>
            </w:tcBorders>
            <w:shd w:val="clear" w:color="auto" w:fill="auto"/>
          </w:tcPr>
          <w:p w14:paraId="40B0C76B" w14:textId="08215EC6" w:rsidR="009D6400" w:rsidRPr="00ED172B" w:rsidRDefault="009D6400" w:rsidP="001E39E3">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70CE2C9" w14:textId="38C8A77F" w:rsidR="009D6400" w:rsidRPr="00ED172B" w:rsidRDefault="009D6400" w:rsidP="009D6400">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2D69CEB" w14:textId="675D246F"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E4EB5DF" w14:textId="22588E35"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CA3DEF6" w14:textId="517CAEA2" w:rsidR="009D6400" w:rsidRPr="00ED172B" w:rsidRDefault="009D6400"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03CD3FE" w14:textId="53C455B7"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1894D48" w14:textId="14B8D577" w:rsidR="009D6400" w:rsidRPr="00ED172B" w:rsidRDefault="00860830" w:rsidP="00186420">
            <w:pPr>
              <w:jc w:val="center"/>
              <w:rPr>
                <w:rFonts w:cs="Arial"/>
                <w:color w:val="000000" w:themeColor="text1"/>
                <w:szCs w:val="16"/>
              </w:rPr>
            </w:pPr>
            <w:r w:rsidRPr="00ED172B">
              <w:rPr>
                <w:rFonts w:cs="Arial"/>
                <w:color w:val="000000" w:themeColor="text1"/>
                <w:szCs w:val="16"/>
              </w:rPr>
              <w:t>92.79%</w:t>
            </w:r>
          </w:p>
        </w:tc>
      </w:tr>
      <w:tr w:rsidR="00ED172B" w:rsidRPr="00ED172B" w14:paraId="578F6AEA" w14:textId="1B66A324" w:rsidTr="00A40EE1">
        <w:trPr>
          <w:trHeight w:val="85"/>
        </w:trPr>
        <w:tc>
          <w:tcPr>
            <w:tcW w:w="458" w:type="pct"/>
            <w:tcBorders>
              <w:left w:val="single" w:sz="4" w:space="0" w:color="auto"/>
              <w:right w:val="single" w:sz="4" w:space="0" w:color="auto"/>
            </w:tcBorders>
            <w:shd w:val="clear" w:color="auto" w:fill="auto"/>
            <w:vAlign w:val="center"/>
          </w:tcPr>
          <w:p w14:paraId="0BFBD864" w14:textId="662ACF8C" w:rsidR="00CD79C5" w:rsidRPr="00ED172B" w:rsidRDefault="00CD79C5" w:rsidP="00186420">
            <w:pPr>
              <w:jc w:val="center"/>
              <w:rPr>
                <w:rFonts w:cs="Arial"/>
                <w:b/>
                <w:color w:val="000000" w:themeColor="text1"/>
                <w:szCs w:val="16"/>
              </w:rPr>
            </w:pPr>
            <w:r w:rsidRPr="00ED172B">
              <w:rPr>
                <w:rFonts w:cs="Arial"/>
                <w:b/>
                <w:color w:val="000000" w:themeColor="text1"/>
                <w:szCs w:val="16"/>
              </w:rPr>
              <w:t>B2</w:t>
            </w:r>
          </w:p>
        </w:tc>
        <w:tc>
          <w:tcPr>
            <w:tcW w:w="458" w:type="pct"/>
            <w:tcBorders>
              <w:left w:val="single" w:sz="4" w:space="0" w:color="auto"/>
              <w:right w:val="single" w:sz="4" w:space="0" w:color="auto"/>
            </w:tcBorders>
            <w:shd w:val="clear" w:color="auto" w:fill="auto"/>
          </w:tcPr>
          <w:p w14:paraId="06ACBC7D" w14:textId="73436E6D" w:rsidR="00CD79C5" w:rsidRPr="00ED172B" w:rsidRDefault="001E39E3"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1B62100" w14:textId="6F8D3B11"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50E5C2A" w14:textId="181FF1DD" w:rsidR="00CD79C5" w:rsidRPr="00ED172B" w:rsidRDefault="00860830" w:rsidP="00186420">
            <w:pPr>
              <w:jc w:val="center"/>
              <w:rPr>
                <w:rFonts w:cs="Arial"/>
                <w:color w:val="000000" w:themeColor="text1"/>
                <w:szCs w:val="16"/>
              </w:rPr>
            </w:pPr>
            <w:r w:rsidRPr="00ED172B">
              <w:rPr>
                <w:rFonts w:cs="Arial"/>
                <w:color w:val="000000" w:themeColor="text1"/>
                <w:szCs w:val="16"/>
              </w:rPr>
              <w:t>51.70%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2F291C5" w14:textId="1C8E7A56" w:rsidR="00CD79C5" w:rsidRPr="00ED172B" w:rsidRDefault="00860830" w:rsidP="00186420">
            <w:pPr>
              <w:jc w:val="center"/>
              <w:rPr>
                <w:rFonts w:cs="Arial"/>
                <w:color w:val="000000" w:themeColor="text1"/>
                <w:szCs w:val="16"/>
              </w:rPr>
            </w:pPr>
            <w:r w:rsidRPr="00ED172B">
              <w:rPr>
                <w:rFonts w:cs="Arial"/>
                <w:color w:val="000000" w:themeColor="text1"/>
                <w:szCs w:val="16"/>
              </w:rPr>
              <w:t>51.70%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ECF1C97" w14:textId="20F800EC" w:rsidR="00CD79C5" w:rsidRPr="00ED172B" w:rsidRDefault="00860830" w:rsidP="00186420">
            <w:pPr>
              <w:jc w:val="center"/>
              <w:rPr>
                <w:rFonts w:cs="Arial"/>
                <w:color w:val="000000" w:themeColor="text1"/>
                <w:szCs w:val="16"/>
              </w:rPr>
            </w:pPr>
            <w:r w:rsidRPr="00ED172B">
              <w:rPr>
                <w:rFonts w:cs="Arial"/>
                <w:color w:val="000000" w:themeColor="text1"/>
                <w:szCs w:val="16"/>
              </w:rPr>
              <w:t>51.80%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A88A785" w14:textId="654822BE" w:rsidR="00CD79C5" w:rsidRPr="00ED172B" w:rsidRDefault="00860830" w:rsidP="00186420">
            <w:pPr>
              <w:jc w:val="center"/>
              <w:rPr>
                <w:rFonts w:cs="Arial"/>
                <w:color w:val="000000" w:themeColor="text1"/>
                <w:szCs w:val="16"/>
              </w:rPr>
            </w:pPr>
            <w:r w:rsidRPr="00ED172B">
              <w:rPr>
                <w:rFonts w:cs="Arial"/>
                <w:color w:val="000000" w:themeColor="text1"/>
                <w:szCs w:val="16"/>
              </w:rPr>
              <w:t>51.90%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8D69B4" w14:textId="1B69B808" w:rsidR="00CD79C5" w:rsidRPr="00ED172B" w:rsidRDefault="00860830" w:rsidP="00186420">
            <w:pPr>
              <w:jc w:val="center"/>
              <w:rPr>
                <w:rFonts w:cs="Arial"/>
                <w:color w:val="000000" w:themeColor="text1"/>
                <w:szCs w:val="16"/>
              </w:rPr>
            </w:pPr>
            <w:r w:rsidRPr="00ED172B">
              <w:rPr>
                <w:rFonts w:cs="Arial"/>
                <w:color w:val="000000" w:themeColor="text1"/>
                <w:szCs w:val="16"/>
              </w:rPr>
              <w:t>51.90%</w:t>
            </w:r>
          </w:p>
        </w:tc>
      </w:tr>
      <w:tr w:rsidR="00ED172B" w:rsidRPr="00ED172B" w14:paraId="5508559C" w14:textId="0B1CFF20" w:rsidTr="00A40EE1">
        <w:trPr>
          <w:trHeight w:val="85"/>
        </w:trPr>
        <w:tc>
          <w:tcPr>
            <w:tcW w:w="458" w:type="pct"/>
            <w:tcBorders>
              <w:left w:val="single" w:sz="4" w:space="0" w:color="auto"/>
              <w:right w:val="single" w:sz="4" w:space="0" w:color="auto"/>
            </w:tcBorders>
            <w:shd w:val="clear" w:color="auto" w:fill="auto"/>
            <w:vAlign w:val="center"/>
          </w:tcPr>
          <w:p w14:paraId="3405656E" w14:textId="17A54931" w:rsidR="00CD79C5"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458" w:type="pct"/>
            <w:tcBorders>
              <w:left w:val="single" w:sz="4" w:space="0" w:color="auto"/>
              <w:right w:val="single" w:sz="4" w:space="0" w:color="auto"/>
            </w:tcBorders>
            <w:shd w:val="clear" w:color="auto" w:fill="auto"/>
          </w:tcPr>
          <w:p w14:paraId="290E7FFE" w14:textId="147AFCDB" w:rsidR="00CD79C5" w:rsidRPr="00ED172B" w:rsidRDefault="001E39E3" w:rsidP="005C14C2">
            <w:pPr>
              <w:jc w:val="center"/>
              <w:rPr>
                <w:color w:val="000000" w:themeColor="text1"/>
              </w:rPr>
            </w:pPr>
            <w:r w:rsidRPr="00ED172B">
              <w:rPr>
                <w:color w:val="000000" w:themeColor="text1"/>
              </w:rPr>
              <w:t>51.63%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D1F4513" w14:textId="06CCC15B"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433C0E2" w14:textId="3A4EF236" w:rsidR="00CD79C5" w:rsidRPr="00ED172B" w:rsidRDefault="00860830" w:rsidP="00186420">
            <w:pPr>
              <w:jc w:val="center"/>
              <w:rPr>
                <w:rFonts w:cs="Arial"/>
                <w:color w:val="000000" w:themeColor="text1"/>
                <w:szCs w:val="16"/>
              </w:rPr>
            </w:pPr>
            <w:r w:rsidRPr="00ED172B">
              <w:rPr>
                <w:rFonts w:cs="Arial"/>
                <w:color w:val="000000" w:themeColor="text1"/>
                <w:szCs w:val="16"/>
              </w:rPr>
              <w:t>47.68%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07B6FEC" w14:textId="29294B94" w:rsidR="00CD79C5" w:rsidRPr="00ED172B" w:rsidRDefault="00860830" w:rsidP="00186420">
            <w:pPr>
              <w:jc w:val="center"/>
              <w:rPr>
                <w:rFonts w:cs="Arial"/>
                <w:color w:val="000000" w:themeColor="text1"/>
                <w:szCs w:val="16"/>
              </w:rPr>
            </w:pPr>
            <w:r w:rsidRPr="00ED172B">
              <w:rPr>
                <w:rFonts w:cs="Arial"/>
                <w:color w:val="000000" w:themeColor="text1"/>
                <w:szCs w:val="16"/>
              </w:rPr>
              <w:t>48.10%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A81980F" w14:textId="6A2EADF3" w:rsidR="00CD79C5" w:rsidRPr="00ED172B" w:rsidRDefault="00860830" w:rsidP="00186420">
            <w:pPr>
              <w:jc w:val="center"/>
              <w:rPr>
                <w:rFonts w:cs="Arial"/>
                <w:color w:val="000000" w:themeColor="text1"/>
                <w:szCs w:val="16"/>
              </w:rPr>
            </w:pPr>
            <w:r w:rsidRPr="00ED172B">
              <w:rPr>
                <w:rFonts w:cs="Arial"/>
                <w:color w:val="000000" w:themeColor="text1"/>
                <w:szCs w:val="16"/>
              </w:rPr>
              <w:t>46.88%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B363CC" w14:textId="381C83A4" w:rsidR="00CD79C5" w:rsidRPr="00ED172B" w:rsidRDefault="00860830" w:rsidP="00186420">
            <w:pPr>
              <w:jc w:val="center"/>
              <w:rPr>
                <w:rFonts w:cs="Arial"/>
                <w:color w:val="000000" w:themeColor="text1"/>
                <w:szCs w:val="16"/>
              </w:rPr>
            </w:pPr>
            <w:r w:rsidRPr="00ED172B">
              <w:rPr>
                <w:rFonts w:cs="Arial"/>
                <w:color w:val="000000" w:themeColor="text1"/>
                <w:szCs w:val="16"/>
              </w:rPr>
              <w:t>43.73%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2743534" w14:textId="5F19E1BD" w:rsidR="00CD79C5" w:rsidRPr="00ED172B" w:rsidRDefault="00860830" w:rsidP="00186420">
            <w:pPr>
              <w:jc w:val="center"/>
              <w:rPr>
                <w:rFonts w:cs="Arial"/>
                <w:color w:val="000000" w:themeColor="text1"/>
                <w:szCs w:val="16"/>
              </w:rPr>
            </w:pPr>
            <w:r w:rsidRPr="00ED172B">
              <w:rPr>
                <w:rFonts w:cs="Arial"/>
                <w:color w:val="000000" w:themeColor="text1"/>
                <w:szCs w:val="16"/>
              </w:rPr>
              <w:t>35.29%</w:t>
            </w:r>
          </w:p>
        </w:tc>
      </w:tr>
      <w:tr w:rsidR="00ED172B" w:rsidRPr="00ED172B" w14:paraId="68116055" w14:textId="6F2A1023" w:rsidTr="00A40EE1">
        <w:trPr>
          <w:trHeight w:val="80"/>
        </w:trPr>
        <w:tc>
          <w:tcPr>
            <w:tcW w:w="458" w:type="pct"/>
            <w:tcBorders>
              <w:left w:val="single" w:sz="4" w:space="0" w:color="auto"/>
              <w:right w:val="single" w:sz="4" w:space="0" w:color="auto"/>
            </w:tcBorders>
            <w:shd w:val="clear" w:color="auto" w:fill="auto"/>
            <w:vAlign w:val="center"/>
          </w:tcPr>
          <w:p w14:paraId="71D30B68" w14:textId="6BFF0644" w:rsidR="00CD79C5" w:rsidRPr="00ED172B" w:rsidRDefault="008B3D40" w:rsidP="00186420">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sz="4" w:space="0" w:color="auto"/>
              <w:right w:val="single" w:sz="4" w:space="0" w:color="auto"/>
            </w:tcBorders>
            <w:shd w:val="clear" w:color="auto" w:fill="auto"/>
          </w:tcPr>
          <w:p w14:paraId="37F5F6CF" w14:textId="121A5A95" w:rsidR="00CD79C5" w:rsidRPr="00ED172B" w:rsidRDefault="00CD79C5" w:rsidP="001E39E3">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2915B3C" w14:textId="41C5B8B0"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387269" w14:textId="594B111A"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D89F006" w14:textId="2FDBF221"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FC9F3C3" w14:textId="23E4B41B"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1997B06" w14:textId="17DE3AAA" w:rsidR="00CD79C5" w:rsidRPr="00ED172B" w:rsidRDefault="00860830" w:rsidP="00186420">
            <w:pPr>
              <w:jc w:val="center"/>
              <w:rPr>
                <w:rFonts w:cs="Arial"/>
                <w:color w:val="000000" w:themeColor="text1"/>
                <w:szCs w:val="16"/>
              </w:rPr>
            </w:pPr>
            <w:r w:rsidRPr="00ED172B">
              <w:rPr>
                <w:rFonts w:cs="Arial"/>
                <w:color w:val="000000" w:themeColor="text1"/>
                <w:szCs w:val="16"/>
              </w:rPr>
              <w:t>43.73%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BB9FF7C" w14:textId="437D50D8" w:rsidR="00CD79C5" w:rsidRPr="00ED172B" w:rsidRDefault="00CD79C5" w:rsidP="00186420">
            <w:pPr>
              <w:jc w:val="center"/>
              <w:rPr>
                <w:rFonts w:cs="Arial"/>
                <w:color w:val="000000" w:themeColor="text1"/>
                <w:szCs w:val="16"/>
              </w:rPr>
            </w:pPr>
          </w:p>
        </w:tc>
      </w:tr>
      <w:tr w:rsidR="00ED172B" w:rsidRPr="00ED172B" w14:paraId="60153D96" w14:textId="698AF9C2" w:rsidTr="00A40EE1">
        <w:trPr>
          <w:trHeight w:val="80"/>
        </w:trPr>
        <w:tc>
          <w:tcPr>
            <w:tcW w:w="458" w:type="pct"/>
            <w:tcBorders>
              <w:left w:val="single" w:sz="4" w:space="0" w:color="auto"/>
              <w:right w:val="single" w:sz="4" w:space="0" w:color="auto"/>
            </w:tcBorders>
            <w:shd w:val="clear" w:color="auto" w:fill="auto"/>
            <w:vAlign w:val="center"/>
          </w:tcPr>
          <w:p w14:paraId="7DA97DD5" w14:textId="31A045BB" w:rsidR="00CD79C5" w:rsidRPr="00ED172B" w:rsidRDefault="008B3D40" w:rsidP="00186420">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sz="4" w:space="0" w:color="auto"/>
              <w:right w:val="single" w:sz="4" w:space="0" w:color="auto"/>
            </w:tcBorders>
            <w:shd w:val="clear" w:color="auto" w:fill="auto"/>
          </w:tcPr>
          <w:p w14:paraId="0CF72444" w14:textId="046DD134" w:rsidR="00CD79C5" w:rsidRPr="00ED172B" w:rsidRDefault="00CD79C5" w:rsidP="001E39E3">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3F1E708" w14:textId="017BD47B"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CE3E4DA" w14:textId="32BDA21F"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DCF6998" w14:textId="3F3FA68E"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912C35D" w14:textId="0A0FC1D5"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DD83C7" w14:textId="1EE3C70E" w:rsidR="00CD79C5" w:rsidRPr="00ED172B" w:rsidRDefault="00860830" w:rsidP="00186420">
            <w:pPr>
              <w:jc w:val="center"/>
              <w:rPr>
                <w:rFonts w:cs="Arial"/>
                <w:color w:val="000000" w:themeColor="text1"/>
                <w:szCs w:val="16"/>
              </w:rPr>
            </w:pPr>
            <w:r w:rsidRPr="00ED172B">
              <w:rPr>
                <w:rFonts w:cs="Arial"/>
                <w:color w:val="000000" w:themeColor="text1"/>
                <w:szCs w:val="16"/>
              </w:rPr>
              <w:t>93.38%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39C6CC8" w14:textId="072D8E3C" w:rsidR="00CD79C5" w:rsidRPr="00ED172B" w:rsidRDefault="00860830" w:rsidP="00186420">
            <w:pPr>
              <w:jc w:val="center"/>
              <w:rPr>
                <w:rFonts w:cs="Arial"/>
                <w:color w:val="000000" w:themeColor="text1"/>
                <w:szCs w:val="16"/>
              </w:rPr>
            </w:pPr>
            <w:r w:rsidRPr="00ED172B">
              <w:rPr>
                <w:rFonts w:cs="Arial"/>
                <w:color w:val="000000" w:themeColor="text1"/>
                <w:szCs w:val="16"/>
              </w:rPr>
              <w:t>91.56%</w:t>
            </w:r>
          </w:p>
        </w:tc>
      </w:tr>
      <w:tr w:rsidR="00ED172B" w:rsidRPr="00ED172B" w14:paraId="75EC38D5" w14:textId="7305FE4F" w:rsidTr="00A40EE1">
        <w:trPr>
          <w:trHeight w:val="80"/>
        </w:trPr>
        <w:tc>
          <w:tcPr>
            <w:tcW w:w="458" w:type="pct"/>
            <w:tcBorders>
              <w:left w:val="single" w:sz="4" w:space="0" w:color="auto"/>
              <w:right w:val="single" w:sz="4" w:space="0" w:color="auto"/>
            </w:tcBorders>
            <w:shd w:val="clear" w:color="auto" w:fill="auto"/>
            <w:vAlign w:val="center"/>
          </w:tcPr>
          <w:p w14:paraId="4C00EC42" w14:textId="06A1339D" w:rsidR="00CD79C5" w:rsidRPr="00ED172B" w:rsidRDefault="00CD79C5" w:rsidP="00186420">
            <w:pPr>
              <w:jc w:val="center"/>
              <w:rPr>
                <w:rFonts w:cs="Arial"/>
                <w:b/>
                <w:color w:val="000000" w:themeColor="text1"/>
                <w:szCs w:val="16"/>
              </w:rPr>
            </w:pPr>
            <w:r w:rsidRPr="00ED172B">
              <w:rPr>
                <w:rFonts w:cs="Arial"/>
                <w:b/>
                <w:color w:val="000000" w:themeColor="text1"/>
                <w:szCs w:val="16"/>
              </w:rPr>
              <w:t>C1</w:t>
            </w:r>
          </w:p>
        </w:tc>
        <w:tc>
          <w:tcPr>
            <w:tcW w:w="458" w:type="pct"/>
            <w:tcBorders>
              <w:left w:val="single" w:sz="4" w:space="0" w:color="auto"/>
              <w:right w:val="single" w:sz="4" w:space="0" w:color="auto"/>
            </w:tcBorders>
            <w:shd w:val="clear" w:color="auto" w:fill="auto"/>
          </w:tcPr>
          <w:p w14:paraId="595CFD0D" w14:textId="243AF237" w:rsidR="00CD79C5" w:rsidRPr="00ED172B" w:rsidRDefault="005C14C2"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43E4BC68" w14:textId="39933414"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DBDA0B8" w14:textId="5F41B34A" w:rsidR="00CD79C5" w:rsidRPr="00ED172B" w:rsidRDefault="00860830" w:rsidP="00186420">
            <w:pPr>
              <w:jc w:val="center"/>
              <w:rPr>
                <w:rFonts w:cs="Arial"/>
                <w:color w:val="000000" w:themeColor="text1"/>
                <w:szCs w:val="16"/>
              </w:rPr>
            </w:pPr>
            <w:r w:rsidRPr="00ED172B">
              <w:rPr>
                <w:rFonts w:cs="Arial"/>
                <w:color w:val="000000" w:themeColor="text1"/>
                <w:szCs w:val="16"/>
              </w:rPr>
              <w:t>94.70%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ECBAEB3" w14:textId="7687F76B" w:rsidR="00CD79C5" w:rsidRPr="00ED172B" w:rsidRDefault="00860830" w:rsidP="00186420">
            <w:pPr>
              <w:jc w:val="center"/>
              <w:rPr>
                <w:rFonts w:cs="Arial"/>
                <w:color w:val="000000" w:themeColor="text1"/>
                <w:szCs w:val="16"/>
              </w:rPr>
            </w:pPr>
            <w:r w:rsidRPr="00ED172B">
              <w:rPr>
                <w:rFonts w:cs="Arial"/>
                <w:color w:val="000000" w:themeColor="text1"/>
                <w:szCs w:val="16"/>
              </w:rPr>
              <w:t>94.70%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6F9EC9C" w14:textId="592BC665" w:rsidR="00CD79C5" w:rsidRPr="00ED172B" w:rsidRDefault="00860830" w:rsidP="00186420">
            <w:pPr>
              <w:jc w:val="center"/>
              <w:rPr>
                <w:rFonts w:cs="Arial"/>
                <w:color w:val="000000" w:themeColor="text1"/>
                <w:szCs w:val="16"/>
              </w:rPr>
            </w:pPr>
            <w:r w:rsidRPr="00ED172B">
              <w:rPr>
                <w:rFonts w:cs="Arial"/>
                <w:color w:val="000000" w:themeColor="text1"/>
                <w:szCs w:val="16"/>
              </w:rPr>
              <w:t>94.80%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CF6DF96" w14:textId="7F66FAB6" w:rsidR="00CD79C5" w:rsidRPr="00ED172B" w:rsidRDefault="00860830" w:rsidP="00186420">
            <w:pPr>
              <w:jc w:val="center"/>
              <w:rPr>
                <w:rFonts w:cs="Arial"/>
                <w:color w:val="000000" w:themeColor="text1"/>
                <w:szCs w:val="16"/>
              </w:rPr>
            </w:pPr>
            <w:r w:rsidRPr="00ED172B">
              <w:rPr>
                <w:rFonts w:cs="Arial"/>
                <w:color w:val="000000" w:themeColor="text1"/>
                <w:szCs w:val="16"/>
              </w:rPr>
              <w:t>94.90%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7FA0BBE" w14:textId="2CAD1925" w:rsidR="00CD79C5" w:rsidRPr="00ED172B" w:rsidRDefault="00860830" w:rsidP="00186420">
            <w:pPr>
              <w:jc w:val="center"/>
              <w:rPr>
                <w:rFonts w:cs="Arial"/>
                <w:color w:val="000000" w:themeColor="text1"/>
                <w:szCs w:val="16"/>
              </w:rPr>
            </w:pPr>
            <w:r w:rsidRPr="00ED172B">
              <w:rPr>
                <w:rFonts w:cs="Arial"/>
                <w:color w:val="000000" w:themeColor="text1"/>
                <w:szCs w:val="16"/>
              </w:rPr>
              <w:t>94.90%</w:t>
            </w:r>
          </w:p>
        </w:tc>
      </w:tr>
      <w:tr w:rsidR="00ED172B" w:rsidRPr="00ED172B" w14:paraId="11C4CA89" w14:textId="5EA1595B" w:rsidTr="00A40EE1">
        <w:trPr>
          <w:trHeight w:val="80"/>
        </w:trPr>
        <w:tc>
          <w:tcPr>
            <w:tcW w:w="458" w:type="pct"/>
            <w:tcBorders>
              <w:left w:val="single" w:sz="4" w:space="0" w:color="auto"/>
              <w:right w:val="single" w:sz="4" w:space="0" w:color="auto"/>
            </w:tcBorders>
            <w:shd w:val="clear" w:color="auto" w:fill="auto"/>
            <w:vAlign w:val="center"/>
          </w:tcPr>
          <w:p w14:paraId="024D3E31" w14:textId="0647350E" w:rsidR="00CD79C5"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458" w:type="pct"/>
            <w:tcBorders>
              <w:left w:val="single" w:sz="4" w:space="0" w:color="auto"/>
              <w:right w:val="single" w:sz="4" w:space="0" w:color="auto"/>
            </w:tcBorders>
            <w:shd w:val="clear" w:color="auto" w:fill="auto"/>
          </w:tcPr>
          <w:p w14:paraId="39000E0E" w14:textId="26CEA8FC" w:rsidR="00CD79C5" w:rsidRPr="00ED172B" w:rsidRDefault="002332D6">
            <w:pPr>
              <w:jc w:val="center"/>
              <w:rPr>
                <w:color w:val="000000" w:themeColor="text1"/>
              </w:rPr>
            </w:pPr>
            <w:r w:rsidRPr="00ED172B">
              <w:rPr>
                <w:color w:val="000000" w:themeColor="text1"/>
              </w:rPr>
              <w:t>94.66%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0C3B59D" w14:textId="315ECF11"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6454DD8" w14:textId="4EBCCC10" w:rsidR="00CD79C5" w:rsidRPr="00ED172B" w:rsidRDefault="00860830" w:rsidP="00186420">
            <w:pPr>
              <w:jc w:val="center"/>
              <w:rPr>
                <w:rFonts w:cs="Arial"/>
                <w:color w:val="000000" w:themeColor="text1"/>
                <w:szCs w:val="16"/>
              </w:rPr>
            </w:pPr>
            <w:r w:rsidRPr="00ED172B">
              <w:rPr>
                <w:rFonts w:cs="Arial"/>
                <w:color w:val="000000" w:themeColor="text1"/>
                <w:szCs w:val="16"/>
              </w:rPr>
              <w:t>94.06%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C82B8A" w14:textId="1F659EDD" w:rsidR="00CD79C5" w:rsidRPr="00ED172B" w:rsidRDefault="00860830" w:rsidP="00186420">
            <w:pPr>
              <w:jc w:val="center"/>
              <w:rPr>
                <w:rFonts w:cs="Arial"/>
                <w:color w:val="000000" w:themeColor="text1"/>
                <w:szCs w:val="16"/>
              </w:rPr>
            </w:pPr>
            <w:r w:rsidRPr="00ED172B">
              <w:rPr>
                <w:rFonts w:cs="Arial"/>
                <w:color w:val="000000" w:themeColor="text1"/>
                <w:szCs w:val="16"/>
              </w:rPr>
              <w:t>93.51%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93B1F54" w14:textId="585D8D54" w:rsidR="00CD79C5" w:rsidRPr="00ED172B" w:rsidRDefault="00860830" w:rsidP="00186420">
            <w:pPr>
              <w:jc w:val="center"/>
              <w:rPr>
                <w:rFonts w:cs="Arial"/>
                <w:color w:val="000000" w:themeColor="text1"/>
                <w:szCs w:val="16"/>
              </w:rPr>
            </w:pPr>
            <w:r w:rsidRPr="00ED172B">
              <w:rPr>
                <w:rFonts w:cs="Arial"/>
                <w:color w:val="000000" w:themeColor="text1"/>
                <w:szCs w:val="16"/>
              </w:rPr>
              <w:t>93.27%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C2DBD52" w14:textId="5EF24053" w:rsidR="00CD79C5" w:rsidRPr="00ED172B" w:rsidRDefault="00860830" w:rsidP="00186420">
            <w:pPr>
              <w:jc w:val="center"/>
              <w:rPr>
                <w:rFonts w:cs="Arial"/>
                <w:color w:val="000000" w:themeColor="text1"/>
                <w:szCs w:val="16"/>
              </w:rPr>
            </w:pPr>
            <w:r w:rsidRPr="00ED172B">
              <w:rPr>
                <w:rFonts w:cs="Arial"/>
                <w:color w:val="000000" w:themeColor="text1"/>
                <w:szCs w:val="16"/>
              </w:rPr>
              <w:t>92.89%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EEDD006" w14:textId="5C5BA809" w:rsidR="00CD79C5" w:rsidRPr="00ED172B" w:rsidRDefault="00860830" w:rsidP="00186420">
            <w:pPr>
              <w:jc w:val="center"/>
              <w:rPr>
                <w:rFonts w:cs="Arial"/>
                <w:color w:val="000000" w:themeColor="text1"/>
                <w:szCs w:val="16"/>
              </w:rPr>
            </w:pPr>
            <w:r w:rsidRPr="00ED172B">
              <w:rPr>
                <w:rFonts w:cs="Arial"/>
                <w:color w:val="000000" w:themeColor="text1"/>
                <w:szCs w:val="16"/>
              </w:rPr>
              <w:t>50.03%</w:t>
            </w:r>
          </w:p>
        </w:tc>
      </w:tr>
      <w:tr w:rsidR="00ED172B" w:rsidRPr="00ED172B" w14:paraId="636BCB24" w14:textId="34525976" w:rsidTr="00A40EE1">
        <w:trPr>
          <w:trHeight w:val="80"/>
        </w:trPr>
        <w:tc>
          <w:tcPr>
            <w:tcW w:w="458" w:type="pct"/>
            <w:tcBorders>
              <w:left w:val="single" w:sz="4" w:space="0" w:color="auto"/>
              <w:right w:val="single" w:sz="4" w:space="0" w:color="auto"/>
            </w:tcBorders>
            <w:shd w:val="clear" w:color="auto" w:fill="auto"/>
            <w:vAlign w:val="center"/>
          </w:tcPr>
          <w:p w14:paraId="473D3D11" w14:textId="6C9FE77B" w:rsidR="00CD79C5" w:rsidRPr="00ED172B" w:rsidRDefault="008B3D40" w:rsidP="00186420">
            <w:pPr>
              <w:jc w:val="center"/>
              <w:rPr>
                <w:rFonts w:cs="Arial"/>
                <w:b/>
                <w:color w:val="000000" w:themeColor="text1"/>
                <w:szCs w:val="16"/>
              </w:rPr>
            </w:pPr>
            <w:r w:rsidRPr="00ED172B">
              <w:rPr>
                <w:rFonts w:cs="Arial"/>
                <w:b/>
                <w:color w:val="000000" w:themeColor="text1"/>
                <w:szCs w:val="16"/>
              </w:rPr>
              <w:t>C1 AR</w:t>
            </w:r>
          </w:p>
        </w:tc>
        <w:tc>
          <w:tcPr>
            <w:tcW w:w="458" w:type="pct"/>
            <w:tcBorders>
              <w:left w:val="single" w:sz="4" w:space="0" w:color="auto"/>
              <w:right w:val="single" w:sz="4" w:space="0" w:color="auto"/>
            </w:tcBorders>
            <w:shd w:val="clear" w:color="auto" w:fill="auto"/>
          </w:tcPr>
          <w:p w14:paraId="661BF00F" w14:textId="15775303" w:rsidR="00CD79C5" w:rsidRPr="00ED172B" w:rsidRDefault="00CD79C5" w:rsidP="005C14C2">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21250AC" w14:textId="07AA7231"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F68543B" w14:textId="30EB7BCC"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074271E" w14:textId="54F90B36"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30D488C" w14:textId="7130091B"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A4E180" w14:textId="5ADA3FA0" w:rsidR="00CD79C5" w:rsidRPr="00ED172B" w:rsidRDefault="00860830" w:rsidP="00186420">
            <w:pPr>
              <w:jc w:val="center"/>
              <w:rPr>
                <w:rFonts w:cs="Arial"/>
                <w:color w:val="000000" w:themeColor="text1"/>
                <w:szCs w:val="16"/>
              </w:rPr>
            </w:pPr>
            <w:r w:rsidRPr="00ED172B">
              <w:rPr>
                <w:rFonts w:cs="Arial"/>
                <w:color w:val="000000" w:themeColor="text1"/>
                <w:szCs w:val="16"/>
              </w:rPr>
              <w:t>92.89%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63ED144" w14:textId="01C7CFD8" w:rsidR="00CD79C5" w:rsidRPr="00ED172B" w:rsidRDefault="00CD79C5" w:rsidP="00186420">
            <w:pPr>
              <w:jc w:val="center"/>
              <w:rPr>
                <w:rFonts w:cs="Arial"/>
                <w:color w:val="000000" w:themeColor="text1"/>
                <w:szCs w:val="16"/>
              </w:rPr>
            </w:pPr>
          </w:p>
        </w:tc>
      </w:tr>
      <w:tr w:rsidR="00ED172B" w:rsidRPr="00ED172B" w14:paraId="75BA65E5" w14:textId="42EF0FE5" w:rsidTr="00A40EE1">
        <w:trPr>
          <w:trHeight w:val="80"/>
        </w:trPr>
        <w:tc>
          <w:tcPr>
            <w:tcW w:w="458" w:type="pct"/>
            <w:tcBorders>
              <w:left w:val="single" w:sz="4" w:space="0" w:color="auto"/>
              <w:right w:val="single" w:sz="4" w:space="0" w:color="auto"/>
            </w:tcBorders>
            <w:shd w:val="clear" w:color="auto" w:fill="auto"/>
            <w:vAlign w:val="center"/>
          </w:tcPr>
          <w:p w14:paraId="395D1B41" w14:textId="4D803DA3" w:rsidR="00CD79C5" w:rsidRPr="00ED172B" w:rsidRDefault="008B3D40" w:rsidP="00186420">
            <w:pPr>
              <w:jc w:val="center"/>
              <w:rPr>
                <w:rFonts w:cs="Arial"/>
                <w:b/>
                <w:color w:val="000000" w:themeColor="text1"/>
                <w:szCs w:val="16"/>
              </w:rPr>
            </w:pPr>
            <w:r w:rsidRPr="00ED172B">
              <w:rPr>
                <w:rFonts w:cs="Arial"/>
                <w:b/>
                <w:color w:val="000000" w:themeColor="text1"/>
                <w:szCs w:val="16"/>
              </w:rPr>
              <w:t>C1 AR</w:t>
            </w:r>
          </w:p>
        </w:tc>
        <w:tc>
          <w:tcPr>
            <w:tcW w:w="458" w:type="pct"/>
            <w:tcBorders>
              <w:left w:val="single" w:sz="4" w:space="0" w:color="auto"/>
              <w:right w:val="single" w:sz="4" w:space="0" w:color="auto"/>
            </w:tcBorders>
            <w:shd w:val="clear" w:color="auto" w:fill="auto"/>
          </w:tcPr>
          <w:p w14:paraId="0CDEC5BA" w14:textId="6E80D5B9" w:rsidR="00CD79C5" w:rsidRPr="00ED172B" w:rsidRDefault="00CD79C5" w:rsidP="005C14C2">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553C984" w14:textId="7B579917"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9A6B9B7" w14:textId="7E9E8B59"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C2F7BFE" w14:textId="06C1EF6B"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4B4A94C" w14:textId="0321D26A"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1CFA359" w14:textId="50C5DBA4"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8419723" w14:textId="680B30A1" w:rsidR="00CD79C5" w:rsidRPr="00ED172B" w:rsidRDefault="00860830" w:rsidP="00186420">
            <w:pPr>
              <w:jc w:val="center"/>
              <w:rPr>
                <w:rFonts w:cs="Arial"/>
                <w:color w:val="000000" w:themeColor="text1"/>
                <w:szCs w:val="16"/>
              </w:rPr>
            </w:pPr>
            <w:r w:rsidRPr="00ED172B">
              <w:rPr>
                <w:rFonts w:cs="Arial"/>
                <w:color w:val="000000" w:themeColor="text1"/>
                <w:szCs w:val="16"/>
              </w:rPr>
              <w:t>97.62%</w:t>
            </w:r>
          </w:p>
        </w:tc>
      </w:tr>
      <w:tr w:rsidR="00ED172B" w:rsidRPr="00ED172B" w14:paraId="745884F5" w14:textId="374FF67A" w:rsidTr="00A40EE1">
        <w:trPr>
          <w:trHeight w:val="80"/>
        </w:trPr>
        <w:tc>
          <w:tcPr>
            <w:tcW w:w="458" w:type="pct"/>
            <w:tcBorders>
              <w:left w:val="single" w:sz="4" w:space="0" w:color="auto"/>
              <w:right w:val="single" w:sz="4" w:space="0" w:color="auto"/>
            </w:tcBorders>
            <w:shd w:val="clear" w:color="auto" w:fill="auto"/>
            <w:vAlign w:val="center"/>
          </w:tcPr>
          <w:p w14:paraId="24A12BE3" w14:textId="77777777" w:rsidR="00CD79C5" w:rsidRPr="00ED172B" w:rsidRDefault="00CD79C5" w:rsidP="00186420">
            <w:pPr>
              <w:jc w:val="center"/>
              <w:rPr>
                <w:rFonts w:cs="Arial"/>
                <w:b/>
                <w:color w:val="000000" w:themeColor="text1"/>
                <w:szCs w:val="16"/>
              </w:rPr>
            </w:pPr>
            <w:r w:rsidRPr="00ED172B">
              <w:rPr>
                <w:rFonts w:cs="Arial"/>
                <w:b/>
                <w:color w:val="000000" w:themeColor="text1"/>
                <w:szCs w:val="16"/>
              </w:rPr>
              <w:t>C2</w:t>
            </w:r>
          </w:p>
        </w:tc>
        <w:tc>
          <w:tcPr>
            <w:tcW w:w="458" w:type="pct"/>
            <w:tcBorders>
              <w:left w:val="single" w:sz="4" w:space="0" w:color="auto"/>
              <w:right w:val="single" w:sz="4" w:space="0" w:color="auto"/>
            </w:tcBorders>
            <w:shd w:val="clear" w:color="auto" w:fill="auto"/>
          </w:tcPr>
          <w:p w14:paraId="0B67F880" w14:textId="0B76E8F9" w:rsidR="00CD79C5" w:rsidRPr="00ED172B" w:rsidRDefault="005C14C2"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F1BA788" w14:textId="697D4877"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47BD13E" w14:textId="0651E384" w:rsidR="00CD79C5" w:rsidRPr="00ED172B" w:rsidRDefault="00860830" w:rsidP="00186420">
            <w:pPr>
              <w:jc w:val="center"/>
              <w:rPr>
                <w:rFonts w:cs="Arial"/>
                <w:color w:val="000000" w:themeColor="text1"/>
                <w:szCs w:val="16"/>
              </w:rPr>
            </w:pPr>
            <w:r w:rsidRPr="00ED172B">
              <w:rPr>
                <w:rFonts w:cs="Arial"/>
                <w:color w:val="000000" w:themeColor="text1"/>
                <w:szCs w:val="16"/>
              </w:rPr>
              <w:t>73.70%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D171543" w14:textId="0E91E0C0" w:rsidR="00CD79C5" w:rsidRPr="00ED172B" w:rsidRDefault="00860830" w:rsidP="00186420">
            <w:pPr>
              <w:jc w:val="center"/>
              <w:rPr>
                <w:rFonts w:cs="Arial"/>
                <w:color w:val="000000" w:themeColor="text1"/>
                <w:szCs w:val="16"/>
              </w:rPr>
            </w:pPr>
            <w:r w:rsidRPr="00ED172B">
              <w:rPr>
                <w:rFonts w:cs="Arial"/>
                <w:color w:val="000000" w:themeColor="text1"/>
                <w:szCs w:val="16"/>
              </w:rPr>
              <w:t>73.70%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99767BB" w14:textId="0D67D628" w:rsidR="00CD79C5" w:rsidRPr="00ED172B" w:rsidRDefault="00860830" w:rsidP="00186420">
            <w:pPr>
              <w:jc w:val="center"/>
              <w:rPr>
                <w:rFonts w:cs="Arial"/>
                <w:color w:val="000000" w:themeColor="text1"/>
                <w:szCs w:val="16"/>
              </w:rPr>
            </w:pPr>
            <w:r w:rsidRPr="00ED172B">
              <w:rPr>
                <w:rFonts w:cs="Arial"/>
                <w:color w:val="000000" w:themeColor="text1"/>
                <w:szCs w:val="16"/>
              </w:rPr>
              <w:t>73.80%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0735A35" w14:textId="638F7D0B" w:rsidR="00CD79C5" w:rsidRPr="00ED172B" w:rsidRDefault="00860830" w:rsidP="00186420">
            <w:pPr>
              <w:jc w:val="center"/>
              <w:rPr>
                <w:rFonts w:cs="Arial"/>
                <w:color w:val="000000" w:themeColor="text1"/>
                <w:szCs w:val="16"/>
              </w:rPr>
            </w:pPr>
            <w:r w:rsidRPr="00ED172B">
              <w:rPr>
                <w:rFonts w:cs="Arial"/>
                <w:color w:val="000000" w:themeColor="text1"/>
                <w:szCs w:val="16"/>
              </w:rPr>
              <w:t>73.90%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AF7B38" w14:textId="12BCF7E6" w:rsidR="00CD79C5" w:rsidRPr="00ED172B" w:rsidRDefault="00860830" w:rsidP="00186420">
            <w:pPr>
              <w:jc w:val="center"/>
              <w:rPr>
                <w:rFonts w:cs="Arial"/>
                <w:color w:val="000000" w:themeColor="text1"/>
                <w:szCs w:val="16"/>
              </w:rPr>
            </w:pPr>
            <w:r w:rsidRPr="00ED172B">
              <w:rPr>
                <w:rFonts w:cs="Arial"/>
                <w:color w:val="000000" w:themeColor="text1"/>
                <w:szCs w:val="16"/>
              </w:rPr>
              <w:t>73.90%</w:t>
            </w:r>
          </w:p>
        </w:tc>
      </w:tr>
      <w:tr w:rsidR="00ED172B" w:rsidRPr="00ED172B" w14:paraId="2A4ABFAC" w14:textId="1416BF1B" w:rsidTr="00A40EE1">
        <w:trPr>
          <w:trHeight w:val="80"/>
        </w:trPr>
        <w:tc>
          <w:tcPr>
            <w:tcW w:w="458" w:type="pct"/>
            <w:tcBorders>
              <w:left w:val="single" w:sz="4" w:space="0" w:color="auto"/>
              <w:right w:val="single" w:sz="4" w:space="0" w:color="auto"/>
            </w:tcBorders>
            <w:shd w:val="clear" w:color="auto" w:fill="auto"/>
            <w:vAlign w:val="center"/>
          </w:tcPr>
          <w:p w14:paraId="02F1A5D1" w14:textId="660A152D" w:rsidR="00CD79C5"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458" w:type="pct"/>
            <w:tcBorders>
              <w:left w:val="single" w:sz="4" w:space="0" w:color="auto"/>
              <w:right w:val="single" w:sz="4" w:space="0" w:color="auto"/>
            </w:tcBorders>
            <w:shd w:val="clear" w:color="auto" w:fill="auto"/>
          </w:tcPr>
          <w:p w14:paraId="71F7A5B2" w14:textId="31BD369A" w:rsidR="00CD79C5" w:rsidRPr="00ED172B" w:rsidRDefault="005C14C2" w:rsidP="005C14C2">
            <w:pPr>
              <w:jc w:val="center"/>
              <w:rPr>
                <w:color w:val="000000" w:themeColor="text1"/>
              </w:rPr>
            </w:pPr>
            <w:r w:rsidRPr="00ED172B">
              <w:rPr>
                <w:color w:val="000000" w:themeColor="text1"/>
              </w:rPr>
              <w:t>73.66%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BA323B" w14:textId="4C828244"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07C685E" w14:textId="37B61CC0" w:rsidR="00CD79C5" w:rsidRPr="00ED172B" w:rsidRDefault="00860830" w:rsidP="00186420">
            <w:pPr>
              <w:jc w:val="center"/>
              <w:rPr>
                <w:rFonts w:cs="Arial"/>
                <w:color w:val="000000" w:themeColor="text1"/>
                <w:szCs w:val="16"/>
              </w:rPr>
            </w:pPr>
            <w:r w:rsidRPr="00ED172B">
              <w:rPr>
                <w:rFonts w:cs="Arial"/>
                <w:color w:val="000000" w:themeColor="text1"/>
                <w:szCs w:val="16"/>
              </w:rPr>
              <w:t>69.04%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FBCD12A" w14:textId="380639C0" w:rsidR="00CD79C5" w:rsidRPr="00ED172B" w:rsidRDefault="00860830" w:rsidP="00186420">
            <w:pPr>
              <w:jc w:val="center"/>
              <w:rPr>
                <w:rFonts w:cs="Arial"/>
                <w:color w:val="000000" w:themeColor="text1"/>
                <w:szCs w:val="16"/>
              </w:rPr>
            </w:pPr>
            <w:r w:rsidRPr="00ED172B">
              <w:rPr>
                <w:rFonts w:cs="Arial"/>
                <w:color w:val="000000" w:themeColor="text1"/>
                <w:szCs w:val="16"/>
              </w:rPr>
              <w:t>68.61%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9B10B22" w14:textId="3F5BBE7D" w:rsidR="00CD79C5" w:rsidRPr="00ED172B" w:rsidRDefault="00860830" w:rsidP="00186420">
            <w:pPr>
              <w:jc w:val="center"/>
              <w:rPr>
                <w:rFonts w:cs="Arial"/>
                <w:color w:val="000000" w:themeColor="text1"/>
                <w:szCs w:val="16"/>
              </w:rPr>
            </w:pPr>
            <w:r w:rsidRPr="00ED172B">
              <w:rPr>
                <w:rFonts w:cs="Arial"/>
                <w:color w:val="000000" w:themeColor="text1"/>
                <w:szCs w:val="16"/>
              </w:rPr>
              <w:t>66.99%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04C6C8" w14:textId="63070BE5" w:rsidR="00CD79C5" w:rsidRPr="00ED172B" w:rsidRDefault="00860830" w:rsidP="00186420">
            <w:pPr>
              <w:jc w:val="center"/>
              <w:rPr>
                <w:rFonts w:cs="Arial"/>
                <w:color w:val="000000" w:themeColor="text1"/>
                <w:szCs w:val="16"/>
              </w:rPr>
            </w:pPr>
            <w:r w:rsidRPr="00ED172B">
              <w:rPr>
                <w:rFonts w:cs="Arial"/>
                <w:color w:val="000000" w:themeColor="text1"/>
                <w:szCs w:val="16"/>
              </w:rPr>
              <w:t>63.53%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7AE2548" w14:textId="243666B6" w:rsidR="00CD79C5" w:rsidRPr="00ED172B" w:rsidRDefault="00860830" w:rsidP="00186420">
            <w:pPr>
              <w:jc w:val="center"/>
              <w:rPr>
                <w:rFonts w:cs="Arial"/>
                <w:color w:val="000000" w:themeColor="text1"/>
                <w:szCs w:val="16"/>
              </w:rPr>
            </w:pPr>
            <w:r w:rsidRPr="00ED172B">
              <w:rPr>
                <w:rFonts w:cs="Arial"/>
                <w:color w:val="000000" w:themeColor="text1"/>
                <w:szCs w:val="16"/>
              </w:rPr>
              <w:t>55.79%</w:t>
            </w:r>
          </w:p>
        </w:tc>
      </w:tr>
      <w:tr w:rsidR="00ED172B" w:rsidRPr="00ED172B" w14:paraId="6D6E8E56" w14:textId="7ED91704" w:rsidTr="00A40EE1">
        <w:trPr>
          <w:trHeight w:val="80"/>
        </w:trPr>
        <w:tc>
          <w:tcPr>
            <w:tcW w:w="458" w:type="pct"/>
            <w:tcBorders>
              <w:left w:val="single" w:sz="4" w:space="0" w:color="auto"/>
              <w:right w:val="single" w:sz="4" w:space="0" w:color="auto"/>
            </w:tcBorders>
            <w:shd w:val="clear" w:color="auto" w:fill="auto"/>
            <w:vAlign w:val="center"/>
          </w:tcPr>
          <w:p w14:paraId="086BC3DB" w14:textId="4BC97C0B" w:rsidR="00CD79C5" w:rsidRPr="00ED172B" w:rsidRDefault="008B3D40" w:rsidP="00186420">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sz="4" w:space="0" w:color="auto"/>
              <w:right w:val="single" w:sz="4" w:space="0" w:color="auto"/>
            </w:tcBorders>
            <w:shd w:val="clear" w:color="auto" w:fill="auto"/>
          </w:tcPr>
          <w:p w14:paraId="42E912DE" w14:textId="6CE27B41" w:rsidR="00CD79C5" w:rsidRPr="00ED172B" w:rsidRDefault="00CD79C5" w:rsidP="005C14C2">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2DA8E9B" w14:textId="767EF16B"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6311D0" w14:textId="7F007EEB"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AF2032" w14:textId="5111F0AF"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872EA85" w14:textId="384B5865"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B9BA751" w14:textId="3D8AE6F8" w:rsidR="00CD79C5" w:rsidRPr="00ED172B" w:rsidRDefault="00860830" w:rsidP="00186420">
            <w:pPr>
              <w:jc w:val="center"/>
              <w:rPr>
                <w:rFonts w:cs="Arial"/>
                <w:color w:val="000000" w:themeColor="text1"/>
                <w:szCs w:val="16"/>
              </w:rPr>
            </w:pPr>
            <w:r w:rsidRPr="00ED172B">
              <w:rPr>
                <w:rFonts w:cs="Arial"/>
                <w:color w:val="000000" w:themeColor="text1"/>
                <w:szCs w:val="16"/>
              </w:rPr>
              <w:t>63.53%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954E8D1" w14:textId="14CB8E7D" w:rsidR="00CD79C5" w:rsidRPr="00ED172B" w:rsidRDefault="00CD79C5" w:rsidP="00186420">
            <w:pPr>
              <w:jc w:val="center"/>
              <w:rPr>
                <w:rFonts w:cs="Arial"/>
                <w:color w:val="000000" w:themeColor="text1"/>
                <w:szCs w:val="16"/>
              </w:rPr>
            </w:pPr>
          </w:p>
        </w:tc>
      </w:tr>
      <w:tr w:rsidR="00ED172B" w:rsidRPr="00ED172B" w14:paraId="6B14429C" w14:textId="79747735" w:rsidTr="00A40EE1">
        <w:trPr>
          <w:trHeight w:val="80"/>
        </w:trPr>
        <w:tc>
          <w:tcPr>
            <w:tcW w:w="458" w:type="pct"/>
            <w:tcBorders>
              <w:left w:val="single" w:sz="4" w:space="0" w:color="auto"/>
              <w:right w:val="single" w:sz="4" w:space="0" w:color="auto"/>
            </w:tcBorders>
            <w:shd w:val="clear" w:color="auto" w:fill="auto"/>
            <w:vAlign w:val="center"/>
          </w:tcPr>
          <w:p w14:paraId="4557771F" w14:textId="0BA88612" w:rsidR="00CD79C5" w:rsidRPr="00ED172B" w:rsidRDefault="008B3D40" w:rsidP="00186420">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sz="4" w:space="0" w:color="auto"/>
              <w:right w:val="single" w:sz="4" w:space="0" w:color="auto"/>
            </w:tcBorders>
            <w:shd w:val="clear" w:color="auto" w:fill="auto"/>
          </w:tcPr>
          <w:p w14:paraId="5C2D7A20" w14:textId="2A2FDEDE" w:rsidR="00CD79C5" w:rsidRPr="00ED172B" w:rsidRDefault="00CD79C5" w:rsidP="00027F39">
            <w:pPr>
              <w:jc w:val="center"/>
              <w:rPr>
                <w:color w:val="000000" w:themeColor="text1"/>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7B33EC5" w14:textId="0839A892"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000DA62" w14:textId="4BAA682A"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BC6A5F1" w14:textId="18616665"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ED8B4D6" w14:textId="3DDA8A5C" w:rsidR="00CD79C5" w:rsidRPr="00ED172B" w:rsidRDefault="00CD79C5" w:rsidP="00186420">
            <w:pPr>
              <w:jc w:val="center"/>
              <w:rPr>
                <w:rFonts w:cs="Arial"/>
                <w:color w:val="000000" w:themeColor="text1"/>
                <w:szCs w:val="16"/>
              </w:rPr>
            </w:pP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A9E6EFA" w14:textId="47DE5C75" w:rsidR="00CD79C5" w:rsidRPr="00ED172B" w:rsidRDefault="00860830" w:rsidP="00186420">
            <w:pPr>
              <w:jc w:val="center"/>
              <w:rPr>
                <w:rFonts w:cs="Arial"/>
                <w:color w:val="000000" w:themeColor="text1"/>
                <w:szCs w:val="16"/>
              </w:rPr>
            </w:pPr>
            <w:r w:rsidRPr="00ED172B">
              <w:rPr>
                <w:rFonts w:cs="Arial"/>
                <w:color w:val="000000" w:themeColor="text1"/>
                <w:szCs w:val="16"/>
              </w:rPr>
              <w:t>98.01%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40E31EE" w14:textId="349087DD" w:rsidR="00CD79C5" w:rsidRPr="00ED172B" w:rsidRDefault="00860830" w:rsidP="00186420">
            <w:pPr>
              <w:jc w:val="center"/>
              <w:rPr>
                <w:rFonts w:cs="Arial"/>
                <w:color w:val="000000" w:themeColor="text1"/>
                <w:szCs w:val="16"/>
              </w:rPr>
            </w:pPr>
            <w:r w:rsidRPr="00ED172B">
              <w:rPr>
                <w:rFonts w:cs="Arial"/>
                <w:color w:val="000000" w:themeColor="text1"/>
                <w:szCs w:val="16"/>
              </w:rPr>
              <w:t>97.40%</w:t>
            </w:r>
          </w:p>
        </w:tc>
      </w:tr>
    </w:tbl>
    <w:p w14:paraId="59D469DB" w14:textId="068408CD" w:rsidR="009000CE" w:rsidRPr="00ED172B" w:rsidRDefault="009000CE">
      <w:pPr>
        <w:rPr>
          <w:b/>
          <w:color w:val="000000" w:themeColor="text1"/>
        </w:rPr>
      </w:pPr>
      <w:r w:rsidRPr="00794BA1">
        <w:rPr>
          <w:b/>
          <w:color w:val="000000" w:themeColor="text1"/>
        </w:rPr>
        <w:t>Targets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2"/>
      </w:tblPr>
      <w:tblGrid>
        <w:gridCol w:w="988"/>
        <w:gridCol w:w="2101"/>
        <w:gridCol w:w="1542"/>
        <w:gridCol w:w="1542"/>
        <w:gridCol w:w="1542"/>
        <w:gridCol w:w="1542"/>
        <w:gridCol w:w="1542"/>
      </w:tblGrid>
      <w:tr w:rsidR="00E67F3E" w:rsidRPr="00ED172B" w14:paraId="5C0381AF" w14:textId="240FB05E" w:rsidTr="00F85A5B">
        <w:trPr>
          <w:trHeight w:val="350"/>
        </w:trPr>
        <w:tc>
          <w:tcPr>
            <w:tcW w:w="457" w:type="pct"/>
            <w:tcBorders>
              <w:bottom w:val="single" w:sz="4" w:space="0" w:color="auto"/>
            </w:tcBorders>
            <w:shd w:val="clear" w:color="auto" w:fill="auto"/>
          </w:tcPr>
          <w:p w14:paraId="7D540CF6" w14:textId="3B69FD16" w:rsidR="00E67F3E" w:rsidRPr="00ED172B" w:rsidRDefault="00E67F3E" w:rsidP="00E67F3E">
            <w:pPr>
              <w:jc w:val="center"/>
              <w:rPr>
                <w:b/>
                <w:color w:val="000000" w:themeColor="text1"/>
                <w:szCs w:val="16"/>
              </w:rPr>
            </w:pPr>
            <w:r w:rsidRPr="00ED172B">
              <w:rPr>
                <w:b/>
                <w:color w:val="000000" w:themeColor="text1"/>
                <w:szCs w:val="16"/>
              </w:rPr>
              <w:t>FFY</w:t>
            </w:r>
          </w:p>
        </w:tc>
        <w:tc>
          <w:tcPr>
            <w:tcW w:w="973" w:type="pct"/>
            <w:shd w:val="clear" w:color="auto" w:fill="auto"/>
            <w:vAlign w:val="center"/>
          </w:tcPr>
          <w:p w14:paraId="1C822F15" w14:textId="2C7063F1" w:rsidR="00E67F3E" w:rsidRPr="00ED172B" w:rsidRDefault="00E67F3E" w:rsidP="00E67F3E">
            <w:pPr>
              <w:jc w:val="center"/>
              <w:rPr>
                <w:b/>
                <w:color w:val="000000" w:themeColor="text1"/>
                <w:szCs w:val="16"/>
              </w:rPr>
            </w:pPr>
            <w:r w:rsidRPr="00ED172B">
              <w:rPr>
                <w:rFonts w:cs="Arial"/>
                <w:b/>
                <w:color w:val="000000" w:themeColor="text1"/>
                <w:szCs w:val="16"/>
              </w:rPr>
              <w:t>2020</w:t>
            </w:r>
          </w:p>
        </w:tc>
        <w:tc>
          <w:tcPr>
            <w:tcW w:w="714" w:type="pct"/>
          </w:tcPr>
          <w:p w14:paraId="4F7C81B2" w14:textId="74F8FB4E" w:rsidR="00E67F3E" w:rsidRPr="00ED172B" w:rsidRDefault="00E67F3E" w:rsidP="00E67F3E">
            <w:pPr>
              <w:jc w:val="center"/>
              <w:rPr>
                <w:rFonts w:cs="Arial"/>
                <w:b/>
                <w:color w:val="000000" w:themeColor="text1"/>
                <w:szCs w:val="16"/>
              </w:rPr>
            </w:pPr>
            <w:r>
              <w:rPr>
                <w:rFonts w:cs="Arial"/>
                <w:b/>
                <w:color w:val="000000" w:themeColor="text1"/>
                <w:szCs w:val="16"/>
              </w:rPr>
              <w:t>2021</w:t>
            </w:r>
          </w:p>
        </w:tc>
        <w:tc>
          <w:tcPr>
            <w:tcW w:w="714" w:type="pct"/>
          </w:tcPr>
          <w:p w14:paraId="76886659" w14:textId="0ECDD401" w:rsidR="00E67F3E" w:rsidRPr="00ED172B" w:rsidRDefault="00E67F3E" w:rsidP="00E67F3E">
            <w:pPr>
              <w:jc w:val="center"/>
              <w:rPr>
                <w:rFonts w:cs="Arial"/>
                <w:b/>
                <w:color w:val="000000" w:themeColor="text1"/>
                <w:szCs w:val="16"/>
              </w:rPr>
            </w:pPr>
            <w:r w:rsidRPr="005A1B4F">
              <w:rPr>
                <w:rFonts w:cs="Arial"/>
                <w:b/>
                <w:color w:val="000000" w:themeColor="text1"/>
                <w:szCs w:val="16"/>
              </w:rPr>
              <w:t>2022</w:t>
            </w:r>
          </w:p>
        </w:tc>
        <w:tc>
          <w:tcPr>
            <w:tcW w:w="714" w:type="pct"/>
          </w:tcPr>
          <w:p w14:paraId="69CB589E" w14:textId="094AD6CD" w:rsidR="00E67F3E" w:rsidRPr="00ED172B" w:rsidRDefault="00E67F3E" w:rsidP="00E67F3E">
            <w:pPr>
              <w:jc w:val="center"/>
              <w:rPr>
                <w:rFonts w:cs="Arial"/>
                <w:b/>
                <w:color w:val="000000" w:themeColor="text1"/>
                <w:szCs w:val="16"/>
              </w:rPr>
            </w:pPr>
            <w:r w:rsidRPr="005A1B4F">
              <w:rPr>
                <w:rFonts w:cs="Arial"/>
                <w:b/>
                <w:color w:val="000000" w:themeColor="text1"/>
                <w:szCs w:val="16"/>
              </w:rPr>
              <w:t>2023</w:t>
            </w:r>
          </w:p>
        </w:tc>
        <w:tc>
          <w:tcPr>
            <w:tcW w:w="714" w:type="pct"/>
          </w:tcPr>
          <w:p w14:paraId="3913A201" w14:textId="171F1EF0" w:rsidR="00E67F3E" w:rsidRPr="00ED172B" w:rsidRDefault="00E67F3E" w:rsidP="00E67F3E">
            <w:pPr>
              <w:jc w:val="center"/>
              <w:rPr>
                <w:rFonts w:cs="Arial"/>
                <w:b/>
                <w:color w:val="000000" w:themeColor="text1"/>
                <w:szCs w:val="16"/>
              </w:rPr>
            </w:pPr>
            <w:r w:rsidRPr="005A1B4F">
              <w:rPr>
                <w:rFonts w:cs="Arial"/>
                <w:b/>
                <w:color w:val="000000" w:themeColor="text1"/>
                <w:szCs w:val="16"/>
              </w:rPr>
              <w:t>2024</w:t>
            </w:r>
          </w:p>
        </w:tc>
        <w:tc>
          <w:tcPr>
            <w:tcW w:w="714" w:type="pct"/>
          </w:tcPr>
          <w:p w14:paraId="413ADCD3" w14:textId="1FF293F6" w:rsidR="00E67F3E" w:rsidRPr="00ED172B" w:rsidRDefault="00E67F3E" w:rsidP="00E67F3E">
            <w:pPr>
              <w:jc w:val="center"/>
              <w:rPr>
                <w:rFonts w:cs="Arial"/>
                <w:b/>
                <w:color w:val="000000" w:themeColor="text1"/>
                <w:szCs w:val="16"/>
              </w:rPr>
            </w:pPr>
            <w:r w:rsidRPr="005A1B4F">
              <w:rPr>
                <w:rFonts w:cs="Arial"/>
                <w:b/>
                <w:color w:val="000000" w:themeColor="text1"/>
                <w:szCs w:val="16"/>
              </w:rPr>
              <w:t>2025</w:t>
            </w:r>
          </w:p>
        </w:tc>
      </w:tr>
      <w:tr w:rsidR="00F4238C" w:rsidRPr="00ED172B" w14:paraId="7D3874C8" w14:textId="22DBB207" w:rsidTr="00F85A5B">
        <w:trPr>
          <w:trHeight w:val="357"/>
        </w:trPr>
        <w:tc>
          <w:tcPr>
            <w:tcW w:w="457" w:type="pct"/>
            <w:shd w:val="clear" w:color="auto" w:fill="auto"/>
            <w:vAlign w:val="center"/>
          </w:tcPr>
          <w:p w14:paraId="0D92F8F5" w14:textId="41B6F17B" w:rsidR="00F4238C" w:rsidRPr="00ED172B" w:rsidRDefault="00F4238C" w:rsidP="00F4238C">
            <w:pPr>
              <w:rPr>
                <w:color w:val="000000" w:themeColor="text1"/>
                <w:szCs w:val="16"/>
              </w:rPr>
            </w:pPr>
            <w:r w:rsidRPr="00ED172B">
              <w:rPr>
                <w:color w:val="000000" w:themeColor="text1"/>
                <w:szCs w:val="16"/>
              </w:rPr>
              <w:t>Target A1 &gt;=</w:t>
            </w:r>
          </w:p>
        </w:tc>
        <w:tc>
          <w:tcPr>
            <w:tcW w:w="973" w:type="pct"/>
            <w:shd w:val="clear" w:color="auto" w:fill="auto"/>
            <w:vAlign w:val="center"/>
          </w:tcPr>
          <w:p w14:paraId="5A65956F" w14:textId="425987CA" w:rsidR="00F4238C" w:rsidRPr="00ED172B" w:rsidRDefault="00F4238C" w:rsidP="00F4238C">
            <w:pPr>
              <w:jc w:val="center"/>
              <w:rPr>
                <w:color w:val="000000" w:themeColor="text1"/>
              </w:rPr>
            </w:pPr>
            <w:r w:rsidRPr="00ED172B">
              <w:rPr>
                <w:color w:val="000000" w:themeColor="text1"/>
              </w:rPr>
              <w:t>57.00%</w:t>
            </w:r>
          </w:p>
        </w:tc>
        <w:tc>
          <w:tcPr>
            <w:tcW w:w="714" w:type="pct"/>
            <w:vAlign w:val="center"/>
          </w:tcPr>
          <w:p w14:paraId="648EBDE0" w14:textId="0BFF9DE2" w:rsidR="00F4238C" w:rsidRPr="00ED172B" w:rsidRDefault="00F4238C" w:rsidP="00F4238C">
            <w:pPr>
              <w:jc w:val="center"/>
              <w:rPr>
                <w:color w:val="000000" w:themeColor="text1"/>
              </w:rPr>
            </w:pPr>
            <w:r w:rsidRPr="00ED172B">
              <w:rPr>
                <w:color w:val="000000" w:themeColor="text1"/>
              </w:rPr>
              <w:t>57.00%</w:t>
            </w:r>
          </w:p>
        </w:tc>
        <w:tc>
          <w:tcPr>
            <w:tcW w:w="714" w:type="pct"/>
            <w:vAlign w:val="center"/>
          </w:tcPr>
          <w:p w14:paraId="531715B6" w14:textId="68588B97" w:rsidR="00F4238C" w:rsidRPr="00ED172B" w:rsidRDefault="00F4238C" w:rsidP="00F4238C">
            <w:pPr>
              <w:jc w:val="center"/>
              <w:rPr>
                <w:color w:val="000000" w:themeColor="text1"/>
              </w:rPr>
            </w:pPr>
            <w:r w:rsidRPr="00ED172B">
              <w:rPr>
                <w:color w:val="000000" w:themeColor="text1"/>
              </w:rPr>
              <w:t>57.10%</w:t>
            </w:r>
          </w:p>
        </w:tc>
        <w:tc>
          <w:tcPr>
            <w:tcW w:w="714" w:type="pct"/>
            <w:vAlign w:val="center"/>
          </w:tcPr>
          <w:p w14:paraId="37A8D111" w14:textId="27F00B4E" w:rsidR="00F4238C" w:rsidRPr="00ED172B" w:rsidRDefault="00F4238C" w:rsidP="00F4238C">
            <w:pPr>
              <w:jc w:val="center"/>
              <w:rPr>
                <w:color w:val="000000" w:themeColor="text1"/>
              </w:rPr>
            </w:pPr>
            <w:r w:rsidRPr="00ED172B">
              <w:rPr>
                <w:color w:val="000000" w:themeColor="text1"/>
              </w:rPr>
              <w:t>57.10%</w:t>
            </w:r>
          </w:p>
        </w:tc>
        <w:tc>
          <w:tcPr>
            <w:tcW w:w="714" w:type="pct"/>
            <w:vAlign w:val="center"/>
          </w:tcPr>
          <w:p w14:paraId="62694CDE" w14:textId="3EEE74F2" w:rsidR="00F4238C" w:rsidRPr="00ED172B" w:rsidRDefault="00F4238C" w:rsidP="00F4238C">
            <w:pPr>
              <w:jc w:val="center"/>
              <w:rPr>
                <w:color w:val="000000" w:themeColor="text1"/>
              </w:rPr>
            </w:pPr>
            <w:r w:rsidRPr="00ED172B">
              <w:rPr>
                <w:color w:val="000000" w:themeColor="text1"/>
              </w:rPr>
              <w:t>57.20%</w:t>
            </w:r>
          </w:p>
        </w:tc>
        <w:tc>
          <w:tcPr>
            <w:tcW w:w="714" w:type="pct"/>
            <w:vAlign w:val="center"/>
          </w:tcPr>
          <w:p w14:paraId="7CB6DCBA" w14:textId="5D0937F0" w:rsidR="00F4238C" w:rsidRPr="00ED172B" w:rsidRDefault="00F4238C" w:rsidP="00F4238C">
            <w:pPr>
              <w:jc w:val="center"/>
              <w:rPr>
                <w:color w:val="000000" w:themeColor="text1"/>
              </w:rPr>
            </w:pPr>
            <w:r w:rsidRPr="00ED172B">
              <w:rPr>
                <w:color w:val="000000" w:themeColor="text1"/>
              </w:rPr>
              <w:t>57.20%</w:t>
            </w:r>
          </w:p>
        </w:tc>
      </w:tr>
      <w:tr w:rsidR="00F4238C" w:rsidRPr="00ED172B" w14:paraId="23A1FD93" w14:textId="5B61E1CC" w:rsidTr="00F85A5B">
        <w:trPr>
          <w:trHeight w:val="357"/>
        </w:trPr>
        <w:tc>
          <w:tcPr>
            <w:tcW w:w="457" w:type="pct"/>
            <w:shd w:val="clear" w:color="auto" w:fill="auto"/>
            <w:vAlign w:val="center"/>
          </w:tcPr>
          <w:p w14:paraId="5BF5DDCA" w14:textId="43E37C51" w:rsidR="00F4238C" w:rsidRPr="00ED172B" w:rsidRDefault="00F4238C" w:rsidP="00F4238C">
            <w:pPr>
              <w:rPr>
                <w:color w:val="000000" w:themeColor="text1"/>
                <w:szCs w:val="16"/>
              </w:rPr>
            </w:pPr>
            <w:r w:rsidRPr="00ED172B">
              <w:rPr>
                <w:rFonts w:cs="Arial"/>
                <w:color w:val="000000" w:themeColor="text1"/>
                <w:szCs w:val="16"/>
              </w:rPr>
              <w:t>A1 AR</w:t>
            </w:r>
          </w:p>
        </w:tc>
        <w:tc>
          <w:tcPr>
            <w:tcW w:w="973" w:type="pct"/>
            <w:shd w:val="clear" w:color="auto" w:fill="auto"/>
            <w:vAlign w:val="center"/>
          </w:tcPr>
          <w:p w14:paraId="024A73EA" w14:textId="56B2EB20" w:rsidR="00F4238C" w:rsidRPr="00ED172B" w:rsidRDefault="00F4238C" w:rsidP="00F4238C">
            <w:pPr>
              <w:jc w:val="center"/>
              <w:rPr>
                <w:color w:val="000000" w:themeColor="text1"/>
              </w:rPr>
            </w:pPr>
          </w:p>
        </w:tc>
        <w:tc>
          <w:tcPr>
            <w:tcW w:w="714" w:type="pct"/>
            <w:vAlign w:val="center"/>
          </w:tcPr>
          <w:p w14:paraId="18F14A21" w14:textId="45B3CBBA" w:rsidR="00F4238C" w:rsidRPr="00ED172B" w:rsidRDefault="00F4238C" w:rsidP="00F4238C">
            <w:pPr>
              <w:jc w:val="center"/>
              <w:rPr>
                <w:color w:val="000000" w:themeColor="text1"/>
              </w:rPr>
            </w:pPr>
          </w:p>
        </w:tc>
        <w:tc>
          <w:tcPr>
            <w:tcW w:w="714" w:type="pct"/>
            <w:vAlign w:val="center"/>
          </w:tcPr>
          <w:p w14:paraId="7BB59493" w14:textId="1D9B7ABC" w:rsidR="00F4238C" w:rsidRPr="00ED172B" w:rsidRDefault="00F4238C" w:rsidP="00F4238C">
            <w:pPr>
              <w:jc w:val="center"/>
              <w:rPr>
                <w:color w:val="000000" w:themeColor="text1"/>
              </w:rPr>
            </w:pPr>
          </w:p>
        </w:tc>
        <w:tc>
          <w:tcPr>
            <w:tcW w:w="714" w:type="pct"/>
            <w:vAlign w:val="center"/>
          </w:tcPr>
          <w:p w14:paraId="0011BB46" w14:textId="70C041CE" w:rsidR="00F4238C" w:rsidRPr="00ED172B" w:rsidRDefault="00F4238C" w:rsidP="00F4238C">
            <w:pPr>
              <w:jc w:val="center"/>
              <w:rPr>
                <w:color w:val="000000" w:themeColor="text1"/>
              </w:rPr>
            </w:pPr>
          </w:p>
        </w:tc>
        <w:tc>
          <w:tcPr>
            <w:tcW w:w="714" w:type="pct"/>
            <w:vAlign w:val="center"/>
          </w:tcPr>
          <w:p w14:paraId="434A2740" w14:textId="1AA96EEE" w:rsidR="00F4238C" w:rsidRPr="00ED172B" w:rsidRDefault="00F4238C" w:rsidP="00F4238C">
            <w:pPr>
              <w:jc w:val="center"/>
              <w:rPr>
                <w:color w:val="000000" w:themeColor="text1"/>
              </w:rPr>
            </w:pPr>
          </w:p>
        </w:tc>
        <w:tc>
          <w:tcPr>
            <w:tcW w:w="714" w:type="pct"/>
            <w:vAlign w:val="center"/>
          </w:tcPr>
          <w:p w14:paraId="0ED08C49" w14:textId="711153EF" w:rsidR="00F4238C" w:rsidRPr="00ED172B" w:rsidRDefault="00F4238C" w:rsidP="00F4238C">
            <w:pPr>
              <w:jc w:val="center"/>
              <w:rPr>
                <w:color w:val="000000" w:themeColor="text1"/>
              </w:rPr>
            </w:pPr>
          </w:p>
        </w:tc>
      </w:tr>
      <w:tr w:rsidR="00F4238C" w:rsidRPr="00ED172B" w14:paraId="5972E718" w14:textId="50B84274" w:rsidTr="00F85A5B">
        <w:trPr>
          <w:trHeight w:val="357"/>
        </w:trPr>
        <w:tc>
          <w:tcPr>
            <w:tcW w:w="457" w:type="pct"/>
            <w:shd w:val="clear" w:color="auto" w:fill="auto"/>
            <w:vAlign w:val="center"/>
          </w:tcPr>
          <w:p w14:paraId="79E5234D" w14:textId="119BC8E8" w:rsidR="00F4238C" w:rsidRPr="00ED172B" w:rsidRDefault="00F4238C" w:rsidP="00F4238C">
            <w:pPr>
              <w:rPr>
                <w:color w:val="000000" w:themeColor="text1"/>
                <w:szCs w:val="16"/>
              </w:rPr>
            </w:pPr>
            <w:r w:rsidRPr="00ED172B">
              <w:rPr>
                <w:color w:val="000000" w:themeColor="text1"/>
                <w:szCs w:val="16"/>
              </w:rPr>
              <w:t>Target A2 &gt;=</w:t>
            </w:r>
          </w:p>
        </w:tc>
        <w:tc>
          <w:tcPr>
            <w:tcW w:w="973" w:type="pct"/>
            <w:shd w:val="clear" w:color="auto" w:fill="auto"/>
            <w:vAlign w:val="center"/>
          </w:tcPr>
          <w:p w14:paraId="66882A8B" w14:textId="214D868B" w:rsidR="00F4238C" w:rsidRPr="00ED172B" w:rsidRDefault="00F4238C" w:rsidP="00F4238C">
            <w:pPr>
              <w:jc w:val="center"/>
              <w:rPr>
                <w:color w:val="000000" w:themeColor="text1"/>
              </w:rPr>
            </w:pPr>
            <w:r w:rsidRPr="00ED172B">
              <w:rPr>
                <w:color w:val="000000" w:themeColor="text1"/>
              </w:rPr>
              <w:t>71.20%</w:t>
            </w:r>
          </w:p>
        </w:tc>
        <w:tc>
          <w:tcPr>
            <w:tcW w:w="714" w:type="pct"/>
            <w:vAlign w:val="center"/>
          </w:tcPr>
          <w:p w14:paraId="0106F778" w14:textId="40CDEFDC" w:rsidR="00F4238C" w:rsidRPr="00ED172B" w:rsidRDefault="00F4238C" w:rsidP="00F4238C">
            <w:pPr>
              <w:jc w:val="center"/>
              <w:rPr>
                <w:color w:val="000000" w:themeColor="text1"/>
              </w:rPr>
            </w:pPr>
            <w:r w:rsidRPr="00ED172B">
              <w:rPr>
                <w:color w:val="000000" w:themeColor="text1"/>
              </w:rPr>
              <w:t>71.20%</w:t>
            </w:r>
          </w:p>
        </w:tc>
        <w:tc>
          <w:tcPr>
            <w:tcW w:w="714" w:type="pct"/>
            <w:vAlign w:val="center"/>
          </w:tcPr>
          <w:p w14:paraId="03506D5F" w14:textId="3777A476" w:rsidR="00F4238C" w:rsidRPr="00ED172B" w:rsidRDefault="00F4238C" w:rsidP="00F4238C">
            <w:pPr>
              <w:jc w:val="center"/>
              <w:rPr>
                <w:color w:val="000000" w:themeColor="text1"/>
              </w:rPr>
            </w:pPr>
            <w:r w:rsidRPr="00ED172B">
              <w:rPr>
                <w:color w:val="000000" w:themeColor="text1"/>
              </w:rPr>
              <w:t>71.25%</w:t>
            </w:r>
          </w:p>
        </w:tc>
        <w:tc>
          <w:tcPr>
            <w:tcW w:w="714" w:type="pct"/>
            <w:vAlign w:val="center"/>
          </w:tcPr>
          <w:p w14:paraId="3F808086" w14:textId="03ED1F08" w:rsidR="00F4238C" w:rsidRPr="00ED172B" w:rsidRDefault="00F4238C" w:rsidP="00F4238C">
            <w:pPr>
              <w:jc w:val="center"/>
              <w:rPr>
                <w:color w:val="000000" w:themeColor="text1"/>
              </w:rPr>
            </w:pPr>
            <w:r w:rsidRPr="00ED172B">
              <w:rPr>
                <w:color w:val="000000" w:themeColor="text1"/>
              </w:rPr>
              <w:t>71.30%</w:t>
            </w:r>
          </w:p>
        </w:tc>
        <w:tc>
          <w:tcPr>
            <w:tcW w:w="714" w:type="pct"/>
            <w:vAlign w:val="center"/>
          </w:tcPr>
          <w:p w14:paraId="3FCF5DB2" w14:textId="3ACC396B" w:rsidR="00F4238C" w:rsidRPr="00ED172B" w:rsidRDefault="00F4238C" w:rsidP="00F4238C">
            <w:pPr>
              <w:jc w:val="center"/>
              <w:rPr>
                <w:color w:val="000000" w:themeColor="text1"/>
              </w:rPr>
            </w:pPr>
            <w:r w:rsidRPr="00ED172B">
              <w:rPr>
                <w:color w:val="000000" w:themeColor="text1"/>
              </w:rPr>
              <w:t>71.35%</w:t>
            </w:r>
          </w:p>
        </w:tc>
        <w:tc>
          <w:tcPr>
            <w:tcW w:w="714" w:type="pct"/>
            <w:vAlign w:val="center"/>
          </w:tcPr>
          <w:p w14:paraId="114A4C0F" w14:textId="47C38A99" w:rsidR="00F4238C" w:rsidRPr="00ED172B" w:rsidRDefault="00F4238C" w:rsidP="00F4238C">
            <w:pPr>
              <w:jc w:val="center"/>
              <w:rPr>
                <w:color w:val="000000" w:themeColor="text1"/>
              </w:rPr>
            </w:pPr>
            <w:r w:rsidRPr="00ED172B">
              <w:rPr>
                <w:color w:val="000000" w:themeColor="text1"/>
              </w:rPr>
              <w:t>71.40%</w:t>
            </w:r>
          </w:p>
        </w:tc>
      </w:tr>
      <w:tr w:rsidR="00F4238C" w:rsidRPr="00ED172B" w14:paraId="47A76A5E" w14:textId="1A4A04DE" w:rsidTr="00F85A5B">
        <w:trPr>
          <w:trHeight w:val="357"/>
        </w:trPr>
        <w:tc>
          <w:tcPr>
            <w:tcW w:w="457" w:type="pct"/>
            <w:shd w:val="clear" w:color="auto" w:fill="auto"/>
            <w:vAlign w:val="center"/>
          </w:tcPr>
          <w:p w14:paraId="608BCC3B" w14:textId="69D6C453" w:rsidR="00F4238C" w:rsidRPr="00ED172B" w:rsidRDefault="00F4238C" w:rsidP="00F4238C">
            <w:pPr>
              <w:rPr>
                <w:color w:val="000000" w:themeColor="text1"/>
                <w:szCs w:val="16"/>
              </w:rPr>
            </w:pPr>
            <w:r w:rsidRPr="00ED172B">
              <w:rPr>
                <w:rFonts w:cs="Arial"/>
                <w:color w:val="000000" w:themeColor="text1"/>
                <w:szCs w:val="16"/>
              </w:rPr>
              <w:t>A2 AR</w:t>
            </w:r>
          </w:p>
        </w:tc>
        <w:tc>
          <w:tcPr>
            <w:tcW w:w="973" w:type="pct"/>
            <w:shd w:val="clear" w:color="auto" w:fill="auto"/>
            <w:vAlign w:val="center"/>
          </w:tcPr>
          <w:p w14:paraId="6E26D73C" w14:textId="71C448AD" w:rsidR="00F4238C" w:rsidRPr="00ED172B" w:rsidRDefault="00F4238C" w:rsidP="00F4238C">
            <w:pPr>
              <w:jc w:val="center"/>
              <w:rPr>
                <w:color w:val="000000" w:themeColor="text1"/>
              </w:rPr>
            </w:pPr>
          </w:p>
        </w:tc>
        <w:tc>
          <w:tcPr>
            <w:tcW w:w="714" w:type="pct"/>
            <w:vAlign w:val="center"/>
          </w:tcPr>
          <w:p w14:paraId="4B772F30" w14:textId="33A8E96C" w:rsidR="00F4238C" w:rsidRPr="00ED172B" w:rsidRDefault="00F4238C" w:rsidP="00F4238C">
            <w:pPr>
              <w:jc w:val="center"/>
              <w:rPr>
                <w:color w:val="000000" w:themeColor="text1"/>
              </w:rPr>
            </w:pPr>
          </w:p>
        </w:tc>
        <w:tc>
          <w:tcPr>
            <w:tcW w:w="714" w:type="pct"/>
            <w:vAlign w:val="center"/>
          </w:tcPr>
          <w:p w14:paraId="365A27CB" w14:textId="720FA5E7" w:rsidR="00F4238C" w:rsidRPr="00ED172B" w:rsidRDefault="00F4238C" w:rsidP="00F4238C">
            <w:pPr>
              <w:jc w:val="center"/>
              <w:rPr>
                <w:color w:val="000000" w:themeColor="text1"/>
              </w:rPr>
            </w:pPr>
          </w:p>
        </w:tc>
        <w:tc>
          <w:tcPr>
            <w:tcW w:w="714" w:type="pct"/>
            <w:vAlign w:val="center"/>
          </w:tcPr>
          <w:p w14:paraId="3BB56B0A" w14:textId="5D5C8EAB" w:rsidR="00F4238C" w:rsidRPr="00ED172B" w:rsidRDefault="00F4238C" w:rsidP="00F4238C">
            <w:pPr>
              <w:jc w:val="center"/>
              <w:rPr>
                <w:color w:val="000000" w:themeColor="text1"/>
              </w:rPr>
            </w:pPr>
          </w:p>
        </w:tc>
        <w:tc>
          <w:tcPr>
            <w:tcW w:w="714" w:type="pct"/>
            <w:vAlign w:val="center"/>
          </w:tcPr>
          <w:p w14:paraId="39D845BC" w14:textId="42DA2AC9" w:rsidR="00F4238C" w:rsidRPr="00ED172B" w:rsidRDefault="00F4238C" w:rsidP="00F4238C">
            <w:pPr>
              <w:jc w:val="center"/>
              <w:rPr>
                <w:color w:val="000000" w:themeColor="text1"/>
              </w:rPr>
            </w:pPr>
          </w:p>
        </w:tc>
        <w:tc>
          <w:tcPr>
            <w:tcW w:w="714" w:type="pct"/>
            <w:vAlign w:val="center"/>
          </w:tcPr>
          <w:p w14:paraId="38F814BD" w14:textId="46A833BE" w:rsidR="00F4238C" w:rsidRPr="00ED172B" w:rsidRDefault="00F4238C" w:rsidP="00F4238C">
            <w:pPr>
              <w:jc w:val="center"/>
              <w:rPr>
                <w:color w:val="000000" w:themeColor="text1"/>
              </w:rPr>
            </w:pPr>
          </w:p>
        </w:tc>
      </w:tr>
      <w:tr w:rsidR="00F4238C" w:rsidRPr="00ED172B" w14:paraId="326289E7" w14:textId="11D402BE" w:rsidTr="00F85A5B">
        <w:trPr>
          <w:trHeight w:val="357"/>
        </w:trPr>
        <w:tc>
          <w:tcPr>
            <w:tcW w:w="457" w:type="pct"/>
            <w:shd w:val="clear" w:color="auto" w:fill="auto"/>
            <w:vAlign w:val="center"/>
          </w:tcPr>
          <w:p w14:paraId="28187623" w14:textId="16A254C9" w:rsidR="00F4238C" w:rsidRPr="00ED172B" w:rsidRDefault="00F4238C" w:rsidP="00F4238C">
            <w:pPr>
              <w:rPr>
                <w:color w:val="000000" w:themeColor="text1"/>
                <w:szCs w:val="16"/>
              </w:rPr>
            </w:pPr>
            <w:r w:rsidRPr="00ED172B">
              <w:rPr>
                <w:color w:val="000000" w:themeColor="text1"/>
                <w:szCs w:val="16"/>
              </w:rPr>
              <w:t>Target B1 &gt;=</w:t>
            </w:r>
          </w:p>
        </w:tc>
        <w:tc>
          <w:tcPr>
            <w:tcW w:w="973" w:type="pct"/>
            <w:shd w:val="clear" w:color="auto" w:fill="auto"/>
            <w:vAlign w:val="center"/>
          </w:tcPr>
          <w:p w14:paraId="4D78DE34" w14:textId="721262BD" w:rsidR="00F4238C" w:rsidRPr="00ED172B" w:rsidRDefault="00F4238C" w:rsidP="00F4238C">
            <w:pPr>
              <w:jc w:val="center"/>
              <w:rPr>
                <w:color w:val="000000" w:themeColor="text1"/>
              </w:rPr>
            </w:pPr>
            <w:r w:rsidRPr="00ED172B">
              <w:rPr>
                <w:color w:val="000000" w:themeColor="text1"/>
              </w:rPr>
              <w:t>88.00%</w:t>
            </w:r>
          </w:p>
        </w:tc>
        <w:tc>
          <w:tcPr>
            <w:tcW w:w="714" w:type="pct"/>
            <w:vAlign w:val="center"/>
          </w:tcPr>
          <w:p w14:paraId="630351DA" w14:textId="3DD5C7E1" w:rsidR="00F4238C" w:rsidRPr="00ED172B" w:rsidRDefault="00F4238C" w:rsidP="00F4238C">
            <w:pPr>
              <w:jc w:val="center"/>
              <w:rPr>
                <w:color w:val="000000" w:themeColor="text1"/>
              </w:rPr>
            </w:pPr>
            <w:r w:rsidRPr="00ED172B">
              <w:rPr>
                <w:color w:val="000000" w:themeColor="text1"/>
              </w:rPr>
              <w:t>88.10%</w:t>
            </w:r>
          </w:p>
        </w:tc>
        <w:tc>
          <w:tcPr>
            <w:tcW w:w="714" w:type="pct"/>
            <w:vAlign w:val="center"/>
          </w:tcPr>
          <w:p w14:paraId="116800CC" w14:textId="4D61E3FF" w:rsidR="00F4238C" w:rsidRPr="00ED172B" w:rsidRDefault="00F4238C" w:rsidP="00F4238C">
            <w:pPr>
              <w:jc w:val="center"/>
              <w:rPr>
                <w:color w:val="000000" w:themeColor="text1"/>
              </w:rPr>
            </w:pPr>
            <w:r w:rsidRPr="00ED172B">
              <w:rPr>
                <w:color w:val="000000" w:themeColor="text1"/>
              </w:rPr>
              <w:t>88.15%</w:t>
            </w:r>
          </w:p>
        </w:tc>
        <w:tc>
          <w:tcPr>
            <w:tcW w:w="714" w:type="pct"/>
            <w:vAlign w:val="center"/>
          </w:tcPr>
          <w:p w14:paraId="5DF35B76" w14:textId="3F747EA2" w:rsidR="00F4238C" w:rsidRPr="00ED172B" w:rsidRDefault="00F4238C" w:rsidP="00F4238C">
            <w:pPr>
              <w:jc w:val="center"/>
              <w:rPr>
                <w:color w:val="000000" w:themeColor="text1"/>
              </w:rPr>
            </w:pPr>
            <w:r w:rsidRPr="00ED172B">
              <w:rPr>
                <w:color w:val="000000" w:themeColor="text1"/>
              </w:rPr>
              <w:t>88.20%</w:t>
            </w:r>
          </w:p>
        </w:tc>
        <w:tc>
          <w:tcPr>
            <w:tcW w:w="714" w:type="pct"/>
            <w:vAlign w:val="center"/>
          </w:tcPr>
          <w:p w14:paraId="5C08B766" w14:textId="732AF440" w:rsidR="00F4238C" w:rsidRPr="00ED172B" w:rsidRDefault="00F4238C" w:rsidP="00F4238C">
            <w:pPr>
              <w:jc w:val="center"/>
              <w:rPr>
                <w:color w:val="000000" w:themeColor="text1"/>
              </w:rPr>
            </w:pPr>
            <w:r w:rsidRPr="00ED172B">
              <w:rPr>
                <w:color w:val="000000" w:themeColor="text1"/>
              </w:rPr>
              <w:t>88.25%</w:t>
            </w:r>
          </w:p>
        </w:tc>
        <w:tc>
          <w:tcPr>
            <w:tcW w:w="714" w:type="pct"/>
            <w:vAlign w:val="center"/>
          </w:tcPr>
          <w:p w14:paraId="5570B5B8" w14:textId="51E92E90" w:rsidR="00F4238C" w:rsidRPr="00ED172B" w:rsidRDefault="00F4238C" w:rsidP="00F4238C">
            <w:pPr>
              <w:jc w:val="center"/>
              <w:rPr>
                <w:color w:val="000000" w:themeColor="text1"/>
              </w:rPr>
            </w:pPr>
            <w:r w:rsidRPr="00ED172B">
              <w:rPr>
                <w:color w:val="000000" w:themeColor="text1"/>
              </w:rPr>
              <w:t>88.30%</w:t>
            </w:r>
          </w:p>
        </w:tc>
      </w:tr>
      <w:tr w:rsidR="00F4238C" w:rsidRPr="00ED172B" w14:paraId="5055DF87" w14:textId="1792796D" w:rsidTr="00F85A5B">
        <w:trPr>
          <w:trHeight w:val="357"/>
        </w:trPr>
        <w:tc>
          <w:tcPr>
            <w:tcW w:w="457" w:type="pct"/>
            <w:shd w:val="clear" w:color="auto" w:fill="auto"/>
            <w:vAlign w:val="center"/>
          </w:tcPr>
          <w:p w14:paraId="5A2F7FDD" w14:textId="5EC2B960" w:rsidR="00F4238C" w:rsidRPr="00ED172B" w:rsidRDefault="00F4238C" w:rsidP="00F4238C">
            <w:pPr>
              <w:rPr>
                <w:color w:val="000000" w:themeColor="text1"/>
                <w:szCs w:val="16"/>
              </w:rPr>
            </w:pPr>
            <w:r w:rsidRPr="00ED172B">
              <w:rPr>
                <w:rFonts w:cs="Arial"/>
                <w:color w:val="000000" w:themeColor="text1"/>
                <w:szCs w:val="16"/>
              </w:rPr>
              <w:t>B1 AR</w:t>
            </w:r>
          </w:p>
        </w:tc>
        <w:tc>
          <w:tcPr>
            <w:tcW w:w="973" w:type="pct"/>
            <w:shd w:val="clear" w:color="auto" w:fill="auto"/>
            <w:vAlign w:val="center"/>
          </w:tcPr>
          <w:p w14:paraId="6B4921B7" w14:textId="6BA3B6D8" w:rsidR="00F4238C" w:rsidRPr="00ED172B" w:rsidRDefault="00F4238C" w:rsidP="00F4238C">
            <w:pPr>
              <w:jc w:val="center"/>
              <w:rPr>
                <w:color w:val="000000" w:themeColor="text1"/>
              </w:rPr>
            </w:pPr>
          </w:p>
        </w:tc>
        <w:tc>
          <w:tcPr>
            <w:tcW w:w="714" w:type="pct"/>
            <w:vAlign w:val="center"/>
          </w:tcPr>
          <w:p w14:paraId="52251FE8" w14:textId="79AC3921" w:rsidR="00F4238C" w:rsidRPr="00ED172B" w:rsidRDefault="00F4238C" w:rsidP="00F4238C">
            <w:pPr>
              <w:jc w:val="center"/>
              <w:rPr>
                <w:color w:val="000000" w:themeColor="text1"/>
              </w:rPr>
            </w:pPr>
          </w:p>
        </w:tc>
        <w:tc>
          <w:tcPr>
            <w:tcW w:w="714" w:type="pct"/>
            <w:vAlign w:val="center"/>
          </w:tcPr>
          <w:p w14:paraId="7545D98D" w14:textId="5F1899A1" w:rsidR="00F4238C" w:rsidRPr="00ED172B" w:rsidRDefault="00F4238C" w:rsidP="00F4238C">
            <w:pPr>
              <w:jc w:val="center"/>
              <w:rPr>
                <w:color w:val="000000" w:themeColor="text1"/>
              </w:rPr>
            </w:pPr>
          </w:p>
        </w:tc>
        <w:tc>
          <w:tcPr>
            <w:tcW w:w="714" w:type="pct"/>
            <w:vAlign w:val="center"/>
          </w:tcPr>
          <w:p w14:paraId="13B7E100" w14:textId="4DCA8C08" w:rsidR="00F4238C" w:rsidRPr="00ED172B" w:rsidRDefault="00F4238C" w:rsidP="00F4238C">
            <w:pPr>
              <w:jc w:val="center"/>
              <w:rPr>
                <w:color w:val="000000" w:themeColor="text1"/>
              </w:rPr>
            </w:pPr>
          </w:p>
        </w:tc>
        <w:tc>
          <w:tcPr>
            <w:tcW w:w="714" w:type="pct"/>
            <w:vAlign w:val="center"/>
          </w:tcPr>
          <w:p w14:paraId="103F6A56" w14:textId="6E6AE0E0" w:rsidR="00F4238C" w:rsidRPr="00ED172B" w:rsidRDefault="00F4238C" w:rsidP="00F4238C">
            <w:pPr>
              <w:jc w:val="center"/>
              <w:rPr>
                <w:color w:val="000000" w:themeColor="text1"/>
              </w:rPr>
            </w:pPr>
          </w:p>
        </w:tc>
        <w:tc>
          <w:tcPr>
            <w:tcW w:w="714" w:type="pct"/>
            <w:vAlign w:val="center"/>
          </w:tcPr>
          <w:p w14:paraId="6BDF1498" w14:textId="1541E6A4" w:rsidR="00F4238C" w:rsidRPr="00ED172B" w:rsidRDefault="00F4238C" w:rsidP="00F4238C">
            <w:pPr>
              <w:jc w:val="center"/>
              <w:rPr>
                <w:color w:val="000000" w:themeColor="text1"/>
              </w:rPr>
            </w:pPr>
          </w:p>
        </w:tc>
      </w:tr>
      <w:tr w:rsidR="00F4238C" w:rsidRPr="00ED172B" w14:paraId="036489EB" w14:textId="32337A76" w:rsidTr="00F85A5B">
        <w:trPr>
          <w:trHeight w:val="357"/>
        </w:trPr>
        <w:tc>
          <w:tcPr>
            <w:tcW w:w="457" w:type="pct"/>
            <w:shd w:val="clear" w:color="auto" w:fill="auto"/>
            <w:vAlign w:val="center"/>
          </w:tcPr>
          <w:p w14:paraId="09512A7A" w14:textId="228AE72F" w:rsidR="00F4238C" w:rsidRPr="00ED172B" w:rsidRDefault="00F4238C" w:rsidP="00F4238C">
            <w:pPr>
              <w:rPr>
                <w:color w:val="000000" w:themeColor="text1"/>
                <w:szCs w:val="16"/>
              </w:rPr>
            </w:pPr>
            <w:r w:rsidRPr="00ED172B">
              <w:rPr>
                <w:color w:val="000000" w:themeColor="text1"/>
                <w:szCs w:val="16"/>
              </w:rPr>
              <w:t>Target B2 &gt;=</w:t>
            </w:r>
          </w:p>
        </w:tc>
        <w:tc>
          <w:tcPr>
            <w:tcW w:w="973" w:type="pct"/>
            <w:shd w:val="clear" w:color="auto" w:fill="auto"/>
            <w:vAlign w:val="center"/>
          </w:tcPr>
          <w:p w14:paraId="09D74FB5" w14:textId="5F5CF982" w:rsidR="00F4238C" w:rsidRPr="00ED172B" w:rsidRDefault="00F4238C" w:rsidP="00F4238C">
            <w:pPr>
              <w:jc w:val="center"/>
              <w:rPr>
                <w:color w:val="000000" w:themeColor="text1"/>
              </w:rPr>
            </w:pPr>
            <w:r w:rsidRPr="00ED172B">
              <w:rPr>
                <w:color w:val="000000" w:themeColor="text1"/>
              </w:rPr>
              <w:t>52.00%</w:t>
            </w:r>
          </w:p>
        </w:tc>
        <w:tc>
          <w:tcPr>
            <w:tcW w:w="714" w:type="pct"/>
            <w:vAlign w:val="center"/>
          </w:tcPr>
          <w:p w14:paraId="15660D6F" w14:textId="1C39DF65" w:rsidR="00F4238C" w:rsidRPr="00ED172B" w:rsidRDefault="00F4238C" w:rsidP="00F4238C">
            <w:pPr>
              <w:jc w:val="center"/>
              <w:rPr>
                <w:color w:val="000000" w:themeColor="text1"/>
              </w:rPr>
            </w:pPr>
            <w:r w:rsidRPr="00ED172B">
              <w:rPr>
                <w:color w:val="000000" w:themeColor="text1"/>
              </w:rPr>
              <w:t>52.00%</w:t>
            </w:r>
          </w:p>
        </w:tc>
        <w:tc>
          <w:tcPr>
            <w:tcW w:w="714" w:type="pct"/>
            <w:vAlign w:val="center"/>
          </w:tcPr>
          <w:p w14:paraId="071E1BEB" w14:textId="733BF9E8" w:rsidR="00F4238C" w:rsidRPr="00ED172B" w:rsidRDefault="00F4238C" w:rsidP="00F4238C">
            <w:pPr>
              <w:jc w:val="center"/>
              <w:rPr>
                <w:color w:val="000000" w:themeColor="text1"/>
              </w:rPr>
            </w:pPr>
            <w:r w:rsidRPr="00ED172B">
              <w:rPr>
                <w:color w:val="000000" w:themeColor="text1"/>
              </w:rPr>
              <w:t>52.10%</w:t>
            </w:r>
          </w:p>
        </w:tc>
        <w:tc>
          <w:tcPr>
            <w:tcW w:w="714" w:type="pct"/>
            <w:vAlign w:val="center"/>
          </w:tcPr>
          <w:p w14:paraId="2921A984" w14:textId="5EEF3FC7" w:rsidR="00F4238C" w:rsidRPr="00ED172B" w:rsidRDefault="00F4238C" w:rsidP="00F4238C">
            <w:pPr>
              <w:jc w:val="center"/>
              <w:rPr>
                <w:color w:val="000000" w:themeColor="text1"/>
              </w:rPr>
            </w:pPr>
            <w:r w:rsidRPr="00ED172B">
              <w:rPr>
                <w:color w:val="000000" w:themeColor="text1"/>
              </w:rPr>
              <w:t>52.15%</w:t>
            </w:r>
          </w:p>
        </w:tc>
        <w:tc>
          <w:tcPr>
            <w:tcW w:w="714" w:type="pct"/>
            <w:vAlign w:val="center"/>
          </w:tcPr>
          <w:p w14:paraId="0B70E7B3" w14:textId="1B6E90EF" w:rsidR="00F4238C" w:rsidRPr="00ED172B" w:rsidRDefault="00F4238C" w:rsidP="00F4238C">
            <w:pPr>
              <w:jc w:val="center"/>
              <w:rPr>
                <w:color w:val="000000" w:themeColor="text1"/>
              </w:rPr>
            </w:pPr>
            <w:r w:rsidRPr="00ED172B">
              <w:rPr>
                <w:color w:val="000000" w:themeColor="text1"/>
              </w:rPr>
              <w:t>52.20%</w:t>
            </w:r>
          </w:p>
        </w:tc>
        <w:tc>
          <w:tcPr>
            <w:tcW w:w="714" w:type="pct"/>
            <w:vAlign w:val="center"/>
          </w:tcPr>
          <w:p w14:paraId="05758118" w14:textId="7BBAD9EB" w:rsidR="00F4238C" w:rsidRPr="00ED172B" w:rsidRDefault="00F4238C" w:rsidP="00F4238C">
            <w:pPr>
              <w:jc w:val="center"/>
              <w:rPr>
                <w:color w:val="000000" w:themeColor="text1"/>
              </w:rPr>
            </w:pPr>
            <w:r w:rsidRPr="00ED172B">
              <w:rPr>
                <w:color w:val="000000" w:themeColor="text1"/>
              </w:rPr>
              <w:t>52.25%</w:t>
            </w:r>
          </w:p>
        </w:tc>
      </w:tr>
      <w:tr w:rsidR="00F4238C" w:rsidRPr="00ED172B" w14:paraId="000E0E25" w14:textId="6CBB9CA4" w:rsidTr="00F85A5B">
        <w:trPr>
          <w:trHeight w:val="357"/>
        </w:trPr>
        <w:tc>
          <w:tcPr>
            <w:tcW w:w="457" w:type="pct"/>
            <w:shd w:val="clear" w:color="auto" w:fill="auto"/>
            <w:vAlign w:val="center"/>
          </w:tcPr>
          <w:p w14:paraId="0350BAE8" w14:textId="69126BD8" w:rsidR="00F4238C" w:rsidRPr="00ED172B" w:rsidRDefault="00F4238C" w:rsidP="00F4238C">
            <w:pPr>
              <w:rPr>
                <w:color w:val="000000" w:themeColor="text1"/>
                <w:szCs w:val="16"/>
              </w:rPr>
            </w:pPr>
            <w:r w:rsidRPr="00ED172B">
              <w:rPr>
                <w:rFonts w:cs="Arial"/>
                <w:color w:val="000000" w:themeColor="text1"/>
                <w:szCs w:val="16"/>
              </w:rPr>
              <w:t>B2 AR</w:t>
            </w:r>
          </w:p>
        </w:tc>
        <w:tc>
          <w:tcPr>
            <w:tcW w:w="973" w:type="pct"/>
            <w:shd w:val="clear" w:color="auto" w:fill="auto"/>
            <w:vAlign w:val="center"/>
          </w:tcPr>
          <w:p w14:paraId="4B1F1572" w14:textId="4FCC82F6" w:rsidR="00F4238C" w:rsidRPr="00ED172B" w:rsidRDefault="00F4238C" w:rsidP="00F4238C">
            <w:pPr>
              <w:jc w:val="center"/>
              <w:rPr>
                <w:color w:val="000000" w:themeColor="text1"/>
              </w:rPr>
            </w:pPr>
          </w:p>
        </w:tc>
        <w:tc>
          <w:tcPr>
            <w:tcW w:w="714" w:type="pct"/>
            <w:vAlign w:val="center"/>
          </w:tcPr>
          <w:p w14:paraId="214BF16B" w14:textId="4A46F5F2" w:rsidR="00F4238C" w:rsidRPr="00ED172B" w:rsidRDefault="00F4238C" w:rsidP="00F4238C">
            <w:pPr>
              <w:jc w:val="center"/>
              <w:rPr>
                <w:color w:val="000000" w:themeColor="text1"/>
              </w:rPr>
            </w:pPr>
          </w:p>
        </w:tc>
        <w:tc>
          <w:tcPr>
            <w:tcW w:w="714" w:type="pct"/>
            <w:vAlign w:val="center"/>
          </w:tcPr>
          <w:p w14:paraId="7979654B" w14:textId="1F561C35" w:rsidR="00F4238C" w:rsidRPr="00ED172B" w:rsidRDefault="00F4238C" w:rsidP="00F4238C">
            <w:pPr>
              <w:jc w:val="center"/>
              <w:rPr>
                <w:color w:val="000000" w:themeColor="text1"/>
              </w:rPr>
            </w:pPr>
          </w:p>
        </w:tc>
        <w:tc>
          <w:tcPr>
            <w:tcW w:w="714" w:type="pct"/>
            <w:vAlign w:val="center"/>
          </w:tcPr>
          <w:p w14:paraId="412FDCC4" w14:textId="4584E82F" w:rsidR="00F4238C" w:rsidRPr="00ED172B" w:rsidRDefault="00F4238C" w:rsidP="00F4238C">
            <w:pPr>
              <w:jc w:val="center"/>
              <w:rPr>
                <w:color w:val="000000" w:themeColor="text1"/>
              </w:rPr>
            </w:pPr>
          </w:p>
        </w:tc>
        <w:tc>
          <w:tcPr>
            <w:tcW w:w="714" w:type="pct"/>
            <w:vAlign w:val="center"/>
          </w:tcPr>
          <w:p w14:paraId="6435220B" w14:textId="16CC1F21" w:rsidR="00F4238C" w:rsidRPr="00ED172B" w:rsidRDefault="00F4238C" w:rsidP="00F4238C">
            <w:pPr>
              <w:jc w:val="center"/>
              <w:rPr>
                <w:color w:val="000000" w:themeColor="text1"/>
              </w:rPr>
            </w:pPr>
          </w:p>
        </w:tc>
        <w:tc>
          <w:tcPr>
            <w:tcW w:w="714" w:type="pct"/>
            <w:vAlign w:val="center"/>
          </w:tcPr>
          <w:p w14:paraId="6567EDD7" w14:textId="2FD2F67A" w:rsidR="00F4238C" w:rsidRPr="00ED172B" w:rsidRDefault="00F4238C" w:rsidP="00F4238C">
            <w:pPr>
              <w:jc w:val="center"/>
              <w:rPr>
                <w:color w:val="000000" w:themeColor="text1"/>
              </w:rPr>
            </w:pPr>
          </w:p>
        </w:tc>
      </w:tr>
      <w:tr w:rsidR="00F4238C" w:rsidRPr="00ED172B" w14:paraId="17693616" w14:textId="50C0B18A" w:rsidTr="00F85A5B">
        <w:trPr>
          <w:trHeight w:val="357"/>
        </w:trPr>
        <w:tc>
          <w:tcPr>
            <w:tcW w:w="457" w:type="pct"/>
            <w:shd w:val="clear" w:color="auto" w:fill="auto"/>
            <w:vAlign w:val="center"/>
          </w:tcPr>
          <w:p w14:paraId="430BB10C" w14:textId="6791B00F" w:rsidR="00F4238C" w:rsidRPr="00ED172B" w:rsidRDefault="00F4238C" w:rsidP="00F4238C">
            <w:pPr>
              <w:rPr>
                <w:color w:val="000000" w:themeColor="text1"/>
                <w:szCs w:val="16"/>
              </w:rPr>
            </w:pPr>
            <w:r w:rsidRPr="00ED172B">
              <w:rPr>
                <w:color w:val="000000" w:themeColor="text1"/>
                <w:szCs w:val="16"/>
              </w:rPr>
              <w:t>Target C1 &gt;=</w:t>
            </w:r>
          </w:p>
        </w:tc>
        <w:tc>
          <w:tcPr>
            <w:tcW w:w="973" w:type="pct"/>
            <w:shd w:val="clear" w:color="auto" w:fill="auto"/>
            <w:vAlign w:val="center"/>
          </w:tcPr>
          <w:p w14:paraId="3293E770" w14:textId="3B73713F" w:rsidR="00F4238C" w:rsidRPr="00ED172B" w:rsidRDefault="00F4238C" w:rsidP="00F4238C">
            <w:pPr>
              <w:jc w:val="center"/>
              <w:rPr>
                <w:color w:val="000000" w:themeColor="text1"/>
              </w:rPr>
            </w:pPr>
            <w:r w:rsidRPr="00ED172B">
              <w:rPr>
                <w:color w:val="000000" w:themeColor="text1"/>
              </w:rPr>
              <w:t>95.00%</w:t>
            </w:r>
          </w:p>
        </w:tc>
        <w:tc>
          <w:tcPr>
            <w:tcW w:w="714" w:type="pct"/>
            <w:vAlign w:val="center"/>
          </w:tcPr>
          <w:p w14:paraId="584C04B4" w14:textId="4B4676B8" w:rsidR="00F4238C" w:rsidRPr="00ED172B" w:rsidRDefault="00F4238C" w:rsidP="00F4238C">
            <w:pPr>
              <w:jc w:val="center"/>
              <w:rPr>
                <w:color w:val="000000" w:themeColor="text1"/>
              </w:rPr>
            </w:pPr>
            <w:r w:rsidRPr="00ED172B">
              <w:rPr>
                <w:color w:val="000000" w:themeColor="text1"/>
              </w:rPr>
              <w:t>95.10%</w:t>
            </w:r>
          </w:p>
        </w:tc>
        <w:tc>
          <w:tcPr>
            <w:tcW w:w="714" w:type="pct"/>
            <w:vAlign w:val="center"/>
          </w:tcPr>
          <w:p w14:paraId="775D52EA" w14:textId="694546DC" w:rsidR="00F4238C" w:rsidRPr="00ED172B" w:rsidRDefault="00F4238C" w:rsidP="00F4238C">
            <w:pPr>
              <w:jc w:val="center"/>
              <w:rPr>
                <w:color w:val="000000" w:themeColor="text1"/>
              </w:rPr>
            </w:pPr>
            <w:r w:rsidRPr="00ED172B">
              <w:rPr>
                <w:color w:val="000000" w:themeColor="text1"/>
              </w:rPr>
              <w:t>95.10%</w:t>
            </w:r>
          </w:p>
        </w:tc>
        <w:tc>
          <w:tcPr>
            <w:tcW w:w="714" w:type="pct"/>
            <w:vAlign w:val="center"/>
          </w:tcPr>
          <w:p w14:paraId="5242DFEE" w14:textId="21BC53D8" w:rsidR="00F4238C" w:rsidRPr="00ED172B" w:rsidRDefault="00F4238C" w:rsidP="00F4238C">
            <w:pPr>
              <w:jc w:val="center"/>
              <w:rPr>
                <w:color w:val="000000" w:themeColor="text1"/>
              </w:rPr>
            </w:pPr>
            <w:r w:rsidRPr="00ED172B">
              <w:rPr>
                <w:color w:val="000000" w:themeColor="text1"/>
              </w:rPr>
              <w:t>95.20%</w:t>
            </w:r>
          </w:p>
        </w:tc>
        <w:tc>
          <w:tcPr>
            <w:tcW w:w="714" w:type="pct"/>
            <w:vAlign w:val="center"/>
          </w:tcPr>
          <w:p w14:paraId="6A95904A" w14:textId="50E94ADA" w:rsidR="00F4238C" w:rsidRPr="00ED172B" w:rsidRDefault="00F4238C" w:rsidP="00F4238C">
            <w:pPr>
              <w:jc w:val="center"/>
              <w:rPr>
                <w:color w:val="000000" w:themeColor="text1"/>
              </w:rPr>
            </w:pPr>
            <w:r w:rsidRPr="00ED172B">
              <w:rPr>
                <w:color w:val="000000" w:themeColor="text1"/>
              </w:rPr>
              <w:t>95.30%</w:t>
            </w:r>
          </w:p>
        </w:tc>
        <w:tc>
          <w:tcPr>
            <w:tcW w:w="714" w:type="pct"/>
            <w:vAlign w:val="center"/>
          </w:tcPr>
          <w:p w14:paraId="06CD5721" w14:textId="20E96EAE" w:rsidR="00F4238C" w:rsidRPr="00ED172B" w:rsidRDefault="00F4238C" w:rsidP="00F4238C">
            <w:pPr>
              <w:jc w:val="center"/>
              <w:rPr>
                <w:color w:val="000000" w:themeColor="text1"/>
              </w:rPr>
            </w:pPr>
            <w:r w:rsidRPr="00ED172B">
              <w:rPr>
                <w:color w:val="000000" w:themeColor="text1"/>
              </w:rPr>
              <w:t>95.40%</w:t>
            </w:r>
          </w:p>
        </w:tc>
      </w:tr>
      <w:tr w:rsidR="00F4238C" w:rsidRPr="00ED172B" w14:paraId="0C0A9C5B" w14:textId="2CE2FDC8" w:rsidTr="00F85A5B">
        <w:trPr>
          <w:trHeight w:val="357"/>
        </w:trPr>
        <w:tc>
          <w:tcPr>
            <w:tcW w:w="457" w:type="pct"/>
            <w:shd w:val="clear" w:color="auto" w:fill="auto"/>
            <w:vAlign w:val="center"/>
          </w:tcPr>
          <w:p w14:paraId="0D419673" w14:textId="57458D07" w:rsidR="00F4238C" w:rsidRPr="00ED172B" w:rsidRDefault="00F4238C" w:rsidP="00F4238C">
            <w:pPr>
              <w:rPr>
                <w:color w:val="000000" w:themeColor="text1"/>
                <w:szCs w:val="16"/>
              </w:rPr>
            </w:pPr>
            <w:r w:rsidRPr="00ED172B">
              <w:rPr>
                <w:rFonts w:cs="Arial"/>
                <w:color w:val="000000" w:themeColor="text1"/>
                <w:szCs w:val="16"/>
              </w:rPr>
              <w:t>C1 AR</w:t>
            </w:r>
          </w:p>
        </w:tc>
        <w:tc>
          <w:tcPr>
            <w:tcW w:w="973" w:type="pct"/>
            <w:shd w:val="clear" w:color="auto" w:fill="auto"/>
            <w:vAlign w:val="center"/>
          </w:tcPr>
          <w:p w14:paraId="2835768C" w14:textId="4640C873" w:rsidR="00F4238C" w:rsidRPr="00ED172B" w:rsidRDefault="00F4238C" w:rsidP="00F4238C">
            <w:pPr>
              <w:jc w:val="center"/>
              <w:rPr>
                <w:color w:val="000000" w:themeColor="text1"/>
              </w:rPr>
            </w:pPr>
          </w:p>
        </w:tc>
        <w:tc>
          <w:tcPr>
            <w:tcW w:w="714" w:type="pct"/>
            <w:vAlign w:val="center"/>
          </w:tcPr>
          <w:p w14:paraId="6909A06F" w14:textId="3647C8C0" w:rsidR="00F4238C" w:rsidRPr="00ED172B" w:rsidRDefault="00F4238C" w:rsidP="00F4238C">
            <w:pPr>
              <w:jc w:val="center"/>
              <w:rPr>
                <w:color w:val="000000" w:themeColor="text1"/>
              </w:rPr>
            </w:pPr>
          </w:p>
        </w:tc>
        <w:tc>
          <w:tcPr>
            <w:tcW w:w="714" w:type="pct"/>
            <w:vAlign w:val="center"/>
          </w:tcPr>
          <w:p w14:paraId="315CB3D8" w14:textId="7AED48C9" w:rsidR="00F4238C" w:rsidRPr="00ED172B" w:rsidRDefault="00F4238C" w:rsidP="00F4238C">
            <w:pPr>
              <w:jc w:val="center"/>
              <w:rPr>
                <w:color w:val="000000" w:themeColor="text1"/>
              </w:rPr>
            </w:pPr>
          </w:p>
        </w:tc>
        <w:tc>
          <w:tcPr>
            <w:tcW w:w="714" w:type="pct"/>
            <w:vAlign w:val="center"/>
          </w:tcPr>
          <w:p w14:paraId="4C6C2010" w14:textId="7C0E3B74" w:rsidR="00F4238C" w:rsidRPr="00ED172B" w:rsidRDefault="00F4238C" w:rsidP="00F4238C">
            <w:pPr>
              <w:jc w:val="center"/>
              <w:rPr>
                <w:color w:val="000000" w:themeColor="text1"/>
              </w:rPr>
            </w:pPr>
          </w:p>
        </w:tc>
        <w:tc>
          <w:tcPr>
            <w:tcW w:w="714" w:type="pct"/>
            <w:vAlign w:val="center"/>
          </w:tcPr>
          <w:p w14:paraId="6B16E14C" w14:textId="490BDBD5" w:rsidR="00F4238C" w:rsidRPr="00ED172B" w:rsidRDefault="00F4238C" w:rsidP="00F4238C">
            <w:pPr>
              <w:jc w:val="center"/>
              <w:rPr>
                <w:color w:val="000000" w:themeColor="text1"/>
              </w:rPr>
            </w:pPr>
          </w:p>
        </w:tc>
        <w:tc>
          <w:tcPr>
            <w:tcW w:w="714" w:type="pct"/>
            <w:vAlign w:val="center"/>
          </w:tcPr>
          <w:p w14:paraId="67CE187E" w14:textId="66FD5C9C" w:rsidR="00F4238C" w:rsidRPr="00ED172B" w:rsidRDefault="00F4238C" w:rsidP="00F4238C">
            <w:pPr>
              <w:jc w:val="center"/>
              <w:rPr>
                <w:color w:val="000000" w:themeColor="text1"/>
              </w:rPr>
            </w:pPr>
          </w:p>
        </w:tc>
      </w:tr>
      <w:tr w:rsidR="00F4238C" w:rsidRPr="00ED172B" w14:paraId="53A45FFA" w14:textId="67D3ABB9" w:rsidTr="00F85A5B">
        <w:trPr>
          <w:trHeight w:val="357"/>
        </w:trPr>
        <w:tc>
          <w:tcPr>
            <w:tcW w:w="457" w:type="pct"/>
            <w:shd w:val="clear" w:color="auto" w:fill="auto"/>
            <w:vAlign w:val="center"/>
          </w:tcPr>
          <w:p w14:paraId="3A4CA3C3" w14:textId="62CD31CE" w:rsidR="00F4238C" w:rsidRPr="00ED172B" w:rsidRDefault="00F4238C" w:rsidP="00F4238C">
            <w:pPr>
              <w:rPr>
                <w:color w:val="000000" w:themeColor="text1"/>
                <w:szCs w:val="16"/>
              </w:rPr>
            </w:pPr>
            <w:r w:rsidRPr="00ED172B">
              <w:rPr>
                <w:color w:val="000000" w:themeColor="text1"/>
                <w:szCs w:val="16"/>
              </w:rPr>
              <w:t>Target C2 &gt;=</w:t>
            </w:r>
          </w:p>
        </w:tc>
        <w:tc>
          <w:tcPr>
            <w:tcW w:w="973" w:type="pct"/>
            <w:shd w:val="clear" w:color="auto" w:fill="auto"/>
            <w:vAlign w:val="center"/>
          </w:tcPr>
          <w:p w14:paraId="29334B67" w14:textId="22597CE7" w:rsidR="00F4238C" w:rsidRPr="00ED172B" w:rsidRDefault="00F4238C" w:rsidP="00F4238C">
            <w:pPr>
              <w:jc w:val="center"/>
              <w:rPr>
                <w:color w:val="000000" w:themeColor="text1"/>
              </w:rPr>
            </w:pPr>
            <w:r w:rsidRPr="00ED172B">
              <w:rPr>
                <w:color w:val="000000" w:themeColor="text1"/>
              </w:rPr>
              <w:t>74.00%</w:t>
            </w:r>
          </w:p>
        </w:tc>
        <w:tc>
          <w:tcPr>
            <w:tcW w:w="714" w:type="pct"/>
            <w:vAlign w:val="center"/>
          </w:tcPr>
          <w:p w14:paraId="3F8DF653" w14:textId="20D6AB89" w:rsidR="00F4238C" w:rsidRPr="00ED172B" w:rsidRDefault="00F4238C" w:rsidP="00F4238C">
            <w:pPr>
              <w:jc w:val="center"/>
              <w:rPr>
                <w:color w:val="000000" w:themeColor="text1"/>
              </w:rPr>
            </w:pPr>
            <w:r w:rsidRPr="00ED172B">
              <w:rPr>
                <w:color w:val="000000" w:themeColor="text1"/>
              </w:rPr>
              <w:t>74.00%</w:t>
            </w:r>
          </w:p>
        </w:tc>
        <w:tc>
          <w:tcPr>
            <w:tcW w:w="714" w:type="pct"/>
            <w:vAlign w:val="center"/>
          </w:tcPr>
          <w:p w14:paraId="442F9928" w14:textId="667F5898" w:rsidR="00F4238C" w:rsidRPr="00ED172B" w:rsidRDefault="00F4238C" w:rsidP="00F4238C">
            <w:pPr>
              <w:jc w:val="center"/>
              <w:rPr>
                <w:color w:val="000000" w:themeColor="text1"/>
              </w:rPr>
            </w:pPr>
            <w:r w:rsidRPr="00ED172B">
              <w:rPr>
                <w:color w:val="000000" w:themeColor="text1"/>
              </w:rPr>
              <w:t>74.10%</w:t>
            </w:r>
          </w:p>
        </w:tc>
        <w:tc>
          <w:tcPr>
            <w:tcW w:w="714" w:type="pct"/>
            <w:vAlign w:val="center"/>
          </w:tcPr>
          <w:p w14:paraId="7113668D" w14:textId="3E76B767" w:rsidR="00F4238C" w:rsidRPr="00ED172B" w:rsidRDefault="00F4238C" w:rsidP="00F4238C">
            <w:pPr>
              <w:jc w:val="center"/>
              <w:rPr>
                <w:color w:val="000000" w:themeColor="text1"/>
              </w:rPr>
            </w:pPr>
            <w:r w:rsidRPr="00ED172B">
              <w:rPr>
                <w:color w:val="000000" w:themeColor="text1"/>
              </w:rPr>
              <w:t>74.10%</w:t>
            </w:r>
          </w:p>
        </w:tc>
        <w:tc>
          <w:tcPr>
            <w:tcW w:w="714" w:type="pct"/>
            <w:vAlign w:val="center"/>
          </w:tcPr>
          <w:p w14:paraId="105212F5" w14:textId="6B66D1BE" w:rsidR="00F4238C" w:rsidRPr="00ED172B" w:rsidRDefault="00F4238C" w:rsidP="00F4238C">
            <w:pPr>
              <w:jc w:val="center"/>
              <w:rPr>
                <w:color w:val="000000" w:themeColor="text1"/>
              </w:rPr>
            </w:pPr>
            <w:r w:rsidRPr="00ED172B">
              <w:rPr>
                <w:color w:val="000000" w:themeColor="text1"/>
              </w:rPr>
              <w:t>74.20%</w:t>
            </w:r>
          </w:p>
        </w:tc>
        <w:tc>
          <w:tcPr>
            <w:tcW w:w="714" w:type="pct"/>
            <w:vAlign w:val="center"/>
          </w:tcPr>
          <w:p w14:paraId="37ADEB7D" w14:textId="6289525E" w:rsidR="00F4238C" w:rsidRPr="00ED172B" w:rsidRDefault="00F4238C" w:rsidP="00F4238C">
            <w:pPr>
              <w:jc w:val="center"/>
              <w:rPr>
                <w:color w:val="000000" w:themeColor="text1"/>
              </w:rPr>
            </w:pPr>
            <w:r w:rsidRPr="00ED172B">
              <w:rPr>
                <w:color w:val="000000" w:themeColor="text1"/>
              </w:rPr>
              <w:t>74.30%</w:t>
            </w:r>
          </w:p>
        </w:tc>
      </w:tr>
      <w:tr w:rsidR="00F4238C" w:rsidRPr="00ED172B" w14:paraId="0315505E" w14:textId="63C28655" w:rsidTr="00F85A5B">
        <w:trPr>
          <w:trHeight w:val="357"/>
        </w:trPr>
        <w:tc>
          <w:tcPr>
            <w:tcW w:w="457" w:type="pct"/>
            <w:shd w:val="clear" w:color="auto" w:fill="auto"/>
            <w:vAlign w:val="center"/>
          </w:tcPr>
          <w:p w14:paraId="2EA196BF" w14:textId="5D9F7D90" w:rsidR="00F4238C" w:rsidRPr="00ED172B" w:rsidRDefault="00F4238C" w:rsidP="00F4238C">
            <w:pPr>
              <w:rPr>
                <w:color w:val="000000" w:themeColor="text1"/>
                <w:szCs w:val="16"/>
              </w:rPr>
            </w:pPr>
            <w:r w:rsidRPr="00ED172B">
              <w:rPr>
                <w:rFonts w:cs="Arial"/>
                <w:color w:val="000000" w:themeColor="text1"/>
                <w:szCs w:val="16"/>
              </w:rPr>
              <w:t>C2 AR</w:t>
            </w:r>
          </w:p>
        </w:tc>
        <w:tc>
          <w:tcPr>
            <w:tcW w:w="973" w:type="pct"/>
            <w:shd w:val="clear" w:color="auto" w:fill="auto"/>
            <w:vAlign w:val="center"/>
          </w:tcPr>
          <w:p w14:paraId="0820F535" w14:textId="59506D62" w:rsidR="00F4238C" w:rsidRPr="00ED172B" w:rsidRDefault="00F4238C" w:rsidP="00F4238C">
            <w:pPr>
              <w:jc w:val="center"/>
              <w:rPr>
                <w:color w:val="000000" w:themeColor="text1"/>
              </w:rPr>
            </w:pPr>
          </w:p>
        </w:tc>
        <w:tc>
          <w:tcPr>
            <w:tcW w:w="714" w:type="pct"/>
            <w:vAlign w:val="center"/>
          </w:tcPr>
          <w:p w14:paraId="18ABAD92" w14:textId="4929D32A" w:rsidR="00F4238C" w:rsidRPr="00ED172B" w:rsidRDefault="00F4238C" w:rsidP="00F4238C">
            <w:pPr>
              <w:jc w:val="center"/>
              <w:rPr>
                <w:color w:val="000000" w:themeColor="text1"/>
              </w:rPr>
            </w:pPr>
          </w:p>
        </w:tc>
        <w:tc>
          <w:tcPr>
            <w:tcW w:w="714" w:type="pct"/>
            <w:vAlign w:val="center"/>
          </w:tcPr>
          <w:p w14:paraId="0D2E81AD" w14:textId="6496C520" w:rsidR="00F4238C" w:rsidRPr="00ED172B" w:rsidRDefault="00F4238C" w:rsidP="00F4238C">
            <w:pPr>
              <w:jc w:val="center"/>
              <w:rPr>
                <w:color w:val="000000" w:themeColor="text1"/>
              </w:rPr>
            </w:pPr>
          </w:p>
        </w:tc>
        <w:tc>
          <w:tcPr>
            <w:tcW w:w="714" w:type="pct"/>
            <w:vAlign w:val="center"/>
          </w:tcPr>
          <w:p w14:paraId="4C316FD6" w14:textId="071558C9" w:rsidR="00F4238C" w:rsidRPr="00ED172B" w:rsidRDefault="00F4238C" w:rsidP="00F4238C">
            <w:pPr>
              <w:jc w:val="center"/>
              <w:rPr>
                <w:color w:val="000000" w:themeColor="text1"/>
              </w:rPr>
            </w:pPr>
          </w:p>
        </w:tc>
        <w:tc>
          <w:tcPr>
            <w:tcW w:w="714" w:type="pct"/>
            <w:vAlign w:val="center"/>
          </w:tcPr>
          <w:p w14:paraId="1F9C421B" w14:textId="58FBC9AB" w:rsidR="00F4238C" w:rsidRPr="00ED172B" w:rsidRDefault="00F4238C" w:rsidP="00F4238C">
            <w:pPr>
              <w:jc w:val="center"/>
              <w:rPr>
                <w:color w:val="000000" w:themeColor="text1"/>
              </w:rPr>
            </w:pPr>
          </w:p>
        </w:tc>
        <w:tc>
          <w:tcPr>
            <w:tcW w:w="714" w:type="pct"/>
            <w:vAlign w:val="center"/>
          </w:tcPr>
          <w:p w14:paraId="48A0C5B9" w14:textId="4E749D3B" w:rsidR="00F4238C" w:rsidRPr="00ED172B" w:rsidRDefault="00F4238C" w:rsidP="00F4238C">
            <w:pPr>
              <w:jc w:val="center"/>
              <w:rPr>
                <w:color w:val="000000" w:themeColor="text1"/>
              </w:rPr>
            </w:pPr>
          </w:p>
        </w:tc>
      </w:tr>
      <w:bookmarkEnd w:id="15"/>
    </w:tbl>
    <w:p w14:paraId="2DD34F88" w14:textId="77777777" w:rsidR="00F32724" w:rsidRPr="00ED172B" w:rsidRDefault="00F32724" w:rsidP="00CD79C5">
      <w:pPr>
        <w:rPr>
          <w:rFonts w:cs="Arial"/>
          <w:color w:val="000000" w:themeColor="text1"/>
          <w:szCs w:val="16"/>
        </w:rPr>
      </w:pPr>
    </w:p>
    <w:p w14:paraId="2D920824" w14:textId="2661AE41" w:rsidR="0078252B" w:rsidRPr="00ED172B" w:rsidRDefault="00F22D09">
      <w:pPr>
        <w:rPr>
          <w:b/>
          <w:color w:val="000000" w:themeColor="text1"/>
        </w:rPr>
      </w:pPr>
      <w:r>
        <w:rPr>
          <w:b/>
          <w:color w:val="000000" w:themeColor="text1"/>
        </w:rPr>
        <w:t>FFY 2020 SPP/APR Data</w:t>
      </w:r>
    </w:p>
    <w:p w14:paraId="530FD965" w14:textId="6CA08394" w:rsidR="00283035" w:rsidRPr="00ED172B" w:rsidRDefault="00283035">
      <w:pPr>
        <w:rPr>
          <w:rFonts w:cs="Arial"/>
          <w:b/>
          <w:color w:val="000000" w:themeColor="text1"/>
          <w:szCs w:val="16"/>
        </w:rPr>
      </w:pPr>
      <w:r w:rsidRPr="00ED172B">
        <w:rPr>
          <w:rFonts w:cs="Arial"/>
          <w:b/>
          <w:color w:val="000000" w:themeColor="text1"/>
          <w:szCs w:val="16"/>
        </w:rPr>
        <w:t>Number of infants and toddlers with IFSPs assessed</w:t>
      </w:r>
    </w:p>
    <w:p w14:paraId="64E4AE7D" w14:textId="60EBCB4F" w:rsidR="00283035" w:rsidRPr="00ED172B" w:rsidRDefault="00283035">
      <w:pPr>
        <w:rPr>
          <w:b/>
          <w:color w:val="000000" w:themeColor="text1"/>
        </w:rPr>
      </w:pPr>
      <w:r w:rsidRPr="00ED172B">
        <w:rPr>
          <w:color w:val="000000" w:themeColor="text1"/>
          <w:szCs w:val="16"/>
        </w:rPr>
        <w:t>4,667</w:t>
      </w:r>
    </w:p>
    <w:p w14:paraId="0C67CDD2" w14:textId="47A9E69A" w:rsidR="005F4279" w:rsidRPr="00ED172B" w:rsidRDefault="005F4279">
      <w:pPr>
        <w:rPr>
          <w:b/>
          <w:color w:val="000000" w:themeColor="text1"/>
        </w:rPr>
      </w:pPr>
      <w:r w:rsidRPr="00ED172B">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1"/>
      </w:tblPr>
      <w:tblGrid>
        <w:gridCol w:w="7350"/>
        <w:gridCol w:w="1720"/>
        <w:gridCol w:w="1720"/>
      </w:tblGrid>
      <w:tr w:rsidR="00ED172B" w:rsidRPr="00ED172B" w14:paraId="09C6C0DA" w14:textId="77777777" w:rsidTr="00986B99">
        <w:trPr>
          <w:trHeight w:val="287"/>
          <w:tblHeader/>
        </w:trPr>
        <w:tc>
          <w:tcPr>
            <w:tcW w:w="3406" w:type="pct"/>
            <w:shd w:val="clear" w:color="auto" w:fill="auto"/>
            <w:vAlign w:val="center"/>
          </w:tcPr>
          <w:p w14:paraId="054FB58D" w14:textId="0752B714" w:rsidR="003020A9" w:rsidRPr="00ED172B" w:rsidRDefault="0084029E" w:rsidP="007B5842">
            <w:pPr>
              <w:rPr>
                <w:rFonts w:cs="Arial"/>
                <w:b/>
                <w:color w:val="000000" w:themeColor="text1"/>
                <w:szCs w:val="16"/>
              </w:rPr>
            </w:pPr>
            <w:r w:rsidRPr="00ED172B">
              <w:rPr>
                <w:rFonts w:cs="Arial"/>
                <w:b/>
                <w:color w:val="000000" w:themeColor="text1"/>
                <w:szCs w:val="16"/>
              </w:rPr>
              <w:t>Not including at-risk infants and toddlers</w:t>
            </w:r>
          </w:p>
        </w:tc>
        <w:tc>
          <w:tcPr>
            <w:tcW w:w="797" w:type="pct"/>
            <w:shd w:val="clear" w:color="auto" w:fill="auto"/>
            <w:vAlign w:val="center"/>
          </w:tcPr>
          <w:p w14:paraId="5DF4A7E8" w14:textId="77777777" w:rsidR="003020A9" w:rsidRPr="00ED172B" w:rsidRDefault="003020A9" w:rsidP="003020A9">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14:paraId="0DDA4647" w14:textId="77777777" w:rsidR="003020A9" w:rsidRPr="00ED172B" w:rsidRDefault="003020A9" w:rsidP="003020A9">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51087C42" w14:textId="77777777" w:rsidTr="00986B99">
        <w:trPr>
          <w:trHeight w:val="361"/>
        </w:trPr>
        <w:tc>
          <w:tcPr>
            <w:tcW w:w="3406" w:type="pct"/>
            <w:shd w:val="clear" w:color="auto" w:fill="auto"/>
            <w:vAlign w:val="center"/>
          </w:tcPr>
          <w:p w14:paraId="28E1215F" w14:textId="77777777" w:rsidR="00CD79C5" w:rsidRPr="00ED172B" w:rsidRDefault="00CD79C5" w:rsidP="00CD79C5">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14:paraId="5FC9F980" w14:textId="54BFB507" w:rsidR="00CD79C5" w:rsidRPr="00ED172B" w:rsidRDefault="00860830" w:rsidP="00CD79C5">
            <w:pPr>
              <w:jc w:val="center"/>
              <w:rPr>
                <w:rFonts w:cs="Arial"/>
                <w:color w:val="000000" w:themeColor="text1"/>
                <w:szCs w:val="16"/>
              </w:rPr>
            </w:pPr>
            <w:r w:rsidRPr="00ED172B">
              <w:rPr>
                <w:rFonts w:cs="Arial"/>
                <w:color w:val="000000" w:themeColor="text1"/>
                <w:szCs w:val="16"/>
              </w:rPr>
              <w:t>81</w:t>
            </w:r>
          </w:p>
        </w:tc>
        <w:tc>
          <w:tcPr>
            <w:tcW w:w="797" w:type="pct"/>
            <w:shd w:val="clear" w:color="auto" w:fill="auto"/>
            <w:vAlign w:val="center"/>
          </w:tcPr>
          <w:p w14:paraId="627581FC" w14:textId="1E947F37" w:rsidR="00CD79C5" w:rsidRPr="00ED172B" w:rsidRDefault="00860830" w:rsidP="00CD79C5">
            <w:pPr>
              <w:jc w:val="center"/>
              <w:rPr>
                <w:rFonts w:cs="Arial"/>
                <w:color w:val="000000" w:themeColor="text1"/>
                <w:szCs w:val="16"/>
              </w:rPr>
            </w:pPr>
            <w:r w:rsidRPr="00ED172B">
              <w:rPr>
                <w:rFonts w:cs="Arial"/>
                <w:color w:val="000000" w:themeColor="text1"/>
                <w:szCs w:val="16"/>
              </w:rPr>
              <w:t>1.76%</w:t>
            </w:r>
          </w:p>
        </w:tc>
      </w:tr>
      <w:tr w:rsidR="00ED172B" w:rsidRPr="00ED172B" w14:paraId="1D1316C0" w14:textId="77777777" w:rsidTr="00986B99">
        <w:trPr>
          <w:trHeight w:val="361"/>
        </w:trPr>
        <w:tc>
          <w:tcPr>
            <w:tcW w:w="3406" w:type="pct"/>
            <w:shd w:val="clear" w:color="auto" w:fill="auto"/>
            <w:vAlign w:val="center"/>
          </w:tcPr>
          <w:p w14:paraId="4D93D667" w14:textId="77777777" w:rsidR="00CD79C5" w:rsidRPr="00ED172B" w:rsidRDefault="00CD79C5" w:rsidP="00CD79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14:paraId="3B9512DF" w14:textId="7777183B" w:rsidR="00CD79C5" w:rsidRPr="00ED172B" w:rsidRDefault="00860830" w:rsidP="00CD79C5">
            <w:pPr>
              <w:jc w:val="center"/>
              <w:rPr>
                <w:rFonts w:cs="Arial"/>
                <w:color w:val="000000" w:themeColor="text1"/>
                <w:szCs w:val="16"/>
              </w:rPr>
            </w:pPr>
            <w:r w:rsidRPr="00ED172B">
              <w:rPr>
                <w:rFonts w:cs="Arial"/>
                <w:color w:val="000000" w:themeColor="text1"/>
                <w:szCs w:val="16"/>
              </w:rPr>
              <w:t>1,269</w:t>
            </w:r>
          </w:p>
        </w:tc>
        <w:tc>
          <w:tcPr>
            <w:tcW w:w="797" w:type="pct"/>
            <w:shd w:val="clear" w:color="auto" w:fill="auto"/>
            <w:vAlign w:val="center"/>
          </w:tcPr>
          <w:p w14:paraId="6101CC9A" w14:textId="46DBFC4D" w:rsidR="00CD79C5" w:rsidRPr="00ED172B" w:rsidRDefault="00860830" w:rsidP="00CD79C5">
            <w:pPr>
              <w:jc w:val="center"/>
              <w:rPr>
                <w:rFonts w:cs="Arial"/>
                <w:color w:val="000000" w:themeColor="text1"/>
                <w:szCs w:val="16"/>
              </w:rPr>
            </w:pPr>
            <w:r w:rsidRPr="00ED172B">
              <w:rPr>
                <w:rFonts w:cs="Arial"/>
                <w:color w:val="000000" w:themeColor="text1"/>
                <w:szCs w:val="16"/>
              </w:rPr>
              <w:t>27.55%</w:t>
            </w:r>
          </w:p>
        </w:tc>
      </w:tr>
      <w:tr w:rsidR="00ED172B" w:rsidRPr="00ED172B" w14:paraId="7620C417" w14:textId="77777777" w:rsidTr="00986B99">
        <w:trPr>
          <w:trHeight w:val="361"/>
        </w:trPr>
        <w:tc>
          <w:tcPr>
            <w:tcW w:w="3406" w:type="pct"/>
            <w:shd w:val="clear" w:color="auto" w:fill="auto"/>
            <w:vAlign w:val="center"/>
          </w:tcPr>
          <w:p w14:paraId="005C7F52" w14:textId="77777777" w:rsidR="00CD79C5" w:rsidRPr="00ED172B" w:rsidRDefault="00CD79C5" w:rsidP="00CD79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14:paraId="778D2FC6" w14:textId="2EE97470" w:rsidR="00CD79C5" w:rsidRPr="00ED172B" w:rsidRDefault="00860830" w:rsidP="00CD79C5">
            <w:pPr>
              <w:jc w:val="center"/>
              <w:rPr>
                <w:rFonts w:cs="Arial"/>
                <w:color w:val="000000" w:themeColor="text1"/>
                <w:szCs w:val="16"/>
              </w:rPr>
            </w:pPr>
            <w:r w:rsidRPr="00ED172B">
              <w:rPr>
                <w:rFonts w:cs="Arial"/>
                <w:color w:val="000000" w:themeColor="text1"/>
                <w:szCs w:val="16"/>
              </w:rPr>
              <w:t>291</w:t>
            </w:r>
          </w:p>
        </w:tc>
        <w:tc>
          <w:tcPr>
            <w:tcW w:w="797" w:type="pct"/>
            <w:shd w:val="clear" w:color="auto" w:fill="auto"/>
            <w:vAlign w:val="center"/>
          </w:tcPr>
          <w:p w14:paraId="7E6EA79A" w14:textId="006ADDC2" w:rsidR="00CD79C5" w:rsidRPr="00ED172B" w:rsidRDefault="00860830" w:rsidP="00CD79C5">
            <w:pPr>
              <w:jc w:val="center"/>
              <w:rPr>
                <w:rFonts w:cs="Arial"/>
                <w:color w:val="000000" w:themeColor="text1"/>
                <w:szCs w:val="16"/>
              </w:rPr>
            </w:pPr>
            <w:r w:rsidRPr="00ED172B">
              <w:rPr>
                <w:rFonts w:cs="Arial"/>
                <w:color w:val="000000" w:themeColor="text1"/>
                <w:szCs w:val="16"/>
              </w:rPr>
              <w:t>6.32%</w:t>
            </w:r>
          </w:p>
        </w:tc>
      </w:tr>
      <w:tr w:rsidR="00ED172B" w:rsidRPr="00ED172B" w14:paraId="6CC2E72A" w14:textId="77777777" w:rsidTr="00986B99">
        <w:trPr>
          <w:trHeight w:val="361"/>
        </w:trPr>
        <w:tc>
          <w:tcPr>
            <w:tcW w:w="3406" w:type="pct"/>
            <w:shd w:val="clear" w:color="auto" w:fill="auto"/>
            <w:vAlign w:val="center"/>
          </w:tcPr>
          <w:p w14:paraId="620F9E04" w14:textId="77777777" w:rsidR="00CD79C5" w:rsidRPr="00ED172B" w:rsidRDefault="00CD79C5" w:rsidP="00CD79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14:paraId="0C2DDC71" w14:textId="4D24C0D5" w:rsidR="00CD79C5" w:rsidRPr="00ED172B" w:rsidRDefault="00860830" w:rsidP="00CD79C5">
            <w:pPr>
              <w:jc w:val="center"/>
              <w:rPr>
                <w:rFonts w:cs="Arial"/>
                <w:color w:val="000000" w:themeColor="text1"/>
                <w:szCs w:val="16"/>
              </w:rPr>
            </w:pPr>
            <w:r w:rsidRPr="00ED172B">
              <w:rPr>
                <w:rFonts w:cs="Arial"/>
                <w:color w:val="000000" w:themeColor="text1"/>
                <w:szCs w:val="16"/>
              </w:rPr>
              <w:t>1,022</w:t>
            </w:r>
          </w:p>
        </w:tc>
        <w:tc>
          <w:tcPr>
            <w:tcW w:w="797" w:type="pct"/>
            <w:shd w:val="clear" w:color="auto" w:fill="auto"/>
            <w:vAlign w:val="center"/>
          </w:tcPr>
          <w:p w14:paraId="566E9E7C" w14:textId="1ECA0F67" w:rsidR="00CD79C5" w:rsidRPr="00ED172B" w:rsidRDefault="00860830" w:rsidP="00CD79C5">
            <w:pPr>
              <w:jc w:val="center"/>
              <w:rPr>
                <w:rFonts w:cs="Arial"/>
                <w:color w:val="000000" w:themeColor="text1"/>
                <w:szCs w:val="16"/>
              </w:rPr>
            </w:pPr>
            <w:r w:rsidRPr="00ED172B">
              <w:rPr>
                <w:rFonts w:cs="Arial"/>
                <w:color w:val="000000" w:themeColor="text1"/>
                <w:szCs w:val="16"/>
              </w:rPr>
              <w:t>22.19%</w:t>
            </w:r>
          </w:p>
        </w:tc>
      </w:tr>
      <w:tr w:rsidR="00ED172B" w:rsidRPr="00ED172B" w14:paraId="52C58AFD" w14:textId="77777777" w:rsidTr="00986B99">
        <w:trPr>
          <w:trHeight w:val="361"/>
        </w:trPr>
        <w:tc>
          <w:tcPr>
            <w:tcW w:w="3406" w:type="pct"/>
            <w:shd w:val="clear" w:color="auto" w:fill="auto"/>
            <w:vAlign w:val="center"/>
          </w:tcPr>
          <w:p w14:paraId="0C2B3A96" w14:textId="77777777" w:rsidR="00CD79C5" w:rsidRPr="00ED172B" w:rsidRDefault="00CD79C5" w:rsidP="00CD79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14:paraId="71733793" w14:textId="1606848C" w:rsidR="00CD79C5" w:rsidRPr="00ED172B" w:rsidRDefault="00860830" w:rsidP="00CD79C5">
            <w:pPr>
              <w:jc w:val="center"/>
              <w:rPr>
                <w:rFonts w:cs="Arial"/>
                <w:color w:val="000000" w:themeColor="text1"/>
                <w:szCs w:val="16"/>
              </w:rPr>
            </w:pPr>
            <w:r w:rsidRPr="00ED172B">
              <w:rPr>
                <w:rFonts w:cs="Arial"/>
                <w:color w:val="000000" w:themeColor="text1"/>
                <w:szCs w:val="16"/>
              </w:rPr>
              <w:t>1,943</w:t>
            </w:r>
          </w:p>
        </w:tc>
        <w:tc>
          <w:tcPr>
            <w:tcW w:w="797" w:type="pct"/>
            <w:shd w:val="clear" w:color="auto" w:fill="auto"/>
            <w:vAlign w:val="center"/>
          </w:tcPr>
          <w:p w14:paraId="6C27ED3F" w14:textId="48BDB78A" w:rsidR="00CD79C5" w:rsidRPr="00ED172B" w:rsidRDefault="00860830" w:rsidP="00CD79C5">
            <w:pPr>
              <w:jc w:val="center"/>
              <w:rPr>
                <w:rFonts w:cs="Arial"/>
                <w:color w:val="000000" w:themeColor="text1"/>
                <w:szCs w:val="16"/>
              </w:rPr>
            </w:pPr>
            <w:r w:rsidRPr="00ED172B">
              <w:rPr>
                <w:rFonts w:cs="Arial"/>
                <w:color w:val="000000" w:themeColor="text1"/>
                <w:szCs w:val="16"/>
              </w:rPr>
              <w:t>42.18%</w:t>
            </w:r>
          </w:p>
        </w:tc>
      </w:tr>
    </w:tbl>
    <w:p w14:paraId="7F71E48C" w14:textId="2753AFF4" w:rsidR="005F4279" w:rsidRPr="00ED172B" w:rsidRDefault="005F4279" w:rsidP="005F427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2"/>
      </w:tblPr>
      <w:tblGrid>
        <w:gridCol w:w="7350"/>
        <w:gridCol w:w="1720"/>
        <w:gridCol w:w="1720"/>
      </w:tblGrid>
      <w:tr w:rsidR="00ED172B" w:rsidRPr="00ED172B" w14:paraId="34148246" w14:textId="77777777" w:rsidTr="00986B99">
        <w:trPr>
          <w:trHeight w:val="287"/>
          <w:tblHeader/>
        </w:trPr>
        <w:tc>
          <w:tcPr>
            <w:tcW w:w="3406" w:type="pct"/>
            <w:shd w:val="clear" w:color="auto" w:fill="auto"/>
            <w:vAlign w:val="center"/>
          </w:tcPr>
          <w:p w14:paraId="1150BED2" w14:textId="0152D710" w:rsidR="0084029E" w:rsidRPr="00ED172B" w:rsidRDefault="0084029E" w:rsidP="004D140B">
            <w:pPr>
              <w:rPr>
                <w:rFonts w:cs="Arial"/>
                <w:b/>
                <w:color w:val="000000" w:themeColor="text1"/>
                <w:szCs w:val="16"/>
              </w:rPr>
            </w:pPr>
            <w:r w:rsidRPr="00ED172B">
              <w:rPr>
                <w:rFonts w:cs="Arial"/>
                <w:b/>
                <w:color w:val="000000" w:themeColor="text1"/>
                <w:szCs w:val="16"/>
              </w:rPr>
              <w:t>Just at-risk infants and toddlers/All infants and toddlers</w:t>
            </w:r>
          </w:p>
        </w:tc>
        <w:tc>
          <w:tcPr>
            <w:tcW w:w="797" w:type="pct"/>
            <w:shd w:val="clear" w:color="auto" w:fill="auto"/>
            <w:vAlign w:val="center"/>
          </w:tcPr>
          <w:p w14:paraId="61B53DC0" w14:textId="77777777" w:rsidR="0084029E" w:rsidRPr="00ED172B" w:rsidRDefault="0084029E" w:rsidP="004D140B">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14:paraId="010EE930" w14:textId="77777777" w:rsidR="0084029E" w:rsidRPr="00ED172B" w:rsidRDefault="0084029E" w:rsidP="004D140B">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05F8BB5C" w14:textId="77777777" w:rsidTr="00986B99">
        <w:trPr>
          <w:trHeight w:val="361"/>
        </w:trPr>
        <w:tc>
          <w:tcPr>
            <w:tcW w:w="3406" w:type="pct"/>
            <w:shd w:val="clear" w:color="auto" w:fill="auto"/>
            <w:vAlign w:val="center"/>
          </w:tcPr>
          <w:p w14:paraId="11D674E0" w14:textId="77777777" w:rsidR="00CD79C5" w:rsidRPr="00ED172B" w:rsidRDefault="00CD79C5" w:rsidP="00CD79C5">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14:paraId="6B4E7240" w14:textId="0FE442B7" w:rsidR="00CD79C5" w:rsidRPr="00ED172B" w:rsidRDefault="00860830" w:rsidP="00CD79C5">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14:paraId="3B8204A3" w14:textId="2B928F31" w:rsidR="00CD79C5" w:rsidRPr="00ED172B" w:rsidRDefault="00860830" w:rsidP="00CD79C5">
            <w:pPr>
              <w:jc w:val="center"/>
              <w:rPr>
                <w:rFonts w:cs="Arial"/>
                <w:color w:val="000000" w:themeColor="text1"/>
                <w:szCs w:val="16"/>
              </w:rPr>
            </w:pPr>
            <w:r w:rsidRPr="00ED172B">
              <w:rPr>
                <w:rFonts w:cs="Arial"/>
                <w:color w:val="000000" w:themeColor="text1"/>
                <w:szCs w:val="16"/>
              </w:rPr>
              <w:t>0.00%</w:t>
            </w:r>
          </w:p>
        </w:tc>
      </w:tr>
      <w:tr w:rsidR="00ED172B" w:rsidRPr="00ED172B" w14:paraId="66EB049A" w14:textId="77777777" w:rsidTr="00986B99">
        <w:trPr>
          <w:trHeight w:val="361"/>
        </w:trPr>
        <w:tc>
          <w:tcPr>
            <w:tcW w:w="3406" w:type="pct"/>
            <w:shd w:val="clear" w:color="auto" w:fill="auto"/>
            <w:vAlign w:val="center"/>
          </w:tcPr>
          <w:p w14:paraId="3238593E" w14:textId="77777777" w:rsidR="00CD79C5" w:rsidRPr="00ED172B" w:rsidRDefault="00CD79C5" w:rsidP="00CD79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14:paraId="36C4686E" w14:textId="0D9BC4D4" w:rsidR="00CD79C5" w:rsidRPr="00ED172B" w:rsidRDefault="00860830" w:rsidP="00CD79C5">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14:paraId="27E713B0" w14:textId="3136F54C" w:rsidR="00CD79C5" w:rsidRPr="00ED172B" w:rsidRDefault="00860830" w:rsidP="00CD79C5">
            <w:pPr>
              <w:jc w:val="center"/>
              <w:rPr>
                <w:rFonts w:cs="Arial"/>
                <w:color w:val="000000" w:themeColor="text1"/>
                <w:szCs w:val="16"/>
              </w:rPr>
            </w:pPr>
            <w:r w:rsidRPr="00ED172B">
              <w:rPr>
                <w:rFonts w:cs="Arial"/>
                <w:color w:val="000000" w:themeColor="text1"/>
                <w:szCs w:val="16"/>
              </w:rPr>
              <w:t>0.00%</w:t>
            </w:r>
          </w:p>
        </w:tc>
      </w:tr>
      <w:tr w:rsidR="00ED172B" w:rsidRPr="00ED172B" w14:paraId="289DCF6C" w14:textId="77777777" w:rsidTr="00986B99">
        <w:trPr>
          <w:trHeight w:val="361"/>
        </w:trPr>
        <w:tc>
          <w:tcPr>
            <w:tcW w:w="3406" w:type="pct"/>
            <w:shd w:val="clear" w:color="auto" w:fill="auto"/>
            <w:vAlign w:val="center"/>
          </w:tcPr>
          <w:p w14:paraId="611C7497" w14:textId="77777777" w:rsidR="00CD79C5" w:rsidRPr="00ED172B" w:rsidRDefault="00CD79C5" w:rsidP="00CD79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14:paraId="1BB1AD3C" w14:textId="0299071A" w:rsidR="00CD79C5" w:rsidRPr="00ED172B" w:rsidRDefault="00860830" w:rsidP="00CD79C5">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14:paraId="0A4F8B40" w14:textId="246D43C5" w:rsidR="00CD79C5" w:rsidRPr="00ED172B" w:rsidRDefault="00860830" w:rsidP="00CD79C5">
            <w:pPr>
              <w:jc w:val="center"/>
              <w:rPr>
                <w:rFonts w:cs="Arial"/>
                <w:color w:val="000000" w:themeColor="text1"/>
                <w:szCs w:val="16"/>
              </w:rPr>
            </w:pPr>
            <w:r w:rsidRPr="00ED172B">
              <w:rPr>
                <w:rFonts w:cs="Arial"/>
                <w:color w:val="000000" w:themeColor="text1"/>
                <w:szCs w:val="16"/>
              </w:rPr>
              <w:t>0.00%</w:t>
            </w:r>
          </w:p>
        </w:tc>
      </w:tr>
      <w:tr w:rsidR="00ED172B" w:rsidRPr="00ED172B" w14:paraId="414FC598" w14:textId="77777777" w:rsidTr="00986B99">
        <w:trPr>
          <w:trHeight w:val="361"/>
        </w:trPr>
        <w:tc>
          <w:tcPr>
            <w:tcW w:w="3406" w:type="pct"/>
            <w:shd w:val="clear" w:color="auto" w:fill="auto"/>
            <w:vAlign w:val="center"/>
          </w:tcPr>
          <w:p w14:paraId="492B2C6A" w14:textId="77777777" w:rsidR="00CD79C5" w:rsidRPr="00ED172B" w:rsidRDefault="00CD79C5" w:rsidP="00CD79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14:paraId="1853B19B" w14:textId="2110C954" w:rsidR="00CD79C5" w:rsidRPr="00ED172B" w:rsidRDefault="00860830" w:rsidP="00CD79C5">
            <w:pPr>
              <w:jc w:val="center"/>
              <w:rPr>
                <w:rFonts w:cs="Arial"/>
                <w:color w:val="000000" w:themeColor="text1"/>
                <w:szCs w:val="16"/>
              </w:rPr>
            </w:pPr>
            <w:r w:rsidRPr="00ED172B">
              <w:rPr>
                <w:rFonts w:cs="Arial"/>
                <w:color w:val="000000" w:themeColor="text1"/>
                <w:szCs w:val="16"/>
              </w:rPr>
              <w:t>15</w:t>
            </w:r>
          </w:p>
        </w:tc>
        <w:tc>
          <w:tcPr>
            <w:tcW w:w="797" w:type="pct"/>
            <w:shd w:val="clear" w:color="auto" w:fill="auto"/>
            <w:vAlign w:val="center"/>
          </w:tcPr>
          <w:p w14:paraId="5DD14BA4" w14:textId="0ECDAA45" w:rsidR="00CD79C5" w:rsidRPr="00ED172B" w:rsidRDefault="00860830" w:rsidP="00CD79C5">
            <w:pPr>
              <w:jc w:val="center"/>
              <w:rPr>
                <w:rFonts w:cs="Arial"/>
                <w:color w:val="000000" w:themeColor="text1"/>
                <w:szCs w:val="16"/>
              </w:rPr>
            </w:pPr>
            <w:r w:rsidRPr="00ED172B">
              <w:rPr>
                <w:rFonts w:cs="Arial"/>
                <w:color w:val="000000" w:themeColor="text1"/>
                <w:szCs w:val="16"/>
              </w:rPr>
              <w:t>24.59%</w:t>
            </w:r>
          </w:p>
        </w:tc>
      </w:tr>
      <w:tr w:rsidR="00ED172B" w:rsidRPr="00ED172B" w14:paraId="7EB9CB08" w14:textId="77777777" w:rsidTr="00986B99">
        <w:trPr>
          <w:trHeight w:val="361"/>
        </w:trPr>
        <w:tc>
          <w:tcPr>
            <w:tcW w:w="3406" w:type="pct"/>
            <w:shd w:val="clear" w:color="auto" w:fill="auto"/>
            <w:vAlign w:val="center"/>
          </w:tcPr>
          <w:p w14:paraId="2C5C2B17" w14:textId="77777777" w:rsidR="00CD79C5" w:rsidRPr="00ED172B" w:rsidRDefault="00CD79C5" w:rsidP="00CD79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14:paraId="66EDE725" w14:textId="093230C3" w:rsidR="00CD79C5" w:rsidRPr="00ED172B" w:rsidRDefault="00860830" w:rsidP="00CD79C5">
            <w:pPr>
              <w:jc w:val="center"/>
              <w:rPr>
                <w:rFonts w:cs="Arial"/>
                <w:color w:val="000000" w:themeColor="text1"/>
                <w:szCs w:val="16"/>
              </w:rPr>
            </w:pPr>
            <w:r w:rsidRPr="00ED172B">
              <w:rPr>
                <w:rFonts w:cs="Arial"/>
                <w:color w:val="000000" w:themeColor="text1"/>
                <w:szCs w:val="16"/>
              </w:rPr>
              <w:t>46</w:t>
            </w:r>
          </w:p>
        </w:tc>
        <w:tc>
          <w:tcPr>
            <w:tcW w:w="797" w:type="pct"/>
            <w:shd w:val="clear" w:color="auto" w:fill="auto"/>
            <w:vAlign w:val="center"/>
          </w:tcPr>
          <w:p w14:paraId="4FC975D2" w14:textId="0309DA68" w:rsidR="00CD79C5" w:rsidRPr="00ED172B" w:rsidRDefault="00860830" w:rsidP="00CD79C5">
            <w:pPr>
              <w:jc w:val="center"/>
              <w:rPr>
                <w:rFonts w:cs="Arial"/>
                <w:color w:val="000000" w:themeColor="text1"/>
                <w:szCs w:val="16"/>
              </w:rPr>
            </w:pPr>
            <w:r w:rsidRPr="00ED172B">
              <w:rPr>
                <w:rFonts w:cs="Arial"/>
                <w:color w:val="000000" w:themeColor="text1"/>
                <w:szCs w:val="16"/>
              </w:rPr>
              <w:t>75.41%</w:t>
            </w:r>
          </w:p>
        </w:tc>
      </w:tr>
    </w:tbl>
    <w:p w14:paraId="66912606" w14:textId="77777777" w:rsidR="0084029E" w:rsidRPr="00ED172B" w:rsidRDefault="0084029E" w:rsidP="0084029E">
      <w:pPr>
        <w:rPr>
          <w:rFonts w:cs="Arial"/>
          <w:b/>
          <w:color w:val="000000" w:themeColor="text1"/>
          <w:szCs w:val="16"/>
        </w:rPr>
      </w:pPr>
      <w:bookmarkStart w:id="16" w:name="_Hlk4941197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3"/>
      </w:tblPr>
      <w:tblGrid>
        <w:gridCol w:w="2515"/>
        <w:gridCol w:w="1260"/>
        <w:gridCol w:w="1349"/>
        <w:gridCol w:w="1351"/>
        <w:gridCol w:w="1170"/>
        <w:gridCol w:w="1170"/>
        <w:gridCol w:w="1079"/>
        <w:gridCol w:w="896"/>
      </w:tblGrid>
      <w:tr w:rsidR="00ED172B" w:rsidRPr="00ED172B" w14:paraId="10E59B1C" w14:textId="77777777" w:rsidTr="00986B99">
        <w:trPr>
          <w:trHeight w:val="354"/>
          <w:tblHeader/>
        </w:trPr>
        <w:tc>
          <w:tcPr>
            <w:tcW w:w="1165" w:type="pct"/>
            <w:shd w:val="clear" w:color="auto" w:fill="auto"/>
            <w:vAlign w:val="bottom"/>
          </w:tcPr>
          <w:p w14:paraId="696CA76B" w14:textId="3BCE6C04" w:rsidR="00743466" w:rsidRPr="00ED172B" w:rsidRDefault="00743466" w:rsidP="00743466">
            <w:pPr>
              <w:jc w:val="center"/>
              <w:rPr>
                <w:rFonts w:cs="Arial"/>
                <w:color w:val="000000" w:themeColor="text1"/>
                <w:szCs w:val="16"/>
              </w:rPr>
            </w:pPr>
            <w:r w:rsidRPr="00ED172B">
              <w:rPr>
                <w:rFonts w:cs="Arial"/>
                <w:b/>
                <w:color w:val="000000" w:themeColor="text1"/>
                <w:szCs w:val="16"/>
              </w:rPr>
              <w:t>Not including at-risk infants and toddlers</w:t>
            </w:r>
          </w:p>
        </w:tc>
        <w:tc>
          <w:tcPr>
            <w:tcW w:w="584" w:type="pct"/>
            <w:shd w:val="clear" w:color="auto" w:fill="auto"/>
            <w:vAlign w:val="bottom"/>
          </w:tcPr>
          <w:p w14:paraId="085F9BA7"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14:paraId="56E2F8BC"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14:paraId="5C6D1E6F" w14:textId="0C66CD28" w:rsidR="00743466" w:rsidRPr="00ED172B" w:rsidRDefault="00CD74B5" w:rsidP="00743466">
            <w:pPr>
              <w:jc w:val="center"/>
              <w:rPr>
                <w:rFonts w:cs="Arial"/>
                <w:b/>
                <w:color w:val="000000" w:themeColor="text1"/>
                <w:szCs w:val="16"/>
              </w:rPr>
            </w:pPr>
            <w:r>
              <w:rPr>
                <w:rFonts w:cs="Arial"/>
                <w:b/>
                <w:color w:val="000000" w:themeColor="text1"/>
                <w:szCs w:val="16"/>
              </w:rPr>
              <w:t>FFY 2019 Data</w:t>
            </w:r>
          </w:p>
        </w:tc>
        <w:tc>
          <w:tcPr>
            <w:tcW w:w="542" w:type="pct"/>
            <w:shd w:val="clear" w:color="auto" w:fill="auto"/>
            <w:vAlign w:val="bottom"/>
          </w:tcPr>
          <w:p w14:paraId="613575DE" w14:textId="5ED92D54" w:rsidR="00743466" w:rsidRPr="00ED172B" w:rsidRDefault="00F22D09" w:rsidP="00743466">
            <w:pPr>
              <w:jc w:val="center"/>
              <w:rPr>
                <w:rFonts w:cs="Arial"/>
                <w:b/>
                <w:color w:val="000000" w:themeColor="text1"/>
                <w:szCs w:val="16"/>
              </w:rPr>
            </w:pPr>
            <w:r>
              <w:rPr>
                <w:rFonts w:cs="Arial"/>
                <w:b/>
                <w:color w:val="000000" w:themeColor="text1"/>
                <w:szCs w:val="16"/>
              </w:rPr>
              <w:t>FFY 2020 Target</w:t>
            </w:r>
          </w:p>
        </w:tc>
        <w:tc>
          <w:tcPr>
            <w:tcW w:w="542" w:type="pct"/>
            <w:shd w:val="clear" w:color="auto" w:fill="auto"/>
            <w:vAlign w:val="bottom"/>
          </w:tcPr>
          <w:p w14:paraId="5AF7B4EA" w14:textId="4CACD964" w:rsidR="00743466" w:rsidRPr="00ED172B" w:rsidRDefault="00F22D09" w:rsidP="00743466">
            <w:pPr>
              <w:jc w:val="center"/>
              <w:rPr>
                <w:rFonts w:cs="Arial"/>
                <w:b/>
                <w:color w:val="000000" w:themeColor="text1"/>
                <w:szCs w:val="16"/>
              </w:rPr>
            </w:pPr>
            <w:r>
              <w:rPr>
                <w:rFonts w:cs="Arial"/>
                <w:b/>
                <w:color w:val="000000" w:themeColor="text1"/>
                <w:szCs w:val="16"/>
              </w:rPr>
              <w:t>FFY 2020 Data</w:t>
            </w:r>
          </w:p>
        </w:tc>
        <w:tc>
          <w:tcPr>
            <w:tcW w:w="500" w:type="pct"/>
            <w:shd w:val="clear" w:color="auto" w:fill="auto"/>
            <w:vAlign w:val="bottom"/>
          </w:tcPr>
          <w:p w14:paraId="6BE46B18"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Status</w:t>
            </w:r>
          </w:p>
        </w:tc>
        <w:tc>
          <w:tcPr>
            <w:tcW w:w="415" w:type="pct"/>
            <w:shd w:val="clear" w:color="auto" w:fill="auto"/>
            <w:vAlign w:val="bottom"/>
          </w:tcPr>
          <w:p w14:paraId="34ED5BC0"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Slippage</w:t>
            </w:r>
          </w:p>
        </w:tc>
      </w:tr>
      <w:tr w:rsidR="00ED172B" w:rsidRPr="00ED172B" w14:paraId="736F90CC" w14:textId="77777777" w:rsidTr="00986B99">
        <w:trPr>
          <w:trHeight w:val="361"/>
        </w:trPr>
        <w:tc>
          <w:tcPr>
            <w:tcW w:w="1165" w:type="pct"/>
            <w:shd w:val="clear" w:color="auto" w:fill="auto"/>
          </w:tcPr>
          <w:p w14:paraId="537C4A27" w14:textId="77777777" w:rsidR="00A01E85" w:rsidRPr="00ED172B" w:rsidRDefault="00A01E85" w:rsidP="00A01E85">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14:paraId="623590DC" w14:textId="2C92321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1,313</w:t>
            </w:r>
          </w:p>
        </w:tc>
        <w:tc>
          <w:tcPr>
            <w:tcW w:w="625" w:type="pct"/>
            <w:shd w:val="clear" w:color="auto" w:fill="auto"/>
            <w:vAlign w:val="center"/>
          </w:tcPr>
          <w:p w14:paraId="3C0327D5" w14:textId="0399CD0E"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2,663</w:t>
            </w:r>
          </w:p>
        </w:tc>
        <w:tc>
          <w:tcPr>
            <w:tcW w:w="626" w:type="pct"/>
            <w:shd w:val="clear" w:color="auto" w:fill="auto"/>
            <w:vAlign w:val="center"/>
          </w:tcPr>
          <w:p w14:paraId="601BDD09" w14:textId="772FDC99" w:rsidR="00A01E85" w:rsidRPr="00ED172B" w:rsidRDefault="00860830" w:rsidP="00A01E85">
            <w:pPr>
              <w:jc w:val="center"/>
              <w:rPr>
                <w:rFonts w:cs="Arial"/>
                <w:color w:val="000000" w:themeColor="text1"/>
                <w:szCs w:val="16"/>
              </w:rPr>
            </w:pPr>
            <w:r w:rsidRPr="00ED172B">
              <w:rPr>
                <w:rFonts w:cs="Arial"/>
                <w:color w:val="000000" w:themeColor="text1"/>
                <w:szCs w:val="16"/>
              </w:rPr>
              <w:t>44.80%</w:t>
            </w:r>
          </w:p>
        </w:tc>
        <w:tc>
          <w:tcPr>
            <w:tcW w:w="542" w:type="pct"/>
            <w:shd w:val="clear" w:color="auto" w:fill="auto"/>
            <w:vAlign w:val="center"/>
          </w:tcPr>
          <w:p w14:paraId="27FB8720" w14:textId="6037FBE4" w:rsidR="00A01E85" w:rsidRPr="00ED172B" w:rsidRDefault="001E39E3" w:rsidP="001E39E3">
            <w:pPr>
              <w:jc w:val="center"/>
              <w:rPr>
                <w:color w:val="000000" w:themeColor="text1"/>
              </w:rPr>
            </w:pPr>
            <w:r w:rsidRPr="00ED172B">
              <w:rPr>
                <w:color w:val="000000" w:themeColor="text1"/>
              </w:rPr>
              <w:t>57.00%</w:t>
            </w:r>
          </w:p>
        </w:tc>
        <w:tc>
          <w:tcPr>
            <w:tcW w:w="542" w:type="pct"/>
            <w:shd w:val="clear" w:color="auto" w:fill="auto"/>
            <w:vAlign w:val="center"/>
          </w:tcPr>
          <w:p w14:paraId="777B9CD4" w14:textId="5381ED20" w:rsidR="00A01E85" w:rsidRPr="00ED172B" w:rsidRDefault="00860830" w:rsidP="00A01E85">
            <w:pPr>
              <w:jc w:val="center"/>
              <w:rPr>
                <w:rFonts w:cs="Arial"/>
                <w:color w:val="000000" w:themeColor="text1"/>
                <w:szCs w:val="16"/>
              </w:rPr>
            </w:pPr>
            <w:r w:rsidRPr="00ED172B">
              <w:rPr>
                <w:rFonts w:cs="Arial"/>
                <w:color w:val="000000" w:themeColor="text1"/>
                <w:szCs w:val="16"/>
              </w:rPr>
              <w:t>49.31%</w:t>
            </w:r>
          </w:p>
        </w:tc>
        <w:tc>
          <w:tcPr>
            <w:tcW w:w="500" w:type="pct"/>
            <w:shd w:val="clear" w:color="auto" w:fill="auto"/>
            <w:vAlign w:val="center"/>
          </w:tcPr>
          <w:p w14:paraId="5C3C78C9" w14:textId="5E8EB213"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15" w:type="pct"/>
            <w:shd w:val="clear" w:color="auto" w:fill="auto"/>
            <w:vAlign w:val="center"/>
          </w:tcPr>
          <w:p w14:paraId="16F295F5" w14:textId="2B6063D1"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r w:rsidR="00ED172B" w:rsidRPr="00ED172B" w14:paraId="00F4DA6A" w14:textId="77777777" w:rsidTr="00986B99">
        <w:trPr>
          <w:trHeight w:val="361"/>
        </w:trPr>
        <w:tc>
          <w:tcPr>
            <w:tcW w:w="1165" w:type="pct"/>
            <w:shd w:val="clear" w:color="auto" w:fill="auto"/>
          </w:tcPr>
          <w:p w14:paraId="1A12D62D" w14:textId="256BED32" w:rsidR="00A01E85" w:rsidRPr="00ED172B" w:rsidRDefault="00A01E85" w:rsidP="00A01E8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84" w:type="pct"/>
            <w:shd w:val="clear" w:color="auto" w:fill="auto"/>
            <w:vAlign w:val="center"/>
          </w:tcPr>
          <w:p w14:paraId="5FAF3DC2" w14:textId="195D38E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2,965</w:t>
            </w:r>
          </w:p>
        </w:tc>
        <w:tc>
          <w:tcPr>
            <w:tcW w:w="625" w:type="pct"/>
            <w:shd w:val="clear" w:color="auto" w:fill="auto"/>
            <w:vAlign w:val="center"/>
          </w:tcPr>
          <w:p w14:paraId="60E12B45" w14:textId="1E2D813F"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4,606</w:t>
            </w:r>
          </w:p>
        </w:tc>
        <w:tc>
          <w:tcPr>
            <w:tcW w:w="626" w:type="pct"/>
            <w:shd w:val="clear" w:color="auto" w:fill="auto"/>
            <w:vAlign w:val="center"/>
          </w:tcPr>
          <w:p w14:paraId="3945D035" w14:textId="464109C4" w:rsidR="00A01E85" w:rsidRPr="00ED172B" w:rsidRDefault="00860830" w:rsidP="00A01E85">
            <w:pPr>
              <w:jc w:val="center"/>
              <w:rPr>
                <w:rFonts w:cs="Arial"/>
                <w:color w:val="000000" w:themeColor="text1"/>
                <w:szCs w:val="16"/>
              </w:rPr>
            </w:pPr>
            <w:r w:rsidRPr="00ED172B">
              <w:rPr>
                <w:rFonts w:cs="Arial"/>
                <w:color w:val="000000" w:themeColor="text1"/>
                <w:szCs w:val="16"/>
              </w:rPr>
              <w:t>61.15%</w:t>
            </w:r>
          </w:p>
        </w:tc>
        <w:tc>
          <w:tcPr>
            <w:tcW w:w="542" w:type="pct"/>
            <w:shd w:val="clear" w:color="auto" w:fill="auto"/>
            <w:vAlign w:val="center"/>
          </w:tcPr>
          <w:p w14:paraId="46514870" w14:textId="68521881" w:rsidR="00A01E85" w:rsidRPr="00ED172B" w:rsidRDefault="001E39E3" w:rsidP="001E39E3">
            <w:pPr>
              <w:jc w:val="center"/>
              <w:rPr>
                <w:color w:val="000000" w:themeColor="text1"/>
              </w:rPr>
            </w:pPr>
            <w:r w:rsidRPr="00ED172B">
              <w:rPr>
                <w:color w:val="000000" w:themeColor="text1"/>
              </w:rPr>
              <w:t>71.20%</w:t>
            </w:r>
          </w:p>
        </w:tc>
        <w:tc>
          <w:tcPr>
            <w:tcW w:w="542" w:type="pct"/>
            <w:shd w:val="clear" w:color="auto" w:fill="auto"/>
            <w:vAlign w:val="center"/>
          </w:tcPr>
          <w:p w14:paraId="3754B998" w14:textId="37F15522" w:rsidR="00A01E85" w:rsidRPr="00ED172B" w:rsidRDefault="00860830" w:rsidP="00A01E85">
            <w:pPr>
              <w:jc w:val="center"/>
              <w:rPr>
                <w:rFonts w:cs="Arial"/>
                <w:color w:val="000000" w:themeColor="text1"/>
                <w:szCs w:val="16"/>
              </w:rPr>
            </w:pPr>
            <w:r w:rsidRPr="00ED172B">
              <w:rPr>
                <w:rFonts w:cs="Arial"/>
                <w:color w:val="000000" w:themeColor="text1"/>
                <w:szCs w:val="16"/>
              </w:rPr>
              <w:t>64.37%</w:t>
            </w:r>
          </w:p>
        </w:tc>
        <w:tc>
          <w:tcPr>
            <w:tcW w:w="500" w:type="pct"/>
            <w:shd w:val="clear" w:color="auto" w:fill="auto"/>
            <w:vAlign w:val="center"/>
          </w:tcPr>
          <w:p w14:paraId="4860CBF1" w14:textId="1DBC10BC"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15" w:type="pct"/>
            <w:shd w:val="clear" w:color="auto" w:fill="auto"/>
            <w:vAlign w:val="center"/>
          </w:tcPr>
          <w:p w14:paraId="447CC095" w14:textId="2BC10327"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bl>
    <w:p w14:paraId="45C8DA50" w14:textId="77777777" w:rsidR="000D7858" w:rsidRPr="00ED172B" w:rsidRDefault="000D7858" w:rsidP="001E39E3">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4"/>
      </w:tblPr>
      <w:tblGrid>
        <w:gridCol w:w="2245"/>
        <w:gridCol w:w="1261"/>
        <w:gridCol w:w="1260"/>
        <w:gridCol w:w="1439"/>
        <w:gridCol w:w="1351"/>
        <w:gridCol w:w="1262"/>
        <w:gridCol w:w="1081"/>
        <w:gridCol w:w="891"/>
      </w:tblGrid>
      <w:tr w:rsidR="00ED172B" w:rsidRPr="00ED172B" w14:paraId="34DB5841" w14:textId="77777777" w:rsidTr="00986B99">
        <w:trPr>
          <w:trHeight w:val="354"/>
          <w:tblHeader/>
        </w:trPr>
        <w:tc>
          <w:tcPr>
            <w:tcW w:w="1040" w:type="pct"/>
            <w:shd w:val="clear" w:color="auto" w:fill="auto"/>
            <w:vAlign w:val="bottom"/>
          </w:tcPr>
          <w:p w14:paraId="3E838E12" w14:textId="0441CDCD" w:rsidR="00743466" w:rsidRPr="00ED172B" w:rsidRDefault="00743466" w:rsidP="00743466">
            <w:pPr>
              <w:jc w:val="center"/>
              <w:rPr>
                <w:rFonts w:cs="Arial"/>
                <w:color w:val="000000" w:themeColor="text1"/>
                <w:szCs w:val="16"/>
              </w:rPr>
            </w:pPr>
            <w:r w:rsidRPr="00ED172B">
              <w:rPr>
                <w:rFonts w:cs="Arial"/>
                <w:b/>
                <w:color w:val="000000" w:themeColor="text1"/>
                <w:szCs w:val="16"/>
              </w:rPr>
              <w:t>Just at-risk infants and toddlers/All infants and toddlers</w:t>
            </w:r>
          </w:p>
        </w:tc>
        <w:tc>
          <w:tcPr>
            <w:tcW w:w="584" w:type="pct"/>
            <w:shd w:val="clear" w:color="auto" w:fill="auto"/>
            <w:vAlign w:val="bottom"/>
          </w:tcPr>
          <w:p w14:paraId="57EE2260"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65A9B4E8"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14:paraId="3A8E2809" w14:textId="1E1C9E0F" w:rsidR="00743466" w:rsidRPr="00ED172B" w:rsidRDefault="00CD74B5" w:rsidP="00743466">
            <w:pPr>
              <w:jc w:val="center"/>
              <w:rPr>
                <w:rFonts w:cs="Arial"/>
                <w:b/>
                <w:color w:val="000000" w:themeColor="text1"/>
                <w:szCs w:val="16"/>
              </w:rPr>
            </w:pPr>
            <w:r>
              <w:rPr>
                <w:rFonts w:cs="Arial"/>
                <w:b/>
                <w:color w:val="000000" w:themeColor="text1"/>
                <w:szCs w:val="16"/>
              </w:rPr>
              <w:t>FFY 2019 Data</w:t>
            </w:r>
          </w:p>
        </w:tc>
        <w:tc>
          <w:tcPr>
            <w:tcW w:w="626" w:type="pct"/>
            <w:shd w:val="clear" w:color="auto" w:fill="auto"/>
            <w:vAlign w:val="bottom"/>
          </w:tcPr>
          <w:p w14:paraId="7AA2AF7E" w14:textId="4AE858ED" w:rsidR="00743466" w:rsidRPr="00ED172B" w:rsidRDefault="00F22D09" w:rsidP="00743466">
            <w:pPr>
              <w:jc w:val="center"/>
              <w:rPr>
                <w:rFonts w:cs="Arial"/>
                <w:b/>
                <w:color w:val="000000" w:themeColor="text1"/>
                <w:szCs w:val="16"/>
              </w:rPr>
            </w:pPr>
            <w:r>
              <w:rPr>
                <w:rFonts w:cs="Arial"/>
                <w:b/>
                <w:color w:val="000000" w:themeColor="text1"/>
                <w:szCs w:val="16"/>
              </w:rPr>
              <w:t>FFY 2020 Target</w:t>
            </w:r>
          </w:p>
        </w:tc>
        <w:tc>
          <w:tcPr>
            <w:tcW w:w="585" w:type="pct"/>
            <w:shd w:val="clear" w:color="auto" w:fill="auto"/>
            <w:vAlign w:val="bottom"/>
          </w:tcPr>
          <w:p w14:paraId="4E3366E4" w14:textId="4EA84DC5" w:rsidR="00743466" w:rsidRPr="00ED172B" w:rsidRDefault="00F22D09" w:rsidP="00743466">
            <w:pPr>
              <w:jc w:val="center"/>
              <w:rPr>
                <w:rFonts w:cs="Arial"/>
                <w:b/>
                <w:color w:val="000000" w:themeColor="text1"/>
                <w:szCs w:val="16"/>
              </w:rPr>
            </w:pPr>
            <w:r>
              <w:rPr>
                <w:rFonts w:cs="Arial"/>
                <w:b/>
                <w:color w:val="000000" w:themeColor="text1"/>
                <w:szCs w:val="16"/>
              </w:rPr>
              <w:t>FFY 2020 Data</w:t>
            </w:r>
          </w:p>
        </w:tc>
        <w:tc>
          <w:tcPr>
            <w:tcW w:w="501" w:type="pct"/>
            <w:shd w:val="clear" w:color="auto" w:fill="auto"/>
            <w:vAlign w:val="bottom"/>
          </w:tcPr>
          <w:p w14:paraId="24FF04E2"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Status</w:t>
            </w:r>
          </w:p>
        </w:tc>
        <w:tc>
          <w:tcPr>
            <w:tcW w:w="413" w:type="pct"/>
            <w:shd w:val="clear" w:color="auto" w:fill="auto"/>
            <w:vAlign w:val="bottom"/>
          </w:tcPr>
          <w:p w14:paraId="666B1396"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Slippage</w:t>
            </w:r>
          </w:p>
        </w:tc>
      </w:tr>
      <w:tr w:rsidR="00ED172B" w:rsidRPr="00ED172B" w14:paraId="249B60C3" w14:textId="77777777" w:rsidTr="00986B99">
        <w:trPr>
          <w:trHeight w:val="361"/>
        </w:trPr>
        <w:tc>
          <w:tcPr>
            <w:tcW w:w="1040" w:type="pct"/>
            <w:shd w:val="clear" w:color="auto" w:fill="auto"/>
          </w:tcPr>
          <w:p w14:paraId="5DD58BA1" w14:textId="77777777" w:rsidR="00A01E85" w:rsidRPr="00ED172B" w:rsidRDefault="00A01E85" w:rsidP="00A01E85">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14:paraId="645A8D68" w14:textId="73658AD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15</w:t>
            </w:r>
          </w:p>
        </w:tc>
        <w:tc>
          <w:tcPr>
            <w:tcW w:w="584" w:type="pct"/>
            <w:shd w:val="clear" w:color="auto" w:fill="auto"/>
            <w:vAlign w:val="center"/>
          </w:tcPr>
          <w:p w14:paraId="00EFBA88" w14:textId="105B682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15</w:t>
            </w:r>
          </w:p>
        </w:tc>
        <w:tc>
          <w:tcPr>
            <w:tcW w:w="667" w:type="pct"/>
            <w:shd w:val="clear" w:color="auto" w:fill="auto"/>
            <w:vAlign w:val="center"/>
          </w:tcPr>
          <w:p w14:paraId="07D3AE87" w14:textId="0FA5AD29" w:rsidR="00A01E85" w:rsidRPr="00ED172B" w:rsidRDefault="00860830" w:rsidP="00A01E85">
            <w:pPr>
              <w:jc w:val="center"/>
              <w:rPr>
                <w:rFonts w:cs="Arial"/>
                <w:color w:val="000000" w:themeColor="text1"/>
                <w:szCs w:val="16"/>
              </w:rPr>
            </w:pPr>
            <w:r w:rsidRPr="00ED172B">
              <w:rPr>
                <w:rFonts w:cs="Arial"/>
                <w:color w:val="000000" w:themeColor="text1"/>
                <w:szCs w:val="16"/>
              </w:rPr>
              <w:t>93.75%</w:t>
            </w:r>
          </w:p>
        </w:tc>
        <w:tc>
          <w:tcPr>
            <w:tcW w:w="626" w:type="pct"/>
            <w:shd w:val="clear" w:color="auto" w:fill="auto"/>
            <w:vAlign w:val="center"/>
          </w:tcPr>
          <w:p w14:paraId="5EDB3095" w14:textId="626E7118" w:rsidR="00A01E85" w:rsidRPr="00ED172B" w:rsidRDefault="00A01E85" w:rsidP="00027F39">
            <w:pPr>
              <w:jc w:val="center"/>
              <w:rPr>
                <w:color w:val="000000" w:themeColor="text1"/>
              </w:rPr>
            </w:pPr>
          </w:p>
        </w:tc>
        <w:tc>
          <w:tcPr>
            <w:tcW w:w="585" w:type="pct"/>
            <w:shd w:val="clear" w:color="auto" w:fill="auto"/>
            <w:vAlign w:val="center"/>
          </w:tcPr>
          <w:p w14:paraId="19E3AAAC" w14:textId="4B4D3F90"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01" w:type="pct"/>
            <w:shd w:val="clear" w:color="auto" w:fill="auto"/>
            <w:vAlign w:val="center"/>
          </w:tcPr>
          <w:p w14:paraId="4E173EE2" w14:textId="3A20A1B4"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14:paraId="6CD438FE" w14:textId="3B71B812"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6CC2B253" w14:textId="77777777" w:rsidTr="00986B99">
        <w:trPr>
          <w:trHeight w:val="361"/>
        </w:trPr>
        <w:tc>
          <w:tcPr>
            <w:tcW w:w="1040" w:type="pct"/>
            <w:shd w:val="clear" w:color="auto" w:fill="auto"/>
          </w:tcPr>
          <w:p w14:paraId="77DBCF4F" w14:textId="44EBF36E" w:rsidR="00A01E85" w:rsidRPr="00ED172B" w:rsidRDefault="00A01E85" w:rsidP="00A01E85">
            <w:pPr>
              <w:rPr>
                <w:rFonts w:cs="Arial"/>
                <w:color w:val="000000" w:themeColor="text1"/>
                <w:szCs w:val="16"/>
              </w:rPr>
            </w:pPr>
            <w:r w:rsidRPr="00ED172B">
              <w:rPr>
                <w:rFonts w:cs="Arial"/>
                <w:color w:val="000000" w:themeColor="text1"/>
                <w:szCs w:val="16"/>
              </w:rPr>
              <w:t xml:space="preserve">A2. The percent of infants and toddlers who were functioning within age expectations in Outcome A by the time they turned 3 </w:t>
            </w:r>
            <w:r w:rsidRPr="00ED172B">
              <w:rPr>
                <w:rFonts w:cs="Arial"/>
                <w:color w:val="000000" w:themeColor="text1"/>
                <w:szCs w:val="16"/>
              </w:rPr>
              <w:lastRenderedPageBreak/>
              <w:t>years of age or exited the program</w:t>
            </w:r>
          </w:p>
        </w:tc>
        <w:tc>
          <w:tcPr>
            <w:tcW w:w="584" w:type="pct"/>
            <w:shd w:val="clear" w:color="auto" w:fill="auto"/>
            <w:vAlign w:val="center"/>
          </w:tcPr>
          <w:p w14:paraId="46AD0BED" w14:textId="2868666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lastRenderedPageBreak/>
              <w:t>61</w:t>
            </w:r>
          </w:p>
        </w:tc>
        <w:tc>
          <w:tcPr>
            <w:tcW w:w="584" w:type="pct"/>
            <w:shd w:val="clear" w:color="auto" w:fill="auto"/>
            <w:vAlign w:val="center"/>
          </w:tcPr>
          <w:p w14:paraId="77AF513F" w14:textId="65A5A6E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61</w:t>
            </w:r>
          </w:p>
        </w:tc>
        <w:tc>
          <w:tcPr>
            <w:tcW w:w="667" w:type="pct"/>
            <w:shd w:val="clear" w:color="auto" w:fill="auto"/>
            <w:vAlign w:val="center"/>
          </w:tcPr>
          <w:p w14:paraId="1BCCC909" w14:textId="56BE5EA1" w:rsidR="00A01E85" w:rsidRPr="00ED172B" w:rsidRDefault="00860830" w:rsidP="00A01E85">
            <w:pPr>
              <w:jc w:val="center"/>
              <w:rPr>
                <w:rFonts w:cs="Arial"/>
                <w:color w:val="000000" w:themeColor="text1"/>
                <w:szCs w:val="16"/>
              </w:rPr>
            </w:pPr>
            <w:r w:rsidRPr="00ED172B">
              <w:rPr>
                <w:rFonts w:cs="Arial"/>
                <w:color w:val="000000" w:themeColor="text1"/>
                <w:szCs w:val="16"/>
              </w:rPr>
              <w:t>96.75%</w:t>
            </w:r>
          </w:p>
        </w:tc>
        <w:tc>
          <w:tcPr>
            <w:tcW w:w="626" w:type="pct"/>
            <w:shd w:val="clear" w:color="auto" w:fill="auto"/>
            <w:vAlign w:val="center"/>
          </w:tcPr>
          <w:p w14:paraId="1A492E85" w14:textId="387140FC" w:rsidR="00A01E85" w:rsidRPr="00ED172B" w:rsidRDefault="00A01E85">
            <w:pPr>
              <w:jc w:val="center"/>
              <w:rPr>
                <w:color w:val="000000" w:themeColor="text1"/>
              </w:rPr>
            </w:pPr>
          </w:p>
        </w:tc>
        <w:tc>
          <w:tcPr>
            <w:tcW w:w="585" w:type="pct"/>
            <w:shd w:val="clear" w:color="auto" w:fill="auto"/>
            <w:vAlign w:val="center"/>
          </w:tcPr>
          <w:p w14:paraId="048A6C67" w14:textId="5BF1A76A"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01" w:type="pct"/>
            <w:shd w:val="clear" w:color="auto" w:fill="auto"/>
            <w:vAlign w:val="center"/>
          </w:tcPr>
          <w:p w14:paraId="4D6D54DA" w14:textId="6D92EF4F"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14:paraId="765D1A31" w14:textId="72FE4060"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628040B7" w14:textId="77777777" w:rsidR="0084029E" w:rsidRPr="00ED172B" w:rsidRDefault="0084029E">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5"/>
      </w:tblPr>
      <w:tblGrid>
        <w:gridCol w:w="7227"/>
        <w:gridCol w:w="1783"/>
        <w:gridCol w:w="1780"/>
      </w:tblGrid>
      <w:tr w:rsidR="00ED172B" w:rsidRPr="00ED172B" w14:paraId="5A5005B5" w14:textId="77777777" w:rsidTr="00986B99">
        <w:trPr>
          <w:trHeight w:val="361"/>
          <w:tblHeader/>
        </w:trPr>
        <w:tc>
          <w:tcPr>
            <w:tcW w:w="3349" w:type="pct"/>
            <w:shd w:val="clear" w:color="auto" w:fill="auto"/>
            <w:vAlign w:val="center"/>
          </w:tcPr>
          <w:p w14:paraId="6D3F9035" w14:textId="7E06B650" w:rsidR="0084029E" w:rsidRPr="00ED172B" w:rsidRDefault="0084029E" w:rsidP="0084029E">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14:paraId="3A8C3864"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14:paraId="305C26FA"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A7B2FCB" w14:textId="77777777" w:rsidTr="00986B99">
        <w:trPr>
          <w:trHeight w:val="361"/>
        </w:trPr>
        <w:tc>
          <w:tcPr>
            <w:tcW w:w="3349" w:type="pct"/>
            <w:shd w:val="clear" w:color="auto" w:fill="auto"/>
            <w:vAlign w:val="center"/>
          </w:tcPr>
          <w:p w14:paraId="4AF7D622"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14:paraId="20DEA6FA" w14:textId="0A3DD681" w:rsidR="00A01E85" w:rsidRPr="00ED172B" w:rsidRDefault="00860830" w:rsidP="00186420">
            <w:pPr>
              <w:jc w:val="center"/>
              <w:rPr>
                <w:rFonts w:cs="Arial"/>
                <w:color w:val="000000" w:themeColor="text1"/>
                <w:szCs w:val="16"/>
              </w:rPr>
            </w:pPr>
            <w:r w:rsidRPr="00ED172B">
              <w:rPr>
                <w:rFonts w:cs="Arial"/>
                <w:color w:val="000000" w:themeColor="text1"/>
                <w:szCs w:val="16"/>
              </w:rPr>
              <w:t>37</w:t>
            </w:r>
          </w:p>
        </w:tc>
        <w:tc>
          <w:tcPr>
            <w:tcW w:w="825" w:type="pct"/>
            <w:shd w:val="clear" w:color="auto" w:fill="auto"/>
            <w:vAlign w:val="center"/>
          </w:tcPr>
          <w:p w14:paraId="18B88962" w14:textId="134F5F95" w:rsidR="00A01E85" w:rsidRPr="00ED172B" w:rsidRDefault="00860830" w:rsidP="00186420">
            <w:pPr>
              <w:jc w:val="center"/>
              <w:rPr>
                <w:rFonts w:cs="Arial"/>
                <w:color w:val="000000" w:themeColor="text1"/>
                <w:szCs w:val="16"/>
              </w:rPr>
            </w:pPr>
            <w:r w:rsidRPr="00ED172B">
              <w:rPr>
                <w:rFonts w:cs="Arial"/>
                <w:color w:val="000000" w:themeColor="text1"/>
                <w:szCs w:val="16"/>
              </w:rPr>
              <w:t>0.80%</w:t>
            </w:r>
          </w:p>
        </w:tc>
      </w:tr>
      <w:tr w:rsidR="00ED172B" w:rsidRPr="00ED172B" w14:paraId="317D23ED" w14:textId="77777777" w:rsidTr="00986B99">
        <w:trPr>
          <w:trHeight w:val="361"/>
        </w:trPr>
        <w:tc>
          <w:tcPr>
            <w:tcW w:w="3349" w:type="pct"/>
            <w:shd w:val="clear" w:color="auto" w:fill="auto"/>
            <w:vAlign w:val="center"/>
          </w:tcPr>
          <w:p w14:paraId="62E56B9D"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165E6365" w14:textId="5D845E73" w:rsidR="00A01E85" w:rsidRPr="00ED172B" w:rsidRDefault="00860830" w:rsidP="00186420">
            <w:pPr>
              <w:jc w:val="center"/>
              <w:rPr>
                <w:rFonts w:cs="Arial"/>
                <w:color w:val="000000" w:themeColor="text1"/>
                <w:szCs w:val="16"/>
              </w:rPr>
            </w:pPr>
            <w:r w:rsidRPr="00ED172B">
              <w:rPr>
                <w:rFonts w:cs="Arial"/>
                <w:color w:val="000000" w:themeColor="text1"/>
                <w:szCs w:val="16"/>
              </w:rPr>
              <w:t>946</w:t>
            </w:r>
          </w:p>
        </w:tc>
        <w:tc>
          <w:tcPr>
            <w:tcW w:w="825" w:type="pct"/>
            <w:shd w:val="clear" w:color="auto" w:fill="auto"/>
            <w:vAlign w:val="center"/>
          </w:tcPr>
          <w:p w14:paraId="3E17C8BF" w14:textId="617A2F45" w:rsidR="00A01E85" w:rsidRPr="00ED172B" w:rsidRDefault="00860830" w:rsidP="00186420">
            <w:pPr>
              <w:jc w:val="center"/>
              <w:rPr>
                <w:rFonts w:cs="Arial"/>
                <w:color w:val="000000" w:themeColor="text1"/>
                <w:szCs w:val="16"/>
              </w:rPr>
            </w:pPr>
            <w:r w:rsidRPr="00ED172B">
              <w:rPr>
                <w:rFonts w:cs="Arial"/>
                <w:color w:val="000000" w:themeColor="text1"/>
                <w:szCs w:val="16"/>
              </w:rPr>
              <w:t>20.54%</w:t>
            </w:r>
          </w:p>
        </w:tc>
      </w:tr>
      <w:tr w:rsidR="00ED172B" w:rsidRPr="00ED172B" w14:paraId="02B90E57" w14:textId="77777777" w:rsidTr="00986B99">
        <w:trPr>
          <w:trHeight w:val="361"/>
        </w:trPr>
        <w:tc>
          <w:tcPr>
            <w:tcW w:w="3349" w:type="pct"/>
            <w:shd w:val="clear" w:color="auto" w:fill="auto"/>
            <w:vAlign w:val="center"/>
          </w:tcPr>
          <w:p w14:paraId="28D7FB17"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14:paraId="00C8597B" w14:textId="3A2842CF" w:rsidR="00A01E85" w:rsidRPr="00ED172B" w:rsidRDefault="00860830" w:rsidP="00186420">
            <w:pPr>
              <w:jc w:val="center"/>
              <w:rPr>
                <w:rFonts w:cs="Arial"/>
                <w:color w:val="000000" w:themeColor="text1"/>
                <w:szCs w:val="16"/>
              </w:rPr>
            </w:pPr>
            <w:r w:rsidRPr="00ED172B">
              <w:rPr>
                <w:rFonts w:cs="Arial"/>
                <w:color w:val="000000" w:themeColor="text1"/>
                <w:szCs w:val="16"/>
              </w:rPr>
              <w:t>2,707</w:t>
            </w:r>
          </w:p>
        </w:tc>
        <w:tc>
          <w:tcPr>
            <w:tcW w:w="825" w:type="pct"/>
            <w:shd w:val="clear" w:color="auto" w:fill="auto"/>
            <w:vAlign w:val="center"/>
          </w:tcPr>
          <w:p w14:paraId="211D7909" w14:textId="277445B5" w:rsidR="00A01E85" w:rsidRPr="00ED172B" w:rsidRDefault="00860830" w:rsidP="00186420">
            <w:pPr>
              <w:jc w:val="center"/>
              <w:rPr>
                <w:rFonts w:cs="Arial"/>
                <w:color w:val="000000" w:themeColor="text1"/>
                <w:szCs w:val="16"/>
              </w:rPr>
            </w:pPr>
            <w:r w:rsidRPr="00ED172B">
              <w:rPr>
                <w:rFonts w:cs="Arial"/>
                <w:color w:val="000000" w:themeColor="text1"/>
                <w:szCs w:val="16"/>
              </w:rPr>
              <w:t>58.77%</w:t>
            </w:r>
          </w:p>
        </w:tc>
      </w:tr>
      <w:tr w:rsidR="00ED172B" w:rsidRPr="00ED172B" w14:paraId="5FB47A28" w14:textId="77777777" w:rsidTr="00986B99">
        <w:trPr>
          <w:trHeight w:val="361"/>
        </w:trPr>
        <w:tc>
          <w:tcPr>
            <w:tcW w:w="3349" w:type="pct"/>
            <w:shd w:val="clear" w:color="auto" w:fill="auto"/>
            <w:vAlign w:val="center"/>
          </w:tcPr>
          <w:p w14:paraId="1067C3D6"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77D0A89E" w14:textId="3597E1A8" w:rsidR="00A01E85" w:rsidRPr="00ED172B" w:rsidRDefault="00860830" w:rsidP="00186420">
            <w:pPr>
              <w:jc w:val="center"/>
              <w:rPr>
                <w:rFonts w:cs="Arial"/>
                <w:color w:val="000000" w:themeColor="text1"/>
                <w:szCs w:val="16"/>
              </w:rPr>
            </w:pPr>
            <w:r w:rsidRPr="00ED172B">
              <w:rPr>
                <w:rFonts w:cs="Arial"/>
                <w:color w:val="000000" w:themeColor="text1"/>
                <w:szCs w:val="16"/>
              </w:rPr>
              <w:t>704</w:t>
            </w:r>
          </w:p>
        </w:tc>
        <w:tc>
          <w:tcPr>
            <w:tcW w:w="825" w:type="pct"/>
            <w:shd w:val="clear" w:color="auto" w:fill="auto"/>
            <w:vAlign w:val="center"/>
          </w:tcPr>
          <w:p w14:paraId="1AE1B39E" w14:textId="32A2E9DA" w:rsidR="00A01E85" w:rsidRPr="00ED172B" w:rsidRDefault="00860830" w:rsidP="00186420">
            <w:pPr>
              <w:jc w:val="center"/>
              <w:rPr>
                <w:rFonts w:cs="Arial"/>
                <w:color w:val="000000" w:themeColor="text1"/>
                <w:szCs w:val="16"/>
              </w:rPr>
            </w:pPr>
            <w:r w:rsidRPr="00ED172B">
              <w:rPr>
                <w:rFonts w:cs="Arial"/>
                <w:color w:val="000000" w:themeColor="text1"/>
                <w:szCs w:val="16"/>
              </w:rPr>
              <w:t>15.28%</w:t>
            </w:r>
          </w:p>
        </w:tc>
      </w:tr>
      <w:tr w:rsidR="00ED172B" w:rsidRPr="00ED172B" w14:paraId="15B5829C" w14:textId="77777777" w:rsidTr="00986B99">
        <w:trPr>
          <w:trHeight w:val="361"/>
        </w:trPr>
        <w:tc>
          <w:tcPr>
            <w:tcW w:w="3349" w:type="pct"/>
            <w:shd w:val="clear" w:color="auto" w:fill="auto"/>
            <w:vAlign w:val="center"/>
          </w:tcPr>
          <w:p w14:paraId="29BF2E7E"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26676913" w14:textId="1EB8B76F" w:rsidR="00A01E85" w:rsidRPr="00ED172B" w:rsidRDefault="00860830" w:rsidP="00186420">
            <w:pPr>
              <w:jc w:val="center"/>
              <w:rPr>
                <w:rFonts w:cs="Arial"/>
                <w:color w:val="000000" w:themeColor="text1"/>
                <w:szCs w:val="16"/>
              </w:rPr>
            </w:pPr>
            <w:r w:rsidRPr="00ED172B">
              <w:rPr>
                <w:rFonts w:cs="Arial"/>
                <w:color w:val="000000" w:themeColor="text1"/>
                <w:szCs w:val="16"/>
              </w:rPr>
              <w:t>212</w:t>
            </w:r>
          </w:p>
        </w:tc>
        <w:tc>
          <w:tcPr>
            <w:tcW w:w="825" w:type="pct"/>
            <w:shd w:val="clear" w:color="auto" w:fill="auto"/>
            <w:vAlign w:val="center"/>
          </w:tcPr>
          <w:p w14:paraId="6836B473" w14:textId="2EF21368" w:rsidR="00A01E85" w:rsidRPr="00ED172B" w:rsidRDefault="00860830" w:rsidP="00186420">
            <w:pPr>
              <w:jc w:val="center"/>
              <w:rPr>
                <w:rFonts w:cs="Arial"/>
                <w:color w:val="000000" w:themeColor="text1"/>
                <w:szCs w:val="16"/>
              </w:rPr>
            </w:pPr>
            <w:r w:rsidRPr="00ED172B">
              <w:rPr>
                <w:rFonts w:cs="Arial"/>
                <w:color w:val="000000" w:themeColor="text1"/>
                <w:szCs w:val="16"/>
              </w:rPr>
              <w:t>4.60%</w:t>
            </w:r>
          </w:p>
        </w:tc>
      </w:tr>
    </w:tbl>
    <w:p w14:paraId="6F60648C" w14:textId="098B2134" w:rsidR="0084029E" w:rsidRPr="00ED172B" w:rsidRDefault="0084029E" w:rsidP="0084029E">
      <w:pPr>
        <w:rPr>
          <w:rFonts w:cs="Arial"/>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6"/>
      </w:tblPr>
      <w:tblGrid>
        <w:gridCol w:w="7015"/>
        <w:gridCol w:w="1800"/>
        <w:gridCol w:w="1975"/>
      </w:tblGrid>
      <w:tr w:rsidR="00ED172B" w:rsidRPr="00ED172B" w14:paraId="55E19B8F" w14:textId="77777777" w:rsidTr="00986B99">
        <w:trPr>
          <w:trHeight w:val="361"/>
          <w:tblHeader/>
        </w:trPr>
        <w:tc>
          <w:tcPr>
            <w:tcW w:w="3251" w:type="pct"/>
            <w:shd w:val="clear" w:color="auto" w:fill="auto"/>
            <w:vAlign w:val="center"/>
          </w:tcPr>
          <w:p w14:paraId="41A5A3CA" w14:textId="145A6157" w:rsidR="0084029E" w:rsidRPr="00ED172B" w:rsidRDefault="0084029E" w:rsidP="0084029E">
            <w:pPr>
              <w:rPr>
                <w:rFonts w:cs="Arial"/>
                <w:color w:val="000000" w:themeColor="text1"/>
                <w:szCs w:val="16"/>
              </w:rPr>
            </w:pPr>
            <w:r w:rsidRPr="00ED172B">
              <w:rPr>
                <w:rFonts w:cs="Arial"/>
                <w:b/>
                <w:color w:val="000000" w:themeColor="text1"/>
                <w:szCs w:val="16"/>
              </w:rPr>
              <w:t>Just at-risk infants and toddlers/All infants and toddlers</w:t>
            </w:r>
          </w:p>
        </w:tc>
        <w:tc>
          <w:tcPr>
            <w:tcW w:w="834" w:type="pct"/>
            <w:shd w:val="clear" w:color="auto" w:fill="auto"/>
            <w:vAlign w:val="center"/>
          </w:tcPr>
          <w:p w14:paraId="0A896609"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Number of Children</w:t>
            </w:r>
          </w:p>
        </w:tc>
        <w:tc>
          <w:tcPr>
            <w:tcW w:w="915" w:type="pct"/>
            <w:shd w:val="clear" w:color="auto" w:fill="auto"/>
            <w:vAlign w:val="center"/>
          </w:tcPr>
          <w:p w14:paraId="541C1F17"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3022466" w14:textId="77777777" w:rsidTr="00986B99">
        <w:trPr>
          <w:trHeight w:val="361"/>
        </w:trPr>
        <w:tc>
          <w:tcPr>
            <w:tcW w:w="3251" w:type="pct"/>
            <w:shd w:val="clear" w:color="auto" w:fill="auto"/>
            <w:vAlign w:val="center"/>
          </w:tcPr>
          <w:p w14:paraId="4B198D7F"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34" w:type="pct"/>
            <w:shd w:val="clear" w:color="auto" w:fill="auto"/>
            <w:vAlign w:val="center"/>
          </w:tcPr>
          <w:p w14:paraId="2E562518" w14:textId="37B0C190" w:rsidR="00A01E85"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915" w:type="pct"/>
            <w:shd w:val="clear" w:color="auto" w:fill="auto"/>
            <w:vAlign w:val="center"/>
          </w:tcPr>
          <w:p w14:paraId="39D9C909" w14:textId="47A0A632" w:rsidR="00A01E85" w:rsidRPr="00ED172B" w:rsidRDefault="00860830" w:rsidP="00186420">
            <w:pPr>
              <w:jc w:val="center"/>
              <w:rPr>
                <w:rFonts w:cs="Arial"/>
                <w:color w:val="000000" w:themeColor="text1"/>
                <w:szCs w:val="16"/>
              </w:rPr>
            </w:pPr>
            <w:r w:rsidRPr="00ED172B">
              <w:rPr>
                <w:rFonts w:cs="Arial"/>
                <w:color w:val="000000" w:themeColor="text1"/>
                <w:szCs w:val="16"/>
              </w:rPr>
              <w:t>0.00%</w:t>
            </w:r>
          </w:p>
        </w:tc>
      </w:tr>
      <w:tr w:rsidR="00ED172B" w:rsidRPr="00ED172B" w14:paraId="3A408967" w14:textId="77777777" w:rsidTr="00986B99">
        <w:trPr>
          <w:trHeight w:val="361"/>
        </w:trPr>
        <w:tc>
          <w:tcPr>
            <w:tcW w:w="3251" w:type="pct"/>
            <w:shd w:val="clear" w:color="auto" w:fill="auto"/>
            <w:vAlign w:val="center"/>
          </w:tcPr>
          <w:p w14:paraId="343B5DDC"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34" w:type="pct"/>
            <w:shd w:val="clear" w:color="auto" w:fill="auto"/>
            <w:vAlign w:val="center"/>
          </w:tcPr>
          <w:p w14:paraId="648C7DB0" w14:textId="2F61E927" w:rsidR="00A01E85"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915" w:type="pct"/>
            <w:shd w:val="clear" w:color="auto" w:fill="auto"/>
            <w:vAlign w:val="center"/>
          </w:tcPr>
          <w:p w14:paraId="7CBEAEB0" w14:textId="305F9843" w:rsidR="00A01E85" w:rsidRPr="00ED172B" w:rsidRDefault="00860830" w:rsidP="00186420">
            <w:pPr>
              <w:jc w:val="center"/>
              <w:rPr>
                <w:rFonts w:cs="Arial"/>
                <w:color w:val="000000" w:themeColor="text1"/>
                <w:szCs w:val="16"/>
              </w:rPr>
            </w:pPr>
            <w:r w:rsidRPr="00ED172B">
              <w:rPr>
                <w:rFonts w:cs="Arial"/>
                <w:color w:val="000000" w:themeColor="text1"/>
                <w:szCs w:val="16"/>
              </w:rPr>
              <w:t>0.00%</w:t>
            </w:r>
          </w:p>
        </w:tc>
      </w:tr>
      <w:tr w:rsidR="00ED172B" w:rsidRPr="00ED172B" w14:paraId="7E74A98F" w14:textId="77777777" w:rsidTr="00986B99">
        <w:trPr>
          <w:trHeight w:val="361"/>
        </w:trPr>
        <w:tc>
          <w:tcPr>
            <w:tcW w:w="3251" w:type="pct"/>
            <w:shd w:val="clear" w:color="auto" w:fill="auto"/>
            <w:vAlign w:val="center"/>
          </w:tcPr>
          <w:p w14:paraId="58E40ACF"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34" w:type="pct"/>
            <w:shd w:val="clear" w:color="auto" w:fill="auto"/>
            <w:vAlign w:val="center"/>
          </w:tcPr>
          <w:p w14:paraId="3F7F9199" w14:textId="5A3A501D" w:rsidR="00A01E85" w:rsidRPr="00ED172B" w:rsidRDefault="00860830" w:rsidP="00186420">
            <w:pPr>
              <w:jc w:val="center"/>
              <w:rPr>
                <w:rFonts w:cs="Arial"/>
                <w:color w:val="000000" w:themeColor="text1"/>
                <w:szCs w:val="16"/>
              </w:rPr>
            </w:pPr>
            <w:r w:rsidRPr="00ED172B">
              <w:rPr>
                <w:rFonts w:cs="Arial"/>
                <w:color w:val="000000" w:themeColor="text1"/>
                <w:szCs w:val="16"/>
              </w:rPr>
              <w:t>8</w:t>
            </w:r>
          </w:p>
        </w:tc>
        <w:tc>
          <w:tcPr>
            <w:tcW w:w="915" w:type="pct"/>
            <w:shd w:val="clear" w:color="auto" w:fill="auto"/>
            <w:vAlign w:val="center"/>
          </w:tcPr>
          <w:p w14:paraId="1C0171BA" w14:textId="5E6108C5" w:rsidR="00A01E85" w:rsidRPr="00ED172B" w:rsidRDefault="00860830" w:rsidP="00186420">
            <w:pPr>
              <w:jc w:val="center"/>
              <w:rPr>
                <w:rFonts w:cs="Arial"/>
                <w:color w:val="000000" w:themeColor="text1"/>
                <w:szCs w:val="16"/>
              </w:rPr>
            </w:pPr>
            <w:r w:rsidRPr="00ED172B">
              <w:rPr>
                <w:rFonts w:cs="Arial"/>
                <w:color w:val="000000" w:themeColor="text1"/>
                <w:szCs w:val="16"/>
              </w:rPr>
              <w:t>13.11%</w:t>
            </w:r>
          </w:p>
        </w:tc>
      </w:tr>
      <w:tr w:rsidR="00ED172B" w:rsidRPr="00ED172B" w14:paraId="29810E40" w14:textId="77777777" w:rsidTr="00986B99">
        <w:trPr>
          <w:trHeight w:val="361"/>
        </w:trPr>
        <w:tc>
          <w:tcPr>
            <w:tcW w:w="3251" w:type="pct"/>
            <w:shd w:val="clear" w:color="auto" w:fill="auto"/>
            <w:vAlign w:val="center"/>
          </w:tcPr>
          <w:p w14:paraId="5C99CD9B"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34" w:type="pct"/>
            <w:shd w:val="clear" w:color="auto" w:fill="auto"/>
            <w:vAlign w:val="center"/>
          </w:tcPr>
          <w:p w14:paraId="13719A7D" w14:textId="0A20454D" w:rsidR="00A01E85" w:rsidRPr="00ED172B" w:rsidRDefault="00860830" w:rsidP="00186420">
            <w:pPr>
              <w:jc w:val="center"/>
              <w:rPr>
                <w:rFonts w:cs="Arial"/>
                <w:color w:val="000000" w:themeColor="text1"/>
                <w:szCs w:val="16"/>
              </w:rPr>
            </w:pPr>
            <w:r w:rsidRPr="00ED172B">
              <w:rPr>
                <w:rFonts w:cs="Arial"/>
                <w:color w:val="000000" w:themeColor="text1"/>
                <w:szCs w:val="16"/>
              </w:rPr>
              <w:t>39</w:t>
            </w:r>
          </w:p>
        </w:tc>
        <w:tc>
          <w:tcPr>
            <w:tcW w:w="915" w:type="pct"/>
            <w:shd w:val="clear" w:color="auto" w:fill="auto"/>
            <w:vAlign w:val="center"/>
          </w:tcPr>
          <w:p w14:paraId="08406576" w14:textId="4B9A63E1" w:rsidR="00A01E85" w:rsidRPr="00ED172B" w:rsidRDefault="00860830" w:rsidP="00186420">
            <w:pPr>
              <w:jc w:val="center"/>
              <w:rPr>
                <w:rFonts w:cs="Arial"/>
                <w:color w:val="000000" w:themeColor="text1"/>
                <w:szCs w:val="16"/>
              </w:rPr>
            </w:pPr>
            <w:r w:rsidRPr="00ED172B">
              <w:rPr>
                <w:rFonts w:cs="Arial"/>
                <w:color w:val="000000" w:themeColor="text1"/>
                <w:szCs w:val="16"/>
              </w:rPr>
              <w:t>63.93%</w:t>
            </w:r>
          </w:p>
        </w:tc>
      </w:tr>
      <w:tr w:rsidR="00ED172B" w:rsidRPr="00ED172B" w14:paraId="05C44C74" w14:textId="77777777" w:rsidTr="00986B99">
        <w:trPr>
          <w:trHeight w:val="361"/>
        </w:trPr>
        <w:tc>
          <w:tcPr>
            <w:tcW w:w="3251" w:type="pct"/>
            <w:shd w:val="clear" w:color="auto" w:fill="auto"/>
            <w:vAlign w:val="center"/>
          </w:tcPr>
          <w:p w14:paraId="570C716F"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34" w:type="pct"/>
            <w:shd w:val="clear" w:color="auto" w:fill="auto"/>
            <w:vAlign w:val="center"/>
          </w:tcPr>
          <w:p w14:paraId="13689468" w14:textId="130F4982" w:rsidR="00A01E85" w:rsidRPr="00ED172B" w:rsidRDefault="00860830" w:rsidP="00186420">
            <w:pPr>
              <w:jc w:val="center"/>
              <w:rPr>
                <w:rFonts w:cs="Arial"/>
                <w:color w:val="000000" w:themeColor="text1"/>
                <w:szCs w:val="16"/>
              </w:rPr>
            </w:pPr>
            <w:r w:rsidRPr="00ED172B">
              <w:rPr>
                <w:rFonts w:cs="Arial"/>
                <w:color w:val="000000" w:themeColor="text1"/>
                <w:szCs w:val="16"/>
              </w:rPr>
              <w:t>14</w:t>
            </w:r>
          </w:p>
        </w:tc>
        <w:tc>
          <w:tcPr>
            <w:tcW w:w="915" w:type="pct"/>
            <w:shd w:val="clear" w:color="auto" w:fill="auto"/>
            <w:vAlign w:val="center"/>
          </w:tcPr>
          <w:p w14:paraId="2E120E88" w14:textId="7CF6814E" w:rsidR="00A01E85" w:rsidRPr="00ED172B" w:rsidRDefault="00860830" w:rsidP="00186420">
            <w:pPr>
              <w:jc w:val="center"/>
              <w:rPr>
                <w:rFonts w:cs="Arial"/>
                <w:color w:val="000000" w:themeColor="text1"/>
                <w:szCs w:val="16"/>
              </w:rPr>
            </w:pPr>
            <w:r w:rsidRPr="00ED172B">
              <w:rPr>
                <w:rFonts w:cs="Arial"/>
                <w:color w:val="000000" w:themeColor="text1"/>
                <w:szCs w:val="16"/>
              </w:rPr>
              <w:t>22.95%</w:t>
            </w:r>
          </w:p>
        </w:tc>
      </w:tr>
    </w:tbl>
    <w:p w14:paraId="12903749" w14:textId="77777777" w:rsidR="0084029E" w:rsidRPr="00ED172B" w:rsidRDefault="0084029E" w:rsidP="0084029E">
      <w:pPr>
        <w:rPr>
          <w:rFonts w:cs="Arial"/>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7"/>
      </w:tblPr>
      <w:tblGrid>
        <w:gridCol w:w="2335"/>
        <w:gridCol w:w="1260"/>
        <w:gridCol w:w="1260"/>
        <w:gridCol w:w="1349"/>
        <w:gridCol w:w="1351"/>
        <w:gridCol w:w="1079"/>
        <w:gridCol w:w="1172"/>
        <w:gridCol w:w="984"/>
      </w:tblGrid>
      <w:tr w:rsidR="00ED172B" w:rsidRPr="00ED172B" w14:paraId="59748C4D" w14:textId="77777777" w:rsidTr="00986B99">
        <w:trPr>
          <w:tblHeader/>
        </w:trPr>
        <w:tc>
          <w:tcPr>
            <w:tcW w:w="1082" w:type="pct"/>
            <w:shd w:val="clear" w:color="auto" w:fill="auto"/>
            <w:vAlign w:val="bottom"/>
          </w:tcPr>
          <w:p w14:paraId="5FFE52CE" w14:textId="14F5EA8C" w:rsidR="00743466" w:rsidRPr="00ED172B" w:rsidRDefault="00743466" w:rsidP="00B83404">
            <w:pPr>
              <w:rPr>
                <w:b/>
                <w:color w:val="000000" w:themeColor="text1"/>
              </w:rPr>
            </w:pPr>
            <w:r w:rsidRPr="00ED172B">
              <w:rPr>
                <w:b/>
                <w:color w:val="000000" w:themeColor="text1"/>
              </w:rPr>
              <w:t>Not including at-risk infants and toddlers</w:t>
            </w:r>
          </w:p>
        </w:tc>
        <w:tc>
          <w:tcPr>
            <w:tcW w:w="584" w:type="pct"/>
            <w:shd w:val="clear" w:color="auto" w:fill="auto"/>
            <w:vAlign w:val="bottom"/>
          </w:tcPr>
          <w:p w14:paraId="3ABBA418"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4B92FED7"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5" w:type="pct"/>
            <w:shd w:val="clear" w:color="auto" w:fill="auto"/>
            <w:vAlign w:val="bottom"/>
          </w:tcPr>
          <w:p w14:paraId="61475AF1" w14:textId="29BC57F5" w:rsidR="00743466" w:rsidRPr="00ED172B" w:rsidRDefault="00CD74B5" w:rsidP="00743466">
            <w:pPr>
              <w:keepNext/>
              <w:jc w:val="center"/>
              <w:rPr>
                <w:rFonts w:cs="Arial"/>
                <w:b/>
                <w:color w:val="000000" w:themeColor="text1"/>
                <w:szCs w:val="16"/>
              </w:rPr>
            </w:pPr>
            <w:r>
              <w:rPr>
                <w:rFonts w:cs="Arial"/>
                <w:b/>
                <w:color w:val="000000" w:themeColor="text1"/>
                <w:szCs w:val="16"/>
              </w:rPr>
              <w:t>FFY 2019 Data</w:t>
            </w:r>
          </w:p>
        </w:tc>
        <w:tc>
          <w:tcPr>
            <w:tcW w:w="626" w:type="pct"/>
            <w:shd w:val="clear" w:color="auto" w:fill="auto"/>
            <w:vAlign w:val="bottom"/>
          </w:tcPr>
          <w:p w14:paraId="0978AB6B" w14:textId="3987203B" w:rsidR="00743466" w:rsidRPr="00ED172B" w:rsidRDefault="00F22D09" w:rsidP="00743466">
            <w:pPr>
              <w:keepNext/>
              <w:jc w:val="center"/>
              <w:rPr>
                <w:rFonts w:cs="Arial"/>
                <w:b/>
                <w:color w:val="000000" w:themeColor="text1"/>
                <w:szCs w:val="16"/>
              </w:rPr>
            </w:pPr>
            <w:r>
              <w:rPr>
                <w:rFonts w:cs="Arial"/>
                <w:b/>
                <w:color w:val="000000" w:themeColor="text1"/>
                <w:szCs w:val="16"/>
              </w:rPr>
              <w:t>FFY 2020 Target</w:t>
            </w:r>
          </w:p>
        </w:tc>
        <w:tc>
          <w:tcPr>
            <w:tcW w:w="500" w:type="pct"/>
            <w:shd w:val="clear" w:color="auto" w:fill="auto"/>
            <w:vAlign w:val="bottom"/>
          </w:tcPr>
          <w:p w14:paraId="7554CF81" w14:textId="75DA5469" w:rsidR="00743466" w:rsidRPr="00ED172B" w:rsidRDefault="00F22D09" w:rsidP="00743466">
            <w:pPr>
              <w:keepNext/>
              <w:jc w:val="center"/>
              <w:rPr>
                <w:rFonts w:cs="Arial"/>
                <w:b/>
                <w:color w:val="000000" w:themeColor="text1"/>
                <w:szCs w:val="16"/>
              </w:rPr>
            </w:pPr>
            <w:r>
              <w:rPr>
                <w:rFonts w:cs="Arial"/>
                <w:b/>
                <w:color w:val="000000" w:themeColor="text1"/>
                <w:szCs w:val="16"/>
              </w:rPr>
              <w:t>FFY 2020 Data</w:t>
            </w:r>
          </w:p>
        </w:tc>
        <w:tc>
          <w:tcPr>
            <w:tcW w:w="543" w:type="pct"/>
            <w:shd w:val="clear" w:color="auto" w:fill="auto"/>
            <w:vAlign w:val="bottom"/>
          </w:tcPr>
          <w:p w14:paraId="51A98B70"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14:paraId="70572006"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2F1207AF" w14:textId="77777777" w:rsidTr="00986B99">
        <w:tc>
          <w:tcPr>
            <w:tcW w:w="1082" w:type="pct"/>
            <w:shd w:val="clear" w:color="auto" w:fill="auto"/>
          </w:tcPr>
          <w:p w14:paraId="67374534" w14:textId="6D5947C9" w:rsidR="00A01E85" w:rsidRPr="00ED172B" w:rsidRDefault="00A01E85" w:rsidP="00A01E85">
            <w:pPr>
              <w:rPr>
                <w:rFonts w:cs="Arial"/>
                <w:color w:val="000000" w:themeColor="text1"/>
                <w:szCs w:val="16"/>
              </w:rPr>
            </w:pPr>
            <w:r w:rsidRPr="00ED172B">
              <w:rPr>
                <w:rFonts w:cs="Arial"/>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584" w:type="pct"/>
            <w:shd w:val="clear" w:color="auto" w:fill="auto"/>
            <w:vAlign w:val="center"/>
          </w:tcPr>
          <w:p w14:paraId="4E66D6EC" w14:textId="17ADD3FC"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3,411</w:t>
            </w:r>
          </w:p>
        </w:tc>
        <w:tc>
          <w:tcPr>
            <w:tcW w:w="584" w:type="pct"/>
            <w:shd w:val="clear" w:color="auto" w:fill="auto"/>
            <w:vAlign w:val="center"/>
          </w:tcPr>
          <w:p w14:paraId="5A4FFF50" w14:textId="54850FE2"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4,394</w:t>
            </w:r>
          </w:p>
        </w:tc>
        <w:tc>
          <w:tcPr>
            <w:tcW w:w="625" w:type="pct"/>
            <w:shd w:val="clear" w:color="auto" w:fill="auto"/>
            <w:vAlign w:val="center"/>
          </w:tcPr>
          <w:p w14:paraId="4A028943" w14:textId="36186E9F" w:rsidR="00A01E85" w:rsidRPr="00ED172B" w:rsidRDefault="00860830" w:rsidP="00A01E85">
            <w:pPr>
              <w:jc w:val="center"/>
              <w:rPr>
                <w:rFonts w:cs="Arial"/>
                <w:color w:val="000000" w:themeColor="text1"/>
                <w:szCs w:val="16"/>
              </w:rPr>
            </w:pPr>
            <w:r w:rsidRPr="00ED172B">
              <w:rPr>
                <w:rFonts w:cs="Arial"/>
                <w:color w:val="000000" w:themeColor="text1"/>
                <w:szCs w:val="16"/>
              </w:rPr>
              <w:t>43.55%</w:t>
            </w:r>
          </w:p>
        </w:tc>
        <w:tc>
          <w:tcPr>
            <w:tcW w:w="626" w:type="pct"/>
            <w:shd w:val="clear" w:color="auto" w:fill="auto"/>
            <w:vAlign w:val="center"/>
          </w:tcPr>
          <w:p w14:paraId="5E58AA14" w14:textId="2A0678D1" w:rsidR="00A01E85" w:rsidRPr="00ED172B" w:rsidRDefault="001E39E3" w:rsidP="001E39E3">
            <w:pPr>
              <w:jc w:val="center"/>
              <w:rPr>
                <w:color w:val="000000" w:themeColor="text1"/>
              </w:rPr>
            </w:pPr>
            <w:r w:rsidRPr="00ED172B">
              <w:rPr>
                <w:color w:val="000000" w:themeColor="text1"/>
              </w:rPr>
              <w:t>88.00%</w:t>
            </w:r>
          </w:p>
        </w:tc>
        <w:tc>
          <w:tcPr>
            <w:tcW w:w="500" w:type="pct"/>
            <w:shd w:val="clear" w:color="auto" w:fill="auto"/>
            <w:vAlign w:val="center"/>
          </w:tcPr>
          <w:p w14:paraId="0A8199D6" w14:textId="27A7B7E0" w:rsidR="00A01E85" w:rsidRPr="00ED172B" w:rsidRDefault="00860830" w:rsidP="00A01E85">
            <w:pPr>
              <w:jc w:val="center"/>
              <w:rPr>
                <w:rFonts w:cs="Arial"/>
                <w:color w:val="000000" w:themeColor="text1"/>
                <w:szCs w:val="16"/>
              </w:rPr>
            </w:pPr>
            <w:r w:rsidRPr="00ED172B">
              <w:rPr>
                <w:rFonts w:cs="Arial"/>
                <w:color w:val="000000" w:themeColor="text1"/>
                <w:szCs w:val="16"/>
              </w:rPr>
              <w:t>77.63%</w:t>
            </w:r>
          </w:p>
        </w:tc>
        <w:tc>
          <w:tcPr>
            <w:tcW w:w="543" w:type="pct"/>
            <w:shd w:val="clear" w:color="auto" w:fill="auto"/>
            <w:vAlign w:val="center"/>
          </w:tcPr>
          <w:p w14:paraId="28F74EAE" w14:textId="5C61405E"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14:paraId="32923BEF" w14:textId="09781E6B"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r w:rsidR="00ED172B" w:rsidRPr="00ED172B" w14:paraId="621DC5E2" w14:textId="77777777" w:rsidTr="00986B99">
        <w:tc>
          <w:tcPr>
            <w:tcW w:w="1082" w:type="pct"/>
            <w:shd w:val="clear" w:color="auto" w:fill="auto"/>
          </w:tcPr>
          <w:p w14:paraId="61BD7F77" w14:textId="078E2F06" w:rsidR="00A01E85" w:rsidRPr="00ED172B" w:rsidRDefault="00A01E85" w:rsidP="00A01E85">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14:paraId="3DCFEF97" w14:textId="3B20FCE3"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916</w:t>
            </w:r>
          </w:p>
        </w:tc>
        <w:tc>
          <w:tcPr>
            <w:tcW w:w="584" w:type="pct"/>
            <w:shd w:val="clear" w:color="auto" w:fill="auto"/>
            <w:vAlign w:val="center"/>
          </w:tcPr>
          <w:p w14:paraId="6D275B41" w14:textId="3BEDD988"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4,606</w:t>
            </w:r>
          </w:p>
        </w:tc>
        <w:tc>
          <w:tcPr>
            <w:tcW w:w="625" w:type="pct"/>
            <w:shd w:val="clear" w:color="auto" w:fill="auto"/>
            <w:vAlign w:val="center"/>
          </w:tcPr>
          <w:p w14:paraId="19E4BFEE" w14:textId="74887F6A" w:rsidR="00A01E85" w:rsidRPr="00ED172B" w:rsidRDefault="00860830" w:rsidP="00A01E85">
            <w:pPr>
              <w:jc w:val="center"/>
              <w:rPr>
                <w:rFonts w:cs="Arial"/>
                <w:color w:val="000000" w:themeColor="text1"/>
                <w:szCs w:val="16"/>
              </w:rPr>
            </w:pPr>
            <w:r w:rsidRPr="00ED172B">
              <w:rPr>
                <w:rFonts w:cs="Arial"/>
                <w:color w:val="000000" w:themeColor="text1"/>
                <w:szCs w:val="16"/>
              </w:rPr>
              <w:t>35.29%</w:t>
            </w:r>
          </w:p>
        </w:tc>
        <w:tc>
          <w:tcPr>
            <w:tcW w:w="626" w:type="pct"/>
            <w:shd w:val="clear" w:color="auto" w:fill="auto"/>
            <w:vAlign w:val="center"/>
          </w:tcPr>
          <w:p w14:paraId="77A3D5EA" w14:textId="2D2C411D" w:rsidR="00A01E85" w:rsidRPr="00ED172B" w:rsidRDefault="001E39E3" w:rsidP="001E39E3">
            <w:pPr>
              <w:jc w:val="center"/>
              <w:rPr>
                <w:color w:val="000000" w:themeColor="text1"/>
              </w:rPr>
            </w:pPr>
            <w:r w:rsidRPr="00ED172B">
              <w:rPr>
                <w:color w:val="000000" w:themeColor="text1"/>
              </w:rPr>
              <w:t>52.00%</w:t>
            </w:r>
          </w:p>
        </w:tc>
        <w:tc>
          <w:tcPr>
            <w:tcW w:w="500" w:type="pct"/>
            <w:shd w:val="clear" w:color="auto" w:fill="auto"/>
            <w:vAlign w:val="center"/>
          </w:tcPr>
          <w:p w14:paraId="635264A5" w14:textId="47635B5F" w:rsidR="00A01E85" w:rsidRPr="00ED172B" w:rsidRDefault="00860830" w:rsidP="00A01E85">
            <w:pPr>
              <w:jc w:val="center"/>
              <w:rPr>
                <w:rFonts w:cs="Arial"/>
                <w:color w:val="000000" w:themeColor="text1"/>
                <w:szCs w:val="16"/>
              </w:rPr>
            </w:pPr>
            <w:r w:rsidRPr="00ED172B">
              <w:rPr>
                <w:rFonts w:cs="Arial"/>
                <w:color w:val="000000" w:themeColor="text1"/>
                <w:szCs w:val="16"/>
              </w:rPr>
              <w:t>19.89%</w:t>
            </w:r>
          </w:p>
        </w:tc>
        <w:tc>
          <w:tcPr>
            <w:tcW w:w="543" w:type="pct"/>
            <w:shd w:val="clear" w:color="auto" w:fill="auto"/>
            <w:vAlign w:val="center"/>
          </w:tcPr>
          <w:p w14:paraId="6AEC0AD8" w14:textId="47D0C390"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14:paraId="7C68F8CD" w14:textId="122AA1F5" w:rsidR="00A01E85" w:rsidRPr="00ED172B" w:rsidRDefault="00860830" w:rsidP="00A01E85">
            <w:pPr>
              <w:jc w:val="center"/>
              <w:rPr>
                <w:rFonts w:cs="Arial"/>
                <w:color w:val="000000" w:themeColor="text1"/>
                <w:szCs w:val="16"/>
              </w:rPr>
            </w:pPr>
            <w:r w:rsidRPr="00ED172B">
              <w:rPr>
                <w:rFonts w:cs="Arial"/>
                <w:color w:val="000000" w:themeColor="text1"/>
                <w:szCs w:val="16"/>
              </w:rPr>
              <w:t>Slippage</w:t>
            </w:r>
          </w:p>
        </w:tc>
      </w:tr>
    </w:tbl>
    <w:p w14:paraId="50FA25E0" w14:textId="40A97B9D" w:rsidR="00A01E85" w:rsidRPr="00ED172B" w:rsidRDefault="00A01E85" w:rsidP="00A01E85">
      <w:pPr>
        <w:rPr>
          <w:rFonts w:cs="Arial"/>
          <w:b/>
          <w:i/>
          <w:color w:val="000000" w:themeColor="text1"/>
          <w:szCs w:val="16"/>
        </w:rPr>
      </w:pPr>
      <w:r w:rsidRPr="00ED172B">
        <w:rPr>
          <w:b/>
          <w:color w:val="000000" w:themeColor="text1"/>
        </w:rPr>
        <w:t>Provide reasons for B2 slippage, if applicable</w:t>
      </w:r>
      <w:r w:rsidRPr="00ED172B">
        <w:rPr>
          <w:rFonts w:cs="Arial"/>
          <w:b/>
          <w:color w:val="000000" w:themeColor="text1"/>
          <w:szCs w:val="16"/>
        </w:rPr>
        <w:t xml:space="preserve"> </w:t>
      </w:r>
    </w:p>
    <w:p w14:paraId="278BE342" w14:textId="57F9BD16" w:rsidR="00A01E85" w:rsidRDefault="001E39E3" w:rsidP="001E39E3">
      <w:pPr>
        <w:rPr>
          <w:color w:val="000000" w:themeColor="text1"/>
        </w:rPr>
      </w:pPr>
      <w:r w:rsidRPr="00ED172B">
        <w:rPr>
          <w:color w:val="000000" w:themeColor="text1"/>
        </w:rPr>
        <w:t>The COVID-19 pandemic necessitated public health measures such as social distancing and reduced in-person interactions. MA-C did not allow EIS providers to administer the Battelle Developmental Inventory (2nd ed; BDI-2) via telehealth. Fewer toddlers were evaluated upon exiting, and it is suspected that this lower denominator affected the overall performance in this area.</w:t>
      </w:r>
    </w:p>
    <w:p w14:paraId="5ED89657" w14:textId="77777777" w:rsidR="000D7858" w:rsidRPr="00ED172B" w:rsidRDefault="000D7858" w:rsidP="001E39E3">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8"/>
      </w:tblPr>
      <w:tblGrid>
        <w:gridCol w:w="2425"/>
        <w:gridCol w:w="1260"/>
        <w:gridCol w:w="1349"/>
        <w:gridCol w:w="1351"/>
        <w:gridCol w:w="1170"/>
        <w:gridCol w:w="1172"/>
        <w:gridCol w:w="1081"/>
        <w:gridCol w:w="982"/>
      </w:tblGrid>
      <w:tr w:rsidR="00ED172B" w:rsidRPr="00ED172B" w14:paraId="28BF044D" w14:textId="77777777" w:rsidTr="00986B99">
        <w:trPr>
          <w:tblHeader/>
        </w:trPr>
        <w:tc>
          <w:tcPr>
            <w:tcW w:w="1124" w:type="pct"/>
            <w:shd w:val="clear" w:color="auto" w:fill="auto"/>
            <w:vAlign w:val="bottom"/>
          </w:tcPr>
          <w:p w14:paraId="48004B61" w14:textId="0787F6A1" w:rsidR="00743466" w:rsidRPr="00ED172B" w:rsidRDefault="00743466" w:rsidP="00B83404">
            <w:pPr>
              <w:rPr>
                <w:b/>
                <w:color w:val="000000" w:themeColor="text1"/>
              </w:rPr>
            </w:pPr>
            <w:r w:rsidRPr="00ED172B">
              <w:rPr>
                <w:b/>
                <w:color w:val="000000" w:themeColor="text1"/>
              </w:rPr>
              <w:t>Just at-risk infants and toddlers/All infants and toddlers</w:t>
            </w:r>
          </w:p>
        </w:tc>
        <w:tc>
          <w:tcPr>
            <w:tcW w:w="584" w:type="pct"/>
            <w:shd w:val="clear" w:color="auto" w:fill="auto"/>
            <w:vAlign w:val="bottom"/>
          </w:tcPr>
          <w:p w14:paraId="4E589DCE"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14:paraId="38AAD24F"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14:paraId="0C52FED0" w14:textId="53E54764" w:rsidR="00743466" w:rsidRPr="00ED172B" w:rsidRDefault="00CD74B5" w:rsidP="00743466">
            <w:pPr>
              <w:keepNext/>
              <w:jc w:val="center"/>
              <w:rPr>
                <w:rFonts w:cs="Arial"/>
                <w:b/>
                <w:color w:val="000000" w:themeColor="text1"/>
                <w:szCs w:val="16"/>
              </w:rPr>
            </w:pPr>
            <w:r>
              <w:rPr>
                <w:rFonts w:cs="Arial"/>
                <w:b/>
                <w:color w:val="000000" w:themeColor="text1"/>
                <w:szCs w:val="16"/>
              </w:rPr>
              <w:t>FFY 2019 Data</w:t>
            </w:r>
          </w:p>
        </w:tc>
        <w:tc>
          <w:tcPr>
            <w:tcW w:w="542" w:type="pct"/>
            <w:shd w:val="clear" w:color="auto" w:fill="auto"/>
            <w:vAlign w:val="bottom"/>
          </w:tcPr>
          <w:p w14:paraId="67062A6E" w14:textId="1DF09BED" w:rsidR="00743466" w:rsidRPr="00ED172B" w:rsidRDefault="00F22D09" w:rsidP="00743466">
            <w:pPr>
              <w:keepNext/>
              <w:jc w:val="center"/>
              <w:rPr>
                <w:rFonts w:cs="Arial"/>
                <w:b/>
                <w:color w:val="000000" w:themeColor="text1"/>
                <w:szCs w:val="16"/>
              </w:rPr>
            </w:pPr>
            <w:r>
              <w:rPr>
                <w:rFonts w:cs="Arial"/>
                <w:b/>
                <w:color w:val="000000" w:themeColor="text1"/>
                <w:szCs w:val="16"/>
              </w:rPr>
              <w:t>FFY 2020 Target</w:t>
            </w:r>
          </w:p>
        </w:tc>
        <w:tc>
          <w:tcPr>
            <w:tcW w:w="543" w:type="pct"/>
            <w:shd w:val="clear" w:color="auto" w:fill="auto"/>
            <w:vAlign w:val="bottom"/>
          </w:tcPr>
          <w:p w14:paraId="7296B8FE" w14:textId="329A8959" w:rsidR="00743466" w:rsidRPr="00ED172B" w:rsidRDefault="00F22D09" w:rsidP="00743466">
            <w:pPr>
              <w:keepNext/>
              <w:jc w:val="center"/>
              <w:rPr>
                <w:rFonts w:cs="Arial"/>
                <w:b/>
                <w:color w:val="000000" w:themeColor="text1"/>
                <w:szCs w:val="16"/>
              </w:rPr>
            </w:pPr>
            <w:r>
              <w:rPr>
                <w:rFonts w:cs="Arial"/>
                <w:b/>
                <w:color w:val="000000" w:themeColor="text1"/>
                <w:szCs w:val="16"/>
              </w:rPr>
              <w:t>FFY 2020 Data</w:t>
            </w:r>
          </w:p>
        </w:tc>
        <w:tc>
          <w:tcPr>
            <w:tcW w:w="501" w:type="pct"/>
            <w:shd w:val="clear" w:color="auto" w:fill="auto"/>
            <w:vAlign w:val="bottom"/>
          </w:tcPr>
          <w:p w14:paraId="1B43CBDB"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12F05379"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116D5CCC" w14:textId="77777777" w:rsidTr="00986B99">
        <w:tc>
          <w:tcPr>
            <w:tcW w:w="1124" w:type="pct"/>
            <w:shd w:val="clear" w:color="auto" w:fill="auto"/>
          </w:tcPr>
          <w:p w14:paraId="4314D26B" w14:textId="6C3F3968" w:rsidR="00A01E85" w:rsidRPr="00ED172B" w:rsidRDefault="00A01E85" w:rsidP="00A01E85">
            <w:pPr>
              <w:rPr>
                <w:rFonts w:cs="Arial"/>
                <w:color w:val="000000" w:themeColor="text1"/>
                <w:szCs w:val="16"/>
              </w:rPr>
            </w:pPr>
            <w:r w:rsidRPr="00ED172B">
              <w:rPr>
                <w:rFonts w:cs="Arial"/>
                <w:color w:val="000000" w:themeColor="text1"/>
                <w:szCs w:val="16"/>
              </w:rPr>
              <w:t xml:space="preserve">B1. Of those children who entered or exited the program below age expectations in Outcome B, the percent who substantially increased their rate of growth by the time they </w:t>
            </w:r>
            <w:r w:rsidRPr="00ED172B">
              <w:rPr>
                <w:rFonts w:cs="Arial"/>
                <w:color w:val="000000" w:themeColor="text1"/>
                <w:szCs w:val="16"/>
              </w:rPr>
              <w:lastRenderedPageBreak/>
              <w:t>turned 3 years of age or exited the program</w:t>
            </w:r>
          </w:p>
        </w:tc>
        <w:tc>
          <w:tcPr>
            <w:tcW w:w="584" w:type="pct"/>
            <w:shd w:val="clear" w:color="auto" w:fill="auto"/>
            <w:vAlign w:val="center"/>
          </w:tcPr>
          <w:p w14:paraId="10D9218D" w14:textId="6AFBF7FD"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lastRenderedPageBreak/>
              <w:t>47</w:t>
            </w:r>
          </w:p>
        </w:tc>
        <w:tc>
          <w:tcPr>
            <w:tcW w:w="625" w:type="pct"/>
            <w:shd w:val="clear" w:color="auto" w:fill="auto"/>
            <w:vAlign w:val="center"/>
          </w:tcPr>
          <w:p w14:paraId="74E8C70E" w14:textId="571D967E"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47</w:t>
            </w:r>
          </w:p>
        </w:tc>
        <w:tc>
          <w:tcPr>
            <w:tcW w:w="626" w:type="pct"/>
            <w:shd w:val="clear" w:color="auto" w:fill="auto"/>
            <w:vAlign w:val="center"/>
          </w:tcPr>
          <w:p w14:paraId="21296411" w14:textId="57290262" w:rsidR="00A01E85" w:rsidRPr="00ED172B" w:rsidRDefault="00860830" w:rsidP="00A01E85">
            <w:pPr>
              <w:jc w:val="center"/>
              <w:rPr>
                <w:rFonts w:cs="Arial"/>
                <w:color w:val="000000" w:themeColor="text1"/>
                <w:szCs w:val="16"/>
              </w:rPr>
            </w:pPr>
            <w:r w:rsidRPr="00ED172B">
              <w:rPr>
                <w:rFonts w:cs="Arial"/>
                <w:color w:val="000000" w:themeColor="text1"/>
                <w:szCs w:val="16"/>
              </w:rPr>
              <w:t>92.79%</w:t>
            </w:r>
          </w:p>
        </w:tc>
        <w:tc>
          <w:tcPr>
            <w:tcW w:w="542" w:type="pct"/>
            <w:shd w:val="clear" w:color="auto" w:fill="auto"/>
            <w:vAlign w:val="center"/>
          </w:tcPr>
          <w:p w14:paraId="4BF09CF1" w14:textId="205C17B0" w:rsidR="00A01E85" w:rsidRPr="00ED172B" w:rsidRDefault="00A01E85" w:rsidP="001E39E3">
            <w:pPr>
              <w:jc w:val="center"/>
              <w:rPr>
                <w:color w:val="000000" w:themeColor="text1"/>
              </w:rPr>
            </w:pPr>
          </w:p>
        </w:tc>
        <w:tc>
          <w:tcPr>
            <w:tcW w:w="543" w:type="pct"/>
            <w:shd w:val="clear" w:color="auto" w:fill="auto"/>
            <w:vAlign w:val="center"/>
          </w:tcPr>
          <w:p w14:paraId="68C1AF4D" w14:textId="60CF2502"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01" w:type="pct"/>
            <w:shd w:val="clear" w:color="auto" w:fill="auto"/>
            <w:vAlign w:val="center"/>
          </w:tcPr>
          <w:p w14:paraId="696F106F" w14:textId="719EA386"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64D66F01" w14:textId="4BA641BF"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160911FF" w14:textId="77777777" w:rsidTr="00986B99">
        <w:tc>
          <w:tcPr>
            <w:tcW w:w="1124" w:type="pct"/>
            <w:shd w:val="clear" w:color="auto" w:fill="auto"/>
          </w:tcPr>
          <w:p w14:paraId="2B8DB303" w14:textId="15B2256B" w:rsidR="00A01E85" w:rsidRPr="00ED172B" w:rsidRDefault="00A01E85" w:rsidP="00A01E85">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14:paraId="761936B4" w14:textId="46E9DAF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53</w:t>
            </w:r>
          </w:p>
        </w:tc>
        <w:tc>
          <w:tcPr>
            <w:tcW w:w="625" w:type="pct"/>
            <w:shd w:val="clear" w:color="auto" w:fill="auto"/>
            <w:vAlign w:val="center"/>
          </w:tcPr>
          <w:p w14:paraId="40549592" w14:textId="716D75F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61</w:t>
            </w:r>
          </w:p>
        </w:tc>
        <w:tc>
          <w:tcPr>
            <w:tcW w:w="626" w:type="pct"/>
            <w:shd w:val="clear" w:color="auto" w:fill="auto"/>
            <w:vAlign w:val="center"/>
          </w:tcPr>
          <w:p w14:paraId="07FAD763" w14:textId="68E47174" w:rsidR="00A01E85" w:rsidRPr="00ED172B" w:rsidRDefault="00860830" w:rsidP="00A01E85">
            <w:pPr>
              <w:jc w:val="center"/>
              <w:rPr>
                <w:rFonts w:cs="Arial"/>
                <w:color w:val="000000" w:themeColor="text1"/>
                <w:szCs w:val="16"/>
              </w:rPr>
            </w:pPr>
            <w:r w:rsidRPr="00ED172B">
              <w:rPr>
                <w:rFonts w:cs="Arial"/>
                <w:color w:val="000000" w:themeColor="text1"/>
                <w:szCs w:val="16"/>
              </w:rPr>
              <w:t>91.56%</w:t>
            </w:r>
          </w:p>
        </w:tc>
        <w:tc>
          <w:tcPr>
            <w:tcW w:w="542" w:type="pct"/>
            <w:shd w:val="clear" w:color="auto" w:fill="auto"/>
            <w:vAlign w:val="center"/>
          </w:tcPr>
          <w:p w14:paraId="3D25A02C" w14:textId="2B3D448E" w:rsidR="00A01E85" w:rsidRPr="00ED172B" w:rsidRDefault="00A01E85">
            <w:pPr>
              <w:jc w:val="center"/>
              <w:rPr>
                <w:color w:val="000000" w:themeColor="text1"/>
              </w:rPr>
            </w:pPr>
          </w:p>
        </w:tc>
        <w:tc>
          <w:tcPr>
            <w:tcW w:w="543" w:type="pct"/>
            <w:shd w:val="clear" w:color="auto" w:fill="auto"/>
            <w:vAlign w:val="center"/>
          </w:tcPr>
          <w:p w14:paraId="677E7C18" w14:textId="7890B12F" w:rsidR="00A01E85" w:rsidRPr="00ED172B" w:rsidRDefault="00860830" w:rsidP="00A01E85">
            <w:pPr>
              <w:jc w:val="center"/>
              <w:rPr>
                <w:rFonts w:cs="Arial"/>
                <w:color w:val="000000" w:themeColor="text1"/>
                <w:szCs w:val="16"/>
              </w:rPr>
            </w:pPr>
            <w:r w:rsidRPr="00ED172B">
              <w:rPr>
                <w:rFonts w:cs="Arial"/>
                <w:color w:val="000000" w:themeColor="text1"/>
                <w:szCs w:val="16"/>
              </w:rPr>
              <w:t>86.89%</w:t>
            </w:r>
          </w:p>
        </w:tc>
        <w:tc>
          <w:tcPr>
            <w:tcW w:w="501" w:type="pct"/>
            <w:shd w:val="clear" w:color="auto" w:fill="auto"/>
            <w:vAlign w:val="center"/>
          </w:tcPr>
          <w:p w14:paraId="7A6B82D3" w14:textId="728C38AD"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0986DE41" w14:textId="7D85ED65"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6AD77A06" w14:textId="40821E3C" w:rsidR="0084029E" w:rsidRPr="00ED172B" w:rsidRDefault="0084029E">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9"/>
      </w:tblPr>
      <w:tblGrid>
        <w:gridCol w:w="7227"/>
        <w:gridCol w:w="1783"/>
        <w:gridCol w:w="1780"/>
      </w:tblGrid>
      <w:tr w:rsidR="00ED172B" w:rsidRPr="00ED172B" w14:paraId="316DB57D" w14:textId="77777777" w:rsidTr="00986B99">
        <w:trPr>
          <w:trHeight w:val="361"/>
          <w:tblHeader/>
        </w:trPr>
        <w:tc>
          <w:tcPr>
            <w:tcW w:w="3349" w:type="pct"/>
            <w:shd w:val="clear" w:color="auto" w:fill="auto"/>
            <w:vAlign w:val="center"/>
          </w:tcPr>
          <w:p w14:paraId="67713AA1" w14:textId="0483A79B" w:rsidR="0084029E" w:rsidRPr="00ED172B" w:rsidRDefault="0084029E" w:rsidP="0084029E">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14:paraId="7DE31577" w14:textId="77777777" w:rsidR="0084029E" w:rsidRPr="00ED172B" w:rsidRDefault="0084029E" w:rsidP="0084029E">
            <w:pP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14:paraId="0BBB746A" w14:textId="77777777" w:rsidR="0084029E" w:rsidRPr="00ED172B" w:rsidRDefault="0084029E" w:rsidP="0084029E">
            <w:pPr>
              <w:rPr>
                <w:rFonts w:cs="Arial"/>
                <w:b/>
                <w:color w:val="000000" w:themeColor="text1"/>
                <w:szCs w:val="16"/>
              </w:rPr>
            </w:pPr>
            <w:r w:rsidRPr="00ED172B">
              <w:rPr>
                <w:rFonts w:cs="Arial"/>
                <w:b/>
                <w:color w:val="000000" w:themeColor="text1"/>
                <w:szCs w:val="16"/>
              </w:rPr>
              <w:t>Percentage of Total</w:t>
            </w:r>
          </w:p>
        </w:tc>
      </w:tr>
      <w:tr w:rsidR="00ED172B" w:rsidRPr="00ED172B" w14:paraId="708B0F4A" w14:textId="77777777" w:rsidTr="00986B99">
        <w:trPr>
          <w:trHeight w:val="361"/>
        </w:trPr>
        <w:tc>
          <w:tcPr>
            <w:tcW w:w="3349" w:type="pct"/>
            <w:shd w:val="clear" w:color="auto" w:fill="auto"/>
            <w:vAlign w:val="center"/>
          </w:tcPr>
          <w:p w14:paraId="58D851FA"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14:paraId="7DCDCE4A" w14:textId="007E97AE" w:rsidR="00A01E85" w:rsidRPr="00ED172B" w:rsidRDefault="00860830" w:rsidP="002E64AF">
            <w:pPr>
              <w:jc w:val="center"/>
              <w:rPr>
                <w:rFonts w:cs="Arial"/>
                <w:color w:val="000000" w:themeColor="text1"/>
                <w:szCs w:val="16"/>
              </w:rPr>
            </w:pPr>
            <w:r w:rsidRPr="00ED172B">
              <w:rPr>
                <w:rFonts w:cs="Arial"/>
                <w:color w:val="000000" w:themeColor="text1"/>
                <w:szCs w:val="16"/>
              </w:rPr>
              <w:t>18</w:t>
            </w:r>
          </w:p>
        </w:tc>
        <w:tc>
          <w:tcPr>
            <w:tcW w:w="825" w:type="pct"/>
            <w:shd w:val="clear" w:color="auto" w:fill="auto"/>
            <w:vAlign w:val="center"/>
          </w:tcPr>
          <w:p w14:paraId="5B6FF15B" w14:textId="39D478E0" w:rsidR="00A01E85" w:rsidRPr="00ED172B" w:rsidRDefault="00860830" w:rsidP="002E64AF">
            <w:pPr>
              <w:jc w:val="center"/>
              <w:rPr>
                <w:rFonts w:cs="Arial"/>
                <w:color w:val="000000" w:themeColor="text1"/>
                <w:szCs w:val="16"/>
              </w:rPr>
            </w:pPr>
            <w:r w:rsidRPr="00ED172B">
              <w:rPr>
                <w:rFonts w:cs="Arial"/>
                <w:color w:val="000000" w:themeColor="text1"/>
                <w:szCs w:val="16"/>
              </w:rPr>
              <w:t>0.39%</w:t>
            </w:r>
          </w:p>
        </w:tc>
      </w:tr>
      <w:tr w:rsidR="00ED172B" w:rsidRPr="00ED172B" w14:paraId="6C5C53D1" w14:textId="77777777" w:rsidTr="00986B99">
        <w:trPr>
          <w:trHeight w:val="361"/>
        </w:trPr>
        <w:tc>
          <w:tcPr>
            <w:tcW w:w="3349" w:type="pct"/>
            <w:shd w:val="clear" w:color="auto" w:fill="auto"/>
            <w:vAlign w:val="center"/>
          </w:tcPr>
          <w:p w14:paraId="21D684EB"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3DB5E8BD" w14:textId="0C728BFA" w:rsidR="00A01E85" w:rsidRPr="00ED172B" w:rsidRDefault="00860830" w:rsidP="002E64AF">
            <w:pPr>
              <w:jc w:val="center"/>
              <w:rPr>
                <w:rFonts w:cs="Arial"/>
                <w:color w:val="000000" w:themeColor="text1"/>
                <w:szCs w:val="16"/>
              </w:rPr>
            </w:pPr>
            <w:r w:rsidRPr="00ED172B">
              <w:rPr>
                <w:rFonts w:cs="Arial"/>
                <w:color w:val="000000" w:themeColor="text1"/>
                <w:szCs w:val="16"/>
              </w:rPr>
              <w:t>587</w:t>
            </w:r>
          </w:p>
        </w:tc>
        <w:tc>
          <w:tcPr>
            <w:tcW w:w="825" w:type="pct"/>
            <w:shd w:val="clear" w:color="auto" w:fill="auto"/>
            <w:vAlign w:val="center"/>
          </w:tcPr>
          <w:p w14:paraId="06AE6B70" w14:textId="7BD9DD7B" w:rsidR="00A01E85" w:rsidRPr="00ED172B" w:rsidRDefault="00860830" w:rsidP="002E64AF">
            <w:pPr>
              <w:jc w:val="center"/>
              <w:rPr>
                <w:rFonts w:cs="Arial"/>
                <w:color w:val="000000" w:themeColor="text1"/>
                <w:szCs w:val="16"/>
              </w:rPr>
            </w:pPr>
            <w:r w:rsidRPr="00ED172B">
              <w:rPr>
                <w:rFonts w:cs="Arial"/>
                <w:color w:val="000000" w:themeColor="text1"/>
                <w:szCs w:val="16"/>
              </w:rPr>
              <w:t>12.74%</w:t>
            </w:r>
          </w:p>
        </w:tc>
      </w:tr>
      <w:tr w:rsidR="00ED172B" w:rsidRPr="00ED172B" w14:paraId="21162FD4" w14:textId="77777777" w:rsidTr="00986B99">
        <w:trPr>
          <w:trHeight w:val="395"/>
        </w:trPr>
        <w:tc>
          <w:tcPr>
            <w:tcW w:w="3349" w:type="pct"/>
            <w:shd w:val="clear" w:color="auto" w:fill="auto"/>
            <w:vAlign w:val="center"/>
          </w:tcPr>
          <w:p w14:paraId="2D08789B"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14:paraId="39079991" w14:textId="2170A481" w:rsidR="00A01E85" w:rsidRPr="00ED172B" w:rsidRDefault="00860830" w:rsidP="002E64AF">
            <w:pPr>
              <w:jc w:val="center"/>
              <w:rPr>
                <w:rFonts w:cs="Arial"/>
                <w:color w:val="000000" w:themeColor="text1"/>
                <w:szCs w:val="16"/>
              </w:rPr>
            </w:pPr>
            <w:r w:rsidRPr="00ED172B">
              <w:rPr>
                <w:rFonts w:cs="Arial"/>
                <w:color w:val="000000" w:themeColor="text1"/>
                <w:szCs w:val="16"/>
              </w:rPr>
              <w:t>2,068</w:t>
            </w:r>
          </w:p>
        </w:tc>
        <w:tc>
          <w:tcPr>
            <w:tcW w:w="825" w:type="pct"/>
            <w:shd w:val="clear" w:color="auto" w:fill="auto"/>
            <w:vAlign w:val="center"/>
          </w:tcPr>
          <w:p w14:paraId="739B1F8C" w14:textId="7012C479" w:rsidR="00A01E85" w:rsidRPr="00ED172B" w:rsidRDefault="00860830" w:rsidP="002E64AF">
            <w:pPr>
              <w:jc w:val="center"/>
              <w:rPr>
                <w:rFonts w:cs="Arial"/>
                <w:color w:val="000000" w:themeColor="text1"/>
                <w:szCs w:val="16"/>
              </w:rPr>
            </w:pPr>
            <w:r w:rsidRPr="00ED172B">
              <w:rPr>
                <w:rFonts w:cs="Arial"/>
                <w:color w:val="000000" w:themeColor="text1"/>
                <w:szCs w:val="16"/>
              </w:rPr>
              <w:t>44.90%</w:t>
            </w:r>
          </w:p>
        </w:tc>
      </w:tr>
      <w:tr w:rsidR="00ED172B" w:rsidRPr="00ED172B" w14:paraId="7861E1DA" w14:textId="77777777" w:rsidTr="00986B99">
        <w:trPr>
          <w:trHeight w:val="361"/>
        </w:trPr>
        <w:tc>
          <w:tcPr>
            <w:tcW w:w="3349" w:type="pct"/>
            <w:shd w:val="clear" w:color="auto" w:fill="auto"/>
            <w:vAlign w:val="center"/>
          </w:tcPr>
          <w:p w14:paraId="6B359621"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01CD6016" w14:textId="7963A28E" w:rsidR="00A01E85" w:rsidRPr="00ED172B" w:rsidRDefault="00860830" w:rsidP="002E64AF">
            <w:pPr>
              <w:jc w:val="center"/>
              <w:rPr>
                <w:rFonts w:cs="Arial"/>
                <w:color w:val="000000" w:themeColor="text1"/>
                <w:szCs w:val="16"/>
              </w:rPr>
            </w:pPr>
            <w:r w:rsidRPr="00ED172B">
              <w:rPr>
                <w:rFonts w:cs="Arial"/>
                <w:color w:val="000000" w:themeColor="text1"/>
                <w:szCs w:val="16"/>
              </w:rPr>
              <w:t>1,118</w:t>
            </w:r>
          </w:p>
        </w:tc>
        <w:tc>
          <w:tcPr>
            <w:tcW w:w="825" w:type="pct"/>
            <w:shd w:val="clear" w:color="auto" w:fill="auto"/>
            <w:vAlign w:val="center"/>
          </w:tcPr>
          <w:p w14:paraId="3EEBD547" w14:textId="006FF315" w:rsidR="00A01E85" w:rsidRPr="00ED172B" w:rsidRDefault="00860830" w:rsidP="002E64AF">
            <w:pPr>
              <w:jc w:val="center"/>
              <w:rPr>
                <w:rFonts w:cs="Arial"/>
                <w:color w:val="000000" w:themeColor="text1"/>
                <w:szCs w:val="16"/>
              </w:rPr>
            </w:pPr>
            <w:r w:rsidRPr="00ED172B">
              <w:rPr>
                <w:rFonts w:cs="Arial"/>
                <w:color w:val="000000" w:themeColor="text1"/>
                <w:szCs w:val="16"/>
              </w:rPr>
              <w:t>24.27%</w:t>
            </w:r>
          </w:p>
        </w:tc>
      </w:tr>
      <w:tr w:rsidR="00ED172B" w:rsidRPr="00ED172B" w14:paraId="2F969A13" w14:textId="77777777" w:rsidTr="00986B99">
        <w:trPr>
          <w:trHeight w:val="361"/>
        </w:trPr>
        <w:tc>
          <w:tcPr>
            <w:tcW w:w="3349" w:type="pct"/>
            <w:shd w:val="clear" w:color="auto" w:fill="auto"/>
            <w:vAlign w:val="center"/>
          </w:tcPr>
          <w:p w14:paraId="5E226FF7"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6A2E35AA" w14:textId="7E601C8A" w:rsidR="00A01E85" w:rsidRPr="00ED172B" w:rsidRDefault="00860830" w:rsidP="002E64AF">
            <w:pPr>
              <w:jc w:val="center"/>
              <w:rPr>
                <w:rFonts w:cs="Arial"/>
                <w:color w:val="000000" w:themeColor="text1"/>
                <w:szCs w:val="16"/>
              </w:rPr>
            </w:pPr>
            <w:r w:rsidRPr="00ED172B">
              <w:rPr>
                <w:rFonts w:cs="Arial"/>
                <w:color w:val="000000" w:themeColor="text1"/>
                <w:szCs w:val="16"/>
              </w:rPr>
              <w:t>815</w:t>
            </w:r>
          </w:p>
        </w:tc>
        <w:tc>
          <w:tcPr>
            <w:tcW w:w="825" w:type="pct"/>
            <w:shd w:val="clear" w:color="auto" w:fill="auto"/>
            <w:vAlign w:val="center"/>
          </w:tcPr>
          <w:p w14:paraId="09CD99EC" w14:textId="5C560EF0" w:rsidR="00A01E85" w:rsidRPr="00ED172B" w:rsidRDefault="00860830" w:rsidP="002E64AF">
            <w:pPr>
              <w:jc w:val="center"/>
              <w:rPr>
                <w:rFonts w:cs="Arial"/>
                <w:color w:val="000000" w:themeColor="text1"/>
                <w:szCs w:val="16"/>
              </w:rPr>
            </w:pPr>
            <w:r w:rsidRPr="00ED172B">
              <w:rPr>
                <w:rFonts w:cs="Arial"/>
                <w:color w:val="000000" w:themeColor="text1"/>
                <w:szCs w:val="16"/>
              </w:rPr>
              <w:t>17.69%</w:t>
            </w:r>
          </w:p>
        </w:tc>
      </w:tr>
    </w:tbl>
    <w:p w14:paraId="3FA18C3D" w14:textId="4E718CDC" w:rsidR="0084029E" w:rsidRPr="00ED172B" w:rsidRDefault="0084029E" w:rsidP="0084029E">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10"/>
      </w:tblPr>
      <w:tblGrid>
        <w:gridCol w:w="7227"/>
        <w:gridCol w:w="1783"/>
        <w:gridCol w:w="1780"/>
      </w:tblGrid>
      <w:tr w:rsidR="00ED172B" w:rsidRPr="00ED172B" w14:paraId="06461661" w14:textId="77777777" w:rsidTr="00986B99">
        <w:trPr>
          <w:trHeight w:val="361"/>
          <w:tblHeader/>
        </w:trPr>
        <w:tc>
          <w:tcPr>
            <w:tcW w:w="3349" w:type="pct"/>
            <w:shd w:val="clear" w:color="auto" w:fill="auto"/>
            <w:vAlign w:val="center"/>
          </w:tcPr>
          <w:p w14:paraId="33072CCC" w14:textId="49874604" w:rsidR="0084029E" w:rsidRPr="00ED172B" w:rsidRDefault="0084029E" w:rsidP="0084029E">
            <w:pPr>
              <w:rPr>
                <w:rFonts w:cs="Arial"/>
                <w:color w:val="000000" w:themeColor="text1"/>
                <w:szCs w:val="16"/>
              </w:rPr>
            </w:pPr>
            <w:r w:rsidRPr="00ED172B">
              <w:rPr>
                <w:rFonts w:cs="Arial"/>
                <w:b/>
                <w:color w:val="000000" w:themeColor="text1"/>
                <w:szCs w:val="16"/>
              </w:rPr>
              <w:t>Just at-risk infants and toddlers/All infants and toddlers</w:t>
            </w:r>
          </w:p>
        </w:tc>
        <w:tc>
          <w:tcPr>
            <w:tcW w:w="826" w:type="pct"/>
            <w:shd w:val="clear" w:color="auto" w:fill="auto"/>
            <w:vAlign w:val="center"/>
          </w:tcPr>
          <w:p w14:paraId="354E5704" w14:textId="77777777" w:rsidR="0084029E" w:rsidRPr="00ED172B" w:rsidRDefault="0084029E" w:rsidP="0084029E">
            <w:pP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14:paraId="196D042E" w14:textId="77777777" w:rsidR="0084029E" w:rsidRPr="00ED172B" w:rsidRDefault="0084029E" w:rsidP="0084029E">
            <w:pPr>
              <w:rPr>
                <w:rFonts w:cs="Arial"/>
                <w:b/>
                <w:color w:val="000000" w:themeColor="text1"/>
                <w:szCs w:val="16"/>
              </w:rPr>
            </w:pPr>
            <w:r w:rsidRPr="00ED172B">
              <w:rPr>
                <w:rFonts w:cs="Arial"/>
                <w:b/>
                <w:color w:val="000000" w:themeColor="text1"/>
                <w:szCs w:val="16"/>
              </w:rPr>
              <w:t>Percentage of Total</w:t>
            </w:r>
          </w:p>
        </w:tc>
      </w:tr>
      <w:tr w:rsidR="00ED172B" w:rsidRPr="00ED172B" w14:paraId="11DDFC12" w14:textId="77777777" w:rsidTr="00986B99">
        <w:trPr>
          <w:trHeight w:val="361"/>
        </w:trPr>
        <w:tc>
          <w:tcPr>
            <w:tcW w:w="3349" w:type="pct"/>
            <w:shd w:val="clear" w:color="auto" w:fill="auto"/>
            <w:vAlign w:val="center"/>
          </w:tcPr>
          <w:p w14:paraId="49D54D85"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14:paraId="170BCFB2" w14:textId="22EBF81A" w:rsidR="00A01E85" w:rsidRPr="00ED172B" w:rsidRDefault="00860830" w:rsidP="00312EB5">
            <w:pPr>
              <w:jc w:val="center"/>
              <w:rPr>
                <w:rFonts w:cs="Arial"/>
                <w:color w:val="000000" w:themeColor="text1"/>
                <w:szCs w:val="16"/>
              </w:rPr>
            </w:pPr>
            <w:r w:rsidRPr="00ED172B">
              <w:rPr>
                <w:rFonts w:cs="Arial"/>
                <w:color w:val="000000" w:themeColor="text1"/>
                <w:szCs w:val="16"/>
              </w:rPr>
              <w:t>0</w:t>
            </w:r>
          </w:p>
        </w:tc>
        <w:tc>
          <w:tcPr>
            <w:tcW w:w="825" w:type="pct"/>
            <w:shd w:val="clear" w:color="auto" w:fill="auto"/>
            <w:vAlign w:val="center"/>
          </w:tcPr>
          <w:p w14:paraId="3B2B941D" w14:textId="109AFA1B" w:rsidR="00A01E85" w:rsidRPr="00ED172B" w:rsidRDefault="00860830" w:rsidP="00312EB5">
            <w:pPr>
              <w:jc w:val="center"/>
              <w:rPr>
                <w:rFonts w:cs="Arial"/>
                <w:color w:val="000000" w:themeColor="text1"/>
                <w:szCs w:val="16"/>
              </w:rPr>
            </w:pPr>
            <w:r w:rsidRPr="00ED172B">
              <w:rPr>
                <w:rFonts w:cs="Arial"/>
                <w:color w:val="000000" w:themeColor="text1"/>
                <w:szCs w:val="16"/>
              </w:rPr>
              <w:t>0.00%</w:t>
            </w:r>
          </w:p>
        </w:tc>
      </w:tr>
      <w:tr w:rsidR="00ED172B" w:rsidRPr="00ED172B" w14:paraId="786B031D" w14:textId="77777777" w:rsidTr="00986B99">
        <w:trPr>
          <w:trHeight w:val="361"/>
        </w:trPr>
        <w:tc>
          <w:tcPr>
            <w:tcW w:w="3349" w:type="pct"/>
            <w:shd w:val="clear" w:color="auto" w:fill="auto"/>
            <w:vAlign w:val="center"/>
          </w:tcPr>
          <w:p w14:paraId="0C1C08B9"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2A874DF1" w14:textId="4833DD2F" w:rsidR="00A01E85" w:rsidRPr="00ED172B" w:rsidRDefault="00860830" w:rsidP="00312EB5">
            <w:pPr>
              <w:jc w:val="center"/>
              <w:rPr>
                <w:rFonts w:cs="Arial"/>
                <w:color w:val="000000" w:themeColor="text1"/>
                <w:szCs w:val="16"/>
              </w:rPr>
            </w:pPr>
            <w:r w:rsidRPr="00ED172B">
              <w:rPr>
                <w:rFonts w:cs="Arial"/>
                <w:color w:val="000000" w:themeColor="text1"/>
                <w:szCs w:val="16"/>
              </w:rPr>
              <w:t>0</w:t>
            </w:r>
          </w:p>
        </w:tc>
        <w:tc>
          <w:tcPr>
            <w:tcW w:w="825" w:type="pct"/>
            <w:shd w:val="clear" w:color="auto" w:fill="auto"/>
            <w:vAlign w:val="center"/>
          </w:tcPr>
          <w:p w14:paraId="23C5DAE3" w14:textId="5490A4ED" w:rsidR="00A01E85" w:rsidRPr="00ED172B" w:rsidRDefault="00860830" w:rsidP="00312EB5">
            <w:pPr>
              <w:jc w:val="center"/>
              <w:rPr>
                <w:rFonts w:cs="Arial"/>
                <w:color w:val="000000" w:themeColor="text1"/>
                <w:szCs w:val="16"/>
              </w:rPr>
            </w:pPr>
            <w:r w:rsidRPr="00ED172B">
              <w:rPr>
                <w:rFonts w:cs="Arial"/>
                <w:color w:val="000000" w:themeColor="text1"/>
                <w:szCs w:val="16"/>
              </w:rPr>
              <w:t>0.00%</w:t>
            </w:r>
          </w:p>
        </w:tc>
      </w:tr>
      <w:tr w:rsidR="00ED172B" w:rsidRPr="00ED172B" w14:paraId="5204C337" w14:textId="77777777" w:rsidTr="00986B99">
        <w:trPr>
          <w:trHeight w:val="395"/>
        </w:trPr>
        <w:tc>
          <w:tcPr>
            <w:tcW w:w="3349" w:type="pct"/>
            <w:shd w:val="clear" w:color="auto" w:fill="auto"/>
            <w:vAlign w:val="center"/>
          </w:tcPr>
          <w:p w14:paraId="3C6368C5"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14:paraId="4CB72382" w14:textId="08B92214" w:rsidR="00A01E85" w:rsidRPr="00ED172B" w:rsidRDefault="00860830" w:rsidP="00312EB5">
            <w:pPr>
              <w:jc w:val="center"/>
              <w:rPr>
                <w:rFonts w:cs="Arial"/>
                <w:color w:val="000000" w:themeColor="text1"/>
                <w:szCs w:val="16"/>
              </w:rPr>
            </w:pPr>
            <w:r w:rsidRPr="00ED172B">
              <w:rPr>
                <w:rFonts w:cs="Arial"/>
                <w:color w:val="000000" w:themeColor="text1"/>
                <w:szCs w:val="16"/>
              </w:rPr>
              <w:t>3</w:t>
            </w:r>
          </w:p>
        </w:tc>
        <w:tc>
          <w:tcPr>
            <w:tcW w:w="825" w:type="pct"/>
            <w:shd w:val="clear" w:color="auto" w:fill="auto"/>
            <w:vAlign w:val="center"/>
          </w:tcPr>
          <w:p w14:paraId="28DA192E" w14:textId="4C13EE91" w:rsidR="00A01E85" w:rsidRPr="00ED172B" w:rsidRDefault="00860830" w:rsidP="00312EB5">
            <w:pPr>
              <w:jc w:val="center"/>
              <w:rPr>
                <w:rFonts w:cs="Arial"/>
                <w:color w:val="000000" w:themeColor="text1"/>
                <w:szCs w:val="16"/>
              </w:rPr>
            </w:pPr>
            <w:r w:rsidRPr="00ED172B">
              <w:rPr>
                <w:rFonts w:cs="Arial"/>
                <w:color w:val="000000" w:themeColor="text1"/>
                <w:szCs w:val="16"/>
              </w:rPr>
              <w:t>4.92%</w:t>
            </w:r>
          </w:p>
        </w:tc>
      </w:tr>
      <w:tr w:rsidR="00ED172B" w:rsidRPr="00ED172B" w14:paraId="528B5985" w14:textId="77777777" w:rsidTr="00986B99">
        <w:trPr>
          <w:trHeight w:val="361"/>
        </w:trPr>
        <w:tc>
          <w:tcPr>
            <w:tcW w:w="3349" w:type="pct"/>
            <w:shd w:val="clear" w:color="auto" w:fill="auto"/>
            <w:vAlign w:val="center"/>
          </w:tcPr>
          <w:p w14:paraId="1BC1F617"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7B0A936A" w14:textId="415D101D" w:rsidR="00A01E85" w:rsidRPr="00ED172B" w:rsidRDefault="00860830" w:rsidP="00312EB5">
            <w:pPr>
              <w:jc w:val="center"/>
              <w:rPr>
                <w:rFonts w:cs="Arial"/>
                <w:color w:val="000000" w:themeColor="text1"/>
                <w:szCs w:val="16"/>
              </w:rPr>
            </w:pPr>
            <w:r w:rsidRPr="00ED172B">
              <w:rPr>
                <w:rFonts w:cs="Arial"/>
                <w:color w:val="000000" w:themeColor="text1"/>
                <w:szCs w:val="16"/>
              </w:rPr>
              <w:t>33</w:t>
            </w:r>
          </w:p>
        </w:tc>
        <w:tc>
          <w:tcPr>
            <w:tcW w:w="825" w:type="pct"/>
            <w:shd w:val="clear" w:color="auto" w:fill="auto"/>
            <w:vAlign w:val="center"/>
          </w:tcPr>
          <w:p w14:paraId="5FC63926" w14:textId="33B3FBAE" w:rsidR="00A01E85" w:rsidRPr="00ED172B" w:rsidRDefault="00860830" w:rsidP="00312EB5">
            <w:pPr>
              <w:jc w:val="center"/>
              <w:rPr>
                <w:rFonts w:cs="Arial"/>
                <w:color w:val="000000" w:themeColor="text1"/>
                <w:szCs w:val="16"/>
              </w:rPr>
            </w:pPr>
            <w:r w:rsidRPr="00ED172B">
              <w:rPr>
                <w:rFonts w:cs="Arial"/>
                <w:color w:val="000000" w:themeColor="text1"/>
                <w:szCs w:val="16"/>
              </w:rPr>
              <w:t>54.10%</w:t>
            </w:r>
          </w:p>
        </w:tc>
      </w:tr>
      <w:tr w:rsidR="00ED172B" w:rsidRPr="00ED172B" w14:paraId="02BDC6EA" w14:textId="77777777" w:rsidTr="00986B99">
        <w:trPr>
          <w:trHeight w:val="361"/>
        </w:trPr>
        <w:tc>
          <w:tcPr>
            <w:tcW w:w="3349" w:type="pct"/>
            <w:shd w:val="clear" w:color="auto" w:fill="auto"/>
            <w:vAlign w:val="center"/>
          </w:tcPr>
          <w:p w14:paraId="46F620AD"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6B50731F" w14:textId="2A4000E1" w:rsidR="00A01E85" w:rsidRPr="00ED172B" w:rsidRDefault="00860830" w:rsidP="00312EB5">
            <w:pPr>
              <w:jc w:val="center"/>
              <w:rPr>
                <w:rFonts w:cs="Arial"/>
                <w:color w:val="000000" w:themeColor="text1"/>
                <w:szCs w:val="16"/>
              </w:rPr>
            </w:pPr>
            <w:r w:rsidRPr="00ED172B">
              <w:rPr>
                <w:rFonts w:cs="Arial"/>
                <w:color w:val="000000" w:themeColor="text1"/>
                <w:szCs w:val="16"/>
              </w:rPr>
              <w:t>25</w:t>
            </w:r>
          </w:p>
        </w:tc>
        <w:tc>
          <w:tcPr>
            <w:tcW w:w="825" w:type="pct"/>
            <w:shd w:val="clear" w:color="auto" w:fill="auto"/>
            <w:vAlign w:val="center"/>
          </w:tcPr>
          <w:p w14:paraId="085D6A25" w14:textId="1ACB153C" w:rsidR="00A01E85" w:rsidRPr="00ED172B" w:rsidRDefault="00860830" w:rsidP="00312EB5">
            <w:pPr>
              <w:jc w:val="center"/>
              <w:rPr>
                <w:rFonts w:cs="Arial"/>
                <w:color w:val="000000" w:themeColor="text1"/>
                <w:szCs w:val="16"/>
              </w:rPr>
            </w:pPr>
            <w:r w:rsidRPr="00ED172B">
              <w:rPr>
                <w:rFonts w:cs="Arial"/>
                <w:color w:val="000000" w:themeColor="text1"/>
                <w:szCs w:val="16"/>
              </w:rPr>
              <w:t>40.98%</w:t>
            </w:r>
          </w:p>
        </w:tc>
      </w:tr>
    </w:tbl>
    <w:p w14:paraId="5258C840" w14:textId="77777777" w:rsidR="0084029E" w:rsidRPr="00ED172B" w:rsidRDefault="0084029E" w:rsidP="0084029E">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11"/>
      </w:tblPr>
      <w:tblGrid>
        <w:gridCol w:w="2425"/>
        <w:gridCol w:w="1260"/>
        <w:gridCol w:w="1349"/>
        <w:gridCol w:w="1351"/>
        <w:gridCol w:w="1260"/>
        <w:gridCol w:w="1170"/>
        <w:gridCol w:w="991"/>
        <w:gridCol w:w="984"/>
      </w:tblGrid>
      <w:tr w:rsidR="00ED172B" w:rsidRPr="00ED172B" w14:paraId="601675EF" w14:textId="77777777" w:rsidTr="00986B99">
        <w:trPr>
          <w:tblHeader/>
        </w:trPr>
        <w:tc>
          <w:tcPr>
            <w:tcW w:w="1124" w:type="pct"/>
            <w:shd w:val="clear" w:color="auto" w:fill="auto"/>
            <w:vAlign w:val="bottom"/>
          </w:tcPr>
          <w:p w14:paraId="338DE8FC" w14:textId="49C19B2F" w:rsidR="00743466" w:rsidRPr="00ED172B" w:rsidRDefault="00743466" w:rsidP="00B83404">
            <w:pPr>
              <w:rPr>
                <w:b/>
                <w:color w:val="000000" w:themeColor="text1"/>
              </w:rPr>
            </w:pPr>
            <w:r w:rsidRPr="00ED172B">
              <w:rPr>
                <w:b/>
                <w:color w:val="000000" w:themeColor="text1"/>
              </w:rPr>
              <w:t>Not including at-risk infants and toddlers</w:t>
            </w:r>
          </w:p>
        </w:tc>
        <w:tc>
          <w:tcPr>
            <w:tcW w:w="584" w:type="pct"/>
            <w:shd w:val="clear" w:color="auto" w:fill="auto"/>
            <w:vAlign w:val="bottom"/>
          </w:tcPr>
          <w:p w14:paraId="662FE9CE"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14:paraId="5729710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14:paraId="6BE12627" w14:textId="6D93E249" w:rsidR="00743466" w:rsidRPr="00ED172B" w:rsidRDefault="00CD74B5" w:rsidP="00743466">
            <w:pPr>
              <w:keepNext/>
              <w:jc w:val="center"/>
              <w:rPr>
                <w:rFonts w:cs="Arial"/>
                <w:b/>
                <w:color w:val="000000" w:themeColor="text1"/>
                <w:szCs w:val="16"/>
              </w:rPr>
            </w:pPr>
            <w:r>
              <w:rPr>
                <w:rFonts w:cs="Arial"/>
                <w:b/>
                <w:color w:val="000000" w:themeColor="text1"/>
                <w:szCs w:val="16"/>
              </w:rPr>
              <w:t>FFY 2019 Data</w:t>
            </w:r>
          </w:p>
        </w:tc>
        <w:tc>
          <w:tcPr>
            <w:tcW w:w="584" w:type="pct"/>
            <w:shd w:val="clear" w:color="auto" w:fill="auto"/>
            <w:vAlign w:val="bottom"/>
          </w:tcPr>
          <w:p w14:paraId="37818A7F" w14:textId="5D5D0B3F" w:rsidR="00743466" w:rsidRPr="00ED172B" w:rsidRDefault="00F22D09" w:rsidP="00743466">
            <w:pPr>
              <w:keepNext/>
              <w:jc w:val="center"/>
              <w:rPr>
                <w:rFonts w:cs="Arial"/>
                <w:b/>
                <w:color w:val="000000" w:themeColor="text1"/>
                <w:szCs w:val="16"/>
              </w:rPr>
            </w:pPr>
            <w:r>
              <w:rPr>
                <w:rFonts w:cs="Arial"/>
                <w:b/>
                <w:color w:val="000000" w:themeColor="text1"/>
                <w:szCs w:val="16"/>
              </w:rPr>
              <w:t>FFY 2020 Target</w:t>
            </w:r>
          </w:p>
        </w:tc>
        <w:tc>
          <w:tcPr>
            <w:tcW w:w="542" w:type="pct"/>
            <w:shd w:val="clear" w:color="auto" w:fill="auto"/>
            <w:vAlign w:val="bottom"/>
          </w:tcPr>
          <w:p w14:paraId="7FAB0C5D" w14:textId="55854C1F" w:rsidR="00743466" w:rsidRPr="00ED172B" w:rsidRDefault="00F22D09" w:rsidP="00743466">
            <w:pPr>
              <w:keepNext/>
              <w:jc w:val="center"/>
              <w:rPr>
                <w:rFonts w:cs="Arial"/>
                <w:b/>
                <w:color w:val="000000" w:themeColor="text1"/>
                <w:szCs w:val="16"/>
              </w:rPr>
            </w:pPr>
            <w:r>
              <w:rPr>
                <w:rFonts w:cs="Arial"/>
                <w:b/>
                <w:color w:val="000000" w:themeColor="text1"/>
                <w:szCs w:val="16"/>
              </w:rPr>
              <w:t>FFY 2020 Data</w:t>
            </w:r>
          </w:p>
        </w:tc>
        <w:tc>
          <w:tcPr>
            <w:tcW w:w="459" w:type="pct"/>
            <w:shd w:val="clear" w:color="auto" w:fill="auto"/>
            <w:vAlign w:val="bottom"/>
          </w:tcPr>
          <w:p w14:paraId="60065102"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14:paraId="6D5E921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644F4BC8" w14:textId="77777777" w:rsidTr="00986B99">
        <w:tc>
          <w:tcPr>
            <w:tcW w:w="1124" w:type="pct"/>
            <w:shd w:val="clear" w:color="auto" w:fill="auto"/>
          </w:tcPr>
          <w:p w14:paraId="58B7310F" w14:textId="628E3666" w:rsidR="00A01E85" w:rsidRPr="00ED172B" w:rsidRDefault="00A01E85" w:rsidP="00A01E85">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14:paraId="06E1E11F" w14:textId="10D6FAC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3,186</w:t>
            </w:r>
          </w:p>
        </w:tc>
        <w:tc>
          <w:tcPr>
            <w:tcW w:w="625" w:type="pct"/>
            <w:shd w:val="clear" w:color="auto" w:fill="auto"/>
            <w:vAlign w:val="center"/>
          </w:tcPr>
          <w:p w14:paraId="22861F7B" w14:textId="2C1348EC"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3,791</w:t>
            </w:r>
          </w:p>
        </w:tc>
        <w:tc>
          <w:tcPr>
            <w:tcW w:w="626" w:type="pct"/>
            <w:shd w:val="clear" w:color="auto" w:fill="auto"/>
            <w:vAlign w:val="center"/>
          </w:tcPr>
          <w:p w14:paraId="0E727486" w14:textId="2F22C9DB" w:rsidR="00A01E85" w:rsidRPr="00ED172B" w:rsidRDefault="00860830" w:rsidP="00A01E85">
            <w:pPr>
              <w:jc w:val="center"/>
              <w:rPr>
                <w:rFonts w:cs="Arial"/>
                <w:color w:val="000000" w:themeColor="text1"/>
                <w:szCs w:val="16"/>
              </w:rPr>
            </w:pPr>
            <w:r w:rsidRPr="00ED172B">
              <w:rPr>
                <w:rFonts w:cs="Arial"/>
                <w:color w:val="000000" w:themeColor="text1"/>
                <w:szCs w:val="16"/>
              </w:rPr>
              <w:t>50.03%</w:t>
            </w:r>
          </w:p>
        </w:tc>
        <w:tc>
          <w:tcPr>
            <w:tcW w:w="584" w:type="pct"/>
            <w:shd w:val="clear" w:color="auto" w:fill="auto"/>
            <w:vAlign w:val="center"/>
          </w:tcPr>
          <w:p w14:paraId="57ECED0E" w14:textId="7733C966" w:rsidR="00A01E85" w:rsidRPr="00ED172B" w:rsidRDefault="002332D6">
            <w:pPr>
              <w:jc w:val="center"/>
              <w:rPr>
                <w:color w:val="000000" w:themeColor="text1"/>
              </w:rPr>
            </w:pPr>
            <w:r w:rsidRPr="00ED172B">
              <w:rPr>
                <w:color w:val="000000" w:themeColor="text1"/>
              </w:rPr>
              <w:t>95.00%</w:t>
            </w:r>
          </w:p>
        </w:tc>
        <w:tc>
          <w:tcPr>
            <w:tcW w:w="542" w:type="pct"/>
            <w:shd w:val="clear" w:color="auto" w:fill="auto"/>
            <w:vAlign w:val="center"/>
          </w:tcPr>
          <w:p w14:paraId="374F0AA7" w14:textId="4DB2DF37" w:rsidR="00A01E85" w:rsidRPr="00ED172B" w:rsidRDefault="00860830" w:rsidP="00A01E85">
            <w:pPr>
              <w:jc w:val="center"/>
              <w:rPr>
                <w:rFonts w:cs="Arial"/>
                <w:color w:val="000000" w:themeColor="text1"/>
                <w:szCs w:val="16"/>
              </w:rPr>
            </w:pPr>
            <w:r w:rsidRPr="00ED172B">
              <w:rPr>
                <w:rFonts w:cs="Arial"/>
                <w:color w:val="000000" w:themeColor="text1"/>
                <w:szCs w:val="16"/>
              </w:rPr>
              <w:t>84.04%</w:t>
            </w:r>
          </w:p>
        </w:tc>
        <w:tc>
          <w:tcPr>
            <w:tcW w:w="459" w:type="pct"/>
            <w:shd w:val="clear" w:color="auto" w:fill="auto"/>
            <w:vAlign w:val="center"/>
          </w:tcPr>
          <w:p w14:paraId="6E5876F7" w14:textId="03BE42B1"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14:paraId="52D8DAD0" w14:textId="6D898728"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r w:rsidR="00ED172B" w:rsidRPr="00ED172B" w14:paraId="28E7CB5B" w14:textId="77777777" w:rsidTr="00986B99">
        <w:tc>
          <w:tcPr>
            <w:tcW w:w="1124" w:type="pct"/>
            <w:shd w:val="clear" w:color="auto" w:fill="auto"/>
          </w:tcPr>
          <w:p w14:paraId="511B18EA" w14:textId="10CF1F9E" w:rsidR="00A01E85" w:rsidRPr="00ED172B" w:rsidRDefault="00A01E85" w:rsidP="00A01E85">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14:paraId="17979A02" w14:textId="01FF6A5D"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1,933</w:t>
            </w:r>
          </w:p>
        </w:tc>
        <w:tc>
          <w:tcPr>
            <w:tcW w:w="625" w:type="pct"/>
            <w:shd w:val="clear" w:color="auto" w:fill="auto"/>
            <w:vAlign w:val="center"/>
          </w:tcPr>
          <w:p w14:paraId="2DFBFFC4" w14:textId="1FC27887"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4,606</w:t>
            </w:r>
          </w:p>
        </w:tc>
        <w:tc>
          <w:tcPr>
            <w:tcW w:w="626" w:type="pct"/>
            <w:shd w:val="clear" w:color="auto" w:fill="auto"/>
            <w:vAlign w:val="center"/>
          </w:tcPr>
          <w:p w14:paraId="378FCF28" w14:textId="648DE428" w:rsidR="00A01E85" w:rsidRPr="00ED172B" w:rsidRDefault="00860830" w:rsidP="00A01E85">
            <w:pPr>
              <w:jc w:val="center"/>
              <w:rPr>
                <w:rFonts w:cs="Arial"/>
                <w:color w:val="000000" w:themeColor="text1"/>
                <w:szCs w:val="16"/>
              </w:rPr>
            </w:pPr>
            <w:r w:rsidRPr="00ED172B">
              <w:rPr>
                <w:rFonts w:cs="Arial"/>
                <w:color w:val="000000" w:themeColor="text1"/>
                <w:szCs w:val="16"/>
              </w:rPr>
              <w:t>55.79%</w:t>
            </w:r>
          </w:p>
        </w:tc>
        <w:tc>
          <w:tcPr>
            <w:tcW w:w="584" w:type="pct"/>
            <w:shd w:val="clear" w:color="auto" w:fill="auto"/>
            <w:vAlign w:val="center"/>
          </w:tcPr>
          <w:p w14:paraId="230AF9EA" w14:textId="1E938C8E" w:rsidR="00A01E85" w:rsidRPr="00ED172B" w:rsidRDefault="005C14C2" w:rsidP="005C14C2">
            <w:pPr>
              <w:jc w:val="center"/>
              <w:rPr>
                <w:color w:val="000000" w:themeColor="text1"/>
              </w:rPr>
            </w:pPr>
            <w:r w:rsidRPr="00ED172B">
              <w:rPr>
                <w:color w:val="000000" w:themeColor="text1"/>
              </w:rPr>
              <w:t>74.00%</w:t>
            </w:r>
          </w:p>
        </w:tc>
        <w:tc>
          <w:tcPr>
            <w:tcW w:w="542" w:type="pct"/>
            <w:shd w:val="clear" w:color="auto" w:fill="auto"/>
            <w:vAlign w:val="center"/>
          </w:tcPr>
          <w:p w14:paraId="77224B50" w14:textId="3DB30375" w:rsidR="00A01E85" w:rsidRPr="00ED172B" w:rsidRDefault="00860830" w:rsidP="00A01E85">
            <w:pPr>
              <w:jc w:val="center"/>
              <w:rPr>
                <w:rFonts w:cs="Arial"/>
                <w:color w:val="000000" w:themeColor="text1"/>
                <w:szCs w:val="16"/>
              </w:rPr>
            </w:pPr>
            <w:r w:rsidRPr="00ED172B">
              <w:rPr>
                <w:rFonts w:cs="Arial"/>
                <w:color w:val="000000" w:themeColor="text1"/>
                <w:szCs w:val="16"/>
              </w:rPr>
              <w:t>41.97%</w:t>
            </w:r>
          </w:p>
        </w:tc>
        <w:tc>
          <w:tcPr>
            <w:tcW w:w="459" w:type="pct"/>
            <w:shd w:val="clear" w:color="auto" w:fill="auto"/>
            <w:vAlign w:val="center"/>
          </w:tcPr>
          <w:p w14:paraId="79B03CF0" w14:textId="4ED5DDC1"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14:paraId="791EAD35" w14:textId="59171F2A" w:rsidR="00A01E85" w:rsidRPr="00ED172B" w:rsidRDefault="00860830" w:rsidP="00A01E85">
            <w:pPr>
              <w:jc w:val="center"/>
              <w:rPr>
                <w:rFonts w:cs="Arial"/>
                <w:color w:val="000000" w:themeColor="text1"/>
                <w:szCs w:val="16"/>
              </w:rPr>
            </w:pPr>
            <w:r w:rsidRPr="00ED172B">
              <w:rPr>
                <w:rFonts w:cs="Arial"/>
                <w:color w:val="000000" w:themeColor="text1"/>
                <w:szCs w:val="16"/>
              </w:rPr>
              <w:t>Slippage</w:t>
            </w:r>
          </w:p>
        </w:tc>
      </w:tr>
    </w:tbl>
    <w:p w14:paraId="5B3D99C1" w14:textId="3F3DAA66" w:rsidR="00A01E85" w:rsidRPr="00ED172B" w:rsidRDefault="00A01E85" w:rsidP="00A01E85">
      <w:pPr>
        <w:rPr>
          <w:rFonts w:cs="Arial"/>
          <w:b/>
          <w:i/>
          <w:color w:val="000000" w:themeColor="text1"/>
          <w:szCs w:val="16"/>
        </w:rPr>
      </w:pPr>
      <w:r w:rsidRPr="00ED172B">
        <w:rPr>
          <w:rFonts w:cs="Arial"/>
          <w:b/>
          <w:color w:val="000000" w:themeColor="text1"/>
          <w:szCs w:val="16"/>
        </w:rPr>
        <w:t xml:space="preserve">Provide reasons for C2 slippage, if applicable </w:t>
      </w:r>
    </w:p>
    <w:p w14:paraId="65406212" w14:textId="4B6DE0D0" w:rsidR="00A01E85" w:rsidRDefault="005C14C2" w:rsidP="005C14C2">
      <w:pPr>
        <w:rPr>
          <w:color w:val="000000" w:themeColor="text1"/>
        </w:rPr>
      </w:pPr>
      <w:r w:rsidRPr="00ED172B">
        <w:rPr>
          <w:color w:val="000000" w:themeColor="text1"/>
        </w:rPr>
        <w:t>The COVID-19 pandemic necessitated public health measures such as social distancing and reduced in-person interactions. MA-C did not allow EIS providers to administer the Battelle Developmental Inventory (2nd ed; BDI-2) via telehealth. Fewer toddlers were evaluated upon exiting, and it is suspected that this lower denominator affected the overall performance in this area.</w:t>
      </w:r>
    </w:p>
    <w:p w14:paraId="1E17E341" w14:textId="77777777" w:rsidR="000D7858" w:rsidRPr="00ED172B" w:rsidRDefault="000D7858" w:rsidP="005C14C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12"/>
      </w:tblPr>
      <w:tblGrid>
        <w:gridCol w:w="2515"/>
        <w:gridCol w:w="1261"/>
        <w:gridCol w:w="1260"/>
        <w:gridCol w:w="1439"/>
        <w:gridCol w:w="1170"/>
        <w:gridCol w:w="1172"/>
        <w:gridCol w:w="991"/>
        <w:gridCol w:w="982"/>
      </w:tblGrid>
      <w:tr w:rsidR="00ED172B" w:rsidRPr="00ED172B" w14:paraId="3885778E" w14:textId="77777777" w:rsidTr="00986B99">
        <w:trPr>
          <w:tblHeader/>
        </w:trPr>
        <w:tc>
          <w:tcPr>
            <w:tcW w:w="1165" w:type="pct"/>
            <w:shd w:val="clear" w:color="auto" w:fill="auto"/>
            <w:vAlign w:val="bottom"/>
          </w:tcPr>
          <w:p w14:paraId="7C1CB569" w14:textId="6595D59A" w:rsidR="00743466" w:rsidRPr="00ED172B" w:rsidRDefault="00743466" w:rsidP="00B83404">
            <w:pPr>
              <w:rPr>
                <w:b/>
                <w:color w:val="000000" w:themeColor="text1"/>
              </w:rPr>
            </w:pPr>
            <w:r w:rsidRPr="00ED172B">
              <w:rPr>
                <w:b/>
                <w:color w:val="000000" w:themeColor="text1"/>
              </w:rPr>
              <w:lastRenderedPageBreak/>
              <w:t>Just at-risk infants and toddlers/All infants and toddlers</w:t>
            </w:r>
          </w:p>
        </w:tc>
        <w:tc>
          <w:tcPr>
            <w:tcW w:w="584" w:type="pct"/>
            <w:shd w:val="clear" w:color="auto" w:fill="auto"/>
            <w:vAlign w:val="bottom"/>
          </w:tcPr>
          <w:p w14:paraId="74686E5C"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655EAAF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14:paraId="7BD0D290" w14:textId="75C6321A" w:rsidR="00743466" w:rsidRPr="00ED172B" w:rsidRDefault="00CD74B5" w:rsidP="00743466">
            <w:pPr>
              <w:keepNext/>
              <w:jc w:val="center"/>
              <w:rPr>
                <w:rFonts w:cs="Arial"/>
                <w:b/>
                <w:color w:val="000000" w:themeColor="text1"/>
                <w:szCs w:val="16"/>
              </w:rPr>
            </w:pPr>
            <w:r>
              <w:rPr>
                <w:rFonts w:cs="Arial"/>
                <w:b/>
                <w:color w:val="000000" w:themeColor="text1"/>
                <w:szCs w:val="16"/>
              </w:rPr>
              <w:t>FFY 2019 Data</w:t>
            </w:r>
          </w:p>
        </w:tc>
        <w:tc>
          <w:tcPr>
            <w:tcW w:w="542" w:type="pct"/>
            <w:shd w:val="clear" w:color="auto" w:fill="auto"/>
            <w:vAlign w:val="bottom"/>
          </w:tcPr>
          <w:p w14:paraId="152AD78D" w14:textId="4F7CFE6A" w:rsidR="00743466" w:rsidRPr="00ED172B" w:rsidRDefault="00F22D09" w:rsidP="00743466">
            <w:pPr>
              <w:keepNext/>
              <w:jc w:val="center"/>
              <w:rPr>
                <w:rFonts w:cs="Arial"/>
                <w:b/>
                <w:color w:val="000000" w:themeColor="text1"/>
                <w:szCs w:val="16"/>
              </w:rPr>
            </w:pPr>
            <w:r>
              <w:rPr>
                <w:rFonts w:cs="Arial"/>
                <w:b/>
                <w:color w:val="000000" w:themeColor="text1"/>
                <w:szCs w:val="16"/>
              </w:rPr>
              <w:t>FFY 2020 Target</w:t>
            </w:r>
          </w:p>
        </w:tc>
        <w:tc>
          <w:tcPr>
            <w:tcW w:w="543" w:type="pct"/>
            <w:shd w:val="clear" w:color="auto" w:fill="auto"/>
            <w:vAlign w:val="bottom"/>
          </w:tcPr>
          <w:p w14:paraId="279BEBCE" w14:textId="093902CD" w:rsidR="00743466" w:rsidRPr="00ED172B" w:rsidRDefault="00F22D09" w:rsidP="00743466">
            <w:pPr>
              <w:keepNext/>
              <w:jc w:val="center"/>
              <w:rPr>
                <w:rFonts w:cs="Arial"/>
                <w:b/>
                <w:color w:val="000000" w:themeColor="text1"/>
                <w:szCs w:val="16"/>
              </w:rPr>
            </w:pPr>
            <w:r>
              <w:rPr>
                <w:rFonts w:cs="Arial"/>
                <w:b/>
                <w:color w:val="000000" w:themeColor="text1"/>
                <w:szCs w:val="16"/>
              </w:rPr>
              <w:t>FFY 2020 Data</w:t>
            </w:r>
          </w:p>
        </w:tc>
        <w:tc>
          <w:tcPr>
            <w:tcW w:w="459" w:type="pct"/>
            <w:shd w:val="clear" w:color="auto" w:fill="auto"/>
            <w:vAlign w:val="bottom"/>
          </w:tcPr>
          <w:p w14:paraId="23B1FE6D"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7E7A6519"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5C92CB05" w14:textId="77777777" w:rsidTr="00986B99">
        <w:tc>
          <w:tcPr>
            <w:tcW w:w="1165" w:type="pct"/>
            <w:shd w:val="clear" w:color="auto" w:fill="auto"/>
          </w:tcPr>
          <w:p w14:paraId="734845A5" w14:textId="1E94529B" w:rsidR="00A01E85" w:rsidRPr="00ED172B" w:rsidRDefault="00A01E85" w:rsidP="00A01E85">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14:paraId="36A4BA96" w14:textId="7C591CF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36</w:t>
            </w:r>
          </w:p>
        </w:tc>
        <w:tc>
          <w:tcPr>
            <w:tcW w:w="584" w:type="pct"/>
            <w:shd w:val="clear" w:color="auto" w:fill="auto"/>
            <w:vAlign w:val="center"/>
          </w:tcPr>
          <w:p w14:paraId="6896D8D8" w14:textId="50CE5CEF"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36</w:t>
            </w:r>
          </w:p>
        </w:tc>
        <w:tc>
          <w:tcPr>
            <w:tcW w:w="667" w:type="pct"/>
            <w:shd w:val="clear" w:color="auto" w:fill="auto"/>
            <w:vAlign w:val="center"/>
          </w:tcPr>
          <w:p w14:paraId="7E09B3D3" w14:textId="25613C2B" w:rsidR="00A01E85" w:rsidRPr="00ED172B" w:rsidRDefault="00860830" w:rsidP="00A01E85">
            <w:pPr>
              <w:jc w:val="center"/>
              <w:rPr>
                <w:rFonts w:cs="Arial"/>
                <w:color w:val="000000" w:themeColor="text1"/>
                <w:szCs w:val="16"/>
              </w:rPr>
            </w:pPr>
            <w:r w:rsidRPr="00ED172B">
              <w:rPr>
                <w:rFonts w:cs="Arial"/>
                <w:color w:val="000000" w:themeColor="text1"/>
                <w:szCs w:val="16"/>
              </w:rPr>
              <w:t>97.62%</w:t>
            </w:r>
          </w:p>
        </w:tc>
        <w:tc>
          <w:tcPr>
            <w:tcW w:w="542" w:type="pct"/>
            <w:shd w:val="clear" w:color="auto" w:fill="auto"/>
            <w:vAlign w:val="center"/>
          </w:tcPr>
          <w:p w14:paraId="5544B24B" w14:textId="22535594" w:rsidR="00A01E85" w:rsidRPr="00ED172B" w:rsidRDefault="00A01E85" w:rsidP="005C14C2">
            <w:pPr>
              <w:jc w:val="center"/>
              <w:rPr>
                <w:color w:val="000000" w:themeColor="text1"/>
              </w:rPr>
            </w:pPr>
          </w:p>
        </w:tc>
        <w:tc>
          <w:tcPr>
            <w:tcW w:w="543" w:type="pct"/>
            <w:shd w:val="clear" w:color="auto" w:fill="auto"/>
            <w:vAlign w:val="center"/>
          </w:tcPr>
          <w:p w14:paraId="4778BED6" w14:textId="1342AE96"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459" w:type="pct"/>
            <w:shd w:val="clear" w:color="auto" w:fill="auto"/>
            <w:vAlign w:val="center"/>
          </w:tcPr>
          <w:p w14:paraId="7E3DFE8A" w14:textId="5AE8393B"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2B5AFC6E" w14:textId="05B953B2"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23BAE724" w14:textId="77777777" w:rsidTr="00986B99">
        <w:tc>
          <w:tcPr>
            <w:tcW w:w="1165" w:type="pct"/>
            <w:shd w:val="clear" w:color="auto" w:fill="auto"/>
          </w:tcPr>
          <w:p w14:paraId="06836E77" w14:textId="086C3A03" w:rsidR="00A01E85" w:rsidRPr="00ED172B" w:rsidRDefault="00A01E85" w:rsidP="00A01E85">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14:paraId="7B317111" w14:textId="0EF8FB49"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58</w:t>
            </w:r>
          </w:p>
        </w:tc>
        <w:tc>
          <w:tcPr>
            <w:tcW w:w="584" w:type="pct"/>
            <w:shd w:val="clear" w:color="auto" w:fill="auto"/>
            <w:vAlign w:val="center"/>
          </w:tcPr>
          <w:p w14:paraId="32CB8EF7" w14:textId="5053A971"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61</w:t>
            </w:r>
          </w:p>
        </w:tc>
        <w:tc>
          <w:tcPr>
            <w:tcW w:w="667" w:type="pct"/>
            <w:shd w:val="clear" w:color="auto" w:fill="auto"/>
            <w:vAlign w:val="center"/>
          </w:tcPr>
          <w:p w14:paraId="463861E3" w14:textId="4D649E1E" w:rsidR="00A01E85" w:rsidRPr="00ED172B" w:rsidRDefault="00860830" w:rsidP="00A01E85">
            <w:pPr>
              <w:jc w:val="center"/>
              <w:rPr>
                <w:rFonts w:cs="Arial"/>
                <w:color w:val="000000" w:themeColor="text1"/>
                <w:szCs w:val="16"/>
              </w:rPr>
            </w:pPr>
            <w:r w:rsidRPr="00ED172B">
              <w:rPr>
                <w:rFonts w:cs="Arial"/>
                <w:color w:val="000000" w:themeColor="text1"/>
                <w:szCs w:val="16"/>
              </w:rPr>
              <w:t>97.40%</w:t>
            </w:r>
          </w:p>
        </w:tc>
        <w:tc>
          <w:tcPr>
            <w:tcW w:w="542" w:type="pct"/>
            <w:shd w:val="clear" w:color="auto" w:fill="auto"/>
            <w:vAlign w:val="center"/>
          </w:tcPr>
          <w:p w14:paraId="7C10183A" w14:textId="6E242F63" w:rsidR="00A01E85" w:rsidRPr="00ED172B" w:rsidRDefault="00A01E85">
            <w:pPr>
              <w:jc w:val="center"/>
              <w:rPr>
                <w:color w:val="000000" w:themeColor="text1"/>
              </w:rPr>
            </w:pPr>
          </w:p>
        </w:tc>
        <w:tc>
          <w:tcPr>
            <w:tcW w:w="543" w:type="pct"/>
            <w:shd w:val="clear" w:color="auto" w:fill="auto"/>
            <w:vAlign w:val="center"/>
          </w:tcPr>
          <w:p w14:paraId="107E7650" w14:textId="13D458A2" w:rsidR="00A01E85" w:rsidRPr="00ED172B" w:rsidRDefault="00860830" w:rsidP="00A01E85">
            <w:pPr>
              <w:jc w:val="center"/>
              <w:rPr>
                <w:rFonts w:cs="Arial"/>
                <w:color w:val="000000" w:themeColor="text1"/>
                <w:szCs w:val="16"/>
              </w:rPr>
            </w:pPr>
            <w:r w:rsidRPr="00ED172B">
              <w:rPr>
                <w:rFonts w:cs="Arial"/>
                <w:color w:val="000000" w:themeColor="text1"/>
                <w:szCs w:val="16"/>
              </w:rPr>
              <w:t>95.08%</w:t>
            </w:r>
          </w:p>
        </w:tc>
        <w:tc>
          <w:tcPr>
            <w:tcW w:w="459" w:type="pct"/>
            <w:shd w:val="clear" w:color="auto" w:fill="auto"/>
            <w:vAlign w:val="center"/>
          </w:tcPr>
          <w:p w14:paraId="5E8D9DAC" w14:textId="75E1D4D4"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79E6BBAD" w14:textId="1122B546"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5EA65F7A" w14:textId="40306018" w:rsidR="001A171A" w:rsidRPr="00ED172B" w:rsidRDefault="001A171A" w:rsidP="0084029E">
      <w:pPr>
        <w:rPr>
          <w:rFonts w:cs="Arial"/>
          <w:color w:val="000000" w:themeColor="text1"/>
          <w:szCs w:val="16"/>
        </w:rPr>
      </w:pPr>
      <w:r w:rsidRPr="00ED172B">
        <w:rPr>
          <w:rFonts w:cs="Arial"/>
          <w:b/>
          <w:color w:val="000000" w:themeColor="text1"/>
          <w:szCs w:val="16"/>
        </w:rPr>
        <w:t>The number of infants and toddlers who did not receive early intervention services for at least six months before exiting the Part C program</w:t>
      </w:r>
      <w:r w:rsidRPr="00ED172B">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9175"/>
        <w:gridCol w:w="1615"/>
      </w:tblGrid>
      <w:tr w:rsidR="003B14F4" w:rsidRPr="00ED172B" w14:paraId="53BC3106" w14:textId="77777777" w:rsidTr="00A40EE1">
        <w:trPr>
          <w:tblHeader/>
        </w:trPr>
        <w:tc>
          <w:tcPr>
            <w:tcW w:w="9175" w:type="dxa"/>
          </w:tcPr>
          <w:p w14:paraId="04387DA6" w14:textId="73FEC390" w:rsidR="003B14F4" w:rsidRPr="00A40EE1" w:rsidRDefault="003B14F4" w:rsidP="00014550">
            <w:pPr>
              <w:rPr>
                <w:rFonts w:cs="Arial"/>
                <w:b/>
                <w:bCs/>
                <w:color w:val="000000" w:themeColor="text1"/>
                <w:szCs w:val="16"/>
              </w:rPr>
            </w:pPr>
            <w:r>
              <w:rPr>
                <w:rFonts w:cs="Arial"/>
                <w:b/>
                <w:bCs/>
                <w:color w:val="000000" w:themeColor="text1"/>
                <w:szCs w:val="16"/>
              </w:rPr>
              <w:t>Question</w:t>
            </w:r>
          </w:p>
        </w:tc>
        <w:tc>
          <w:tcPr>
            <w:tcW w:w="1615" w:type="dxa"/>
            <w:shd w:val="clear" w:color="auto" w:fill="auto"/>
          </w:tcPr>
          <w:p w14:paraId="0638FFDB" w14:textId="676DA3DC" w:rsidR="003B14F4" w:rsidRPr="00A40EE1" w:rsidRDefault="003B14F4" w:rsidP="00A40EE1">
            <w:pPr>
              <w:jc w:val="center"/>
              <w:rPr>
                <w:rFonts w:cs="Arial"/>
                <w:b/>
                <w:bCs/>
                <w:color w:val="000000" w:themeColor="text1"/>
                <w:szCs w:val="16"/>
              </w:rPr>
            </w:pPr>
            <w:r w:rsidRPr="00A40EE1">
              <w:rPr>
                <w:rFonts w:cs="Arial"/>
                <w:b/>
                <w:bCs/>
                <w:color w:val="000000" w:themeColor="text1"/>
                <w:szCs w:val="16"/>
              </w:rPr>
              <w:t>Number</w:t>
            </w:r>
          </w:p>
        </w:tc>
      </w:tr>
      <w:tr w:rsidR="00ED172B" w:rsidRPr="00ED172B" w14:paraId="7FB3B498" w14:textId="77777777" w:rsidTr="0084029E">
        <w:tc>
          <w:tcPr>
            <w:tcW w:w="9175" w:type="dxa"/>
          </w:tcPr>
          <w:p w14:paraId="2FA9A41D" w14:textId="6AC0C0CA" w:rsidR="001A171A" w:rsidRPr="00ED172B" w:rsidRDefault="001A171A" w:rsidP="00014550">
            <w:pPr>
              <w:rPr>
                <w:rFonts w:cs="Arial"/>
                <w:color w:val="000000" w:themeColor="text1"/>
                <w:szCs w:val="16"/>
              </w:rPr>
            </w:pPr>
            <w:r w:rsidRPr="00ED172B">
              <w:rPr>
                <w:rFonts w:cs="Arial"/>
                <w:color w:val="000000" w:themeColor="text1"/>
                <w:szCs w:val="16"/>
              </w:rPr>
              <w:t>The number of infants and toddlers who exited the Part C program during the reporting period, as reported in the State’s Part C exiting 618 data</w:t>
            </w:r>
          </w:p>
        </w:tc>
        <w:tc>
          <w:tcPr>
            <w:tcW w:w="1615" w:type="dxa"/>
            <w:shd w:val="clear" w:color="auto" w:fill="auto"/>
          </w:tcPr>
          <w:p w14:paraId="1A09A961" w14:textId="26A8F71C" w:rsidR="001A171A" w:rsidRPr="00ED172B" w:rsidRDefault="00860830" w:rsidP="00014550">
            <w:pPr>
              <w:rPr>
                <w:rFonts w:cs="Arial"/>
                <w:color w:val="000000" w:themeColor="text1"/>
                <w:szCs w:val="16"/>
              </w:rPr>
            </w:pPr>
            <w:r w:rsidRPr="00ED172B">
              <w:rPr>
                <w:rFonts w:cs="Arial"/>
                <w:color w:val="000000" w:themeColor="text1"/>
                <w:szCs w:val="16"/>
              </w:rPr>
              <w:t>19,995</w:t>
            </w:r>
          </w:p>
        </w:tc>
      </w:tr>
      <w:tr w:rsidR="00BC2EF9" w:rsidRPr="00ED172B" w14:paraId="48000F03" w14:textId="77777777" w:rsidTr="00014550">
        <w:tc>
          <w:tcPr>
            <w:tcW w:w="9175" w:type="dxa"/>
          </w:tcPr>
          <w:p w14:paraId="2C241A90" w14:textId="77777777" w:rsidR="00BC2EF9" w:rsidRPr="00ED172B" w:rsidRDefault="00BC2EF9" w:rsidP="00BC2EF9">
            <w:pPr>
              <w:rPr>
                <w:rFonts w:cs="Arial"/>
                <w:color w:val="000000" w:themeColor="text1"/>
                <w:szCs w:val="16"/>
              </w:rPr>
            </w:pPr>
            <w:r w:rsidRPr="00ED172B">
              <w:rPr>
                <w:rFonts w:cs="Arial"/>
                <w:color w:val="000000" w:themeColor="text1"/>
                <w:szCs w:val="16"/>
              </w:rPr>
              <w:t>The number of those infants and toddlers who did not receive early intervention services for at least six months before exiting the Part C program.</w:t>
            </w:r>
          </w:p>
        </w:tc>
        <w:tc>
          <w:tcPr>
            <w:tcW w:w="1615" w:type="dxa"/>
          </w:tcPr>
          <w:p w14:paraId="001BDD29" w14:textId="574E2F51" w:rsidR="00BC2EF9" w:rsidRPr="00ED172B" w:rsidRDefault="00860830" w:rsidP="00BC2EF9">
            <w:pPr>
              <w:rPr>
                <w:rFonts w:cs="Arial"/>
                <w:color w:val="000000" w:themeColor="text1"/>
                <w:szCs w:val="16"/>
              </w:rPr>
            </w:pPr>
            <w:r w:rsidRPr="00ED172B">
              <w:rPr>
                <w:rFonts w:cs="Arial"/>
                <w:color w:val="000000" w:themeColor="text1"/>
                <w:szCs w:val="16"/>
              </w:rPr>
              <w:t>6,586</w:t>
            </w:r>
          </w:p>
        </w:tc>
      </w:tr>
      <w:bookmarkEnd w:id="16"/>
    </w:tbl>
    <w:p w14:paraId="72E78A43" w14:textId="658DEFD0"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5CDC992D" w14:textId="77777777" w:rsidTr="00A40EE1">
        <w:trPr>
          <w:tblHeader/>
        </w:trPr>
        <w:tc>
          <w:tcPr>
            <w:tcW w:w="3851" w:type="pct"/>
            <w:tcBorders>
              <w:top w:val="single" w:sz="4" w:space="0" w:color="auto"/>
              <w:left w:val="single" w:sz="4" w:space="0" w:color="auto"/>
            </w:tcBorders>
          </w:tcPr>
          <w:p w14:paraId="50D8D3CA" w14:textId="2FF2BABA"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2941D030"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72F7F64E" w14:textId="77777777" w:rsidTr="000D7858">
        <w:tc>
          <w:tcPr>
            <w:tcW w:w="3851" w:type="pct"/>
          </w:tcPr>
          <w:p w14:paraId="15ED4817"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4AF34DAE" w14:textId="4C1FA1B9" w:rsidR="00F20E73" w:rsidRPr="00ED172B" w:rsidRDefault="00860830" w:rsidP="00781A26">
            <w:pPr>
              <w:rPr>
                <w:rFonts w:cs="Arial"/>
                <w:color w:val="000000" w:themeColor="text1"/>
                <w:szCs w:val="16"/>
              </w:rPr>
            </w:pPr>
            <w:r w:rsidRPr="00ED172B">
              <w:rPr>
                <w:rFonts w:cs="Arial"/>
                <w:color w:val="000000" w:themeColor="text1"/>
                <w:szCs w:val="16"/>
              </w:rPr>
              <w:t>NO</w:t>
            </w:r>
          </w:p>
        </w:tc>
      </w:tr>
    </w:tbl>
    <w:p w14:paraId="047486DE" w14:textId="1911396D"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Form (COS) process? (yes/no)</w:t>
      </w:r>
    </w:p>
    <w:p w14:paraId="44D4D8D3" w14:textId="4AE06461" w:rsidR="002451A6" w:rsidRDefault="005C14C2" w:rsidP="005C14C2">
      <w:pPr>
        <w:rPr>
          <w:color w:val="000000" w:themeColor="text1"/>
        </w:rPr>
      </w:pPr>
      <w:r w:rsidRPr="00ED172B">
        <w:rPr>
          <w:color w:val="000000" w:themeColor="text1"/>
        </w:rPr>
        <w:t>NO</w:t>
      </w:r>
    </w:p>
    <w:p w14:paraId="5721B8E5" w14:textId="796E7895" w:rsidR="00F20E73" w:rsidRPr="00ED172B" w:rsidRDefault="00F20E73" w:rsidP="00F20E73">
      <w:pPr>
        <w:rPr>
          <w:rFonts w:cs="Arial"/>
          <w:b/>
          <w:color w:val="000000" w:themeColor="text1"/>
          <w:szCs w:val="16"/>
        </w:rPr>
      </w:pPr>
      <w:r w:rsidRPr="00ED172B">
        <w:rPr>
          <w:b/>
          <w:color w:val="000000" w:themeColor="text1"/>
        </w:rPr>
        <w:t>Provide the criteria for defining “comparable to same-aged peers.”</w:t>
      </w:r>
    </w:p>
    <w:p w14:paraId="43BEFADD" w14:textId="7C17EB70" w:rsidR="00F20E73" w:rsidRDefault="00860830" w:rsidP="00F20E73">
      <w:pPr>
        <w:rPr>
          <w:rFonts w:cs="Arial"/>
          <w:color w:val="000000" w:themeColor="text1"/>
          <w:szCs w:val="16"/>
        </w:rPr>
      </w:pPr>
      <w:r w:rsidRPr="00ED172B">
        <w:rPr>
          <w:rFonts w:cs="Arial"/>
          <w:color w:val="000000" w:themeColor="text1"/>
          <w:szCs w:val="16"/>
        </w:rPr>
        <w:t>The criteria for defining “comparable to same-aged peers” is a developmental quotient (DQ) of greater or equal to the Battelle Developmental Inventory (2nd ed.)</w:t>
      </w:r>
    </w:p>
    <w:p w14:paraId="10AAC9AE"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0307C014" w14:textId="58F2A742" w:rsidR="00F20E73" w:rsidRPr="00ED172B" w:rsidRDefault="00860830" w:rsidP="00F20E73">
      <w:pPr>
        <w:rPr>
          <w:rFonts w:cs="Arial"/>
          <w:color w:val="000000" w:themeColor="text1"/>
          <w:szCs w:val="16"/>
        </w:rPr>
      </w:pPr>
      <w:r w:rsidRPr="00ED172B">
        <w:rPr>
          <w:rFonts w:cs="Arial"/>
          <w:color w:val="000000" w:themeColor="text1"/>
          <w:szCs w:val="16"/>
        </w:rPr>
        <w:t xml:space="preserve">The Lead Agency (MA-C) has selected the Battelle Development Inventory (Newborg, 2005) as its instrument to gather data for this indicator. The assessment is completed during synchronous, in-person interactions with at least two examiners, the child, and their caregiver(s). </w:t>
      </w:r>
      <w:r w:rsidRPr="00ED172B">
        <w:rPr>
          <w:rFonts w:cs="Arial"/>
          <w:color w:val="000000" w:themeColor="text1"/>
          <w:szCs w:val="16"/>
        </w:rPr>
        <w:br/>
      </w:r>
      <w:r w:rsidRPr="00ED172B">
        <w:rPr>
          <w:rFonts w:cs="Arial"/>
          <w:color w:val="000000" w:themeColor="text1"/>
          <w:szCs w:val="16"/>
        </w:rPr>
        <w:br/>
        <w:t>The examiners follow the BDI-2 manual to complete the assessment in five developmental domains (i.e., adaptive, personal-social, communication, motor, and cognitive). The child's chronological age in months is calculated.</w:t>
      </w:r>
      <w:r w:rsidRPr="00ED172B">
        <w:rPr>
          <w:rFonts w:cs="Arial"/>
          <w:color w:val="000000" w:themeColor="text1"/>
          <w:szCs w:val="16"/>
        </w:rPr>
        <w:br/>
      </w:r>
      <w:r w:rsidRPr="00ED172B">
        <w:rPr>
          <w:rFonts w:cs="Arial"/>
          <w:color w:val="000000" w:themeColor="text1"/>
          <w:szCs w:val="16"/>
        </w:rPr>
        <w:br/>
        <w:t xml:space="preserve">To begin a subdomain, the examiner finds the basal by beginning at the designated starting point (per BDI-2 manual). A basal is established when the child has scored three consecutive 2s. The examiner may need to assess tasks before the designated starting point to find a basal score.  For each assessment task, the examiner identifies how the information was obtained (i.e., S = structured activities for direct assessment; O = observation of activities in the child's natural environment; I = interviews with the child's caregiver).  The examiner scores assessment items using the criteria in the BDI-2 manual (i.e., 2 = the child's response meets the specified criteria listed in the manual; 1 = skill may be emerging and is not yet mastered; 0 = child did not attempt or response was insufficient to receive partial credit). The examiner stops administering tasks after establishing a ceiling, or three consecutive 0s. </w:t>
      </w:r>
      <w:r w:rsidRPr="00ED172B">
        <w:rPr>
          <w:rFonts w:cs="Arial"/>
          <w:color w:val="000000" w:themeColor="text1"/>
          <w:szCs w:val="16"/>
        </w:rPr>
        <w:br/>
      </w:r>
      <w:r w:rsidRPr="00ED172B">
        <w:rPr>
          <w:rFonts w:cs="Arial"/>
          <w:color w:val="000000" w:themeColor="text1"/>
          <w:szCs w:val="16"/>
        </w:rPr>
        <w:br/>
        <w:t>The examiner then calculates raw scores using the scoring form on the front of the protocol booklet. The raw scores are used to calculate scaled scores, percentiles, and age equivalents for the subdomains.</w:t>
      </w:r>
      <w:r w:rsidRPr="00ED172B">
        <w:rPr>
          <w:rFonts w:cs="Arial"/>
          <w:color w:val="000000" w:themeColor="text1"/>
          <w:szCs w:val="16"/>
        </w:rPr>
        <w:br/>
      </w:r>
      <w:r w:rsidRPr="00ED172B">
        <w:rPr>
          <w:rFonts w:cs="Arial"/>
          <w:color w:val="000000" w:themeColor="text1"/>
          <w:szCs w:val="16"/>
        </w:rPr>
        <w:br/>
        <w:t>Newborg, J. (2005). Battelle developmental inventory (2nd ed.). Itasca, IL: Riverside Publishing.</w:t>
      </w:r>
    </w:p>
    <w:p w14:paraId="7C7F4032" w14:textId="3B8DC8B2" w:rsidR="003A3693" w:rsidRPr="00ED172B" w:rsidRDefault="003A3693" w:rsidP="006935F4">
      <w:pPr>
        <w:rPr>
          <w:b/>
          <w:color w:val="000000" w:themeColor="text1"/>
        </w:rPr>
      </w:pPr>
      <w:bookmarkStart w:id="17" w:name="_Toc382082362"/>
      <w:bookmarkStart w:id="18" w:name="_Toc392159270"/>
      <w:r w:rsidRPr="00ED172B">
        <w:rPr>
          <w:b/>
          <w:color w:val="000000" w:themeColor="text1"/>
        </w:rPr>
        <w:t>Provide additional information about this indicator (optional).</w:t>
      </w:r>
    </w:p>
    <w:p w14:paraId="38CEA5CA" w14:textId="6B633C85" w:rsidR="003A3693" w:rsidRPr="00ED172B" w:rsidRDefault="00860830" w:rsidP="003A3693">
      <w:pPr>
        <w:rPr>
          <w:rFonts w:cs="Arial"/>
          <w:color w:val="000000" w:themeColor="text1"/>
          <w:szCs w:val="16"/>
        </w:rPr>
      </w:pPr>
      <w:r w:rsidRPr="00ED172B">
        <w:rPr>
          <w:rFonts w:cs="Arial"/>
          <w:color w:val="000000" w:themeColor="text1"/>
          <w:szCs w:val="16"/>
        </w:rPr>
        <w:t>19,995 children exited during the reporting period. MA-C excludes children who had less than 6 months of early intervention services prior to exiting (6586 children), those with only one administration of the BDI-2 (8593 children), and those who had incomplete evaluation scores (149 children).</w:t>
      </w:r>
    </w:p>
    <w:p w14:paraId="2F0F2ABA" w14:textId="15FC50CD" w:rsidR="00DC0682" w:rsidRPr="00A40EE1" w:rsidRDefault="000D0117" w:rsidP="005C3FFD">
      <w:pPr>
        <w:pStyle w:val="Heading2"/>
      </w:pPr>
      <w:r w:rsidRPr="00A40EE1">
        <w:t xml:space="preserve">3 - </w:t>
      </w:r>
      <w:r w:rsidR="00DC0682" w:rsidRPr="00A40EE1">
        <w:t>Prior FFY Required Actions</w:t>
      </w:r>
    </w:p>
    <w:p w14:paraId="21A4A58D" w14:textId="7734B581" w:rsidR="004C1CEE" w:rsidRPr="00ED172B" w:rsidRDefault="00291EA9" w:rsidP="00291EA9">
      <w:pPr>
        <w:rPr>
          <w:color w:val="000000" w:themeColor="text1"/>
        </w:rPr>
      </w:pPr>
      <w:r w:rsidRPr="00ED172B">
        <w:rPr>
          <w:color w:val="000000" w:themeColor="text1"/>
        </w:rPr>
        <w:t>None</w:t>
      </w:r>
    </w:p>
    <w:p w14:paraId="043E739C" w14:textId="77777777" w:rsidR="004C1CEE" w:rsidRPr="00ED172B" w:rsidRDefault="004C1CEE" w:rsidP="00DC0682">
      <w:pPr>
        <w:rPr>
          <w:rFonts w:cs="Arial"/>
          <w:color w:val="000000" w:themeColor="text1"/>
          <w:szCs w:val="16"/>
        </w:rPr>
      </w:pPr>
    </w:p>
    <w:p w14:paraId="0981E26C" w14:textId="77777777" w:rsidR="004C1CEE" w:rsidRPr="00ED172B" w:rsidRDefault="004C1CEE" w:rsidP="00DC0682">
      <w:pPr>
        <w:rPr>
          <w:rFonts w:cs="Arial"/>
          <w:color w:val="000000" w:themeColor="text1"/>
          <w:szCs w:val="16"/>
        </w:rPr>
      </w:pPr>
    </w:p>
    <w:p w14:paraId="49B20761" w14:textId="442F28BB" w:rsidR="00DC0682" w:rsidRPr="00A40EE1" w:rsidRDefault="000D0117" w:rsidP="005C3FFD">
      <w:pPr>
        <w:pStyle w:val="Heading2"/>
      </w:pPr>
      <w:r w:rsidRPr="00A40EE1">
        <w:t xml:space="preserve">3 - </w:t>
      </w:r>
      <w:r w:rsidR="00DC0682" w:rsidRPr="00A40EE1">
        <w:t>OSEP Response</w:t>
      </w:r>
    </w:p>
    <w:p w14:paraId="4DD1F618" w14:textId="23270F7D" w:rsidR="00DC0682" w:rsidRPr="00ED172B" w:rsidRDefault="005C14C2" w:rsidP="005C14C2">
      <w:pPr>
        <w:rPr>
          <w:color w:val="000000" w:themeColor="text1"/>
        </w:rPr>
      </w:pPr>
      <w:r w:rsidRPr="00ED172B">
        <w:rPr>
          <w:color w:val="000000" w:themeColor="text1"/>
        </w:rPr>
        <w:t>The State provided targets for FFYs 2020 through 2025 for this indicator, and OSEP accepts those targets.</w:t>
      </w:r>
      <w:r w:rsidRPr="00ED172B">
        <w:rPr>
          <w:color w:val="000000" w:themeColor="text1"/>
        </w:rPr>
        <w:br/>
      </w:r>
      <w:r w:rsidRPr="00ED172B">
        <w:rPr>
          <w:color w:val="000000" w:themeColor="text1"/>
        </w:rPr>
        <w:br/>
      </w:r>
      <w:r w:rsidRPr="00ED172B">
        <w:rPr>
          <w:color w:val="000000" w:themeColor="text1"/>
        </w:rPr>
        <w:lastRenderedPageBreak/>
        <w:t>The State provided an explanation of how COVID-19 impacted its ability to collect FFY 2020 data for this indicator and steps the State has taken to mitigate the impact of COVID-19 on data collection.</w:t>
      </w:r>
    </w:p>
    <w:p w14:paraId="0ADAD91A" w14:textId="60D27E93" w:rsidR="00DC0682" w:rsidRPr="00A40EE1" w:rsidRDefault="000D0117" w:rsidP="005C3FFD">
      <w:pPr>
        <w:pStyle w:val="Heading2"/>
      </w:pPr>
      <w:r w:rsidRPr="00A40EE1">
        <w:t xml:space="preserve">3 - </w:t>
      </w:r>
      <w:r w:rsidR="00DC0682" w:rsidRPr="00A40EE1">
        <w:t>Required Actions</w:t>
      </w:r>
    </w:p>
    <w:p w14:paraId="08C780E2" w14:textId="562AD34F" w:rsidR="00DC0682" w:rsidRPr="00ED172B" w:rsidRDefault="00DC0682" w:rsidP="005C14C2">
      <w:pPr>
        <w:rPr>
          <w:color w:val="000000" w:themeColor="text1"/>
        </w:rPr>
      </w:pPr>
    </w:p>
    <w:p w14:paraId="7E16CF72"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08D67223" w14:textId="06797F5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7"/>
      <w:bookmarkEnd w:id="18"/>
      <w:r w:rsidR="001F545F" w:rsidRPr="00ED172B">
        <w:rPr>
          <w:color w:val="000000" w:themeColor="text1"/>
        </w:rPr>
        <w:t>4: Family Involvement</w:t>
      </w:r>
    </w:p>
    <w:p w14:paraId="569B227F" w14:textId="77777777" w:rsidR="000C5918" w:rsidRPr="00ED172B" w:rsidRDefault="000C5918" w:rsidP="00186420">
      <w:pPr>
        <w:rPr>
          <w:color w:val="000000" w:themeColor="text1"/>
          <w:szCs w:val="20"/>
        </w:rPr>
      </w:pPr>
      <w:bookmarkStart w:id="19" w:name="_Toc392159271"/>
      <w:r w:rsidRPr="00ED172B">
        <w:rPr>
          <w:b/>
          <w:color w:val="000000" w:themeColor="text1"/>
          <w:sz w:val="20"/>
          <w:szCs w:val="20"/>
        </w:rPr>
        <w:t>Instructions and Measurement</w:t>
      </w:r>
    </w:p>
    <w:p w14:paraId="25E565A2"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6C78C52D"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14:paraId="70313A91" w14:textId="1354A97B" w:rsidR="001F545F" w:rsidRPr="00ED172B" w:rsidRDefault="007F55E8" w:rsidP="00ED172B">
      <w:pPr>
        <w:ind w:firstLine="360"/>
        <w:rPr>
          <w:color w:val="000000" w:themeColor="text1"/>
          <w:szCs w:val="16"/>
        </w:rPr>
      </w:pPr>
      <w:r w:rsidRPr="00ED172B">
        <w:rPr>
          <w:color w:val="000000" w:themeColor="text1"/>
          <w:szCs w:val="16"/>
        </w:rPr>
        <w:t>A. Know their rights;</w:t>
      </w:r>
    </w:p>
    <w:p w14:paraId="2BA0CA2F" w14:textId="5F98EB64"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52792A24" w14:textId="3C691166"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0D528258"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5D9AB3DB" w14:textId="77777777" w:rsidR="00A9742C" w:rsidRPr="00ED172B" w:rsidRDefault="00A9742C">
      <w:pPr>
        <w:rPr>
          <w:b/>
          <w:color w:val="000000" w:themeColor="text1"/>
        </w:rPr>
      </w:pPr>
      <w:bookmarkStart w:id="20" w:name="_Toc392159272"/>
      <w:bookmarkEnd w:id="19"/>
      <w:r w:rsidRPr="00ED172B">
        <w:rPr>
          <w:b/>
          <w:color w:val="000000" w:themeColor="text1"/>
        </w:rPr>
        <w:t>Data Source</w:t>
      </w:r>
    </w:p>
    <w:p w14:paraId="12F2BF23" w14:textId="4B91A41A"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059B6EBF" w14:textId="77777777" w:rsidR="00A9742C" w:rsidRPr="00ED172B" w:rsidRDefault="00A9742C">
      <w:pPr>
        <w:rPr>
          <w:b/>
          <w:color w:val="000000" w:themeColor="text1"/>
        </w:rPr>
      </w:pPr>
      <w:r w:rsidRPr="00ED172B">
        <w:rPr>
          <w:b/>
          <w:color w:val="000000" w:themeColor="text1"/>
        </w:rPr>
        <w:t>Measurement</w:t>
      </w:r>
    </w:p>
    <w:p w14:paraId="36F43E60" w14:textId="3A28380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5309AA10" w14:textId="0C64B7DB" w:rsidR="00A9742C" w:rsidRPr="00ED172B" w:rsidRDefault="007F55E8" w:rsidP="00ED172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14:paraId="726B1C20" w14:textId="4EE8BBFF" w:rsidR="00A9742C" w:rsidRPr="00ED172B" w:rsidRDefault="007F55E8" w:rsidP="00ED172B">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14:paraId="5E4A7387" w14:textId="13FBB6E1" w:rsidR="00A9742C" w:rsidRPr="00ED172B" w:rsidRDefault="00A9742C">
      <w:pPr>
        <w:rPr>
          <w:b/>
          <w:color w:val="000000" w:themeColor="text1"/>
        </w:rPr>
      </w:pPr>
      <w:r w:rsidRPr="00ED172B">
        <w:rPr>
          <w:b/>
          <w:color w:val="000000" w:themeColor="text1"/>
        </w:rPr>
        <w:t>Instructions</w:t>
      </w:r>
    </w:p>
    <w:p w14:paraId="34B66C9E"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5571A7F6"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04457BE9"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78AF5090"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1964A814"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4590CA07" w14:textId="77777777" w:rsidR="00AD10DA" w:rsidRPr="003D3ED1" w:rsidRDefault="00AD10DA" w:rsidP="00AD10DA">
      <w:pPr>
        <w:pStyle w:val="Subhed"/>
        <w:rPr>
          <w:rFonts w:cstheme="minorBidi"/>
          <w:b w:val="0"/>
        </w:rPr>
      </w:pPr>
      <w:r w:rsidRPr="003D3ED1">
        <w:rPr>
          <w:rFonts w:cstheme="minorBidi"/>
          <w:b w:val="0"/>
        </w:rPr>
        <w:t xml:space="preserve">States will be required to </w:t>
      </w:r>
      <w:bookmarkStart w:id="21" w:name="_Hlk78829878"/>
      <w:r w:rsidRPr="003D3ED1">
        <w:rPr>
          <w:rFonts w:cstheme="minorBidi"/>
          <w:b w:val="0"/>
        </w:rPr>
        <w:t>compare the current year’s response rate to the previous year(s) response rate(s), and describe strategies that will be implemented which are expected to increase the response rate year over year, particularly for those groups that are underrepresented</w:t>
      </w:r>
      <w:bookmarkEnd w:id="21"/>
      <w:r w:rsidRPr="003D3ED1">
        <w:rPr>
          <w:rFonts w:cstheme="minorBidi"/>
          <w:b w:val="0"/>
        </w:rPr>
        <w:t>.</w:t>
      </w:r>
    </w:p>
    <w:p w14:paraId="78B2A9FB" w14:textId="42D47853"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7930042E" w14:textId="2064A5A7"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2" w:name="_Hlk80187466"/>
      <w:r w:rsidR="00D45F98" w:rsidRPr="003D3ED1">
        <w:t>infants or toddlers for whom</w:t>
      </w:r>
      <w:bookmarkEnd w:id="22"/>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3" w:name="_Hlk80187529"/>
      <w:r w:rsidR="00D45F98" w:rsidRPr="003D3ED1">
        <w:t>receiving services</w:t>
      </w:r>
      <w:bookmarkEnd w:id="23"/>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14:paraId="0E673AC0" w14:textId="3FA5EAA2"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p>
    <w:p w14:paraId="421D5E9C" w14:textId="02970881"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4" w:name="_Hlk80196581"/>
      <w:r w:rsidR="00D57F7D" w:rsidRPr="003D3ED1">
        <w:t>infants or toddlers for whom</w:t>
      </w:r>
      <w:bookmarkEnd w:id="24"/>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0049F622" w14:textId="77777777" w:rsidR="00DB61F6" w:rsidRPr="00E6031E" w:rsidRDefault="00DB61F6" w:rsidP="00DB61F6">
      <w:pPr>
        <w:pStyle w:val="Subhed"/>
        <w:rPr>
          <w:rFonts w:cstheme="minorBidi"/>
          <w:b w:val="0"/>
        </w:rPr>
      </w:pPr>
      <w:r w:rsidRPr="004720EA">
        <w:rPr>
          <w:rFonts w:cstheme="minorBidi"/>
          <w:bCs/>
        </w:rPr>
        <w:t>Beginning with the FFY 2022 SPP/APR, due February 1, 2024</w:t>
      </w:r>
      <w:r w:rsidRPr="003D3ED1">
        <w:rPr>
          <w:rFonts w:cstheme="minorBidi"/>
          <w:b w:val="0"/>
        </w:rPr>
        <w:t>, when reporting the extent to which the demographics of the infants or toddlers for whom families responded are representative of the demographics of infants and toddlers enrolled in the Part C program, States must include race and 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7BC350EC" w14:textId="1993A77F"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20"/>
    <w:p w14:paraId="2A58204F" w14:textId="77EA3B41" w:rsidR="00ED272C" w:rsidRPr="00A40EE1" w:rsidRDefault="000D0117" w:rsidP="005C3FFD">
      <w:pPr>
        <w:pStyle w:val="Heading2"/>
      </w:pPr>
      <w:r w:rsidRPr="00A40EE1">
        <w:t xml:space="preserve">4 - </w:t>
      </w:r>
      <w:r w:rsidR="004D140B" w:rsidRPr="00A40EE1">
        <w:t>Indicator Data</w:t>
      </w:r>
    </w:p>
    <w:p w14:paraId="11DC4C0C" w14:textId="77777777" w:rsidR="001F545F" w:rsidRPr="00ED172B" w:rsidRDefault="001F545F">
      <w:pPr>
        <w:rPr>
          <w:b/>
          <w:color w:val="000000" w:themeColor="text1"/>
        </w:rPr>
      </w:pPr>
      <w:bookmarkStart w:id="25"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01D32715" w14:textId="48A04098" w:rsidTr="00A40EE1">
        <w:trPr>
          <w:trHeight w:val="350"/>
        </w:trPr>
        <w:tc>
          <w:tcPr>
            <w:tcW w:w="415" w:type="pct"/>
            <w:tcBorders>
              <w:top w:val="single" w:sz="4" w:space="0" w:color="auto"/>
              <w:left w:val="single" w:sz="4" w:space="0" w:color="auto"/>
              <w:bottom w:val="single" w:sz="4" w:space="0" w:color="auto"/>
              <w:right w:val="single" w:sz="4" w:space="0" w:color="auto"/>
            </w:tcBorders>
            <w:shd w:val="clear" w:color="auto" w:fill="auto"/>
            <w:vAlign w:val="bottom"/>
          </w:tcPr>
          <w:p w14:paraId="2101ED61" w14:textId="05381D06"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14:paraId="73BAD9C8" w14:textId="392ADEA2"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6241D221" w14:textId="253742DF"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E356793" w14:textId="44775E23" w:rsidR="00013004" w:rsidRPr="00ED172B" w:rsidRDefault="002163F2" w:rsidP="00013004">
            <w:pPr>
              <w:jc w:val="center"/>
              <w:rPr>
                <w:rFonts w:cs="Arial"/>
                <w:b/>
                <w:color w:val="000000" w:themeColor="text1"/>
                <w:szCs w:val="16"/>
              </w:rPr>
            </w:pPr>
            <w:r w:rsidRPr="00ED172B">
              <w:rPr>
                <w:rFonts w:cs="Arial"/>
                <w:b/>
                <w:color w:val="000000" w:themeColor="text1"/>
                <w:szCs w:val="16"/>
              </w:rPr>
              <w:t>2015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C082B81" w14:textId="46A4EA50" w:rsidR="00013004" w:rsidRPr="00ED172B" w:rsidRDefault="002163F2" w:rsidP="00013004">
            <w:pPr>
              <w:jc w:val="center"/>
              <w:rPr>
                <w:rFonts w:cs="Arial"/>
                <w:b/>
                <w:color w:val="000000" w:themeColor="text1"/>
                <w:szCs w:val="16"/>
              </w:rPr>
            </w:pPr>
            <w:r w:rsidRPr="00ED172B">
              <w:rPr>
                <w:rFonts w:cs="Arial"/>
                <w:b/>
                <w:color w:val="000000" w:themeColor="text1"/>
                <w:szCs w:val="16"/>
              </w:rPr>
              <w:t>2016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FD5D2C2" w14:textId="0835E9F5" w:rsidR="00013004" w:rsidRPr="00ED172B" w:rsidRDefault="002163F2" w:rsidP="00013004">
            <w:pPr>
              <w:jc w:val="center"/>
              <w:rPr>
                <w:rFonts w:cs="Arial"/>
                <w:b/>
                <w:color w:val="000000" w:themeColor="text1"/>
                <w:szCs w:val="16"/>
              </w:rPr>
            </w:pPr>
            <w:r w:rsidRPr="00ED172B">
              <w:rPr>
                <w:rFonts w:cs="Arial"/>
                <w:b/>
                <w:color w:val="000000" w:themeColor="text1"/>
                <w:szCs w:val="16"/>
              </w:rPr>
              <w:t>2017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BFF5ACF" w14:textId="6368BFE5" w:rsidR="00013004" w:rsidRPr="00ED172B" w:rsidRDefault="002163F2" w:rsidP="00013004">
            <w:pPr>
              <w:jc w:val="center"/>
              <w:rPr>
                <w:rFonts w:cs="Arial"/>
                <w:b/>
                <w:color w:val="000000" w:themeColor="text1"/>
                <w:szCs w:val="16"/>
              </w:rPr>
            </w:pPr>
            <w:r w:rsidRPr="00ED172B">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DAE1E2" w14:textId="496BE430" w:rsidR="00013004" w:rsidRPr="00ED172B" w:rsidRDefault="006D43D3" w:rsidP="00013004">
            <w:pPr>
              <w:jc w:val="center"/>
              <w:rPr>
                <w:rFonts w:cs="Arial"/>
                <w:b/>
                <w:color w:val="000000" w:themeColor="text1"/>
                <w:szCs w:val="16"/>
              </w:rPr>
            </w:pPr>
            <w:r w:rsidRPr="00ED172B">
              <w:rPr>
                <w:rFonts w:cs="Arial"/>
                <w:b/>
                <w:color w:val="000000" w:themeColor="text1"/>
                <w:szCs w:val="16"/>
              </w:rPr>
              <w:t>2019</w:t>
            </w:r>
          </w:p>
        </w:tc>
      </w:tr>
      <w:tr w:rsidR="00ED172B" w:rsidRPr="00ED172B" w14:paraId="52661D1F" w14:textId="56186CB3" w:rsidTr="00A40EE1">
        <w:trPr>
          <w:trHeight w:val="70"/>
        </w:trPr>
        <w:tc>
          <w:tcPr>
            <w:tcW w:w="415" w:type="pct"/>
            <w:tcBorders>
              <w:top w:val="single" w:sz="4" w:space="0" w:color="auto"/>
              <w:left w:val="single" w:sz="4" w:space="0" w:color="auto"/>
              <w:right w:val="single" w:sz="4" w:space="0" w:color="auto"/>
            </w:tcBorders>
            <w:shd w:val="clear" w:color="auto" w:fill="auto"/>
            <w:vAlign w:val="center"/>
          </w:tcPr>
          <w:p w14:paraId="1C8EF858" w14:textId="77777777" w:rsidR="00013004" w:rsidRPr="00ED172B" w:rsidRDefault="00013004" w:rsidP="00013004">
            <w:pP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shd w:val="clear" w:color="auto" w:fill="auto"/>
          </w:tcPr>
          <w:p w14:paraId="33DA05CA" w14:textId="47A2DCDE"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4E1CDB3E" w14:textId="4B1DF262" w:rsidR="00013004" w:rsidRPr="00ED172B" w:rsidRDefault="00013004" w:rsidP="00013004">
            <w:pP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282E3B2" w14:textId="56E8777C" w:rsidR="00013004" w:rsidRPr="00ED172B" w:rsidRDefault="00860830" w:rsidP="00ED172B">
            <w:pPr>
              <w:jc w:val="center"/>
              <w:rPr>
                <w:rFonts w:cs="Arial"/>
                <w:color w:val="000000" w:themeColor="text1"/>
                <w:szCs w:val="16"/>
              </w:rPr>
            </w:pPr>
            <w:r w:rsidRPr="00ED172B">
              <w:rPr>
                <w:rFonts w:cs="Arial"/>
                <w:color w:val="000000" w:themeColor="text1"/>
                <w:szCs w:val="16"/>
              </w:rPr>
              <w:t>80.10%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156D8CD" w14:textId="2F3CC0BE" w:rsidR="00013004" w:rsidRPr="00ED172B" w:rsidRDefault="00860830" w:rsidP="00ED172B">
            <w:pPr>
              <w:jc w:val="center"/>
              <w:rPr>
                <w:rFonts w:cs="Arial"/>
                <w:color w:val="000000" w:themeColor="text1"/>
                <w:szCs w:val="16"/>
              </w:rPr>
            </w:pPr>
            <w:r w:rsidRPr="00ED172B">
              <w:rPr>
                <w:rFonts w:cs="Arial"/>
                <w:color w:val="000000" w:themeColor="text1"/>
                <w:szCs w:val="16"/>
              </w:rPr>
              <w:t>80.20%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7F550C8" w14:textId="48BAF3B1" w:rsidR="00013004" w:rsidRPr="00ED172B" w:rsidRDefault="00860830" w:rsidP="00ED172B">
            <w:pPr>
              <w:jc w:val="center"/>
              <w:rPr>
                <w:rFonts w:cs="Arial"/>
                <w:color w:val="000000" w:themeColor="text1"/>
                <w:szCs w:val="16"/>
              </w:rPr>
            </w:pPr>
            <w:r w:rsidRPr="00ED172B">
              <w:rPr>
                <w:rFonts w:cs="Arial"/>
                <w:color w:val="000000" w:themeColor="text1"/>
                <w:szCs w:val="16"/>
              </w:rPr>
              <w:t>80.30%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63E44D3" w14:textId="4723AFC2" w:rsidR="00013004" w:rsidRPr="00ED172B" w:rsidRDefault="00860830" w:rsidP="00ED172B">
            <w:pPr>
              <w:jc w:val="center"/>
              <w:rPr>
                <w:rFonts w:cs="Arial"/>
                <w:color w:val="000000" w:themeColor="text1"/>
                <w:szCs w:val="16"/>
              </w:rPr>
            </w:pPr>
            <w:r w:rsidRPr="00ED172B">
              <w:rPr>
                <w:rFonts w:cs="Arial"/>
                <w:color w:val="000000" w:themeColor="text1"/>
                <w:szCs w:val="16"/>
              </w:rPr>
              <w:t>80.50%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0EE174" w14:textId="3F1A72E1" w:rsidR="00013004" w:rsidRPr="00ED172B" w:rsidRDefault="00860830" w:rsidP="00ED172B">
            <w:pPr>
              <w:jc w:val="center"/>
              <w:rPr>
                <w:rFonts w:cs="Arial"/>
                <w:color w:val="000000" w:themeColor="text1"/>
                <w:szCs w:val="16"/>
              </w:rPr>
            </w:pPr>
            <w:r w:rsidRPr="00ED172B">
              <w:rPr>
                <w:rFonts w:cs="Arial"/>
                <w:color w:val="000000" w:themeColor="text1"/>
                <w:szCs w:val="16"/>
              </w:rPr>
              <w:t>85.00%</w:t>
            </w:r>
          </w:p>
        </w:tc>
      </w:tr>
      <w:tr w:rsidR="00ED172B" w:rsidRPr="00ED172B" w14:paraId="5726E534" w14:textId="0FEBCB20" w:rsidTr="00A40EE1">
        <w:trPr>
          <w:trHeight w:val="85"/>
        </w:trPr>
        <w:tc>
          <w:tcPr>
            <w:tcW w:w="415" w:type="pct"/>
            <w:tcBorders>
              <w:left w:val="single" w:sz="4" w:space="0" w:color="auto"/>
              <w:right w:val="single" w:sz="4" w:space="0" w:color="auto"/>
            </w:tcBorders>
            <w:shd w:val="clear" w:color="auto" w:fill="auto"/>
            <w:vAlign w:val="center"/>
          </w:tcPr>
          <w:p w14:paraId="327818F6" w14:textId="7DE1C4D2" w:rsidR="00013004" w:rsidRPr="00ED172B" w:rsidRDefault="004B755C" w:rsidP="00013004">
            <w:pP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shd w:val="clear" w:color="auto" w:fill="auto"/>
          </w:tcPr>
          <w:p w14:paraId="44626205" w14:textId="5FE5D1F3" w:rsidR="00013004" w:rsidRPr="00ED172B" w:rsidRDefault="00291EA9" w:rsidP="00ED172B">
            <w:pPr>
              <w:jc w:val="center"/>
              <w:rPr>
                <w:color w:val="000000" w:themeColor="text1"/>
              </w:rPr>
            </w:pPr>
            <w:r w:rsidRPr="00ED172B">
              <w:rPr>
                <w:color w:val="000000" w:themeColor="text1"/>
              </w:rPr>
              <w:t>74.90%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D572CB1" w14:textId="457533E8" w:rsidR="00013004" w:rsidRPr="00ED172B" w:rsidRDefault="00013004" w:rsidP="00013004">
            <w:pP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503A03B" w14:textId="25800DDF" w:rsidR="00013004" w:rsidRPr="00ED172B" w:rsidRDefault="00860830" w:rsidP="00ED172B">
            <w:pPr>
              <w:jc w:val="center"/>
              <w:rPr>
                <w:rFonts w:cs="Arial"/>
                <w:color w:val="000000" w:themeColor="text1"/>
                <w:szCs w:val="16"/>
              </w:rPr>
            </w:pPr>
            <w:r w:rsidRPr="00ED172B">
              <w:rPr>
                <w:rFonts w:cs="Arial"/>
                <w:color w:val="000000" w:themeColor="text1"/>
                <w:szCs w:val="16"/>
              </w:rPr>
              <w:t>86.04%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05DEB05" w14:textId="040FAA36" w:rsidR="00013004" w:rsidRPr="00ED172B" w:rsidRDefault="00860830" w:rsidP="00ED172B">
            <w:pPr>
              <w:jc w:val="center"/>
              <w:rPr>
                <w:rFonts w:cs="Arial"/>
                <w:color w:val="000000" w:themeColor="text1"/>
                <w:szCs w:val="16"/>
              </w:rPr>
            </w:pPr>
            <w:r w:rsidRPr="00ED172B">
              <w:rPr>
                <w:rFonts w:cs="Arial"/>
                <w:color w:val="000000" w:themeColor="text1"/>
                <w:szCs w:val="16"/>
              </w:rPr>
              <w:t>86.73%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3ADA9B6" w14:textId="1F8E77E2" w:rsidR="00013004" w:rsidRPr="00ED172B" w:rsidRDefault="00860830" w:rsidP="00ED172B">
            <w:pPr>
              <w:jc w:val="center"/>
              <w:rPr>
                <w:rFonts w:cs="Arial"/>
                <w:color w:val="000000" w:themeColor="text1"/>
                <w:szCs w:val="16"/>
              </w:rPr>
            </w:pPr>
            <w:r w:rsidRPr="00ED172B">
              <w:rPr>
                <w:rFonts w:cs="Arial"/>
                <w:color w:val="000000" w:themeColor="text1"/>
                <w:szCs w:val="16"/>
              </w:rPr>
              <w:t>86.80%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3F1789D" w14:textId="24BF9F1E" w:rsidR="00013004" w:rsidRPr="00ED172B" w:rsidRDefault="00860830" w:rsidP="00ED172B">
            <w:pPr>
              <w:jc w:val="center"/>
              <w:rPr>
                <w:rFonts w:cs="Arial"/>
                <w:color w:val="000000" w:themeColor="text1"/>
                <w:szCs w:val="16"/>
              </w:rPr>
            </w:pPr>
            <w:r w:rsidRPr="00ED172B">
              <w:rPr>
                <w:rFonts w:cs="Arial"/>
                <w:color w:val="000000" w:themeColor="text1"/>
                <w:szCs w:val="16"/>
              </w:rPr>
              <w:t>87.39%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3DC5601" w14:textId="744676E5" w:rsidR="00013004" w:rsidRPr="00ED172B" w:rsidRDefault="00860830" w:rsidP="00ED172B">
            <w:pPr>
              <w:jc w:val="center"/>
              <w:rPr>
                <w:rFonts w:cs="Arial"/>
                <w:color w:val="000000" w:themeColor="text1"/>
                <w:szCs w:val="16"/>
              </w:rPr>
            </w:pPr>
            <w:r w:rsidRPr="00ED172B">
              <w:rPr>
                <w:rFonts w:cs="Arial"/>
                <w:color w:val="000000" w:themeColor="text1"/>
                <w:szCs w:val="16"/>
              </w:rPr>
              <w:t>87.08%</w:t>
            </w:r>
          </w:p>
        </w:tc>
      </w:tr>
      <w:tr w:rsidR="00ED172B" w:rsidRPr="00ED172B" w14:paraId="34C86E67" w14:textId="16DC4ADE"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A33D9B4" w14:textId="77777777" w:rsidR="00013004" w:rsidRPr="00ED172B" w:rsidRDefault="00013004" w:rsidP="00013004">
            <w:pP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023391C1" w14:textId="31C75DD5"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F6B57E8" w14:textId="74B5ED90" w:rsidR="00013004" w:rsidRPr="00ED172B" w:rsidRDefault="00013004" w:rsidP="00013004">
            <w:pP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DFE6DD5" w14:textId="0267A6A0" w:rsidR="00013004" w:rsidRPr="00ED172B" w:rsidRDefault="00860830" w:rsidP="00ED172B">
            <w:pPr>
              <w:jc w:val="center"/>
              <w:rPr>
                <w:rFonts w:cs="Arial"/>
                <w:color w:val="000000" w:themeColor="text1"/>
                <w:szCs w:val="16"/>
              </w:rPr>
            </w:pPr>
            <w:r w:rsidRPr="00ED172B">
              <w:rPr>
                <w:rFonts w:cs="Arial"/>
                <w:color w:val="000000" w:themeColor="text1"/>
                <w:szCs w:val="16"/>
              </w:rPr>
              <w:t>78.20%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5FDD98" w14:textId="5D6FFE99" w:rsidR="00013004" w:rsidRPr="00ED172B" w:rsidRDefault="00860830" w:rsidP="00ED172B">
            <w:pPr>
              <w:jc w:val="center"/>
              <w:rPr>
                <w:rFonts w:cs="Arial"/>
                <w:color w:val="000000" w:themeColor="text1"/>
                <w:szCs w:val="16"/>
              </w:rPr>
            </w:pPr>
            <w:r w:rsidRPr="00ED172B">
              <w:rPr>
                <w:rFonts w:cs="Arial"/>
                <w:color w:val="000000" w:themeColor="text1"/>
                <w:szCs w:val="16"/>
              </w:rPr>
              <w:t>78.30%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EE51451" w14:textId="2C870F73" w:rsidR="00013004" w:rsidRPr="00ED172B" w:rsidRDefault="00860830" w:rsidP="00ED172B">
            <w:pPr>
              <w:jc w:val="center"/>
              <w:rPr>
                <w:rFonts w:cs="Arial"/>
                <w:color w:val="000000" w:themeColor="text1"/>
                <w:szCs w:val="16"/>
              </w:rPr>
            </w:pPr>
            <w:r w:rsidRPr="00ED172B">
              <w:rPr>
                <w:rFonts w:cs="Arial"/>
                <w:color w:val="000000" w:themeColor="text1"/>
                <w:szCs w:val="16"/>
              </w:rPr>
              <w:t>78.40%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A41FC6" w14:textId="54686D6B" w:rsidR="00013004" w:rsidRPr="00ED172B" w:rsidRDefault="00860830" w:rsidP="00ED172B">
            <w:pPr>
              <w:jc w:val="center"/>
              <w:rPr>
                <w:rFonts w:cs="Arial"/>
                <w:color w:val="000000" w:themeColor="text1"/>
                <w:szCs w:val="16"/>
              </w:rPr>
            </w:pPr>
            <w:r w:rsidRPr="00ED172B">
              <w:rPr>
                <w:rFonts w:cs="Arial"/>
                <w:color w:val="000000" w:themeColor="text1"/>
                <w:szCs w:val="16"/>
              </w:rPr>
              <w:t>78.50%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C30ECB5" w14:textId="453A7604" w:rsidR="00013004" w:rsidRPr="00ED172B" w:rsidRDefault="00860830" w:rsidP="00ED172B">
            <w:pPr>
              <w:jc w:val="center"/>
              <w:rPr>
                <w:rFonts w:cs="Arial"/>
                <w:color w:val="000000" w:themeColor="text1"/>
                <w:szCs w:val="16"/>
              </w:rPr>
            </w:pPr>
            <w:r w:rsidRPr="00ED172B">
              <w:rPr>
                <w:rFonts w:cs="Arial"/>
                <w:color w:val="000000" w:themeColor="text1"/>
                <w:szCs w:val="16"/>
              </w:rPr>
              <w:t>80.00%</w:t>
            </w:r>
          </w:p>
        </w:tc>
      </w:tr>
      <w:tr w:rsidR="00ED172B" w:rsidRPr="00ED172B" w14:paraId="48448318" w14:textId="1BF5AF3A" w:rsidTr="00A40EE1">
        <w:trPr>
          <w:trHeight w:val="85"/>
        </w:trPr>
        <w:tc>
          <w:tcPr>
            <w:tcW w:w="415" w:type="pct"/>
            <w:tcBorders>
              <w:left w:val="single" w:sz="4" w:space="0" w:color="auto"/>
              <w:right w:val="single" w:sz="4" w:space="0" w:color="auto"/>
            </w:tcBorders>
            <w:shd w:val="clear" w:color="auto" w:fill="auto"/>
            <w:vAlign w:val="center"/>
          </w:tcPr>
          <w:p w14:paraId="08404016" w14:textId="59489EEE" w:rsidR="00013004" w:rsidRPr="00ED172B" w:rsidRDefault="004B755C" w:rsidP="00013004">
            <w:pP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23E7373A" w14:textId="433300C8" w:rsidR="00013004" w:rsidRPr="00ED172B" w:rsidRDefault="00291EA9" w:rsidP="00ED172B">
            <w:pPr>
              <w:jc w:val="center"/>
              <w:rPr>
                <w:color w:val="000000" w:themeColor="text1"/>
              </w:rPr>
            </w:pPr>
            <w:r w:rsidRPr="00ED172B">
              <w:rPr>
                <w:color w:val="000000" w:themeColor="text1"/>
              </w:rPr>
              <w:t>71.60%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783E7E7D" w14:textId="4EA3BF01" w:rsidR="00013004" w:rsidRPr="00ED172B" w:rsidRDefault="00013004" w:rsidP="00013004">
            <w:pP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83DDC99" w14:textId="1EDA8D8D" w:rsidR="00013004" w:rsidRPr="00ED172B" w:rsidRDefault="00860830" w:rsidP="00ED172B">
            <w:pPr>
              <w:jc w:val="center"/>
              <w:rPr>
                <w:rFonts w:cs="Arial"/>
                <w:color w:val="000000" w:themeColor="text1"/>
                <w:szCs w:val="16"/>
              </w:rPr>
            </w:pPr>
            <w:r w:rsidRPr="00ED172B">
              <w:rPr>
                <w:rFonts w:cs="Arial"/>
                <w:color w:val="000000" w:themeColor="text1"/>
                <w:szCs w:val="16"/>
              </w:rPr>
              <w:t>83.07%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AA296DF" w14:textId="44DA43D6" w:rsidR="00013004" w:rsidRPr="00ED172B" w:rsidRDefault="00860830" w:rsidP="00ED172B">
            <w:pPr>
              <w:jc w:val="center"/>
              <w:rPr>
                <w:rFonts w:cs="Arial"/>
                <w:color w:val="000000" w:themeColor="text1"/>
                <w:szCs w:val="16"/>
              </w:rPr>
            </w:pPr>
            <w:r w:rsidRPr="00ED172B">
              <w:rPr>
                <w:rFonts w:cs="Arial"/>
                <w:color w:val="000000" w:themeColor="text1"/>
                <w:szCs w:val="16"/>
              </w:rPr>
              <w:t>84.24%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9F983E6" w14:textId="525200A6" w:rsidR="00013004" w:rsidRPr="00ED172B" w:rsidRDefault="00860830" w:rsidP="00ED172B">
            <w:pPr>
              <w:jc w:val="center"/>
              <w:rPr>
                <w:rFonts w:cs="Arial"/>
                <w:color w:val="000000" w:themeColor="text1"/>
                <w:szCs w:val="16"/>
              </w:rPr>
            </w:pPr>
            <w:r w:rsidRPr="00ED172B">
              <w:rPr>
                <w:rFonts w:cs="Arial"/>
                <w:color w:val="000000" w:themeColor="text1"/>
                <w:szCs w:val="16"/>
              </w:rPr>
              <w:t>84.08%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8F41E63" w14:textId="3F575D02" w:rsidR="00013004" w:rsidRPr="00ED172B" w:rsidRDefault="00860830" w:rsidP="00ED172B">
            <w:pPr>
              <w:jc w:val="center"/>
              <w:rPr>
                <w:rFonts w:cs="Arial"/>
                <w:color w:val="000000" w:themeColor="text1"/>
                <w:szCs w:val="16"/>
              </w:rPr>
            </w:pPr>
            <w:r w:rsidRPr="00ED172B">
              <w:rPr>
                <w:rFonts w:cs="Arial"/>
                <w:color w:val="000000" w:themeColor="text1"/>
                <w:szCs w:val="16"/>
              </w:rPr>
              <w:t>84.93%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B5004E2" w14:textId="0083A2B7" w:rsidR="00013004" w:rsidRPr="00ED172B" w:rsidRDefault="00860830" w:rsidP="00ED172B">
            <w:pPr>
              <w:jc w:val="center"/>
              <w:rPr>
                <w:rFonts w:cs="Arial"/>
                <w:color w:val="000000" w:themeColor="text1"/>
                <w:szCs w:val="16"/>
              </w:rPr>
            </w:pPr>
            <w:r w:rsidRPr="00ED172B">
              <w:rPr>
                <w:rFonts w:cs="Arial"/>
                <w:color w:val="000000" w:themeColor="text1"/>
                <w:szCs w:val="16"/>
              </w:rPr>
              <w:t>84.53%</w:t>
            </w:r>
          </w:p>
        </w:tc>
      </w:tr>
      <w:tr w:rsidR="00ED172B" w:rsidRPr="00ED172B" w14:paraId="77FFCFE4" w14:textId="07D83084"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7661252" w14:textId="77777777" w:rsidR="00013004" w:rsidRPr="00ED172B" w:rsidRDefault="00013004" w:rsidP="00013004">
            <w:pP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71D9797A" w14:textId="3DD6EFF7"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3F16252C" w14:textId="6ECE509E" w:rsidR="00013004" w:rsidRPr="00ED172B" w:rsidRDefault="00013004" w:rsidP="00013004">
            <w:pP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C86BCA5" w14:textId="7BF79D14" w:rsidR="00013004" w:rsidRPr="00ED172B" w:rsidRDefault="00860830" w:rsidP="00ED172B">
            <w:pPr>
              <w:jc w:val="center"/>
              <w:rPr>
                <w:rFonts w:cs="Arial"/>
                <w:color w:val="000000" w:themeColor="text1"/>
                <w:szCs w:val="16"/>
              </w:rPr>
            </w:pPr>
            <w:r w:rsidRPr="00ED172B">
              <w:rPr>
                <w:rFonts w:cs="Arial"/>
                <w:color w:val="000000" w:themeColor="text1"/>
                <w:szCs w:val="16"/>
              </w:rPr>
              <w:t>89.20%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473A866" w14:textId="655206D1" w:rsidR="00013004" w:rsidRPr="00ED172B" w:rsidRDefault="00860830" w:rsidP="00ED172B">
            <w:pPr>
              <w:jc w:val="center"/>
              <w:rPr>
                <w:rFonts w:cs="Arial"/>
                <w:color w:val="000000" w:themeColor="text1"/>
                <w:szCs w:val="16"/>
              </w:rPr>
            </w:pPr>
            <w:r w:rsidRPr="00ED172B">
              <w:rPr>
                <w:rFonts w:cs="Arial"/>
                <w:color w:val="000000" w:themeColor="text1"/>
                <w:szCs w:val="16"/>
              </w:rPr>
              <w:t>89.30%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7C7EA4" w14:textId="16DC7830" w:rsidR="00013004" w:rsidRPr="00ED172B" w:rsidRDefault="00860830" w:rsidP="00ED172B">
            <w:pPr>
              <w:jc w:val="center"/>
              <w:rPr>
                <w:rFonts w:cs="Arial"/>
                <w:color w:val="000000" w:themeColor="text1"/>
                <w:szCs w:val="16"/>
              </w:rPr>
            </w:pPr>
            <w:r w:rsidRPr="00ED172B">
              <w:rPr>
                <w:rFonts w:cs="Arial"/>
                <w:color w:val="000000" w:themeColor="text1"/>
                <w:szCs w:val="16"/>
              </w:rPr>
              <w:t>89.40%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10A2F4" w14:textId="22FB915F" w:rsidR="00013004" w:rsidRPr="00ED172B" w:rsidRDefault="00860830" w:rsidP="00ED172B">
            <w:pPr>
              <w:jc w:val="center"/>
              <w:rPr>
                <w:rFonts w:cs="Arial"/>
                <w:color w:val="000000" w:themeColor="text1"/>
                <w:szCs w:val="16"/>
              </w:rPr>
            </w:pPr>
            <w:r w:rsidRPr="00ED172B">
              <w:rPr>
                <w:rFonts w:cs="Arial"/>
                <w:color w:val="000000" w:themeColor="text1"/>
                <w:szCs w:val="16"/>
              </w:rPr>
              <w:t>89.50%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BC9E656" w14:textId="2804AB60"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r>
      <w:tr w:rsidR="00ED172B" w:rsidRPr="00ED172B" w14:paraId="1584FE47" w14:textId="5B96356D" w:rsidTr="00A40EE1">
        <w:trPr>
          <w:trHeight w:val="85"/>
        </w:trPr>
        <w:tc>
          <w:tcPr>
            <w:tcW w:w="415" w:type="pct"/>
            <w:tcBorders>
              <w:left w:val="single" w:sz="4" w:space="0" w:color="auto"/>
              <w:right w:val="single" w:sz="4" w:space="0" w:color="auto"/>
            </w:tcBorders>
            <w:shd w:val="clear" w:color="auto" w:fill="auto"/>
            <w:vAlign w:val="center"/>
          </w:tcPr>
          <w:p w14:paraId="2BD768BF" w14:textId="5205E701" w:rsidR="00013004" w:rsidRPr="00ED172B" w:rsidRDefault="004B755C" w:rsidP="00013004">
            <w:pPr>
              <w:rPr>
                <w:rFonts w:cs="Arial"/>
                <w:color w:val="000000" w:themeColor="text1"/>
                <w:szCs w:val="16"/>
              </w:rPr>
            </w:pPr>
            <w:r w:rsidRPr="00ED172B">
              <w:rPr>
                <w:rFonts w:cs="Arial"/>
                <w:color w:val="000000" w:themeColor="text1"/>
                <w:szCs w:val="16"/>
              </w:rPr>
              <w:lastRenderedPageBreak/>
              <w:t>C</w:t>
            </w:r>
          </w:p>
        </w:tc>
        <w:tc>
          <w:tcPr>
            <w:tcW w:w="332" w:type="pct"/>
            <w:tcBorders>
              <w:left w:val="single" w:sz="4" w:space="0" w:color="auto"/>
              <w:right w:val="single" w:sz="4" w:space="0" w:color="auto"/>
            </w:tcBorders>
            <w:shd w:val="clear" w:color="auto" w:fill="auto"/>
          </w:tcPr>
          <w:p w14:paraId="01DA383D" w14:textId="70C11D05" w:rsidR="00013004" w:rsidRPr="00ED172B" w:rsidRDefault="00291EA9" w:rsidP="00ED172B">
            <w:pPr>
              <w:jc w:val="center"/>
              <w:rPr>
                <w:color w:val="000000" w:themeColor="text1"/>
              </w:rPr>
            </w:pPr>
            <w:r w:rsidRPr="00ED172B">
              <w:rPr>
                <w:color w:val="000000" w:themeColor="text1"/>
              </w:rPr>
              <w:t>85.90%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2BAC2F43" w14:textId="4BB05AAA" w:rsidR="00013004" w:rsidRPr="00ED172B" w:rsidRDefault="00013004" w:rsidP="00013004">
            <w:pP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8A96497" w14:textId="2E678B5B" w:rsidR="00013004" w:rsidRPr="00ED172B" w:rsidRDefault="00860830" w:rsidP="00ED172B">
            <w:pPr>
              <w:jc w:val="center"/>
              <w:rPr>
                <w:rFonts w:cs="Arial"/>
                <w:color w:val="000000" w:themeColor="text1"/>
                <w:szCs w:val="16"/>
              </w:rPr>
            </w:pPr>
            <w:r w:rsidRPr="00ED172B">
              <w:rPr>
                <w:rFonts w:cs="Arial"/>
                <w:color w:val="000000" w:themeColor="text1"/>
                <w:szCs w:val="16"/>
              </w:rPr>
              <w:t>92.33%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6B0FAFB" w14:textId="773E6271" w:rsidR="00013004" w:rsidRPr="00ED172B" w:rsidRDefault="00860830" w:rsidP="00ED172B">
            <w:pPr>
              <w:jc w:val="center"/>
              <w:rPr>
                <w:rFonts w:cs="Arial"/>
                <w:color w:val="000000" w:themeColor="text1"/>
                <w:szCs w:val="16"/>
              </w:rPr>
            </w:pPr>
            <w:r w:rsidRPr="00ED172B">
              <w:rPr>
                <w:rFonts w:cs="Arial"/>
                <w:color w:val="000000" w:themeColor="text1"/>
                <w:szCs w:val="16"/>
              </w:rPr>
              <w:t>93.55%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FB49FA" w14:textId="2FC0173A" w:rsidR="00013004" w:rsidRPr="00ED172B" w:rsidRDefault="00860830" w:rsidP="00ED172B">
            <w:pPr>
              <w:jc w:val="center"/>
              <w:rPr>
                <w:rFonts w:cs="Arial"/>
                <w:color w:val="000000" w:themeColor="text1"/>
                <w:szCs w:val="16"/>
              </w:rPr>
            </w:pPr>
            <w:r w:rsidRPr="00ED172B">
              <w:rPr>
                <w:rFonts w:cs="Arial"/>
                <w:color w:val="000000" w:themeColor="text1"/>
                <w:szCs w:val="16"/>
              </w:rPr>
              <w:t>93.07%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88FA15C" w14:textId="17F93F1C" w:rsidR="00013004" w:rsidRPr="00ED172B" w:rsidRDefault="00860830" w:rsidP="00ED172B">
            <w:pPr>
              <w:jc w:val="center"/>
              <w:rPr>
                <w:rFonts w:cs="Arial"/>
                <w:color w:val="000000" w:themeColor="text1"/>
                <w:szCs w:val="16"/>
              </w:rPr>
            </w:pPr>
            <w:r w:rsidRPr="00ED172B">
              <w:rPr>
                <w:rFonts w:cs="Arial"/>
                <w:color w:val="000000" w:themeColor="text1"/>
                <w:szCs w:val="16"/>
              </w:rPr>
              <w:t>93.92%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7BAD" w14:textId="4B7C02F5" w:rsidR="00013004" w:rsidRPr="00ED172B" w:rsidRDefault="00860830" w:rsidP="00ED172B">
            <w:pPr>
              <w:jc w:val="center"/>
              <w:rPr>
                <w:rFonts w:cs="Arial"/>
                <w:color w:val="000000" w:themeColor="text1"/>
                <w:szCs w:val="16"/>
              </w:rPr>
            </w:pPr>
            <w:r w:rsidRPr="00ED172B">
              <w:rPr>
                <w:rFonts w:cs="Arial"/>
                <w:color w:val="000000" w:themeColor="text1"/>
                <w:szCs w:val="16"/>
              </w:rPr>
              <w:t>93.91%</w:t>
            </w:r>
          </w:p>
        </w:tc>
      </w:tr>
    </w:tbl>
    <w:p w14:paraId="2A1BA25E" w14:textId="124175C6" w:rsidR="001F545F" w:rsidRPr="00ED172B" w:rsidRDefault="005918D1">
      <w:pPr>
        <w:rPr>
          <w:b/>
          <w:color w:val="000000" w:themeColor="text1"/>
        </w:rPr>
      </w:pPr>
      <w:r w:rsidRPr="00ED172B">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6"/>
        <w:gridCol w:w="1681"/>
        <w:gridCol w:w="1677"/>
        <w:gridCol w:w="1677"/>
        <w:gridCol w:w="1677"/>
        <w:gridCol w:w="1677"/>
        <w:gridCol w:w="1675"/>
      </w:tblGrid>
      <w:tr w:rsidR="008654C9" w:rsidRPr="00ED172B" w14:paraId="6C023CDC" w14:textId="05C08FAC" w:rsidTr="00F85A5B">
        <w:trPr>
          <w:trHeight w:val="350"/>
        </w:trPr>
        <w:tc>
          <w:tcPr>
            <w:tcW w:w="336" w:type="pct"/>
            <w:tcBorders>
              <w:bottom w:val="single" w:sz="4" w:space="0" w:color="auto"/>
            </w:tcBorders>
            <w:shd w:val="clear" w:color="auto" w:fill="auto"/>
            <w:vAlign w:val="bottom"/>
          </w:tcPr>
          <w:p w14:paraId="0130A8F3" w14:textId="77777777" w:rsidR="008654C9" w:rsidRPr="00ED172B" w:rsidRDefault="008654C9" w:rsidP="008654C9">
            <w:pPr>
              <w:jc w:val="center"/>
              <w:rPr>
                <w:rFonts w:cs="Arial"/>
                <w:b/>
                <w:color w:val="000000" w:themeColor="text1"/>
                <w:szCs w:val="16"/>
              </w:rPr>
            </w:pPr>
            <w:r w:rsidRPr="00ED172B">
              <w:rPr>
                <w:rFonts w:cs="Arial"/>
                <w:b/>
                <w:color w:val="000000" w:themeColor="text1"/>
                <w:szCs w:val="16"/>
              </w:rPr>
              <w:t>FFY</w:t>
            </w:r>
          </w:p>
        </w:tc>
        <w:tc>
          <w:tcPr>
            <w:tcW w:w="779" w:type="pct"/>
            <w:shd w:val="clear" w:color="auto" w:fill="auto"/>
            <w:vAlign w:val="center"/>
          </w:tcPr>
          <w:p w14:paraId="4732CBBC" w14:textId="72AD1B78" w:rsidR="008654C9" w:rsidRPr="00ED172B" w:rsidRDefault="008654C9" w:rsidP="008654C9">
            <w:pPr>
              <w:jc w:val="center"/>
              <w:rPr>
                <w:rFonts w:cs="Arial"/>
                <w:b/>
                <w:color w:val="000000" w:themeColor="text1"/>
                <w:szCs w:val="16"/>
              </w:rPr>
            </w:pPr>
            <w:r w:rsidRPr="00ED172B">
              <w:rPr>
                <w:rFonts w:cs="Arial"/>
                <w:b/>
                <w:color w:val="000000" w:themeColor="text1"/>
                <w:szCs w:val="16"/>
              </w:rPr>
              <w:t>2020</w:t>
            </w:r>
          </w:p>
        </w:tc>
        <w:tc>
          <w:tcPr>
            <w:tcW w:w="777" w:type="pct"/>
          </w:tcPr>
          <w:p w14:paraId="4A6AC503" w14:textId="202CF51F" w:rsidR="008654C9" w:rsidRPr="00ED172B" w:rsidRDefault="008654C9" w:rsidP="008654C9">
            <w:pPr>
              <w:jc w:val="center"/>
              <w:rPr>
                <w:rFonts w:cs="Arial"/>
                <w:b/>
                <w:color w:val="000000" w:themeColor="text1"/>
                <w:szCs w:val="16"/>
              </w:rPr>
            </w:pPr>
            <w:r>
              <w:rPr>
                <w:rFonts w:cs="Arial"/>
                <w:b/>
                <w:color w:val="000000" w:themeColor="text1"/>
                <w:szCs w:val="16"/>
              </w:rPr>
              <w:t>2021</w:t>
            </w:r>
          </w:p>
        </w:tc>
        <w:tc>
          <w:tcPr>
            <w:tcW w:w="777" w:type="pct"/>
          </w:tcPr>
          <w:p w14:paraId="7D14D156" w14:textId="77C45ED4" w:rsidR="008654C9" w:rsidRPr="00ED172B" w:rsidRDefault="008654C9" w:rsidP="008654C9">
            <w:pPr>
              <w:jc w:val="center"/>
              <w:rPr>
                <w:rFonts w:cs="Arial"/>
                <w:b/>
                <w:color w:val="000000" w:themeColor="text1"/>
                <w:szCs w:val="16"/>
              </w:rPr>
            </w:pPr>
            <w:r w:rsidRPr="005A1B4F">
              <w:rPr>
                <w:rFonts w:cs="Arial"/>
                <w:b/>
                <w:color w:val="000000" w:themeColor="text1"/>
                <w:szCs w:val="16"/>
              </w:rPr>
              <w:t>2022</w:t>
            </w:r>
          </w:p>
        </w:tc>
        <w:tc>
          <w:tcPr>
            <w:tcW w:w="777" w:type="pct"/>
          </w:tcPr>
          <w:p w14:paraId="54C6D3CA" w14:textId="4376F08A" w:rsidR="008654C9" w:rsidRPr="00ED172B" w:rsidRDefault="008654C9" w:rsidP="008654C9">
            <w:pPr>
              <w:jc w:val="center"/>
              <w:rPr>
                <w:rFonts w:cs="Arial"/>
                <w:b/>
                <w:color w:val="000000" w:themeColor="text1"/>
                <w:szCs w:val="16"/>
              </w:rPr>
            </w:pPr>
            <w:r w:rsidRPr="005A1B4F">
              <w:rPr>
                <w:rFonts w:cs="Arial"/>
                <w:b/>
                <w:color w:val="000000" w:themeColor="text1"/>
                <w:szCs w:val="16"/>
              </w:rPr>
              <w:t>2023</w:t>
            </w:r>
          </w:p>
        </w:tc>
        <w:tc>
          <w:tcPr>
            <w:tcW w:w="777" w:type="pct"/>
          </w:tcPr>
          <w:p w14:paraId="6AB7C10D" w14:textId="44F6ABFC" w:rsidR="008654C9" w:rsidRPr="00ED172B" w:rsidRDefault="008654C9" w:rsidP="008654C9">
            <w:pPr>
              <w:jc w:val="center"/>
              <w:rPr>
                <w:rFonts w:cs="Arial"/>
                <w:b/>
                <w:color w:val="000000" w:themeColor="text1"/>
                <w:szCs w:val="16"/>
              </w:rPr>
            </w:pPr>
            <w:r w:rsidRPr="005A1B4F">
              <w:rPr>
                <w:rFonts w:cs="Arial"/>
                <w:b/>
                <w:color w:val="000000" w:themeColor="text1"/>
                <w:szCs w:val="16"/>
              </w:rPr>
              <w:t>2024</w:t>
            </w:r>
          </w:p>
        </w:tc>
        <w:tc>
          <w:tcPr>
            <w:tcW w:w="776" w:type="pct"/>
          </w:tcPr>
          <w:p w14:paraId="47547833" w14:textId="4630B1D2" w:rsidR="008654C9" w:rsidRPr="00ED172B" w:rsidRDefault="008654C9" w:rsidP="008654C9">
            <w:pPr>
              <w:jc w:val="center"/>
              <w:rPr>
                <w:rFonts w:cs="Arial"/>
                <w:b/>
                <w:color w:val="000000" w:themeColor="text1"/>
                <w:szCs w:val="16"/>
              </w:rPr>
            </w:pPr>
            <w:r w:rsidRPr="005A1B4F">
              <w:rPr>
                <w:rFonts w:cs="Arial"/>
                <w:b/>
                <w:color w:val="000000" w:themeColor="text1"/>
                <w:szCs w:val="16"/>
              </w:rPr>
              <w:t>2025</w:t>
            </w:r>
          </w:p>
        </w:tc>
      </w:tr>
      <w:tr w:rsidR="002F2336" w:rsidRPr="00ED172B" w14:paraId="737B1FB1" w14:textId="0E9417A5" w:rsidTr="00F85A5B">
        <w:trPr>
          <w:trHeight w:val="357"/>
        </w:trPr>
        <w:tc>
          <w:tcPr>
            <w:tcW w:w="336" w:type="pct"/>
            <w:shd w:val="clear" w:color="auto" w:fill="auto"/>
          </w:tcPr>
          <w:p w14:paraId="2CE5A688" w14:textId="4C4E1C28" w:rsidR="002F2336" w:rsidRPr="00ED172B" w:rsidRDefault="002F2336" w:rsidP="002F2336">
            <w:pPr>
              <w:rPr>
                <w:rFonts w:cs="Arial"/>
                <w:color w:val="000000" w:themeColor="text1"/>
                <w:szCs w:val="16"/>
              </w:rPr>
            </w:pPr>
            <w:r w:rsidRPr="00ED172B">
              <w:rPr>
                <w:rFonts w:cs="Arial"/>
                <w:color w:val="000000" w:themeColor="text1"/>
                <w:szCs w:val="16"/>
              </w:rPr>
              <w:t>Target A&gt;=</w:t>
            </w:r>
          </w:p>
        </w:tc>
        <w:tc>
          <w:tcPr>
            <w:tcW w:w="779" w:type="pct"/>
            <w:shd w:val="clear" w:color="auto" w:fill="auto"/>
            <w:vAlign w:val="center"/>
          </w:tcPr>
          <w:p w14:paraId="0B768807" w14:textId="2DC3CAE1" w:rsidR="002F2336" w:rsidRPr="00ED172B" w:rsidRDefault="002F2336" w:rsidP="002F2336">
            <w:pPr>
              <w:jc w:val="center"/>
              <w:rPr>
                <w:color w:val="000000" w:themeColor="text1"/>
              </w:rPr>
            </w:pPr>
            <w:r w:rsidRPr="00ED172B">
              <w:rPr>
                <w:color w:val="000000" w:themeColor="text1"/>
              </w:rPr>
              <w:t>90.00%</w:t>
            </w:r>
          </w:p>
        </w:tc>
        <w:tc>
          <w:tcPr>
            <w:tcW w:w="777" w:type="pct"/>
            <w:vAlign w:val="center"/>
          </w:tcPr>
          <w:p w14:paraId="4F6C0542" w14:textId="15CB8941" w:rsidR="002F2336" w:rsidRPr="00794BA1" w:rsidRDefault="002F2336" w:rsidP="002F2336">
            <w:pPr>
              <w:jc w:val="center"/>
              <w:rPr>
                <w:color w:val="000000" w:themeColor="text1"/>
              </w:rPr>
            </w:pPr>
            <w:r w:rsidRPr="00794BA1">
              <w:rPr>
                <w:color w:val="000000" w:themeColor="text1"/>
              </w:rPr>
              <w:t>90.00%</w:t>
            </w:r>
          </w:p>
        </w:tc>
        <w:tc>
          <w:tcPr>
            <w:tcW w:w="777" w:type="pct"/>
            <w:vAlign w:val="center"/>
          </w:tcPr>
          <w:p w14:paraId="7E129EEC" w14:textId="3C5D3830" w:rsidR="002F2336" w:rsidRPr="00794BA1" w:rsidRDefault="002F2336" w:rsidP="002F2336">
            <w:pPr>
              <w:jc w:val="center"/>
              <w:rPr>
                <w:color w:val="000000" w:themeColor="text1"/>
              </w:rPr>
            </w:pPr>
            <w:r w:rsidRPr="00794BA1">
              <w:rPr>
                <w:color w:val="000000" w:themeColor="text1"/>
              </w:rPr>
              <w:t>90.00%</w:t>
            </w:r>
          </w:p>
        </w:tc>
        <w:tc>
          <w:tcPr>
            <w:tcW w:w="777" w:type="pct"/>
            <w:vAlign w:val="center"/>
          </w:tcPr>
          <w:p w14:paraId="1603BA2D" w14:textId="5F415E68" w:rsidR="002F2336" w:rsidRPr="00794BA1" w:rsidRDefault="002F2336" w:rsidP="002F2336">
            <w:pPr>
              <w:jc w:val="center"/>
              <w:rPr>
                <w:color w:val="000000" w:themeColor="text1"/>
              </w:rPr>
            </w:pPr>
            <w:r w:rsidRPr="00794BA1">
              <w:rPr>
                <w:color w:val="000000" w:themeColor="text1"/>
              </w:rPr>
              <w:t>90.00%</w:t>
            </w:r>
          </w:p>
        </w:tc>
        <w:tc>
          <w:tcPr>
            <w:tcW w:w="777" w:type="pct"/>
            <w:vAlign w:val="center"/>
          </w:tcPr>
          <w:p w14:paraId="280A04B9" w14:textId="69CF94DE" w:rsidR="002F2336" w:rsidRPr="00794BA1" w:rsidRDefault="002F2336" w:rsidP="002F2336">
            <w:pPr>
              <w:jc w:val="center"/>
              <w:rPr>
                <w:color w:val="000000" w:themeColor="text1"/>
              </w:rPr>
            </w:pPr>
            <w:r w:rsidRPr="00794BA1">
              <w:rPr>
                <w:color w:val="000000" w:themeColor="text1"/>
              </w:rPr>
              <w:t>90.00%</w:t>
            </w:r>
          </w:p>
        </w:tc>
        <w:tc>
          <w:tcPr>
            <w:tcW w:w="776" w:type="pct"/>
            <w:vAlign w:val="center"/>
          </w:tcPr>
          <w:p w14:paraId="625BC39F" w14:textId="5B8F07BA" w:rsidR="002F2336" w:rsidRPr="00794BA1" w:rsidRDefault="002F2336" w:rsidP="002F2336">
            <w:pPr>
              <w:jc w:val="center"/>
              <w:rPr>
                <w:color w:val="000000" w:themeColor="text1"/>
              </w:rPr>
            </w:pPr>
            <w:r w:rsidRPr="00794BA1">
              <w:rPr>
                <w:color w:val="000000" w:themeColor="text1"/>
              </w:rPr>
              <w:t>90.00%</w:t>
            </w:r>
          </w:p>
        </w:tc>
      </w:tr>
      <w:tr w:rsidR="002F2336" w:rsidRPr="00ED172B" w14:paraId="710D542D" w14:textId="756C8AD1" w:rsidTr="00F85A5B">
        <w:trPr>
          <w:trHeight w:val="357"/>
        </w:trPr>
        <w:tc>
          <w:tcPr>
            <w:tcW w:w="336" w:type="pct"/>
            <w:shd w:val="clear" w:color="auto" w:fill="auto"/>
          </w:tcPr>
          <w:p w14:paraId="557BCF0C" w14:textId="6B9B0AD0" w:rsidR="002F2336" w:rsidRPr="00ED172B" w:rsidRDefault="002F2336" w:rsidP="002F2336">
            <w:pPr>
              <w:rPr>
                <w:rFonts w:cs="Arial"/>
                <w:color w:val="000000" w:themeColor="text1"/>
                <w:szCs w:val="16"/>
              </w:rPr>
            </w:pPr>
            <w:r w:rsidRPr="00ED172B">
              <w:rPr>
                <w:rFonts w:cs="Arial"/>
                <w:color w:val="000000" w:themeColor="text1"/>
                <w:szCs w:val="16"/>
              </w:rPr>
              <w:t>Target B&gt;=</w:t>
            </w:r>
          </w:p>
        </w:tc>
        <w:tc>
          <w:tcPr>
            <w:tcW w:w="779" w:type="pct"/>
            <w:shd w:val="clear" w:color="auto" w:fill="auto"/>
            <w:vAlign w:val="center"/>
          </w:tcPr>
          <w:p w14:paraId="2EE14986" w14:textId="19D08E1A" w:rsidR="002F2336" w:rsidRPr="00ED172B" w:rsidRDefault="002F2336" w:rsidP="002F2336">
            <w:pPr>
              <w:jc w:val="center"/>
              <w:rPr>
                <w:color w:val="000000" w:themeColor="text1"/>
              </w:rPr>
            </w:pPr>
            <w:r w:rsidRPr="00ED172B">
              <w:rPr>
                <w:color w:val="000000" w:themeColor="text1"/>
              </w:rPr>
              <w:t>85.00%</w:t>
            </w:r>
          </w:p>
        </w:tc>
        <w:tc>
          <w:tcPr>
            <w:tcW w:w="777" w:type="pct"/>
            <w:vAlign w:val="center"/>
          </w:tcPr>
          <w:p w14:paraId="45E8EA8A" w14:textId="192846CF" w:rsidR="002F2336" w:rsidRPr="00794BA1" w:rsidRDefault="002F2336" w:rsidP="002F2336">
            <w:pPr>
              <w:jc w:val="center"/>
              <w:rPr>
                <w:color w:val="000000" w:themeColor="text1"/>
              </w:rPr>
            </w:pPr>
            <w:r w:rsidRPr="00794BA1">
              <w:rPr>
                <w:color w:val="000000" w:themeColor="text1"/>
              </w:rPr>
              <w:t>85.00%</w:t>
            </w:r>
          </w:p>
        </w:tc>
        <w:tc>
          <w:tcPr>
            <w:tcW w:w="777" w:type="pct"/>
            <w:vAlign w:val="center"/>
          </w:tcPr>
          <w:p w14:paraId="137A8927" w14:textId="39313DAE" w:rsidR="002F2336" w:rsidRPr="00794BA1" w:rsidRDefault="002F2336" w:rsidP="002F2336">
            <w:pPr>
              <w:jc w:val="center"/>
              <w:rPr>
                <w:color w:val="000000" w:themeColor="text1"/>
              </w:rPr>
            </w:pPr>
            <w:r w:rsidRPr="00794BA1">
              <w:rPr>
                <w:color w:val="000000" w:themeColor="text1"/>
              </w:rPr>
              <w:t>85.00%</w:t>
            </w:r>
          </w:p>
        </w:tc>
        <w:tc>
          <w:tcPr>
            <w:tcW w:w="777" w:type="pct"/>
            <w:vAlign w:val="center"/>
          </w:tcPr>
          <w:p w14:paraId="4F3E4B3B" w14:textId="311804D1" w:rsidR="002F2336" w:rsidRPr="00794BA1" w:rsidRDefault="002F2336" w:rsidP="002F2336">
            <w:pPr>
              <w:jc w:val="center"/>
              <w:rPr>
                <w:color w:val="000000" w:themeColor="text1"/>
              </w:rPr>
            </w:pPr>
            <w:r w:rsidRPr="00794BA1">
              <w:rPr>
                <w:color w:val="000000" w:themeColor="text1"/>
              </w:rPr>
              <w:t>85.50%</w:t>
            </w:r>
          </w:p>
        </w:tc>
        <w:tc>
          <w:tcPr>
            <w:tcW w:w="777" w:type="pct"/>
            <w:vAlign w:val="center"/>
          </w:tcPr>
          <w:p w14:paraId="23D8E928" w14:textId="017DA025" w:rsidR="002F2336" w:rsidRPr="00794BA1" w:rsidRDefault="002F2336" w:rsidP="002F2336">
            <w:pPr>
              <w:jc w:val="center"/>
              <w:rPr>
                <w:color w:val="000000" w:themeColor="text1"/>
              </w:rPr>
            </w:pPr>
            <w:r w:rsidRPr="00794BA1">
              <w:rPr>
                <w:color w:val="000000" w:themeColor="text1"/>
              </w:rPr>
              <w:t>85.50%</w:t>
            </w:r>
          </w:p>
        </w:tc>
        <w:tc>
          <w:tcPr>
            <w:tcW w:w="776" w:type="pct"/>
            <w:vAlign w:val="center"/>
          </w:tcPr>
          <w:p w14:paraId="60166EE2" w14:textId="4B75533A" w:rsidR="002F2336" w:rsidRPr="00794BA1" w:rsidRDefault="002F2336" w:rsidP="002F2336">
            <w:pPr>
              <w:jc w:val="center"/>
              <w:rPr>
                <w:color w:val="000000" w:themeColor="text1"/>
              </w:rPr>
            </w:pPr>
            <w:r w:rsidRPr="00794BA1">
              <w:rPr>
                <w:color w:val="000000" w:themeColor="text1"/>
              </w:rPr>
              <w:t>85.50%</w:t>
            </w:r>
          </w:p>
        </w:tc>
      </w:tr>
      <w:tr w:rsidR="002F2336" w:rsidRPr="00ED172B" w14:paraId="6BF95698" w14:textId="57A8B0C9" w:rsidTr="00F85A5B">
        <w:trPr>
          <w:trHeight w:val="357"/>
        </w:trPr>
        <w:tc>
          <w:tcPr>
            <w:tcW w:w="336" w:type="pct"/>
            <w:shd w:val="clear" w:color="auto" w:fill="auto"/>
          </w:tcPr>
          <w:p w14:paraId="27634074" w14:textId="35FAB710" w:rsidR="002F2336" w:rsidRPr="00ED172B" w:rsidRDefault="002F2336" w:rsidP="002F2336">
            <w:pPr>
              <w:rPr>
                <w:rFonts w:cs="Arial"/>
                <w:color w:val="000000" w:themeColor="text1"/>
                <w:szCs w:val="16"/>
              </w:rPr>
            </w:pPr>
            <w:r w:rsidRPr="00ED172B">
              <w:rPr>
                <w:rFonts w:cs="Arial"/>
                <w:color w:val="000000" w:themeColor="text1"/>
                <w:szCs w:val="16"/>
              </w:rPr>
              <w:t>Target C&gt;=</w:t>
            </w:r>
          </w:p>
        </w:tc>
        <w:tc>
          <w:tcPr>
            <w:tcW w:w="779" w:type="pct"/>
            <w:shd w:val="clear" w:color="auto" w:fill="auto"/>
            <w:vAlign w:val="center"/>
          </w:tcPr>
          <w:p w14:paraId="51F920AE" w14:textId="186AEDBE" w:rsidR="002F2336" w:rsidRPr="00ED172B" w:rsidRDefault="002F2336" w:rsidP="002F2336">
            <w:pPr>
              <w:jc w:val="center"/>
              <w:rPr>
                <w:color w:val="000000" w:themeColor="text1"/>
              </w:rPr>
            </w:pPr>
            <w:r w:rsidRPr="00ED172B">
              <w:rPr>
                <w:color w:val="000000" w:themeColor="text1"/>
              </w:rPr>
              <w:t>93.00%</w:t>
            </w:r>
          </w:p>
        </w:tc>
        <w:tc>
          <w:tcPr>
            <w:tcW w:w="777" w:type="pct"/>
            <w:vAlign w:val="center"/>
          </w:tcPr>
          <w:p w14:paraId="29A82995" w14:textId="6F06C337" w:rsidR="002F2336" w:rsidRPr="00794BA1" w:rsidRDefault="002F2336" w:rsidP="002F2336">
            <w:pPr>
              <w:jc w:val="center"/>
              <w:rPr>
                <w:color w:val="000000" w:themeColor="text1"/>
              </w:rPr>
            </w:pPr>
            <w:r w:rsidRPr="00794BA1">
              <w:rPr>
                <w:color w:val="000000" w:themeColor="text1"/>
              </w:rPr>
              <w:t>93.00%</w:t>
            </w:r>
          </w:p>
        </w:tc>
        <w:tc>
          <w:tcPr>
            <w:tcW w:w="777" w:type="pct"/>
            <w:vAlign w:val="center"/>
          </w:tcPr>
          <w:p w14:paraId="3350033C" w14:textId="717C16E7" w:rsidR="002F2336" w:rsidRPr="00794BA1" w:rsidRDefault="002F2336" w:rsidP="002F2336">
            <w:pPr>
              <w:jc w:val="center"/>
              <w:rPr>
                <w:color w:val="000000" w:themeColor="text1"/>
              </w:rPr>
            </w:pPr>
            <w:r w:rsidRPr="00794BA1">
              <w:rPr>
                <w:color w:val="000000" w:themeColor="text1"/>
              </w:rPr>
              <w:t>93.50%</w:t>
            </w:r>
          </w:p>
        </w:tc>
        <w:tc>
          <w:tcPr>
            <w:tcW w:w="777" w:type="pct"/>
            <w:vAlign w:val="center"/>
          </w:tcPr>
          <w:p w14:paraId="5AA59638" w14:textId="40879AEC" w:rsidR="002F2336" w:rsidRPr="00794BA1" w:rsidRDefault="002F2336" w:rsidP="002F2336">
            <w:pPr>
              <w:jc w:val="center"/>
              <w:rPr>
                <w:color w:val="000000" w:themeColor="text1"/>
              </w:rPr>
            </w:pPr>
            <w:r w:rsidRPr="00794BA1">
              <w:rPr>
                <w:color w:val="000000" w:themeColor="text1"/>
              </w:rPr>
              <w:t>93.50%</w:t>
            </w:r>
          </w:p>
        </w:tc>
        <w:tc>
          <w:tcPr>
            <w:tcW w:w="777" w:type="pct"/>
            <w:vAlign w:val="center"/>
          </w:tcPr>
          <w:p w14:paraId="1D80D9B5" w14:textId="2D4F2514" w:rsidR="002F2336" w:rsidRPr="00794BA1" w:rsidRDefault="002F2336" w:rsidP="002F2336">
            <w:pPr>
              <w:jc w:val="center"/>
              <w:rPr>
                <w:color w:val="000000" w:themeColor="text1"/>
              </w:rPr>
            </w:pPr>
            <w:r w:rsidRPr="00794BA1">
              <w:rPr>
                <w:color w:val="000000" w:themeColor="text1"/>
              </w:rPr>
              <w:t>94.00%</w:t>
            </w:r>
          </w:p>
        </w:tc>
        <w:tc>
          <w:tcPr>
            <w:tcW w:w="776" w:type="pct"/>
            <w:vAlign w:val="center"/>
          </w:tcPr>
          <w:p w14:paraId="7D93034E" w14:textId="504E45D5" w:rsidR="002F2336" w:rsidRPr="00794BA1" w:rsidRDefault="002F2336" w:rsidP="002F2336">
            <w:pPr>
              <w:jc w:val="center"/>
              <w:rPr>
                <w:color w:val="000000" w:themeColor="text1"/>
              </w:rPr>
            </w:pPr>
            <w:r w:rsidRPr="00794BA1">
              <w:rPr>
                <w:color w:val="000000" w:themeColor="text1"/>
              </w:rPr>
              <w:t>94.00%</w:t>
            </w:r>
          </w:p>
        </w:tc>
      </w:tr>
    </w:tbl>
    <w:bookmarkEnd w:id="25"/>
    <w:p w14:paraId="270AB339" w14:textId="11E04D22" w:rsidR="00F80C9C" w:rsidRDefault="00F80C9C" w:rsidP="00B83404">
      <w:pPr>
        <w:rPr>
          <w:b/>
          <w:color w:val="000000" w:themeColor="text1"/>
        </w:rPr>
      </w:pPr>
      <w:r w:rsidRPr="00ED172B">
        <w:rPr>
          <w:b/>
          <w:color w:val="000000" w:themeColor="text1"/>
        </w:rPr>
        <w:t xml:space="preserve">Targets: Description of Stakeholder Input </w:t>
      </w:r>
    </w:p>
    <w:p w14:paraId="778B16FF" w14:textId="110BF975" w:rsidR="00C57F17" w:rsidRDefault="00CF03E0" w:rsidP="00CF03E0">
      <w:pPr>
        <w:rPr>
          <w:color w:val="000000" w:themeColor="text1"/>
        </w:rPr>
      </w:pPr>
      <w:r w:rsidRPr="00ED172B">
        <w:rPr>
          <w:color w:val="000000" w:themeColor="text1"/>
        </w:rPr>
        <w:t>The State Interagency Coordinating Council (ICC) serves as the primary stakeholder body for MA-C. ICC provides feedback to develop state targets, identify areas of need, and help recommend additional data analysis to improve MA-C performance. The ICC is comprised of 41 appointed members with variation in level of experience, discipline, role, geographic location across the Commonwealth, and race/ethnicity. Additionally, the ICC meetings are made available to the public and agendas and meeting links are published on MA-C's website and advertised through by the Parent Training and Information Center.</w:t>
      </w:r>
    </w:p>
    <w:p w14:paraId="7519933C" w14:textId="63B27792" w:rsidR="006902F0" w:rsidRPr="00ED172B" w:rsidRDefault="006902F0" w:rsidP="00B83404">
      <w:pPr>
        <w:rPr>
          <w:color w:val="000000" w:themeColor="text1"/>
        </w:rPr>
      </w:pPr>
      <w:r w:rsidRPr="00ED172B">
        <w:rPr>
          <w:rFonts w:cs="Arial"/>
          <w:color w:val="000000" w:themeColor="text1"/>
          <w:szCs w:val="16"/>
        </w:rPr>
        <w:t xml:space="preserve">Target setting for Indicator 4 took place during an ICC meeting. The Part C Coordinator presented data on MA-C's performance on indicator 4 for the past five FFYs relative to the targets, answered questions about the data, and then solicited recommendations from the attendees. </w:t>
      </w:r>
      <w:r w:rsidRPr="00ED172B">
        <w:rPr>
          <w:rFonts w:cs="Arial"/>
          <w:color w:val="000000" w:themeColor="text1"/>
          <w:szCs w:val="16"/>
        </w:rPr>
        <w:br/>
      </w:r>
      <w:r w:rsidRPr="00ED172B">
        <w:rPr>
          <w:rFonts w:cs="Arial"/>
          <w:color w:val="000000" w:themeColor="text1"/>
          <w:szCs w:val="16"/>
        </w:rPr>
        <w:br/>
        <w:t>For Indicator 4A, 16 attendees responded (eight providers, three parent members, and five representatives from other state agencies). Two state agency representatives, including one MA-C employee, recommended that targets be set higher than prior years. Others recommended targets be initially lowered to 85% and increased to a higher than previously set target over the next five FFYs. Parent members recommended that targets be reduced to 85% and slowly increased over the next three FFYs and encouraged MA-C to end with a higher target than previously set. Six of the provider members recommended the target be lowered to 85% and maintained over the next five FFYs. Two provider members recommended the targets all be set higher for each of the years.</w:t>
      </w:r>
      <w:r w:rsidRPr="00ED172B">
        <w:rPr>
          <w:rFonts w:cs="Arial"/>
          <w:color w:val="000000" w:themeColor="text1"/>
          <w:szCs w:val="16"/>
        </w:rPr>
        <w:br/>
      </w:r>
      <w:r w:rsidRPr="00ED172B">
        <w:rPr>
          <w:rFonts w:cs="Arial"/>
          <w:color w:val="000000" w:themeColor="text1"/>
          <w:szCs w:val="16"/>
        </w:rPr>
        <w:br/>
        <w:t>For Indicator 4B, 13 attendees responded (six providers, two parent members, and five representatives from other state agencies). State agency representatives, including one MA-C employee, recommended that targets be set higher than prior years. Family members recommended that targets be slowly increased over the next five FFYs and encouraged MA-C to end with a higher target than previously set. Two of the provider members recommended the target be lowered to 80% and be sustained at 80% for the next five FFYs. Others recommended targets be lowered and increase by 0.5% year over year. One provider member recommended something higher for each of the years.</w:t>
      </w:r>
      <w:r w:rsidRPr="00ED172B">
        <w:rPr>
          <w:rFonts w:cs="Arial"/>
          <w:color w:val="000000" w:themeColor="text1"/>
          <w:szCs w:val="16"/>
        </w:rPr>
        <w:br/>
      </w:r>
      <w:r w:rsidRPr="00ED172B">
        <w:rPr>
          <w:rFonts w:cs="Arial"/>
          <w:color w:val="000000" w:themeColor="text1"/>
          <w:szCs w:val="16"/>
        </w:rPr>
        <w:br/>
        <w:t>For Indicator 4C, 16 attendees responded (seven providers, three parent members, and six representatives from other state agencies). Two state agency representatives, including one MA-C employee, recommended that targets be set higher than prior years. Others recommended targets be initially lowered to 90.5% and increased to a higher than previously set target over the next five FFYs. Family members recommended that targets be slowly increased over the next three FFYs and encouraged MA-C to end with a higher target than previously set. Five of the provider members recommended the target be lowered to 90.5% and either maintained or increased to 91.5% over the next five FFYs. Others recommended targets be lowered and increase by 0.5% year over year. Two provider members recommended the targets all be set higher for each of the years.</w:t>
      </w:r>
      <w:r w:rsidRPr="00ED172B">
        <w:rPr>
          <w:rFonts w:cs="Arial"/>
          <w:color w:val="000000" w:themeColor="text1"/>
          <w:szCs w:val="16"/>
        </w:rPr>
        <w:br/>
      </w:r>
      <w:r w:rsidRPr="00ED172B">
        <w:rPr>
          <w:rFonts w:cs="Arial"/>
          <w:color w:val="000000" w:themeColor="text1"/>
          <w:szCs w:val="16"/>
        </w:rPr>
        <w:br/>
        <w:t xml:space="preserve">Results of target setting responses demonstrate significantly varied responses among different stakeholders. As Part C services place the child and family in the center of every conversation, MA-C has weighted recommendations from its ICC Parent members more heavily than others. For this reason, MA-C has established targets that continue to show improvement over baseline and will seek to implement improvement strategies in the next FFY before proposing lowering its targets. MA-C does acknowledge that its baseline was established 16 years ago and may warrant a reset in an upcoming FFY. </w:t>
      </w:r>
    </w:p>
    <w:p w14:paraId="3FB4EB9B" w14:textId="77777777" w:rsidR="007011EC" w:rsidRPr="00ED172B" w:rsidRDefault="007011EC" w:rsidP="00F80C9C">
      <w:pPr>
        <w:rPr>
          <w:rFonts w:cs="Arial"/>
          <w:color w:val="000000" w:themeColor="text1"/>
          <w:szCs w:val="16"/>
        </w:rPr>
      </w:pPr>
    </w:p>
    <w:p w14:paraId="03DEBF84" w14:textId="3D609519" w:rsidR="004D140B" w:rsidRPr="00ED172B" w:rsidRDefault="00F22D09">
      <w:pPr>
        <w:rPr>
          <w:b/>
          <w:color w:val="000000" w:themeColor="text1"/>
        </w:rPr>
      </w:pPr>
      <w:r>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9355"/>
        <w:gridCol w:w="1435"/>
      </w:tblGrid>
      <w:tr w:rsidR="00ED172B" w:rsidRPr="00ED172B" w14:paraId="7CF5FFDA" w14:textId="77777777" w:rsidTr="00186420">
        <w:trPr>
          <w:trHeight w:val="20"/>
        </w:trPr>
        <w:tc>
          <w:tcPr>
            <w:tcW w:w="4335" w:type="pct"/>
            <w:vAlign w:val="center"/>
          </w:tcPr>
          <w:p w14:paraId="50E8DD0E" w14:textId="73F06C36" w:rsidR="00FB7AE9" w:rsidRPr="00ED172B" w:rsidRDefault="004E1A9D" w:rsidP="00FB7AE9">
            <w:pPr>
              <w:rPr>
                <w:rFonts w:cs="Arial"/>
                <w:color w:val="000000" w:themeColor="text1"/>
                <w:szCs w:val="16"/>
              </w:rPr>
            </w:pPr>
            <w:bookmarkStart w:id="26" w:name="_Toc392159275"/>
            <w:bookmarkStart w:id="27" w:name="_Toc382082367"/>
            <w:bookmarkStart w:id="28" w:name="_Toc392159276"/>
            <w:r w:rsidRPr="00ED172B">
              <w:rPr>
                <w:rFonts w:cs="Arial"/>
                <w:color w:val="000000" w:themeColor="text1"/>
                <w:szCs w:val="16"/>
              </w:rPr>
              <w:t>The number of families to whom surveys were distributed</w:t>
            </w:r>
          </w:p>
        </w:tc>
        <w:tc>
          <w:tcPr>
            <w:tcW w:w="665" w:type="pct"/>
            <w:shd w:val="clear" w:color="auto" w:fill="auto"/>
            <w:vAlign w:val="center"/>
          </w:tcPr>
          <w:p w14:paraId="10753EC7" w14:textId="6340230F" w:rsidR="00FB7AE9" w:rsidRPr="00ED172B" w:rsidRDefault="00860830" w:rsidP="00FB7AE9">
            <w:pPr>
              <w:jc w:val="center"/>
              <w:rPr>
                <w:rFonts w:cs="Arial"/>
                <w:color w:val="000000" w:themeColor="text1"/>
                <w:szCs w:val="16"/>
              </w:rPr>
            </w:pPr>
            <w:r w:rsidRPr="00ED172B">
              <w:rPr>
                <w:rFonts w:cs="Arial"/>
                <w:color w:val="000000" w:themeColor="text1"/>
                <w:szCs w:val="16"/>
              </w:rPr>
              <w:t>8,283</w:t>
            </w:r>
          </w:p>
        </w:tc>
      </w:tr>
      <w:tr w:rsidR="00ED172B" w:rsidRPr="00ED172B" w14:paraId="7D7B5A24" w14:textId="77777777" w:rsidTr="00186420">
        <w:trPr>
          <w:trHeight w:val="20"/>
        </w:trPr>
        <w:tc>
          <w:tcPr>
            <w:tcW w:w="4335" w:type="pct"/>
            <w:vAlign w:val="center"/>
          </w:tcPr>
          <w:p w14:paraId="6757BA20" w14:textId="250306C2"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shd w:val="clear" w:color="auto" w:fill="auto"/>
            <w:vAlign w:val="center"/>
          </w:tcPr>
          <w:p w14:paraId="41A54CAD" w14:textId="13D81D66" w:rsidR="004E1A9D" w:rsidRPr="00ED172B" w:rsidRDefault="00860830" w:rsidP="00014550">
            <w:pPr>
              <w:jc w:val="center"/>
              <w:rPr>
                <w:rFonts w:cs="Arial"/>
                <w:color w:val="000000" w:themeColor="text1"/>
                <w:szCs w:val="16"/>
              </w:rPr>
            </w:pPr>
            <w:r w:rsidRPr="00ED172B">
              <w:rPr>
                <w:rFonts w:cs="Arial"/>
                <w:color w:val="000000" w:themeColor="text1"/>
                <w:szCs w:val="16"/>
              </w:rPr>
              <w:t>2,458</w:t>
            </w:r>
          </w:p>
        </w:tc>
      </w:tr>
      <w:tr w:rsidR="001B1139" w:rsidRPr="00ED172B" w14:paraId="69355969" w14:textId="77777777" w:rsidTr="00186420">
        <w:trPr>
          <w:trHeight w:val="20"/>
        </w:trPr>
        <w:tc>
          <w:tcPr>
            <w:tcW w:w="4335" w:type="pct"/>
            <w:vAlign w:val="center"/>
          </w:tcPr>
          <w:p w14:paraId="658CA13E" w14:textId="32786A9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shd w:val="clear" w:color="auto" w:fill="auto"/>
            <w:vAlign w:val="center"/>
          </w:tcPr>
          <w:p w14:paraId="5F12A448" w14:textId="772DE88B" w:rsidR="001B1139" w:rsidRPr="00ED172B" w:rsidRDefault="001B1139">
            <w:pPr>
              <w:jc w:val="center"/>
              <w:rPr>
                <w:rFonts w:cs="Arial"/>
                <w:color w:val="000000" w:themeColor="text1"/>
                <w:szCs w:val="16"/>
              </w:rPr>
            </w:pPr>
            <w:r w:rsidRPr="00ED172B">
              <w:rPr>
                <w:rFonts w:cs="Arial"/>
                <w:color w:val="000000" w:themeColor="text1"/>
                <w:szCs w:val="16"/>
              </w:rPr>
              <w:t>29.68%</w:t>
            </w:r>
          </w:p>
        </w:tc>
      </w:tr>
      <w:tr w:rsidR="00ED172B" w:rsidRPr="00ED172B" w14:paraId="63296E14" w14:textId="77777777" w:rsidTr="00186420">
        <w:trPr>
          <w:trHeight w:val="20"/>
        </w:trPr>
        <w:tc>
          <w:tcPr>
            <w:tcW w:w="4335" w:type="pct"/>
            <w:vAlign w:val="center"/>
          </w:tcPr>
          <w:p w14:paraId="04654ACE"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shd w:val="clear" w:color="auto" w:fill="auto"/>
            <w:vAlign w:val="center"/>
          </w:tcPr>
          <w:p w14:paraId="3CF37702" w14:textId="6343E7A0" w:rsidR="003020A9" w:rsidRPr="00ED172B" w:rsidRDefault="00860830">
            <w:pPr>
              <w:jc w:val="center"/>
              <w:rPr>
                <w:rFonts w:cs="Arial"/>
                <w:color w:val="000000" w:themeColor="text1"/>
                <w:szCs w:val="16"/>
              </w:rPr>
            </w:pPr>
            <w:r w:rsidRPr="00ED172B">
              <w:rPr>
                <w:rFonts w:cs="Arial"/>
                <w:color w:val="000000" w:themeColor="text1"/>
                <w:szCs w:val="16"/>
              </w:rPr>
              <w:t>2,034</w:t>
            </w:r>
          </w:p>
        </w:tc>
      </w:tr>
      <w:tr w:rsidR="00ED172B" w:rsidRPr="00ED172B" w14:paraId="7780BD4B" w14:textId="77777777" w:rsidTr="00186420">
        <w:trPr>
          <w:trHeight w:val="20"/>
        </w:trPr>
        <w:tc>
          <w:tcPr>
            <w:tcW w:w="4335" w:type="pct"/>
            <w:vAlign w:val="center"/>
          </w:tcPr>
          <w:p w14:paraId="4770D3C0"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shd w:val="clear" w:color="auto" w:fill="auto"/>
            <w:vAlign w:val="center"/>
          </w:tcPr>
          <w:p w14:paraId="4E784876" w14:textId="5BCB03DD" w:rsidR="003020A9" w:rsidRPr="00ED172B" w:rsidRDefault="00860830">
            <w:pPr>
              <w:jc w:val="center"/>
              <w:rPr>
                <w:rFonts w:cs="Arial"/>
                <w:color w:val="000000" w:themeColor="text1"/>
                <w:szCs w:val="16"/>
              </w:rPr>
            </w:pPr>
            <w:r w:rsidRPr="00ED172B">
              <w:rPr>
                <w:rFonts w:cs="Arial"/>
                <w:color w:val="000000" w:themeColor="text1"/>
                <w:szCs w:val="16"/>
              </w:rPr>
              <w:t>2,458</w:t>
            </w:r>
          </w:p>
        </w:tc>
      </w:tr>
      <w:tr w:rsidR="00ED172B" w:rsidRPr="00ED172B" w14:paraId="010778F2" w14:textId="77777777" w:rsidTr="00186420">
        <w:trPr>
          <w:trHeight w:val="20"/>
        </w:trPr>
        <w:tc>
          <w:tcPr>
            <w:tcW w:w="4335" w:type="pct"/>
            <w:vAlign w:val="center"/>
          </w:tcPr>
          <w:p w14:paraId="20EACBB4"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shd w:val="clear" w:color="auto" w:fill="auto"/>
            <w:vAlign w:val="center"/>
          </w:tcPr>
          <w:p w14:paraId="6A9569C4" w14:textId="00B4F355" w:rsidR="003020A9" w:rsidRPr="00ED172B" w:rsidRDefault="00860830">
            <w:pPr>
              <w:jc w:val="center"/>
              <w:rPr>
                <w:rFonts w:cs="Arial"/>
                <w:color w:val="000000" w:themeColor="text1"/>
                <w:szCs w:val="16"/>
              </w:rPr>
            </w:pPr>
            <w:r w:rsidRPr="00ED172B">
              <w:rPr>
                <w:rFonts w:cs="Arial"/>
                <w:color w:val="000000" w:themeColor="text1"/>
                <w:szCs w:val="16"/>
              </w:rPr>
              <w:t>1,929</w:t>
            </w:r>
          </w:p>
        </w:tc>
      </w:tr>
      <w:tr w:rsidR="00ED172B" w:rsidRPr="00ED172B" w14:paraId="43E02E1C" w14:textId="77777777" w:rsidTr="00186420">
        <w:trPr>
          <w:trHeight w:val="20"/>
        </w:trPr>
        <w:tc>
          <w:tcPr>
            <w:tcW w:w="4335" w:type="pct"/>
            <w:vAlign w:val="center"/>
          </w:tcPr>
          <w:p w14:paraId="16B78F3E"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shd w:val="clear" w:color="auto" w:fill="auto"/>
            <w:vAlign w:val="center"/>
          </w:tcPr>
          <w:p w14:paraId="1AFF0143" w14:textId="2C04B4A6" w:rsidR="003020A9" w:rsidRPr="00ED172B" w:rsidRDefault="00860830">
            <w:pPr>
              <w:jc w:val="center"/>
              <w:rPr>
                <w:rFonts w:cs="Arial"/>
                <w:color w:val="000000" w:themeColor="text1"/>
                <w:szCs w:val="16"/>
              </w:rPr>
            </w:pPr>
            <w:r w:rsidRPr="00ED172B">
              <w:rPr>
                <w:rFonts w:cs="Arial"/>
                <w:color w:val="000000" w:themeColor="text1"/>
                <w:szCs w:val="16"/>
              </w:rPr>
              <w:t>2,458</w:t>
            </w:r>
          </w:p>
        </w:tc>
      </w:tr>
      <w:tr w:rsidR="00ED172B" w:rsidRPr="00ED172B" w14:paraId="360545F6" w14:textId="77777777" w:rsidTr="00186420">
        <w:trPr>
          <w:trHeight w:val="20"/>
        </w:trPr>
        <w:tc>
          <w:tcPr>
            <w:tcW w:w="4335" w:type="pct"/>
            <w:vAlign w:val="center"/>
          </w:tcPr>
          <w:p w14:paraId="0A55C44D" w14:textId="77777777" w:rsidR="003020A9" w:rsidRPr="00ED172B" w:rsidRDefault="003020A9">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shd w:val="clear" w:color="auto" w:fill="auto"/>
            <w:vAlign w:val="center"/>
          </w:tcPr>
          <w:p w14:paraId="17586AC8" w14:textId="6257CCE2" w:rsidR="003020A9" w:rsidRPr="00ED172B" w:rsidRDefault="00860830">
            <w:pPr>
              <w:jc w:val="center"/>
              <w:rPr>
                <w:rFonts w:cs="Arial"/>
                <w:color w:val="000000" w:themeColor="text1"/>
                <w:szCs w:val="16"/>
              </w:rPr>
            </w:pPr>
            <w:r w:rsidRPr="00ED172B">
              <w:rPr>
                <w:rFonts w:cs="Arial"/>
                <w:color w:val="000000" w:themeColor="text1"/>
                <w:szCs w:val="16"/>
              </w:rPr>
              <w:t>2,232</w:t>
            </w:r>
          </w:p>
        </w:tc>
      </w:tr>
      <w:tr w:rsidR="003020A9" w:rsidRPr="00ED172B" w14:paraId="272352BF" w14:textId="77777777" w:rsidTr="00186420">
        <w:trPr>
          <w:trHeight w:val="20"/>
        </w:trPr>
        <w:tc>
          <w:tcPr>
            <w:tcW w:w="4335" w:type="pct"/>
            <w:vAlign w:val="center"/>
          </w:tcPr>
          <w:p w14:paraId="0359B6E7"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shd w:val="clear" w:color="auto" w:fill="auto"/>
            <w:vAlign w:val="center"/>
          </w:tcPr>
          <w:p w14:paraId="23CA68CD" w14:textId="2ACF88D5" w:rsidR="003020A9" w:rsidRPr="00ED172B" w:rsidRDefault="00860830">
            <w:pPr>
              <w:jc w:val="center"/>
              <w:rPr>
                <w:rFonts w:cs="Arial"/>
                <w:color w:val="000000" w:themeColor="text1"/>
                <w:szCs w:val="16"/>
              </w:rPr>
            </w:pPr>
            <w:r w:rsidRPr="00ED172B">
              <w:rPr>
                <w:rFonts w:cs="Arial"/>
                <w:color w:val="000000" w:themeColor="text1"/>
                <w:szCs w:val="16"/>
              </w:rPr>
              <w:t>2,458</w:t>
            </w:r>
          </w:p>
        </w:tc>
      </w:tr>
    </w:tbl>
    <w:p w14:paraId="112A2DCD"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221241BE" w14:textId="35E47FC2" w:rsidTr="00986B99">
        <w:trPr>
          <w:trHeight w:val="354"/>
          <w:tblHeader/>
        </w:trPr>
        <w:tc>
          <w:tcPr>
            <w:tcW w:w="2041" w:type="pct"/>
            <w:shd w:val="clear" w:color="auto" w:fill="auto"/>
            <w:vAlign w:val="bottom"/>
          </w:tcPr>
          <w:p w14:paraId="1A2BBEBB" w14:textId="10BECCDD" w:rsidR="004B755C" w:rsidRPr="004B3BC6" w:rsidRDefault="00164FFE" w:rsidP="00A40EE1">
            <w:pPr>
              <w:rPr>
                <w:rFonts w:cs="Arial"/>
                <w:b/>
                <w:bCs/>
                <w:color w:val="000000" w:themeColor="text1"/>
                <w:szCs w:val="16"/>
              </w:rPr>
            </w:pPr>
            <w:r w:rsidRPr="004B3BC6">
              <w:rPr>
                <w:rFonts w:cs="Arial"/>
                <w:b/>
                <w:bCs/>
                <w:color w:val="000000" w:themeColor="text1"/>
                <w:szCs w:val="16"/>
              </w:rPr>
              <w:lastRenderedPageBreak/>
              <w:t>Measure</w:t>
            </w:r>
          </w:p>
        </w:tc>
        <w:tc>
          <w:tcPr>
            <w:tcW w:w="626" w:type="pct"/>
            <w:shd w:val="clear" w:color="auto" w:fill="auto"/>
            <w:vAlign w:val="bottom"/>
          </w:tcPr>
          <w:p w14:paraId="1B40DAB0" w14:textId="3D44B0A1" w:rsidR="004B755C" w:rsidRPr="00ED172B" w:rsidRDefault="00CD74B5" w:rsidP="004B755C">
            <w:pPr>
              <w:jc w:val="center"/>
              <w:rPr>
                <w:rFonts w:cs="Arial"/>
                <w:b/>
                <w:color w:val="000000" w:themeColor="text1"/>
                <w:szCs w:val="16"/>
              </w:rPr>
            </w:pPr>
            <w:r>
              <w:rPr>
                <w:rFonts w:cs="Arial"/>
                <w:b/>
                <w:color w:val="000000" w:themeColor="text1"/>
                <w:szCs w:val="16"/>
              </w:rPr>
              <w:t>FFY 2019 Data</w:t>
            </w:r>
          </w:p>
        </w:tc>
        <w:tc>
          <w:tcPr>
            <w:tcW w:w="626" w:type="pct"/>
            <w:shd w:val="clear" w:color="auto" w:fill="auto"/>
            <w:vAlign w:val="bottom"/>
          </w:tcPr>
          <w:p w14:paraId="68283261" w14:textId="0F38F472" w:rsidR="004B755C" w:rsidRPr="00ED172B" w:rsidRDefault="00F22D09" w:rsidP="004B755C">
            <w:pPr>
              <w:jc w:val="center"/>
              <w:rPr>
                <w:rFonts w:cs="Arial"/>
                <w:b/>
                <w:color w:val="000000" w:themeColor="text1"/>
                <w:szCs w:val="16"/>
              </w:rPr>
            </w:pPr>
            <w:r>
              <w:rPr>
                <w:rFonts w:cs="Arial"/>
                <w:b/>
                <w:color w:val="000000" w:themeColor="text1"/>
                <w:szCs w:val="16"/>
              </w:rPr>
              <w:t>FFY 2020 Target</w:t>
            </w:r>
          </w:p>
        </w:tc>
        <w:tc>
          <w:tcPr>
            <w:tcW w:w="667" w:type="pct"/>
            <w:shd w:val="clear" w:color="auto" w:fill="auto"/>
            <w:vAlign w:val="bottom"/>
          </w:tcPr>
          <w:p w14:paraId="7105063D" w14:textId="170678BB" w:rsidR="004B755C" w:rsidRPr="00ED172B" w:rsidRDefault="00F22D09" w:rsidP="004B755C">
            <w:pPr>
              <w:jc w:val="center"/>
              <w:rPr>
                <w:rFonts w:cs="Arial"/>
                <w:b/>
                <w:color w:val="000000" w:themeColor="text1"/>
                <w:szCs w:val="16"/>
              </w:rPr>
            </w:pPr>
            <w:r>
              <w:rPr>
                <w:rFonts w:cs="Arial"/>
                <w:b/>
                <w:color w:val="000000" w:themeColor="text1"/>
                <w:szCs w:val="16"/>
              </w:rPr>
              <w:t>FFY 2020 Data</w:t>
            </w:r>
          </w:p>
        </w:tc>
        <w:tc>
          <w:tcPr>
            <w:tcW w:w="542" w:type="pct"/>
            <w:shd w:val="clear" w:color="auto" w:fill="auto"/>
            <w:vAlign w:val="bottom"/>
          </w:tcPr>
          <w:p w14:paraId="2138E26E" w14:textId="0BC58DF1"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14:paraId="1A05F8D7" w14:textId="0EA325C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58A36728" w14:textId="72280EE5" w:rsidTr="00986B99">
        <w:trPr>
          <w:trHeight w:val="361"/>
        </w:trPr>
        <w:tc>
          <w:tcPr>
            <w:tcW w:w="2041" w:type="pct"/>
            <w:shd w:val="clear" w:color="auto" w:fill="auto"/>
            <w:vAlign w:val="center"/>
          </w:tcPr>
          <w:p w14:paraId="54080A75" w14:textId="7A21D0D2" w:rsidR="00D20529" w:rsidRPr="00ED172B" w:rsidRDefault="00D20529" w:rsidP="00186420">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shd w:val="clear" w:color="auto" w:fill="auto"/>
            <w:vAlign w:val="center"/>
          </w:tcPr>
          <w:p w14:paraId="53860CBC" w14:textId="67D19E7A" w:rsidR="00D20529" w:rsidRPr="00ED172B" w:rsidRDefault="00860830" w:rsidP="00D20529">
            <w:pPr>
              <w:jc w:val="center"/>
              <w:rPr>
                <w:rFonts w:cs="Arial"/>
                <w:color w:val="000000" w:themeColor="text1"/>
                <w:szCs w:val="16"/>
              </w:rPr>
            </w:pPr>
            <w:r w:rsidRPr="00ED172B">
              <w:rPr>
                <w:rFonts w:cs="Arial"/>
                <w:color w:val="000000" w:themeColor="text1"/>
                <w:szCs w:val="16"/>
              </w:rPr>
              <w:t>87.08%</w:t>
            </w:r>
          </w:p>
        </w:tc>
        <w:tc>
          <w:tcPr>
            <w:tcW w:w="626" w:type="pct"/>
            <w:shd w:val="clear" w:color="auto" w:fill="auto"/>
            <w:vAlign w:val="center"/>
          </w:tcPr>
          <w:p w14:paraId="4A24E7CC" w14:textId="4BA3C3ED" w:rsidR="00D20529" w:rsidRPr="00ED172B" w:rsidRDefault="00291EA9" w:rsidP="00291EA9">
            <w:pPr>
              <w:jc w:val="center"/>
              <w:rPr>
                <w:color w:val="000000" w:themeColor="text1"/>
              </w:rPr>
            </w:pPr>
            <w:r w:rsidRPr="00ED172B">
              <w:rPr>
                <w:color w:val="000000" w:themeColor="text1"/>
              </w:rPr>
              <w:t>90.00%</w:t>
            </w:r>
          </w:p>
        </w:tc>
        <w:tc>
          <w:tcPr>
            <w:tcW w:w="667" w:type="pct"/>
            <w:shd w:val="clear" w:color="auto" w:fill="auto"/>
            <w:vAlign w:val="center"/>
          </w:tcPr>
          <w:p w14:paraId="246273A0" w14:textId="58301721" w:rsidR="00D20529" w:rsidRPr="00ED172B" w:rsidRDefault="00860830" w:rsidP="00D20529">
            <w:pPr>
              <w:jc w:val="center"/>
              <w:rPr>
                <w:rFonts w:cs="Arial"/>
                <w:color w:val="000000" w:themeColor="text1"/>
                <w:szCs w:val="16"/>
              </w:rPr>
            </w:pPr>
            <w:r w:rsidRPr="00ED172B">
              <w:rPr>
                <w:rFonts w:cs="Arial"/>
                <w:color w:val="000000" w:themeColor="text1"/>
                <w:szCs w:val="16"/>
              </w:rPr>
              <w:t>82.75%</w:t>
            </w:r>
          </w:p>
        </w:tc>
        <w:tc>
          <w:tcPr>
            <w:tcW w:w="542" w:type="pct"/>
            <w:shd w:val="clear" w:color="auto" w:fill="auto"/>
            <w:vAlign w:val="center"/>
          </w:tcPr>
          <w:p w14:paraId="00FDA845" w14:textId="7C43278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05D04947" w14:textId="2474B95B" w:rsidR="00D20529" w:rsidRPr="00ED172B" w:rsidRDefault="00860830" w:rsidP="00D20529">
            <w:pPr>
              <w:jc w:val="center"/>
              <w:rPr>
                <w:rFonts w:cs="Arial"/>
                <w:color w:val="000000" w:themeColor="text1"/>
                <w:szCs w:val="16"/>
              </w:rPr>
            </w:pPr>
            <w:r w:rsidRPr="00ED172B">
              <w:rPr>
                <w:rFonts w:cs="Arial"/>
                <w:color w:val="000000" w:themeColor="text1"/>
                <w:szCs w:val="16"/>
              </w:rPr>
              <w:t>Slippage</w:t>
            </w:r>
          </w:p>
        </w:tc>
      </w:tr>
      <w:tr w:rsidR="00ED172B" w:rsidRPr="00ED172B" w14:paraId="142BDFFF" w14:textId="2297D36E" w:rsidTr="00986B99">
        <w:trPr>
          <w:trHeight w:val="361"/>
        </w:trPr>
        <w:tc>
          <w:tcPr>
            <w:tcW w:w="2041" w:type="pct"/>
            <w:shd w:val="clear" w:color="auto" w:fill="auto"/>
            <w:vAlign w:val="center"/>
          </w:tcPr>
          <w:p w14:paraId="511B2807" w14:textId="76AC785B"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shd w:val="clear" w:color="auto" w:fill="auto"/>
            <w:vAlign w:val="center"/>
          </w:tcPr>
          <w:p w14:paraId="19DB7BDF" w14:textId="347C4138" w:rsidR="00D20529" w:rsidRPr="00ED172B" w:rsidRDefault="00860830" w:rsidP="00D20529">
            <w:pPr>
              <w:jc w:val="center"/>
              <w:rPr>
                <w:rFonts w:cs="Arial"/>
                <w:color w:val="000000" w:themeColor="text1"/>
                <w:szCs w:val="16"/>
              </w:rPr>
            </w:pPr>
            <w:r w:rsidRPr="00ED172B">
              <w:rPr>
                <w:rFonts w:cs="Arial"/>
                <w:color w:val="000000" w:themeColor="text1"/>
                <w:szCs w:val="16"/>
              </w:rPr>
              <w:t>84.53%</w:t>
            </w:r>
          </w:p>
        </w:tc>
        <w:tc>
          <w:tcPr>
            <w:tcW w:w="626" w:type="pct"/>
            <w:shd w:val="clear" w:color="auto" w:fill="auto"/>
            <w:vAlign w:val="center"/>
          </w:tcPr>
          <w:p w14:paraId="383B5286" w14:textId="71CDE4D7" w:rsidR="00D20529" w:rsidRPr="00ED172B" w:rsidRDefault="00291EA9" w:rsidP="00291EA9">
            <w:pPr>
              <w:jc w:val="center"/>
              <w:rPr>
                <w:color w:val="000000" w:themeColor="text1"/>
              </w:rPr>
            </w:pPr>
            <w:r w:rsidRPr="00ED172B">
              <w:rPr>
                <w:color w:val="000000" w:themeColor="text1"/>
              </w:rPr>
              <w:t>85.00%</w:t>
            </w:r>
          </w:p>
        </w:tc>
        <w:tc>
          <w:tcPr>
            <w:tcW w:w="667" w:type="pct"/>
            <w:shd w:val="clear" w:color="auto" w:fill="auto"/>
            <w:vAlign w:val="center"/>
          </w:tcPr>
          <w:p w14:paraId="790CCA72" w14:textId="2BB057E3" w:rsidR="00D20529" w:rsidRPr="00ED172B" w:rsidRDefault="00860830" w:rsidP="00D20529">
            <w:pPr>
              <w:jc w:val="center"/>
              <w:rPr>
                <w:rFonts w:cs="Arial"/>
                <w:color w:val="000000" w:themeColor="text1"/>
                <w:szCs w:val="16"/>
              </w:rPr>
            </w:pPr>
            <w:r w:rsidRPr="00ED172B">
              <w:rPr>
                <w:rFonts w:cs="Arial"/>
                <w:color w:val="000000" w:themeColor="text1"/>
                <w:szCs w:val="16"/>
              </w:rPr>
              <w:t>78.48%</w:t>
            </w:r>
          </w:p>
        </w:tc>
        <w:tc>
          <w:tcPr>
            <w:tcW w:w="542" w:type="pct"/>
            <w:shd w:val="clear" w:color="auto" w:fill="auto"/>
            <w:vAlign w:val="center"/>
          </w:tcPr>
          <w:p w14:paraId="437AA12B" w14:textId="56F354CF"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3596E400" w14:textId="1417DD93" w:rsidR="00D20529" w:rsidRPr="00ED172B" w:rsidRDefault="00860830" w:rsidP="00D20529">
            <w:pPr>
              <w:jc w:val="center"/>
              <w:rPr>
                <w:rFonts w:cs="Arial"/>
                <w:color w:val="000000" w:themeColor="text1"/>
                <w:szCs w:val="16"/>
              </w:rPr>
            </w:pPr>
            <w:r w:rsidRPr="00ED172B">
              <w:rPr>
                <w:rFonts w:cs="Arial"/>
                <w:color w:val="000000" w:themeColor="text1"/>
                <w:szCs w:val="16"/>
              </w:rPr>
              <w:t>Slippage</w:t>
            </w:r>
          </w:p>
        </w:tc>
      </w:tr>
      <w:tr w:rsidR="00ED172B" w:rsidRPr="00ED172B" w14:paraId="431428E4" w14:textId="78B5A0F3" w:rsidTr="00986B99">
        <w:trPr>
          <w:trHeight w:val="361"/>
        </w:trPr>
        <w:tc>
          <w:tcPr>
            <w:tcW w:w="2041" w:type="pct"/>
            <w:shd w:val="clear" w:color="auto" w:fill="auto"/>
            <w:vAlign w:val="center"/>
          </w:tcPr>
          <w:p w14:paraId="2A215804" w14:textId="2429D2CD"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shd w:val="clear" w:color="auto" w:fill="auto"/>
            <w:vAlign w:val="center"/>
          </w:tcPr>
          <w:p w14:paraId="5C3A4920" w14:textId="66B7FB9F" w:rsidR="00D20529" w:rsidRPr="00ED172B" w:rsidRDefault="00860830" w:rsidP="00D20529">
            <w:pPr>
              <w:jc w:val="center"/>
              <w:rPr>
                <w:rFonts w:cs="Arial"/>
                <w:color w:val="000000" w:themeColor="text1"/>
                <w:szCs w:val="16"/>
              </w:rPr>
            </w:pPr>
            <w:r w:rsidRPr="00ED172B">
              <w:rPr>
                <w:rFonts w:cs="Arial"/>
                <w:color w:val="000000" w:themeColor="text1"/>
                <w:szCs w:val="16"/>
              </w:rPr>
              <w:t>93.91%</w:t>
            </w:r>
          </w:p>
        </w:tc>
        <w:tc>
          <w:tcPr>
            <w:tcW w:w="626" w:type="pct"/>
            <w:shd w:val="clear" w:color="auto" w:fill="auto"/>
            <w:vAlign w:val="center"/>
          </w:tcPr>
          <w:p w14:paraId="76133FD1" w14:textId="24F530F0" w:rsidR="00D20529" w:rsidRPr="00ED172B" w:rsidRDefault="00291EA9" w:rsidP="00291EA9">
            <w:pPr>
              <w:jc w:val="center"/>
              <w:rPr>
                <w:color w:val="000000" w:themeColor="text1"/>
              </w:rPr>
            </w:pPr>
            <w:r w:rsidRPr="00ED172B">
              <w:rPr>
                <w:color w:val="000000" w:themeColor="text1"/>
              </w:rPr>
              <w:t>93.00%</w:t>
            </w:r>
          </w:p>
        </w:tc>
        <w:tc>
          <w:tcPr>
            <w:tcW w:w="667" w:type="pct"/>
            <w:shd w:val="clear" w:color="auto" w:fill="auto"/>
            <w:vAlign w:val="center"/>
          </w:tcPr>
          <w:p w14:paraId="1EF2336C" w14:textId="48A6C40C" w:rsidR="00D20529" w:rsidRPr="00ED172B" w:rsidRDefault="00860830" w:rsidP="00D20529">
            <w:pPr>
              <w:jc w:val="center"/>
              <w:rPr>
                <w:rFonts w:cs="Arial"/>
                <w:color w:val="000000" w:themeColor="text1"/>
                <w:szCs w:val="16"/>
              </w:rPr>
            </w:pPr>
            <w:r w:rsidRPr="00ED172B">
              <w:rPr>
                <w:rFonts w:cs="Arial"/>
                <w:color w:val="000000" w:themeColor="text1"/>
                <w:szCs w:val="16"/>
              </w:rPr>
              <w:t>90.81%</w:t>
            </w:r>
          </w:p>
        </w:tc>
        <w:tc>
          <w:tcPr>
            <w:tcW w:w="542" w:type="pct"/>
            <w:shd w:val="clear" w:color="auto" w:fill="auto"/>
            <w:vAlign w:val="center"/>
          </w:tcPr>
          <w:p w14:paraId="7069C405" w14:textId="01192EEE"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6AEC7905" w14:textId="6CD90C0D" w:rsidR="00D20529" w:rsidRPr="00ED172B" w:rsidRDefault="00860830" w:rsidP="00D20529">
            <w:pPr>
              <w:jc w:val="center"/>
              <w:rPr>
                <w:rFonts w:cs="Arial"/>
                <w:color w:val="000000" w:themeColor="text1"/>
                <w:szCs w:val="16"/>
              </w:rPr>
            </w:pPr>
            <w:r w:rsidRPr="00ED172B">
              <w:rPr>
                <w:rFonts w:cs="Arial"/>
                <w:color w:val="000000" w:themeColor="text1"/>
                <w:szCs w:val="16"/>
              </w:rPr>
              <w:t>Slippage</w:t>
            </w:r>
          </w:p>
        </w:tc>
      </w:tr>
    </w:tbl>
    <w:p w14:paraId="290FCF52" w14:textId="2BAA4405" w:rsidR="007F63D9" w:rsidRPr="00ED172B" w:rsidRDefault="00F77D8B" w:rsidP="007F63D9">
      <w:pPr>
        <w:rPr>
          <w:rFonts w:cs="Arial"/>
          <w:b/>
          <w:i/>
          <w:color w:val="000000" w:themeColor="text1"/>
          <w:szCs w:val="16"/>
        </w:rPr>
      </w:pPr>
      <w:r w:rsidRPr="00ED172B">
        <w:rPr>
          <w:rFonts w:cs="Arial"/>
          <w:b/>
          <w:color w:val="000000" w:themeColor="text1"/>
          <w:szCs w:val="16"/>
        </w:rPr>
        <w:t xml:space="preserve">Provide reasons for part A slippage, if applicable </w:t>
      </w:r>
    </w:p>
    <w:p w14:paraId="5E914073" w14:textId="106EF75C" w:rsidR="007F63D9" w:rsidRDefault="00291EA9" w:rsidP="00291EA9">
      <w:pPr>
        <w:rPr>
          <w:color w:val="000000" w:themeColor="text1"/>
        </w:rPr>
      </w:pPr>
      <w:r w:rsidRPr="00ED172B">
        <w:rPr>
          <w:color w:val="000000" w:themeColor="text1"/>
        </w:rPr>
        <w:t>During FFY20, Early Intervention Services were provided predominantly via telehealth (mean 84.5%, range 51-93%). Some families reported to MA-C and the Parent Training and Support Center that telehealth services were inferior to in-person services and cited the provision of telehealth services as the primary reason for withdrawal from the early intervention system. An additional variable contributing to slippage relates to workforce shortages. During FFY20, EIS programs struggled to retain their workforce, both because of the public health closures necessitated by the COVID-19 pandemic (e.g., social distancing, required quarantine) as well as the concomitant effects of the pandemic on other systems of care (e.g., EIS providers who were unable to work while caring for their own children during periods of remote instruction for elementary and secondary education). Finally, MA-C distributed the survey to obtain Indicator 4 data only once during the reporting year; though scheduled, it was not distributed in October 2020 as MA-C was not prepared with an electronic format for the survey. The overall reduction in respondents may have had a suppressive effect on the data. Taken together, these three variables--families dissatisfaction with telehealth services, reductions in EIS workforce, and fewer opportunities for families to respond to the survey--contribute to the slippage observed in FFY20.</w:t>
      </w:r>
    </w:p>
    <w:p w14:paraId="3B0BCC91" w14:textId="637F914F" w:rsidR="007F63D9" w:rsidRPr="00ED172B" w:rsidRDefault="00F77D8B" w:rsidP="007F63D9">
      <w:pPr>
        <w:rPr>
          <w:rFonts w:cs="Arial"/>
          <w:b/>
          <w:i/>
          <w:color w:val="000000" w:themeColor="text1"/>
          <w:szCs w:val="16"/>
        </w:rPr>
      </w:pPr>
      <w:r w:rsidRPr="00ED172B">
        <w:rPr>
          <w:rFonts w:cs="Arial"/>
          <w:b/>
          <w:color w:val="000000" w:themeColor="text1"/>
          <w:szCs w:val="16"/>
        </w:rPr>
        <w:t xml:space="preserve">Provide reasons for part B slippage, if applicable </w:t>
      </w:r>
    </w:p>
    <w:p w14:paraId="4EB3BC34" w14:textId="1DC4379B" w:rsidR="007F63D9" w:rsidRDefault="00291EA9" w:rsidP="00291EA9">
      <w:pPr>
        <w:rPr>
          <w:color w:val="000000" w:themeColor="text1"/>
        </w:rPr>
      </w:pPr>
      <w:r w:rsidRPr="00ED172B">
        <w:rPr>
          <w:color w:val="000000" w:themeColor="text1"/>
        </w:rPr>
        <w:t>During FFY20, Early Intervention Services were provided predominantly via telehealth (mean 84.5%, range 51-93%). Some families reported to MA-C and the Parent Training and Support Center that telehealth services were inferior to in-person services and cited the provision of telehealth services as the primary reason for withdrawal from the early intervention system. An additional variable contributing to slippage relates to workforce shortages. During FFY20, EIS programs struggled to retain their workforce, both because of the public health closures necessitated by the COVID-19 pandemic (e.g., social distancing, required quarantine) as well as the concomitant effects of the pandemic on other systems of care (e.g., EIS providers who were unable to work while caring for their own children during periods of remote instruction for elementary and secondary education). Finally, MA-C distributed the survey to obtain Indicator 4 data only once during the reporting year; though scheduled, it was not distributed in October 2020 as MA-C was not prepared with an electronic format for the survey. The overall reduction in respondents may have had a suppressive effect on the data. Taken together, these three variables--families dissatisfaction with telehealth services, reductions in EIS workforce, and fewer opportunities for families to respond to the survey--contribute to the slippage observed in FFY20.</w:t>
      </w:r>
    </w:p>
    <w:p w14:paraId="6047F573" w14:textId="2FF67451" w:rsidR="007F63D9" w:rsidRPr="00ED172B" w:rsidRDefault="00F77D8B" w:rsidP="007F63D9">
      <w:pPr>
        <w:rPr>
          <w:rFonts w:cs="Arial"/>
          <w:b/>
          <w:i/>
          <w:color w:val="000000" w:themeColor="text1"/>
          <w:szCs w:val="16"/>
        </w:rPr>
      </w:pPr>
      <w:r w:rsidRPr="00ED172B">
        <w:rPr>
          <w:rFonts w:cs="Arial"/>
          <w:b/>
          <w:color w:val="000000" w:themeColor="text1"/>
          <w:szCs w:val="16"/>
        </w:rPr>
        <w:t>Provide reasons for part C slippage, if applicable</w:t>
      </w:r>
    </w:p>
    <w:p w14:paraId="43A01F75" w14:textId="7B2C6645" w:rsidR="007F63D9" w:rsidRDefault="00291EA9" w:rsidP="00291EA9">
      <w:pPr>
        <w:rPr>
          <w:color w:val="000000" w:themeColor="text1"/>
        </w:rPr>
      </w:pPr>
      <w:r w:rsidRPr="00ED172B">
        <w:rPr>
          <w:color w:val="000000" w:themeColor="text1"/>
        </w:rPr>
        <w:t>During FFY20, Early Intervention Services were provided predominantly via telehealth (mean 84.5%, range 51-93%). Some families reported to MA-C and the Parent Training and Support Center that telehealth services were inferior to in-person services and cited the provision of telehealth services as the primary reason for withdrawal from the early intervention system. An additional variable contributing to slippage relates to workforce shortages. During FFY20, EIS programs struggled to retain their workforce, both because of the public health closures necessitated by the COVID-19 pandemic (e.g., social distancing, required quarantine) as well as the concomitant effects of the pandemic on other systems of care (e.g., EIS providers who were unable to work while caring for their own children during periods of remote instruction for elementary and secondary education). Finally, MA-C distributed the survey to obtain Indicator 4 data only once during the reporting year; though scheduled, it was not distributed in October 2020 as MA-C was not prepared with an electronic format for the survey. The overall reduction in respondents may have had a suppressive effect on the data. Taken together, these three variables--families dissatisfaction with telehealth services, reductions in EIS workforce, and fewer opportunities for families to respond to the survey--contribute to the slippage observed in FFY20.</w:t>
      </w:r>
    </w:p>
    <w:p w14:paraId="13393E53" w14:textId="1618BFA9"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3AF576FA" w14:textId="77777777" w:rsidTr="00A40EE1">
        <w:trPr>
          <w:tblHeader/>
        </w:trPr>
        <w:tc>
          <w:tcPr>
            <w:tcW w:w="3960" w:type="pct"/>
            <w:tcBorders>
              <w:top w:val="single" w:sz="4" w:space="0" w:color="auto"/>
              <w:left w:val="single" w:sz="4" w:space="0" w:color="auto"/>
            </w:tcBorders>
          </w:tcPr>
          <w:p w14:paraId="6B578191" w14:textId="350EDC3C"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17127A9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5694E330" w14:textId="77777777" w:rsidTr="00186420">
        <w:tc>
          <w:tcPr>
            <w:tcW w:w="3960" w:type="pct"/>
          </w:tcPr>
          <w:p w14:paraId="75E22E48"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01167BB8" w14:textId="1702CA76" w:rsidR="00013004" w:rsidRPr="00ED172B" w:rsidRDefault="00860830" w:rsidP="00781A26">
            <w:pPr>
              <w:rPr>
                <w:rFonts w:cs="Arial"/>
                <w:color w:val="000000" w:themeColor="text1"/>
                <w:szCs w:val="16"/>
              </w:rPr>
            </w:pPr>
            <w:r w:rsidRPr="00ED172B">
              <w:rPr>
                <w:rFonts w:cs="Arial"/>
                <w:color w:val="000000" w:themeColor="text1"/>
                <w:szCs w:val="16"/>
              </w:rPr>
              <w:t>YES</w:t>
            </w:r>
          </w:p>
        </w:tc>
      </w:tr>
      <w:tr w:rsidR="00ED172B" w:rsidRPr="00ED172B" w14:paraId="54E81158" w14:textId="77777777" w:rsidTr="00186420">
        <w:tc>
          <w:tcPr>
            <w:tcW w:w="3960" w:type="pct"/>
          </w:tcPr>
          <w:p w14:paraId="28DC7BC3" w14:textId="65D9E6DA" w:rsidR="00013004" w:rsidRPr="00ED172B" w:rsidRDefault="001C5219" w:rsidP="00781A26">
            <w:pPr>
              <w:rPr>
                <w:rFonts w:cs="Arial"/>
                <w:color w:val="000000" w:themeColor="text1"/>
                <w:szCs w:val="16"/>
              </w:rPr>
            </w:pPr>
            <w:r w:rsidRPr="00ED172B">
              <w:rPr>
                <w:rFonts w:cs="Arial"/>
                <w:color w:val="000000" w:themeColor="text1"/>
                <w:szCs w:val="16"/>
              </w:rPr>
              <w:t xml:space="preserve">If yes, has your previously approved sampling plan changed? </w:t>
            </w:r>
          </w:p>
        </w:tc>
        <w:tc>
          <w:tcPr>
            <w:tcW w:w="1040" w:type="pct"/>
          </w:tcPr>
          <w:p w14:paraId="2D84A62E" w14:textId="505AFA9C" w:rsidR="00013004" w:rsidRPr="00ED172B" w:rsidRDefault="00860830" w:rsidP="00781A26">
            <w:pPr>
              <w:rPr>
                <w:rFonts w:cs="Arial"/>
                <w:color w:val="000000" w:themeColor="text1"/>
                <w:szCs w:val="16"/>
              </w:rPr>
            </w:pPr>
            <w:r w:rsidRPr="00ED172B">
              <w:rPr>
                <w:rFonts w:cs="Arial"/>
                <w:color w:val="000000" w:themeColor="text1"/>
                <w:szCs w:val="16"/>
              </w:rPr>
              <w:t>NO</w:t>
            </w:r>
          </w:p>
        </w:tc>
      </w:tr>
    </w:tbl>
    <w:p w14:paraId="0729206F" w14:textId="40A2118D" w:rsidR="00013004" w:rsidRPr="00ED172B" w:rsidRDefault="00013004" w:rsidP="00013004">
      <w:pPr>
        <w:rPr>
          <w:rFonts w:cs="Arial"/>
          <w:b/>
          <w:color w:val="000000" w:themeColor="text1"/>
          <w:szCs w:val="16"/>
        </w:rPr>
      </w:pPr>
      <w:r w:rsidRPr="00ED172B">
        <w:rPr>
          <w:rFonts w:cs="Arial"/>
          <w:b/>
          <w:color w:val="000000" w:themeColor="text1"/>
          <w:szCs w:val="16"/>
        </w:rPr>
        <w:t xml:space="preserve">Describe the sampling methodology outlining how the design will yield valid and reliable estimates. </w:t>
      </w:r>
    </w:p>
    <w:p w14:paraId="4FCDE50E" w14:textId="4304FCDE" w:rsidR="00013004" w:rsidRDefault="00860830" w:rsidP="00013004">
      <w:pPr>
        <w:rPr>
          <w:rFonts w:cs="Arial"/>
          <w:color w:val="000000" w:themeColor="text1"/>
          <w:szCs w:val="16"/>
        </w:rPr>
      </w:pPr>
      <w:r w:rsidRPr="00ED172B">
        <w:rPr>
          <w:rFonts w:cs="Arial"/>
          <w:color w:val="000000" w:themeColor="text1"/>
          <w:szCs w:val="16"/>
        </w:rPr>
        <w:t xml:space="preserve">During FFY20, The Lead Agency (MA-C) used the same sampling methodology from prior FFYs. The Part C Data Manager queried the state database to identify all children who were enrolled in early intervention for at least six months prior to the survey distribution date and initially included in the sample. Next, MA-C implemented its exclusion criteria: any child who's family had completed a survey in the prior reporting year were removed from the sample. MA-C identified 12,149 families eligible for the survey. EIS programs distributed the survey to only 8,283 families in the FFY20. Reported reasons for exclusion were losing contact with the family (e.g., family had exited program), difficulty contacting the family, and difficulty understanding how to distribute the electronic survey codes. </w:t>
      </w:r>
      <w:r w:rsidRPr="00ED172B">
        <w:rPr>
          <w:rFonts w:cs="Arial"/>
          <w:color w:val="000000" w:themeColor="text1"/>
          <w:szCs w:val="16"/>
        </w:rPr>
        <w:br/>
      </w:r>
      <w:r w:rsidRPr="00ED172B">
        <w:rPr>
          <w:rFonts w:cs="Arial"/>
          <w:color w:val="000000" w:themeColor="text1"/>
          <w:szCs w:val="16"/>
        </w:rPr>
        <w:br/>
        <w:t>A third-party compiled the survey data for MA-C and used tests of statistical significance to confirm the sample yielded valid and reliable estimates: "Sample mean is 696. Standard deviation of measures in 175. Standard error of the sample mean is 3.5. These data suggest we are 95% confident that the true population mean for families of children enrolled in MA-C lie within the range of 689-702.8."</w:t>
      </w:r>
    </w:p>
    <w:p w14:paraId="629F5F4F"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4"/>
        <w:gridCol w:w="2266"/>
      </w:tblGrid>
      <w:tr w:rsidR="00ED172B" w:rsidRPr="00ED172B" w14:paraId="0407055E" w14:textId="77777777" w:rsidTr="00A40EE1">
        <w:trPr>
          <w:tblHeader/>
        </w:trPr>
        <w:tc>
          <w:tcPr>
            <w:tcW w:w="3950" w:type="pct"/>
            <w:tcBorders>
              <w:top w:val="single" w:sz="4" w:space="0" w:color="auto"/>
              <w:left w:val="single" w:sz="4" w:space="0" w:color="auto"/>
            </w:tcBorders>
          </w:tcPr>
          <w:p w14:paraId="0DF5722B" w14:textId="55461DDB"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0" w:type="pct"/>
            <w:tcBorders>
              <w:top w:val="single" w:sz="4" w:space="0" w:color="auto"/>
            </w:tcBorders>
          </w:tcPr>
          <w:p w14:paraId="1C29A0B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341AE4D3" w14:textId="77777777" w:rsidTr="00470774">
        <w:tc>
          <w:tcPr>
            <w:tcW w:w="3950" w:type="pct"/>
          </w:tcPr>
          <w:p w14:paraId="1C6590D0" w14:textId="2D5007A0"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0" w:type="pct"/>
          </w:tcPr>
          <w:p w14:paraId="7F712EBC" w14:textId="0CC49D8E" w:rsidR="00013004" w:rsidRPr="00ED172B" w:rsidRDefault="00860830" w:rsidP="00781A26">
            <w:pPr>
              <w:rPr>
                <w:rFonts w:cs="Arial"/>
                <w:color w:val="000000" w:themeColor="text1"/>
                <w:szCs w:val="16"/>
              </w:rPr>
            </w:pPr>
            <w:r w:rsidRPr="00ED172B">
              <w:rPr>
                <w:rFonts w:cs="Arial"/>
                <w:color w:val="000000" w:themeColor="text1"/>
                <w:szCs w:val="16"/>
              </w:rPr>
              <w:t>YES</w:t>
            </w:r>
          </w:p>
        </w:tc>
      </w:tr>
      <w:tr w:rsidR="00ED172B" w:rsidRPr="00ED172B" w14:paraId="4DF2322B" w14:textId="77777777" w:rsidTr="00470774">
        <w:tc>
          <w:tcPr>
            <w:tcW w:w="3950" w:type="pct"/>
          </w:tcPr>
          <w:p w14:paraId="06C93651" w14:textId="7F869A0C"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0" w:type="pct"/>
          </w:tcPr>
          <w:p w14:paraId="703575B9" w14:textId="567842E0" w:rsidR="00013004" w:rsidRPr="00ED172B" w:rsidRDefault="00860830" w:rsidP="00781A26">
            <w:pPr>
              <w:rPr>
                <w:rFonts w:cs="Arial"/>
                <w:color w:val="000000" w:themeColor="text1"/>
                <w:szCs w:val="16"/>
              </w:rPr>
            </w:pPr>
            <w:r w:rsidRPr="00ED172B">
              <w:rPr>
                <w:rFonts w:cs="Arial"/>
                <w:color w:val="000000" w:themeColor="text1"/>
                <w:szCs w:val="16"/>
              </w:rPr>
              <w:t>NO</w:t>
            </w:r>
          </w:p>
        </w:tc>
      </w:tr>
      <w:tr w:rsidR="00ED172B" w:rsidRPr="00ED172B" w14:paraId="30DE3B0A" w14:textId="77777777" w:rsidTr="00470774">
        <w:tc>
          <w:tcPr>
            <w:tcW w:w="3950" w:type="pct"/>
          </w:tcPr>
          <w:p w14:paraId="68829E9A" w14:textId="356D668A" w:rsidR="00013004" w:rsidRPr="00ED172B" w:rsidRDefault="00013004" w:rsidP="00781A26">
            <w:pPr>
              <w:rPr>
                <w:rFonts w:cs="Arial"/>
                <w:color w:val="000000" w:themeColor="text1"/>
                <w:szCs w:val="16"/>
              </w:rPr>
            </w:pPr>
            <w:r w:rsidRPr="00ED172B">
              <w:rPr>
                <w:rFonts w:cs="Arial"/>
                <w:color w:val="000000" w:themeColor="text1"/>
                <w:szCs w:val="16"/>
              </w:rPr>
              <w:lastRenderedPageBreak/>
              <w:t>The demographics of the infants or toddlers for whom families responded are representative of the demographics of infants and toddlers enrolled in the Part C program.</w:t>
            </w:r>
          </w:p>
        </w:tc>
        <w:tc>
          <w:tcPr>
            <w:tcW w:w="1050" w:type="pct"/>
          </w:tcPr>
          <w:p w14:paraId="760B76EC" w14:textId="02428872" w:rsidR="00013004" w:rsidRPr="00ED172B" w:rsidRDefault="00860830" w:rsidP="00781A26">
            <w:pPr>
              <w:rPr>
                <w:rFonts w:cs="Arial"/>
                <w:color w:val="000000" w:themeColor="text1"/>
                <w:szCs w:val="16"/>
              </w:rPr>
            </w:pPr>
            <w:r w:rsidRPr="00ED172B">
              <w:rPr>
                <w:rFonts w:cs="Arial"/>
                <w:color w:val="000000" w:themeColor="text1"/>
                <w:szCs w:val="16"/>
              </w:rPr>
              <w:t>NO</w:t>
            </w:r>
          </w:p>
        </w:tc>
      </w:tr>
    </w:tbl>
    <w:p w14:paraId="3C660309" w14:textId="17184E37" w:rsidR="00013004" w:rsidRPr="00ED172B" w:rsidRDefault="00B24CA0" w:rsidP="00013004">
      <w:pPr>
        <w:rPr>
          <w:rFonts w:cs="Arial"/>
          <w:b/>
          <w:color w:val="000000" w:themeColor="text1"/>
          <w:szCs w:val="16"/>
        </w:rPr>
      </w:pPr>
      <w:r w:rsidRPr="00ED172B">
        <w:rPr>
          <w:rFonts w:cs="Arial"/>
          <w:b/>
          <w:color w:val="000000" w:themeColor="text1"/>
          <w:szCs w:val="16"/>
        </w:rPr>
        <w:t xml:space="preserve">If not, describe the strategies that the State will use to ensure that in the future the response data are representative of those demographics. </w:t>
      </w:r>
    </w:p>
    <w:p w14:paraId="308F3BE0" w14:textId="77A07659" w:rsidR="00013004" w:rsidRDefault="00860830" w:rsidP="00013004">
      <w:pPr>
        <w:rPr>
          <w:rFonts w:cs="Arial"/>
          <w:color w:val="000000" w:themeColor="text1"/>
          <w:szCs w:val="16"/>
        </w:rPr>
      </w:pPr>
      <w:r w:rsidRPr="00ED172B">
        <w:rPr>
          <w:rFonts w:cs="Arial"/>
          <w:color w:val="000000" w:themeColor="text1"/>
          <w:szCs w:val="16"/>
        </w:rPr>
        <w:t xml:space="preserve">According to FFY20's exiting data the composition of families enrolled in the Massachusetts Part C system is as follows: 10,521 identified as white, 5,462 identified as Hispanic/LatinX, 1,940 identified as African American or Black, 1,207 identified as Asian, 54 identified as American Indian or Alaskan Native, 26 identified as Native Hawaiian or Pacific Islander, and 785 identified as two or more races. However, the FFY20 sample does underrepresents some groups (i.e., African American or Black, Native Hawaiian or Pacific Islander) and overrepresents others (i.e., White). </w:t>
      </w:r>
      <w:r w:rsidRPr="00ED172B">
        <w:rPr>
          <w:rFonts w:cs="Arial"/>
          <w:color w:val="000000" w:themeColor="text1"/>
          <w:szCs w:val="16"/>
        </w:rPr>
        <w:br/>
      </w:r>
      <w:r w:rsidRPr="00ED172B">
        <w:rPr>
          <w:rFonts w:cs="Arial"/>
          <w:color w:val="000000" w:themeColor="text1"/>
          <w:szCs w:val="16"/>
        </w:rPr>
        <w:br/>
        <w:t>MA-C also analyzed response rates by EIS program and compared programs within and across the seven different regions of the Commonwealth. When compared across programs, response rates vary significantly (range 7.89%-66.18%), with 30 EIS programs having response rates lower than the state average of 29.68%. When compared by region, patterns become increasingly clear. Results demonstrate that response rates in four regions have average response rates lower than the state average: Boston (mean 28.30%, range 8.52%-66.18%), West/Southwest (mean 25.82%, range 7.89-43.75%, West/Northwest (mean 25.52%, range 17.71%-33%) and Northeast (mean 28.24%, range 9.66%-50%). These areas correspond with the 20 communities in the Commonwealth with the highest rates of COVID-19 and the lowest vaccination rates. By contrast, the remaining regions of the state had response rates higher than the state average: Metro North (mean 30.83%, range 13.58%-48.94%), Central (mean 31.66%, range17.65%-52.65%), and Southeast (mean 29.75%, range 16.07-36.27%), West/North (mean 39.49%, range 22.73%-55.25%), West/South (mean 35%, range 17.24%-46%).</w:t>
      </w:r>
      <w:r w:rsidRPr="00ED172B">
        <w:rPr>
          <w:rFonts w:cs="Arial"/>
          <w:color w:val="000000" w:themeColor="text1"/>
          <w:szCs w:val="16"/>
        </w:rPr>
        <w:br/>
      </w:r>
      <w:r w:rsidRPr="00ED172B">
        <w:rPr>
          <w:rFonts w:cs="Arial"/>
          <w:color w:val="000000" w:themeColor="text1"/>
          <w:szCs w:val="16"/>
        </w:rPr>
        <w:br/>
        <w:t>Beginning in FFY21, The Lead Agency (MA-C) will implement the following strategies to increase the likelihood of representative response rates:</w:t>
      </w:r>
      <w:r w:rsidRPr="00ED172B">
        <w:rPr>
          <w:rFonts w:cs="Arial"/>
          <w:color w:val="000000" w:themeColor="text1"/>
          <w:szCs w:val="16"/>
        </w:rPr>
        <w:br/>
      </w:r>
      <w:r w:rsidRPr="00ED172B">
        <w:rPr>
          <w:rFonts w:cs="Arial"/>
          <w:color w:val="000000" w:themeColor="text1"/>
          <w:szCs w:val="16"/>
        </w:rPr>
        <w:br/>
        <w:t>Coordination with the Commonwealth's Vaccine Equity Initiative. The differences in the response rates between the 20 hardest-hit COVID communities and others are stunning. MA-C recognizes that the COVID-19 pandemic is still wreaking havoc for many families receiving Part C services and will be working holistically with other state agencies to mitigate inequities that produced these disparities. In FFY21, the Part C Coordinator will work closely with the Commonwealth's Vaccine Equity Initiative (VEI) to promote equitable access to COVID-19 vaccines. For example, MA-C will disseminate information from the VEI to the Parent Training and Information Center, as well as to its contracted EIS programs to help ensure families in these 20 priority communities have access to accurate information from reliable sources. Additionally, MA-C will work with VEI to leverage existing community connections through its contracted EIS programs to host town halls about the vaccine, host pediatric mobile vaccine clinics, and recruit stakeholders for a roll-out of the vaccine for the under 4 population when available.</w:t>
      </w:r>
      <w:r w:rsidRPr="00ED172B">
        <w:rPr>
          <w:rFonts w:cs="Arial"/>
          <w:color w:val="000000" w:themeColor="text1"/>
          <w:szCs w:val="16"/>
        </w:rPr>
        <w:br/>
      </w:r>
      <w:r w:rsidRPr="00ED172B">
        <w:rPr>
          <w:rFonts w:cs="Arial"/>
          <w:color w:val="000000" w:themeColor="text1"/>
          <w:szCs w:val="16"/>
        </w:rPr>
        <w:br/>
        <w:t>Increased Family Education and Outreach. MA-C will recruit, train, and deploy families of color with lived experiences to serve as ambassadors within each local EIS program to share information about the importance of the survey and its role in program improvement. MA-C will also coordinate with local EIS programs to sponsor events for families of color to meet with Family Ambassadors.</w:t>
      </w:r>
      <w:r w:rsidRPr="00ED172B">
        <w:rPr>
          <w:rFonts w:cs="Arial"/>
          <w:color w:val="000000" w:themeColor="text1"/>
          <w:szCs w:val="16"/>
        </w:rPr>
        <w:br/>
      </w:r>
      <w:r w:rsidRPr="00ED172B">
        <w:rPr>
          <w:rFonts w:cs="Arial"/>
          <w:color w:val="000000" w:themeColor="text1"/>
          <w:szCs w:val="16"/>
        </w:rPr>
        <w:br/>
        <w:t>Instrument Evaluation. MA-C will review its recent outcomes and current questions included on its survey with the state Interagency Coordinating Council (ICC) to solicit feedback about the need to refresh questions from validated item bank.</w:t>
      </w:r>
      <w:r w:rsidRPr="00ED172B">
        <w:rPr>
          <w:rFonts w:cs="Arial"/>
          <w:color w:val="000000" w:themeColor="text1"/>
          <w:szCs w:val="16"/>
        </w:rPr>
        <w:br/>
      </w:r>
      <w:r w:rsidRPr="00ED172B">
        <w:rPr>
          <w:rFonts w:cs="Arial"/>
          <w:color w:val="000000" w:themeColor="text1"/>
          <w:szCs w:val="16"/>
        </w:rPr>
        <w:br/>
        <w:t>Improve Communications. MA-C will revise information about survey distributed to families and EIS programs, including rationale, and translate into families’ primary written language. Additionally, MA-C will translate the survey into Arabic and Chinese to increase access to families. We expect this to impact 238 families.</w:t>
      </w:r>
      <w:r w:rsidRPr="00ED172B">
        <w:rPr>
          <w:rFonts w:cs="Arial"/>
          <w:color w:val="000000" w:themeColor="text1"/>
          <w:szCs w:val="16"/>
        </w:rPr>
        <w:br/>
      </w:r>
      <w:r w:rsidRPr="00ED172B">
        <w:rPr>
          <w:rFonts w:cs="Arial"/>
          <w:color w:val="000000" w:themeColor="text1"/>
          <w:szCs w:val="16"/>
        </w:rPr>
        <w:br/>
        <w:t>Modify Sampling Procedures. MA-C will reconsider sampling and distribute surveys to all families enrolled. If sampling remains, MA-C Data Manager will work with stakeholders to design a sampling strategy to ensure representativeness across racial, ethnic, and SES groups.</w:t>
      </w:r>
      <w:r w:rsidRPr="00ED172B">
        <w:rPr>
          <w:rFonts w:cs="Arial"/>
          <w:color w:val="000000" w:themeColor="text1"/>
          <w:szCs w:val="16"/>
        </w:rPr>
        <w:br/>
      </w:r>
      <w:r w:rsidRPr="00ED172B">
        <w:rPr>
          <w:rFonts w:cs="Arial"/>
          <w:color w:val="000000" w:themeColor="text1"/>
          <w:szCs w:val="16"/>
        </w:rPr>
        <w:br/>
        <w:t>Modify Distribution Procedures. MA-C will review the feasibility of contacting families directly instead of relying on EIS programs as liaison.</w:t>
      </w:r>
    </w:p>
    <w:p w14:paraId="5738AA7C" w14:textId="77777777" w:rsidR="00550FC1" w:rsidRDefault="00550FC1" w:rsidP="00DF2F4F">
      <w:pPr>
        <w:rPr>
          <w:rFonts w:cs="Arial"/>
          <w:b/>
          <w:bCs/>
          <w:szCs w:val="16"/>
        </w:rPr>
      </w:pPr>
    </w:p>
    <w:p w14:paraId="33F13682" w14:textId="77777777" w:rsidR="00550FC1" w:rsidRPr="00E310A4" w:rsidRDefault="00550FC1" w:rsidP="00550FC1">
      <w:pPr>
        <w:rPr>
          <w:rFonts w:cs="Arial"/>
          <w:b/>
          <w:bCs/>
          <w:szCs w:val="16"/>
        </w:rPr>
      </w:pPr>
      <w:r w:rsidRPr="00E310A4">
        <w:rPr>
          <w:rFonts w:cs="Arial"/>
          <w:b/>
          <w:bCs/>
          <w:szCs w:val="16"/>
        </w:rPr>
        <w:t>Survey 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4B7EC210" w14:textId="77777777" w:rsidTr="0055373D">
        <w:trPr>
          <w:trHeight w:val="350"/>
        </w:trPr>
        <w:tc>
          <w:tcPr>
            <w:tcW w:w="888" w:type="pct"/>
            <w:tcBorders>
              <w:bottom w:val="single" w:sz="4" w:space="0" w:color="auto"/>
            </w:tcBorders>
            <w:shd w:val="clear" w:color="auto" w:fill="auto"/>
            <w:vAlign w:val="bottom"/>
          </w:tcPr>
          <w:p w14:paraId="166627DF"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shd w:val="clear" w:color="auto" w:fill="auto"/>
            <w:vAlign w:val="center"/>
          </w:tcPr>
          <w:p w14:paraId="681441EB" w14:textId="1756F53D" w:rsidR="00550FC1" w:rsidRPr="00ED172B" w:rsidRDefault="00550FC1" w:rsidP="00B073DB">
            <w:pPr>
              <w:jc w:val="center"/>
              <w:rPr>
                <w:rFonts w:cs="Arial"/>
                <w:b/>
                <w:color w:val="000000" w:themeColor="text1"/>
                <w:szCs w:val="16"/>
              </w:rPr>
            </w:pPr>
            <w:r w:rsidRPr="00ED172B">
              <w:rPr>
                <w:rFonts w:cs="Arial"/>
                <w:b/>
                <w:color w:val="000000" w:themeColor="text1"/>
                <w:szCs w:val="16"/>
              </w:rPr>
              <w:t>2019</w:t>
            </w:r>
          </w:p>
        </w:tc>
        <w:tc>
          <w:tcPr>
            <w:tcW w:w="2056" w:type="pct"/>
          </w:tcPr>
          <w:p w14:paraId="6C31BF24" w14:textId="58D9F852" w:rsidR="00550FC1" w:rsidRPr="00ED172B" w:rsidRDefault="00550FC1" w:rsidP="00B073DB">
            <w:pPr>
              <w:jc w:val="center"/>
              <w:rPr>
                <w:rFonts w:cs="Arial"/>
                <w:b/>
                <w:color w:val="000000" w:themeColor="text1"/>
                <w:szCs w:val="16"/>
              </w:rPr>
            </w:pPr>
            <w:r>
              <w:rPr>
                <w:rFonts w:cs="Arial"/>
                <w:b/>
                <w:color w:val="000000" w:themeColor="text1"/>
                <w:szCs w:val="16"/>
              </w:rPr>
              <w:t>2020</w:t>
            </w:r>
          </w:p>
        </w:tc>
      </w:tr>
      <w:tr w:rsidR="00550FC1" w:rsidRPr="00794BA1" w14:paraId="0C44F5DB" w14:textId="77777777" w:rsidTr="0055373D">
        <w:trPr>
          <w:trHeight w:val="357"/>
        </w:trPr>
        <w:tc>
          <w:tcPr>
            <w:tcW w:w="888" w:type="pct"/>
            <w:shd w:val="clear" w:color="auto" w:fill="auto"/>
          </w:tcPr>
          <w:p w14:paraId="58E7AE90" w14:textId="63CAE467" w:rsidR="00550FC1" w:rsidRPr="00ED172B" w:rsidRDefault="00550FC1" w:rsidP="00B073DB">
            <w:pPr>
              <w:rPr>
                <w:rFonts w:cs="Arial"/>
                <w:color w:val="000000" w:themeColor="text1"/>
                <w:szCs w:val="16"/>
              </w:rPr>
            </w:pPr>
            <w:r>
              <w:rPr>
                <w:rFonts w:cs="Arial"/>
                <w:szCs w:val="16"/>
              </w:rPr>
              <w:t>Survey Response Rate</w:t>
            </w:r>
          </w:p>
        </w:tc>
        <w:tc>
          <w:tcPr>
            <w:tcW w:w="2056" w:type="pct"/>
            <w:shd w:val="clear" w:color="auto" w:fill="auto"/>
            <w:vAlign w:val="center"/>
          </w:tcPr>
          <w:p w14:paraId="4B20A07B" w14:textId="0AA48EA3" w:rsidR="00550FC1" w:rsidRPr="00ED172B" w:rsidRDefault="00550FC1" w:rsidP="00B073DB">
            <w:pPr>
              <w:jc w:val="center"/>
              <w:rPr>
                <w:color w:val="000000" w:themeColor="text1"/>
              </w:rPr>
            </w:pPr>
            <w:r w:rsidRPr="00ED172B">
              <w:rPr>
                <w:color w:val="000000" w:themeColor="text1"/>
              </w:rPr>
              <w:t>36.41%</w:t>
            </w:r>
          </w:p>
        </w:tc>
        <w:tc>
          <w:tcPr>
            <w:tcW w:w="2056" w:type="pct"/>
            <w:vAlign w:val="center"/>
          </w:tcPr>
          <w:p w14:paraId="3DB9642D" w14:textId="6600A861" w:rsidR="00550FC1" w:rsidRPr="00794BA1" w:rsidRDefault="00550FC1" w:rsidP="00B073DB">
            <w:pPr>
              <w:jc w:val="center"/>
              <w:rPr>
                <w:color w:val="000000" w:themeColor="text1"/>
              </w:rPr>
            </w:pPr>
            <w:r w:rsidRPr="00794BA1">
              <w:rPr>
                <w:color w:val="000000" w:themeColor="text1"/>
              </w:rPr>
              <w:t>29.68%</w:t>
            </w:r>
          </w:p>
        </w:tc>
      </w:tr>
    </w:tbl>
    <w:p w14:paraId="0C9DACE6" w14:textId="11DE96AB" w:rsidR="00DF2F4F" w:rsidRPr="00DF2F4F" w:rsidRDefault="00DF2F4F" w:rsidP="00DF2F4F">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14:paraId="1BDBFDFD" w14:textId="162256F1" w:rsidR="00DF2F4F" w:rsidRDefault="00DF2F4F" w:rsidP="00DF2F4F">
      <w:pPr>
        <w:rPr>
          <w:rFonts w:cs="Arial"/>
          <w:b/>
          <w:color w:val="000000" w:themeColor="text1"/>
          <w:szCs w:val="16"/>
        </w:rPr>
      </w:pPr>
      <w:r w:rsidRPr="00ED172B">
        <w:rPr>
          <w:rFonts w:cs="Arial"/>
          <w:color w:val="000000" w:themeColor="text1"/>
          <w:szCs w:val="16"/>
        </w:rPr>
        <w:t>As outlined above, the Lead Agency (MA-C) will implement the following strategies in beginning in FFY21 to increase the likelihood of representative response rates:</w:t>
      </w:r>
      <w:r w:rsidRPr="00ED172B">
        <w:rPr>
          <w:rFonts w:cs="Arial"/>
          <w:color w:val="000000" w:themeColor="text1"/>
          <w:szCs w:val="16"/>
        </w:rPr>
        <w:br/>
      </w:r>
      <w:r w:rsidRPr="00ED172B">
        <w:rPr>
          <w:rFonts w:cs="Arial"/>
          <w:color w:val="000000" w:themeColor="text1"/>
          <w:szCs w:val="16"/>
        </w:rPr>
        <w:br/>
        <w:t>Coordination with the Commonwealth's Vaccine Equity Initiative. The differences in the response rates between the 20 hardest-hit COVID communities and others are stunning. MA-C recognizes that the COVID-19 pandemic is still wreaking havoc for many families receiving Part C services and will be working holistically with other state agencies to mitigate inequities that produced these disparities. In FFY21, the Part C Coordinator will work closely with the Commonwealth's Vaccine Equity Initiative (VEI) to promote equitable access to COVID-19 vaccines. For example, MA-C will disseminate information from the VEI to the Parent Training and Information Center, as well as to its contracted EIS programs to help ensure families in these 20 priority communities have access to accurate information from reliable sources. Additionally, MA-C will work with VEI to leverage existing community connections through its contracted EIS programs to host town halls about the vaccine, host pediatric mobile vaccine clinics, and recruit stakeholders for a roll-out of the vaccine for the under 4 population when available.</w:t>
      </w:r>
      <w:r w:rsidRPr="00ED172B">
        <w:rPr>
          <w:rFonts w:cs="Arial"/>
          <w:color w:val="000000" w:themeColor="text1"/>
          <w:szCs w:val="16"/>
        </w:rPr>
        <w:br/>
      </w:r>
      <w:r w:rsidRPr="00ED172B">
        <w:rPr>
          <w:rFonts w:cs="Arial"/>
          <w:color w:val="000000" w:themeColor="text1"/>
          <w:szCs w:val="16"/>
        </w:rPr>
        <w:br/>
        <w:t>Increased Family Education and Outreach. MA-C will recruit, train, and deploy families of color with lived experiences to serve as ambassadors within each local EIS program to share information about the importance of the survey and its role in program improvement. MA-C will also coordinate with local EIS programs to sponsor events for families of color to meet with Family Ambassadors.</w:t>
      </w:r>
      <w:r w:rsidRPr="00ED172B">
        <w:rPr>
          <w:rFonts w:cs="Arial"/>
          <w:color w:val="000000" w:themeColor="text1"/>
          <w:szCs w:val="16"/>
        </w:rPr>
        <w:br/>
      </w:r>
      <w:r w:rsidRPr="00ED172B">
        <w:rPr>
          <w:rFonts w:cs="Arial"/>
          <w:color w:val="000000" w:themeColor="text1"/>
          <w:szCs w:val="16"/>
        </w:rPr>
        <w:br/>
        <w:t>Instrument Evaluation. MA-C will review its recent outcomes and current questions included on its survey with the state Interagency Coordinating Council (ICC) to solicit feedback about the need to refresh questions from validated item bank.</w:t>
      </w:r>
      <w:r w:rsidRPr="00ED172B">
        <w:rPr>
          <w:rFonts w:cs="Arial"/>
          <w:color w:val="000000" w:themeColor="text1"/>
          <w:szCs w:val="16"/>
        </w:rPr>
        <w:br/>
      </w:r>
      <w:r w:rsidRPr="00ED172B">
        <w:rPr>
          <w:rFonts w:cs="Arial"/>
          <w:color w:val="000000" w:themeColor="text1"/>
          <w:szCs w:val="16"/>
        </w:rPr>
        <w:br/>
      </w:r>
      <w:r w:rsidRPr="00ED172B">
        <w:rPr>
          <w:rFonts w:cs="Arial"/>
          <w:color w:val="000000" w:themeColor="text1"/>
          <w:szCs w:val="16"/>
        </w:rPr>
        <w:lastRenderedPageBreak/>
        <w:t>Improve Communications. MA-C will revise information about survey distributed to families and EIS programs, including rationale, and translate into families’ primary written language. Additionally, MA-C will translate the survey into Arabic and Chinese to increase access to families. We expect this to impact 238 families.</w:t>
      </w:r>
      <w:r w:rsidRPr="00ED172B">
        <w:rPr>
          <w:rFonts w:cs="Arial"/>
          <w:color w:val="000000" w:themeColor="text1"/>
          <w:szCs w:val="16"/>
        </w:rPr>
        <w:br/>
      </w:r>
      <w:r w:rsidRPr="00ED172B">
        <w:rPr>
          <w:rFonts w:cs="Arial"/>
          <w:color w:val="000000" w:themeColor="text1"/>
          <w:szCs w:val="16"/>
        </w:rPr>
        <w:br/>
        <w:t>Modify Sampling Procedures. MA-C will reconsider sampling and distribute surveys to all families enrolled. If sampling remains, MA-C Data Manager will work with stakeholders to design a sampling strategy to ensure representativeness across racial, ethnic, and SES groups.</w:t>
      </w:r>
      <w:r w:rsidRPr="00ED172B">
        <w:rPr>
          <w:rFonts w:cs="Arial"/>
          <w:color w:val="000000" w:themeColor="text1"/>
          <w:szCs w:val="16"/>
        </w:rPr>
        <w:br/>
      </w:r>
      <w:r w:rsidRPr="00ED172B">
        <w:rPr>
          <w:rFonts w:cs="Arial"/>
          <w:color w:val="000000" w:themeColor="text1"/>
          <w:szCs w:val="16"/>
        </w:rPr>
        <w:br/>
        <w:t>Modify Distribution Procedures. MA-C will contact families directly instead of relying on EIS programs as liaison.</w:t>
      </w:r>
    </w:p>
    <w:p w14:paraId="26B1B986" w14:textId="0509FCCD" w:rsidR="003B21F7" w:rsidRPr="003B21F7" w:rsidRDefault="003B21F7" w:rsidP="003B21F7">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14:paraId="2121CE81" w14:textId="3486E3FC" w:rsidR="000F27DB" w:rsidRDefault="003B21F7" w:rsidP="000B4FD4">
      <w:pPr>
        <w:rPr>
          <w:rFonts w:cs="Arial"/>
          <w:b/>
          <w:color w:val="000000" w:themeColor="text1"/>
          <w:szCs w:val="16"/>
        </w:rPr>
      </w:pPr>
      <w:r w:rsidRPr="00ED172B">
        <w:rPr>
          <w:rFonts w:cs="Arial"/>
          <w:color w:val="000000" w:themeColor="text1"/>
          <w:szCs w:val="16"/>
        </w:rPr>
        <w:t>MA-C conducted analyses of the response rate using tests of statistical significance. Results demonstrated that response rates differ between racial groups and there may be a nonresponse bias among African American or Black families. For example, 22% of white families selected for the survey responded; however, only 14% of black families responded.</w:t>
      </w:r>
      <w:r w:rsidRPr="00ED172B">
        <w:rPr>
          <w:rFonts w:cs="Arial"/>
          <w:color w:val="000000" w:themeColor="text1"/>
          <w:szCs w:val="16"/>
        </w:rPr>
        <w:br/>
      </w:r>
      <w:r w:rsidRPr="00ED172B">
        <w:rPr>
          <w:rFonts w:cs="Arial"/>
          <w:color w:val="000000" w:themeColor="text1"/>
          <w:szCs w:val="16"/>
        </w:rPr>
        <w:br/>
        <w:t>MA-C acknowledges that the sample selected in FFY20 was designed exclusively based on its inclusion criteria and did not consider race as a selection factor, making the post-hoc reduction of nonresponse bias challenging. Beginning in FFY21, MA-C will revise the procedures it uses to select a sample and implement strategies to improve response rates among underrepresented groups.</w:t>
      </w:r>
    </w:p>
    <w:p w14:paraId="0932C3FE" w14:textId="038CE682" w:rsidR="00FB7AE9" w:rsidRPr="00ED172B" w:rsidRDefault="00C6758D" w:rsidP="000B4FD4">
      <w:pPr>
        <w:rPr>
          <w:rFonts w:cs="Arial"/>
          <w:b/>
          <w:color w:val="000000" w:themeColor="text1"/>
          <w:szCs w:val="16"/>
        </w:rPr>
      </w:pPr>
      <w:r w:rsidRPr="00ED172B">
        <w:rPr>
          <w:rFonts w:cs="Arial"/>
          <w:b/>
          <w:color w:val="000000" w:themeColor="text1"/>
          <w:szCs w:val="16"/>
        </w:rPr>
        <w:t>Include the State’s analysis of the extent to which the demographics of the infants or toddlers for whom families responded are representative of the demographics of infants and toddlers enrolled in the Part C program.</w:t>
      </w:r>
      <w:r w:rsidR="00421726" w:rsidRPr="00421726">
        <w:t xml:space="preserve"> </w:t>
      </w:r>
      <w:r w:rsidR="00D57298" w:rsidRPr="005D3A4C">
        <w:rPr>
          <w:rFonts w:cs="Arial"/>
          <w:b/>
          <w:szCs w:val="16"/>
        </w:rPr>
        <w:t>States should consider categories such as race/ethnicity, age of infant or toddler, and geographic location in the State.</w:t>
      </w:r>
    </w:p>
    <w:p w14:paraId="4772D9A6" w14:textId="552E1610" w:rsidR="00013004" w:rsidRPr="00ED172B" w:rsidRDefault="00860830" w:rsidP="00013004">
      <w:pPr>
        <w:rPr>
          <w:rFonts w:cs="Arial"/>
          <w:color w:val="000000" w:themeColor="text1"/>
          <w:szCs w:val="16"/>
        </w:rPr>
      </w:pPr>
      <w:r w:rsidRPr="00ED172B">
        <w:rPr>
          <w:rFonts w:cs="Arial"/>
          <w:color w:val="000000" w:themeColor="text1"/>
          <w:szCs w:val="16"/>
        </w:rPr>
        <w:t>MA-C has analyzed the extent to which the demographics of its infants and toddlers for whom families responded are representative of the demographics of those enrolled in its Part C program using tests of statistical significance. MA-C acknowledges that the sample selected in FFY20 was designed exclusively based on its inclusion criteria and did not consider race as a selection factor.</w:t>
      </w:r>
      <w:r w:rsidRPr="00ED172B">
        <w:rPr>
          <w:rFonts w:cs="Arial"/>
          <w:color w:val="000000" w:themeColor="text1"/>
          <w:szCs w:val="16"/>
        </w:rPr>
        <w:br/>
      </w:r>
      <w:r w:rsidRPr="00ED172B">
        <w:rPr>
          <w:rFonts w:cs="Arial"/>
          <w:color w:val="000000" w:themeColor="text1"/>
          <w:szCs w:val="16"/>
        </w:rPr>
        <w:br/>
        <w:t>In a post-hoc analysis, MA-C compared the number of children exiting in FFY20 to those for whom families responded. Results demonstrate that the responses underestimate representation for African American or Black families by 5% and overestimate representation for white families by 11%. It was also discovered that the survey did not use the race/ethnicity categories that match those provided to OSEP. For example, in the family survey distributed in March 2021, families who identify as Asian, Native Hawaiian, and Pacific Islander are all included in a single category. It was also discovered that the race for 24 respondents was not recorded.</w:t>
      </w:r>
      <w:r w:rsidRPr="00ED172B">
        <w:rPr>
          <w:rFonts w:cs="Arial"/>
          <w:color w:val="000000" w:themeColor="text1"/>
          <w:szCs w:val="16"/>
        </w:rPr>
        <w:br/>
      </w:r>
      <w:r w:rsidRPr="00ED172B">
        <w:rPr>
          <w:rFonts w:cs="Arial"/>
          <w:color w:val="000000" w:themeColor="text1"/>
          <w:szCs w:val="16"/>
        </w:rPr>
        <w:br/>
        <w:t>A second post-hoc analysis was conducted to compare response rates across EIS programs by region. The regions of Massachusetts vary widely with respect to socioeconomic status of its residents. When compared across programs, response rates vary significantly (range 7.89%-66.18%), with 30 EIS programs having response rates lower than the state average of 29.68%. When compared by region, patterns become increasingly clear. Results demonstrate that response rates in four regions have average response rates lower than the state average: Boston (mean 28.30%, range 8.52%-66.18%), West/Southwest (mean 25.82%, range 7.89-43.75%, West/Northwest (mean 25.52%, range 17.71%-33%) and Northeast (mean 28.24%, range 9.66%-50%). These areas correspond with the 20 communities in the Commonwealth with the highest rates of COVID-19 and the lowest vaccination rates. By contrast, the remaining regions of the state had response rates higher than the state average: Metro North (mean 30.83%, range 13.58%-48.94%), Central (mean 31.66%, range17.65%-52.65%), and Southeast (mean 29.75%, range 16.07-36.27%), West/North (mean 39.49%, range 22.73%-55.25%), West/South (mean 35%, range 17.24%-46%).</w:t>
      </w:r>
    </w:p>
    <w:bookmarkEnd w:id="26"/>
    <w:p w14:paraId="7E05034D" w14:textId="77777777" w:rsidR="003B21F7" w:rsidRPr="003B21F7" w:rsidRDefault="003B21F7" w:rsidP="003B21F7">
      <w:pPr>
        <w:rPr>
          <w:rFonts w:cs="Arial"/>
          <w:b/>
          <w:color w:val="000000" w:themeColor="text1"/>
          <w:szCs w:val="16"/>
        </w:rPr>
      </w:pPr>
      <w:r w:rsidRPr="003B21F7">
        <w:rPr>
          <w:rFonts w:cs="Arial"/>
          <w:b/>
          <w:color w:val="000000" w:themeColor="text1"/>
          <w:szCs w:val="16"/>
        </w:rPr>
        <w:t>Describe the metric used to determine representativeness (e.g., +/- 3% discrepancy, age of the infant or toddler, and geographic location in the proportion of responders compared to target group).</w:t>
      </w:r>
    </w:p>
    <w:p w14:paraId="406DCC06" w14:textId="26305B92" w:rsidR="003B21F7" w:rsidRPr="00F85A5B" w:rsidRDefault="003B21F7" w:rsidP="003A3693">
      <w:pPr>
        <w:rPr>
          <w:rFonts w:cs="Arial"/>
          <w:color w:val="000000" w:themeColor="text1"/>
          <w:szCs w:val="16"/>
        </w:rPr>
      </w:pPr>
      <w:r w:rsidRPr="00ED172B">
        <w:rPr>
          <w:rFonts w:cs="Arial"/>
          <w:color w:val="000000" w:themeColor="text1"/>
          <w:szCs w:val="16"/>
        </w:rPr>
        <w:t xml:space="preserve">To determine representativeness by race, MA-C used a test of proportional difference to determine if the differences between the target and actual representativeness are statistically significant (significance level=.10). To determine representativeness by geographic location, MA-C averaged the response rates for each EIS program within a region and then compared the arithmetic mean to the state average. </w:t>
      </w:r>
    </w:p>
    <w:p w14:paraId="38AE52A4" w14:textId="56F41423"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2A53339" w14:textId="06E1058A" w:rsidR="003A3693" w:rsidRPr="00ED172B" w:rsidRDefault="00860830" w:rsidP="003A3693">
      <w:pPr>
        <w:rPr>
          <w:rFonts w:cs="Arial"/>
          <w:color w:val="000000" w:themeColor="text1"/>
          <w:szCs w:val="16"/>
        </w:rPr>
      </w:pPr>
      <w:r w:rsidRPr="00ED172B">
        <w:rPr>
          <w:rFonts w:cs="Arial"/>
          <w:color w:val="000000" w:themeColor="text1"/>
          <w:szCs w:val="16"/>
        </w:rPr>
        <w:t>Bivariate crosstabulation analysis between a family's perception of the early intervention services and race/ethnicity of the respondent did not indicate a statistically significant correlation. That is, a family's perception of services does not appear to be associated with race/ethnicity in our data. Although this initial result is affirming, MA-C interprets it with caution as its sample was small, the response rate was lower than prior FFYs, and the sample was not designed to be representative of the racial composition of the families served, MA-C will repeat this analysis in future years as a first step toward identifying and eliminating racial inequities that exist within its system.</w:t>
      </w:r>
    </w:p>
    <w:p w14:paraId="1A02BAFD" w14:textId="4A2D5F8A" w:rsidR="00DC0682" w:rsidRPr="00A40EE1" w:rsidRDefault="000D0117" w:rsidP="005C3FFD">
      <w:pPr>
        <w:pStyle w:val="Heading2"/>
      </w:pPr>
      <w:r w:rsidRPr="00A40EE1">
        <w:t xml:space="preserve">4 - </w:t>
      </w:r>
      <w:r w:rsidR="00DC0682" w:rsidRPr="00A40EE1">
        <w:t>Prior FFY Required Actions</w:t>
      </w:r>
    </w:p>
    <w:p w14:paraId="5D9F9B9C" w14:textId="5185C7E0" w:rsidR="004C1CEE" w:rsidRPr="00ED172B" w:rsidRDefault="00291EA9" w:rsidP="00027F39">
      <w:pPr>
        <w:rPr>
          <w:color w:val="000000" w:themeColor="text1"/>
        </w:rPr>
      </w:pPr>
      <w:r w:rsidRPr="00ED172B">
        <w:rPr>
          <w:color w:val="000000" w:themeColor="text1"/>
        </w:rPr>
        <w:t>OSEP notes that one or more of the attachments included in the State’s FFY 2019 SPP/APR submission are not in compliance with Section 508 of the Rehabilitation Act of 1973, as amended (Section 508), and will not be posted on the U.S. Department of Education’s IDEA website. Therefore, the State must make the attachment(s) available to the public as soon as practicable, but no later than 120 days after the date of the determination letter.</w:t>
      </w:r>
    </w:p>
    <w:p w14:paraId="097370A1" w14:textId="77777777" w:rsidR="004C1CEE" w:rsidRPr="00ED172B" w:rsidRDefault="004C1CEE" w:rsidP="00DC0682">
      <w:pPr>
        <w:rPr>
          <w:rFonts w:cs="Arial"/>
          <w:color w:val="000000" w:themeColor="text1"/>
          <w:szCs w:val="16"/>
        </w:rPr>
      </w:pPr>
    </w:p>
    <w:p w14:paraId="36FD66B9" w14:textId="6E526410" w:rsidR="00DC0682" w:rsidRPr="00ED172B" w:rsidRDefault="00DC0682" w:rsidP="00B83404">
      <w:pPr>
        <w:rPr>
          <w:color w:val="000000" w:themeColor="text1"/>
        </w:rPr>
      </w:pPr>
      <w:r w:rsidRPr="00ED172B">
        <w:rPr>
          <w:b/>
          <w:color w:val="000000" w:themeColor="text1"/>
        </w:rPr>
        <w:t>Response to actions required in FFY 2019 SPP/APR</w:t>
      </w:r>
      <w:r w:rsidR="00950382" w:rsidRPr="00ED172B">
        <w:rPr>
          <w:color w:val="000000" w:themeColor="text1"/>
        </w:rPr>
        <w:t xml:space="preserve"> </w:t>
      </w:r>
    </w:p>
    <w:p w14:paraId="517638FD" w14:textId="11CB85A2" w:rsidR="004C1CEE" w:rsidRPr="00ED172B" w:rsidRDefault="00291EA9" w:rsidP="00027F39">
      <w:pPr>
        <w:rPr>
          <w:color w:val="000000" w:themeColor="text1"/>
        </w:rPr>
      </w:pPr>
      <w:r w:rsidRPr="00ED172B">
        <w:rPr>
          <w:color w:val="000000" w:themeColor="text1"/>
        </w:rPr>
        <w:t xml:space="preserve">MA-C acknowledges that a table included in its FFY19 SPP/APR was not in compliance with Section 508 of the Rehabilitation Act of 1973. This table was corrected, converted to text, and included in MA-C's response in FFY19 during the April 2021 clarification period. </w:t>
      </w:r>
    </w:p>
    <w:p w14:paraId="325A8BC5" w14:textId="5A7B90FE"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56B0BFC2" w14:textId="317255FC" w:rsidR="00DC0682" w:rsidRPr="00A40EE1" w:rsidRDefault="000D0117" w:rsidP="005C3FFD">
      <w:pPr>
        <w:pStyle w:val="Heading2"/>
      </w:pPr>
      <w:r w:rsidRPr="00A40EE1">
        <w:t xml:space="preserve">4 - </w:t>
      </w:r>
      <w:r w:rsidR="00DC0682" w:rsidRPr="00A40EE1">
        <w:t>OSEP Response</w:t>
      </w:r>
    </w:p>
    <w:p w14:paraId="55B96259" w14:textId="37B92EE8" w:rsidR="00DC0682" w:rsidRPr="00ED172B" w:rsidRDefault="00291EA9" w:rsidP="00027F39">
      <w:pPr>
        <w:rPr>
          <w:color w:val="000000" w:themeColor="text1"/>
        </w:rPr>
      </w:pPr>
      <w:r w:rsidRPr="00ED172B">
        <w:rPr>
          <w:color w:val="000000" w:themeColor="text1"/>
        </w:rPr>
        <w:t>The State provided targets for FFYs 2020 through 2025 for this indicator, and OSEP accepts those targets.</w:t>
      </w:r>
      <w:r w:rsidRPr="00ED172B">
        <w:rPr>
          <w:color w:val="000000" w:themeColor="text1"/>
        </w:rPr>
        <w:br/>
      </w:r>
      <w:r w:rsidRPr="00ED172B">
        <w:rPr>
          <w:color w:val="000000" w:themeColor="text1"/>
        </w:rPr>
        <w:br/>
        <w:t>The State provided an explanation of how COVID-19 impacted its ability to collect FFY 2020 data for this indicator and steps the State has taken to mitigate the impact of COVID-19 on data collection.</w:t>
      </w:r>
      <w:r w:rsidRPr="00ED172B">
        <w:rPr>
          <w:color w:val="000000" w:themeColor="text1"/>
        </w:rPr>
        <w:br/>
      </w:r>
      <w:r w:rsidRPr="00ED172B">
        <w:rPr>
          <w:color w:val="000000" w:themeColor="text1"/>
        </w:rPr>
        <w:br/>
        <w:t>The State submitted its sampling plan for this indicator with its FFY 2020 SPP/APR. OSEP will follow up with the State under separate cover regarding the submission.</w:t>
      </w:r>
    </w:p>
    <w:p w14:paraId="43FEC740" w14:textId="22A7B19A" w:rsidR="00DC0682" w:rsidRPr="00A40EE1" w:rsidRDefault="000D0117" w:rsidP="005C3FFD">
      <w:pPr>
        <w:pStyle w:val="Heading2"/>
      </w:pPr>
      <w:r w:rsidRPr="00A40EE1">
        <w:lastRenderedPageBreak/>
        <w:t xml:space="preserve">4 - </w:t>
      </w:r>
      <w:r w:rsidR="00DC0682" w:rsidRPr="00A40EE1">
        <w:t>Required Actions</w:t>
      </w:r>
    </w:p>
    <w:p w14:paraId="202EB0B4" w14:textId="1EF7FA87" w:rsidR="00DC0682" w:rsidRPr="00ED172B" w:rsidRDefault="00291EA9" w:rsidP="00027F39">
      <w:pPr>
        <w:rPr>
          <w:color w:val="000000" w:themeColor="text1"/>
        </w:rPr>
      </w:pPr>
      <w:r w:rsidRPr="00ED172B">
        <w:rPr>
          <w:color w:val="000000" w:themeColor="text1"/>
        </w:rPr>
        <w:t>In the FFY 2021 SPP/APR, the State must report whether its FFY 2021 response data are representative of the demographics of infants, toddlers, and families enrolled in the Part C program , and, if not, the actions the State is taking to address this issue. The State must also include its analysis of the extent to which the demographics of the families responding are representative of the population.</w:t>
      </w:r>
    </w:p>
    <w:p w14:paraId="11D8B7F8" w14:textId="77777777" w:rsidR="003D02CD" w:rsidRPr="00ED172B" w:rsidRDefault="003D02CD" w:rsidP="008D619C">
      <w:pPr>
        <w:rPr>
          <w:color w:val="000000" w:themeColor="text1"/>
        </w:rPr>
        <w:sectPr w:rsidR="003D02CD" w:rsidRPr="00ED172B" w:rsidSect="00E22993">
          <w:pgSz w:w="12240" w:h="15840"/>
          <w:pgMar w:top="720" w:right="720" w:bottom="720" w:left="720" w:header="720" w:footer="720" w:gutter="0"/>
          <w:cols w:space="720"/>
          <w:docGrid w:linePitch="360"/>
        </w:sectPr>
      </w:pPr>
    </w:p>
    <w:p w14:paraId="4216587F" w14:textId="77777777" w:rsidR="00D03701" w:rsidRPr="00ED172B" w:rsidRDefault="00D03701" w:rsidP="0077063D">
      <w:pPr>
        <w:pStyle w:val="Heading1"/>
        <w:rPr>
          <w:color w:val="000000" w:themeColor="text1"/>
        </w:rPr>
      </w:pPr>
      <w:bookmarkStart w:id="29" w:name="_Toc384383330"/>
      <w:bookmarkStart w:id="30" w:name="_Toc392159282"/>
      <w:bookmarkStart w:id="31" w:name="_Toc382082372"/>
      <w:bookmarkEnd w:id="27"/>
      <w:bookmarkEnd w:id="28"/>
      <w:r w:rsidRPr="00ED172B">
        <w:rPr>
          <w:color w:val="000000" w:themeColor="text1"/>
        </w:rPr>
        <w:lastRenderedPageBreak/>
        <w:t xml:space="preserve">Indicator </w:t>
      </w:r>
      <w:bookmarkEnd w:id="29"/>
      <w:bookmarkEnd w:id="30"/>
      <w:r w:rsidR="00975A3C" w:rsidRPr="00ED172B">
        <w:rPr>
          <w:color w:val="000000" w:themeColor="text1"/>
        </w:rPr>
        <w:t>5: Child Find (Birth to One)</w:t>
      </w:r>
    </w:p>
    <w:p w14:paraId="18873DC7" w14:textId="77777777" w:rsidR="000C5918" w:rsidRPr="00ED172B" w:rsidRDefault="000C5918" w:rsidP="00186420">
      <w:pPr>
        <w:rPr>
          <w:color w:val="000000" w:themeColor="text1"/>
          <w:szCs w:val="20"/>
        </w:rPr>
      </w:pPr>
      <w:bookmarkStart w:id="32" w:name="_Toc384383331"/>
      <w:bookmarkStart w:id="33" w:name="_Toc392159283"/>
      <w:r w:rsidRPr="00ED172B">
        <w:rPr>
          <w:b/>
          <w:color w:val="000000" w:themeColor="text1"/>
          <w:sz w:val="20"/>
          <w:szCs w:val="20"/>
        </w:rPr>
        <w:t>Instructions and Measurement</w:t>
      </w:r>
    </w:p>
    <w:p w14:paraId="6E4DCAD6"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61FE9E49" w14:textId="4EDA5E34"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toddlers birth to 1 with IFSPs</w:t>
      </w:r>
      <w:r w:rsidR="00E9116A">
        <w:rPr>
          <w:rFonts w:cs="Arial"/>
          <w:color w:val="000000" w:themeColor="text1"/>
          <w:szCs w:val="16"/>
        </w:rPr>
        <w:t xml:space="preserve">. </w:t>
      </w:r>
    </w:p>
    <w:p w14:paraId="396B779E" w14:textId="7616C132"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6E08EE69" w14:textId="77777777" w:rsidR="005918D1" w:rsidRPr="00ED172B" w:rsidRDefault="005918D1">
      <w:pPr>
        <w:rPr>
          <w:b/>
          <w:color w:val="000000" w:themeColor="text1"/>
        </w:rPr>
      </w:pPr>
      <w:r w:rsidRPr="00ED172B">
        <w:rPr>
          <w:b/>
          <w:color w:val="000000" w:themeColor="text1"/>
        </w:rPr>
        <w:t>Data Source</w:t>
      </w:r>
    </w:p>
    <w:p w14:paraId="67AF22C2" w14:textId="26675CCD" w:rsidR="005918D1" w:rsidRPr="00ED172B" w:rsidRDefault="005918D1" w:rsidP="00815A6D">
      <w:pPr>
        <w:rPr>
          <w:rFonts w:cs="Arial"/>
          <w:color w:val="000000" w:themeColor="text1"/>
          <w:szCs w:val="16"/>
        </w:rPr>
      </w:pPr>
      <w:r w:rsidRPr="00ED172B">
        <w:rPr>
          <w:rFonts w:cs="Arial"/>
          <w:color w:val="000000" w:themeColor="text1"/>
          <w:szCs w:val="16"/>
        </w:rPr>
        <w:t>Data collected under section 618 of the IDEA (IDEA Part C Child Count and Settings data collection in the E</w:t>
      </w:r>
      <w:r w:rsidRPr="00F85A5B">
        <w:rPr>
          <w:rFonts w:cs="Arial"/>
          <w:i/>
          <w:color w:val="000000" w:themeColor="text1"/>
          <w:szCs w:val="16"/>
        </w:rPr>
        <w:t>DFacts</w:t>
      </w:r>
      <w:r w:rsidRPr="00ED172B">
        <w:rPr>
          <w:rFonts w:cs="Arial"/>
          <w:color w:val="000000" w:themeColor="text1"/>
          <w:szCs w:val="16"/>
        </w:rPr>
        <w:t xml:space="preserve"> Metadata and Process System (E</w:t>
      </w:r>
      <w:r w:rsidRPr="00ED172B">
        <w:rPr>
          <w:rFonts w:cs="Arial"/>
          <w:i/>
          <w:color w:val="000000" w:themeColor="text1"/>
          <w:szCs w:val="16"/>
        </w:rPr>
        <w:t>MAPS</w:t>
      </w:r>
      <w:r w:rsidRPr="00ED172B">
        <w:rPr>
          <w:rFonts w:cs="Arial"/>
          <w:color w:val="000000" w:themeColor="text1"/>
          <w:szCs w:val="16"/>
        </w:rPr>
        <w:t>)) and Census (for the denominator).</w:t>
      </w:r>
    </w:p>
    <w:p w14:paraId="44D56CFB" w14:textId="77777777" w:rsidR="005918D1" w:rsidRPr="00ED172B" w:rsidRDefault="005918D1">
      <w:pPr>
        <w:rPr>
          <w:b/>
          <w:color w:val="000000" w:themeColor="text1"/>
        </w:rPr>
      </w:pPr>
      <w:r w:rsidRPr="00ED172B">
        <w:rPr>
          <w:b/>
          <w:color w:val="000000" w:themeColor="text1"/>
        </w:rPr>
        <w:t>Measurement</w:t>
      </w:r>
    </w:p>
    <w:p w14:paraId="33DB8BD0" w14:textId="5C133B82" w:rsidR="005918D1" w:rsidRPr="00ED172B" w:rsidRDefault="005918D1" w:rsidP="00815A6D">
      <w:pPr>
        <w:rPr>
          <w:rFonts w:cs="Arial"/>
          <w:color w:val="000000" w:themeColor="text1"/>
          <w:szCs w:val="16"/>
        </w:rPr>
      </w:pPr>
      <w:r w:rsidRPr="00ED172B">
        <w:rPr>
          <w:rFonts w:cs="Arial"/>
          <w:color w:val="000000" w:themeColor="text1"/>
          <w:szCs w:val="16"/>
        </w:rPr>
        <w:t>Percent = [(# of infants and toddlers birth to 1 with IFSPs) divided by the (population of infants and toddlers birth to 1)] times 100.</w:t>
      </w:r>
    </w:p>
    <w:p w14:paraId="088F683B" w14:textId="77777777" w:rsidR="005918D1" w:rsidRPr="00ED172B" w:rsidRDefault="005918D1">
      <w:pPr>
        <w:rPr>
          <w:b/>
          <w:color w:val="000000" w:themeColor="text1"/>
        </w:rPr>
      </w:pPr>
      <w:r w:rsidRPr="00ED172B">
        <w:rPr>
          <w:b/>
          <w:color w:val="000000" w:themeColor="text1"/>
        </w:rPr>
        <w:t>Instructions</w:t>
      </w:r>
    </w:p>
    <w:p w14:paraId="269F88B6"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3D3A7D60" w14:textId="46896635" w:rsidR="005918D1" w:rsidRPr="00ED172B" w:rsidRDefault="005918D1" w:rsidP="00815A6D">
      <w:pPr>
        <w:rPr>
          <w:rFonts w:cs="Arial"/>
          <w:color w:val="000000" w:themeColor="text1"/>
          <w:szCs w:val="16"/>
        </w:rPr>
      </w:pPr>
      <w:r w:rsidRPr="00ED172B">
        <w:rPr>
          <w:rFonts w:cs="Arial"/>
          <w:color w:val="000000" w:themeColor="text1"/>
          <w:szCs w:val="16"/>
        </w:rPr>
        <w:t>Describe the results of the calculations.The data reported in this indicator should be consistent with the State’s reported 618 data reported in Table 1. If not, explain why.</w:t>
      </w:r>
    </w:p>
    <w:bookmarkEnd w:id="32"/>
    <w:bookmarkEnd w:id="33"/>
    <w:p w14:paraId="16D48487" w14:textId="7FC7FF4B" w:rsidR="00D03701" w:rsidRPr="00A40EE1" w:rsidRDefault="000D0117" w:rsidP="005C3FFD">
      <w:pPr>
        <w:pStyle w:val="Heading2"/>
      </w:pPr>
      <w:r w:rsidRPr="00A40EE1">
        <w:t xml:space="preserve">5 - </w:t>
      </w:r>
      <w:r w:rsidR="00815A6D" w:rsidRPr="00A40EE1">
        <w:t>Indicator Data</w:t>
      </w:r>
    </w:p>
    <w:p w14:paraId="0D19EA3C" w14:textId="064CA1B1" w:rsidR="0085799B" w:rsidRDefault="0085799B">
      <w:pPr>
        <w:rPr>
          <w:b/>
          <w:color w:val="000000" w:themeColor="text1"/>
        </w:rPr>
      </w:pPr>
      <w:bookmarkStart w:id="34" w:name="_Toc384383332"/>
      <w:bookmarkStart w:id="35" w:name="_Toc392159284"/>
      <w:r w:rsidRPr="00ED172B">
        <w:rPr>
          <w:b/>
          <w:color w:val="000000" w:themeColor="text1"/>
        </w:rPr>
        <w:t>Historical Data</w:t>
      </w:r>
    </w:p>
    <w:p w14:paraId="44E3B19B" w14:textId="6E216AE3"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56A556F1" w14:textId="77777777" w:rsidTr="00A40EE1">
        <w:trPr>
          <w:trHeight w:val="170"/>
          <w:tblHeader/>
        </w:trPr>
        <w:tc>
          <w:tcPr>
            <w:tcW w:w="2500" w:type="pct"/>
            <w:tcBorders>
              <w:bottom w:val="single" w:sz="4" w:space="0" w:color="auto"/>
            </w:tcBorders>
            <w:shd w:val="clear" w:color="auto" w:fill="auto"/>
            <w:vAlign w:val="center"/>
          </w:tcPr>
          <w:p w14:paraId="7AD92A1B" w14:textId="33FED7A9"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shd w:val="clear" w:color="auto" w:fill="auto"/>
            <w:vAlign w:val="center"/>
          </w:tcPr>
          <w:p w14:paraId="78314817" w14:textId="75CAA5FC"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475CC706" w14:textId="77777777" w:rsidTr="00A40EE1">
        <w:trPr>
          <w:trHeight w:val="170"/>
        </w:trPr>
        <w:tc>
          <w:tcPr>
            <w:tcW w:w="2500" w:type="pct"/>
            <w:tcBorders>
              <w:bottom w:val="single" w:sz="4" w:space="0" w:color="auto"/>
            </w:tcBorders>
            <w:shd w:val="clear" w:color="auto" w:fill="auto"/>
            <w:vAlign w:val="center"/>
          </w:tcPr>
          <w:p w14:paraId="2BDEA77F" w14:textId="77777777" w:rsidR="00E30D86" w:rsidRPr="00ED172B" w:rsidRDefault="00E30D86" w:rsidP="00C15786">
            <w:pPr>
              <w:jc w:val="center"/>
              <w:rPr>
                <w:b/>
                <w:color w:val="000000" w:themeColor="text1"/>
              </w:rPr>
            </w:pPr>
            <w:r w:rsidRPr="00ED172B">
              <w:rPr>
                <w:color w:val="000000" w:themeColor="text1"/>
              </w:rPr>
              <w:t>2009</w:t>
            </w:r>
          </w:p>
        </w:tc>
        <w:tc>
          <w:tcPr>
            <w:tcW w:w="2500" w:type="pct"/>
            <w:tcBorders>
              <w:top w:val="single" w:sz="4" w:space="0" w:color="auto"/>
              <w:right w:val="single" w:sz="4" w:space="0" w:color="auto"/>
            </w:tcBorders>
            <w:shd w:val="clear" w:color="auto" w:fill="auto"/>
            <w:vAlign w:val="center"/>
          </w:tcPr>
          <w:p w14:paraId="17CC8BB4" w14:textId="77777777" w:rsidR="00E30D86" w:rsidRPr="00ED172B" w:rsidRDefault="00E30D86" w:rsidP="00C15786">
            <w:pPr>
              <w:jc w:val="center"/>
              <w:rPr>
                <w:b/>
                <w:color w:val="000000" w:themeColor="text1"/>
              </w:rPr>
            </w:pPr>
            <w:r w:rsidRPr="00ED172B">
              <w:rPr>
                <w:color w:val="000000" w:themeColor="text1"/>
              </w:rPr>
              <w:t>2.45%</w:t>
            </w:r>
          </w:p>
        </w:tc>
      </w:tr>
    </w:tbl>
    <w:p w14:paraId="130E6FAB"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6AA3204D" w14:textId="77777777" w:rsidTr="00986B99">
        <w:trPr>
          <w:trHeight w:val="260"/>
        </w:trPr>
        <w:tc>
          <w:tcPr>
            <w:tcW w:w="415" w:type="pct"/>
            <w:tcBorders>
              <w:bottom w:val="single" w:sz="4" w:space="0" w:color="auto"/>
            </w:tcBorders>
            <w:shd w:val="clear" w:color="auto" w:fill="auto"/>
          </w:tcPr>
          <w:p w14:paraId="765D4B8A"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shd w:val="clear" w:color="auto" w:fill="auto"/>
            <w:vAlign w:val="center"/>
          </w:tcPr>
          <w:p w14:paraId="7427E7A3" w14:textId="0F2057B6" w:rsidR="0085799B" w:rsidRPr="00ED172B" w:rsidRDefault="002163F2" w:rsidP="00CD79C5">
            <w:pPr>
              <w:jc w:val="center"/>
              <w:rPr>
                <w:b/>
                <w:color w:val="000000" w:themeColor="text1"/>
                <w:szCs w:val="16"/>
              </w:rPr>
            </w:pPr>
            <w:r w:rsidRPr="00ED172B">
              <w:rPr>
                <w:rFonts w:cs="Arial"/>
                <w:b/>
                <w:color w:val="000000" w:themeColor="text1"/>
                <w:szCs w:val="16"/>
              </w:rPr>
              <w:t>2015</w:t>
            </w:r>
          </w:p>
        </w:tc>
        <w:tc>
          <w:tcPr>
            <w:tcW w:w="1026" w:type="pct"/>
            <w:shd w:val="clear" w:color="auto" w:fill="auto"/>
            <w:vAlign w:val="center"/>
          </w:tcPr>
          <w:p w14:paraId="39EE57D2" w14:textId="6D1974D8" w:rsidR="0085799B" w:rsidRPr="00ED172B" w:rsidRDefault="002163F2" w:rsidP="00CD79C5">
            <w:pPr>
              <w:jc w:val="center"/>
              <w:rPr>
                <w:b/>
                <w:color w:val="000000" w:themeColor="text1"/>
                <w:szCs w:val="16"/>
              </w:rPr>
            </w:pPr>
            <w:r w:rsidRPr="00ED172B">
              <w:rPr>
                <w:rFonts w:cs="Arial"/>
                <w:b/>
                <w:color w:val="000000" w:themeColor="text1"/>
                <w:szCs w:val="16"/>
              </w:rPr>
              <w:t>2016</w:t>
            </w:r>
          </w:p>
        </w:tc>
        <w:tc>
          <w:tcPr>
            <w:tcW w:w="867" w:type="pct"/>
            <w:shd w:val="clear" w:color="auto" w:fill="auto"/>
            <w:vAlign w:val="center"/>
          </w:tcPr>
          <w:p w14:paraId="07ABD3A8" w14:textId="775D53FD" w:rsidR="0085799B" w:rsidRPr="00ED172B" w:rsidRDefault="002163F2" w:rsidP="00CD79C5">
            <w:pPr>
              <w:jc w:val="center"/>
              <w:rPr>
                <w:b/>
                <w:color w:val="000000" w:themeColor="text1"/>
                <w:szCs w:val="16"/>
              </w:rPr>
            </w:pPr>
            <w:r w:rsidRPr="00ED172B">
              <w:rPr>
                <w:rFonts w:cs="Arial"/>
                <w:b/>
                <w:color w:val="000000" w:themeColor="text1"/>
                <w:szCs w:val="16"/>
              </w:rPr>
              <w:t>2017</w:t>
            </w:r>
          </w:p>
        </w:tc>
        <w:tc>
          <w:tcPr>
            <w:tcW w:w="867" w:type="pct"/>
            <w:shd w:val="clear" w:color="auto" w:fill="auto"/>
            <w:vAlign w:val="center"/>
          </w:tcPr>
          <w:p w14:paraId="65E388A1" w14:textId="63D1B2DC" w:rsidR="0085799B" w:rsidRPr="00ED172B" w:rsidRDefault="002163F2" w:rsidP="00CD79C5">
            <w:pPr>
              <w:jc w:val="center"/>
              <w:rPr>
                <w:b/>
                <w:color w:val="000000" w:themeColor="text1"/>
                <w:szCs w:val="16"/>
              </w:rPr>
            </w:pPr>
            <w:r w:rsidRPr="00ED172B">
              <w:rPr>
                <w:rFonts w:cs="Arial"/>
                <w:b/>
                <w:color w:val="000000" w:themeColor="text1"/>
                <w:szCs w:val="16"/>
              </w:rPr>
              <w:t>2018</w:t>
            </w:r>
          </w:p>
        </w:tc>
        <w:tc>
          <w:tcPr>
            <w:tcW w:w="866" w:type="pct"/>
            <w:shd w:val="clear" w:color="auto" w:fill="auto"/>
            <w:vAlign w:val="center"/>
          </w:tcPr>
          <w:p w14:paraId="64FD75F5" w14:textId="72D6F5D5" w:rsidR="0085799B" w:rsidRPr="00ED172B" w:rsidRDefault="006D43D3" w:rsidP="00CD79C5">
            <w:pPr>
              <w:jc w:val="center"/>
              <w:rPr>
                <w:b/>
                <w:color w:val="000000" w:themeColor="text1"/>
                <w:szCs w:val="16"/>
              </w:rPr>
            </w:pPr>
            <w:r w:rsidRPr="00ED172B">
              <w:rPr>
                <w:rFonts w:cs="Arial"/>
                <w:b/>
                <w:color w:val="000000" w:themeColor="text1"/>
                <w:szCs w:val="16"/>
              </w:rPr>
              <w:t>2019</w:t>
            </w:r>
          </w:p>
        </w:tc>
      </w:tr>
      <w:tr w:rsidR="00ED172B" w:rsidRPr="00ED172B" w14:paraId="06A3AA4A" w14:textId="77777777" w:rsidTr="00986B99">
        <w:trPr>
          <w:trHeight w:val="357"/>
        </w:trPr>
        <w:tc>
          <w:tcPr>
            <w:tcW w:w="415" w:type="pct"/>
            <w:shd w:val="clear" w:color="auto" w:fill="auto"/>
          </w:tcPr>
          <w:p w14:paraId="0F1B242F" w14:textId="0D1F307B" w:rsidR="0085799B" w:rsidRPr="00ED172B" w:rsidRDefault="0085799B" w:rsidP="00B83404">
            <w:pP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1F47DC5E" w14:textId="0093849A" w:rsidR="0085799B" w:rsidRPr="00ED172B" w:rsidRDefault="00860830" w:rsidP="00CD79C5">
            <w:pPr>
              <w:jc w:val="center"/>
              <w:rPr>
                <w:color w:val="000000" w:themeColor="text1"/>
                <w:szCs w:val="16"/>
              </w:rPr>
            </w:pPr>
            <w:r w:rsidRPr="00ED172B">
              <w:rPr>
                <w:rFonts w:cs="Arial"/>
                <w:color w:val="000000" w:themeColor="text1"/>
                <w:szCs w:val="16"/>
              </w:rPr>
              <w:t>2.77%</w:t>
            </w:r>
          </w:p>
        </w:tc>
        <w:tc>
          <w:tcPr>
            <w:tcW w:w="1026" w:type="pct"/>
            <w:shd w:val="clear" w:color="auto" w:fill="auto"/>
            <w:vAlign w:val="center"/>
          </w:tcPr>
          <w:p w14:paraId="22DDCBF4" w14:textId="3652B7FA" w:rsidR="0085799B" w:rsidRPr="00ED172B" w:rsidRDefault="00292265" w:rsidP="00CD79C5">
            <w:pPr>
              <w:jc w:val="center"/>
              <w:rPr>
                <w:color w:val="000000" w:themeColor="text1"/>
                <w:szCs w:val="16"/>
              </w:rPr>
            </w:pPr>
            <w:r w:rsidRPr="00ED172B">
              <w:rPr>
                <w:rFonts w:cs="Arial"/>
                <w:color w:val="000000" w:themeColor="text1"/>
                <w:szCs w:val="16"/>
              </w:rPr>
              <w:t>2.78%</w:t>
            </w:r>
          </w:p>
        </w:tc>
        <w:tc>
          <w:tcPr>
            <w:tcW w:w="867" w:type="pct"/>
            <w:shd w:val="clear" w:color="auto" w:fill="auto"/>
            <w:vAlign w:val="center"/>
          </w:tcPr>
          <w:p w14:paraId="31E62642" w14:textId="1E68B5DC" w:rsidR="0085799B" w:rsidRPr="00ED172B" w:rsidRDefault="00292265" w:rsidP="00CD79C5">
            <w:pPr>
              <w:jc w:val="center"/>
              <w:rPr>
                <w:color w:val="000000" w:themeColor="text1"/>
                <w:szCs w:val="16"/>
              </w:rPr>
            </w:pPr>
            <w:r w:rsidRPr="00ED172B">
              <w:rPr>
                <w:rFonts w:cs="Arial"/>
                <w:color w:val="000000" w:themeColor="text1"/>
                <w:szCs w:val="16"/>
              </w:rPr>
              <w:t>2.79%</w:t>
            </w:r>
          </w:p>
        </w:tc>
        <w:tc>
          <w:tcPr>
            <w:tcW w:w="867" w:type="pct"/>
            <w:shd w:val="clear" w:color="auto" w:fill="auto"/>
            <w:vAlign w:val="center"/>
          </w:tcPr>
          <w:p w14:paraId="65568AEA" w14:textId="3215752A" w:rsidR="0085799B" w:rsidRPr="00ED172B" w:rsidRDefault="00292265" w:rsidP="00CD79C5">
            <w:pPr>
              <w:jc w:val="center"/>
              <w:rPr>
                <w:color w:val="000000" w:themeColor="text1"/>
                <w:szCs w:val="16"/>
              </w:rPr>
            </w:pPr>
            <w:r w:rsidRPr="00ED172B">
              <w:rPr>
                <w:rFonts w:cs="Arial"/>
                <w:color w:val="000000" w:themeColor="text1"/>
                <w:szCs w:val="16"/>
              </w:rPr>
              <w:t>2.80%</w:t>
            </w:r>
          </w:p>
        </w:tc>
        <w:tc>
          <w:tcPr>
            <w:tcW w:w="866" w:type="pct"/>
            <w:shd w:val="clear" w:color="auto" w:fill="auto"/>
            <w:vAlign w:val="center"/>
          </w:tcPr>
          <w:p w14:paraId="441C2426" w14:textId="7C3CA798" w:rsidR="0085799B" w:rsidRPr="00ED172B" w:rsidRDefault="00292265" w:rsidP="00CD79C5">
            <w:pPr>
              <w:jc w:val="center"/>
              <w:rPr>
                <w:color w:val="000000" w:themeColor="text1"/>
                <w:szCs w:val="16"/>
              </w:rPr>
            </w:pPr>
            <w:r w:rsidRPr="00ED172B">
              <w:rPr>
                <w:rFonts w:cs="Arial"/>
                <w:color w:val="000000" w:themeColor="text1"/>
                <w:szCs w:val="16"/>
              </w:rPr>
              <w:t>3.00%</w:t>
            </w:r>
          </w:p>
        </w:tc>
      </w:tr>
      <w:tr w:rsidR="00ED172B" w:rsidRPr="00ED172B" w14:paraId="341885EA" w14:textId="77777777" w:rsidTr="00986B99">
        <w:trPr>
          <w:trHeight w:val="85"/>
        </w:trPr>
        <w:tc>
          <w:tcPr>
            <w:tcW w:w="415" w:type="pct"/>
            <w:shd w:val="clear" w:color="auto" w:fill="auto"/>
          </w:tcPr>
          <w:p w14:paraId="4FC87C40" w14:textId="77777777" w:rsidR="0085799B" w:rsidRPr="00ED172B" w:rsidRDefault="0085799B" w:rsidP="00B83404">
            <w:pPr>
              <w:rPr>
                <w:color w:val="000000" w:themeColor="text1"/>
                <w:szCs w:val="16"/>
              </w:rPr>
            </w:pPr>
            <w:r w:rsidRPr="00ED172B">
              <w:rPr>
                <w:color w:val="000000" w:themeColor="text1"/>
                <w:szCs w:val="16"/>
              </w:rPr>
              <w:t>Data</w:t>
            </w:r>
          </w:p>
        </w:tc>
        <w:tc>
          <w:tcPr>
            <w:tcW w:w="959" w:type="pct"/>
            <w:shd w:val="clear" w:color="auto" w:fill="auto"/>
            <w:vAlign w:val="center"/>
          </w:tcPr>
          <w:p w14:paraId="595372E6" w14:textId="645F6BA6" w:rsidR="0085799B" w:rsidRPr="00ED172B" w:rsidRDefault="00860830" w:rsidP="00CD79C5">
            <w:pPr>
              <w:jc w:val="center"/>
              <w:rPr>
                <w:color w:val="000000" w:themeColor="text1"/>
                <w:szCs w:val="16"/>
              </w:rPr>
            </w:pPr>
            <w:r w:rsidRPr="00ED172B">
              <w:rPr>
                <w:rFonts w:cs="Arial"/>
                <w:color w:val="000000" w:themeColor="text1"/>
                <w:szCs w:val="16"/>
              </w:rPr>
              <w:t>4.57%</w:t>
            </w:r>
          </w:p>
        </w:tc>
        <w:tc>
          <w:tcPr>
            <w:tcW w:w="1026" w:type="pct"/>
            <w:shd w:val="clear" w:color="auto" w:fill="auto"/>
            <w:vAlign w:val="center"/>
          </w:tcPr>
          <w:p w14:paraId="716BBE9D" w14:textId="282D2807" w:rsidR="0085799B" w:rsidRPr="00ED172B" w:rsidRDefault="00860830" w:rsidP="00CD79C5">
            <w:pPr>
              <w:jc w:val="center"/>
              <w:rPr>
                <w:color w:val="000000" w:themeColor="text1"/>
                <w:szCs w:val="16"/>
              </w:rPr>
            </w:pPr>
            <w:r w:rsidRPr="00ED172B">
              <w:rPr>
                <w:rFonts w:cs="Arial"/>
                <w:color w:val="000000" w:themeColor="text1"/>
                <w:szCs w:val="16"/>
              </w:rPr>
              <w:t>4.82%</w:t>
            </w:r>
          </w:p>
        </w:tc>
        <w:tc>
          <w:tcPr>
            <w:tcW w:w="867" w:type="pct"/>
            <w:tcBorders>
              <w:bottom w:val="single" w:sz="4" w:space="0" w:color="auto"/>
            </w:tcBorders>
            <w:shd w:val="clear" w:color="auto" w:fill="auto"/>
            <w:vAlign w:val="center"/>
          </w:tcPr>
          <w:p w14:paraId="4D7C7DCD" w14:textId="37099124" w:rsidR="0085799B" w:rsidRPr="00ED172B" w:rsidRDefault="00860830" w:rsidP="00CD79C5">
            <w:pPr>
              <w:jc w:val="center"/>
              <w:rPr>
                <w:color w:val="000000" w:themeColor="text1"/>
                <w:szCs w:val="16"/>
              </w:rPr>
            </w:pPr>
            <w:r w:rsidRPr="00ED172B">
              <w:rPr>
                <w:rFonts w:cs="Arial"/>
                <w:color w:val="000000" w:themeColor="text1"/>
                <w:szCs w:val="16"/>
              </w:rPr>
              <w:t>4.71%</w:t>
            </w:r>
          </w:p>
        </w:tc>
        <w:tc>
          <w:tcPr>
            <w:tcW w:w="867" w:type="pct"/>
            <w:tcBorders>
              <w:bottom w:val="single" w:sz="4" w:space="0" w:color="auto"/>
            </w:tcBorders>
            <w:shd w:val="clear" w:color="auto" w:fill="auto"/>
            <w:vAlign w:val="center"/>
          </w:tcPr>
          <w:p w14:paraId="3BF3098C" w14:textId="188C4AF7" w:rsidR="0085799B" w:rsidRPr="00ED172B" w:rsidRDefault="00860830" w:rsidP="00CD79C5">
            <w:pPr>
              <w:jc w:val="center"/>
              <w:rPr>
                <w:color w:val="000000" w:themeColor="text1"/>
                <w:szCs w:val="16"/>
              </w:rPr>
            </w:pPr>
            <w:r w:rsidRPr="00ED172B">
              <w:rPr>
                <w:rFonts w:cs="Arial"/>
                <w:color w:val="000000" w:themeColor="text1"/>
                <w:szCs w:val="16"/>
              </w:rPr>
              <w:t>5.05%</w:t>
            </w:r>
          </w:p>
        </w:tc>
        <w:tc>
          <w:tcPr>
            <w:tcW w:w="866" w:type="pct"/>
            <w:tcBorders>
              <w:bottom w:val="single" w:sz="4" w:space="0" w:color="auto"/>
            </w:tcBorders>
            <w:shd w:val="clear" w:color="auto" w:fill="auto"/>
            <w:vAlign w:val="center"/>
          </w:tcPr>
          <w:p w14:paraId="75C22529" w14:textId="6C0AD871" w:rsidR="0085799B" w:rsidRPr="00ED172B" w:rsidRDefault="00860830" w:rsidP="00CD79C5">
            <w:pPr>
              <w:jc w:val="center"/>
              <w:rPr>
                <w:color w:val="000000" w:themeColor="text1"/>
                <w:szCs w:val="16"/>
              </w:rPr>
            </w:pPr>
            <w:r w:rsidRPr="00ED172B">
              <w:rPr>
                <w:rFonts w:cs="Arial"/>
                <w:color w:val="000000" w:themeColor="text1"/>
                <w:szCs w:val="16"/>
              </w:rPr>
              <w:t>4.97%</w:t>
            </w:r>
          </w:p>
        </w:tc>
      </w:tr>
    </w:tbl>
    <w:p w14:paraId="2BD62AC4" w14:textId="77777777" w:rsidR="0085799B" w:rsidRPr="00ED172B" w:rsidRDefault="0085799B">
      <w:pPr>
        <w:rPr>
          <w:b/>
          <w:color w:val="000000" w:themeColor="text1"/>
        </w:rPr>
      </w:pPr>
      <w:r w:rsidRPr="00ED172B">
        <w:rPr>
          <w:b/>
          <w:color w:val="000000" w:themeColor="text1"/>
        </w:rPr>
        <w:t>Targets</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7"/>
        <w:gridCol w:w="2205"/>
        <w:gridCol w:w="1550"/>
        <w:gridCol w:w="1549"/>
        <w:gridCol w:w="1549"/>
        <w:gridCol w:w="1549"/>
        <w:gridCol w:w="1549"/>
      </w:tblGrid>
      <w:tr w:rsidR="006B2FE9" w:rsidRPr="00ED172B" w14:paraId="74AFA9B9" w14:textId="3E825C5D" w:rsidTr="006B2FE9">
        <w:trPr>
          <w:trHeight w:val="116"/>
        </w:trPr>
        <w:tc>
          <w:tcPr>
            <w:tcW w:w="413" w:type="pct"/>
            <w:tcBorders>
              <w:bottom w:val="single" w:sz="4" w:space="0" w:color="auto"/>
            </w:tcBorders>
            <w:shd w:val="clear" w:color="auto" w:fill="auto"/>
          </w:tcPr>
          <w:p w14:paraId="523362FD" w14:textId="77777777" w:rsidR="006B2FE9" w:rsidRPr="00ED172B" w:rsidRDefault="006B2FE9" w:rsidP="006B2FE9">
            <w:pPr>
              <w:jc w:val="center"/>
              <w:rPr>
                <w:b/>
                <w:color w:val="000000" w:themeColor="text1"/>
                <w:szCs w:val="16"/>
              </w:rPr>
            </w:pPr>
            <w:r w:rsidRPr="00ED172B">
              <w:rPr>
                <w:b/>
                <w:color w:val="000000" w:themeColor="text1"/>
                <w:szCs w:val="16"/>
              </w:rPr>
              <w:t>FFY</w:t>
            </w:r>
          </w:p>
        </w:tc>
        <w:tc>
          <w:tcPr>
            <w:tcW w:w="1016" w:type="pct"/>
            <w:shd w:val="clear" w:color="auto" w:fill="auto"/>
            <w:vAlign w:val="center"/>
          </w:tcPr>
          <w:p w14:paraId="1869702F" w14:textId="32C21C20" w:rsidR="006B2FE9" w:rsidRPr="00ED172B" w:rsidRDefault="006B2FE9" w:rsidP="006B2FE9">
            <w:pPr>
              <w:jc w:val="center"/>
              <w:rPr>
                <w:b/>
                <w:color w:val="000000" w:themeColor="text1"/>
                <w:szCs w:val="16"/>
              </w:rPr>
            </w:pPr>
            <w:r w:rsidRPr="00ED172B">
              <w:rPr>
                <w:rFonts w:cs="Arial"/>
                <w:b/>
                <w:color w:val="000000" w:themeColor="text1"/>
                <w:szCs w:val="16"/>
              </w:rPr>
              <w:t>2020</w:t>
            </w:r>
          </w:p>
        </w:tc>
        <w:tc>
          <w:tcPr>
            <w:tcW w:w="714" w:type="pct"/>
          </w:tcPr>
          <w:p w14:paraId="1E994EDB" w14:textId="1B6309A9" w:rsidR="006B2FE9" w:rsidRPr="00ED172B" w:rsidRDefault="006B2FE9" w:rsidP="006B2FE9">
            <w:pPr>
              <w:jc w:val="center"/>
              <w:rPr>
                <w:rFonts w:cs="Arial"/>
                <w:b/>
                <w:color w:val="000000" w:themeColor="text1"/>
                <w:szCs w:val="16"/>
              </w:rPr>
            </w:pPr>
            <w:r>
              <w:rPr>
                <w:rFonts w:cs="Arial"/>
                <w:b/>
                <w:color w:val="000000" w:themeColor="text1"/>
                <w:szCs w:val="16"/>
              </w:rPr>
              <w:t>2021</w:t>
            </w:r>
          </w:p>
        </w:tc>
        <w:tc>
          <w:tcPr>
            <w:tcW w:w="714" w:type="pct"/>
          </w:tcPr>
          <w:p w14:paraId="7A72E812" w14:textId="41764C05" w:rsidR="006B2FE9" w:rsidRPr="00ED172B" w:rsidRDefault="006B2FE9" w:rsidP="006B2FE9">
            <w:pPr>
              <w:jc w:val="center"/>
              <w:rPr>
                <w:rFonts w:cs="Arial"/>
                <w:b/>
                <w:color w:val="000000" w:themeColor="text1"/>
                <w:szCs w:val="16"/>
              </w:rPr>
            </w:pPr>
            <w:r w:rsidRPr="005A1B4F">
              <w:rPr>
                <w:rFonts w:cs="Arial"/>
                <w:b/>
                <w:color w:val="000000" w:themeColor="text1"/>
                <w:szCs w:val="16"/>
              </w:rPr>
              <w:t>2022</w:t>
            </w:r>
          </w:p>
        </w:tc>
        <w:tc>
          <w:tcPr>
            <w:tcW w:w="714" w:type="pct"/>
          </w:tcPr>
          <w:p w14:paraId="253DE371" w14:textId="724F3B6C" w:rsidR="006B2FE9" w:rsidRPr="00ED172B" w:rsidRDefault="006B2FE9" w:rsidP="006B2FE9">
            <w:pPr>
              <w:jc w:val="center"/>
              <w:rPr>
                <w:rFonts w:cs="Arial"/>
                <w:b/>
                <w:color w:val="000000" w:themeColor="text1"/>
                <w:szCs w:val="16"/>
              </w:rPr>
            </w:pPr>
            <w:r w:rsidRPr="005A1B4F">
              <w:rPr>
                <w:rFonts w:cs="Arial"/>
                <w:b/>
                <w:color w:val="000000" w:themeColor="text1"/>
                <w:szCs w:val="16"/>
              </w:rPr>
              <w:t>2023</w:t>
            </w:r>
          </w:p>
        </w:tc>
        <w:tc>
          <w:tcPr>
            <w:tcW w:w="714" w:type="pct"/>
          </w:tcPr>
          <w:p w14:paraId="524B24EA" w14:textId="64A795BE" w:rsidR="006B2FE9" w:rsidRPr="00ED172B" w:rsidRDefault="006B2FE9" w:rsidP="006B2FE9">
            <w:pPr>
              <w:jc w:val="center"/>
              <w:rPr>
                <w:rFonts w:cs="Arial"/>
                <w:b/>
                <w:color w:val="000000" w:themeColor="text1"/>
                <w:szCs w:val="16"/>
              </w:rPr>
            </w:pPr>
            <w:r w:rsidRPr="005A1B4F">
              <w:rPr>
                <w:rFonts w:cs="Arial"/>
                <w:b/>
                <w:color w:val="000000" w:themeColor="text1"/>
                <w:szCs w:val="16"/>
              </w:rPr>
              <w:t>2024</w:t>
            </w:r>
          </w:p>
        </w:tc>
        <w:tc>
          <w:tcPr>
            <w:tcW w:w="714" w:type="pct"/>
          </w:tcPr>
          <w:p w14:paraId="27D40E0F" w14:textId="0C288F71" w:rsidR="006B2FE9" w:rsidRPr="00ED172B" w:rsidRDefault="006B2FE9" w:rsidP="006B2FE9">
            <w:pPr>
              <w:jc w:val="center"/>
              <w:rPr>
                <w:rFonts w:cs="Arial"/>
                <w:b/>
                <w:color w:val="000000" w:themeColor="text1"/>
                <w:szCs w:val="16"/>
              </w:rPr>
            </w:pPr>
            <w:r w:rsidRPr="005A1B4F">
              <w:rPr>
                <w:rFonts w:cs="Arial"/>
                <w:b/>
                <w:color w:val="000000" w:themeColor="text1"/>
                <w:szCs w:val="16"/>
              </w:rPr>
              <w:t>2025</w:t>
            </w:r>
          </w:p>
        </w:tc>
      </w:tr>
      <w:tr w:rsidR="006B2FE9" w:rsidRPr="00ED172B" w14:paraId="0186A9C7" w14:textId="618C48DC" w:rsidTr="006B2FE9">
        <w:trPr>
          <w:trHeight w:val="47"/>
        </w:trPr>
        <w:tc>
          <w:tcPr>
            <w:tcW w:w="413" w:type="pct"/>
            <w:shd w:val="clear" w:color="auto" w:fill="auto"/>
          </w:tcPr>
          <w:p w14:paraId="120F223C" w14:textId="3DF65C2B" w:rsidR="006B2FE9" w:rsidRPr="00ED172B" w:rsidRDefault="006B2FE9" w:rsidP="006B2FE9">
            <w:pP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016" w:type="pct"/>
            <w:shd w:val="clear" w:color="auto" w:fill="auto"/>
            <w:vAlign w:val="center"/>
          </w:tcPr>
          <w:p w14:paraId="69A10D5E" w14:textId="2F3AB178" w:rsidR="006B2FE9" w:rsidRPr="00ED172B" w:rsidRDefault="006B2FE9" w:rsidP="006B2FE9">
            <w:pPr>
              <w:jc w:val="center"/>
              <w:rPr>
                <w:color w:val="000000" w:themeColor="text1"/>
              </w:rPr>
            </w:pPr>
            <w:r w:rsidRPr="00ED172B">
              <w:rPr>
                <w:color w:val="000000" w:themeColor="text1"/>
              </w:rPr>
              <w:t>3.00%</w:t>
            </w:r>
          </w:p>
        </w:tc>
        <w:tc>
          <w:tcPr>
            <w:tcW w:w="714" w:type="pct"/>
          </w:tcPr>
          <w:p w14:paraId="712AD20E" w14:textId="70001C50" w:rsidR="006B2FE9" w:rsidRPr="00ED172B" w:rsidRDefault="006B2FE9" w:rsidP="006B2FE9">
            <w:pPr>
              <w:jc w:val="center"/>
              <w:rPr>
                <w:color w:val="000000" w:themeColor="text1"/>
              </w:rPr>
            </w:pPr>
            <w:r>
              <w:rPr>
                <w:rFonts w:cs="Arial"/>
                <w:color w:val="000000" w:themeColor="text1"/>
                <w:szCs w:val="16"/>
              </w:rPr>
              <w:t>3.00%</w:t>
            </w:r>
          </w:p>
        </w:tc>
        <w:tc>
          <w:tcPr>
            <w:tcW w:w="714" w:type="pct"/>
          </w:tcPr>
          <w:p w14:paraId="12C95701" w14:textId="02635F0F" w:rsidR="006B2FE9" w:rsidRPr="00ED172B" w:rsidRDefault="006B2FE9" w:rsidP="006B2FE9">
            <w:pPr>
              <w:jc w:val="center"/>
              <w:rPr>
                <w:color w:val="000000" w:themeColor="text1"/>
              </w:rPr>
            </w:pPr>
            <w:r w:rsidRPr="005F5F3C">
              <w:rPr>
                <w:rFonts w:cs="Arial"/>
                <w:color w:val="000000" w:themeColor="text1"/>
                <w:szCs w:val="16"/>
              </w:rPr>
              <w:t>3.00%</w:t>
            </w:r>
          </w:p>
        </w:tc>
        <w:tc>
          <w:tcPr>
            <w:tcW w:w="714" w:type="pct"/>
          </w:tcPr>
          <w:p w14:paraId="511B74D7" w14:textId="61EB56D0" w:rsidR="006B2FE9" w:rsidRPr="00ED172B" w:rsidRDefault="006B2FE9" w:rsidP="006B2FE9">
            <w:pPr>
              <w:jc w:val="center"/>
              <w:rPr>
                <w:color w:val="000000" w:themeColor="text1"/>
              </w:rPr>
            </w:pPr>
            <w:r w:rsidRPr="005F5F3C">
              <w:rPr>
                <w:rFonts w:cs="Arial"/>
                <w:color w:val="000000" w:themeColor="text1"/>
                <w:szCs w:val="16"/>
              </w:rPr>
              <w:t>3.00%</w:t>
            </w:r>
          </w:p>
        </w:tc>
        <w:tc>
          <w:tcPr>
            <w:tcW w:w="714" w:type="pct"/>
          </w:tcPr>
          <w:p w14:paraId="255E2DC7" w14:textId="373124BC" w:rsidR="006B2FE9" w:rsidRPr="00ED172B" w:rsidRDefault="006B2FE9" w:rsidP="006B2FE9">
            <w:pPr>
              <w:jc w:val="center"/>
              <w:rPr>
                <w:color w:val="000000" w:themeColor="text1"/>
              </w:rPr>
            </w:pPr>
            <w:r w:rsidRPr="005F5F3C">
              <w:rPr>
                <w:rFonts w:cs="Arial"/>
                <w:color w:val="000000" w:themeColor="text1"/>
                <w:szCs w:val="16"/>
              </w:rPr>
              <w:t>3.00%</w:t>
            </w:r>
          </w:p>
        </w:tc>
        <w:tc>
          <w:tcPr>
            <w:tcW w:w="714" w:type="pct"/>
          </w:tcPr>
          <w:p w14:paraId="290F04AF" w14:textId="505CAE5E" w:rsidR="006B2FE9" w:rsidRPr="00ED172B" w:rsidRDefault="006B2FE9" w:rsidP="006B2FE9">
            <w:pPr>
              <w:jc w:val="center"/>
              <w:rPr>
                <w:color w:val="000000" w:themeColor="text1"/>
              </w:rPr>
            </w:pPr>
            <w:r w:rsidRPr="005F5F3C">
              <w:rPr>
                <w:rFonts w:cs="Arial"/>
                <w:color w:val="000000" w:themeColor="text1"/>
                <w:szCs w:val="16"/>
              </w:rPr>
              <w:t>3.00%</w:t>
            </w:r>
          </w:p>
        </w:tc>
      </w:tr>
    </w:tbl>
    <w:bookmarkEnd w:id="34"/>
    <w:bookmarkEnd w:id="35"/>
    <w:p w14:paraId="6C92A891" w14:textId="13D24163" w:rsidR="00F80C9C" w:rsidRDefault="00F80C9C" w:rsidP="00F80C9C">
      <w:pPr>
        <w:pStyle w:val="Bold"/>
        <w:rPr>
          <w:color w:val="000000" w:themeColor="text1"/>
        </w:rPr>
      </w:pPr>
      <w:r w:rsidRPr="00ED172B">
        <w:rPr>
          <w:color w:val="000000" w:themeColor="text1"/>
        </w:rPr>
        <w:t xml:space="preserve">Targets: Description of Stakeholder Input </w:t>
      </w:r>
    </w:p>
    <w:p w14:paraId="564577F9" w14:textId="64F68B2E" w:rsidR="0053197E" w:rsidRDefault="00CF03E0" w:rsidP="00ED172B">
      <w:pPr>
        <w:rPr>
          <w:color w:val="000000" w:themeColor="text1"/>
        </w:rPr>
      </w:pPr>
      <w:r w:rsidRPr="00ED172B">
        <w:rPr>
          <w:color w:val="000000" w:themeColor="text1"/>
        </w:rPr>
        <w:t>The State Interagency Coordinating Council (ICC) serves as the primary stakeholder body for MA-C. ICC provides feedback to develop state targets, identify areas of need, and help recommend additional data analysis to improve MA-C performance. The ICC is comprised of 41 appointed members with variation in level of experience, discipline, role, geographic location across the Commonwealth, and race/ethnicity. Additionally, the ICC meetings are made available to the public and agendas and meeting links are published on MA-C's website and advertised through by the Parent Training and Information Center.</w:t>
      </w:r>
    </w:p>
    <w:p w14:paraId="50D1A7E1" w14:textId="184B178A" w:rsidR="00A2772B" w:rsidRPr="00ED172B" w:rsidRDefault="00A2772B" w:rsidP="00F80C9C">
      <w:pPr>
        <w:pStyle w:val="Bold"/>
        <w:rPr>
          <w:b w:val="0"/>
          <w:color w:val="000000" w:themeColor="text1"/>
        </w:rPr>
      </w:pPr>
      <w:r w:rsidRPr="00ED172B">
        <w:rPr>
          <w:rFonts w:cs="Arial"/>
          <w:b w:val="0"/>
          <w:color w:val="000000" w:themeColor="text1"/>
          <w:szCs w:val="16"/>
        </w:rPr>
        <w:t>MA-C acknowledges that it did not engage stakeholders for Indicator 5 as robustly as for other indicators. MA-C also recognizes that its baseline was established 13 years ago and it has consistently performed over its target. For these reasons, MA-C has determined to maintain its current target of 3% for FFY20-FFY25 and will evaluate the utility of resetting its baseline in a future year.</w:t>
      </w:r>
    </w:p>
    <w:p w14:paraId="2C3700F9"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0B010B04" w14:textId="77777777" w:rsidTr="00986B99">
        <w:trPr>
          <w:trHeight w:val="233"/>
          <w:tblHeader/>
        </w:trPr>
        <w:tc>
          <w:tcPr>
            <w:tcW w:w="1332" w:type="pct"/>
            <w:shd w:val="clear" w:color="auto" w:fill="auto"/>
          </w:tcPr>
          <w:p w14:paraId="552D1A8F"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E60D271"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shd w:val="clear" w:color="auto" w:fill="auto"/>
          </w:tcPr>
          <w:p w14:paraId="237601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0124A4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671BDF4C" w14:textId="77777777" w:rsidTr="00986B99">
        <w:trPr>
          <w:trHeight w:val="380"/>
        </w:trPr>
        <w:tc>
          <w:tcPr>
            <w:tcW w:w="1332" w:type="pct"/>
            <w:shd w:val="clear" w:color="auto" w:fill="auto"/>
          </w:tcPr>
          <w:p w14:paraId="421054C5" w14:textId="1E915927" w:rsidR="000709B9" w:rsidRPr="00ED172B" w:rsidRDefault="00753E04" w:rsidP="000709B9">
            <w:pPr>
              <w:jc w:val="center"/>
              <w:rPr>
                <w:rFonts w:cs="Arial"/>
                <w:color w:val="000000" w:themeColor="text1"/>
                <w:szCs w:val="16"/>
              </w:rPr>
            </w:pPr>
            <w:r w:rsidRPr="00ED172B">
              <w:rPr>
                <w:rFonts w:cs="Arial"/>
                <w:color w:val="000000" w:themeColor="text1"/>
                <w:szCs w:val="16"/>
              </w:rPr>
              <w:t>SY 2020-21 EMAPS IDEA Part C Child Count and Settings Survey; Section A: Child Count and Settings by Age</w:t>
            </w:r>
          </w:p>
        </w:tc>
        <w:tc>
          <w:tcPr>
            <w:tcW w:w="1544" w:type="pct"/>
            <w:shd w:val="clear" w:color="auto" w:fill="auto"/>
          </w:tcPr>
          <w:p w14:paraId="0790EBE0" w14:textId="3F6DEC47" w:rsidR="000709B9" w:rsidRPr="00ED172B" w:rsidRDefault="00753E04" w:rsidP="000709B9">
            <w:pPr>
              <w:jc w:val="center"/>
              <w:rPr>
                <w:rFonts w:cs="Arial"/>
                <w:color w:val="000000" w:themeColor="text1"/>
                <w:szCs w:val="16"/>
              </w:rPr>
            </w:pPr>
            <w:r w:rsidRPr="00ED172B">
              <w:rPr>
                <w:rFonts w:cs="Arial"/>
                <w:color w:val="000000" w:themeColor="text1"/>
                <w:szCs w:val="16"/>
              </w:rPr>
              <w:t>07/08/2021</w:t>
            </w:r>
          </w:p>
        </w:tc>
        <w:tc>
          <w:tcPr>
            <w:tcW w:w="1334" w:type="pct"/>
            <w:shd w:val="clear" w:color="auto" w:fill="auto"/>
          </w:tcPr>
          <w:p w14:paraId="5DB5AFD6" w14:textId="50B3434B" w:rsidR="000709B9" w:rsidRPr="00ED172B" w:rsidRDefault="000709B9" w:rsidP="000709B9">
            <w:pPr>
              <w:jc w:val="center"/>
              <w:rPr>
                <w:rFonts w:cs="Arial"/>
                <w:color w:val="000000" w:themeColor="text1"/>
                <w:szCs w:val="16"/>
              </w:rPr>
            </w:pPr>
            <w:r w:rsidRPr="00ED172B">
              <w:rPr>
                <w:rFonts w:cs="Arial"/>
                <w:color w:val="000000" w:themeColor="text1"/>
                <w:szCs w:val="16"/>
              </w:rPr>
              <w:t>Number of infants and toddlers birth to 1 with IFSPs</w:t>
            </w:r>
          </w:p>
        </w:tc>
        <w:tc>
          <w:tcPr>
            <w:tcW w:w="791" w:type="pct"/>
            <w:shd w:val="clear" w:color="auto" w:fill="auto"/>
          </w:tcPr>
          <w:p w14:paraId="1E279F2D" w14:textId="0E5C0687" w:rsidR="000709B9" w:rsidRPr="00ED172B" w:rsidRDefault="00860830" w:rsidP="000709B9">
            <w:pPr>
              <w:jc w:val="center"/>
              <w:rPr>
                <w:rFonts w:cs="Arial"/>
                <w:color w:val="000000" w:themeColor="text1"/>
                <w:szCs w:val="16"/>
              </w:rPr>
            </w:pPr>
            <w:r w:rsidRPr="00ED172B">
              <w:rPr>
                <w:color w:val="000000" w:themeColor="text1"/>
                <w:szCs w:val="16"/>
              </w:rPr>
              <w:t>3,208</w:t>
            </w:r>
          </w:p>
        </w:tc>
      </w:tr>
      <w:tr w:rsidR="00ED172B" w:rsidRPr="00ED172B" w14:paraId="189CFC15" w14:textId="77777777" w:rsidTr="00986B99">
        <w:trPr>
          <w:trHeight w:val="380"/>
        </w:trPr>
        <w:tc>
          <w:tcPr>
            <w:tcW w:w="1332" w:type="pct"/>
            <w:shd w:val="clear" w:color="auto" w:fill="auto"/>
          </w:tcPr>
          <w:p w14:paraId="335264B7" w14:textId="790A9EE8"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2010 to July 1, 2020</w:t>
            </w:r>
          </w:p>
        </w:tc>
        <w:tc>
          <w:tcPr>
            <w:tcW w:w="1544" w:type="pct"/>
            <w:shd w:val="clear" w:color="auto" w:fill="auto"/>
          </w:tcPr>
          <w:p w14:paraId="7AEE8EDA" w14:textId="424A421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07/08/2021</w:t>
            </w:r>
          </w:p>
        </w:tc>
        <w:tc>
          <w:tcPr>
            <w:tcW w:w="1334" w:type="pct"/>
            <w:shd w:val="clear" w:color="auto" w:fill="auto"/>
          </w:tcPr>
          <w:p w14:paraId="2CEB4140" w14:textId="39C790A3" w:rsidR="000709B9" w:rsidRPr="00ED172B" w:rsidRDefault="000709B9" w:rsidP="000709B9">
            <w:pPr>
              <w:jc w:val="center"/>
              <w:rPr>
                <w:rFonts w:cs="Arial"/>
                <w:color w:val="000000" w:themeColor="text1"/>
                <w:szCs w:val="16"/>
              </w:rPr>
            </w:pPr>
            <w:r w:rsidRPr="00ED172B">
              <w:rPr>
                <w:rFonts w:cs="Arial"/>
                <w:color w:val="000000" w:themeColor="text1"/>
                <w:szCs w:val="16"/>
              </w:rPr>
              <w:t>Population of infants and toddlers birth to 1</w:t>
            </w:r>
          </w:p>
        </w:tc>
        <w:tc>
          <w:tcPr>
            <w:tcW w:w="791" w:type="pct"/>
            <w:shd w:val="clear" w:color="auto" w:fill="auto"/>
          </w:tcPr>
          <w:p w14:paraId="5832F80F" w14:textId="08624C1E" w:rsidR="000709B9" w:rsidRPr="00ED172B" w:rsidRDefault="00860830" w:rsidP="000709B9">
            <w:pPr>
              <w:jc w:val="center"/>
              <w:rPr>
                <w:rFonts w:cs="Arial"/>
                <w:color w:val="000000" w:themeColor="text1"/>
                <w:szCs w:val="16"/>
              </w:rPr>
            </w:pPr>
            <w:r w:rsidRPr="00ED172B">
              <w:rPr>
                <w:color w:val="000000" w:themeColor="text1"/>
                <w:szCs w:val="16"/>
              </w:rPr>
              <w:t>68,824</w:t>
            </w:r>
          </w:p>
        </w:tc>
      </w:tr>
    </w:tbl>
    <w:p w14:paraId="10606B16" w14:textId="69D5BA9D" w:rsidR="005918D1" w:rsidRPr="00ED172B" w:rsidRDefault="00F22D09">
      <w:pPr>
        <w:rPr>
          <w:b/>
          <w:color w:val="000000" w:themeColor="text1"/>
        </w:rPr>
      </w:pPr>
      <w:r>
        <w:rPr>
          <w:b/>
          <w:color w:val="000000" w:themeColor="text1"/>
        </w:rPr>
        <w:t>FFY 2020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46554450" w14:textId="77777777" w:rsidTr="00986B99">
        <w:trPr>
          <w:trHeight w:val="359"/>
          <w:tblHeader/>
        </w:trPr>
        <w:tc>
          <w:tcPr>
            <w:tcW w:w="1209" w:type="pct"/>
            <w:shd w:val="clear" w:color="auto" w:fill="auto"/>
            <w:vAlign w:val="bottom"/>
          </w:tcPr>
          <w:p w14:paraId="5DF8D6E6" w14:textId="41F8047A"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1 with IFSPs</w:t>
            </w:r>
          </w:p>
        </w:tc>
        <w:tc>
          <w:tcPr>
            <w:tcW w:w="918" w:type="pct"/>
            <w:shd w:val="clear" w:color="auto" w:fill="auto"/>
            <w:vAlign w:val="bottom"/>
          </w:tcPr>
          <w:p w14:paraId="2C3A0A23" w14:textId="3E5E0C91"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1</w:t>
            </w:r>
          </w:p>
        </w:tc>
        <w:tc>
          <w:tcPr>
            <w:tcW w:w="668" w:type="pct"/>
            <w:shd w:val="clear" w:color="auto" w:fill="auto"/>
            <w:vAlign w:val="bottom"/>
          </w:tcPr>
          <w:p w14:paraId="49A3AF77" w14:textId="4764FC2A" w:rsidR="00967D30" w:rsidRPr="00ED172B" w:rsidRDefault="00CD74B5" w:rsidP="00967D30">
            <w:pPr>
              <w:jc w:val="center"/>
              <w:rPr>
                <w:rFonts w:cs="Arial"/>
                <w:b/>
                <w:color w:val="000000" w:themeColor="text1"/>
                <w:szCs w:val="16"/>
              </w:rPr>
            </w:pPr>
            <w:r>
              <w:rPr>
                <w:rFonts w:cs="Arial"/>
                <w:b/>
                <w:color w:val="000000" w:themeColor="text1"/>
                <w:szCs w:val="16"/>
              </w:rPr>
              <w:t>FFY 2019 Data</w:t>
            </w:r>
          </w:p>
        </w:tc>
        <w:tc>
          <w:tcPr>
            <w:tcW w:w="625" w:type="pct"/>
            <w:shd w:val="clear" w:color="auto" w:fill="auto"/>
            <w:vAlign w:val="bottom"/>
          </w:tcPr>
          <w:p w14:paraId="278F3E66" w14:textId="082ABD04" w:rsidR="00967D30" w:rsidRPr="00ED172B" w:rsidRDefault="00F22D09" w:rsidP="00967D30">
            <w:pPr>
              <w:jc w:val="center"/>
              <w:rPr>
                <w:rFonts w:cs="Arial"/>
                <w:b/>
                <w:color w:val="000000" w:themeColor="text1"/>
                <w:szCs w:val="16"/>
              </w:rPr>
            </w:pPr>
            <w:r>
              <w:rPr>
                <w:rFonts w:cs="Arial"/>
                <w:b/>
                <w:color w:val="000000" w:themeColor="text1"/>
                <w:szCs w:val="16"/>
              </w:rPr>
              <w:t>FFY 2020 Target</w:t>
            </w:r>
          </w:p>
        </w:tc>
        <w:tc>
          <w:tcPr>
            <w:tcW w:w="542" w:type="pct"/>
            <w:shd w:val="clear" w:color="auto" w:fill="auto"/>
            <w:vAlign w:val="bottom"/>
          </w:tcPr>
          <w:p w14:paraId="3D59A48C" w14:textId="6AA1E930" w:rsidR="00967D30" w:rsidRPr="00ED172B" w:rsidRDefault="00F22D09" w:rsidP="00967D30">
            <w:pPr>
              <w:jc w:val="center"/>
              <w:rPr>
                <w:rFonts w:cs="Arial"/>
                <w:b/>
                <w:color w:val="000000" w:themeColor="text1"/>
                <w:szCs w:val="16"/>
              </w:rPr>
            </w:pPr>
            <w:r>
              <w:rPr>
                <w:rFonts w:cs="Arial"/>
                <w:b/>
                <w:color w:val="000000" w:themeColor="text1"/>
                <w:szCs w:val="16"/>
              </w:rPr>
              <w:t>FFY 2020 Data</w:t>
            </w:r>
          </w:p>
        </w:tc>
        <w:tc>
          <w:tcPr>
            <w:tcW w:w="542" w:type="pct"/>
            <w:shd w:val="clear" w:color="auto" w:fill="auto"/>
            <w:vAlign w:val="bottom"/>
          </w:tcPr>
          <w:p w14:paraId="330A725E"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shd w:val="clear" w:color="auto" w:fill="auto"/>
            <w:vAlign w:val="bottom"/>
          </w:tcPr>
          <w:p w14:paraId="32D23C04"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0D71FF0D" w14:textId="77777777" w:rsidTr="00986B99">
        <w:trPr>
          <w:trHeight w:val="366"/>
        </w:trPr>
        <w:tc>
          <w:tcPr>
            <w:tcW w:w="1209" w:type="pct"/>
            <w:shd w:val="clear" w:color="auto" w:fill="auto"/>
            <w:vAlign w:val="center"/>
          </w:tcPr>
          <w:p w14:paraId="502A8941" w14:textId="17070B3F" w:rsidR="00D3555C" w:rsidRPr="00ED172B" w:rsidRDefault="00860830" w:rsidP="00D3555C">
            <w:pPr>
              <w:jc w:val="center"/>
              <w:rPr>
                <w:rFonts w:cs="Arial"/>
                <w:color w:val="000000" w:themeColor="text1"/>
                <w:szCs w:val="16"/>
              </w:rPr>
            </w:pPr>
            <w:r w:rsidRPr="00ED172B">
              <w:rPr>
                <w:color w:val="000000" w:themeColor="text1"/>
                <w:szCs w:val="16"/>
              </w:rPr>
              <w:t>3,208</w:t>
            </w:r>
          </w:p>
        </w:tc>
        <w:tc>
          <w:tcPr>
            <w:tcW w:w="918" w:type="pct"/>
            <w:shd w:val="clear" w:color="auto" w:fill="auto"/>
            <w:vAlign w:val="center"/>
          </w:tcPr>
          <w:p w14:paraId="0AE05470" w14:textId="30D6181E" w:rsidR="00D3555C" w:rsidRPr="00ED172B" w:rsidRDefault="00860830" w:rsidP="00D3555C">
            <w:pPr>
              <w:jc w:val="center"/>
              <w:rPr>
                <w:rFonts w:cs="Arial"/>
                <w:color w:val="000000" w:themeColor="text1"/>
                <w:szCs w:val="16"/>
              </w:rPr>
            </w:pPr>
            <w:r w:rsidRPr="00ED172B">
              <w:rPr>
                <w:color w:val="000000" w:themeColor="text1"/>
                <w:szCs w:val="16"/>
              </w:rPr>
              <w:t>68,824</w:t>
            </w:r>
          </w:p>
        </w:tc>
        <w:tc>
          <w:tcPr>
            <w:tcW w:w="668" w:type="pct"/>
            <w:shd w:val="clear" w:color="auto" w:fill="auto"/>
            <w:vAlign w:val="center"/>
          </w:tcPr>
          <w:p w14:paraId="5B140DA6" w14:textId="54F7435B" w:rsidR="00D3555C" w:rsidRPr="00ED172B" w:rsidRDefault="00860830" w:rsidP="00D3555C">
            <w:pPr>
              <w:jc w:val="center"/>
              <w:rPr>
                <w:rFonts w:cs="Arial"/>
                <w:color w:val="000000" w:themeColor="text1"/>
                <w:szCs w:val="16"/>
              </w:rPr>
            </w:pPr>
            <w:r w:rsidRPr="00ED172B">
              <w:rPr>
                <w:rFonts w:cs="Arial"/>
                <w:color w:val="000000" w:themeColor="text1"/>
                <w:szCs w:val="16"/>
              </w:rPr>
              <w:t>4.97%</w:t>
            </w:r>
          </w:p>
        </w:tc>
        <w:tc>
          <w:tcPr>
            <w:tcW w:w="625" w:type="pct"/>
            <w:shd w:val="clear" w:color="auto" w:fill="auto"/>
            <w:vAlign w:val="center"/>
          </w:tcPr>
          <w:p w14:paraId="2B5C85A7" w14:textId="7D699F44" w:rsidR="00D3555C" w:rsidRPr="00ED172B" w:rsidRDefault="00632DF6" w:rsidP="00632DF6">
            <w:pPr>
              <w:jc w:val="center"/>
              <w:rPr>
                <w:color w:val="000000" w:themeColor="text1"/>
              </w:rPr>
            </w:pPr>
            <w:r w:rsidRPr="00ED172B">
              <w:rPr>
                <w:color w:val="000000" w:themeColor="text1"/>
              </w:rPr>
              <w:t>3.00%</w:t>
            </w:r>
          </w:p>
        </w:tc>
        <w:tc>
          <w:tcPr>
            <w:tcW w:w="542" w:type="pct"/>
            <w:shd w:val="clear" w:color="auto" w:fill="auto"/>
            <w:vAlign w:val="center"/>
          </w:tcPr>
          <w:p w14:paraId="1780242C" w14:textId="08023FB0" w:rsidR="00D3555C" w:rsidRPr="00ED172B" w:rsidRDefault="00860830" w:rsidP="00D3555C">
            <w:pPr>
              <w:jc w:val="center"/>
              <w:rPr>
                <w:rFonts w:cs="Arial"/>
                <w:color w:val="000000" w:themeColor="text1"/>
                <w:szCs w:val="16"/>
              </w:rPr>
            </w:pPr>
            <w:r w:rsidRPr="00ED172B">
              <w:rPr>
                <w:rFonts w:cs="Arial"/>
                <w:color w:val="000000" w:themeColor="text1"/>
                <w:szCs w:val="16"/>
              </w:rPr>
              <w:t>4.66%</w:t>
            </w:r>
          </w:p>
        </w:tc>
        <w:tc>
          <w:tcPr>
            <w:tcW w:w="542" w:type="pct"/>
            <w:shd w:val="clear" w:color="auto" w:fill="auto"/>
            <w:vAlign w:val="center"/>
          </w:tcPr>
          <w:p w14:paraId="29F870EC" w14:textId="610FD0F7" w:rsidR="00D3555C" w:rsidRPr="00ED172B" w:rsidRDefault="00632DF6" w:rsidP="00632DF6">
            <w:pPr>
              <w:jc w:val="center"/>
              <w:rPr>
                <w:color w:val="000000" w:themeColor="text1"/>
              </w:rPr>
            </w:pPr>
            <w:r w:rsidRPr="00ED172B">
              <w:rPr>
                <w:color w:val="000000" w:themeColor="text1"/>
              </w:rPr>
              <w:t>Met target</w:t>
            </w:r>
          </w:p>
        </w:tc>
        <w:tc>
          <w:tcPr>
            <w:tcW w:w="496" w:type="pct"/>
            <w:shd w:val="clear" w:color="auto" w:fill="auto"/>
            <w:vAlign w:val="center"/>
          </w:tcPr>
          <w:p w14:paraId="3B10C568" w14:textId="17A3466F" w:rsidR="00D3555C" w:rsidRPr="00ED172B" w:rsidRDefault="00632DF6" w:rsidP="00632DF6">
            <w:pPr>
              <w:jc w:val="center"/>
              <w:rPr>
                <w:color w:val="000000" w:themeColor="text1"/>
              </w:rPr>
            </w:pPr>
            <w:r w:rsidRPr="00ED172B">
              <w:rPr>
                <w:color w:val="000000" w:themeColor="text1"/>
              </w:rPr>
              <w:t>No Slippage</w:t>
            </w:r>
          </w:p>
        </w:tc>
      </w:tr>
    </w:tbl>
    <w:p w14:paraId="3CBC9B31" w14:textId="2AC53FB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2A9A6EA9" w14:textId="71C8D759" w:rsidR="003A3693" w:rsidRPr="00ED172B" w:rsidRDefault="003A3693" w:rsidP="00632DF6">
      <w:pPr>
        <w:rPr>
          <w:color w:val="000000" w:themeColor="text1"/>
        </w:rPr>
      </w:pPr>
    </w:p>
    <w:p w14:paraId="570F9CF2" w14:textId="73DF43E4" w:rsidR="00DC0682" w:rsidRPr="00A40EE1" w:rsidRDefault="000D0117" w:rsidP="005C3FFD">
      <w:pPr>
        <w:pStyle w:val="Heading2"/>
      </w:pPr>
      <w:r w:rsidRPr="00A40EE1">
        <w:lastRenderedPageBreak/>
        <w:t xml:space="preserve">5 - </w:t>
      </w:r>
      <w:r w:rsidR="00DC0682" w:rsidRPr="00A40EE1">
        <w:t>Prior FFY Required Actions</w:t>
      </w:r>
    </w:p>
    <w:p w14:paraId="0D04CBEE" w14:textId="76942275" w:rsidR="00DC0682" w:rsidRPr="00ED172B" w:rsidRDefault="00632DF6" w:rsidP="00027F39">
      <w:pPr>
        <w:rPr>
          <w:color w:val="000000" w:themeColor="text1"/>
        </w:rPr>
      </w:pPr>
      <w:r w:rsidRPr="00ED172B">
        <w:rPr>
          <w:color w:val="000000" w:themeColor="text1"/>
        </w:rPr>
        <w:t>None</w:t>
      </w:r>
    </w:p>
    <w:p w14:paraId="72B15385" w14:textId="38429387" w:rsidR="00DC0682" w:rsidRPr="00A40EE1" w:rsidRDefault="000D0117" w:rsidP="005C3FFD">
      <w:pPr>
        <w:pStyle w:val="Heading2"/>
      </w:pPr>
      <w:r w:rsidRPr="00A40EE1">
        <w:t xml:space="preserve">5 - </w:t>
      </w:r>
      <w:r w:rsidR="00DC0682" w:rsidRPr="00A40EE1">
        <w:t>OSEP Response</w:t>
      </w:r>
    </w:p>
    <w:p w14:paraId="17DE00FE" w14:textId="160BC2C5" w:rsidR="00DC0682" w:rsidRPr="00ED172B" w:rsidRDefault="00632DF6" w:rsidP="00027F39">
      <w:pPr>
        <w:rPr>
          <w:color w:val="000000" w:themeColor="text1"/>
        </w:rPr>
      </w:pPr>
      <w:r w:rsidRPr="00ED172B">
        <w:rPr>
          <w:color w:val="000000" w:themeColor="text1"/>
        </w:rPr>
        <w:t>The State provided targets for FFYs 2020 through 2025 for this indicator, and OSEP accepts those targets.</w:t>
      </w:r>
    </w:p>
    <w:p w14:paraId="3AD8C480" w14:textId="43A7321C" w:rsidR="00DC0682" w:rsidRPr="00A40EE1" w:rsidRDefault="000D0117" w:rsidP="005C3FFD">
      <w:pPr>
        <w:pStyle w:val="Heading2"/>
      </w:pPr>
      <w:r w:rsidRPr="00A40EE1">
        <w:t xml:space="preserve">5 - </w:t>
      </w:r>
      <w:r w:rsidR="00DC0682" w:rsidRPr="00A40EE1">
        <w:t>Required Actions</w:t>
      </w:r>
    </w:p>
    <w:p w14:paraId="28F72D21" w14:textId="482322D8" w:rsidR="00DC0682" w:rsidRPr="00ED172B" w:rsidRDefault="00DC0682" w:rsidP="00027F39">
      <w:pPr>
        <w:rPr>
          <w:color w:val="000000" w:themeColor="text1"/>
        </w:rPr>
      </w:pPr>
    </w:p>
    <w:p w14:paraId="4FD273CC" w14:textId="77777777" w:rsidR="00447F6D" w:rsidRPr="00ED172B" w:rsidRDefault="00447F6D" w:rsidP="00B83404">
      <w:pPr>
        <w:rPr>
          <w:color w:val="000000" w:themeColor="text1"/>
        </w:rPr>
        <w:sectPr w:rsidR="00447F6D" w:rsidRPr="00ED172B" w:rsidSect="00540D34">
          <w:pgSz w:w="12240" w:h="15840"/>
          <w:pgMar w:top="720" w:right="720" w:bottom="720" w:left="720" w:header="576" w:footer="720" w:gutter="0"/>
          <w:cols w:space="720"/>
          <w:docGrid w:linePitch="360"/>
        </w:sectPr>
      </w:pPr>
    </w:p>
    <w:p w14:paraId="57B13665" w14:textId="77777777" w:rsidR="000C6015" w:rsidRPr="00ED172B" w:rsidRDefault="00D03701" w:rsidP="0077063D">
      <w:pPr>
        <w:pStyle w:val="Heading1"/>
        <w:rPr>
          <w:color w:val="000000" w:themeColor="text1"/>
        </w:rPr>
      </w:pPr>
      <w:bookmarkStart w:id="36" w:name="_Toc381956335"/>
      <w:bookmarkStart w:id="37" w:name="_Toc384383336"/>
      <w:bookmarkStart w:id="38" w:name="_Toc392159288"/>
      <w:r w:rsidRPr="00ED172B">
        <w:rPr>
          <w:color w:val="000000" w:themeColor="text1"/>
        </w:rPr>
        <w:lastRenderedPageBreak/>
        <w:t xml:space="preserve">Indicator </w:t>
      </w:r>
      <w:bookmarkEnd w:id="36"/>
      <w:bookmarkEnd w:id="37"/>
      <w:bookmarkEnd w:id="38"/>
      <w:r w:rsidR="000C6015" w:rsidRPr="00ED172B">
        <w:rPr>
          <w:color w:val="000000" w:themeColor="text1"/>
        </w:rPr>
        <w:t>6: Child Find (Birth to Three)</w:t>
      </w:r>
    </w:p>
    <w:p w14:paraId="1759B464"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4480A000"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6BF01D65"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toddlers birth to 3 with IFSPs</w:t>
      </w:r>
      <w:r w:rsidR="00A863D5">
        <w:rPr>
          <w:color w:val="000000" w:themeColor="text1"/>
          <w:szCs w:val="16"/>
        </w:rPr>
        <w:t>.</w:t>
      </w:r>
    </w:p>
    <w:p w14:paraId="1586FBA4" w14:textId="28ED3B8C" w:rsidR="000C6015" w:rsidRPr="00ED172B" w:rsidRDefault="000C6015" w:rsidP="00B609A4">
      <w:pPr>
        <w:rPr>
          <w:color w:val="000000" w:themeColor="text1"/>
          <w:szCs w:val="16"/>
        </w:rPr>
      </w:pPr>
      <w:r w:rsidRPr="00ED172B">
        <w:rPr>
          <w:color w:val="000000" w:themeColor="text1"/>
          <w:szCs w:val="16"/>
        </w:rPr>
        <w:t>(20 U.S.C. 1416(a)(3)(B) and 1442)</w:t>
      </w:r>
    </w:p>
    <w:p w14:paraId="189B5017" w14:textId="77777777" w:rsidR="005918D1" w:rsidRPr="00ED172B" w:rsidRDefault="005918D1">
      <w:pPr>
        <w:rPr>
          <w:b/>
          <w:color w:val="000000" w:themeColor="text1"/>
        </w:rPr>
      </w:pPr>
      <w:r w:rsidRPr="00ED172B">
        <w:rPr>
          <w:b/>
          <w:color w:val="000000" w:themeColor="text1"/>
        </w:rPr>
        <w:t>Data Source</w:t>
      </w:r>
    </w:p>
    <w:p w14:paraId="195C42B9" w14:textId="72C89367" w:rsidR="005918D1" w:rsidRPr="00ED172B" w:rsidRDefault="005918D1" w:rsidP="00B609A4">
      <w:pPr>
        <w:rPr>
          <w:color w:val="000000" w:themeColor="text1"/>
          <w:szCs w:val="16"/>
        </w:rPr>
      </w:pPr>
      <w:r w:rsidRPr="00ED172B">
        <w:rPr>
          <w:color w:val="000000" w:themeColor="text1"/>
          <w:szCs w:val="16"/>
        </w:rPr>
        <w:t>Data collected under IDEA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 and Census (for the denominator).</w:t>
      </w:r>
    </w:p>
    <w:p w14:paraId="037867D0" w14:textId="77777777" w:rsidR="005918D1" w:rsidRPr="00ED172B" w:rsidRDefault="005918D1">
      <w:pPr>
        <w:rPr>
          <w:b/>
          <w:color w:val="000000" w:themeColor="text1"/>
        </w:rPr>
      </w:pPr>
      <w:r w:rsidRPr="00ED172B">
        <w:rPr>
          <w:b/>
          <w:color w:val="000000" w:themeColor="text1"/>
        </w:rPr>
        <w:t>Measurement</w:t>
      </w:r>
    </w:p>
    <w:p w14:paraId="70DD93A2" w14:textId="778FC194" w:rsidR="005918D1" w:rsidRPr="00ED172B" w:rsidRDefault="005918D1" w:rsidP="00B609A4">
      <w:pPr>
        <w:rPr>
          <w:color w:val="000000" w:themeColor="text1"/>
          <w:szCs w:val="16"/>
        </w:rPr>
      </w:pPr>
      <w:r w:rsidRPr="00ED172B">
        <w:rPr>
          <w:color w:val="000000" w:themeColor="text1"/>
          <w:szCs w:val="16"/>
        </w:rPr>
        <w:t>Percent = [(# of infants and toddlers birth to 3 with IFSPs) divided by the (population of infants and toddlers birth to 3)] times 100.</w:t>
      </w:r>
    </w:p>
    <w:p w14:paraId="7F75A80E" w14:textId="77777777" w:rsidR="005918D1" w:rsidRPr="00ED172B" w:rsidRDefault="005918D1">
      <w:pPr>
        <w:rPr>
          <w:b/>
          <w:color w:val="000000" w:themeColor="text1"/>
        </w:rPr>
      </w:pPr>
      <w:r w:rsidRPr="00ED172B">
        <w:rPr>
          <w:b/>
          <w:color w:val="000000" w:themeColor="text1"/>
        </w:rPr>
        <w:t>Instructions</w:t>
      </w:r>
    </w:p>
    <w:p w14:paraId="464FFC3E"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058CBEAD" w14:textId="3012401A" w:rsidR="001C3D0E" w:rsidRPr="00ED172B" w:rsidRDefault="001C3D0E" w:rsidP="00B609A4">
      <w:pPr>
        <w:rPr>
          <w:color w:val="000000" w:themeColor="text1"/>
          <w:szCs w:val="16"/>
        </w:rPr>
      </w:pPr>
      <w:r w:rsidRPr="00ED172B">
        <w:rPr>
          <w:color w:val="000000" w:themeColor="text1"/>
          <w:szCs w:val="16"/>
        </w:rPr>
        <w:t>Describe the results of the calculations . The data reported in this indicator should be consistent with the State’s reported 618 data reported in Table 1. If not, explain why.</w:t>
      </w:r>
    </w:p>
    <w:p w14:paraId="54455F0F" w14:textId="1A3E5AE7" w:rsidR="000C6015" w:rsidRPr="00A40EE1" w:rsidRDefault="000D0117" w:rsidP="005C3FFD">
      <w:pPr>
        <w:pStyle w:val="Heading2"/>
      </w:pPr>
      <w:r w:rsidRPr="00A40EE1">
        <w:t xml:space="preserve">6 - </w:t>
      </w:r>
      <w:r w:rsidR="00B609A4" w:rsidRPr="00A40EE1">
        <w:t>Indicator Data</w:t>
      </w:r>
    </w:p>
    <w:p w14:paraId="6532087D" w14:textId="4B7C8292" w:rsidR="00C779B5" w:rsidRDefault="00C779B5" w:rsidP="00C779B5"/>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0C3C38FE" w14:textId="77777777" w:rsidTr="00A40EE1">
        <w:trPr>
          <w:trHeight w:val="350"/>
          <w:tblHeader/>
        </w:trPr>
        <w:tc>
          <w:tcPr>
            <w:tcW w:w="2499" w:type="pct"/>
            <w:tcBorders>
              <w:bottom w:val="single" w:sz="4" w:space="0" w:color="auto"/>
            </w:tcBorders>
            <w:shd w:val="clear" w:color="auto" w:fill="auto"/>
            <w:vAlign w:val="center"/>
          </w:tcPr>
          <w:p w14:paraId="6EBB6A21" w14:textId="79F53899"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shd w:val="clear" w:color="auto" w:fill="auto"/>
            <w:vAlign w:val="center"/>
          </w:tcPr>
          <w:p w14:paraId="26E377DD" w14:textId="65BDC4EC"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24332C59" w14:textId="77777777" w:rsidTr="00A40EE1">
        <w:trPr>
          <w:trHeight w:val="350"/>
        </w:trPr>
        <w:tc>
          <w:tcPr>
            <w:tcW w:w="2499" w:type="pct"/>
            <w:tcBorders>
              <w:bottom w:val="single" w:sz="4" w:space="0" w:color="auto"/>
            </w:tcBorders>
            <w:shd w:val="clear" w:color="auto" w:fill="auto"/>
            <w:vAlign w:val="center"/>
          </w:tcPr>
          <w:p w14:paraId="2D2F048E" w14:textId="77777777" w:rsidR="00CA65C9" w:rsidRPr="00ED172B" w:rsidRDefault="00CA65C9" w:rsidP="00C15786">
            <w:pPr>
              <w:jc w:val="center"/>
              <w:rPr>
                <w:b/>
                <w:color w:val="000000" w:themeColor="text1"/>
              </w:rPr>
            </w:pPr>
            <w:r w:rsidRPr="00ED172B">
              <w:rPr>
                <w:color w:val="000000" w:themeColor="text1"/>
              </w:rPr>
              <w:t>2005</w:t>
            </w:r>
          </w:p>
        </w:tc>
        <w:tc>
          <w:tcPr>
            <w:tcW w:w="2501" w:type="pct"/>
            <w:tcBorders>
              <w:top w:val="single" w:sz="4" w:space="0" w:color="auto"/>
              <w:right w:val="single" w:sz="4" w:space="0" w:color="auto"/>
            </w:tcBorders>
            <w:shd w:val="clear" w:color="auto" w:fill="auto"/>
            <w:vAlign w:val="center"/>
          </w:tcPr>
          <w:p w14:paraId="7FCE749A" w14:textId="77777777" w:rsidR="00CA65C9" w:rsidRPr="00ED172B" w:rsidRDefault="00CA65C9" w:rsidP="00C15786">
            <w:pPr>
              <w:jc w:val="center"/>
              <w:rPr>
                <w:b/>
                <w:color w:val="000000" w:themeColor="text1"/>
              </w:rPr>
            </w:pPr>
            <w:r w:rsidRPr="00ED172B">
              <w:rPr>
                <w:color w:val="000000" w:themeColor="text1"/>
              </w:rPr>
              <w:t>5.90%</w:t>
            </w:r>
          </w:p>
        </w:tc>
      </w:tr>
    </w:tbl>
    <w:p w14:paraId="02A9E8BE" w14:textId="5A3915EB"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69340626" w14:textId="77777777" w:rsidTr="00986B99">
        <w:trPr>
          <w:trHeight w:val="350"/>
        </w:trPr>
        <w:tc>
          <w:tcPr>
            <w:tcW w:w="415" w:type="pct"/>
            <w:tcBorders>
              <w:bottom w:val="single" w:sz="4" w:space="0" w:color="auto"/>
            </w:tcBorders>
            <w:shd w:val="clear" w:color="auto" w:fill="auto"/>
          </w:tcPr>
          <w:p w14:paraId="5CA2C8B5" w14:textId="77777777" w:rsidR="00EF4A30" w:rsidRPr="00ED172B" w:rsidRDefault="00EF4A30" w:rsidP="00186420">
            <w:pPr>
              <w:jc w:val="center"/>
              <w:rPr>
                <w:b/>
                <w:color w:val="000000" w:themeColor="text1"/>
                <w:szCs w:val="16"/>
              </w:rPr>
            </w:pPr>
            <w:bookmarkStart w:id="39" w:name="_Toc392159294"/>
            <w:r w:rsidRPr="00ED172B">
              <w:rPr>
                <w:b/>
                <w:color w:val="000000" w:themeColor="text1"/>
                <w:szCs w:val="16"/>
              </w:rPr>
              <w:t>FFY</w:t>
            </w:r>
          </w:p>
        </w:tc>
        <w:tc>
          <w:tcPr>
            <w:tcW w:w="959" w:type="pct"/>
            <w:shd w:val="clear" w:color="auto" w:fill="auto"/>
            <w:vAlign w:val="center"/>
          </w:tcPr>
          <w:p w14:paraId="6BFA9D3F" w14:textId="277F6CE8" w:rsidR="00EF4A30" w:rsidRPr="00ED172B" w:rsidRDefault="002163F2" w:rsidP="00CD79C5">
            <w:pPr>
              <w:jc w:val="center"/>
              <w:rPr>
                <w:b/>
                <w:color w:val="000000" w:themeColor="text1"/>
                <w:szCs w:val="16"/>
              </w:rPr>
            </w:pPr>
            <w:r w:rsidRPr="00ED172B">
              <w:rPr>
                <w:rFonts w:cs="Arial"/>
                <w:b/>
                <w:color w:val="000000" w:themeColor="text1"/>
                <w:szCs w:val="16"/>
              </w:rPr>
              <w:t>2015</w:t>
            </w:r>
          </w:p>
        </w:tc>
        <w:tc>
          <w:tcPr>
            <w:tcW w:w="1026" w:type="pct"/>
            <w:shd w:val="clear" w:color="auto" w:fill="auto"/>
            <w:vAlign w:val="center"/>
          </w:tcPr>
          <w:p w14:paraId="086F5D65" w14:textId="091D460A" w:rsidR="00EF4A30" w:rsidRPr="00ED172B" w:rsidRDefault="002163F2" w:rsidP="00CD79C5">
            <w:pPr>
              <w:jc w:val="center"/>
              <w:rPr>
                <w:b/>
                <w:color w:val="000000" w:themeColor="text1"/>
                <w:szCs w:val="16"/>
              </w:rPr>
            </w:pPr>
            <w:r w:rsidRPr="00ED172B">
              <w:rPr>
                <w:rFonts w:cs="Arial"/>
                <w:b/>
                <w:color w:val="000000" w:themeColor="text1"/>
                <w:szCs w:val="16"/>
              </w:rPr>
              <w:t>2016</w:t>
            </w:r>
          </w:p>
        </w:tc>
        <w:tc>
          <w:tcPr>
            <w:tcW w:w="867" w:type="pct"/>
            <w:shd w:val="clear" w:color="auto" w:fill="auto"/>
            <w:vAlign w:val="center"/>
          </w:tcPr>
          <w:p w14:paraId="335EA78F" w14:textId="3EB70DF4" w:rsidR="00EF4A30" w:rsidRPr="00ED172B" w:rsidRDefault="002163F2" w:rsidP="00CD79C5">
            <w:pPr>
              <w:jc w:val="center"/>
              <w:rPr>
                <w:b/>
                <w:color w:val="000000" w:themeColor="text1"/>
                <w:szCs w:val="16"/>
              </w:rPr>
            </w:pPr>
            <w:r w:rsidRPr="00ED172B">
              <w:rPr>
                <w:rFonts w:cs="Arial"/>
                <w:b/>
                <w:color w:val="000000" w:themeColor="text1"/>
                <w:szCs w:val="16"/>
              </w:rPr>
              <w:t>2017</w:t>
            </w:r>
          </w:p>
        </w:tc>
        <w:tc>
          <w:tcPr>
            <w:tcW w:w="867" w:type="pct"/>
            <w:shd w:val="clear" w:color="auto" w:fill="auto"/>
            <w:vAlign w:val="center"/>
          </w:tcPr>
          <w:p w14:paraId="514EF7CF" w14:textId="005FC8E1" w:rsidR="00EF4A30" w:rsidRPr="00ED172B" w:rsidRDefault="002163F2" w:rsidP="00CD79C5">
            <w:pPr>
              <w:jc w:val="center"/>
              <w:rPr>
                <w:b/>
                <w:color w:val="000000" w:themeColor="text1"/>
                <w:szCs w:val="16"/>
              </w:rPr>
            </w:pPr>
            <w:r w:rsidRPr="00ED172B">
              <w:rPr>
                <w:rFonts w:cs="Arial"/>
                <w:b/>
                <w:color w:val="000000" w:themeColor="text1"/>
                <w:szCs w:val="16"/>
              </w:rPr>
              <w:t>2018</w:t>
            </w:r>
          </w:p>
        </w:tc>
        <w:tc>
          <w:tcPr>
            <w:tcW w:w="866" w:type="pct"/>
            <w:shd w:val="clear" w:color="auto" w:fill="auto"/>
            <w:vAlign w:val="center"/>
          </w:tcPr>
          <w:p w14:paraId="5D859863" w14:textId="10483E82" w:rsidR="00EF4A30" w:rsidRPr="00ED172B" w:rsidRDefault="006D43D3" w:rsidP="00CD79C5">
            <w:pPr>
              <w:jc w:val="center"/>
              <w:rPr>
                <w:b/>
                <w:color w:val="000000" w:themeColor="text1"/>
                <w:szCs w:val="16"/>
              </w:rPr>
            </w:pPr>
            <w:r w:rsidRPr="00ED172B">
              <w:rPr>
                <w:rFonts w:cs="Arial"/>
                <w:b/>
                <w:color w:val="000000" w:themeColor="text1"/>
                <w:szCs w:val="16"/>
              </w:rPr>
              <w:t>2019</w:t>
            </w:r>
          </w:p>
        </w:tc>
      </w:tr>
      <w:tr w:rsidR="00ED172B" w:rsidRPr="00ED172B" w14:paraId="2487552A" w14:textId="77777777" w:rsidTr="00986B99">
        <w:trPr>
          <w:trHeight w:val="357"/>
        </w:trPr>
        <w:tc>
          <w:tcPr>
            <w:tcW w:w="415" w:type="pct"/>
            <w:shd w:val="clear" w:color="auto" w:fill="auto"/>
          </w:tcPr>
          <w:p w14:paraId="0BDCC722" w14:textId="2BFAD67F" w:rsidR="00EF4A30" w:rsidRPr="00ED172B" w:rsidRDefault="00EF4A30" w:rsidP="00B83404">
            <w:pP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2FD02956" w14:textId="51038081" w:rsidR="00EF4A30" w:rsidRPr="00ED172B" w:rsidRDefault="00860830" w:rsidP="00CD79C5">
            <w:pPr>
              <w:jc w:val="center"/>
              <w:rPr>
                <w:color w:val="000000" w:themeColor="text1"/>
                <w:szCs w:val="16"/>
              </w:rPr>
            </w:pPr>
            <w:r w:rsidRPr="00ED172B">
              <w:rPr>
                <w:rFonts w:cs="Arial"/>
                <w:color w:val="000000" w:themeColor="text1"/>
                <w:szCs w:val="16"/>
              </w:rPr>
              <w:t>5.88%</w:t>
            </w:r>
          </w:p>
        </w:tc>
        <w:tc>
          <w:tcPr>
            <w:tcW w:w="1026" w:type="pct"/>
            <w:shd w:val="clear" w:color="auto" w:fill="auto"/>
            <w:vAlign w:val="center"/>
          </w:tcPr>
          <w:p w14:paraId="5FCE94BE" w14:textId="0E65C1D0" w:rsidR="00EF4A30" w:rsidRPr="00ED172B" w:rsidRDefault="00860830" w:rsidP="00CD79C5">
            <w:pPr>
              <w:jc w:val="center"/>
              <w:rPr>
                <w:color w:val="000000" w:themeColor="text1"/>
                <w:szCs w:val="16"/>
              </w:rPr>
            </w:pPr>
            <w:r w:rsidRPr="00ED172B">
              <w:rPr>
                <w:rFonts w:cs="Arial"/>
                <w:color w:val="000000" w:themeColor="text1"/>
                <w:szCs w:val="16"/>
              </w:rPr>
              <w:t>5.89%</w:t>
            </w:r>
          </w:p>
        </w:tc>
        <w:tc>
          <w:tcPr>
            <w:tcW w:w="867" w:type="pct"/>
            <w:shd w:val="clear" w:color="auto" w:fill="auto"/>
            <w:vAlign w:val="center"/>
          </w:tcPr>
          <w:p w14:paraId="132D2853" w14:textId="70C90015" w:rsidR="00EF4A30" w:rsidRPr="00ED172B" w:rsidRDefault="00860830" w:rsidP="00CD79C5">
            <w:pPr>
              <w:jc w:val="center"/>
              <w:rPr>
                <w:color w:val="000000" w:themeColor="text1"/>
                <w:szCs w:val="16"/>
              </w:rPr>
            </w:pPr>
            <w:r w:rsidRPr="00ED172B">
              <w:rPr>
                <w:rFonts w:cs="Arial"/>
                <w:color w:val="000000" w:themeColor="text1"/>
                <w:szCs w:val="16"/>
              </w:rPr>
              <w:t>5.90%</w:t>
            </w:r>
          </w:p>
        </w:tc>
        <w:tc>
          <w:tcPr>
            <w:tcW w:w="867" w:type="pct"/>
            <w:shd w:val="clear" w:color="auto" w:fill="auto"/>
            <w:vAlign w:val="center"/>
          </w:tcPr>
          <w:p w14:paraId="4670AFD3" w14:textId="6A151652" w:rsidR="00EF4A30" w:rsidRPr="00ED172B" w:rsidRDefault="00860830" w:rsidP="00CD79C5">
            <w:pPr>
              <w:jc w:val="center"/>
              <w:rPr>
                <w:color w:val="000000" w:themeColor="text1"/>
                <w:szCs w:val="16"/>
              </w:rPr>
            </w:pPr>
            <w:r w:rsidRPr="00ED172B">
              <w:rPr>
                <w:rFonts w:cs="Arial"/>
                <w:color w:val="000000" w:themeColor="text1"/>
                <w:szCs w:val="16"/>
              </w:rPr>
              <w:t>5.90%</w:t>
            </w:r>
          </w:p>
        </w:tc>
        <w:tc>
          <w:tcPr>
            <w:tcW w:w="866" w:type="pct"/>
            <w:shd w:val="clear" w:color="auto" w:fill="auto"/>
            <w:vAlign w:val="center"/>
          </w:tcPr>
          <w:p w14:paraId="6C1609EA" w14:textId="460628D2" w:rsidR="00EF4A30" w:rsidRPr="00ED172B" w:rsidRDefault="00860830" w:rsidP="00CD79C5">
            <w:pPr>
              <w:jc w:val="center"/>
              <w:rPr>
                <w:color w:val="000000" w:themeColor="text1"/>
                <w:szCs w:val="16"/>
              </w:rPr>
            </w:pPr>
            <w:r w:rsidRPr="00ED172B">
              <w:rPr>
                <w:rFonts w:cs="Arial"/>
                <w:color w:val="000000" w:themeColor="text1"/>
                <w:szCs w:val="16"/>
              </w:rPr>
              <w:t>6.00%</w:t>
            </w:r>
          </w:p>
        </w:tc>
      </w:tr>
      <w:tr w:rsidR="00ED172B" w:rsidRPr="00ED172B" w14:paraId="3DE11503" w14:textId="77777777" w:rsidTr="00986B99">
        <w:trPr>
          <w:trHeight w:val="85"/>
        </w:trPr>
        <w:tc>
          <w:tcPr>
            <w:tcW w:w="415" w:type="pct"/>
            <w:shd w:val="clear" w:color="auto" w:fill="auto"/>
          </w:tcPr>
          <w:p w14:paraId="76DAE92C" w14:textId="77777777" w:rsidR="00EF4A30" w:rsidRPr="00ED172B" w:rsidRDefault="00EF4A30" w:rsidP="00B83404">
            <w:pPr>
              <w:rPr>
                <w:color w:val="000000" w:themeColor="text1"/>
                <w:szCs w:val="16"/>
              </w:rPr>
            </w:pPr>
            <w:r w:rsidRPr="00ED172B">
              <w:rPr>
                <w:color w:val="000000" w:themeColor="text1"/>
                <w:szCs w:val="16"/>
              </w:rPr>
              <w:t>Data</w:t>
            </w:r>
          </w:p>
        </w:tc>
        <w:tc>
          <w:tcPr>
            <w:tcW w:w="959" w:type="pct"/>
            <w:shd w:val="clear" w:color="auto" w:fill="auto"/>
            <w:vAlign w:val="center"/>
          </w:tcPr>
          <w:p w14:paraId="473030AC" w14:textId="609BBA18" w:rsidR="00EF4A30" w:rsidRPr="00ED172B" w:rsidRDefault="00860830" w:rsidP="00CD79C5">
            <w:pPr>
              <w:jc w:val="center"/>
              <w:rPr>
                <w:color w:val="000000" w:themeColor="text1"/>
                <w:szCs w:val="16"/>
              </w:rPr>
            </w:pPr>
            <w:r w:rsidRPr="00ED172B">
              <w:rPr>
                <w:rFonts w:cs="Arial"/>
                <w:color w:val="000000" w:themeColor="text1"/>
                <w:szCs w:val="16"/>
              </w:rPr>
              <w:t>9.05%</w:t>
            </w:r>
          </w:p>
        </w:tc>
        <w:tc>
          <w:tcPr>
            <w:tcW w:w="1026" w:type="pct"/>
            <w:shd w:val="clear" w:color="auto" w:fill="auto"/>
            <w:vAlign w:val="center"/>
          </w:tcPr>
          <w:p w14:paraId="1EC821B6" w14:textId="7EB4D908" w:rsidR="00EF4A30" w:rsidRPr="00ED172B" w:rsidRDefault="00860830" w:rsidP="00CD79C5">
            <w:pPr>
              <w:jc w:val="center"/>
              <w:rPr>
                <w:color w:val="000000" w:themeColor="text1"/>
                <w:szCs w:val="16"/>
              </w:rPr>
            </w:pPr>
            <w:r w:rsidRPr="00ED172B">
              <w:rPr>
                <w:rFonts w:cs="Arial"/>
                <w:color w:val="000000" w:themeColor="text1"/>
                <w:szCs w:val="16"/>
              </w:rPr>
              <w:t>9.44%</w:t>
            </w:r>
          </w:p>
        </w:tc>
        <w:tc>
          <w:tcPr>
            <w:tcW w:w="867" w:type="pct"/>
            <w:tcBorders>
              <w:bottom w:val="single" w:sz="4" w:space="0" w:color="auto"/>
            </w:tcBorders>
            <w:shd w:val="clear" w:color="auto" w:fill="auto"/>
            <w:vAlign w:val="center"/>
          </w:tcPr>
          <w:p w14:paraId="7EC1F3D1" w14:textId="73DEF665" w:rsidR="00EF4A30" w:rsidRPr="00ED172B" w:rsidRDefault="00860830" w:rsidP="00CD79C5">
            <w:pPr>
              <w:jc w:val="center"/>
              <w:rPr>
                <w:color w:val="000000" w:themeColor="text1"/>
                <w:szCs w:val="16"/>
              </w:rPr>
            </w:pPr>
            <w:r w:rsidRPr="00ED172B">
              <w:rPr>
                <w:rFonts w:cs="Arial"/>
                <w:color w:val="000000" w:themeColor="text1"/>
                <w:szCs w:val="16"/>
              </w:rPr>
              <w:t>9.54%</w:t>
            </w:r>
          </w:p>
        </w:tc>
        <w:tc>
          <w:tcPr>
            <w:tcW w:w="867" w:type="pct"/>
            <w:tcBorders>
              <w:bottom w:val="single" w:sz="4" w:space="0" w:color="auto"/>
            </w:tcBorders>
            <w:shd w:val="clear" w:color="auto" w:fill="auto"/>
            <w:vAlign w:val="center"/>
          </w:tcPr>
          <w:p w14:paraId="71B39BAC" w14:textId="3DC249BD" w:rsidR="00EF4A30" w:rsidRPr="00ED172B" w:rsidRDefault="00860830" w:rsidP="00CD79C5">
            <w:pPr>
              <w:jc w:val="center"/>
              <w:rPr>
                <w:color w:val="000000" w:themeColor="text1"/>
                <w:szCs w:val="16"/>
              </w:rPr>
            </w:pPr>
            <w:r w:rsidRPr="00ED172B">
              <w:rPr>
                <w:rFonts w:cs="Arial"/>
                <w:color w:val="000000" w:themeColor="text1"/>
                <w:szCs w:val="16"/>
              </w:rPr>
              <w:t>10.05%</w:t>
            </w:r>
          </w:p>
        </w:tc>
        <w:tc>
          <w:tcPr>
            <w:tcW w:w="866" w:type="pct"/>
            <w:tcBorders>
              <w:bottom w:val="single" w:sz="4" w:space="0" w:color="auto"/>
            </w:tcBorders>
            <w:shd w:val="clear" w:color="auto" w:fill="auto"/>
            <w:vAlign w:val="center"/>
          </w:tcPr>
          <w:p w14:paraId="12681457" w14:textId="76951521" w:rsidR="00EF4A30" w:rsidRPr="00ED172B" w:rsidRDefault="00860830" w:rsidP="00CD79C5">
            <w:pPr>
              <w:jc w:val="center"/>
              <w:rPr>
                <w:color w:val="000000" w:themeColor="text1"/>
                <w:szCs w:val="16"/>
              </w:rPr>
            </w:pPr>
            <w:r w:rsidRPr="00ED172B">
              <w:rPr>
                <w:rFonts w:cs="Arial"/>
                <w:color w:val="000000" w:themeColor="text1"/>
                <w:szCs w:val="16"/>
              </w:rPr>
              <w:t>10.59%</w:t>
            </w:r>
          </w:p>
        </w:tc>
      </w:tr>
    </w:tbl>
    <w:p w14:paraId="7EEFF1E6" w14:textId="77777777" w:rsidR="00EF4A30" w:rsidRPr="00ED172B" w:rsidRDefault="00EF4A30">
      <w:pPr>
        <w:rPr>
          <w:b/>
          <w:color w:val="000000" w:themeColor="text1"/>
        </w:rPr>
      </w:pPr>
      <w:r w:rsidRPr="00ED172B">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40"/>
        <w:gridCol w:w="1541"/>
        <w:gridCol w:w="1543"/>
        <w:gridCol w:w="1541"/>
        <w:gridCol w:w="1543"/>
        <w:gridCol w:w="1541"/>
        <w:gridCol w:w="1541"/>
      </w:tblGrid>
      <w:tr w:rsidR="006B2FE9" w:rsidRPr="00ED172B" w14:paraId="1D435074" w14:textId="5FE636B7" w:rsidTr="006B2FE9">
        <w:trPr>
          <w:trHeight w:val="277"/>
        </w:trPr>
        <w:tc>
          <w:tcPr>
            <w:tcW w:w="714" w:type="pct"/>
            <w:tcBorders>
              <w:bottom w:val="single" w:sz="4" w:space="0" w:color="auto"/>
            </w:tcBorders>
            <w:shd w:val="clear" w:color="auto" w:fill="auto"/>
          </w:tcPr>
          <w:p w14:paraId="561FEE47" w14:textId="77777777" w:rsidR="006B2FE9" w:rsidRPr="00ED172B" w:rsidRDefault="006B2FE9" w:rsidP="006B2FE9">
            <w:pPr>
              <w:jc w:val="center"/>
              <w:rPr>
                <w:b/>
                <w:color w:val="000000" w:themeColor="text1"/>
                <w:szCs w:val="16"/>
              </w:rPr>
            </w:pPr>
            <w:r w:rsidRPr="00ED172B">
              <w:rPr>
                <w:b/>
                <w:color w:val="000000" w:themeColor="text1"/>
                <w:szCs w:val="16"/>
              </w:rPr>
              <w:t>FFY</w:t>
            </w:r>
          </w:p>
        </w:tc>
        <w:tc>
          <w:tcPr>
            <w:tcW w:w="714" w:type="pct"/>
            <w:shd w:val="clear" w:color="auto" w:fill="auto"/>
            <w:vAlign w:val="center"/>
          </w:tcPr>
          <w:p w14:paraId="2204FF06" w14:textId="1616FAAA" w:rsidR="006B2FE9" w:rsidRPr="00ED172B" w:rsidRDefault="006B2FE9" w:rsidP="006B2FE9">
            <w:pPr>
              <w:jc w:val="center"/>
              <w:rPr>
                <w:b/>
                <w:color w:val="000000" w:themeColor="text1"/>
                <w:szCs w:val="16"/>
              </w:rPr>
            </w:pPr>
            <w:r w:rsidRPr="00ED172B">
              <w:rPr>
                <w:rFonts w:cs="Arial"/>
                <w:b/>
                <w:color w:val="000000" w:themeColor="text1"/>
                <w:szCs w:val="16"/>
              </w:rPr>
              <w:t>2020</w:t>
            </w:r>
          </w:p>
        </w:tc>
        <w:tc>
          <w:tcPr>
            <w:tcW w:w="715" w:type="pct"/>
          </w:tcPr>
          <w:p w14:paraId="1DCDE632" w14:textId="0D933CB4" w:rsidR="006B2FE9" w:rsidRPr="00ED172B" w:rsidRDefault="006B2FE9" w:rsidP="006B2FE9">
            <w:pPr>
              <w:jc w:val="center"/>
              <w:rPr>
                <w:rFonts w:cs="Arial"/>
                <w:b/>
                <w:color w:val="000000" w:themeColor="text1"/>
                <w:szCs w:val="16"/>
              </w:rPr>
            </w:pPr>
            <w:r>
              <w:rPr>
                <w:rFonts w:cs="Arial"/>
                <w:b/>
                <w:color w:val="000000" w:themeColor="text1"/>
                <w:szCs w:val="16"/>
              </w:rPr>
              <w:t>2021</w:t>
            </w:r>
          </w:p>
        </w:tc>
        <w:tc>
          <w:tcPr>
            <w:tcW w:w="714" w:type="pct"/>
          </w:tcPr>
          <w:p w14:paraId="7F04CC39" w14:textId="648C9051" w:rsidR="006B2FE9" w:rsidRPr="00ED172B" w:rsidRDefault="006B2FE9" w:rsidP="006B2FE9">
            <w:pPr>
              <w:jc w:val="center"/>
              <w:rPr>
                <w:rFonts w:cs="Arial"/>
                <w:b/>
                <w:color w:val="000000" w:themeColor="text1"/>
                <w:szCs w:val="16"/>
              </w:rPr>
            </w:pPr>
            <w:r w:rsidRPr="005A1B4F">
              <w:rPr>
                <w:rFonts w:cs="Arial"/>
                <w:b/>
                <w:color w:val="000000" w:themeColor="text1"/>
                <w:szCs w:val="16"/>
              </w:rPr>
              <w:t>2022</w:t>
            </w:r>
          </w:p>
        </w:tc>
        <w:tc>
          <w:tcPr>
            <w:tcW w:w="715" w:type="pct"/>
          </w:tcPr>
          <w:p w14:paraId="761BB285" w14:textId="7F8965D6" w:rsidR="006B2FE9" w:rsidRPr="00ED172B" w:rsidRDefault="006B2FE9" w:rsidP="006B2FE9">
            <w:pPr>
              <w:jc w:val="center"/>
              <w:rPr>
                <w:rFonts w:cs="Arial"/>
                <w:b/>
                <w:color w:val="000000" w:themeColor="text1"/>
                <w:szCs w:val="16"/>
              </w:rPr>
            </w:pPr>
            <w:r w:rsidRPr="005A1B4F">
              <w:rPr>
                <w:rFonts w:cs="Arial"/>
                <w:b/>
                <w:color w:val="000000" w:themeColor="text1"/>
                <w:szCs w:val="16"/>
              </w:rPr>
              <w:t>2023</w:t>
            </w:r>
          </w:p>
        </w:tc>
        <w:tc>
          <w:tcPr>
            <w:tcW w:w="714" w:type="pct"/>
          </w:tcPr>
          <w:p w14:paraId="1F9C966C" w14:textId="5514D0F5" w:rsidR="006B2FE9" w:rsidRPr="00ED172B" w:rsidRDefault="006B2FE9" w:rsidP="006B2FE9">
            <w:pPr>
              <w:jc w:val="center"/>
              <w:rPr>
                <w:rFonts w:cs="Arial"/>
                <w:b/>
                <w:color w:val="000000" w:themeColor="text1"/>
                <w:szCs w:val="16"/>
              </w:rPr>
            </w:pPr>
            <w:r w:rsidRPr="005A1B4F">
              <w:rPr>
                <w:rFonts w:cs="Arial"/>
                <w:b/>
                <w:color w:val="000000" w:themeColor="text1"/>
                <w:szCs w:val="16"/>
              </w:rPr>
              <w:t>2024</w:t>
            </w:r>
          </w:p>
        </w:tc>
        <w:tc>
          <w:tcPr>
            <w:tcW w:w="715" w:type="pct"/>
          </w:tcPr>
          <w:p w14:paraId="55437BAF" w14:textId="1AA1178E" w:rsidR="006B2FE9" w:rsidRPr="00ED172B" w:rsidRDefault="006B2FE9" w:rsidP="006B2FE9">
            <w:pPr>
              <w:jc w:val="center"/>
              <w:rPr>
                <w:rFonts w:cs="Arial"/>
                <w:b/>
                <w:color w:val="000000" w:themeColor="text1"/>
                <w:szCs w:val="16"/>
              </w:rPr>
            </w:pPr>
            <w:r w:rsidRPr="005A1B4F">
              <w:rPr>
                <w:rFonts w:cs="Arial"/>
                <w:b/>
                <w:color w:val="000000" w:themeColor="text1"/>
                <w:szCs w:val="16"/>
              </w:rPr>
              <w:t>2025</w:t>
            </w:r>
          </w:p>
        </w:tc>
      </w:tr>
      <w:tr w:rsidR="006B2FE9" w:rsidRPr="00ED172B" w14:paraId="43BE8A8B" w14:textId="18ECC93C" w:rsidTr="006B2FE9">
        <w:trPr>
          <w:trHeight w:val="283"/>
        </w:trPr>
        <w:tc>
          <w:tcPr>
            <w:tcW w:w="714" w:type="pct"/>
            <w:shd w:val="clear" w:color="auto" w:fill="auto"/>
          </w:tcPr>
          <w:p w14:paraId="3A722C96" w14:textId="7558E2BE" w:rsidR="006B2FE9" w:rsidRPr="00ED172B" w:rsidRDefault="006B2FE9" w:rsidP="006B2FE9">
            <w:pP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714" w:type="pct"/>
            <w:shd w:val="clear" w:color="auto" w:fill="auto"/>
            <w:vAlign w:val="center"/>
          </w:tcPr>
          <w:p w14:paraId="4925440B" w14:textId="6DFF86C9" w:rsidR="006B2FE9" w:rsidRPr="00ED172B" w:rsidRDefault="006B2FE9" w:rsidP="006B2FE9">
            <w:pPr>
              <w:jc w:val="center"/>
              <w:rPr>
                <w:color w:val="000000" w:themeColor="text1"/>
              </w:rPr>
            </w:pPr>
            <w:r w:rsidRPr="00ED172B">
              <w:rPr>
                <w:color w:val="000000" w:themeColor="text1"/>
              </w:rPr>
              <w:t>6.00%</w:t>
            </w:r>
          </w:p>
        </w:tc>
        <w:tc>
          <w:tcPr>
            <w:tcW w:w="715" w:type="pct"/>
          </w:tcPr>
          <w:p w14:paraId="4EF0C269" w14:textId="5AFCA64F" w:rsidR="006B2FE9" w:rsidRPr="00ED172B" w:rsidRDefault="006B2FE9" w:rsidP="006B2FE9">
            <w:pPr>
              <w:jc w:val="center"/>
              <w:rPr>
                <w:color w:val="000000" w:themeColor="text1"/>
              </w:rPr>
            </w:pPr>
            <w:r>
              <w:rPr>
                <w:rFonts w:cs="Arial"/>
                <w:color w:val="000000" w:themeColor="text1"/>
                <w:szCs w:val="16"/>
              </w:rPr>
              <w:t>6.00%</w:t>
            </w:r>
          </w:p>
        </w:tc>
        <w:tc>
          <w:tcPr>
            <w:tcW w:w="714" w:type="pct"/>
          </w:tcPr>
          <w:p w14:paraId="055F1828" w14:textId="4AEDF7E7" w:rsidR="006B2FE9" w:rsidRPr="00ED172B" w:rsidRDefault="006B2FE9" w:rsidP="006B2FE9">
            <w:pPr>
              <w:jc w:val="center"/>
              <w:rPr>
                <w:color w:val="000000" w:themeColor="text1"/>
              </w:rPr>
            </w:pPr>
            <w:r w:rsidRPr="005F5F3C">
              <w:rPr>
                <w:rFonts w:cs="Arial"/>
                <w:color w:val="000000" w:themeColor="text1"/>
                <w:szCs w:val="16"/>
              </w:rPr>
              <w:t>6.00%</w:t>
            </w:r>
          </w:p>
        </w:tc>
        <w:tc>
          <w:tcPr>
            <w:tcW w:w="715" w:type="pct"/>
          </w:tcPr>
          <w:p w14:paraId="2C2E5A20" w14:textId="44D7F271" w:rsidR="006B2FE9" w:rsidRPr="00ED172B" w:rsidRDefault="006B2FE9" w:rsidP="006B2FE9">
            <w:pPr>
              <w:jc w:val="center"/>
              <w:rPr>
                <w:color w:val="000000" w:themeColor="text1"/>
              </w:rPr>
            </w:pPr>
            <w:r w:rsidRPr="005F5F3C">
              <w:rPr>
                <w:rFonts w:cs="Arial"/>
                <w:color w:val="000000" w:themeColor="text1"/>
                <w:szCs w:val="16"/>
              </w:rPr>
              <w:t>6.00%</w:t>
            </w:r>
          </w:p>
        </w:tc>
        <w:tc>
          <w:tcPr>
            <w:tcW w:w="714" w:type="pct"/>
          </w:tcPr>
          <w:p w14:paraId="09443BD2" w14:textId="6771814B" w:rsidR="006B2FE9" w:rsidRPr="00ED172B" w:rsidRDefault="006B2FE9" w:rsidP="006B2FE9">
            <w:pPr>
              <w:jc w:val="center"/>
              <w:rPr>
                <w:color w:val="000000" w:themeColor="text1"/>
              </w:rPr>
            </w:pPr>
            <w:r w:rsidRPr="005F5F3C">
              <w:rPr>
                <w:rFonts w:cs="Arial"/>
                <w:color w:val="000000" w:themeColor="text1"/>
                <w:szCs w:val="16"/>
              </w:rPr>
              <w:t>6.00%</w:t>
            </w:r>
          </w:p>
        </w:tc>
        <w:tc>
          <w:tcPr>
            <w:tcW w:w="715" w:type="pct"/>
          </w:tcPr>
          <w:p w14:paraId="19B791A0" w14:textId="7344949A" w:rsidR="006B2FE9" w:rsidRPr="00ED172B" w:rsidRDefault="006B2FE9" w:rsidP="006B2FE9">
            <w:pPr>
              <w:jc w:val="center"/>
              <w:rPr>
                <w:color w:val="000000" w:themeColor="text1"/>
              </w:rPr>
            </w:pPr>
            <w:r w:rsidRPr="005F5F3C">
              <w:rPr>
                <w:rFonts w:cs="Arial"/>
                <w:color w:val="000000" w:themeColor="text1"/>
                <w:szCs w:val="16"/>
              </w:rPr>
              <w:t>6.00%</w:t>
            </w:r>
          </w:p>
        </w:tc>
      </w:tr>
    </w:tbl>
    <w:p w14:paraId="31708672" w14:textId="7691570D" w:rsidR="00F80C9C" w:rsidRDefault="00F80C9C" w:rsidP="00F80C9C">
      <w:pPr>
        <w:pStyle w:val="Bold"/>
        <w:rPr>
          <w:color w:val="000000" w:themeColor="text1"/>
        </w:rPr>
      </w:pPr>
      <w:r w:rsidRPr="00ED172B">
        <w:rPr>
          <w:color w:val="000000" w:themeColor="text1"/>
        </w:rPr>
        <w:t xml:space="preserve">Targets: Description of Stakeholder Input </w:t>
      </w:r>
    </w:p>
    <w:p w14:paraId="21FFEE67" w14:textId="4F5F7951" w:rsidR="00B91988" w:rsidRDefault="00CF03E0" w:rsidP="00ED172B">
      <w:pPr>
        <w:rPr>
          <w:color w:val="000000" w:themeColor="text1"/>
        </w:rPr>
      </w:pPr>
      <w:r w:rsidRPr="00ED172B">
        <w:rPr>
          <w:color w:val="000000" w:themeColor="text1"/>
        </w:rPr>
        <w:t>The State Interagency Coordinating Council (ICC) serves as the primary stakeholder body for MA-C. ICC provides feedback to develop state targets, identify areas of need, and help recommend additional data analysis to improve MA-C performance. The ICC is comprised of 41 appointed members with variation in level of experience, discipline, role, geographic location across the Commonwealth, and race/ethnicity. Additionally, the ICC meetings are made available to the public and agendas and meeting links are published on MA-C's website and advertised through by the Parent Training and Information Center.</w:t>
      </w:r>
    </w:p>
    <w:p w14:paraId="712D4B5A" w14:textId="60F10C46" w:rsidR="004A1179" w:rsidRPr="00ED172B" w:rsidRDefault="004A1179" w:rsidP="00F80C9C">
      <w:pPr>
        <w:pStyle w:val="Bold"/>
        <w:rPr>
          <w:b w:val="0"/>
          <w:color w:val="000000" w:themeColor="text1"/>
        </w:rPr>
      </w:pPr>
      <w:r w:rsidRPr="00ED172B">
        <w:rPr>
          <w:rFonts w:cs="Arial"/>
          <w:b w:val="0"/>
          <w:color w:val="000000" w:themeColor="text1"/>
          <w:szCs w:val="16"/>
        </w:rPr>
        <w:t>MA-C acknowledges that it did not engage stakeholders for Indicator 6  as robustly as for other indicators. MA-C also recognizes that its baseline was established 17 years ago and it has consistently performed over its target. For these reasons, MA-C has determined to maintain its current target of 6% for FFY20-FFY25 and will evaluate the utility of resetting its baseline in a future year.</w:t>
      </w:r>
    </w:p>
    <w:p w14:paraId="06114D28"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174D843E" w14:textId="77777777" w:rsidTr="00986B99">
        <w:trPr>
          <w:trHeight w:val="372"/>
          <w:tblHeader/>
        </w:trPr>
        <w:tc>
          <w:tcPr>
            <w:tcW w:w="1457" w:type="pct"/>
            <w:shd w:val="clear" w:color="auto" w:fill="auto"/>
          </w:tcPr>
          <w:p w14:paraId="60C9A5E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shd w:val="clear" w:color="auto" w:fill="auto"/>
          </w:tcPr>
          <w:p w14:paraId="32EEC63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shd w:val="clear" w:color="auto" w:fill="auto"/>
          </w:tcPr>
          <w:p w14:paraId="0D362AE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7217D4D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3AF48BB2" w14:textId="77777777" w:rsidTr="00986B99">
        <w:trPr>
          <w:trHeight w:val="380"/>
        </w:trPr>
        <w:tc>
          <w:tcPr>
            <w:tcW w:w="1457" w:type="pct"/>
            <w:shd w:val="clear" w:color="auto" w:fill="auto"/>
            <w:vAlign w:val="center"/>
          </w:tcPr>
          <w:p w14:paraId="13D6F84C" w14:textId="3A0EB7E5" w:rsidR="00B609A4" w:rsidRPr="00ED172B" w:rsidRDefault="00753E04" w:rsidP="00715B7C">
            <w:pPr>
              <w:jc w:val="center"/>
              <w:rPr>
                <w:rFonts w:cs="Arial"/>
                <w:color w:val="000000" w:themeColor="text1"/>
                <w:szCs w:val="16"/>
              </w:rPr>
            </w:pPr>
            <w:r w:rsidRPr="00ED172B">
              <w:rPr>
                <w:rFonts w:cs="Arial"/>
                <w:color w:val="000000" w:themeColor="text1"/>
                <w:szCs w:val="16"/>
              </w:rPr>
              <w:t>SY 2020-21 EMAPS IDEA Part C Child Count and Settings Survey; Section A: Child Count and Settings by Age</w:t>
            </w:r>
          </w:p>
        </w:tc>
        <w:tc>
          <w:tcPr>
            <w:tcW w:w="1585" w:type="pct"/>
            <w:shd w:val="clear" w:color="auto" w:fill="auto"/>
            <w:vAlign w:val="center"/>
          </w:tcPr>
          <w:p w14:paraId="390030CF" w14:textId="7871DF66" w:rsidR="00B609A4" w:rsidRPr="00ED172B" w:rsidRDefault="00753E04" w:rsidP="00715B7C">
            <w:pPr>
              <w:jc w:val="center"/>
              <w:rPr>
                <w:rFonts w:cs="Arial"/>
                <w:color w:val="000000" w:themeColor="text1"/>
                <w:szCs w:val="16"/>
              </w:rPr>
            </w:pPr>
            <w:r w:rsidRPr="00ED172B">
              <w:rPr>
                <w:rFonts w:cs="Arial"/>
                <w:color w:val="000000" w:themeColor="text1"/>
                <w:szCs w:val="16"/>
              </w:rPr>
              <w:t>07/08/2021</w:t>
            </w:r>
          </w:p>
        </w:tc>
        <w:tc>
          <w:tcPr>
            <w:tcW w:w="1167" w:type="pct"/>
            <w:shd w:val="clear" w:color="auto" w:fill="auto"/>
            <w:vAlign w:val="center"/>
          </w:tcPr>
          <w:p w14:paraId="575D4DB0" w14:textId="05264684" w:rsidR="00B609A4" w:rsidRPr="00ED172B" w:rsidRDefault="00B609A4" w:rsidP="00715B7C">
            <w:pPr>
              <w:jc w:val="center"/>
              <w:rPr>
                <w:rFonts w:cs="Arial"/>
                <w:color w:val="000000" w:themeColor="text1"/>
                <w:szCs w:val="16"/>
              </w:rPr>
            </w:pPr>
            <w:r w:rsidRPr="00ED172B">
              <w:rPr>
                <w:rFonts w:cs="Arial"/>
                <w:color w:val="000000" w:themeColor="text1"/>
                <w:szCs w:val="16"/>
              </w:rPr>
              <w:t>Number of infants and toddlers birth to 3 with IFSPs</w:t>
            </w:r>
          </w:p>
        </w:tc>
        <w:tc>
          <w:tcPr>
            <w:tcW w:w="791" w:type="pct"/>
            <w:shd w:val="clear" w:color="auto" w:fill="auto"/>
            <w:vAlign w:val="center"/>
          </w:tcPr>
          <w:p w14:paraId="317A46A2" w14:textId="2FD810F0" w:rsidR="00B609A4" w:rsidRPr="00ED172B" w:rsidRDefault="00860830" w:rsidP="00715B7C">
            <w:pPr>
              <w:jc w:val="center"/>
              <w:rPr>
                <w:rFonts w:cs="Arial"/>
                <w:color w:val="000000" w:themeColor="text1"/>
                <w:szCs w:val="16"/>
              </w:rPr>
            </w:pPr>
            <w:r w:rsidRPr="00ED172B">
              <w:rPr>
                <w:color w:val="000000" w:themeColor="text1"/>
                <w:szCs w:val="16"/>
              </w:rPr>
              <w:t>21,783</w:t>
            </w:r>
          </w:p>
        </w:tc>
      </w:tr>
      <w:tr w:rsidR="00ED172B" w:rsidRPr="00ED172B" w14:paraId="27E196B0" w14:textId="77777777" w:rsidTr="00986B99">
        <w:trPr>
          <w:trHeight w:val="380"/>
        </w:trPr>
        <w:tc>
          <w:tcPr>
            <w:tcW w:w="1457" w:type="pct"/>
            <w:shd w:val="clear" w:color="auto" w:fill="auto"/>
            <w:vAlign w:val="center"/>
          </w:tcPr>
          <w:p w14:paraId="529FF325" w14:textId="43943F85"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2010 to July 1, 2020</w:t>
            </w:r>
          </w:p>
        </w:tc>
        <w:tc>
          <w:tcPr>
            <w:tcW w:w="1585" w:type="pct"/>
            <w:shd w:val="clear" w:color="auto" w:fill="auto"/>
            <w:vAlign w:val="center"/>
          </w:tcPr>
          <w:p w14:paraId="5D3FB738" w14:textId="5F3B6F61"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07/08/2021</w:t>
            </w:r>
          </w:p>
        </w:tc>
        <w:tc>
          <w:tcPr>
            <w:tcW w:w="1167" w:type="pct"/>
            <w:shd w:val="clear" w:color="auto" w:fill="auto"/>
            <w:vAlign w:val="center"/>
          </w:tcPr>
          <w:p w14:paraId="7064C4F2" w14:textId="51035A52" w:rsidR="00B609A4" w:rsidRPr="00ED172B" w:rsidRDefault="00B609A4" w:rsidP="00715B7C">
            <w:pPr>
              <w:jc w:val="center"/>
              <w:rPr>
                <w:rFonts w:cs="Arial"/>
                <w:color w:val="000000" w:themeColor="text1"/>
                <w:szCs w:val="16"/>
              </w:rPr>
            </w:pPr>
            <w:r w:rsidRPr="00ED172B">
              <w:rPr>
                <w:rFonts w:cs="Arial"/>
                <w:color w:val="000000" w:themeColor="text1"/>
                <w:szCs w:val="16"/>
              </w:rPr>
              <w:t>Population of infants and toddlers birth to 3</w:t>
            </w:r>
          </w:p>
        </w:tc>
        <w:tc>
          <w:tcPr>
            <w:tcW w:w="791" w:type="pct"/>
            <w:shd w:val="clear" w:color="auto" w:fill="auto"/>
            <w:vAlign w:val="center"/>
          </w:tcPr>
          <w:p w14:paraId="64E45D71" w14:textId="721F6F55" w:rsidR="00B609A4" w:rsidRPr="00ED172B" w:rsidRDefault="00860830" w:rsidP="00715B7C">
            <w:pPr>
              <w:jc w:val="center"/>
              <w:rPr>
                <w:rFonts w:cs="Arial"/>
                <w:color w:val="000000" w:themeColor="text1"/>
                <w:szCs w:val="16"/>
              </w:rPr>
            </w:pPr>
            <w:r w:rsidRPr="00ED172B">
              <w:rPr>
                <w:color w:val="000000" w:themeColor="text1"/>
                <w:szCs w:val="16"/>
              </w:rPr>
              <w:t>208,415</w:t>
            </w:r>
          </w:p>
        </w:tc>
      </w:tr>
    </w:tbl>
    <w:p w14:paraId="145EA13A" w14:textId="095F0955" w:rsidR="00B609A4" w:rsidRPr="00ED172B" w:rsidRDefault="00F22D09">
      <w:pPr>
        <w:rPr>
          <w:b/>
          <w:color w:val="000000" w:themeColor="text1"/>
        </w:rPr>
      </w:pPr>
      <w:r>
        <w:rPr>
          <w:b/>
          <w:color w:val="000000" w:themeColor="text1"/>
        </w:rPr>
        <w:t>FFY 2020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00A10F82" w14:textId="77777777" w:rsidTr="00986B99">
        <w:trPr>
          <w:trHeight w:val="359"/>
          <w:tblHeader/>
        </w:trPr>
        <w:tc>
          <w:tcPr>
            <w:tcW w:w="1126" w:type="pct"/>
            <w:shd w:val="clear" w:color="auto" w:fill="auto"/>
            <w:vAlign w:val="bottom"/>
          </w:tcPr>
          <w:p w14:paraId="0D5BE5E5" w14:textId="685BA0DE"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3 with IFSPs</w:t>
            </w:r>
          </w:p>
        </w:tc>
        <w:tc>
          <w:tcPr>
            <w:tcW w:w="959" w:type="pct"/>
            <w:shd w:val="clear" w:color="auto" w:fill="auto"/>
            <w:vAlign w:val="bottom"/>
          </w:tcPr>
          <w:p w14:paraId="198F4208" w14:textId="4A8CFA40"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3</w:t>
            </w:r>
          </w:p>
        </w:tc>
        <w:tc>
          <w:tcPr>
            <w:tcW w:w="625" w:type="pct"/>
            <w:shd w:val="clear" w:color="auto" w:fill="auto"/>
            <w:vAlign w:val="bottom"/>
          </w:tcPr>
          <w:p w14:paraId="27E4FD75" w14:textId="1DF5B6C8" w:rsidR="00967D30" w:rsidRPr="00ED172B" w:rsidRDefault="00CD74B5" w:rsidP="00967D30">
            <w:pPr>
              <w:jc w:val="center"/>
              <w:rPr>
                <w:rFonts w:cs="Arial"/>
                <w:b/>
                <w:color w:val="000000" w:themeColor="text1"/>
                <w:szCs w:val="16"/>
              </w:rPr>
            </w:pPr>
            <w:r>
              <w:rPr>
                <w:rFonts w:cs="Arial"/>
                <w:b/>
                <w:color w:val="000000" w:themeColor="text1"/>
                <w:szCs w:val="16"/>
              </w:rPr>
              <w:t>FFY 2019 Data</w:t>
            </w:r>
          </w:p>
        </w:tc>
        <w:tc>
          <w:tcPr>
            <w:tcW w:w="584" w:type="pct"/>
            <w:shd w:val="clear" w:color="auto" w:fill="auto"/>
            <w:vAlign w:val="bottom"/>
          </w:tcPr>
          <w:p w14:paraId="16DC2F19" w14:textId="7671D345" w:rsidR="00967D30" w:rsidRPr="00ED172B" w:rsidRDefault="00F22D09" w:rsidP="00967D30">
            <w:pPr>
              <w:jc w:val="center"/>
              <w:rPr>
                <w:rFonts w:cs="Arial"/>
                <w:b/>
                <w:color w:val="000000" w:themeColor="text1"/>
                <w:szCs w:val="16"/>
              </w:rPr>
            </w:pPr>
            <w:r>
              <w:rPr>
                <w:rFonts w:cs="Arial"/>
                <w:b/>
                <w:color w:val="000000" w:themeColor="text1"/>
                <w:szCs w:val="16"/>
              </w:rPr>
              <w:t>FFY 2020 Target</w:t>
            </w:r>
          </w:p>
        </w:tc>
        <w:tc>
          <w:tcPr>
            <w:tcW w:w="583" w:type="pct"/>
            <w:shd w:val="clear" w:color="auto" w:fill="auto"/>
            <w:vAlign w:val="bottom"/>
          </w:tcPr>
          <w:p w14:paraId="18079166" w14:textId="07C2FC40" w:rsidR="00967D30" w:rsidRPr="00ED172B" w:rsidRDefault="00F22D09" w:rsidP="00967D30">
            <w:pPr>
              <w:jc w:val="center"/>
              <w:rPr>
                <w:rFonts w:cs="Arial"/>
                <w:b/>
                <w:color w:val="000000" w:themeColor="text1"/>
                <w:szCs w:val="16"/>
              </w:rPr>
            </w:pPr>
            <w:r>
              <w:rPr>
                <w:rFonts w:cs="Arial"/>
                <w:b/>
                <w:color w:val="000000" w:themeColor="text1"/>
                <w:szCs w:val="16"/>
              </w:rPr>
              <w:t>FFY 2020 Data</w:t>
            </w:r>
          </w:p>
        </w:tc>
        <w:tc>
          <w:tcPr>
            <w:tcW w:w="584" w:type="pct"/>
            <w:shd w:val="clear" w:color="auto" w:fill="auto"/>
            <w:vAlign w:val="bottom"/>
          </w:tcPr>
          <w:p w14:paraId="7561BC2F"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shd w:val="clear" w:color="auto" w:fill="auto"/>
            <w:vAlign w:val="bottom"/>
          </w:tcPr>
          <w:p w14:paraId="417D57E0"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14CA60A2" w14:textId="77777777" w:rsidTr="00986B99">
        <w:trPr>
          <w:trHeight w:val="366"/>
        </w:trPr>
        <w:tc>
          <w:tcPr>
            <w:tcW w:w="1126" w:type="pct"/>
            <w:shd w:val="clear" w:color="auto" w:fill="auto"/>
            <w:vAlign w:val="center"/>
          </w:tcPr>
          <w:p w14:paraId="3DDCAD9E" w14:textId="0620885E" w:rsidR="00897554" w:rsidRPr="00ED172B" w:rsidRDefault="00860830" w:rsidP="00897554">
            <w:pPr>
              <w:jc w:val="center"/>
              <w:rPr>
                <w:rFonts w:cs="Arial"/>
                <w:color w:val="000000" w:themeColor="text1"/>
                <w:szCs w:val="16"/>
              </w:rPr>
            </w:pPr>
            <w:r w:rsidRPr="00ED172B">
              <w:rPr>
                <w:color w:val="000000" w:themeColor="text1"/>
                <w:szCs w:val="16"/>
              </w:rPr>
              <w:t>21,783</w:t>
            </w:r>
          </w:p>
        </w:tc>
        <w:tc>
          <w:tcPr>
            <w:tcW w:w="959" w:type="pct"/>
            <w:shd w:val="clear" w:color="auto" w:fill="auto"/>
            <w:vAlign w:val="center"/>
          </w:tcPr>
          <w:p w14:paraId="55FD5380" w14:textId="291C2FAE" w:rsidR="00897554" w:rsidRPr="00ED172B" w:rsidRDefault="00860830" w:rsidP="00897554">
            <w:pPr>
              <w:jc w:val="center"/>
              <w:rPr>
                <w:rFonts w:cs="Arial"/>
                <w:color w:val="000000" w:themeColor="text1"/>
                <w:szCs w:val="16"/>
              </w:rPr>
            </w:pPr>
            <w:r w:rsidRPr="00ED172B">
              <w:rPr>
                <w:color w:val="000000" w:themeColor="text1"/>
                <w:szCs w:val="16"/>
              </w:rPr>
              <w:t>208,415</w:t>
            </w:r>
          </w:p>
        </w:tc>
        <w:tc>
          <w:tcPr>
            <w:tcW w:w="625" w:type="pct"/>
            <w:shd w:val="clear" w:color="auto" w:fill="auto"/>
            <w:vAlign w:val="center"/>
          </w:tcPr>
          <w:p w14:paraId="72793747" w14:textId="493DD05D" w:rsidR="00897554" w:rsidRPr="00ED172B" w:rsidRDefault="00860830" w:rsidP="00897554">
            <w:pPr>
              <w:jc w:val="center"/>
              <w:rPr>
                <w:rFonts w:cs="Arial"/>
                <w:color w:val="000000" w:themeColor="text1"/>
                <w:szCs w:val="16"/>
              </w:rPr>
            </w:pPr>
            <w:r w:rsidRPr="00ED172B">
              <w:rPr>
                <w:rFonts w:cs="Arial"/>
                <w:color w:val="000000" w:themeColor="text1"/>
                <w:szCs w:val="16"/>
              </w:rPr>
              <w:t>10.59%</w:t>
            </w:r>
          </w:p>
        </w:tc>
        <w:tc>
          <w:tcPr>
            <w:tcW w:w="584" w:type="pct"/>
            <w:shd w:val="clear" w:color="auto" w:fill="auto"/>
            <w:vAlign w:val="center"/>
          </w:tcPr>
          <w:p w14:paraId="2F4AA092" w14:textId="5BD12D82" w:rsidR="00897554" w:rsidRPr="00ED172B" w:rsidRDefault="00632DF6" w:rsidP="00632DF6">
            <w:pPr>
              <w:jc w:val="center"/>
              <w:rPr>
                <w:color w:val="000000" w:themeColor="text1"/>
              </w:rPr>
            </w:pPr>
            <w:r w:rsidRPr="00ED172B">
              <w:rPr>
                <w:color w:val="000000" w:themeColor="text1"/>
              </w:rPr>
              <w:t>6.00%</w:t>
            </w:r>
          </w:p>
        </w:tc>
        <w:tc>
          <w:tcPr>
            <w:tcW w:w="583" w:type="pct"/>
            <w:shd w:val="clear" w:color="auto" w:fill="auto"/>
            <w:vAlign w:val="center"/>
          </w:tcPr>
          <w:p w14:paraId="5CFECB97" w14:textId="261FA373" w:rsidR="00897554" w:rsidRPr="00ED172B" w:rsidRDefault="00860830" w:rsidP="00897554">
            <w:pPr>
              <w:jc w:val="center"/>
              <w:rPr>
                <w:rFonts w:cs="Arial"/>
                <w:color w:val="000000" w:themeColor="text1"/>
                <w:szCs w:val="16"/>
              </w:rPr>
            </w:pPr>
            <w:r w:rsidRPr="00ED172B">
              <w:rPr>
                <w:rFonts w:cs="Arial"/>
                <w:color w:val="000000" w:themeColor="text1"/>
                <w:szCs w:val="16"/>
              </w:rPr>
              <w:t>10.45%</w:t>
            </w:r>
          </w:p>
        </w:tc>
        <w:tc>
          <w:tcPr>
            <w:tcW w:w="584" w:type="pct"/>
            <w:shd w:val="clear" w:color="auto" w:fill="auto"/>
            <w:vAlign w:val="center"/>
          </w:tcPr>
          <w:p w14:paraId="35D555CB" w14:textId="444115B7" w:rsidR="00897554" w:rsidRPr="00ED172B" w:rsidRDefault="00E3423F" w:rsidP="00027F39">
            <w:pPr>
              <w:jc w:val="center"/>
              <w:rPr>
                <w:color w:val="000000" w:themeColor="text1"/>
              </w:rPr>
            </w:pPr>
            <w:r w:rsidRPr="00ED172B">
              <w:rPr>
                <w:color w:val="000000" w:themeColor="text1"/>
              </w:rPr>
              <w:t>Met target</w:t>
            </w:r>
          </w:p>
        </w:tc>
        <w:tc>
          <w:tcPr>
            <w:tcW w:w="539" w:type="pct"/>
            <w:shd w:val="clear" w:color="auto" w:fill="auto"/>
            <w:vAlign w:val="center"/>
          </w:tcPr>
          <w:p w14:paraId="544922D6" w14:textId="58EF666E" w:rsidR="00897554" w:rsidRPr="00ED172B" w:rsidRDefault="00E3423F" w:rsidP="00027F39">
            <w:pPr>
              <w:jc w:val="center"/>
              <w:rPr>
                <w:color w:val="000000" w:themeColor="text1"/>
              </w:rPr>
            </w:pPr>
            <w:r w:rsidRPr="00ED172B">
              <w:rPr>
                <w:color w:val="000000" w:themeColor="text1"/>
              </w:rPr>
              <w:t>No Slippage</w:t>
            </w:r>
          </w:p>
        </w:tc>
      </w:tr>
    </w:tbl>
    <w:p w14:paraId="6FBC07A0" w14:textId="1DA65C5E"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B7D851B" w14:textId="10D0339D" w:rsidR="003A3693" w:rsidRPr="00ED172B" w:rsidRDefault="003A3693" w:rsidP="003A3693">
      <w:pPr>
        <w:rPr>
          <w:rFonts w:cs="Arial"/>
          <w:color w:val="000000" w:themeColor="text1"/>
          <w:szCs w:val="16"/>
        </w:rPr>
      </w:pPr>
    </w:p>
    <w:p w14:paraId="38A791C3" w14:textId="149CEBCF" w:rsidR="00DC0682" w:rsidRPr="00A40EE1" w:rsidRDefault="000D0117" w:rsidP="005C3FFD">
      <w:pPr>
        <w:pStyle w:val="Heading2"/>
      </w:pPr>
      <w:r w:rsidRPr="00A40EE1">
        <w:lastRenderedPageBreak/>
        <w:t xml:space="preserve">6 - </w:t>
      </w:r>
      <w:r w:rsidR="00DC0682" w:rsidRPr="00A40EE1">
        <w:t>Prior FFY Required Actions</w:t>
      </w:r>
    </w:p>
    <w:p w14:paraId="6DAAC622" w14:textId="42A580CC" w:rsidR="004C1CEE" w:rsidRPr="00ED172B" w:rsidRDefault="00632DF6" w:rsidP="00DC0682">
      <w:pPr>
        <w:rPr>
          <w:rFonts w:cs="Arial"/>
          <w:color w:val="000000" w:themeColor="text1"/>
          <w:szCs w:val="16"/>
        </w:rPr>
      </w:pPr>
      <w:r w:rsidRPr="00ED172B">
        <w:rPr>
          <w:color w:val="000000" w:themeColor="text1"/>
        </w:rPr>
        <w:t>None</w:t>
      </w:r>
    </w:p>
    <w:p w14:paraId="039C789A" w14:textId="6EADCD13" w:rsidR="00DC0682" w:rsidRPr="00A40EE1" w:rsidRDefault="000D0117" w:rsidP="005C3FFD">
      <w:pPr>
        <w:pStyle w:val="Heading2"/>
      </w:pPr>
      <w:r w:rsidRPr="00A40EE1">
        <w:t xml:space="preserve">6 - </w:t>
      </w:r>
      <w:r w:rsidR="00DC0682" w:rsidRPr="00A40EE1">
        <w:t>OSEP Response</w:t>
      </w:r>
    </w:p>
    <w:p w14:paraId="24CB6052" w14:textId="494BF2EE" w:rsidR="00DC0682" w:rsidRPr="00ED172B" w:rsidRDefault="00632DF6" w:rsidP="00632DF6">
      <w:pPr>
        <w:rPr>
          <w:color w:val="000000" w:themeColor="text1"/>
        </w:rPr>
      </w:pPr>
      <w:r w:rsidRPr="00ED172B">
        <w:rPr>
          <w:color w:val="000000" w:themeColor="text1"/>
        </w:rPr>
        <w:t>The State provided targets for FFYs 2020 through 2025 for this indicator, and OSEP accepts those targets.</w:t>
      </w:r>
    </w:p>
    <w:p w14:paraId="293B025B" w14:textId="7FB02442" w:rsidR="00DC0682" w:rsidRPr="00A40EE1" w:rsidRDefault="000D0117" w:rsidP="005C3FFD">
      <w:pPr>
        <w:pStyle w:val="Heading2"/>
      </w:pPr>
      <w:r w:rsidRPr="00A40EE1">
        <w:t xml:space="preserve">6 - </w:t>
      </w:r>
      <w:r w:rsidR="00DC0682" w:rsidRPr="00A40EE1">
        <w:t>Required Actions</w:t>
      </w:r>
    </w:p>
    <w:p w14:paraId="4869EFE4" w14:textId="3CB6DC17" w:rsidR="00DC0682" w:rsidRPr="00ED172B" w:rsidRDefault="00DC0682" w:rsidP="00027F39">
      <w:pPr>
        <w:rPr>
          <w:rFonts w:eastAsiaTheme="majorEastAsia" w:cstheme="majorBidi"/>
          <w:b/>
          <w:bCs/>
          <w:color w:val="000000" w:themeColor="text1"/>
          <w:sz w:val="22"/>
          <w:szCs w:val="28"/>
        </w:rPr>
      </w:pPr>
      <w:r w:rsidRPr="00ED172B">
        <w:rPr>
          <w:color w:val="000000" w:themeColor="text1"/>
        </w:rPr>
        <w:br w:type="page"/>
      </w:r>
    </w:p>
    <w:p w14:paraId="42561B8C" w14:textId="77777777" w:rsidR="00D21EAA" w:rsidRPr="00ED172B" w:rsidRDefault="00D21EAA" w:rsidP="0077063D">
      <w:pPr>
        <w:pStyle w:val="Heading1"/>
        <w:rPr>
          <w:color w:val="000000" w:themeColor="text1"/>
        </w:rPr>
      </w:pPr>
      <w:r w:rsidRPr="00ED172B">
        <w:rPr>
          <w:color w:val="000000" w:themeColor="text1"/>
        </w:rPr>
        <w:lastRenderedPageBreak/>
        <w:t xml:space="preserve">Indicator </w:t>
      </w:r>
      <w:bookmarkEnd w:id="13"/>
      <w:bookmarkEnd w:id="31"/>
      <w:bookmarkEnd w:id="39"/>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676A2389" w14:textId="77777777" w:rsidR="000C5918" w:rsidRPr="00ED172B" w:rsidRDefault="000C5918" w:rsidP="00186420">
      <w:pPr>
        <w:rPr>
          <w:color w:val="000000" w:themeColor="text1"/>
          <w:szCs w:val="20"/>
        </w:rPr>
      </w:pPr>
      <w:bookmarkStart w:id="40" w:name="_Toc392159295"/>
      <w:r w:rsidRPr="00ED172B">
        <w:rPr>
          <w:b/>
          <w:color w:val="000000" w:themeColor="text1"/>
          <w:sz w:val="20"/>
          <w:szCs w:val="20"/>
        </w:rPr>
        <w:t>Instructions and Measurement</w:t>
      </w:r>
    </w:p>
    <w:p w14:paraId="7C6B9A07"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47010C62"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7645D0C8" w14:textId="77777777" w:rsidR="001C3D0E" w:rsidRPr="00ED172B" w:rsidRDefault="001C3D0E">
      <w:pPr>
        <w:rPr>
          <w:b/>
          <w:color w:val="000000" w:themeColor="text1"/>
        </w:rPr>
      </w:pPr>
      <w:r w:rsidRPr="00ED172B">
        <w:rPr>
          <w:b/>
          <w:color w:val="000000" w:themeColor="text1"/>
        </w:rPr>
        <w:t>Data Source</w:t>
      </w:r>
    </w:p>
    <w:p w14:paraId="6F677680" w14:textId="5F84202A"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6F39F16D" w14:textId="77777777" w:rsidR="001C3D0E" w:rsidRPr="00ED172B" w:rsidRDefault="001C3D0E">
      <w:pPr>
        <w:rPr>
          <w:b/>
          <w:color w:val="000000" w:themeColor="text1"/>
        </w:rPr>
      </w:pPr>
      <w:r w:rsidRPr="00ED172B">
        <w:rPr>
          <w:b/>
          <w:color w:val="000000" w:themeColor="text1"/>
        </w:rPr>
        <w:t>Measurement</w:t>
      </w:r>
    </w:p>
    <w:p w14:paraId="2E800B40" w14:textId="77777777" w:rsidR="001C3D0E" w:rsidRPr="00ED172B" w:rsidRDefault="001C3D0E" w:rsidP="00B609A4">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14:paraId="37F9B9F2" w14:textId="71197BE2"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025F5B13" w14:textId="77777777" w:rsidR="001C3D0E" w:rsidRPr="00ED172B" w:rsidRDefault="001C3D0E">
      <w:pPr>
        <w:rPr>
          <w:b/>
          <w:color w:val="000000" w:themeColor="text1"/>
        </w:rPr>
      </w:pPr>
      <w:r w:rsidRPr="00ED172B">
        <w:rPr>
          <w:b/>
          <w:color w:val="000000" w:themeColor="text1"/>
        </w:rPr>
        <w:t>Instructions</w:t>
      </w:r>
    </w:p>
    <w:p w14:paraId="079B9C13" w14:textId="77777777" w:rsidR="001C3D0E" w:rsidRPr="0055373D" w:rsidRDefault="001C3D0E" w:rsidP="00B609A4">
      <w:pPr>
        <w:rPr>
          <w:i/>
          <w:iCs/>
          <w:color w:val="000000" w:themeColor="text1"/>
          <w:szCs w:val="16"/>
        </w:rPr>
      </w:pPr>
      <w:r w:rsidRPr="0055373D">
        <w:rPr>
          <w:i/>
          <w:iCs/>
          <w:color w:val="000000" w:themeColor="text1"/>
          <w:szCs w:val="16"/>
        </w:rPr>
        <w:t>If data are from State monitoring,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7BF3454" w14:textId="77777777" w:rsidR="001C3D0E" w:rsidRPr="00ED172B" w:rsidRDefault="001C3D0E" w:rsidP="00B609A4">
      <w:pPr>
        <w:rPr>
          <w:color w:val="000000" w:themeColor="text1"/>
          <w:szCs w:val="16"/>
        </w:rPr>
      </w:pPr>
      <w:r w:rsidRPr="00ED172B">
        <w:rPr>
          <w:color w:val="000000" w:themeColor="text1"/>
          <w:szCs w:val="16"/>
        </w:rPr>
        <w:t>Targets must be 100%.</w:t>
      </w:r>
    </w:p>
    <w:p w14:paraId="7D4779E4" w14:textId="77777777" w:rsidR="001C3D0E" w:rsidRPr="00ED172B" w:rsidRDefault="001C3D0E" w:rsidP="00B609A4">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14:paraId="3A1C17F0" w14:textId="77777777" w:rsidR="001C3D0E" w:rsidRPr="00ED172B" w:rsidRDefault="001C3D0E" w:rsidP="00B609A4">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2CF329E" w14:textId="77777777" w:rsidR="001C3D0E" w:rsidRPr="00ED172B" w:rsidRDefault="001C3D0E" w:rsidP="00B609A4">
      <w:pPr>
        <w:rPr>
          <w:color w:val="000000" w:themeColor="text1"/>
          <w:szCs w:val="16"/>
        </w:rPr>
      </w:pPr>
      <w:r w:rsidRPr="00ED172B">
        <w:rPr>
          <w:color w:val="000000" w:themeColor="text1"/>
          <w:szCs w:val="16"/>
        </w:rPr>
        <w:t>Provide detailed information about the timely correction of noncompliance as noted in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9DA7EE2" w14:textId="056D6919" w:rsidR="001C3D0E" w:rsidRPr="00ED172B"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bookmarkEnd w:id="40"/>
    <w:p w14:paraId="0342BBD0" w14:textId="463E7B71" w:rsidR="00805DD3" w:rsidRPr="00A40EE1" w:rsidRDefault="000D0117" w:rsidP="005C3FFD">
      <w:pPr>
        <w:pStyle w:val="Heading2"/>
      </w:pPr>
      <w:r w:rsidRPr="00A40EE1">
        <w:t xml:space="preserve">7 - </w:t>
      </w:r>
      <w:r w:rsidR="00B609A4" w:rsidRPr="00A40EE1">
        <w:t>Indicator Data</w:t>
      </w:r>
    </w:p>
    <w:p w14:paraId="6BBDBDB8" w14:textId="0A8E794E" w:rsidR="00DC0682" w:rsidRDefault="00DC0682">
      <w:pPr>
        <w:rPr>
          <w:b/>
          <w:color w:val="000000" w:themeColor="text1"/>
        </w:rPr>
      </w:pPr>
      <w:bookmarkStart w:id="41" w:name="_Toc382082375"/>
      <w:bookmarkStart w:id="42" w:name="_Toc392159298"/>
      <w:r w:rsidRPr="00ED172B">
        <w:rPr>
          <w:b/>
          <w:color w:val="000000" w:themeColor="text1"/>
        </w:rPr>
        <w:t>Historical Data</w:t>
      </w:r>
    </w:p>
    <w:p w14:paraId="16D06960" w14:textId="59F2B479"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2899"/>
        <w:gridCol w:w="875"/>
      </w:tblGrid>
      <w:tr w:rsidR="00C25621" w:rsidRPr="00ED172B" w14:paraId="416D2651" w14:textId="77777777" w:rsidTr="00A40EE1">
        <w:trPr>
          <w:trHeight w:val="350"/>
          <w:tblHeader/>
        </w:trPr>
        <w:tc>
          <w:tcPr>
            <w:tcW w:w="4285" w:type="pct"/>
            <w:tcBorders>
              <w:bottom w:val="single" w:sz="4" w:space="0" w:color="auto"/>
            </w:tcBorders>
            <w:shd w:val="clear" w:color="auto" w:fill="auto"/>
            <w:vAlign w:val="center"/>
          </w:tcPr>
          <w:p w14:paraId="21C6D109" w14:textId="37AD76B1" w:rsidR="00C25621" w:rsidRPr="00A40EE1"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634DF998" w14:textId="76BC088D"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08F7EE7A" w14:textId="77777777" w:rsidTr="00A40EE1">
        <w:trPr>
          <w:trHeight w:val="350"/>
        </w:trPr>
        <w:tc>
          <w:tcPr>
            <w:tcW w:w="4285" w:type="pct"/>
            <w:tcBorders>
              <w:bottom w:val="single" w:sz="4" w:space="0" w:color="auto"/>
            </w:tcBorders>
            <w:shd w:val="clear" w:color="auto" w:fill="auto"/>
            <w:vAlign w:val="center"/>
          </w:tcPr>
          <w:p w14:paraId="2B1EAFE4" w14:textId="77777777" w:rsidR="00C25621" w:rsidRPr="00ED172B" w:rsidRDefault="00C25621" w:rsidP="00C15786">
            <w:pPr>
              <w:jc w:val="center"/>
              <w:rPr>
                <w:b/>
                <w:color w:val="000000" w:themeColor="text1"/>
              </w:rPr>
            </w:pPr>
            <w:r w:rsidRPr="00ED172B">
              <w:rPr>
                <w:color w:val="000000" w:themeColor="text1"/>
              </w:rPr>
              <w:t>2005</w:t>
            </w:r>
          </w:p>
        </w:tc>
        <w:tc>
          <w:tcPr>
            <w:tcW w:w="715" w:type="pct"/>
            <w:shd w:val="clear" w:color="auto" w:fill="auto"/>
            <w:vAlign w:val="center"/>
          </w:tcPr>
          <w:p w14:paraId="534E96B1" w14:textId="77777777" w:rsidR="00C25621" w:rsidRPr="00ED172B" w:rsidRDefault="00C25621" w:rsidP="00C15786">
            <w:pPr>
              <w:jc w:val="center"/>
              <w:rPr>
                <w:color w:val="000000" w:themeColor="text1"/>
              </w:rPr>
            </w:pPr>
            <w:r w:rsidRPr="00ED172B">
              <w:rPr>
                <w:color w:val="000000" w:themeColor="text1"/>
              </w:rPr>
              <w:t>93.30%</w:t>
            </w:r>
          </w:p>
        </w:tc>
      </w:tr>
    </w:tbl>
    <w:p w14:paraId="4F026D0F"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705"/>
        <w:gridCol w:w="2018"/>
        <w:gridCol w:w="2018"/>
        <w:gridCol w:w="2018"/>
        <w:gridCol w:w="2018"/>
        <w:gridCol w:w="2013"/>
      </w:tblGrid>
      <w:tr w:rsidR="00ED172B" w:rsidRPr="00ED172B" w14:paraId="410B72DC" w14:textId="77777777" w:rsidTr="00A40EE1">
        <w:trPr>
          <w:trHeight w:val="350"/>
        </w:trPr>
        <w:tc>
          <w:tcPr>
            <w:tcW w:w="327" w:type="pct"/>
            <w:tcBorders>
              <w:bottom w:val="single" w:sz="4" w:space="0" w:color="auto"/>
            </w:tcBorders>
            <w:shd w:val="clear" w:color="auto" w:fill="auto"/>
          </w:tcPr>
          <w:p w14:paraId="0C21EAD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shd w:val="clear" w:color="auto" w:fill="auto"/>
            <w:vAlign w:val="center"/>
          </w:tcPr>
          <w:p w14:paraId="0C3B5E94" w14:textId="797FA3D9" w:rsidR="00DC0682" w:rsidRPr="00ED172B" w:rsidRDefault="002163F2" w:rsidP="00CD79C5">
            <w:pPr>
              <w:jc w:val="center"/>
              <w:rPr>
                <w:b/>
                <w:color w:val="000000" w:themeColor="text1"/>
                <w:szCs w:val="16"/>
              </w:rPr>
            </w:pPr>
            <w:r w:rsidRPr="00ED172B">
              <w:rPr>
                <w:rFonts w:cs="Arial"/>
                <w:b/>
                <w:color w:val="000000" w:themeColor="text1"/>
                <w:szCs w:val="16"/>
              </w:rPr>
              <w:t>2015</w:t>
            </w:r>
          </w:p>
        </w:tc>
        <w:tc>
          <w:tcPr>
            <w:tcW w:w="935" w:type="pct"/>
            <w:shd w:val="clear" w:color="auto" w:fill="auto"/>
            <w:vAlign w:val="center"/>
          </w:tcPr>
          <w:p w14:paraId="5CA7FBC7" w14:textId="6BB3A0A2" w:rsidR="00DC0682" w:rsidRPr="00ED172B" w:rsidRDefault="002163F2" w:rsidP="00CD79C5">
            <w:pPr>
              <w:jc w:val="center"/>
              <w:rPr>
                <w:b/>
                <w:color w:val="000000" w:themeColor="text1"/>
                <w:szCs w:val="16"/>
              </w:rPr>
            </w:pPr>
            <w:r w:rsidRPr="00ED172B">
              <w:rPr>
                <w:rFonts w:cs="Arial"/>
                <w:b/>
                <w:color w:val="000000" w:themeColor="text1"/>
                <w:szCs w:val="16"/>
              </w:rPr>
              <w:t>2016</w:t>
            </w:r>
          </w:p>
        </w:tc>
        <w:tc>
          <w:tcPr>
            <w:tcW w:w="935" w:type="pct"/>
            <w:shd w:val="clear" w:color="auto" w:fill="auto"/>
            <w:vAlign w:val="center"/>
          </w:tcPr>
          <w:p w14:paraId="3372DAFC" w14:textId="50E7EDF9"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5" w:type="pct"/>
            <w:shd w:val="clear" w:color="auto" w:fill="auto"/>
            <w:vAlign w:val="center"/>
          </w:tcPr>
          <w:p w14:paraId="5847B948" w14:textId="5C4D08C6"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5" w:type="pct"/>
            <w:shd w:val="clear" w:color="auto" w:fill="auto"/>
            <w:vAlign w:val="center"/>
          </w:tcPr>
          <w:p w14:paraId="529BE0C9" w14:textId="54C22E9C" w:rsidR="00DC0682" w:rsidRPr="00ED172B" w:rsidRDefault="006D43D3" w:rsidP="00CD79C5">
            <w:pPr>
              <w:jc w:val="center"/>
              <w:rPr>
                <w:b/>
                <w:color w:val="000000" w:themeColor="text1"/>
                <w:szCs w:val="16"/>
              </w:rPr>
            </w:pPr>
            <w:r w:rsidRPr="00ED172B">
              <w:rPr>
                <w:rFonts w:cs="Arial"/>
                <w:b/>
                <w:color w:val="000000" w:themeColor="text1"/>
                <w:szCs w:val="16"/>
              </w:rPr>
              <w:t>2019</w:t>
            </w:r>
          </w:p>
        </w:tc>
      </w:tr>
      <w:tr w:rsidR="00ED172B" w:rsidRPr="00ED172B" w14:paraId="7519736B" w14:textId="77777777" w:rsidTr="00A40EE1">
        <w:trPr>
          <w:trHeight w:val="357"/>
        </w:trPr>
        <w:tc>
          <w:tcPr>
            <w:tcW w:w="327" w:type="pct"/>
            <w:shd w:val="clear" w:color="auto" w:fill="auto"/>
          </w:tcPr>
          <w:p w14:paraId="6F4234B7" w14:textId="77777777" w:rsidR="00DC0682" w:rsidRPr="00ED172B" w:rsidRDefault="00DC0682" w:rsidP="00B83404">
            <w:pPr>
              <w:rPr>
                <w:color w:val="000000" w:themeColor="text1"/>
                <w:szCs w:val="16"/>
              </w:rPr>
            </w:pPr>
            <w:r w:rsidRPr="00ED172B">
              <w:rPr>
                <w:color w:val="000000" w:themeColor="text1"/>
                <w:szCs w:val="16"/>
              </w:rPr>
              <w:t xml:space="preserve">Target </w:t>
            </w:r>
          </w:p>
        </w:tc>
        <w:tc>
          <w:tcPr>
            <w:tcW w:w="935" w:type="pct"/>
            <w:shd w:val="clear" w:color="auto" w:fill="auto"/>
          </w:tcPr>
          <w:p w14:paraId="59ED45AB" w14:textId="38830BC9"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E968E41" w14:textId="1667F431"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0DC4B59" w14:textId="2D0FAAEF"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4E43795C" w14:textId="4D1D4FF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0D93AB25" w14:textId="789198F5"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571A5DE3" w14:textId="77777777" w:rsidTr="00A40EE1">
        <w:trPr>
          <w:trHeight w:val="85"/>
        </w:trPr>
        <w:tc>
          <w:tcPr>
            <w:tcW w:w="327" w:type="pct"/>
            <w:shd w:val="clear" w:color="auto" w:fill="auto"/>
          </w:tcPr>
          <w:p w14:paraId="6C6DCCED" w14:textId="77777777" w:rsidR="00DC0682" w:rsidRPr="00ED172B" w:rsidRDefault="00DC0682" w:rsidP="00B83404">
            <w:pPr>
              <w:rPr>
                <w:color w:val="000000" w:themeColor="text1"/>
                <w:szCs w:val="16"/>
              </w:rPr>
            </w:pPr>
            <w:r w:rsidRPr="00ED172B">
              <w:rPr>
                <w:color w:val="000000" w:themeColor="text1"/>
                <w:szCs w:val="16"/>
              </w:rPr>
              <w:t>Data</w:t>
            </w:r>
          </w:p>
        </w:tc>
        <w:tc>
          <w:tcPr>
            <w:tcW w:w="935" w:type="pct"/>
            <w:shd w:val="clear" w:color="auto" w:fill="auto"/>
            <w:vAlign w:val="center"/>
          </w:tcPr>
          <w:p w14:paraId="4B5B8015" w14:textId="29B8758A" w:rsidR="00DC0682" w:rsidRPr="00ED172B" w:rsidRDefault="00860830" w:rsidP="00CD79C5">
            <w:pPr>
              <w:jc w:val="center"/>
              <w:rPr>
                <w:color w:val="000000" w:themeColor="text1"/>
                <w:szCs w:val="16"/>
              </w:rPr>
            </w:pPr>
            <w:r w:rsidRPr="00ED172B">
              <w:rPr>
                <w:rFonts w:cs="Arial"/>
                <w:color w:val="000000" w:themeColor="text1"/>
                <w:szCs w:val="16"/>
              </w:rPr>
              <w:t>99.69%</w:t>
            </w:r>
          </w:p>
        </w:tc>
        <w:tc>
          <w:tcPr>
            <w:tcW w:w="935" w:type="pct"/>
            <w:tcBorders>
              <w:bottom w:val="single" w:sz="4" w:space="0" w:color="auto"/>
            </w:tcBorders>
            <w:shd w:val="clear" w:color="auto" w:fill="auto"/>
            <w:vAlign w:val="center"/>
          </w:tcPr>
          <w:p w14:paraId="104D7355" w14:textId="2754FB88" w:rsidR="00DC0682" w:rsidRPr="00ED172B" w:rsidRDefault="00860830" w:rsidP="00CD79C5">
            <w:pPr>
              <w:jc w:val="center"/>
              <w:rPr>
                <w:color w:val="000000" w:themeColor="text1"/>
                <w:szCs w:val="16"/>
              </w:rPr>
            </w:pPr>
            <w:r w:rsidRPr="00ED172B">
              <w:rPr>
                <w:rFonts w:cs="Arial"/>
                <w:color w:val="000000" w:themeColor="text1"/>
                <w:szCs w:val="16"/>
              </w:rPr>
              <w:t>99.68%</w:t>
            </w:r>
          </w:p>
        </w:tc>
        <w:tc>
          <w:tcPr>
            <w:tcW w:w="935" w:type="pct"/>
            <w:tcBorders>
              <w:bottom w:val="single" w:sz="4" w:space="0" w:color="auto"/>
            </w:tcBorders>
            <w:shd w:val="clear" w:color="auto" w:fill="auto"/>
            <w:vAlign w:val="center"/>
          </w:tcPr>
          <w:p w14:paraId="064E4538" w14:textId="49154302" w:rsidR="00DC0682" w:rsidRPr="00ED172B" w:rsidRDefault="00860830" w:rsidP="00CD79C5">
            <w:pPr>
              <w:jc w:val="center"/>
              <w:rPr>
                <w:color w:val="000000" w:themeColor="text1"/>
                <w:szCs w:val="16"/>
              </w:rPr>
            </w:pPr>
            <w:r w:rsidRPr="00ED172B">
              <w:rPr>
                <w:rFonts w:cs="Arial"/>
                <w:color w:val="000000" w:themeColor="text1"/>
                <w:szCs w:val="16"/>
              </w:rPr>
              <w:t>99.72%</w:t>
            </w:r>
          </w:p>
        </w:tc>
        <w:tc>
          <w:tcPr>
            <w:tcW w:w="935" w:type="pct"/>
            <w:tcBorders>
              <w:bottom w:val="single" w:sz="4" w:space="0" w:color="auto"/>
            </w:tcBorders>
            <w:shd w:val="clear" w:color="auto" w:fill="auto"/>
            <w:vAlign w:val="center"/>
          </w:tcPr>
          <w:p w14:paraId="03C237CF" w14:textId="71FB6044" w:rsidR="00DC0682" w:rsidRPr="00ED172B" w:rsidRDefault="00860830" w:rsidP="00CD79C5">
            <w:pPr>
              <w:jc w:val="center"/>
              <w:rPr>
                <w:color w:val="000000" w:themeColor="text1"/>
                <w:szCs w:val="16"/>
              </w:rPr>
            </w:pPr>
            <w:r w:rsidRPr="00ED172B">
              <w:rPr>
                <w:rFonts w:cs="Arial"/>
                <w:color w:val="000000" w:themeColor="text1"/>
                <w:szCs w:val="16"/>
              </w:rPr>
              <w:t>99.74%</w:t>
            </w:r>
          </w:p>
        </w:tc>
        <w:tc>
          <w:tcPr>
            <w:tcW w:w="935" w:type="pct"/>
            <w:tcBorders>
              <w:bottom w:val="single" w:sz="4" w:space="0" w:color="auto"/>
            </w:tcBorders>
            <w:shd w:val="clear" w:color="auto" w:fill="auto"/>
            <w:vAlign w:val="center"/>
          </w:tcPr>
          <w:p w14:paraId="4CE3B818" w14:textId="13ECB4CB" w:rsidR="00DC0682" w:rsidRPr="00ED172B" w:rsidRDefault="00860830" w:rsidP="00CD79C5">
            <w:pPr>
              <w:jc w:val="center"/>
              <w:rPr>
                <w:color w:val="000000" w:themeColor="text1"/>
                <w:szCs w:val="16"/>
              </w:rPr>
            </w:pPr>
            <w:r w:rsidRPr="00ED172B">
              <w:rPr>
                <w:rFonts w:cs="Arial"/>
                <w:color w:val="000000" w:themeColor="text1"/>
                <w:szCs w:val="16"/>
              </w:rPr>
              <w:t>99.68%</w:t>
            </w:r>
          </w:p>
        </w:tc>
      </w:tr>
    </w:tbl>
    <w:p w14:paraId="2990C042" w14:textId="77777777" w:rsidR="00DC0682" w:rsidRPr="00ED172B" w:rsidRDefault="00DC0682">
      <w:pPr>
        <w:rPr>
          <w:b/>
          <w:color w:val="000000" w:themeColor="text1"/>
        </w:rPr>
      </w:pPr>
      <w:r w:rsidRPr="00ED172B">
        <w:rPr>
          <w:b/>
          <w:color w:val="000000" w:themeColor="text1"/>
        </w:rPr>
        <w:t>Targets</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679"/>
        <w:gridCol w:w="1573"/>
        <w:gridCol w:w="1689"/>
        <w:gridCol w:w="1690"/>
        <w:gridCol w:w="1690"/>
        <w:gridCol w:w="1690"/>
        <w:gridCol w:w="1688"/>
      </w:tblGrid>
      <w:tr w:rsidR="006B2FE9" w:rsidRPr="00ED172B" w14:paraId="42B56D41" w14:textId="5E4E59B3" w:rsidTr="00B268B5">
        <w:trPr>
          <w:trHeight w:val="290"/>
        </w:trPr>
        <w:tc>
          <w:tcPr>
            <w:tcW w:w="207" w:type="pct"/>
            <w:tcBorders>
              <w:bottom w:val="single" w:sz="4" w:space="0" w:color="auto"/>
            </w:tcBorders>
            <w:shd w:val="clear" w:color="auto" w:fill="auto"/>
          </w:tcPr>
          <w:p w14:paraId="312C61F2" w14:textId="77777777" w:rsidR="006B2FE9" w:rsidRPr="00ED172B" w:rsidRDefault="006B2FE9" w:rsidP="006B2FE9">
            <w:pPr>
              <w:jc w:val="center"/>
              <w:rPr>
                <w:b/>
                <w:color w:val="000000" w:themeColor="text1"/>
                <w:szCs w:val="16"/>
              </w:rPr>
            </w:pPr>
            <w:r w:rsidRPr="00ED172B">
              <w:rPr>
                <w:b/>
                <w:color w:val="000000" w:themeColor="text1"/>
                <w:szCs w:val="16"/>
              </w:rPr>
              <w:t>FFY</w:t>
            </w:r>
          </w:p>
        </w:tc>
        <w:tc>
          <w:tcPr>
            <w:tcW w:w="754" w:type="pct"/>
            <w:shd w:val="clear" w:color="auto" w:fill="auto"/>
            <w:vAlign w:val="center"/>
          </w:tcPr>
          <w:p w14:paraId="0EB63CB6" w14:textId="5BB5F4E7" w:rsidR="006B2FE9" w:rsidRPr="00ED172B" w:rsidRDefault="006B2FE9" w:rsidP="006B2FE9">
            <w:pPr>
              <w:jc w:val="center"/>
              <w:rPr>
                <w:b/>
                <w:color w:val="000000" w:themeColor="text1"/>
                <w:szCs w:val="16"/>
              </w:rPr>
            </w:pPr>
            <w:r w:rsidRPr="00ED172B">
              <w:rPr>
                <w:rFonts w:cs="Arial"/>
                <w:b/>
                <w:color w:val="000000" w:themeColor="text1"/>
                <w:szCs w:val="16"/>
              </w:rPr>
              <w:t>2020</w:t>
            </w:r>
          </w:p>
        </w:tc>
        <w:tc>
          <w:tcPr>
            <w:tcW w:w="808" w:type="pct"/>
          </w:tcPr>
          <w:p w14:paraId="7ED41A5E" w14:textId="7318A542" w:rsidR="006B2FE9" w:rsidRPr="00ED172B" w:rsidRDefault="006B2FE9" w:rsidP="006B2FE9">
            <w:pPr>
              <w:jc w:val="center"/>
              <w:rPr>
                <w:rFonts w:cs="Arial"/>
                <w:b/>
                <w:color w:val="000000" w:themeColor="text1"/>
                <w:szCs w:val="16"/>
              </w:rPr>
            </w:pPr>
            <w:r>
              <w:rPr>
                <w:rFonts w:cs="Arial"/>
                <w:b/>
                <w:color w:val="000000" w:themeColor="text1"/>
                <w:szCs w:val="16"/>
              </w:rPr>
              <w:t>2021</w:t>
            </w:r>
          </w:p>
        </w:tc>
        <w:tc>
          <w:tcPr>
            <w:tcW w:w="808" w:type="pct"/>
          </w:tcPr>
          <w:p w14:paraId="2A04747F" w14:textId="1388C632" w:rsidR="006B2FE9" w:rsidRPr="00ED172B" w:rsidRDefault="006B2FE9" w:rsidP="006B2FE9">
            <w:pPr>
              <w:jc w:val="center"/>
              <w:rPr>
                <w:rFonts w:cs="Arial"/>
                <w:b/>
                <w:color w:val="000000" w:themeColor="text1"/>
                <w:szCs w:val="16"/>
              </w:rPr>
            </w:pPr>
            <w:r w:rsidRPr="005A1B4F">
              <w:rPr>
                <w:rFonts w:cs="Arial"/>
                <w:b/>
                <w:color w:val="000000" w:themeColor="text1"/>
                <w:szCs w:val="16"/>
              </w:rPr>
              <w:t>2022</w:t>
            </w:r>
          </w:p>
        </w:tc>
        <w:tc>
          <w:tcPr>
            <w:tcW w:w="808" w:type="pct"/>
          </w:tcPr>
          <w:p w14:paraId="07F5F8CB" w14:textId="01283154" w:rsidR="006B2FE9" w:rsidRPr="00ED172B" w:rsidRDefault="006B2FE9" w:rsidP="006B2FE9">
            <w:pPr>
              <w:jc w:val="center"/>
              <w:rPr>
                <w:rFonts w:cs="Arial"/>
                <w:b/>
                <w:color w:val="000000" w:themeColor="text1"/>
                <w:szCs w:val="16"/>
              </w:rPr>
            </w:pPr>
            <w:r w:rsidRPr="005A1B4F">
              <w:rPr>
                <w:rFonts w:cs="Arial"/>
                <w:b/>
                <w:color w:val="000000" w:themeColor="text1"/>
                <w:szCs w:val="16"/>
              </w:rPr>
              <w:t>2023</w:t>
            </w:r>
          </w:p>
        </w:tc>
        <w:tc>
          <w:tcPr>
            <w:tcW w:w="808" w:type="pct"/>
          </w:tcPr>
          <w:p w14:paraId="02563042" w14:textId="7DF909BA" w:rsidR="006B2FE9" w:rsidRPr="00ED172B" w:rsidRDefault="006B2FE9" w:rsidP="006B2FE9">
            <w:pPr>
              <w:jc w:val="center"/>
              <w:rPr>
                <w:rFonts w:cs="Arial"/>
                <w:b/>
                <w:color w:val="000000" w:themeColor="text1"/>
                <w:szCs w:val="16"/>
              </w:rPr>
            </w:pPr>
            <w:r w:rsidRPr="005A1B4F">
              <w:rPr>
                <w:rFonts w:cs="Arial"/>
                <w:b/>
                <w:color w:val="000000" w:themeColor="text1"/>
                <w:szCs w:val="16"/>
              </w:rPr>
              <w:t>2024</w:t>
            </w:r>
          </w:p>
        </w:tc>
        <w:tc>
          <w:tcPr>
            <w:tcW w:w="808" w:type="pct"/>
          </w:tcPr>
          <w:p w14:paraId="3F860368" w14:textId="55F716D6" w:rsidR="006B2FE9" w:rsidRPr="00ED172B" w:rsidRDefault="006B2FE9" w:rsidP="006B2FE9">
            <w:pPr>
              <w:jc w:val="center"/>
              <w:rPr>
                <w:rFonts w:cs="Arial"/>
                <w:b/>
                <w:color w:val="000000" w:themeColor="text1"/>
                <w:szCs w:val="16"/>
              </w:rPr>
            </w:pPr>
            <w:r w:rsidRPr="005A1B4F">
              <w:rPr>
                <w:rFonts w:cs="Arial"/>
                <w:b/>
                <w:color w:val="000000" w:themeColor="text1"/>
                <w:szCs w:val="16"/>
              </w:rPr>
              <w:t>2025</w:t>
            </w:r>
          </w:p>
        </w:tc>
      </w:tr>
      <w:tr w:rsidR="006B2FE9" w:rsidRPr="00ED172B" w14:paraId="20F2223E" w14:textId="133D85CD" w:rsidTr="00B268B5">
        <w:trPr>
          <w:trHeight w:val="296"/>
        </w:trPr>
        <w:tc>
          <w:tcPr>
            <w:tcW w:w="207" w:type="pct"/>
            <w:shd w:val="clear" w:color="auto" w:fill="auto"/>
          </w:tcPr>
          <w:p w14:paraId="452D2810" w14:textId="77777777" w:rsidR="006B2FE9" w:rsidRPr="00ED172B" w:rsidRDefault="006B2FE9" w:rsidP="006B2FE9">
            <w:pPr>
              <w:rPr>
                <w:color w:val="000000" w:themeColor="text1"/>
                <w:szCs w:val="16"/>
              </w:rPr>
            </w:pPr>
            <w:r w:rsidRPr="00ED172B">
              <w:rPr>
                <w:color w:val="000000" w:themeColor="text1"/>
                <w:szCs w:val="16"/>
              </w:rPr>
              <w:t>Target</w:t>
            </w:r>
          </w:p>
        </w:tc>
        <w:tc>
          <w:tcPr>
            <w:tcW w:w="754" w:type="pct"/>
            <w:shd w:val="clear" w:color="auto" w:fill="auto"/>
          </w:tcPr>
          <w:p w14:paraId="7066C0AE" w14:textId="42C4A4CE" w:rsidR="006B2FE9" w:rsidRPr="00ED172B" w:rsidRDefault="006B2FE9" w:rsidP="006B2FE9">
            <w:pPr>
              <w:jc w:val="center"/>
              <w:rPr>
                <w:color w:val="000000" w:themeColor="text1"/>
              </w:rPr>
            </w:pPr>
            <w:r w:rsidRPr="00ED172B">
              <w:rPr>
                <w:color w:val="000000" w:themeColor="text1"/>
              </w:rPr>
              <w:t>100%</w:t>
            </w:r>
          </w:p>
        </w:tc>
        <w:tc>
          <w:tcPr>
            <w:tcW w:w="808" w:type="pct"/>
          </w:tcPr>
          <w:p w14:paraId="3A42CBDC" w14:textId="4C7BA2D0" w:rsidR="006B2FE9" w:rsidRPr="00ED172B" w:rsidRDefault="006B2FE9" w:rsidP="006B2FE9">
            <w:pPr>
              <w:jc w:val="center"/>
              <w:rPr>
                <w:color w:val="000000" w:themeColor="text1"/>
              </w:rPr>
            </w:pPr>
            <w:r>
              <w:rPr>
                <w:rFonts w:cs="Arial"/>
                <w:color w:val="000000" w:themeColor="text1"/>
                <w:szCs w:val="16"/>
              </w:rPr>
              <w:t>100%</w:t>
            </w:r>
          </w:p>
        </w:tc>
        <w:tc>
          <w:tcPr>
            <w:tcW w:w="808" w:type="pct"/>
          </w:tcPr>
          <w:p w14:paraId="2F938E37" w14:textId="464506A5" w:rsidR="006B2FE9" w:rsidRPr="00ED172B" w:rsidRDefault="006B2FE9" w:rsidP="006B2FE9">
            <w:pPr>
              <w:jc w:val="center"/>
              <w:rPr>
                <w:color w:val="000000" w:themeColor="text1"/>
              </w:rPr>
            </w:pPr>
            <w:r w:rsidRPr="005F5F3C">
              <w:rPr>
                <w:rFonts w:cs="Arial"/>
                <w:color w:val="000000" w:themeColor="text1"/>
                <w:szCs w:val="16"/>
              </w:rPr>
              <w:t>100%</w:t>
            </w:r>
          </w:p>
        </w:tc>
        <w:tc>
          <w:tcPr>
            <w:tcW w:w="808" w:type="pct"/>
          </w:tcPr>
          <w:p w14:paraId="4AC39EE9" w14:textId="73F47232" w:rsidR="006B2FE9" w:rsidRPr="00ED172B" w:rsidRDefault="006B2FE9" w:rsidP="006B2FE9">
            <w:pPr>
              <w:jc w:val="center"/>
              <w:rPr>
                <w:color w:val="000000" w:themeColor="text1"/>
              </w:rPr>
            </w:pPr>
            <w:r w:rsidRPr="005F5F3C">
              <w:rPr>
                <w:rFonts w:cs="Arial"/>
                <w:color w:val="000000" w:themeColor="text1"/>
                <w:szCs w:val="16"/>
              </w:rPr>
              <w:t>100%</w:t>
            </w:r>
          </w:p>
        </w:tc>
        <w:tc>
          <w:tcPr>
            <w:tcW w:w="808" w:type="pct"/>
          </w:tcPr>
          <w:p w14:paraId="4DB41CB2" w14:textId="580BD2F7" w:rsidR="006B2FE9" w:rsidRPr="00ED172B" w:rsidRDefault="006B2FE9" w:rsidP="006B2FE9">
            <w:pPr>
              <w:jc w:val="center"/>
              <w:rPr>
                <w:color w:val="000000" w:themeColor="text1"/>
              </w:rPr>
            </w:pPr>
            <w:r w:rsidRPr="005F5F3C">
              <w:rPr>
                <w:rFonts w:cs="Arial"/>
                <w:color w:val="000000" w:themeColor="text1"/>
                <w:szCs w:val="16"/>
              </w:rPr>
              <w:t>100%</w:t>
            </w:r>
          </w:p>
        </w:tc>
        <w:tc>
          <w:tcPr>
            <w:tcW w:w="808" w:type="pct"/>
          </w:tcPr>
          <w:p w14:paraId="11BDC085" w14:textId="101E2C71" w:rsidR="006B2FE9" w:rsidRPr="00ED172B" w:rsidRDefault="006B2FE9" w:rsidP="006B2FE9">
            <w:pPr>
              <w:jc w:val="center"/>
              <w:rPr>
                <w:color w:val="000000" w:themeColor="text1"/>
              </w:rPr>
            </w:pPr>
            <w:r w:rsidRPr="005F5F3C">
              <w:rPr>
                <w:rFonts w:cs="Arial"/>
                <w:color w:val="000000" w:themeColor="text1"/>
                <w:szCs w:val="16"/>
              </w:rPr>
              <w:t>100%</w:t>
            </w:r>
          </w:p>
        </w:tc>
      </w:tr>
    </w:tbl>
    <w:p w14:paraId="61F72181" w14:textId="5D3CA895" w:rsidR="001C3D0E" w:rsidRPr="00ED172B" w:rsidRDefault="00F22D09">
      <w:pPr>
        <w:rPr>
          <w:b/>
          <w:color w:val="000000" w:themeColor="text1"/>
        </w:rPr>
      </w:pPr>
      <w:r>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3BBFCFAE" w14:textId="2CBBD8D9" w:rsidTr="00986B99">
        <w:trPr>
          <w:trHeight w:val="354"/>
          <w:tblHeader/>
        </w:trPr>
        <w:tc>
          <w:tcPr>
            <w:tcW w:w="1165" w:type="pct"/>
            <w:shd w:val="clear" w:color="auto" w:fill="auto"/>
            <w:vAlign w:val="bottom"/>
          </w:tcPr>
          <w:p w14:paraId="3A35828E"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shd w:val="clear" w:color="auto" w:fill="auto"/>
            <w:vAlign w:val="bottom"/>
          </w:tcPr>
          <w:p w14:paraId="31DE48C5"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shd w:val="clear" w:color="auto" w:fill="auto"/>
            <w:vAlign w:val="bottom"/>
          </w:tcPr>
          <w:p w14:paraId="07D96066" w14:textId="7B1C35F7" w:rsidR="008872E7" w:rsidRPr="00ED172B" w:rsidRDefault="00CD74B5" w:rsidP="008872E7">
            <w:pPr>
              <w:jc w:val="center"/>
              <w:rPr>
                <w:b/>
                <w:color w:val="000000" w:themeColor="text1"/>
                <w:szCs w:val="16"/>
              </w:rPr>
            </w:pPr>
            <w:r>
              <w:rPr>
                <w:rFonts w:cs="Arial"/>
                <w:b/>
                <w:color w:val="000000" w:themeColor="text1"/>
                <w:szCs w:val="16"/>
              </w:rPr>
              <w:t>FFY 2019 Data</w:t>
            </w:r>
          </w:p>
        </w:tc>
        <w:tc>
          <w:tcPr>
            <w:tcW w:w="626" w:type="pct"/>
            <w:shd w:val="clear" w:color="auto" w:fill="auto"/>
            <w:vAlign w:val="bottom"/>
          </w:tcPr>
          <w:p w14:paraId="02F56F6D" w14:textId="044F3CC5" w:rsidR="008872E7" w:rsidRPr="00ED172B" w:rsidRDefault="00F22D09" w:rsidP="008872E7">
            <w:pPr>
              <w:jc w:val="center"/>
              <w:rPr>
                <w:b/>
                <w:color w:val="000000" w:themeColor="text1"/>
                <w:szCs w:val="16"/>
              </w:rPr>
            </w:pPr>
            <w:r>
              <w:rPr>
                <w:rFonts w:cs="Arial"/>
                <w:b/>
                <w:color w:val="000000" w:themeColor="text1"/>
                <w:szCs w:val="16"/>
              </w:rPr>
              <w:t>FFY 2020 Target</w:t>
            </w:r>
          </w:p>
        </w:tc>
        <w:tc>
          <w:tcPr>
            <w:tcW w:w="584" w:type="pct"/>
            <w:shd w:val="clear" w:color="auto" w:fill="auto"/>
            <w:vAlign w:val="bottom"/>
          </w:tcPr>
          <w:p w14:paraId="43BEDF85" w14:textId="6EDB04BD" w:rsidR="008872E7" w:rsidRPr="00ED172B" w:rsidRDefault="00F22D09" w:rsidP="008872E7">
            <w:pPr>
              <w:jc w:val="center"/>
              <w:rPr>
                <w:b/>
                <w:color w:val="000000" w:themeColor="text1"/>
                <w:szCs w:val="16"/>
              </w:rPr>
            </w:pPr>
            <w:r>
              <w:rPr>
                <w:rFonts w:cs="Arial"/>
                <w:b/>
                <w:color w:val="000000" w:themeColor="text1"/>
                <w:szCs w:val="16"/>
              </w:rPr>
              <w:t>FFY 2020 Data</w:t>
            </w:r>
          </w:p>
        </w:tc>
        <w:tc>
          <w:tcPr>
            <w:tcW w:w="584" w:type="pct"/>
            <w:shd w:val="clear" w:color="auto" w:fill="auto"/>
            <w:vAlign w:val="bottom"/>
          </w:tcPr>
          <w:p w14:paraId="7828F710" w14:textId="2C18054F"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3D7AD0D4" w14:textId="2E990CEA"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59449F6E" w14:textId="2BAA203F" w:rsidTr="00986B99">
        <w:trPr>
          <w:trHeight w:val="287"/>
        </w:trPr>
        <w:tc>
          <w:tcPr>
            <w:tcW w:w="1165" w:type="pct"/>
            <w:shd w:val="clear" w:color="auto" w:fill="auto"/>
            <w:vAlign w:val="center"/>
          </w:tcPr>
          <w:p w14:paraId="488F2A3D" w14:textId="41AB40C1" w:rsidR="008872E7" w:rsidRPr="00ED172B" w:rsidRDefault="00860830" w:rsidP="008872E7">
            <w:pPr>
              <w:jc w:val="center"/>
              <w:rPr>
                <w:color w:val="000000" w:themeColor="text1"/>
                <w:szCs w:val="16"/>
              </w:rPr>
            </w:pPr>
            <w:r w:rsidRPr="00ED172B">
              <w:rPr>
                <w:color w:val="000000" w:themeColor="text1"/>
                <w:szCs w:val="16"/>
              </w:rPr>
              <w:t>16,466</w:t>
            </w:r>
          </w:p>
        </w:tc>
        <w:tc>
          <w:tcPr>
            <w:tcW w:w="876" w:type="pct"/>
            <w:shd w:val="clear" w:color="auto" w:fill="auto"/>
            <w:vAlign w:val="center"/>
          </w:tcPr>
          <w:p w14:paraId="375452CF" w14:textId="61DFFCF6" w:rsidR="008872E7" w:rsidRPr="00ED172B" w:rsidRDefault="00860830" w:rsidP="008872E7">
            <w:pPr>
              <w:jc w:val="center"/>
              <w:rPr>
                <w:color w:val="000000" w:themeColor="text1"/>
                <w:szCs w:val="16"/>
              </w:rPr>
            </w:pPr>
            <w:r w:rsidRPr="00ED172B">
              <w:rPr>
                <w:color w:val="000000" w:themeColor="text1"/>
                <w:szCs w:val="16"/>
              </w:rPr>
              <w:t>19,872</w:t>
            </w:r>
          </w:p>
        </w:tc>
        <w:tc>
          <w:tcPr>
            <w:tcW w:w="667" w:type="pct"/>
            <w:shd w:val="clear" w:color="auto" w:fill="auto"/>
          </w:tcPr>
          <w:p w14:paraId="6436FCEF" w14:textId="7552BB51" w:rsidR="008872E7" w:rsidRPr="00ED172B" w:rsidRDefault="00860830" w:rsidP="008872E7">
            <w:pPr>
              <w:jc w:val="center"/>
              <w:rPr>
                <w:color w:val="000000" w:themeColor="text1"/>
                <w:szCs w:val="16"/>
              </w:rPr>
            </w:pPr>
            <w:r w:rsidRPr="00ED172B">
              <w:rPr>
                <w:rFonts w:cs="Arial"/>
                <w:color w:val="000000" w:themeColor="text1"/>
                <w:szCs w:val="16"/>
              </w:rPr>
              <w:t>99.68%</w:t>
            </w:r>
          </w:p>
        </w:tc>
        <w:tc>
          <w:tcPr>
            <w:tcW w:w="626" w:type="pct"/>
            <w:shd w:val="clear" w:color="auto" w:fill="auto"/>
          </w:tcPr>
          <w:p w14:paraId="18FB2934" w14:textId="00EB9169"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shd w:val="clear" w:color="auto" w:fill="auto"/>
          </w:tcPr>
          <w:p w14:paraId="4D572FCB" w14:textId="45E9B10C" w:rsidR="008872E7" w:rsidRPr="00ED172B" w:rsidRDefault="00860830" w:rsidP="008872E7">
            <w:pPr>
              <w:jc w:val="center"/>
              <w:rPr>
                <w:color w:val="000000" w:themeColor="text1"/>
                <w:szCs w:val="16"/>
              </w:rPr>
            </w:pPr>
            <w:r w:rsidRPr="00ED172B">
              <w:rPr>
                <w:rFonts w:cs="Arial"/>
                <w:color w:val="000000" w:themeColor="text1"/>
                <w:szCs w:val="16"/>
              </w:rPr>
              <w:t>99.86%</w:t>
            </w:r>
          </w:p>
        </w:tc>
        <w:tc>
          <w:tcPr>
            <w:tcW w:w="584" w:type="pct"/>
            <w:shd w:val="clear" w:color="auto" w:fill="auto"/>
          </w:tcPr>
          <w:p w14:paraId="1648FF7B" w14:textId="4177CD65" w:rsidR="008872E7" w:rsidRPr="00ED172B" w:rsidRDefault="00027F39" w:rsidP="00027F39">
            <w:pPr>
              <w:jc w:val="center"/>
              <w:rPr>
                <w:color w:val="000000" w:themeColor="text1"/>
              </w:rPr>
            </w:pPr>
            <w:r w:rsidRPr="00ED172B">
              <w:rPr>
                <w:color w:val="000000" w:themeColor="text1"/>
              </w:rPr>
              <w:t>Did not meet target</w:t>
            </w:r>
          </w:p>
        </w:tc>
        <w:tc>
          <w:tcPr>
            <w:tcW w:w="498" w:type="pct"/>
            <w:shd w:val="clear" w:color="auto" w:fill="auto"/>
          </w:tcPr>
          <w:p w14:paraId="38A3D273" w14:textId="3D8308F3" w:rsidR="008872E7" w:rsidRPr="00ED172B" w:rsidRDefault="00632DF6" w:rsidP="00027F39">
            <w:pPr>
              <w:jc w:val="center"/>
              <w:rPr>
                <w:color w:val="000000" w:themeColor="text1"/>
              </w:rPr>
            </w:pPr>
            <w:r w:rsidRPr="00ED172B">
              <w:rPr>
                <w:color w:val="000000" w:themeColor="text1"/>
              </w:rPr>
              <w:t>No Slippage</w:t>
            </w:r>
          </w:p>
        </w:tc>
      </w:tr>
    </w:tbl>
    <w:p w14:paraId="23726145" w14:textId="77777777" w:rsidR="00293B59" w:rsidRPr="00ED172B" w:rsidRDefault="00293B59" w:rsidP="00293B59">
      <w:pPr>
        <w:rPr>
          <w:color w:val="000000" w:themeColor="text1"/>
          <w:szCs w:val="16"/>
        </w:rPr>
      </w:pPr>
      <w:r w:rsidRPr="00ED172B">
        <w:rPr>
          <w:b/>
          <w:color w:val="000000" w:themeColor="text1"/>
          <w:szCs w:val="16"/>
        </w:rPr>
        <w:t>Number of documented delays attributable to exceptional family circumstances</w:t>
      </w:r>
    </w:p>
    <w:p w14:paraId="6108A36C" w14:textId="5D3CC1AC"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7EDEC3EA" w14:textId="6715968D" w:rsidR="00293B59" w:rsidRDefault="00293B59" w:rsidP="00293B59">
      <w:pPr>
        <w:rPr>
          <w:color w:val="000000" w:themeColor="text1"/>
          <w:szCs w:val="16"/>
        </w:rPr>
      </w:pPr>
      <w:r w:rsidRPr="00ED172B">
        <w:rPr>
          <w:color w:val="000000" w:themeColor="text1"/>
          <w:szCs w:val="16"/>
        </w:rPr>
        <w:t>3,378</w:t>
      </w:r>
    </w:p>
    <w:p w14:paraId="4CC17C51" w14:textId="77777777" w:rsidR="003739C5" w:rsidRDefault="003739C5" w:rsidP="003739C5">
      <w:pPr>
        <w:rPr>
          <w:rFonts w:cs="Arial"/>
          <w:b/>
          <w:color w:val="000000" w:themeColor="text1"/>
          <w:szCs w:val="16"/>
        </w:rPr>
      </w:pPr>
      <w:r w:rsidRPr="003739C5">
        <w:rPr>
          <w:rFonts w:cs="Arial"/>
          <w:b/>
          <w:color w:val="000000" w:themeColor="text1"/>
          <w:szCs w:val="16"/>
        </w:rPr>
        <w:lastRenderedPageBreak/>
        <w:t>Provide reasons for delay, if applicable.</w:t>
      </w:r>
    </w:p>
    <w:p w14:paraId="35CB1EC5" w14:textId="07FB7420" w:rsidR="003739C5" w:rsidRPr="00ED172B" w:rsidRDefault="003739C5" w:rsidP="003739C5">
      <w:pPr>
        <w:rPr>
          <w:rFonts w:cs="Arial"/>
          <w:color w:val="000000" w:themeColor="text1"/>
          <w:szCs w:val="16"/>
        </w:rPr>
      </w:pPr>
      <w:r w:rsidRPr="00ED172B">
        <w:rPr>
          <w:color w:val="000000" w:themeColor="text1"/>
          <w:szCs w:val="16"/>
        </w:rPr>
        <w:t xml:space="preserve">The primary reasons for delay were exceptional family circumstances, including a family or child being unable to attend the evaluation as scheduled and  families being unable to schedule an evaluation within the required timeframe. Other reasons include EIS providers experiencing barriers when contacting the family and inclement weather conditions. </w:t>
      </w:r>
    </w:p>
    <w:p w14:paraId="36270560"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36EA61F7" w14:textId="049D1D3B" w:rsidR="000709B9" w:rsidRDefault="00860830" w:rsidP="00B83404">
      <w:pPr>
        <w:rPr>
          <w:color w:val="000000" w:themeColor="text1"/>
        </w:rPr>
      </w:pPr>
      <w:r w:rsidRPr="00ED172B">
        <w:rPr>
          <w:color w:val="000000" w:themeColor="text1"/>
        </w:rPr>
        <w:t>State database</w:t>
      </w:r>
    </w:p>
    <w:p w14:paraId="0535AD27" w14:textId="352FAEAA" w:rsidR="00423BCE"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EFB1FE" w14:textId="545986D5" w:rsidR="000709B9" w:rsidRPr="00ED172B" w:rsidRDefault="00860830" w:rsidP="000709B9">
      <w:pPr>
        <w:rPr>
          <w:color w:val="000000" w:themeColor="text1"/>
        </w:rPr>
      </w:pPr>
      <w:r w:rsidRPr="00ED172B">
        <w:rPr>
          <w:color w:val="000000" w:themeColor="text1"/>
        </w:rPr>
        <w:t xml:space="preserve">The Lead Agency (MA-C) collects data during the full reporting period: July 1, 2020-June 30, 2021. </w:t>
      </w:r>
    </w:p>
    <w:p w14:paraId="3464F3BB" w14:textId="014C8734"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3163EA0C" w14:textId="3A5ADAE9" w:rsidR="000709B9" w:rsidRDefault="00860830" w:rsidP="000709B9">
      <w:pPr>
        <w:rPr>
          <w:rFonts w:cs="Arial"/>
          <w:color w:val="000000" w:themeColor="text1"/>
          <w:szCs w:val="16"/>
        </w:rPr>
      </w:pPr>
      <w:r w:rsidRPr="00ED172B">
        <w:rPr>
          <w:rFonts w:cs="Arial"/>
          <w:color w:val="000000" w:themeColor="text1"/>
          <w:szCs w:val="16"/>
        </w:rPr>
        <w:t xml:space="preserve">These data accurately reflect data for infants and toddlers with IFSPs for the full reporting period because MA-C includes all infants and toddlers with IFSPs during the full reporting period. </w:t>
      </w:r>
    </w:p>
    <w:p w14:paraId="239AE944" w14:textId="7F02781E" w:rsidR="003A3693" w:rsidRPr="00ED172B" w:rsidRDefault="003A3693" w:rsidP="003A3693">
      <w:pPr>
        <w:rPr>
          <w:rFonts w:cs="Arial"/>
          <w:b/>
          <w:color w:val="000000" w:themeColor="text1"/>
          <w:szCs w:val="16"/>
        </w:rPr>
      </w:pPr>
      <w:bookmarkStart w:id="43" w:name="_Toc386209666"/>
      <w:bookmarkStart w:id="44" w:name="_Toc392159299"/>
      <w:bookmarkEnd w:id="41"/>
      <w:bookmarkEnd w:id="42"/>
      <w:r w:rsidRPr="00ED172B">
        <w:rPr>
          <w:rFonts w:cs="Arial"/>
          <w:b/>
          <w:color w:val="000000" w:themeColor="text1"/>
          <w:szCs w:val="16"/>
        </w:rPr>
        <w:t>Provide additional information about this indicator (optional).</w:t>
      </w:r>
    </w:p>
    <w:p w14:paraId="08F3AB46" w14:textId="3AE7E453" w:rsidR="003A3693" w:rsidRPr="00ED172B" w:rsidRDefault="003A3693" w:rsidP="003A3693">
      <w:pPr>
        <w:rPr>
          <w:rFonts w:cs="Arial"/>
          <w:color w:val="000000" w:themeColor="text1"/>
          <w:szCs w:val="16"/>
        </w:rPr>
      </w:pPr>
    </w:p>
    <w:p w14:paraId="78CA7AEE" w14:textId="6351C92F" w:rsidR="008203B4" w:rsidRPr="00ED172B" w:rsidRDefault="008203B4" w:rsidP="00B83404">
      <w:pPr>
        <w:rPr>
          <w:color w:val="000000" w:themeColor="text1"/>
        </w:rPr>
      </w:pPr>
      <w:r w:rsidRPr="00ED172B">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662BE12F" w14:textId="77777777" w:rsidTr="00986B99">
        <w:trPr>
          <w:trHeight w:val="389"/>
          <w:tblHeader/>
        </w:trPr>
        <w:tc>
          <w:tcPr>
            <w:tcW w:w="1226" w:type="pct"/>
            <w:shd w:val="clear" w:color="auto" w:fill="auto"/>
            <w:vAlign w:val="bottom"/>
          </w:tcPr>
          <w:p w14:paraId="0ADB00C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0EB9F07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0E4AF01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6BE909D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AD15D6E" w14:textId="77777777" w:rsidTr="00986B99">
        <w:tc>
          <w:tcPr>
            <w:tcW w:w="1226" w:type="pct"/>
            <w:shd w:val="clear" w:color="auto" w:fill="auto"/>
          </w:tcPr>
          <w:p w14:paraId="3C6AC4FB" w14:textId="4FB8B8DC"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86" w:type="pct"/>
            <w:shd w:val="clear" w:color="auto" w:fill="auto"/>
          </w:tcPr>
          <w:p w14:paraId="6713A327" w14:textId="087EB1ED"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29" w:type="pct"/>
            <w:shd w:val="clear" w:color="auto" w:fill="auto"/>
          </w:tcPr>
          <w:p w14:paraId="7767046D" w14:textId="6877FBBE" w:rsidR="008203B4" w:rsidRPr="00ED172B" w:rsidRDefault="008203B4" w:rsidP="00186420">
            <w:pPr>
              <w:jc w:val="center"/>
              <w:rPr>
                <w:rFonts w:cs="Arial"/>
                <w:color w:val="000000" w:themeColor="text1"/>
                <w:szCs w:val="16"/>
              </w:rPr>
            </w:pPr>
          </w:p>
        </w:tc>
        <w:tc>
          <w:tcPr>
            <w:tcW w:w="1258" w:type="pct"/>
            <w:shd w:val="clear" w:color="auto" w:fill="auto"/>
          </w:tcPr>
          <w:p w14:paraId="4621D411" w14:textId="7E49A5A3"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32FC1C4C" w14:textId="31144FFC" w:rsidR="008203B4" w:rsidRPr="00ED172B" w:rsidRDefault="008203B4" w:rsidP="00B83404">
      <w:pPr>
        <w:rPr>
          <w:color w:val="000000" w:themeColor="text1"/>
        </w:rPr>
      </w:pPr>
      <w:r w:rsidRPr="00ED172B">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4E93AE14" w14:textId="77777777" w:rsidTr="00986B99">
        <w:trPr>
          <w:tblHeader/>
        </w:trPr>
        <w:tc>
          <w:tcPr>
            <w:tcW w:w="899" w:type="pct"/>
            <w:shd w:val="clear" w:color="auto" w:fill="auto"/>
            <w:vAlign w:val="bottom"/>
          </w:tcPr>
          <w:p w14:paraId="0CD65E9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16F76534" w14:textId="734D48F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2019 APR</w:t>
            </w:r>
          </w:p>
        </w:tc>
        <w:tc>
          <w:tcPr>
            <w:tcW w:w="1394" w:type="pct"/>
            <w:shd w:val="clear" w:color="auto" w:fill="auto"/>
            <w:vAlign w:val="bottom"/>
          </w:tcPr>
          <w:p w14:paraId="2BF2450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084EB57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2B1E48E5" w14:textId="77777777" w:rsidTr="00986B99">
        <w:tc>
          <w:tcPr>
            <w:tcW w:w="899" w:type="pct"/>
            <w:shd w:val="clear" w:color="auto" w:fill="auto"/>
          </w:tcPr>
          <w:p w14:paraId="128A230A" w14:textId="50E2AC27" w:rsidR="008203B4" w:rsidRPr="00ED172B" w:rsidRDefault="00860830" w:rsidP="00CD79C5">
            <w:pPr>
              <w:rPr>
                <w:rFonts w:cs="Arial"/>
                <w:color w:val="000000" w:themeColor="text1"/>
                <w:szCs w:val="16"/>
              </w:rPr>
            </w:pPr>
            <w:r w:rsidRPr="00ED172B">
              <w:rPr>
                <w:rFonts w:cs="Arial"/>
                <w:color w:val="000000" w:themeColor="text1"/>
                <w:szCs w:val="16"/>
              </w:rPr>
              <w:t>FFY 2018</w:t>
            </w:r>
          </w:p>
        </w:tc>
        <w:tc>
          <w:tcPr>
            <w:tcW w:w="1399" w:type="pct"/>
            <w:shd w:val="clear" w:color="auto" w:fill="auto"/>
          </w:tcPr>
          <w:p w14:paraId="586EEE14" w14:textId="68B417D1" w:rsidR="008203B4" w:rsidRPr="00ED172B" w:rsidRDefault="00860830" w:rsidP="00CD79C5">
            <w:pPr>
              <w:jc w:val="center"/>
              <w:rPr>
                <w:rFonts w:cs="Arial"/>
                <w:noProof/>
                <w:color w:val="000000" w:themeColor="text1"/>
                <w:szCs w:val="16"/>
              </w:rPr>
            </w:pPr>
            <w:r w:rsidRPr="00ED172B">
              <w:rPr>
                <w:rFonts w:cs="Arial"/>
                <w:color w:val="000000" w:themeColor="text1"/>
                <w:szCs w:val="16"/>
              </w:rPr>
              <w:t>25</w:t>
            </w:r>
          </w:p>
        </w:tc>
        <w:tc>
          <w:tcPr>
            <w:tcW w:w="1394" w:type="pct"/>
            <w:shd w:val="clear" w:color="auto" w:fill="auto"/>
          </w:tcPr>
          <w:p w14:paraId="32B05EFE" w14:textId="5D65EE73" w:rsidR="008203B4" w:rsidRPr="00ED172B" w:rsidRDefault="00860830" w:rsidP="00CD79C5">
            <w:pPr>
              <w:jc w:val="center"/>
              <w:rPr>
                <w:rFonts w:cs="Arial"/>
                <w:noProof/>
                <w:color w:val="000000" w:themeColor="text1"/>
                <w:szCs w:val="16"/>
              </w:rPr>
            </w:pPr>
            <w:r w:rsidRPr="00ED172B">
              <w:rPr>
                <w:rFonts w:cs="Arial"/>
                <w:color w:val="000000" w:themeColor="text1"/>
                <w:szCs w:val="16"/>
              </w:rPr>
              <w:t>25</w:t>
            </w:r>
          </w:p>
        </w:tc>
        <w:tc>
          <w:tcPr>
            <w:tcW w:w="1307" w:type="pct"/>
            <w:shd w:val="clear" w:color="auto" w:fill="auto"/>
          </w:tcPr>
          <w:p w14:paraId="3338F511" w14:textId="15EAC72F" w:rsidR="008203B4" w:rsidRPr="00ED172B" w:rsidRDefault="00860830" w:rsidP="00CD79C5">
            <w:pPr>
              <w:jc w:val="center"/>
              <w:rPr>
                <w:rFonts w:cs="Arial"/>
                <w:noProof/>
                <w:color w:val="000000" w:themeColor="text1"/>
                <w:szCs w:val="16"/>
              </w:rPr>
            </w:pPr>
            <w:r w:rsidRPr="00ED172B">
              <w:rPr>
                <w:rFonts w:cs="Arial"/>
                <w:color w:val="000000" w:themeColor="text1"/>
                <w:szCs w:val="16"/>
              </w:rPr>
              <w:t>0</w:t>
            </w:r>
          </w:p>
        </w:tc>
      </w:tr>
      <w:tr w:rsidR="00ED172B" w:rsidRPr="00ED172B" w14:paraId="744B3351" w14:textId="77777777" w:rsidTr="00986B99">
        <w:tc>
          <w:tcPr>
            <w:tcW w:w="899" w:type="pct"/>
            <w:shd w:val="clear" w:color="auto" w:fill="auto"/>
          </w:tcPr>
          <w:p w14:paraId="43DF4A1D" w14:textId="629DD993" w:rsidR="008203B4" w:rsidRPr="00ED172B" w:rsidRDefault="008203B4" w:rsidP="00CD79C5">
            <w:pPr>
              <w:rPr>
                <w:rFonts w:cs="Arial"/>
                <w:color w:val="000000" w:themeColor="text1"/>
                <w:szCs w:val="16"/>
              </w:rPr>
            </w:pPr>
          </w:p>
        </w:tc>
        <w:tc>
          <w:tcPr>
            <w:tcW w:w="1399" w:type="pct"/>
            <w:shd w:val="clear" w:color="auto" w:fill="auto"/>
          </w:tcPr>
          <w:p w14:paraId="682B1AF7" w14:textId="04856098" w:rsidR="008203B4" w:rsidRPr="00ED172B" w:rsidRDefault="008203B4" w:rsidP="00CD79C5">
            <w:pPr>
              <w:jc w:val="center"/>
              <w:rPr>
                <w:rFonts w:cs="Arial"/>
                <w:noProof/>
                <w:color w:val="000000" w:themeColor="text1"/>
                <w:szCs w:val="16"/>
              </w:rPr>
            </w:pPr>
          </w:p>
        </w:tc>
        <w:tc>
          <w:tcPr>
            <w:tcW w:w="1394" w:type="pct"/>
            <w:shd w:val="clear" w:color="auto" w:fill="auto"/>
          </w:tcPr>
          <w:p w14:paraId="58B66D2A" w14:textId="5E2142F5" w:rsidR="008203B4" w:rsidRPr="00ED172B" w:rsidRDefault="008203B4" w:rsidP="00CD79C5">
            <w:pPr>
              <w:jc w:val="center"/>
              <w:rPr>
                <w:rFonts w:cs="Arial"/>
                <w:noProof/>
                <w:color w:val="000000" w:themeColor="text1"/>
                <w:szCs w:val="16"/>
              </w:rPr>
            </w:pPr>
          </w:p>
        </w:tc>
        <w:tc>
          <w:tcPr>
            <w:tcW w:w="1307" w:type="pct"/>
            <w:shd w:val="clear" w:color="auto" w:fill="auto"/>
          </w:tcPr>
          <w:p w14:paraId="6986D2A0" w14:textId="0E05F3E2" w:rsidR="008203B4" w:rsidRPr="00ED172B" w:rsidRDefault="008203B4" w:rsidP="00CD79C5">
            <w:pPr>
              <w:jc w:val="center"/>
              <w:rPr>
                <w:rFonts w:cs="Arial"/>
                <w:noProof/>
                <w:color w:val="000000" w:themeColor="text1"/>
                <w:szCs w:val="16"/>
              </w:rPr>
            </w:pPr>
          </w:p>
        </w:tc>
      </w:tr>
      <w:tr w:rsidR="00ED172B" w:rsidRPr="00ED172B" w14:paraId="62EEE336" w14:textId="77777777" w:rsidTr="00986B99">
        <w:tc>
          <w:tcPr>
            <w:tcW w:w="899" w:type="pct"/>
            <w:shd w:val="clear" w:color="auto" w:fill="auto"/>
          </w:tcPr>
          <w:p w14:paraId="03FC998C" w14:textId="17CC0145" w:rsidR="008203B4" w:rsidRPr="00ED172B" w:rsidRDefault="008203B4" w:rsidP="00CD79C5">
            <w:pPr>
              <w:rPr>
                <w:rFonts w:cs="Arial"/>
                <w:color w:val="000000" w:themeColor="text1"/>
                <w:szCs w:val="16"/>
              </w:rPr>
            </w:pPr>
          </w:p>
        </w:tc>
        <w:tc>
          <w:tcPr>
            <w:tcW w:w="1399" w:type="pct"/>
            <w:shd w:val="clear" w:color="auto" w:fill="auto"/>
          </w:tcPr>
          <w:p w14:paraId="0C9B51BA" w14:textId="69C64714" w:rsidR="008203B4" w:rsidRPr="00ED172B" w:rsidRDefault="008203B4" w:rsidP="00CD79C5">
            <w:pPr>
              <w:jc w:val="center"/>
              <w:rPr>
                <w:rFonts w:cs="Arial"/>
                <w:noProof/>
                <w:color w:val="000000" w:themeColor="text1"/>
                <w:szCs w:val="16"/>
              </w:rPr>
            </w:pPr>
          </w:p>
        </w:tc>
        <w:tc>
          <w:tcPr>
            <w:tcW w:w="1394" w:type="pct"/>
            <w:shd w:val="clear" w:color="auto" w:fill="auto"/>
          </w:tcPr>
          <w:p w14:paraId="3D9AF315" w14:textId="35A24922" w:rsidR="008203B4" w:rsidRPr="00ED172B" w:rsidRDefault="008203B4" w:rsidP="00CD79C5">
            <w:pPr>
              <w:jc w:val="center"/>
              <w:rPr>
                <w:rFonts w:cs="Arial"/>
                <w:noProof/>
                <w:color w:val="000000" w:themeColor="text1"/>
                <w:szCs w:val="16"/>
              </w:rPr>
            </w:pPr>
          </w:p>
        </w:tc>
        <w:tc>
          <w:tcPr>
            <w:tcW w:w="1307" w:type="pct"/>
            <w:shd w:val="clear" w:color="auto" w:fill="auto"/>
          </w:tcPr>
          <w:p w14:paraId="7C6C5467" w14:textId="7AD30721" w:rsidR="008203B4" w:rsidRPr="00ED172B" w:rsidRDefault="008203B4" w:rsidP="00CD79C5">
            <w:pPr>
              <w:jc w:val="center"/>
              <w:rPr>
                <w:rFonts w:cs="Arial"/>
                <w:noProof/>
                <w:color w:val="000000" w:themeColor="text1"/>
                <w:szCs w:val="16"/>
              </w:rPr>
            </w:pPr>
          </w:p>
        </w:tc>
      </w:tr>
    </w:tbl>
    <w:p w14:paraId="7D044851" w14:textId="4FA37089" w:rsidR="00B5154D" w:rsidRPr="00ED172B" w:rsidRDefault="00B5154D" w:rsidP="00B83404">
      <w:pPr>
        <w:rPr>
          <w:rFonts w:cs="Arial"/>
          <w:b/>
          <w:bCs/>
          <w:color w:val="000000" w:themeColor="text1"/>
          <w:szCs w:val="16"/>
        </w:rPr>
      </w:pPr>
      <w:r w:rsidRPr="00ED172B">
        <w:rPr>
          <w:rFonts w:cs="Arial"/>
          <w:b/>
          <w:bCs/>
          <w:color w:val="000000" w:themeColor="text1"/>
          <w:szCs w:val="16"/>
        </w:rPr>
        <w:t>FFY 2018</w:t>
      </w:r>
    </w:p>
    <w:p w14:paraId="018F68C3" w14:textId="0CC574A7" w:rsidR="008203B4" w:rsidRPr="00ED172B" w:rsidRDefault="008203B4" w:rsidP="00B83404">
      <w:pPr>
        <w:rPr>
          <w:color w:val="000000" w:themeColor="text1"/>
        </w:rPr>
      </w:pPr>
      <w:r w:rsidRPr="00ED172B">
        <w:rPr>
          <w:b/>
          <w:color w:val="000000" w:themeColor="text1"/>
        </w:rPr>
        <w:t>Findings of Noncompliance Verified as Corrected</w:t>
      </w:r>
    </w:p>
    <w:p w14:paraId="75B2A1A8" w14:textId="10F32585" w:rsidR="008203B4" w:rsidRPr="00ED172B" w:rsidRDefault="008203B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60F0994D" w14:textId="0E18E14B" w:rsidR="008203B4" w:rsidRPr="00ED172B" w:rsidRDefault="00860830">
      <w:pPr>
        <w:rPr>
          <w:color w:val="000000" w:themeColor="text1"/>
        </w:rPr>
      </w:pPr>
      <w:r w:rsidRPr="00ED172B">
        <w:rPr>
          <w:color w:val="000000" w:themeColor="text1"/>
        </w:rPr>
        <w:t xml:space="preserve">The Lead Agency (MA-C) identified FFY18 noncompliance through annual monitoring of its state database, implementing a process to distinguish inaccurate implementation of the regulatory requirement from inaccurate or delayed data entry. A total of 49 children with noncompliant records were identified. </w:t>
      </w:r>
      <w:r w:rsidRPr="00ED172B">
        <w:rPr>
          <w:color w:val="000000" w:themeColor="text1"/>
        </w:rPr>
        <w:br/>
      </w:r>
      <w:r w:rsidRPr="00ED172B">
        <w:rPr>
          <w:color w:val="000000" w:themeColor="text1"/>
        </w:rPr>
        <w:br/>
        <w:t>MA-C notified the local programs of the discovery of noncompliance. MA-C's General Supervision procedures allowed local programs with minimal noncompliance to correct noncompliance prior to the issuance of a written finding. Subsequent to the discovery of noncompliance, MA-C then verified correction of each instance of child-specific noncompliance. MA-C then reviewed updated program data and confirmed 100% compliance with each statutory or regulatory requirement with which noncompliance was identified.</w:t>
      </w:r>
      <w:r w:rsidRPr="00ED172B">
        <w:rPr>
          <w:color w:val="000000" w:themeColor="text1"/>
        </w:rPr>
        <w:br/>
      </w:r>
      <w:r w:rsidRPr="00ED172B">
        <w:rPr>
          <w:color w:val="000000" w:themeColor="text1"/>
        </w:rPr>
        <w:br/>
        <w:t xml:space="preserve">To verify the accuracy of data, MA-C notified local programs of each instance of noncompliance or missing data (i.e., each toddler whose record did not demonstrate timely provision of services) in FFY18. Local programs were required to review their paper records for each instance of noncompliance within 30 days. Local programs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7 in FFY18 through annual monitoring of its state database. </w:t>
      </w:r>
    </w:p>
    <w:p w14:paraId="0935FA50" w14:textId="5AF3078D" w:rsidR="008203B4" w:rsidRPr="00ED172B" w:rsidRDefault="008203B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6D092A5" w14:textId="320BC94C" w:rsidR="008203B4" w:rsidRDefault="00860830">
      <w:pPr>
        <w:rPr>
          <w:color w:val="000000" w:themeColor="text1"/>
        </w:rPr>
      </w:pPr>
      <w:r w:rsidRPr="00ED172B">
        <w:rPr>
          <w:color w:val="000000" w:themeColor="text1"/>
        </w:rPr>
        <w:t xml:space="preserve">Per PSC ticket #22-04814AW, MA-C is unable to edit the table "Correction of Findings of Noncompliance Identified Prior to FFY2019" in the Indicator Data. In FFY2018, there were 33 findings of noncompliance. </w:t>
      </w:r>
      <w:r w:rsidRPr="00ED172B">
        <w:rPr>
          <w:color w:val="000000" w:themeColor="text1"/>
        </w:rPr>
        <w:br/>
      </w:r>
      <w:r w:rsidRPr="00ED172B">
        <w:rPr>
          <w:color w:val="000000" w:themeColor="text1"/>
        </w:rPr>
        <w:br/>
        <w:t xml:space="preserve">MA-C required the correction of every instance of FFY18 noncompliance. As stated above, MA-C determined that 15 children did receive an initial evaluation and assessment within the required timeline; the error was in data-entry. Of the remaining children with noncompliant records, 33 children did receive an initial evaluation and assessment, although late, and one child had left MA-C’s jurisdiction before an initial evaluation and assessment could be provided. </w:t>
      </w:r>
      <w:r w:rsidRPr="00ED172B">
        <w:rPr>
          <w:color w:val="000000" w:themeColor="text1"/>
        </w:rPr>
        <w:br/>
      </w:r>
      <w:r w:rsidRPr="00ED172B">
        <w:rPr>
          <w:color w:val="000000" w:themeColor="text1"/>
        </w:rPr>
        <w:br/>
        <w:t>To verify that each of the 33 individual cases of noncompliance were corrected, the state reviewed the records for the 33 children in its state database and observed that the EIS program subsequently added information about an initial evaluation and assessment (and associated date) for each of the 33 records.</w:t>
      </w:r>
      <w:r w:rsidRPr="00ED172B">
        <w:rPr>
          <w:color w:val="000000" w:themeColor="text1"/>
        </w:rPr>
        <w:br/>
      </w:r>
      <w:r w:rsidRPr="00ED172B">
        <w:rPr>
          <w:color w:val="000000" w:themeColor="text1"/>
        </w:rPr>
        <w:br/>
        <w:t>MA-C collected and reviewed updated data to verify timely correction of FFY18 noncompliance. MA-C’s specific procedures differed based on the extent of noncompliance and its root cause. For all local programs with compliance rates below 100%, MA-C sampled 10 child records at random using subsequent data from its state database and documented its verification in its records. MA-C notified each local program in writing that compliance had been reached. MA-C has verified that all local programs with less than 100% compliance in FFY18 has demonstrated ongoing compliance.</w:t>
      </w:r>
    </w:p>
    <w:p w14:paraId="009A31E4" w14:textId="2D49F173" w:rsidR="008203B4" w:rsidRPr="00A40EE1" w:rsidRDefault="000D0117" w:rsidP="005C3FFD">
      <w:pPr>
        <w:pStyle w:val="Heading2"/>
      </w:pPr>
      <w:r w:rsidRPr="00A40EE1">
        <w:t xml:space="preserve">7 - </w:t>
      </w:r>
      <w:r w:rsidR="008203B4" w:rsidRPr="00A40EE1">
        <w:t>Prior FFY Required Actions</w:t>
      </w:r>
    </w:p>
    <w:p w14:paraId="19C31DCF" w14:textId="2A828330" w:rsidR="004C1CEE" w:rsidRPr="00ED172B" w:rsidRDefault="00320806" w:rsidP="003977D8">
      <w:pPr>
        <w:rPr>
          <w:rFonts w:cs="Arial"/>
          <w:i/>
          <w:color w:val="000000" w:themeColor="text1"/>
          <w:szCs w:val="16"/>
        </w:rPr>
      </w:pPr>
      <w:r w:rsidRPr="00ED172B">
        <w:rPr>
          <w:color w:val="000000" w:themeColor="text1"/>
        </w:rPr>
        <w:t xml:space="preserve">Because the State reported less than 100% compliance for FFY 2019, the State must report on the status of correction of noncompliance identified in FFY 2019 for this indicator. In addition, the State must demonstrate, in the FFY 2020 SPP/APR, that the remaining 25 uncorrected findings of </w:t>
      </w:r>
      <w:r w:rsidRPr="00ED172B">
        <w:rPr>
          <w:color w:val="000000" w:themeColor="text1"/>
        </w:rPr>
        <w:lastRenderedPageBreak/>
        <w:t xml:space="preserve">noncompliance identified in FFY 2018 were corrected.  </w:t>
      </w:r>
      <w:r w:rsidRPr="00ED172B">
        <w:rPr>
          <w:color w:val="000000" w:themeColor="text1"/>
        </w:rPr>
        <w:br/>
        <w:t xml:space="preserve">When reporting on the correction of noncompliance, the State must report, in the FFY 2020 SPP/APR, that it has verified that each EIS program or provider with findings of noncompliance identified in FFY 2019 and each EIS program or provider with remaining noncompliance identified in FFY 2018: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2020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2019, although its FFY 2019 data reflect less than 100% compliance, provide an explanation of why the State did not identify any findings of noncompliance in FFY 2019.</w:t>
      </w:r>
    </w:p>
    <w:p w14:paraId="4F1F97B2" w14:textId="76F52470" w:rsidR="008203B4" w:rsidRPr="00ED172B" w:rsidRDefault="008203B4" w:rsidP="00B83404">
      <w:pPr>
        <w:rPr>
          <w:color w:val="000000" w:themeColor="text1"/>
        </w:rPr>
      </w:pPr>
      <w:r w:rsidRPr="00ED172B">
        <w:rPr>
          <w:b/>
          <w:color w:val="000000" w:themeColor="text1"/>
        </w:rPr>
        <w:t>Response to actions required in FFY 2019 SPP/APR</w:t>
      </w:r>
    </w:p>
    <w:p w14:paraId="6341AF1F" w14:textId="0B05114A" w:rsidR="004C1CEE" w:rsidRPr="00ED172B" w:rsidRDefault="00027F39" w:rsidP="00027F39">
      <w:pPr>
        <w:rPr>
          <w:color w:val="000000" w:themeColor="text1"/>
        </w:rPr>
      </w:pPr>
      <w:r w:rsidRPr="00ED172B">
        <w:rPr>
          <w:color w:val="000000" w:themeColor="text1"/>
        </w:rPr>
        <w:t>The Lead Agency (MA-C) identified FFY18 noncompliance through annual monitoring of its state database, implementing a process to distinguish inaccurate implementation of the regulatory requirement from inaccurate or delayed data entry.</w:t>
      </w:r>
      <w:r w:rsidRPr="00ED172B">
        <w:rPr>
          <w:color w:val="000000" w:themeColor="text1"/>
        </w:rPr>
        <w:br/>
      </w:r>
      <w:r w:rsidRPr="00ED172B">
        <w:rPr>
          <w:color w:val="000000" w:themeColor="text1"/>
        </w:rPr>
        <w:br/>
        <w:t xml:space="preserve">In FFY18, MA-C determined that of the 49 children with noncompliant records, 15 received an initial evaluation and assessment within Part C’s 45-day timeline, and the apparent delay resulted from a data-entry error. Of the remaining children, 33 received an initial evaluation and assessment, although late, and one did not receive an initial evaluation and assessment before leaving MA-C's jurisdiction. </w:t>
      </w:r>
      <w:r w:rsidRPr="00ED172B">
        <w:rPr>
          <w:color w:val="000000" w:themeColor="text1"/>
        </w:rPr>
        <w:br/>
      </w:r>
      <w:r w:rsidRPr="00ED172B">
        <w:rPr>
          <w:color w:val="000000" w:themeColor="text1"/>
        </w:rPr>
        <w:br/>
        <w:t>MA-C notified the local programs of the discovery of noncompliance. MA-C's General Supervision procedures allowed local programs with minimal noncompliance to correct noncompliance prior to the issuance of a written finding. Subsequent to the discovery of noncompliance, MA-C then verified correction of each instance of child-specific noncompliance. MA-C then reviewed updated program data and confirmed 100% compliance with each statutory or regulatory requirement with which noncompliance was identified.</w:t>
      </w:r>
      <w:r w:rsidRPr="00ED172B">
        <w:rPr>
          <w:color w:val="000000" w:themeColor="text1"/>
        </w:rPr>
        <w:br/>
      </w:r>
      <w:r w:rsidRPr="00ED172B">
        <w:rPr>
          <w:color w:val="000000" w:themeColor="text1"/>
        </w:rPr>
        <w:br/>
        <w:t xml:space="preserve">To verify the accuracy of data, MA-C notified local programs of each instance of noncompliance or missing data (i.e., each toddler whose record did not demonstrate timely provision of services) in FFY18. Local programs were required to review their paper records for each instance of noncompliance within 30 days. Local programs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7 in FFY18 through annual monitoring of its state database. </w:t>
      </w:r>
      <w:r w:rsidRPr="00ED172B">
        <w:rPr>
          <w:color w:val="000000" w:themeColor="text1"/>
        </w:rPr>
        <w:br/>
      </w:r>
      <w:r w:rsidRPr="00ED172B">
        <w:rPr>
          <w:color w:val="000000" w:themeColor="text1"/>
        </w:rPr>
        <w:br/>
        <w:t xml:space="preserve">MA-C required the correction of every instance of FFY18 noncompliance. As stated above, MA-C determined that 33 children did receive an initial evaluation and assessment, although late, and one child had left MA-C’s jurisdiction before an initial evaluation and assessment could be provided. </w:t>
      </w:r>
      <w:r w:rsidRPr="00ED172B">
        <w:rPr>
          <w:color w:val="000000" w:themeColor="text1"/>
        </w:rPr>
        <w:br/>
      </w:r>
      <w:r w:rsidRPr="00ED172B">
        <w:rPr>
          <w:color w:val="000000" w:themeColor="text1"/>
        </w:rPr>
        <w:br/>
        <w:t>MA-C collected and reviewed updated data to verify timely correction of FFY18 noncompliance. MA-C’s specific procedures differed based on the extent of noncompliance and its root cause. For all local programs with compliance rates below 100%, MA-C sampled 10 child records at random using subsequent data from its state database and documented its verification in its records. MA-C notified each local program in writing that compliance had been reached. MA-C has verified that all local programs with less than 100% compliance in FFY18 has demonstrated ongoing compliance.</w:t>
      </w:r>
      <w:r w:rsidRPr="00ED172B">
        <w:rPr>
          <w:color w:val="000000" w:themeColor="text1"/>
        </w:rPr>
        <w:br/>
      </w:r>
      <w:r w:rsidRPr="00ED172B">
        <w:rPr>
          <w:color w:val="000000" w:themeColor="text1"/>
        </w:rPr>
        <w:br/>
        <w:t xml:space="preserve">Per PSC ticket #22-04814AW, MA-C is unable to edit the table "Correction of Findings of Noncompliance Identified Prior to FFY2019" in the Indicator Data. In FFY2018, there were 33 findings of noncompliance. As of April 2022, 32 have been verified as corrected; one could not be corrected as the child left MA-C's jurisdiction prior to correction. </w:t>
      </w:r>
      <w:r w:rsidRPr="00ED172B">
        <w:rPr>
          <w:color w:val="000000" w:themeColor="text1"/>
        </w:rPr>
        <w:br/>
      </w:r>
      <w:r w:rsidRPr="00ED172B">
        <w:rPr>
          <w:color w:val="000000" w:themeColor="text1"/>
        </w:rPr>
        <w:br/>
        <w:t>In FFY19, MA-C originally reported 99.6% of eligible infants and toddlers were evaluated and initial IFSP meeting was conducted within Part C's 45-day timeline. After additional review of the data, MA-C determined this number was reported in error and should have been 99.90%. MA-C identified 21 instances of noncompliance across five programs. As in FFY18, MA-C followed its differentiated procedures when noncompliance is identified (described above). Because of the public health measures necessitated by the COVID-19 pandemic, an on-site visit was not conducted. Instead, a sample of 10 child records were reviewed at random in the state database to ensure the EIS program's ongoing compliance. MA-C later reviewed the records for the 21 children with noncompliant records and determined that 19 children received services although late and two families withdrew consent for services while waiting.</w:t>
      </w:r>
    </w:p>
    <w:p w14:paraId="74D5DEEF" w14:textId="33CC54A6" w:rsidR="008203B4" w:rsidRPr="00A40EE1" w:rsidRDefault="000D0117" w:rsidP="005C3FFD">
      <w:pPr>
        <w:pStyle w:val="Heading2"/>
      </w:pPr>
      <w:r w:rsidRPr="00A40EE1">
        <w:t xml:space="preserve">7 - </w:t>
      </w:r>
      <w:r w:rsidR="008203B4" w:rsidRPr="00A40EE1">
        <w:t>OSEP Response</w:t>
      </w:r>
    </w:p>
    <w:p w14:paraId="4BD66737" w14:textId="31855B94" w:rsidR="008203B4" w:rsidRPr="00ED172B" w:rsidRDefault="008203B4" w:rsidP="00320806">
      <w:pPr>
        <w:rPr>
          <w:color w:val="000000" w:themeColor="text1"/>
        </w:rPr>
      </w:pPr>
    </w:p>
    <w:p w14:paraId="7B429480" w14:textId="6D8920D4" w:rsidR="008203B4" w:rsidRPr="00A40EE1" w:rsidRDefault="000D0117" w:rsidP="005C3FFD">
      <w:pPr>
        <w:pStyle w:val="Heading2"/>
      </w:pPr>
      <w:r w:rsidRPr="00A40EE1">
        <w:t xml:space="preserve">7 - </w:t>
      </w:r>
      <w:r w:rsidR="008203B4" w:rsidRPr="00A40EE1">
        <w:t>Required Actions</w:t>
      </w:r>
    </w:p>
    <w:p w14:paraId="4447E571" w14:textId="48263EDF" w:rsidR="008203B4" w:rsidRPr="00ED172B" w:rsidRDefault="00320806" w:rsidP="00320806">
      <w:pPr>
        <w:rPr>
          <w:color w:val="000000" w:themeColor="text1"/>
        </w:rPr>
      </w:pPr>
      <w:r w:rsidRPr="00ED172B">
        <w:rPr>
          <w:color w:val="000000" w:themeColor="text1"/>
        </w:rPr>
        <w:t xml:space="preserve">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EIS program or provider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2020, although its FFY 2020 data reflect less than 100% compliance, provide an explanation of why the State did not identify any findings of noncompliance in FFY 2020.</w:t>
      </w:r>
    </w:p>
    <w:p w14:paraId="6A23894B"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F86C696" w14:textId="1539EC1B" w:rsidR="00260ED7" w:rsidRPr="00ED172B" w:rsidRDefault="00260ED7" w:rsidP="0077063D">
      <w:pPr>
        <w:pStyle w:val="Heading1"/>
        <w:rPr>
          <w:color w:val="000000" w:themeColor="text1"/>
        </w:rPr>
      </w:pPr>
      <w:r w:rsidRPr="00ED172B">
        <w:rPr>
          <w:color w:val="000000" w:themeColor="text1"/>
        </w:rPr>
        <w:lastRenderedPageBreak/>
        <w:t>Indicator 8A: Early Childhood Transition</w:t>
      </w:r>
      <w:bookmarkEnd w:id="43"/>
    </w:p>
    <w:p w14:paraId="530F89E6" w14:textId="77777777" w:rsidR="00F51610" w:rsidRPr="00ED172B" w:rsidRDefault="00F51610" w:rsidP="00186420">
      <w:pPr>
        <w:rPr>
          <w:color w:val="000000" w:themeColor="text1"/>
          <w:szCs w:val="20"/>
        </w:rPr>
      </w:pPr>
      <w:bookmarkStart w:id="45" w:name="_Toc386209667"/>
      <w:r w:rsidRPr="00ED172B">
        <w:rPr>
          <w:b/>
          <w:color w:val="000000" w:themeColor="text1"/>
          <w:sz w:val="20"/>
          <w:szCs w:val="20"/>
        </w:rPr>
        <w:t>Instructions and Measurement</w:t>
      </w:r>
    </w:p>
    <w:p w14:paraId="607D4062" w14:textId="52EB845E"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6" w:name="_Hlk25310256"/>
      <w:r w:rsidR="00616172" w:rsidRPr="00ED172B">
        <w:rPr>
          <w:color w:val="000000" w:themeColor="text1"/>
          <w:szCs w:val="16"/>
        </w:rPr>
        <w:t>Effective Transition</w:t>
      </w:r>
      <w:bookmarkEnd w:id="46"/>
    </w:p>
    <w:p w14:paraId="401BCBEA"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056AA175" w14:textId="5751E41D" w:rsidR="00260ED7"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66C0C9FC" w14:textId="13F3777D"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0D11C980" w14:textId="1AB6056E" w:rsidR="00260ED7"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7E6BFE20"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35A9BE52" w14:textId="77777777" w:rsidR="00AD77EF" w:rsidRPr="00ED172B" w:rsidRDefault="00AD77EF">
      <w:pPr>
        <w:rPr>
          <w:b/>
          <w:color w:val="000000" w:themeColor="text1"/>
        </w:rPr>
      </w:pPr>
      <w:r w:rsidRPr="00ED172B">
        <w:rPr>
          <w:b/>
          <w:color w:val="000000" w:themeColor="text1"/>
        </w:rPr>
        <w:t>Data Source</w:t>
      </w:r>
    </w:p>
    <w:p w14:paraId="4BF71240" w14:textId="15C60540"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6083FF82" w14:textId="77777777" w:rsidR="00AD77EF" w:rsidRPr="00ED172B" w:rsidRDefault="00AD77EF">
      <w:pPr>
        <w:rPr>
          <w:b/>
          <w:color w:val="000000" w:themeColor="text1"/>
        </w:rPr>
      </w:pPr>
      <w:r w:rsidRPr="00ED172B">
        <w:rPr>
          <w:b/>
          <w:color w:val="000000" w:themeColor="text1"/>
        </w:rPr>
        <w:t>Measurement</w:t>
      </w:r>
    </w:p>
    <w:p w14:paraId="67942FAA" w14:textId="15228B56" w:rsidR="00AD77EF"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1B1465EF" w14:textId="3AA5887A"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227A759" w14:textId="6917CD4A"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2EE0B66" w14:textId="48CD6584"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4138147B" w14:textId="77777777" w:rsidR="00AD77EF" w:rsidRPr="00ED172B" w:rsidRDefault="00AD77EF">
      <w:pPr>
        <w:rPr>
          <w:b/>
          <w:color w:val="000000" w:themeColor="text1"/>
        </w:rPr>
      </w:pPr>
      <w:r w:rsidRPr="00ED172B">
        <w:rPr>
          <w:b/>
          <w:color w:val="000000" w:themeColor="text1"/>
        </w:rPr>
        <w:t>Instructions</w:t>
      </w:r>
    </w:p>
    <w:p w14:paraId="5DBEA140"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753D05EA"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4118D0E7" w14:textId="77777777" w:rsidR="00AD77EF" w:rsidRPr="00ED172B" w:rsidRDefault="00AD77EF" w:rsidP="008E7B96">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0130129" w14:textId="77777777" w:rsidR="00AD77EF" w:rsidRPr="00ED172B" w:rsidRDefault="00AD77EF" w:rsidP="008E7B96">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24207A88" w14:textId="77777777"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0D0977F8" w14:textId="77777777"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3F4C204A" w14:textId="77777777" w:rsidR="00AD77EF" w:rsidRPr="00ED172B" w:rsidRDefault="00AD77EF" w:rsidP="008E7B96">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667F7D63" w14:textId="77777777" w:rsidR="00AD77EF" w:rsidRPr="00ED172B" w:rsidRDefault="00AD77EF" w:rsidP="008E7B96">
      <w:pPr>
        <w:rPr>
          <w:color w:val="000000" w:themeColor="text1"/>
          <w:szCs w:val="16"/>
        </w:rPr>
      </w:pPr>
      <w:r w:rsidRPr="00ED172B">
        <w:rPr>
          <w:color w:val="000000" w:themeColor="text1"/>
          <w:szCs w:val="16"/>
        </w:rPr>
        <w:t>Indicators 8A, 8B, and 8C: Provide detailed information about the timely correction of noncompliance as noted in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0010E89" w14:textId="1C960168" w:rsidR="00A639B7" w:rsidRPr="00ED172B"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217D72C9" w14:textId="61BA321B" w:rsidR="00D30AF1" w:rsidRPr="00A40EE1" w:rsidRDefault="000D0117" w:rsidP="007B0787">
      <w:pPr>
        <w:pStyle w:val="Heading2"/>
      </w:pPr>
      <w:bookmarkStart w:id="47" w:name="_Toc386209669"/>
      <w:bookmarkEnd w:id="45"/>
      <w:r w:rsidRPr="00A40EE1">
        <w:t xml:space="preserve">8A - </w:t>
      </w:r>
      <w:r w:rsidR="00D30AF1" w:rsidRPr="00A40EE1">
        <w:t>Indicator</w:t>
      </w:r>
      <w:r w:rsidR="000C5918" w:rsidRPr="00A40EE1">
        <w:t xml:space="preserve"> Data</w:t>
      </w:r>
    </w:p>
    <w:bookmarkEnd w:id="47"/>
    <w:p w14:paraId="63758498" w14:textId="154B667C"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2990"/>
        <w:gridCol w:w="875"/>
      </w:tblGrid>
      <w:tr w:rsidR="00C25621" w:rsidRPr="00ED172B" w14:paraId="01FC8539" w14:textId="77777777" w:rsidTr="00A40EE1">
        <w:trPr>
          <w:trHeight w:val="350"/>
          <w:tblHeader/>
        </w:trPr>
        <w:tc>
          <w:tcPr>
            <w:tcW w:w="4185" w:type="pct"/>
            <w:tcBorders>
              <w:bottom w:val="single" w:sz="4" w:space="0" w:color="auto"/>
            </w:tcBorders>
            <w:shd w:val="clear" w:color="auto" w:fill="auto"/>
            <w:vAlign w:val="center"/>
          </w:tcPr>
          <w:p w14:paraId="73003560"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shd w:val="clear" w:color="auto" w:fill="auto"/>
            <w:vAlign w:val="center"/>
          </w:tcPr>
          <w:p w14:paraId="6A0CA400"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37222F11" w14:textId="77777777" w:rsidTr="00A40EE1">
        <w:trPr>
          <w:trHeight w:val="350"/>
        </w:trPr>
        <w:tc>
          <w:tcPr>
            <w:tcW w:w="4185" w:type="pct"/>
            <w:tcBorders>
              <w:bottom w:val="single" w:sz="4" w:space="0" w:color="auto"/>
            </w:tcBorders>
            <w:shd w:val="clear" w:color="auto" w:fill="auto"/>
            <w:vAlign w:val="center"/>
          </w:tcPr>
          <w:p w14:paraId="4F8F7A6D" w14:textId="339D9015" w:rsidR="00C25621" w:rsidRPr="00ED172B" w:rsidRDefault="00C25621" w:rsidP="00C15786">
            <w:pPr>
              <w:jc w:val="center"/>
              <w:rPr>
                <w:b/>
                <w:color w:val="000000" w:themeColor="text1"/>
              </w:rPr>
            </w:pPr>
            <w:r w:rsidRPr="00ED172B">
              <w:rPr>
                <w:color w:val="000000" w:themeColor="text1"/>
              </w:rPr>
              <w:t>2005</w:t>
            </w:r>
          </w:p>
        </w:tc>
        <w:tc>
          <w:tcPr>
            <w:tcW w:w="815" w:type="pct"/>
            <w:shd w:val="clear" w:color="auto" w:fill="auto"/>
            <w:vAlign w:val="center"/>
          </w:tcPr>
          <w:p w14:paraId="4E589392" w14:textId="3D95CEBC" w:rsidR="00C25621" w:rsidRPr="00ED172B" w:rsidRDefault="00C25621" w:rsidP="00C15786">
            <w:pPr>
              <w:jc w:val="center"/>
              <w:rPr>
                <w:color w:val="000000" w:themeColor="text1"/>
              </w:rPr>
            </w:pPr>
            <w:r w:rsidRPr="00ED172B">
              <w:rPr>
                <w:color w:val="000000" w:themeColor="text1"/>
              </w:rPr>
              <w:t>98.30%</w:t>
            </w:r>
          </w:p>
        </w:tc>
      </w:tr>
    </w:tbl>
    <w:p w14:paraId="08A765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684"/>
        <w:gridCol w:w="2022"/>
        <w:gridCol w:w="2022"/>
        <w:gridCol w:w="2022"/>
        <w:gridCol w:w="2022"/>
        <w:gridCol w:w="2018"/>
      </w:tblGrid>
      <w:tr w:rsidR="00ED172B" w:rsidRPr="00ED172B" w14:paraId="49BAF88D" w14:textId="77777777" w:rsidTr="00A40EE1">
        <w:trPr>
          <w:trHeight w:val="350"/>
        </w:trPr>
        <w:tc>
          <w:tcPr>
            <w:tcW w:w="317" w:type="pct"/>
            <w:tcBorders>
              <w:bottom w:val="single" w:sz="4" w:space="0" w:color="auto"/>
            </w:tcBorders>
            <w:shd w:val="clear" w:color="auto" w:fill="auto"/>
          </w:tcPr>
          <w:p w14:paraId="04EC0F35"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6F101EEC" w14:textId="64B403ED" w:rsidR="00DC0682" w:rsidRPr="00ED172B" w:rsidRDefault="002163F2" w:rsidP="00CD79C5">
            <w:pPr>
              <w:jc w:val="center"/>
              <w:rPr>
                <w:b/>
                <w:color w:val="000000" w:themeColor="text1"/>
                <w:szCs w:val="16"/>
              </w:rPr>
            </w:pPr>
            <w:r w:rsidRPr="00ED172B">
              <w:rPr>
                <w:rFonts w:cs="Arial"/>
                <w:b/>
                <w:color w:val="000000" w:themeColor="text1"/>
                <w:szCs w:val="16"/>
              </w:rPr>
              <w:t>2015</w:t>
            </w:r>
          </w:p>
        </w:tc>
        <w:tc>
          <w:tcPr>
            <w:tcW w:w="937" w:type="pct"/>
            <w:shd w:val="clear" w:color="auto" w:fill="auto"/>
            <w:vAlign w:val="center"/>
          </w:tcPr>
          <w:p w14:paraId="587F2630" w14:textId="078A73AB" w:rsidR="00DC0682" w:rsidRPr="00ED172B" w:rsidRDefault="002163F2" w:rsidP="00CD79C5">
            <w:pPr>
              <w:jc w:val="center"/>
              <w:rPr>
                <w:b/>
                <w:color w:val="000000" w:themeColor="text1"/>
                <w:szCs w:val="16"/>
              </w:rPr>
            </w:pPr>
            <w:r w:rsidRPr="00ED172B">
              <w:rPr>
                <w:rFonts w:cs="Arial"/>
                <w:b/>
                <w:color w:val="000000" w:themeColor="text1"/>
                <w:szCs w:val="16"/>
              </w:rPr>
              <w:t>2016</w:t>
            </w:r>
          </w:p>
        </w:tc>
        <w:tc>
          <w:tcPr>
            <w:tcW w:w="937" w:type="pct"/>
            <w:shd w:val="clear" w:color="auto" w:fill="auto"/>
            <w:vAlign w:val="center"/>
          </w:tcPr>
          <w:p w14:paraId="20E8F35B" w14:textId="7D5B36AA"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23CC9D76" w14:textId="55B26B34"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7BC18291" w14:textId="0CCCC63B" w:rsidR="00DC0682" w:rsidRPr="00ED172B" w:rsidRDefault="006D43D3" w:rsidP="00CD79C5">
            <w:pPr>
              <w:jc w:val="center"/>
              <w:rPr>
                <w:b/>
                <w:color w:val="000000" w:themeColor="text1"/>
                <w:szCs w:val="16"/>
              </w:rPr>
            </w:pPr>
            <w:r w:rsidRPr="00ED172B">
              <w:rPr>
                <w:rFonts w:cs="Arial"/>
                <w:b/>
                <w:color w:val="000000" w:themeColor="text1"/>
                <w:szCs w:val="16"/>
              </w:rPr>
              <w:t>2019</w:t>
            </w:r>
          </w:p>
        </w:tc>
      </w:tr>
      <w:tr w:rsidR="00ED172B" w:rsidRPr="00ED172B" w14:paraId="72A41C4C" w14:textId="77777777" w:rsidTr="00A40EE1">
        <w:trPr>
          <w:trHeight w:val="357"/>
        </w:trPr>
        <w:tc>
          <w:tcPr>
            <w:tcW w:w="317" w:type="pct"/>
            <w:shd w:val="clear" w:color="auto" w:fill="auto"/>
          </w:tcPr>
          <w:p w14:paraId="24DE0713" w14:textId="77777777" w:rsidR="00DC0682" w:rsidRPr="00ED172B" w:rsidRDefault="00DC0682" w:rsidP="00B83404">
            <w:pPr>
              <w:rPr>
                <w:color w:val="000000" w:themeColor="text1"/>
                <w:szCs w:val="16"/>
              </w:rPr>
            </w:pPr>
            <w:r w:rsidRPr="00ED172B">
              <w:rPr>
                <w:color w:val="000000" w:themeColor="text1"/>
                <w:szCs w:val="16"/>
              </w:rPr>
              <w:t xml:space="preserve">Target </w:t>
            </w:r>
          </w:p>
        </w:tc>
        <w:tc>
          <w:tcPr>
            <w:tcW w:w="937" w:type="pct"/>
            <w:shd w:val="clear" w:color="auto" w:fill="auto"/>
          </w:tcPr>
          <w:p w14:paraId="74C2332C" w14:textId="1915789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93225EE" w14:textId="67BFDA6C"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3E5FA8B" w14:textId="462B497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8C99397" w14:textId="05AE00BF"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82FF3AD" w14:textId="7F5F60CC"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5EF597C1" w14:textId="77777777" w:rsidTr="00A40EE1">
        <w:trPr>
          <w:trHeight w:val="85"/>
        </w:trPr>
        <w:tc>
          <w:tcPr>
            <w:tcW w:w="317" w:type="pct"/>
            <w:shd w:val="clear" w:color="auto" w:fill="auto"/>
          </w:tcPr>
          <w:p w14:paraId="1CDE7165" w14:textId="77777777" w:rsidR="00DC0682" w:rsidRPr="00ED172B" w:rsidRDefault="00DC0682" w:rsidP="00B83404">
            <w:pPr>
              <w:rPr>
                <w:color w:val="000000" w:themeColor="text1"/>
                <w:szCs w:val="16"/>
              </w:rPr>
            </w:pPr>
            <w:r w:rsidRPr="00ED172B">
              <w:rPr>
                <w:color w:val="000000" w:themeColor="text1"/>
                <w:szCs w:val="16"/>
              </w:rPr>
              <w:lastRenderedPageBreak/>
              <w:t>Data</w:t>
            </w:r>
          </w:p>
        </w:tc>
        <w:tc>
          <w:tcPr>
            <w:tcW w:w="937" w:type="pct"/>
            <w:shd w:val="clear" w:color="auto" w:fill="auto"/>
            <w:vAlign w:val="center"/>
          </w:tcPr>
          <w:p w14:paraId="1CB0E4D1" w14:textId="5EF011CA" w:rsidR="00DC0682" w:rsidRPr="00ED172B" w:rsidRDefault="00860830" w:rsidP="00CD79C5">
            <w:pPr>
              <w:jc w:val="center"/>
              <w:rPr>
                <w:color w:val="000000" w:themeColor="text1"/>
                <w:szCs w:val="16"/>
              </w:rPr>
            </w:pPr>
            <w:r w:rsidRPr="00ED172B">
              <w:rPr>
                <w:rFonts w:cs="Arial"/>
                <w:color w:val="000000" w:themeColor="text1"/>
                <w:szCs w:val="16"/>
              </w:rPr>
              <w:t>99.77%</w:t>
            </w:r>
          </w:p>
        </w:tc>
        <w:tc>
          <w:tcPr>
            <w:tcW w:w="937" w:type="pct"/>
            <w:tcBorders>
              <w:bottom w:val="single" w:sz="4" w:space="0" w:color="auto"/>
            </w:tcBorders>
            <w:shd w:val="clear" w:color="auto" w:fill="auto"/>
            <w:vAlign w:val="center"/>
          </w:tcPr>
          <w:p w14:paraId="4946F773" w14:textId="57B7291E" w:rsidR="00DC0682" w:rsidRPr="00ED172B" w:rsidRDefault="00860830" w:rsidP="00CD79C5">
            <w:pPr>
              <w:jc w:val="center"/>
              <w:rPr>
                <w:color w:val="000000" w:themeColor="text1"/>
                <w:szCs w:val="16"/>
              </w:rPr>
            </w:pPr>
            <w:r w:rsidRPr="00ED172B">
              <w:rPr>
                <w:rFonts w:cs="Arial"/>
                <w:color w:val="000000" w:themeColor="text1"/>
                <w:szCs w:val="16"/>
              </w:rPr>
              <w:t>99.91%</w:t>
            </w:r>
          </w:p>
        </w:tc>
        <w:tc>
          <w:tcPr>
            <w:tcW w:w="937" w:type="pct"/>
            <w:tcBorders>
              <w:bottom w:val="single" w:sz="4" w:space="0" w:color="auto"/>
            </w:tcBorders>
            <w:shd w:val="clear" w:color="auto" w:fill="auto"/>
            <w:vAlign w:val="center"/>
          </w:tcPr>
          <w:p w14:paraId="428FC23B" w14:textId="346638A4" w:rsidR="00DC0682" w:rsidRPr="00ED172B" w:rsidRDefault="00860830" w:rsidP="00CD79C5">
            <w:pPr>
              <w:jc w:val="center"/>
              <w:rPr>
                <w:color w:val="000000" w:themeColor="text1"/>
                <w:szCs w:val="16"/>
              </w:rPr>
            </w:pPr>
            <w:r w:rsidRPr="00ED172B">
              <w:rPr>
                <w:rFonts w:cs="Arial"/>
                <w:color w:val="000000" w:themeColor="text1"/>
                <w:szCs w:val="16"/>
              </w:rPr>
              <w:t>99.99%</w:t>
            </w:r>
          </w:p>
        </w:tc>
        <w:tc>
          <w:tcPr>
            <w:tcW w:w="937" w:type="pct"/>
            <w:tcBorders>
              <w:bottom w:val="single" w:sz="4" w:space="0" w:color="auto"/>
            </w:tcBorders>
            <w:shd w:val="clear" w:color="auto" w:fill="auto"/>
            <w:vAlign w:val="center"/>
          </w:tcPr>
          <w:p w14:paraId="201B27E7" w14:textId="685838BB" w:rsidR="00DC0682" w:rsidRPr="00ED172B" w:rsidRDefault="00860830" w:rsidP="00CD79C5">
            <w:pPr>
              <w:jc w:val="center"/>
              <w:rPr>
                <w:color w:val="000000" w:themeColor="text1"/>
                <w:szCs w:val="16"/>
              </w:rPr>
            </w:pPr>
            <w:r w:rsidRPr="00ED172B">
              <w:rPr>
                <w:rFonts w:cs="Arial"/>
                <w:color w:val="000000" w:themeColor="text1"/>
                <w:szCs w:val="16"/>
              </w:rPr>
              <w:t>99.59%</w:t>
            </w:r>
          </w:p>
        </w:tc>
        <w:tc>
          <w:tcPr>
            <w:tcW w:w="937" w:type="pct"/>
            <w:tcBorders>
              <w:bottom w:val="single" w:sz="4" w:space="0" w:color="auto"/>
            </w:tcBorders>
            <w:shd w:val="clear" w:color="auto" w:fill="auto"/>
            <w:vAlign w:val="center"/>
          </w:tcPr>
          <w:p w14:paraId="4CD693EC" w14:textId="6628BA01" w:rsidR="00DC0682" w:rsidRPr="00ED172B" w:rsidRDefault="00860830" w:rsidP="00CD79C5">
            <w:pPr>
              <w:jc w:val="center"/>
              <w:rPr>
                <w:color w:val="000000" w:themeColor="text1"/>
                <w:szCs w:val="16"/>
              </w:rPr>
            </w:pPr>
            <w:r w:rsidRPr="00ED172B">
              <w:rPr>
                <w:rFonts w:cs="Arial"/>
                <w:color w:val="000000" w:themeColor="text1"/>
                <w:szCs w:val="16"/>
              </w:rPr>
              <w:t>98.41%</w:t>
            </w:r>
          </w:p>
        </w:tc>
      </w:tr>
    </w:tbl>
    <w:p w14:paraId="52279886" w14:textId="77777777" w:rsidR="008A4FF2" w:rsidRPr="00ED172B" w:rsidRDefault="008A4FF2">
      <w:pPr>
        <w:rPr>
          <w:b/>
          <w:color w:val="000000" w:themeColor="text1"/>
        </w:rPr>
      </w:pPr>
    </w:p>
    <w:p w14:paraId="7C04A1A4" w14:textId="77777777" w:rsidR="008A4FF2" w:rsidRPr="00ED172B" w:rsidRDefault="008A4FF2">
      <w:pPr>
        <w:rPr>
          <w:b/>
          <w:color w:val="000000" w:themeColor="text1"/>
        </w:rPr>
      </w:pPr>
    </w:p>
    <w:p w14:paraId="76F44573" w14:textId="77777777" w:rsidR="008A4FF2" w:rsidRPr="00ED172B" w:rsidRDefault="008A4FF2">
      <w:pPr>
        <w:rPr>
          <w:b/>
          <w:color w:val="000000" w:themeColor="text1"/>
        </w:rPr>
      </w:pPr>
    </w:p>
    <w:p w14:paraId="0ECBAAD9" w14:textId="58BA1CEB" w:rsidR="00DC0682" w:rsidRPr="00ED172B" w:rsidRDefault="00DC0682">
      <w:pPr>
        <w:rPr>
          <w:b/>
          <w:color w:val="000000" w:themeColor="text1"/>
        </w:rPr>
      </w:pPr>
      <w:r w:rsidRPr="00ED172B">
        <w:rPr>
          <w:b/>
          <w:color w:val="000000" w:themeColor="text1"/>
        </w:rPr>
        <w:t>Targets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679"/>
        <w:gridCol w:w="1615"/>
        <w:gridCol w:w="1662"/>
        <w:gridCol w:w="1662"/>
        <w:gridCol w:w="1662"/>
        <w:gridCol w:w="1662"/>
        <w:gridCol w:w="1660"/>
      </w:tblGrid>
      <w:tr w:rsidR="00B268B5" w:rsidRPr="00ED172B" w14:paraId="05C3EE9D" w14:textId="0A135A6E" w:rsidTr="00B268B5">
        <w:trPr>
          <w:trHeight w:val="259"/>
        </w:trPr>
        <w:tc>
          <w:tcPr>
            <w:tcW w:w="205" w:type="pct"/>
            <w:tcBorders>
              <w:bottom w:val="single" w:sz="4" w:space="0" w:color="auto"/>
            </w:tcBorders>
            <w:shd w:val="clear" w:color="auto" w:fill="auto"/>
          </w:tcPr>
          <w:p w14:paraId="3665F13E" w14:textId="77777777" w:rsidR="00B268B5" w:rsidRPr="00ED172B" w:rsidRDefault="00B268B5" w:rsidP="00B268B5">
            <w:pPr>
              <w:jc w:val="center"/>
              <w:rPr>
                <w:b/>
                <w:color w:val="000000" w:themeColor="text1"/>
                <w:szCs w:val="16"/>
              </w:rPr>
            </w:pPr>
            <w:r w:rsidRPr="00ED172B">
              <w:rPr>
                <w:b/>
                <w:color w:val="000000" w:themeColor="text1"/>
                <w:szCs w:val="16"/>
              </w:rPr>
              <w:t>FFY</w:t>
            </w:r>
          </w:p>
        </w:tc>
        <w:tc>
          <w:tcPr>
            <w:tcW w:w="781" w:type="pct"/>
            <w:shd w:val="clear" w:color="auto" w:fill="auto"/>
            <w:vAlign w:val="center"/>
          </w:tcPr>
          <w:p w14:paraId="7FE4AA04" w14:textId="595FC7A1" w:rsidR="00B268B5" w:rsidRPr="00ED172B" w:rsidRDefault="00B268B5" w:rsidP="00B268B5">
            <w:pPr>
              <w:jc w:val="center"/>
              <w:rPr>
                <w:b/>
                <w:color w:val="000000" w:themeColor="text1"/>
                <w:szCs w:val="16"/>
              </w:rPr>
            </w:pPr>
            <w:r w:rsidRPr="00ED172B">
              <w:rPr>
                <w:rFonts w:cs="Arial"/>
                <w:b/>
                <w:color w:val="000000" w:themeColor="text1"/>
                <w:szCs w:val="16"/>
              </w:rPr>
              <w:t>2020</w:t>
            </w:r>
          </w:p>
        </w:tc>
        <w:tc>
          <w:tcPr>
            <w:tcW w:w="803" w:type="pct"/>
          </w:tcPr>
          <w:p w14:paraId="2380F080" w14:textId="41CA4895" w:rsidR="00B268B5" w:rsidRPr="00ED172B" w:rsidRDefault="00B268B5" w:rsidP="00B268B5">
            <w:pPr>
              <w:jc w:val="center"/>
              <w:rPr>
                <w:rFonts w:cs="Arial"/>
                <w:b/>
                <w:color w:val="000000" w:themeColor="text1"/>
                <w:szCs w:val="16"/>
              </w:rPr>
            </w:pPr>
            <w:r>
              <w:rPr>
                <w:rFonts w:cs="Arial"/>
                <w:b/>
                <w:color w:val="000000" w:themeColor="text1"/>
                <w:szCs w:val="16"/>
              </w:rPr>
              <w:t>2021</w:t>
            </w:r>
          </w:p>
        </w:tc>
        <w:tc>
          <w:tcPr>
            <w:tcW w:w="803" w:type="pct"/>
          </w:tcPr>
          <w:p w14:paraId="24971D5E" w14:textId="084F5872" w:rsidR="00B268B5" w:rsidRPr="00ED172B" w:rsidRDefault="00B268B5" w:rsidP="00B268B5">
            <w:pPr>
              <w:jc w:val="center"/>
              <w:rPr>
                <w:rFonts w:cs="Arial"/>
                <w:b/>
                <w:color w:val="000000" w:themeColor="text1"/>
                <w:szCs w:val="16"/>
              </w:rPr>
            </w:pPr>
            <w:r w:rsidRPr="005A1B4F">
              <w:rPr>
                <w:rFonts w:cs="Arial"/>
                <w:b/>
                <w:color w:val="000000" w:themeColor="text1"/>
                <w:szCs w:val="16"/>
              </w:rPr>
              <w:t>2022</w:t>
            </w:r>
          </w:p>
        </w:tc>
        <w:tc>
          <w:tcPr>
            <w:tcW w:w="803" w:type="pct"/>
          </w:tcPr>
          <w:p w14:paraId="544E61D5" w14:textId="6700B87F" w:rsidR="00B268B5" w:rsidRPr="00ED172B" w:rsidRDefault="00B268B5" w:rsidP="00B268B5">
            <w:pPr>
              <w:jc w:val="center"/>
              <w:rPr>
                <w:rFonts w:cs="Arial"/>
                <w:b/>
                <w:color w:val="000000" w:themeColor="text1"/>
                <w:szCs w:val="16"/>
              </w:rPr>
            </w:pPr>
            <w:r w:rsidRPr="005A1B4F">
              <w:rPr>
                <w:rFonts w:cs="Arial"/>
                <w:b/>
                <w:color w:val="000000" w:themeColor="text1"/>
                <w:szCs w:val="16"/>
              </w:rPr>
              <w:t>2023</w:t>
            </w:r>
          </w:p>
        </w:tc>
        <w:tc>
          <w:tcPr>
            <w:tcW w:w="803" w:type="pct"/>
          </w:tcPr>
          <w:p w14:paraId="5E0C1B8B" w14:textId="21B2CAFD" w:rsidR="00B268B5" w:rsidRPr="00ED172B" w:rsidRDefault="00B268B5" w:rsidP="00B268B5">
            <w:pPr>
              <w:jc w:val="center"/>
              <w:rPr>
                <w:rFonts w:cs="Arial"/>
                <w:b/>
                <w:color w:val="000000" w:themeColor="text1"/>
                <w:szCs w:val="16"/>
              </w:rPr>
            </w:pPr>
            <w:r w:rsidRPr="005A1B4F">
              <w:rPr>
                <w:rFonts w:cs="Arial"/>
                <w:b/>
                <w:color w:val="000000" w:themeColor="text1"/>
                <w:szCs w:val="16"/>
              </w:rPr>
              <w:t>2024</w:t>
            </w:r>
          </w:p>
        </w:tc>
        <w:tc>
          <w:tcPr>
            <w:tcW w:w="803" w:type="pct"/>
          </w:tcPr>
          <w:p w14:paraId="1189844E" w14:textId="63220022" w:rsidR="00B268B5" w:rsidRPr="00ED172B" w:rsidRDefault="00B268B5" w:rsidP="00B268B5">
            <w:pPr>
              <w:jc w:val="center"/>
              <w:rPr>
                <w:rFonts w:cs="Arial"/>
                <w:b/>
                <w:color w:val="000000" w:themeColor="text1"/>
                <w:szCs w:val="16"/>
              </w:rPr>
            </w:pPr>
            <w:r w:rsidRPr="005A1B4F">
              <w:rPr>
                <w:rFonts w:cs="Arial"/>
                <w:b/>
                <w:color w:val="000000" w:themeColor="text1"/>
                <w:szCs w:val="16"/>
              </w:rPr>
              <w:t>2025</w:t>
            </w:r>
          </w:p>
        </w:tc>
      </w:tr>
      <w:tr w:rsidR="00B268B5" w:rsidRPr="00ED172B" w14:paraId="4D4A7670" w14:textId="63A571E3" w:rsidTr="00B268B5">
        <w:trPr>
          <w:trHeight w:val="264"/>
        </w:trPr>
        <w:tc>
          <w:tcPr>
            <w:tcW w:w="205" w:type="pct"/>
            <w:shd w:val="clear" w:color="auto" w:fill="auto"/>
          </w:tcPr>
          <w:p w14:paraId="48A5A68C" w14:textId="77777777" w:rsidR="00B268B5" w:rsidRPr="00ED172B" w:rsidRDefault="00B268B5" w:rsidP="00B268B5">
            <w:pPr>
              <w:rPr>
                <w:color w:val="000000" w:themeColor="text1"/>
                <w:szCs w:val="16"/>
              </w:rPr>
            </w:pPr>
            <w:r w:rsidRPr="00ED172B">
              <w:rPr>
                <w:color w:val="000000" w:themeColor="text1"/>
                <w:szCs w:val="16"/>
              </w:rPr>
              <w:t>Target</w:t>
            </w:r>
          </w:p>
        </w:tc>
        <w:tc>
          <w:tcPr>
            <w:tcW w:w="781" w:type="pct"/>
            <w:shd w:val="clear" w:color="auto" w:fill="auto"/>
          </w:tcPr>
          <w:p w14:paraId="15F32B75" w14:textId="1AD070A4" w:rsidR="00B268B5" w:rsidRPr="00ED172B" w:rsidRDefault="00B268B5" w:rsidP="00B268B5">
            <w:pPr>
              <w:jc w:val="center"/>
              <w:rPr>
                <w:color w:val="000000" w:themeColor="text1"/>
                <w:szCs w:val="16"/>
              </w:rPr>
            </w:pPr>
            <w:r w:rsidRPr="00ED172B">
              <w:rPr>
                <w:color w:val="000000" w:themeColor="text1"/>
                <w:szCs w:val="16"/>
              </w:rPr>
              <w:t>100%</w:t>
            </w:r>
          </w:p>
        </w:tc>
        <w:tc>
          <w:tcPr>
            <w:tcW w:w="803" w:type="pct"/>
          </w:tcPr>
          <w:p w14:paraId="5D0EEB3A" w14:textId="61EE92E1" w:rsidR="00B268B5" w:rsidRPr="00ED172B" w:rsidRDefault="00B268B5" w:rsidP="00B268B5">
            <w:pPr>
              <w:jc w:val="center"/>
              <w:rPr>
                <w:color w:val="000000" w:themeColor="text1"/>
                <w:szCs w:val="16"/>
              </w:rPr>
            </w:pPr>
            <w:r>
              <w:rPr>
                <w:rFonts w:cs="Arial"/>
                <w:color w:val="000000" w:themeColor="text1"/>
                <w:szCs w:val="16"/>
              </w:rPr>
              <w:t>100%</w:t>
            </w:r>
          </w:p>
        </w:tc>
        <w:tc>
          <w:tcPr>
            <w:tcW w:w="803" w:type="pct"/>
          </w:tcPr>
          <w:p w14:paraId="20630124" w14:textId="5FC6C8E6" w:rsidR="00B268B5" w:rsidRPr="00ED172B" w:rsidRDefault="00B268B5" w:rsidP="00B268B5">
            <w:pPr>
              <w:jc w:val="center"/>
              <w:rPr>
                <w:color w:val="000000" w:themeColor="text1"/>
                <w:szCs w:val="16"/>
              </w:rPr>
            </w:pPr>
            <w:r w:rsidRPr="005F5F3C">
              <w:rPr>
                <w:rFonts w:cs="Arial"/>
                <w:color w:val="000000" w:themeColor="text1"/>
                <w:szCs w:val="16"/>
              </w:rPr>
              <w:t>100%</w:t>
            </w:r>
          </w:p>
        </w:tc>
        <w:tc>
          <w:tcPr>
            <w:tcW w:w="803" w:type="pct"/>
          </w:tcPr>
          <w:p w14:paraId="112F793B" w14:textId="19608CCF" w:rsidR="00B268B5" w:rsidRPr="00B268B5" w:rsidRDefault="00B268B5" w:rsidP="00B268B5">
            <w:pPr>
              <w:jc w:val="center"/>
              <w:rPr>
                <w:rFonts w:cs="Arial"/>
                <w:color w:val="000000" w:themeColor="text1"/>
                <w:szCs w:val="16"/>
              </w:rPr>
            </w:pPr>
            <w:r w:rsidRPr="005F5F3C">
              <w:rPr>
                <w:rFonts w:cs="Arial"/>
                <w:color w:val="000000" w:themeColor="text1"/>
                <w:szCs w:val="16"/>
              </w:rPr>
              <w:t>100%</w:t>
            </w:r>
          </w:p>
        </w:tc>
        <w:tc>
          <w:tcPr>
            <w:tcW w:w="803" w:type="pct"/>
          </w:tcPr>
          <w:p w14:paraId="654A73EB" w14:textId="3032CBB5" w:rsidR="00B268B5" w:rsidRPr="00ED172B" w:rsidRDefault="00B268B5" w:rsidP="00B268B5">
            <w:pPr>
              <w:jc w:val="center"/>
              <w:rPr>
                <w:color w:val="000000" w:themeColor="text1"/>
                <w:szCs w:val="16"/>
              </w:rPr>
            </w:pPr>
            <w:r w:rsidRPr="005F5F3C">
              <w:rPr>
                <w:rFonts w:cs="Arial"/>
                <w:color w:val="000000" w:themeColor="text1"/>
                <w:szCs w:val="16"/>
              </w:rPr>
              <w:t>100%</w:t>
            </w:r>
          </w:p>
        </w:tc>
        <w:tc>
          <w:tcPr>
            <w:tcW w:w="803" w:type="pct"/>
          </w:tcPr>
          <w:p w14:paraId="744DF401" w14:textId="495CDECB" w:rsidR="00B268B5" w:rsidRPr="00ED172B" w:rsidRDefault="00B268B5" w:rsidP="00B268B5">
            <w:pPr>
              <w:jc w:val="center"/>
              <w:rPr>
                <w:color w:val="000000" w:themeColor="text1"/>
                <w:szCs w:val="16"/>
              </w:rPr>
            </w:pPr>
            <w:r w:rsidRPr="005F5F3C">
              <w:rPr>
                <w:rFonts w:cs="Arial"/>
                <w:color w:val="000000" w:themeColor="text1"/>
                <w:szCs w:val="16"/>
              </w:rPr>
              <w:t>100%</w:t>
            </w:r>
          </w:p>
        </w:tc>
      </w:tr>
    </w:tbl>
    <w:p w14:paraId="31F20CDA" w14:textId="41C0C4C1" w:rsidR="008E7B96" w:rsidRPr="00ED172B" w:rsidRDefault="00F22D09">
      <w:pPr>
        <w:rPr>
          <w:b/>
          <w:color w:val="000000" w:themeColor="text1"/>
        </w:rPr>
      </w:pPr>
      <w:r>
        <w:rPr>
          <w:b/>
          <w:color w:val="000000" w:themeColor="text1"/>
        </w:rPr>
        <w:t>FFY 2020 SPP/APR Data</w:t>
      </w:r>
    </w:p>
    <w:p w14:paraId="063239BF" w14:textId="1264AE65" w:rsidR="00E440C8" w:rsidRPr="00ED172B" w:rsidRDefault="00E440C8">
      <w:pPr>
        <w:rPr>
          <w:rFonts w:cs="Arial"/>
          <w:b/>
          <w:color w:val="000000" w:themeColor="text1"/>
          <w:szCs w:val="16"/>
        </w:rPr>
      </w:pPr>
      <w:r w:rsidRPr="00ED172B">
        <w:rPr>
          <w:rFonts w:cs="Arial"/>
          <w:b/>
          <w:color w:val="000000" w:themeColor="text1"/>
          <w:szCs w:val="16"/>
        </w:rPr>
        <w:t>Data include only those toddlers with disabilities exiting Part C with timely transition planning for whom the Lead Agency has developed an IFSP with transition steps and services at least 90 days, and at the discretion of all parties, not more than nine months, prior to the toddler’s third birthday. (yes/no)</w:t>
      </w:r>
    </w:p>
    <w:p w14:paraId="3B8310E3" w14:textId="5559EF71" w:rsidR="001F1489" w:rsidRDefault="001F1489">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39A170D1" w14:textId="77777777" w:rsidTr="00986B99">
        <w:trPr>
          <w:trHeight w:val="359"/>
          <w:tblHeader/>
        </w:trPr>
        <w:tc>
          <w:tcPr>
            <w:tcW w:w="1292" w:type="pct"/>
            <w:shd w:val="clear" w:color="auto" w:fill="auto"/>
            <w:vAlign w:val="bottom"/>
          </w:tcPr>
          <w:p w14:paraId="50FB1EE6" w14:textId="0D658CA5"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shd w:val="clear" w:color="auto" w:fill="auto"/>
            <w:vAlign w:val="bottom"/>
          </w:tcPr>
          <w:p w14:paraId="5DF08BDF" w14:textId="4B728C11"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shd w:val="clear" w:color="auto" w:fill="auto"/>
            <w:vAlign w:val="bottom"/>
          </w:tcPr>
          <w:p w14:paraId="7032C738" w14:textId="1B48EF04" w:rsidR="00F939F8" w:rsidRPr="00ED172B" w:rsidRDefault="00CD74B5" w:rsidP="00F939F8">
            <w:pPr>
              <w:jc w:val="center"/>
              <w:rPr>
                <w:rFonts w:cs="Arial"/>
                <w:b/>
                <w:color w:val="000000" w:themeColor="text1"/>
                <w:szCs w:val="16"/>
              </w:rPr>
            </w:pPr>
            <w:r>
              <w:rPr>
                <w:rFonts w:cs="Arial"/>
                <w:b/>
                <w:color w:val="000000" w:themeColor="text1"/>
                <w:szCs w:val="16"/>
              </w:rPr>
              <w:t>FFY 2019 Data</w:t>
            </w:r>
          </w:p>
        </w:tc>
        <w:tc>
          <w:tcPr>
            <w:tcW w:w="542" w:type="pct"/>
            <w:shd w:val="clear" w:color="auto" w:fill="auto"/>
            <w:vAlign w:val="bottom"/>
          </w:tcPr>
          <w:p w14:paraId="6711AE0C" w14:textId="58062A31" w:rsidR="00F939F8" w:rsidRPr="00ED172B" w:rsidRDefault="00F22D09" w:rsidP="00F939F8">
            <w:pPr>
              <w:jc w:val="center"/>
              <w:rPr>
                <w:rFonts w:cs="Arial"/>
                <w:b/>
                <w:color w:val="000000" w:themeColor="text1"/>
                <w:szCs w:val="16"/>
              </w:rPr>
            </w:pPr>
            <w:r>
              <w:rPr>
                <w:rFonts w:cs="Arial"/>
                <w:b/>
                <w:color w:val="000000" w:themeColor="text1"/>
                <w:szCs w:val="16"/>
              </w:rPr>
              <w:t>FFY 2020 Target</w:t>
            </w:r>
          </w:p>
        </w:tc>
        <w:tc>
          <w:tcPr>
            <w:tcW w:w="584" w:type="pct"/>
            <w:shd w:val="clear" w:color="auto" w:fill="auto"/>
            <w:vAlign w:val="bottom"/>
          </w:tcPr>
          <w:p w14:paraId="2C4EE232" w14:textId="7F8D8D69" w:rsidR="00F939F8" w:rsidRPr="00ED172B" w:rsidRDefault="00F22D09" w:rsidP="00F939F8">
            <w:pPr>
              <w:jc w:val="center"/>
              <w:rPr>
                <w:rFonts w:cs="Arial"/>
                <w:b/>
                <w:color w:val="000000" w:themeColor="text1"/>
                <w:szCs w:val="16"/>
              </w:rPr>
            </w:pPr>
            <w:r>
              <w:rPr>
                <w:rFonts w:cs="Arial"/>
                <w:b/>
                <w:color w:val="000000" w:themeColor="text1"/>
                <w:szCs w:val="16"/>
              </w:rPr>
              <w:t>FFY 2020 Data</w:t>
            </w:r>
          </w:p>
        </w:tc>
        <w:tc>
          <w:tcPr>
            <w:tcW w:w="542" w:type="pct"/>
            <w:shd w:val="clear" w:color="auto" w:fill="auto"/>
            <w:vAlign w:val="bottom"/>
          </w:tcPr>
          <w:p w14:paraId="694857DA" w14:textId="09E6CAFD"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shd w:val="clear" w:color="auto" w:fill="auto"/>
            <w:vAlign w:val="bottom"/>
          </w:tcPr>
          <w:p w14:paraId="175F2F2C" w14:textId="62340754"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3F99CC5B" w14:textId="77777777" w:rsidTr="00986B99">
        <w:trPr>
          <w:trHeight w:val="366"/>
        </w:trPr>
        <w:tc>
          <w:tcPr>
            <w:tcW w:w="1292" w:type="pct"/>
            <w:shd w:val="clear" w:color="auto" w:fill="auto"/>
            <w:vAlign w:val="center"/>
          </w:tcPr>
          <w:p w14:paraId="0171E6DC" w14:textId="3334C64E" w:rsidR="00F939F8" w:rsidRPr="00ED172B" w:rsidRDefault="00860830" w:rsidP="00F939F8">
            <w:pPr>
              <w:jc w:val="center"/>
              <w:rPr>
                <w:rFonts w:cs="Arial"/>
                <w:color w:val="000000" w:themeColor="text1"/>
                <w:szCs w:val="16"/>
              </w:rPr>
            </w:pPr>
            <w:r w:rsidRPr="00ED172B">
              <w:rPr>
                <w:rFonts w:cs="Arial"/>
                <w:color w:val="000000" w:themeColor="text1"/>
                <w:szCs w:val="16"/>
              </w:rPr>
              <w:t>10,352</w:t>
            </w:r>
          </w:p>
        </w:tc>
        <w:tc>
          <w:tcPr>
            <w:tcW w:w="875" w:type="pct"/>
            <w:shd w:val="clear" w:color="auto" w:fill="auto"/>
            <w:vAlign w:val="center"/>
          </w:tcPr>
          <w:p w14:paraId="09B22CBD" w14:textId="0AA8660C" w:rsidR="00F939F8" w:rsidRPr="00ED172B" w:rsidRDefault="00860830" w:rsidP="00F939F8">
            <w:pPr>
              <w:jc w:val="center"/>
              <w:rPr>
                <w:rFonts w:cs="Arial"/>
                <w:color w:val="000000" w:themeColor="text1"/>
                <w:szCs w:val="16"/>
              </w:rPr>
            </w:pPr>
            <w:r w:rsidRPr="00ED172B">
              <w:rPr>
                <w:rFonts w:cs="Arial"/>
                <w:color w:val="000000" w:themeColor="text1"/>
                <w:szCs w:val="16"/>
              </w:rPr>
              <w:t>15,914</w:t>
            </w:r>
          </w:p>
        </w:tc>
        <w:tc>
          <w:tcPr>
            <w:tcW w:w="625" w:type="pct"/>
            <w:shd w:val="clear" w:color="auto" w:fill="auto"/>
          </w:tcPr>
          <w:p w14:paraId="136B0596" w14:textId="6BC8CAC5" w:rsidR="00F939F8" w:rsidRPr="00ED172B" w:rsidRDefault="00860830" w:rsidP="00F939F8">
            <w:pPr>
              <w:jc w:val="center"/>
              <w:rPr>
                <w:rFonts w:cs="Arial"/>
                <w:color w:val="000000" w:themeColor="text1"/>
                <w:szCs w:val="16"/>
              </w:rPr>
            </w:pPr>
            <w:r w:rsidRPr="00ED172B">
              <w:rPr>
                <w:rFonts w:cs="Arial"/>
                <w:color w:val="000000" w:themeColor="text1"/>
                <w:szCs w:val="16"/>
              </w:rPr>
              <w:t>98.41%</w:t>
            </w:r>
          </w:p>
        </w:tc>
        <w:tc>
          <w:tcPr>
            <w:tcW w:w="542" w:type="pct"/>
            <w:shd w:val="clear" w:color="auto" w:fill="auto"/>
          </w:tcPr>
          <w:p w14:paraId="0BC20FF1" w14:textId="0CC56D33"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shd w:val="clear" w:color="auto" w:fill="auto"/>
          </w:tcPr>
          <w:p w14:paraId="2EEA547A" w14:textId="51A61E43" w:rsidR="00F939F8" w:rsidRPr="00ED172B" w:rsidRDefault="00860830" w:rsidP="00F939F8">
            <w:pPr>
              <w:jc w:val="center"/>
              <w:rPr>
                <w:rFonts w:cs="Arial"/>
                <w:color w:val="000000" w:themeColor="text1"/>
                <w:szCs w:val="16"/>
              </w:rPr>
            </w:pPr>
            <w:r w:rsidRPr="00ED172B">
              <w:rPr>
                <w:rFonts w:cs="Arial"/>
                <w:color w:val="000000" w:themeColor="text1"/>
                <w:szCs w:val="16"/>
              </w:rPr>
              <w:t>99.18%</w:t>
            </w:r>
          </w:p>
        </w:tc>
        <w:tc>
          <w:tcPr>
            <w:tcW w:w="542" w:type="pct"/>
            <w:shd w:val="clear" w:color="auto" w:fill="auto"/>
          </w:tcPr>
          <w:p w14:paraId="6EB785D3" w14:textId="6A67BD93" w:rsidR="00F939F8" w:rsidRPr="00ED172B" w:rsidRDefault="00320806" w:rsidP="00320806">
            <w:pPr>
              <w:jc w:val="center"/>
              <w:rPr>
                <w:color w:val="000000" w:themeColor="text1"/>
              </w:rPr>
            </w:pPr>
            <w:r w:rsidRPr="00ED172B">
              <w:rPr>
                <w:color w:val="000000" w:themeColor="text1"/>
              </w:rPr>
              <w:t>Did not meet target</w:t>
            </w:r>
          </w:p>
        </w:tc>
        <w:tc>
          <w:tcPr>
            <w:tcW w:w="539" w:type="pct"/>
            <w:shd w:val="clear" w:color="auto" w:fill="auto"/>
          </w:tcPr>
          <w:p w14:paraId="1195EC60" w14:textId="15F614DC" w:rsidR="00F939F8" w:rsidRPr="00ED172B" w:rsidRDefault="00320806" w:rsidP="00320806">
            <w:pPr>
              <w:jc w:val="center"/>
              <w:rPr>
                <w:color w:val="000000" w:themeColor="text1"/>
              </w:rPr>
            </w:pPr>
            <w:r w:rsidRPr="00ED172B">
              <w:rPr>
                <w:color w:val="000000" w:themeColor="text1"/>
              </w:rPr>
              <w:t>No Slippage</w:t>
            </w:r>
          </w:p>
        </w:tc>
      </w:tr>
    </w:tbl>
    <w:p w14:paraId="070F5A41" w14:textId="75215117" w:rsidR="008901AF" w:rsidRPr="00ED172B"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r w:rsidRPr="00ED172B">
        <w:rPr>
          <w:rFonts w:cs="Arial"/>
          <w:color w:val="000000" w:themeColor="text1"/>
          <w:szCs w:val="16"/>
        </w:rPr>
        <w:br/>
      </w:r>
      <w:r w:rsidRPr="00ED172B">
        <w:rPr>
          <w:rFonts w:cs="Arial"/>
          <w:b/>
          <w:color w:val="000000" w:themeColor="text1"/>
          <w:szCs w:val="16"/>
        </w:rPr>
        <w:t>This number will be added to the “Number of children exiting Part C who have an IFSP with transition steps and services” field to calculate the numerator for this indicator.</w:t>
      </w:r>
    </w:p>
    <w:p w14:paraId="18B7DCE3" w14:textId="6016FEEB" w:rsidR="008901AF" w:rsidRDefault="008901AF" w:rsidP="005A1CA1">
      <w:pPr>
        <w:rPr>
          <w:rFonts w:cs="Arial"/>
          <w:color w:val="000000" w:themeColor="text1"/>
          <w:szCs w:val="16"/>
        </w:rPr>
      </w:pPr>
      <w:r w:rsidRPr="00ED172B">
        <w:rPr>
          <w:rFonts w:cs="Arial"/>
          <w:color w:val="000000" w:themeColor="text1"/>
          <w:szCs w:val="16"/>
        </w:rPr>
        <w:t>5,432</w:t>
      </w:r>
    </w:p>
    <w:p w14:paraId="0D061463"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3D48C4E6" w14:textId="2641554E" w:rsidR="00C3454D" w:rsidRPr="00ED172B" w:rsidRDefault="00C3454D" w:rsidP="00C3454D">
      <w:pPr>
        <w:rPr>
          <w:rFonts w:cs="Arial"/>
          <w:color w:val="000000" w:themeColor="text1"/>
          <w:szCs w:val="16"/>
        </w:rPr>
      </w:pPr>
      <w:r w:rsidRPr="00ED172B">
        <w:rPr>
          <w:color w:val="000000" w:themeColor="text1"/>
          <w:szCs w:val="16"/>
        </w:rPr>
        <w:t>These data demonstrate that the Lead Agency (MA-C) is not yet fully compliant with the timely transition planning for toddlers exiting the Part C system. The primary reasons for delay are due to exceptional family circumstances, such as a family being unable to participate in the planning process or late referrals to early intervention (i.e., those occurring after the child is 33 months of age). Common noncompliant reasons include EIS programs being unable to contact the family and inclement weather.</w:t>
      </w:r>
    </w:p>
    <w:p w14:paraId="08A0732F"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40A77EEA" w14:textId="55FB6054" w:rsidR="000709B9" w:rsidRDefault="00860830" w:rsidP="00B83404">
      <w:pPr>
        <w:rPr>
          <w:color w:val="000000" w:themeColor="text1"/>
        </w:rPr>
      </w:pPr>
      <w:r w:rsidRPr="00ED172B">
        <w:rPr>
          <w:color w:val="000000" w:themeColor="text1"/>
        </w:rPr>
        <w:t>State database</w:t>
      </w:r>
    </w:p>
    <w:p w14:paraId="5D003928" w14:textId="19976D09"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C9D911D" w14:textId="0FF876C8" w:rsidR="000709B9" w:rsidRPr="00ED172B" w:rsidRDefault="00860830" w:rsidP="000709B9">
      <w:pPr>
        <w:rPr>
          <w:color w:val="000000" w:themeColor="text1"/>
        </w:rPr>
      </w:pPr>
      <w:r w:rsidRPr="00ED172B">
        <w:rPr>
          <w:color w:val="000000" w:themeColor="text1"/>
        </w:rPr>
        <w:t>MA-C uses the full reporting period to collect these data: July 1, 2020-June 30, 2021.</w:t>
      </w:r>
    </w:p>
    <w:p w14:paraId="73D500B7" w14:textId="4C4F39BA"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4D895DFF" w14:textId="74CFB1B8" w:rsidR="000709B9" w:rsidRDefault="00860830" w:rsidP="000709B9">
      <w:pPr>
        <w:rPr>
          <w:rFonts w:cs="Arial"/>
          <w:color w:val="000000" w:themeColor="text1"/>
          <w:szCs w:val="16"/>
        </w:rPr>
      </w:pPr>
      <w:r w:rsidRPr="00ED172B">
        <w:rPr>
          <w:rFonts w:cs="Arial"/>
          <w:color w:val="000000" w:themeColor="text1"/>
          <w:szCs w:val="16"/>
        </w:rPr>
        <w:t xml:space="preserve">These data accurately reflect MA-C because they include all children aged 27 months or older for the reporting period. </w:t>
      </w:r>
    </w:p>
    <w:p w14:paraId="7E255243" w14:textId="77777777" w:rsidR="008901AF" w:rsidRPr="00ED172B" w:rsidRDefault="008901AF" w:rsidP="00950382">
      <w:pPr>
        <w:rPr>
          <w:color w:val="000000" w:themeColor="text1"/>
        </w:rPr>
      </w:pPr>
    </w:p>
    <w:p w14:paraId="679E0C72" w14:textId="31A766F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35506A80" w14:textId="578ABD6A" w:rsidR="003A3693" w:rsidRPr="00ED172B" w:rsidRDefault="00860830" w:rsidP="003A3693">
      <w:pPr>
        <w:rPr>
          <w:rFonts w:cs="Arial"/>
          <w:color w:val="000000" w:themeColor="text1"/>
          <w:szCs w:val="16"/>
        </w:rPr>
      </w:pPr>
      <w:r w:rsidRPr="00ED172B">
        <w:rPr>
          <w:rFonts w:cs="Arial"/>
          <w:color w:val="000000" w:themeColor="text1"/>
          <w:szCs w:val="16"/>
        </w:rPr>
        <w:t xml:space="preserve">MA-C could not confirm that an IFSP with transition steps and services was developed for occurred for 38 children. These 38 records were migrated in November 2019 to the current state database when an error occurred. Based on the current database's structure and related information in the children's records, MA-C suspects transition conferences did occur for these 37 children. However, as it cannot be confirmed, MA-C has opted to err on the conservative side and report these as instances of noncompliance. </w:t>
      </w:r>
    </w:p>
    <w:p w14:paraId="367CB071" w14:textId="7476FFC2" w:rsidR="008203B4" w:rsidRPr="00ED172B" w:rsidRDefault="008203B4" w:rsidP="00B83404">
      <w:pPr>
        <w:rPr>
          <w:color w:val="000000" w:themeColor="text1"/>
        </w:rPr>
      </w:pPr>
      <w:r w:rsidRPr="00ED172B">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C08APFFYNCFINDINGS"/>
      </w:tblPr>
      <w:tblGrid>
        <w:gridCol w:w="2610"/>
        <w:gridCol w:w="2741"/>
        <w:gridCol w:w="2618"/>
        <w:gridCol w:w="2821"/>
      </w:tblGrid>
      <w:tr w:rsidR="00ED172B" w:rsidRPr="00ED172B" w14:paraId="2D4FE5FD" w14:textId="77777777" w:rsidTr="00986B99">
        <w:trPr>
          <w:trHeight w:val="389"/>
          <w:tblHeader/>
        </w:trPr>
        <w:tc>
          <w:tcPr>
            <w:tcW w:w="1210" w:type="pct"/>
            <w:shd w:val="clear" w:color="auto" w:fill="auto"/>
            <w:vAlign w:val="bottom"/>
          </w:tcPr>
          <w:p w14:paraId="6889A2C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0336DAA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6A6F062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404B8C3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E93E1CC" w14:textId="77777777" w:rsidTr="00986B99">
        <w:tc>
          <w:tcPr>
            <w:tcW w:w="1210" w:type="pct"/>
            <w:shd w:val="clear" w:color="auto" w:fill="auto"/>
          </w:tcPr>
          <w:p w14:paraId="6D36EEFA" w14:textId="77759E1D" w:rsidR="008203B4" w:rsidRPr="00ED172B" w:rsidRDefault="00860830" w:rsidP="00ED172B">
            <w:pPr>
              <w:jc w:val="center"/>
              <w:rPr>
                <w:rFonts w:cs="Arial"/>
                <w:color w:val="000000" w:themeColor="text1"/>
                <w:szCs w:val="16"/>
              </w:rPr>
            </w:pPr>
            <w:r w:rsidRPr="00ED172B">
              <w:rPr>
                <w:rFonts w:cs="Arial"/>
                <w:color w:val="000000" w:themeColor="text1"/>
                <w:szCs w:val="16"/>
              </w:rPr>
              <w:t>18</w:t>
            </w:r>
          </w:p>
        </w:tc>
        <w:tc>
          <w:tcPr>
            <w:tcW w:w="1270" w:type="pct"/>
            <w:shd w:val="clear" w:color="auto" w:fill="auto"/>
          </w:tcPr>
          <w:p w14:paraId="6F7AE561" w14:textId="0506DBB0" w:rsidR="008203B4" w:rsidRPr="00ED172B" w:rsidRDefault="00860830" w:rsidP="00ED172B">
            <w:pPr>
              <w:jc w:val="center"/>
              <w:rPr>
                <w:rFonts w:cs="Arial"/>
                <w:color w:val="000000" w:themeColor="text1"/>
                <w:szCs w:val="16"/>
              </w:rPr>
            </w:pPr>
            <w:r w:rsidRPr="00ED172B">
              <w:rPr>
                <w:rFonts w:cs="Arial"/>
                <w:color w:val="000000" w:themeColor="text1"/>
                <w:szCs w:val="16"/>
              </w:rPr>
              <w:t>18</w:t>
            </w:r>
          </w:p>
        </w:tc>
        <w:tc>
          <w:tcPr>
            <w:tcW w:w="1213" w:type="pct"/>
            <w:shd w:val="clear" w:color="auto" w:fill="auto"/>
          </w:tcPr>
          <w:p w14:paraId="58BE9E1E" w14:textId="2A20A5FA" w:rsidR="008203B4" w:rsidRPr="00ED172B" w:rsidRDefault="008203B4" w:rsidP="00ED172B">
            <w:pPr>
              <w:jc w:val="center"/>
              <w:rPr>
                <w:rFonts w:cs="Arial"/>
                <w:color w:val="000000" w:themeColor="text1"/>
                <w:szCs w:val="16"/>
              </w:rPr>
            </w:pPr>
          </w:p>
        </w:tc>
        <w:tc>
          <w:tcPr>
            <w:tcW w:w="1308" w:type="pct"/>
            <w:shd w:val="clear" w:color="auto" w:fill="auto"/>
          </w:tcPr>
          <w:p w14:paraId="23C4C3AF" w14:textId="3B5B521A" w:rsidR="008203B4" w:rsidRPr="00ED172B" w:rsidRDefault="00860830" w:rsidP="00CD79C5">
            <w:pPr>
              <w:rPr>
                <w:rFonts w:cs="Arial"/>
                <w:color w:val="000000" w:themeColor="text1"/>
                <w:szCs w:val="16"/>
              </w:rPr>
            </w:pPr>
            <w:r w:rsidRPr="00ED172B">
              <w:rPr>
                <w:rFonts w:cs="Arial"/>
                <w:color w:val="000000" w:themeColor="text1"/>
                <w:szCs w:val="16"/>
              </w:rPr>
              <w:t>0</w:t>
            </w:r>
          </w:p>
        </w:tc>
      </w:tr>
    </w:tbl>
    <w:p w14:paraId="297C4AAD" w14:textId="143EB72E" w:rsidR="008203B4" w:rsidRPr="00ED172B" w:rsidRDefault="00CD74B5" w:rsidP="00B83404">
      <w:pPr>
        <w:rPr>
          <w:color w:val="000000" w:themeColor="text1"/>
        </w:rPr>
      </w:pPr>
      <w:r>
        <w:rPr>
          <w:b/>
          <w:color w:val="000000" w:themeColor="text1"/>
        </w:rPr>
        <w:t>FFY 2019 Findings of Noncompliance Verified as Corrected</w:t>
      </w:r>
    </w:p>
    <w:p w14:paraId="2049985B" w14:textId="762336E6" w:rsidR="008203B4" w:rsidRPr="00ED172B" w:rsidRDefault="008203B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426695CD" w14:textId="04C27211" w:rsidR="008203B4" w:rsidRPr="00ED172B" w:rsidRDefault="00860830">
      <w:pPr>
        <w:rPr>
          <w:color w:val="000000" w:themeColor="text1"/>
        </w:rPr>
      </w:pPr>
      <w:r w:rsidRPr="00ED172B">
        <w:rPr>
          <w:color w:val="000000" w:themeColor="text1"/>
        </w:rPr>
        <w:t>The Lead Agency (MA-C) identified FFY19 noncompliance through annual monitoring of its state database, implementing a process to distinguish inaccurate implementation of the regulatory requirement from inaccurate or delayed data entry.</w:t>
      </w:r>
      <w:r w:rsidRPr="00ED172B">
        <w:rPr>
          <w:color w:val="000000" w:themeColor="text1"/>
        </w:rPr>
        <w:br/>
      </w:r>
      <w:r w:rsidRPr="00ED172B">
        <w:rPr>
          <w:color w:val="000000" w:themeColor="text1"/>
        </w:rPr>
        <w:br/>
        <w:t xml:space="preserve">In FFY19, MA-C determined that of the 156 children with noncompliant records, 137 had an IFSP with transition steps and services developed at least 90 days prior to the toddler’s third birthday; the apparent delay resulted from a data-entry error. Of the remaining 18 children, 14 had an IFSP with transition steps and services developed, although late, and 4 were outside of the MA-C jurisdiction (i.e., the toddler had exited Part C services) before the noncompliance could be corrected by developing an IFSP with transition steps and services. </w:t>
      </w:r>
      <w:r w:rsidRPr="00ED172B">
        <w:rPr>
          <w:color w:val="000000" w:themeColor="text1"/>
        </w:rPr>
        <w:br/>
      </w:r>
      <w:r w:rsidRPr="00ED172B">
        <w:rPr>
          <w:color w:val="000000" w:themeColor="text1"/>
        </w:rPr>
        <w:br/>
        <w:t>MA-C notified the local programs of the discovery of noncompliance. MA-C's General Supervision procedures allowed local programs with minimal noncompliance to correct noncompliance prior to the issuance of a written finding. Subsequent to the discovery of noncompliance, MA-C then verified correction of each instance of child-specific noncompliance. MA-C then reviewed updated program data and confirmed 100% compliance with each statutory or regulatory requirement with which noncompliance was identified.</w:t>
      </w:r>
      <w:r w:rsidRPr="00ED172B">
        <w:rPr>
          <w:color w:val="000000" w:themeColor="text1"/>
        </w:rPr>
        <w:br/>
      </w:r>
      <w:r w:rsidRPr="00ED172B">
        <w:rPr>
          <w:color w:val="000000" w:themeColor="text1"/>
        </w:rPr>
        <w:br/>
        <w:t xml:space="preserve">To verify the accuracy of data, MA-C notified local programs of each instance of noncompliance or missing data (i.e., each toddler whose record did not demonstrate timely provision of services) in FFY19. Local programs were required to review their paper records for each instance of noncompliance within 30 days. Local programs reported back to MA-C either (1) to confirm the instance of noncompliance or (2) to identify it as an error in data entry </w:t>
      </w:r>
      <w:r w:rsidRPr="00ED172B">
        <w:rPr>
          <w:color w:val="000000" w:themeColor="text1"/>
        </w:rPr>
        <w:lastRenderedPageBreak/>
        <w:t>and provide corrected information. After EIS programs had the opportunity to review and verify the accuracy of the data or add missing data, MA-C updated the state database to reflect corrected data and reanalyzed the local program’s compliance for Indicator 7 in FFY19 through annual monitoring of its state database.</w:t>
      </w:r>
    </w:p>
    <w:p w14:paraId="748DC2E5" w14:textId="77403AF8" w:rsidR="008203B4" w:rsidRPr="00ED172B" w:rsidRDefault="008203B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D7ABAD5" w14:textId="72D98F40" w:rsidR="008203B4" w:rsidRDefault="00860830">
      <w:pPr>
        <w:rPr>
          <w:color w:val="000000" w:themeColor="text1"/>
        </w:rPr>
      </w:pPr>
      <w:r w:rsidRPr="00ED172B">
        <w:rPr>
          <w:color w:val="000000" w:themeColor="text1"/>
        </w:rPr>
        <w:t xml:space="preserve">MA-C required the correction of every instance of FFY19 noncompliance. As stated above, MA-C determined that 14 children did receive an IFSP with transition steps and services, although late, and 4 had left MA-C’s jurisdiction before an IFSP with transition steps and services could be developed. </w:t>
      </w:r>
      <w:r w:rsidRPr="00ED172B">
        <w:rPr>
          <w:color w:val="000000" w:themeColor="text1"/>
        </w:rPr>
        <w:br/>
      </w:r>
      <w:r w:rsidRPr="00ED172B">
        <w:rPr>
          <w:color w:val="000000" w:themeColor="text1"/>
        </w:rPr>
        <w:br/>
        <w:t>MA-C collected and reviewed updated data from its state database to verify timely correction of FFY19 noncompliance. MA-C’s specific procedures differed based on the extent of noncompliance and its root cause. For all local programs with compliance rates below 100%, MA-C sampled 10 child records at random using subsequent data from its state database and documented its verification in its records. MA-C notified each local program in writing that compliance had been reached. MA-C has verified that all local programs with less than 100% compliance in FFY19 has demonstrated ongoing compliance.</w:t>
      </w:r>
    </w:p>
    <w:p w14:paraId="300F7028" w14:textId="1787CE2E" w:rsidR="008203B4" w:rsidRPr="00ED172B" w:rsidRDefault="008203B4" w:rsidP="00B83404">
      <w:pPr>
        <w:rPr>
          <w:color w:val="000000" w:themeColor="text1"/>
        </w:rPr>
      </w:pPr>
      <w:r w:rsidRPr="00ED172B">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03D27353" w14:textId="77777777" w:rsidTr="00986B99">
        <w:trPr>
          <w:tblHeader/>
        </w:trPr>
        <w:tc>
          <w:tcPr>
            <w:tcW w:w="929" w:type="pct"/>
            <w:shd w:val="clear" w:color="auto" w:fill="auto"/>
            <w:vAlign w:val="bottom"/>
          </w:tcPr>
          <w:p w14:paraId="5B4E82E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shd w:val="clear" w:color="auto" w:fill="auto"/>
            <w:vAlign w:val="bottom"/>
          </w:tcPr>
          <w:p w14:paraId="6E009F9F" w14:textId="4FFD65F2"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2019 APR</w:t>
            </w:r>
          </w:p>
        </w:tc>
        <w:tc>
          <w:tcPr>
            <w:tcW w:w="1383" w:type="pct"/>
            <w:shd w:val="clear" w:color="auto" w:fill="auto"/>
            <w:vAlign w:val="bottom"/>
          </w:tcPr>
          <w:p w14:paraId="28F8907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shd w:val="clear" w:color="auto" w:fill="auto"/>
            <w:vAlign w:val="bottom"/>
          </w:tcPr>
          <w:p w14:paraId="62CA3EA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7517045B" w14:textId="77777777" w:rsidTr="00986B99">
        <w:tc>
          <w:tcPr>
            <w:tcW w:w="929" w:type="pct"/>
            <w:shd w:val="clear" w:color="auto" w:fill="auto"/>
          </w:tcPr>
          <w:p w14:paraId="3B9EE4C9" w14:textId="36893AED" w:rsidR="008203B4" w:rsidRPr="00ED172B" w:rsidRDefault="008203B4" w:rsidP="00CD79C5">
            <w:pPr>
              <w:rPr>
                <w:rFonts w:cs="Arial"/>
                <w:color w:val="000000" w:themeColor="text1"/>
                <w:szCs w:val="16"/>
              </w:rPr>
            </w:pPr>
          </w:p>
        </w:tc>
        <w:tc>
          <w:tcPr>
            <w:tcW w:w="1388" w:type="pct"/>
            <w:shd w:val="clear" w:color="auto" w:fill="auto"/>
          </w:tcPr>
          <w:p w14:paraId="59BBBE3F" w14:textId="119CB64D" w:rsidR="008203B4" w:rsidRPr="00ED172B" w:rsidRDefault="008203B4" w:rsidP="00CD79C5">
            <w:pPr>
              <w:jc w:val="center"/>
              <w:rPr>
                <w:rFonts w:cs="Arial"/>
                <w:noProof/>
                <w:color w:val="000000" w:themeColor="text1"/>
                <w:szCs w:val="16"/>
              </w:rPr>
            </w:pPr>
          </w:p>
        </w:tc>
        <w:tc>
          <w:tcPr>
            <w:tcW w:w="1383" w:type="pct"/>
            <w:shd w:val="clear" w:color="auto" w:fill="auto"/>
          </w:tcPr>
          <w:p w14:paraId="127E5ED1" w14:textId="5E826401" w:rsidR="008203B4" w:rsidRPr="00ED172B" w:rsidRDefault="008203B4" w:rsidP="00CD79C5">
            <w:pPr>
              <w:jc w:val="center"/>
              <w:rPr>
                <w:rFonts w:cs="Arial"/>
                <w:noProof/>
                <w:color w:val="000000" w:themeColor="text1"/>
                <w:szCs w:val="16"/>
              </w:rPr>
            </w:pPr>
          </w:p>
        </w:tc>
        <w:tc>
          <w:tcPr>
            <w:tcW w:w="1300" w:type="pct"/>
            <w:shd w:val="clear" w:color="auto" w:fill="auto"/>
          </w:tcPr>
          <w:p w14:paraId="150828EF" w14:textId="74F3132B" w:rsidR="008203B4" w:rsidRPr="00ED172B" w:rsidRDefault="008203B4" w:rsidP="00CD79C5">
            <w:pPr>
              <w:jc w:val="center"/>
              <w:rPr>
                <w:rFonts w:cs="Arial"/>
                <w:noProof/>
                <w:color w:val="000000" w:themeColor="text1"/>
                <w:szCs w:val="16"/>
              </w:rPr>
            </w:pPr>
          </w:p>
        </w:tc>
      </w:tr>
      <w:tr w:rsidR="00ED172B" w:rsidRPr="00ED172B" w14:paraId="1FB93036" w14:textId="77777777" w:rsidTr="00986B99">
        <w:tc>
          <w:tcPr>
            <w:tcW w:w="929" w:type="pct"/>
            <w:shd w:val="clear" w:color="auto" w:fill="auto"/>
          </w:tcPr>
          <w:p w14:paraId="0F0F055B" w14:textId="44C477C9" w:rsidR="008203B4" w:rsidRPr="00ED172B" w:rsidRDefault="008203B4" w:rsidP="00CD79C5">
            <w:pPr>
              <w:rPr>
                <w:rFonts w:cs="Arial"/>
                <w:color w:val="000000" w:themeColor="text1"/>
                <w:szCs w:val="16"/>
              </w:rPr>
            </w:pPr>
          </w:p>
        </w:tc>
        <w:tc>
          <w:tcPr>
            <w:tcW w:w="1388" w:type="pct"/>
            <w:shd w:val="clear" w:color="auto" w:fill="auto"/>
          </w:tcPr>
          <w:p w14:paraId="4E4D35EC" w14:textId="3014D54F" w:rsidR="008203B4" w:rsidRPr="00ED172B" w:rsidRDefault="008203B4" w:rsidP="00CD79C5">
            <w:pPr>
              <w:jc w:val="center"/>
              <w:rPr>
                <w:rFonts w:cs="Arial"/>
                <w:noProof/>
                <w:color w:val="000000" w:themeColor="text1"/>
                <w:szCs w:val="16"/>
              </w:rPr>
            </w:pPr>
          </w:p>
        </w:tc>
        <w:tc>
          <w:tcPr>
            <w:tcW w:w="1383" w:type="pct"/>
            <w:shd w:val="clear" w:color="auto" w:fill="auto"/>
          </w:tcPr>
          <w:p w14:paraId="031A6B9D" w14:textId="25F039AF" w:rsidR="008203B4" w:rsidRPr="00ED172B" w:rsidRDefault="008203B4" w:rsidP="00CD79C5">
            <w:pPr>
              <w:jc w:val="center"/>
              <w:rPr>
                <w:rFonts w:cs="Arial"/>
                <w:noProof/>
                <w:color w:val="000000" w:themeColor="text1"/>
                <w:szCs w:val="16"/>
              </w:rPr>
            </w:pPr>
          </w:p>
        </w:tc>
        <w:tc>
          <w:tcPr>
            <w:tcW w:w="1300" w:type="pct"/>
            <w:shd w:val="clear" w:color="auto" w:fill="auto"/>
          </w:tcPr>
          <w:p w14:paraId="279F2773" w14:textId="6B96ACEF" w:rsidR="008203B4" w:rsidRPr="00ED172B" w:rsidRDefault="008203B4" w:rsidP="00CD79C5">
            <w:pPr>
              <w:jc w:val="center"/>
              <w:rPr>
                <w:rFonts w:cs="Arial"/>
                <w:noProof/>
                <w:color w:val="000000" w:themeColor="text1"/>
                <w:szCs w:val="16"/>
              </w:rPr>
            </w:pPr>
          </w:p>
        </w:tc>
      </w:tr>
      <w:tr w:rsidR="00ED172B" w:rsidRPr="00ED172B" w14:paraId="541BD90C" w14:textId="77777777" w:rsidTr="00986B99">
        <w:tc>
          <w:tcPr>
            <w:tcW w:w="929" w:type="pct"/>
            <w:shd w:val="clear" w:color="auto" w:fill="auto"/>
          </w:tcPr>
          <w:p w14:paraId="1E7B5266" w14:textId="4224D93A" w:rsidR="008203B4" w:rsidRPr="00ED172B" w:rsidRDefault="008203B4" w:rsidP="00CD79C5">
            <w:pPr>
              <w:rPr>
                <w:rFonts w:cs="Arial"/>
                <w:color w:val="000000" w:themeColor="text1"/>
                <w:szCs w:val="16"/>
              </w:rPr>
            </w:pPr>
          </w:p>
        </w:tc>
        <w:tc>
          <w:tcPr>
            <w:tcW w:w="1388" w:type="pct"/>
            <w:shd w:val="clear" w:color="auto" w:fill="auto"/>
          </w:tcPr>
          <w:p w14:paraId="7C14D12B" w14:textId="3003CF69" w:rsidR="008203B4" w:rsidRPr="00ED172B" w:rsidRDefault="008203B4" w:rsidP="00CD79C5">
            <w:pPr>
              <w:jc w:val="center"/>
              <w:rPr>
                <w:rFonts w:cs="Arial"/>
                <w:noProof/>
                <w:color w:val="000000" w:themeColor="text1"/>
                <w:szCs w:val="16"/>
              </w:rPr>
            </w:pPr>
          </w:p>
        </w:tc>
        <w:tc>
          <w:tcPr>
            <w:tcW w:w="1383" w:type="pct"/>
            <w:shd w:val="clear" w:color="auto" w:fill="auto"/>
          </w:tcPr>
          <w:p w14:paraId="45A94EB7" w14:textId="2538AC18" w:rsidR="008203B4" w:rsidRPr="00ED172B" w:rsidRDefault="008203B4" w:rsidP="00CD79C5">
            <w:pPr>
              <w:jc w:val="center"/>
              <w:rPr>
                <w:rFonts w:cs="Arial"/>
                <w:noProof/>
                <w:color w:val="000000" w:themeColor="text1"/>
                <w:szCs w:val="16"/>
              </w:rPr>
            </w:pPr>
          </w:p>
        </w:tc>
        <w:tc>
          <w:tcPr>
            <w:tcW w:w="1300" w:type="pct"/>
            <w:shd w:val="clear" w:color="auto" w:fill="auto"/>
          </w:tcPr>
          <w:p w14:paraId="0B3D9222" w14:textId="41BA0134" w:rsidR="008203B4" w:rsidRPr="00ED172B" w:rsidRDefault="008203B4" w:rsidP="00CD79C5">
            <w:pPr>
              <w:jc w:val="center"/>
              <w:rPr>
                <w:rFonts w:cs="Arial"/>
                <w:noProof/>
                <w:color w:val="000000" w:themeColor="text1"/>
                <w:szCs w:val="16"/>
              </w:rPr>
            </w:pPr>
          </w:p>
        </w:tc>
      </w:tr>
    </w:tbl>
    <w:p w14:paraId="1E1E7D1C" w14:textId="1CFEC88E" w:rsidR="008203B4" w:rsidRPr="00A40EE1" w:rsidRDefault="000D0117" w:rsidP="007B0787">
      <w:pPr>
        <w:pStyle w:val="Heading2"/>
      </w:pPr>
      <w:r w:rsidRPr="00A40EE1">
        <w:t xml:space="preserve">8A - </w:t>
      </w:r>
      <w:r w:rsidR="008203B4" w:rsidRPr="00A40EE1">
        <w:t>Prior FFY Required Actions</w:t>
      </w:r>
    </w:p>
    <w:p w14:paraId="7CDC5E88" w14:textId="330316F2" w:rsidR="004C1CEE" w:rsidRPr="00ED172B" w:rsidRDefault="00320806" w:rsidP="008203B4">
      <w:pPr>
        <w:rPr>
          <w:rFonts w:cs="Arial"/>
          <w:color w:val="000000" w:themeColor="text1"/>
          <w:szCs w:val="16"/>
        </w:rPr>
      </w:pPr>
      <w:r w:rsidRPr="00ED172B">
        <w:rPr>
          <w:color w:val="000000" w:themeColor="text1"/>
        </w:rPr>
        <w:t>If the State did not identify any findings of noncompliance in FFY 2018, although its FFY 2018 data reflect less than 100% compliance, provide an explanation of why the State did not identify any findings of noncompliance in FFY 2018. In addition, if the State did not identify any findings of noncompliance in FFY 2018, the Findings of Noncompliance identified in FFY 2018 data field should reflect that zero findings were identified.</w:t>
      </w:r>
      <w:r w:rsidRPr="00ED172B">
        <w:rPr>
          <w:color w:val="000000" w:themeColor="text1"/>
        </w:rPr>
        <w:br/>
      </w:r>
      <w:r w:rsidRPr="00ED172B">
        <w:rPr>
          <w:color w:val="000000" w:themeColor="text1"/>
        </w:rPr>
        <w:br/>
        <w:t xml:space="preserve">Because the State reported less than 100% compliance for FFY 2019, the State must report on the status of correction of noncompliance identified in FFY 2019 for this indicator.  When reporting on the correction of noncompliance, the State must report, in the FFY 2020 SPP/APR, that it has verified that each EIS program or provider with findings of noncompliance identified in FFY 2019 and each EIS program or provider with remaining noncompliance identified in FFY 2018: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2020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2019, although its FFY 2019 data reflect less than 100% compliance, provide an explanation of why the State did not identify any findings of noncompliance in FFY 2019.</w:t>
      </w:r>
    </w:p>
    <w:p w14:paraId="61E6D547" w14:textId="473CC756" w:rsidR="008203B4" w:rsidRPr="00ED172B" w:rsidRDefault="008203B4" w:rsidP="00B83404">
      <w:pPr>
        <w:rPr>
          <w:color w:val="000000" w:themeColor="text1"/>
        </w:rPr>
      </w:pPr>
      <w:r w:rsidRPr="00ED172B">
        <w:rPr>
          <w:b/>
          <w:color w:val="000000" w:themeColor="text1"/>
        </w:rPr>
        <w:t>Response to actions required in FFY 2019 SPP/APR</w:t>
      </w:r>
      <w:r w:rsidR="00950382" w:rsidRPr="00ED172B">
        <w:rPr>
          <w:color w:val="000000" w:themeColor="text1"/>
        </w:rPr>
        <w:t xml:space="preserve"> </w:t>
      </w:r>
    </w:p>
    <w:p w14:paraId="4E3E58E2" w14:textId="3B865535" w:rsidR="004C1CEE" w:rsidRPr="00ED172B" w:rsidRDefault="00320806" w:rsidP="00027F39">
      <w:pPr>
        <w:rPr>
          <w:color w:val="000000" w:themeColor="text1"/>
        </w:rPr>
      </w:pPr>
      <w:r w:rsidRPr="00ED172B">
        <w:rPr>
          <w:color w:val="000000" w:themeColor="text1"/>
        </w:rPr>
        <w:t>The Lead Agency (MA-C) identified FFY18 noncompliance through annual monitoring of its state database, implementing a process to distinguish inaccurate implementation of the regulatory requirement from inaccurate or delayed data entry.</w:t>
      </w:r>
      <w:r w:rsidRPr="00ED172B">
        <w:rPr>
          <w:color w:val="000000" w:themeColor="text1"/>
        </w:rPr>
        <w:br/>
      </w:r>
      <w:r w:rsidRPr="00ED172B">
        <w:rPr>
          <w:color w:val="000000" w:themeColor="text1"/>
        </w:rPr>
        <w:br/>
        <w:t xml:space="preserve">In FFY18, MA-C determined that of the 71 children with noncompliant records, 32 had an IFSP with transition steps and services developed at least 90 days prior to the toddler’s third birthday; the apparent delay resulted from a data-entry error. Of the remaining children, 15 received had an IFSP with transition steps and services developed, although late, and 24 were outside of the MA-C jurisdiction (i.e., the toddler had exited Part C services) before the noncompliance could be corrected by developing an IFSP with transition steps and services. </w:t>
      </w:r>
      <w:r w:rsidRPr="00ED172B">
        <w:rPr>
          <w:color w:val="000000" w:themeColor="text1"/>
        </w:rPr>
        <w:br/>
      </w:r>
      <w:r w:rsidRPr="00ED172B">
        <w:rPr>
          <w:color w:val="000000" w:themeColor="text1"/>
        </w:rPr>
        <w:br/>
        <w:t>MA-C notified the local programs of the discovery of noncompliance. MA-C's General Supervision procedures allowed local programs with minimal noncompliance to correct noncompliance prior to the issuance of a written finding. Subsequent to the discovery of noncompliance, MA-C then verified correction of each instance of child-specific noncompliance. MA-C then reviewed updated program data and confirmed 100% compliance with each statutory or regulatory requirement with which noncompliance was identified.</w:t>
      </w:r>
      <w:r w:rsidRPr="00ED172B">
        <w:rPr>
          <w:color w:val="000000" w:themeColor="text1"/>
        </w:rPr>
        <w:br/>
      </w:r>
      <w:r w:rsidRPr="00ED172B">
        <w:rPr>
          <w:color w:val="000000" w:themeColor="text1"/>
        </w:rPr>
        <w:br/>
        <w:t xml:space="preserve">To verify the accuracy of data, MA-C notified local programs of each instance of noncompliance or missing data (i.e., each toddler whose record did not demonstrate timely provision of services) in FFY18. Local programs were required to review their paper records for each instance of noncompliance within 30 days. Local programs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8A in FFY18 through annual monitoring of its state database. </w:t>
      </w:r>
      <w:r w:rsidRPr="00ED172B">
        <w:rPr>
          <w:color w:val="000000" w:themeColor="text1"/>
        </w:rPr>
        <w:br/>
      </w:r>
      <w:r w:rsidRPr="00ED172B">
        <w:rPr>
          <w:color w:val="000000" w:themeColor="text1"/>
        </w:rPr>
        <w:br/>
        <w:t xml:space="preserve">MA-C required the correction of every instance of FFY18 noncompliance. As stated above, MA-C determined that 15 children did receive an IFSP with transition steps and services, although late, and 24 had left MA-C’s jurisdiction before an IFSP with transition steps and services could be developed. </w:t>
      </w:r>
      <w:r w:rsidRPr="00ED172B">
        <w:rPr>
          <w:color w:val="000000" w:themeColor="text1"/>
        </w:rPr>
        <w:br/>
      </w:r>
      <w:r w:rsidRPr="00ED172B">
        <w:rPr>
          <w:color w:val="000000" w:themeColor="text1"/>
        </w:rPr>
        <w:br/>
        <w:t>MA-C collected and reviewed updated data to verify timely correction of FFY18 noncompliance. MA-C’s specific procedures differed based on the extent of noncompliance and its root cause. For all local programs with compliance rates below 100%, MA-C sampled 10 child records at random using subsequent data from its state database and documented its verification in its records. MA-C notified each local program in writing that compliance had been reached. MA-C has verified that all local programs with less than 100% compliance in FFY18 has demonstrated ongoing compliance.</w:t>
      </w:r>
      <w:r w:rsidRPr="00ED172B">
        <w:rPr>
          <w:color w:val="000000" w:themeColor="text1"/>
        </w:rPr>
        <w:br/>
      </w:r>
      <w:r w:rsidRPr="00ED172B">
        <w:rPr>
          <w:color w:val="000000" w:themeColor="text1"/>
        </w:rPr>
        <w:br/>
        <w:t xml:space="preserve">Per PSC ticket #22-04814AW, MA-C is unable to edit the field "Noncompliance identified prior to FFY2019." In FFY18, there were 39 findings of noncompliance. As of April 2022, all have been verified as corrected (15 children received services, although late; 24 left MA-C's jurisdiction prior to correction). </w:t>
      </w:r>
      <w:r w:rsidRPr="00ED172B">
        <w:rPr>
          <w:color w:val="000000" w:themeColor="text1"/>
        </w:rPr>
        <w:br/>
      </w:r>
      <w:r w:rsidRPr="00ED172B">
        <w:rPr>
          <w:color w:val="000000" w:themeColor="text1"/>
        </w:rPr>
        <w:br/>
        <w:t xml:space="preserve">In FFY19, MA-C originally reported 98.41% compliance and identified 156 children whose records did not reflect an IFSP with transition steps and services in a timely manner. MA-C subsequently reviewed data included its’ the state database and discovered an error in its earlier analysis: these data </w:t>
      </w:r>
      <w:r w:rsidRPr="00ED172B">
        <w:rPr>
          <w:color w:val="000000" w:themeColor="text1"/>
        </w:rPr>
        <w:lastRenderedPageBreak/>
        <w:t>had not previously been assessed for data-entry errors. That is, it was determined that 137 children did have an IFSP with transition steps and services in a timely manner, and the EIS provider entering data into the state database made an error. Once these errors were resolved, MA-C identified only 18 children whose records did not reflect an IFSP with transition steps and services in a timely manner. MA-C should have reported 99.82% compliant for FFY19. MA-C followed its differentiated procedures (described above) and verified each instance of noncompliance as either corrected (i.e., an IFSP with transition steps and services was developed, although late) or the child was no longer in the jurisdiction (i.e., the child exited Part C services prior to transition steps being developed).</w:t>
      </w:r>
    </w:p>
    <w:p w14:paraId="28C74454" w14:textId="78BCAE4D" w:rsidR="008203B4" w:rsidRPr="00A40EE1" w:rsidRDefault="000D0117" w:rsidP="007B0787">
      <w:pPr>
        <w:pStyle w:val="Heading2"/>
      </w:pPr>
      <w:r w:rsidRPr="00A40EE1">
        <w:t xml:space="preserve">8A - </w:t>
      </w:r>
      <w:r w:rsidR="008203B4" w:rsidRPr="00A40EE1">
        <w:t>OSEP Response</w:t>
      </w:r>
    </w:p>
    <w:p w14:paraId="7F9516DD" w14:textId="5C7EAF59" w:rsidR="008203B4" w:rsidRPr="00ED172B" w:rsidRDefault="008203B4" w:rsidP="00320806">
      <w:pPr>
        <w:rPr>
          <w:color w:val="000000" w:themeColor="text1"/>
        </w:rPr>
      </w:pPr>
    </w:p>
    <w:p w14:paraId="159B2003" w14:textId="176E124F" w:rsidR="008203B4" w:rsidRPr="00A40EE1" w:rsidRDefault="000D0117" w:rsidP="007B0787">
      <w:pPr>
        <w:pStyle w:val="Heading2"/>
      </w:pPr>
      <w:r w:rsidRPr="00A40EE1">
        <w:t xml:space="preserve">8A - </w:t>
      </w:r>
      <w:r w:rsidR="008203B4" w:rsidRPr="00A40EE1">
        <w:t>Required Actions</w:t>
      </w:r>
    </w:p>
    <w:p w14:paraId="7B27D326" w14:textId="40409C6F" w:rsidR="008203B4" w:rsidRPr="00ED172B" w:rsidRDefault="00320806" w:rsidP="00320806">
      <w:pPr>
        <w:rPr>
          <w:color w:val="000000" w:themeColor="text1"/>
        </w:rPr>
      </w:pPr>
      <w:r w:rsidRPr="00ED172B">
        <w:rPr>
          <w:color w:val="000000" w:themeColor="text1"/>
        </w:rPr>
        <w:t xml:space="preserve">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EIS program or provider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2020, although its FFY 2020 data reflect less than 100% compliance, provide an explanation of why the State did not identify any findings of noncompliance in FFY 2020.</w:t>
      </w:r>
    </w:p>
    <w:p w14:paraId="3F0CFF81"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2D7C46F" w14:textId="41DC649F" w:rsidR="00D77E41" w:rsidRPr="00ED172B" w:rsidRDefault="00D77E41" w:rsidP="00D77E41">
      <w:pPr>
        <w:pStyle w:val="Heading1"/>
        <w:rPr>
          <w:color w:val="000000" w:themeColor="text1"/>
        </w:rPr>
      </w:pPr>
      <w:r w:rsidRPr="00ED172B">
        <w:rPr>
          <w:color w:val="000000" w:themeColor="text1"/>
        </w:rPr>
        <w:lastRenderedPageBreak/>
        <w:t>Indicator 8B: Early Childhood Transition</w:t>
      </w:r>
    </w:p>
    <w:p w14:paraId="0A97D3D5"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7DA64F5E" w14:textId="28F4CBCC"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03FC3C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59479D03" w14:textId="3E438AD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2B5F5A93" w14:textId="1E641E45"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0422951E" w14:textId="120760CD"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3DBF5FF6"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71D145D1" w14:textId="77777777" w:rsidR="00D77E41" w:rsidRPr="00ED172B" w:rsidRDefault="00D77E41">
      <w:pPr>
        <w:rPr>
          <w:b/>
          <w:color w:val="000000" w:themeColor="text1"/>
        </w:rPr>
      </w:pPr>
      <w:r w:rsidRPr="00ED172B">
        <w:rPr>
          <w:b/>
          <w:color w:val="000000" w:themeColor="text1"/>
        </w:rPr>
        <w:t>Data Source</w:t>
      </w:r>
    </w:p>
    <w:p w14:paraId="047060E2"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66417E9D" w14:textId="77777777" w:rsidR="00D77E41" w:rsidRPr="00ED172B" w:rsidRDefault="00D77E41">
      <w:pPr>
        <w:rPr>
          <w:b/>
          <w:color w:val="000000" w:themeColor="text1"/>
        </w:rPr>
      </w:pPr>
      <w:r w:rsidRPr="00ED172B">
        <w:rPr>
          <w:b/>
          <w:color w:val="000000" w:themeColor="text1"/>
        </w:rPr>
        <w:t>Measurement</w:t>
      </w:r>
    </w:p>
    <w:p w14:paraId="79A335EE" w14:textId="7675FDF4"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0558F70E" w14:textId="66B1F570"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410A96D9" w14:textId="0637E1FF"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E49D69A"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01BAAEA3" w14:textId="77777777" w:rsidR="00D77E41" w:rsidRPr="00ED172B" w:rsidRDefault="00D77E41">
      <w:pPr>
        <w:rPr>
          <w:b/>
          <w:color w:val="000000" w:themeColor="text1"/>
        </w:rPr>
      </w:pPr>
      <w:r w:rsidRPr="00ED172B">
        <w:rPr>
          <w:b/>
          <w:color w:val="000000" w:themeColor="text1"/>
        </w:rPr>
        <w:t>Instructions</w:t>
      </w:r>
    </w:p>
    <w:p w14:paraId="71CA4AC6"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78A38A89"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35069D3C"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59CADD30" w14:textId="77777777" w:rsidR="00D77E41" w:rsidRPr="00ED172B"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69464D6"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15ED3CE3"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49458D75"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0C5095CD"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noncompliance as noted in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A8F9A37" w14:textId="0AFB6C3D" w:rsidR="00D77E41" w:rsidRPr="00ED172B"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421BE10F" w14:textId="18A4FC4D" w:rsidR="00D77E41" w:rsidRPr="00A40EE1" w:rsidRDefault="000D0117" w:rsidP="007B0787">
      <w:pPr>
        <w:pStyle w:val="Heading2"/>
      </w:pPr>
      <w:r w:rsidRPr="00A40EE1">
        <w:t xml:space="preserve">8B - </w:t>
      </w:r>
      <w:r w:rsidR="00D77E41" w:rsidRPr="00A40EE1">
        <w:t>Indicator Data</w:t>
      </w:r>
    </w:p>
    <w:p w14:paraId="54D3A572" w14:textId="24F2B48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2899"/>
        <w:gridCol w:w="875"/>
      </w:tblGrid>
      <w:tr w:rsidR="00C25621" w:rsidRPr="00ED172B" w14:paraId="20E9FA47" w14:textId="77777777" w:rsidTr="00A40EE1">
        <w:trPr>
          <w:trHeight w:val="350"/>
          <w:tblHeader/>
        </w:trPr>
        <w:tc>
          <w:tcPr>
            <w:tcW w:w="4285" w:type="pct"/>
            <w:tcBorders>
              <w:bottom w:val="single" w:sz="4" w:space="0" w:color="auto"/>
            </w:tcBorders>
            <w:shd w:val="clear" w:color="auto" w:fill="auto"/>
            <w:vAlign w:val="center"/>
          </w:tcPr>
          <w:p w14:paraId="5164113B"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06F5DB47"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2E1B4916" w14:textId="77777777" w:rsidTr="00A40EE1">
        <w:trPr>
          <w:trHeight w:val="350"/>
        </w:trPr>
        <w:tc>
          <w:tcPr>
            <w:tcW w:w="4285" w:type="pct"/>
            <w:tcBorders>
              <w:bottom w:val="single" w:sz="4" w:space="0" w:color="auto"/>
            </w:tcBorders>
            <w:shd w:val="clear" w:color="auto" w:fill="auto"/>
            <w:vAlign w:val="center"/>
          </w:tcPr>
          <w:p w14:paraId="4B333435" w14:textId="19D54FBC"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0666BADC" w14:textId="408974FB" w:rsidR="000378F3" w:rsidRPr="00ED172B" w:rsidRDefault="000378F3" w:rsidP="000378F3">
            <w:pPr>
              <w:jc w:val="center"/>
              <w:rPr>
                <w:color w:val="000000" w:themeColor="text1"/>
              </w:rPr>
            </w:pPr>
            <w:r w:rsidRPr="00ED172B">
              <w:rPr>
                <w:color w:val="000000" w:themeColor="text1"/>
              </w:rPr>
              <w:t>80.40%</w:t>
            </w:r>
          </w:p>
        </w:tc>
      </w:tr>
    </w:tbl>
    <w:p w14:paraId="0E0458D1"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684"/>
        <w:gridCol w:w="2022"/>
        <w:gridCol w:w="2022"/>
        <w:gridCol w:w="2022"/>
        <w:gridCol w:w="2022"/>
        <w:gridCol w:w="2018"/>
      </w:tblGrid>
      <w:tr w:rsidR="00ED172B" w:rsidRPr="00ED172B" w14:paraId="74E8D900" w14:textId="77777777" w:rsidTr="00A40EE1">
        <w:trPr>
          <w:trHeight w:val="350"/>
        </w:trPr>
        <w:tc>
          <w:tcPr>
            <w:tcW w:w="317" w:type="pct"/>
            <w:tcBorders>
              <w:bottom w:val="single" w:sz="4" w:space="0" w:color="auto"/>
            </w:tcBorders>
            <w:shd w:val="clear" w:color="auto" w:fill="auto"/>
          </w:tcPr>
          <w:p w14:paraId="1717825D"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7BF0D83D" w14:textId="46B1EB30" w:rsidR="00DC0682" w:rsidRPr="00ED172B" w:rsidRDefault="002163F2" w:rsidP="00CD79C5">
            <w:pPr>
              <w:jc w:val="center"/>
              <w:rPr>
                <w:b/>
                <w:color w:val="000000" w:themeColor="text1"/>
                <w:szCs w:val="16"/>
              </w:rPr>
            </w:pPr>
            <w:r w:rsidRPr="00ED172B">
              <w:rPr>
                <w:rFonts w:cs="Arial"/>
                <w:b/>
                <w:color w:val="000000" w:themeColor="text1"/>
                <w:szCs w:val="16"/>
              </w:rPr>
              <w:t>2015</w:t>
            </w:r>
          </w:p>
        </w:tc>
        <w:tc>
          <w:tcPr>
            <w:tcW w:w="937" w:type="pct"/>
            <w:shd w:val="clear" w:color="auto" w:fill="auto"/>
            <w:vAlign w:val="center"/>
          </w:tcPr>
          <w:p w14:paraId="61A48DAD" w14:textId="440E86BA" w:rsidR="00DC0682" w:rsidRPr="00ED172B" w:rsidRDefault="002163F2" w:rsidP="00CD79C5">
            <w:pPr>
              <w:jc w:val="center"/>
              <w:rPr>
                <w:b/>
                <w:color w:val="000000" w:themeColor="text1"/>
                <w:szCs w:val="16"/>
              </w:rPr>
            </w:pPr>
            <w:r w:rsidRPr="00ED172B">
              <w:rPr>
                <w:rFonts w:cs="Arial"/>
                <w:b/>
                <w:color w:val="000000" w:themeColor="text1"/>
                <w:szCs w:val="16"/>
              </w:rPr>
              <w:t>2016</w:t>
            </w:r>
          </w:p>
        </w:tc>
        <w:tc>
          <w:tcPr>
            <w:tcW w:w="937" w:type="pct"/>
            <w:shd w:val="clear" w:color="auto" w:fill="auto"/>
            <w:vAlign w:val="center"/>
          </w:tcPr>
          <w:p w14:paraId="00DC06E2" w14:textId="03CD7FF8"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1400C832" w14:textId="3C42CAB3"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7D0CF390" w14:textId="2D52EF81" w:rsidR="00DC0682" w:rsidRPr="00ED172B" w:rsidRDefault="006D43D3" w:rsidP="00CD79C5">
            <w:pPr>
              <w:jc w:val="center"/>
              <w:rPr>
                <w:b/>
                <w:color w:val="000000" w:themeColor="text1"/>
                <w:szCs w:val="16"/>
              </w:rPr>
            </w:pPr>
            <w:r w:rsidRPr="00ED172B">
              <w:rPr>
                <w:rFonts w:cs="Arial"/>
                <w:b/>
                <w:color w:val="000000" w:themeColor="text1"/>
                <w:szCs w:val="16"/>
              </w:rPr>
              <w:t>2019</w:t>
            </w:r>
          </w:p>
        </w:tc>
      </w:tr>
      <w:tr w:rsidR="00ED172B" w:rsidRPr="00ED172B" w14:paraId="2CC40DB3" w14:textId="77777777" w:rsidTr="00A40EE1">
        <w:trPr>
          <w:trHeight w:val="357"/>
        </w:trPr>
        <w:tc>
          <w:tcPr>
            <w:tcW w:w="317" w:type="pct"/>
            <w:shd w:val="clear" w:color="auto" w:fill="auto"/>
          </w:tcPr>
          <w:p w14:paraId="23D9DCFF" w14:textId="77777777" w:rsidR="00DC0682" w:rsidRPr="00ED172B" w:rsidRDefault="00DC0682" w:rsidP="00B83404">
            <w:pPr>
              <w:rPr>
                <w:color w:val="000000" w:themeColor="text1"/>
                <w:szCs w:val="16"/>
              </w:rPr>
            </w:pPr>
            <w:r w:rsidRPr="00ED172B">
              <w:rPr>
                <w:color w:val="000000" w:themeColor="text1"/>
                <w:szCs w:val="16"/>
              </w:rPr>
              <w:t xml:space="preserve">Target </w:t>
            </w:r>
          </w:p>
        </w:tc>
        <w:tc>
          <w:tcPr>
            <w:tcW w:w="937" w:type="pct"/>
            <w:shd w:val="clear" w:color="auto" w:fill="auto"/>
          </w:tcPr>
          <w:p w14:paraId="77FFF02F" w14:textId="61BAEB5F"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30AE3B34" w14:textId="5AE48E9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72204BF" w14:textId="0D3F83C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F1CD878" w14:textId="58AF87B1"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0A95F90" w14:textId="60F56AB0"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16D05940" w14:textId="77777777" w:rsidTr="00A40EE1">
        <w:trPr>
          <w:trHeight w:val="85"/>
        </w:trPr>
        <w:tc>
          <w:tcPr>
            <w:tcW w:w="317" w:type="pct"/>
            <w:shd w:val="clear" w:color="auto" w:fill="auto"/>
          </w:tcPr>
          <w:p w14:paraId="784E6590" w14:textId="77777777" w:rsidR="00DC0682" w:rsidRPr="00ED172B" w:rsidRDefault="00DC0682" w:rsidP="00B83404">
            <w:pPr>
              <w:rPr>
                <w:color w:val="000000" w:themeColor="text1"/>
                <w:szCs w:val="16"/>
              </w:rPr>
            </w:pPr>
            <w:r w:rsidRPr="00ED172B">
              <w:rPr>
                <w:color w:val="000000" w:themeColor="text1"/>
                <w:szCs w:val="16"/>
              </w:rPr>
              <w:lastRenderedPageBreak/>
              <w:t>Data</w:t>
            </w:r>
          </w:p>
        </w:tc>
        <w:tc>
          <w:tcPr>
            <w:tcW w:w="937" w:type="pct"/>
            <w:shd w:val="clear" w:color="auto" w:fill="auto"/>
            <w:vAlign w:val="center"/>
          </w:tcPr>
          <w:p w14:paraId="729B47D6" w14:textId="677BED5B" w:rsidR="00DC0682" w:rsidRPr="00ED172B" w:rsidRDefault="00860830" w:rsidP="00CD79C5">
            <w:pPr>
              <w:jc w:val="center"/>
              <w:rPr>
                <w:color w:val="000000" w:themeColor="text1"/>
                <w:szCs w:val="16"/>
              </w:rPr>
            </w:pPr>
            <w:r w:rsidRPr="00ED172B">
              <w:rPr>
                <w:rFonts w:cs="Arial"/>
                <w:color w:val="000000" w:themeColor="text1"/>
                <w:szCs w:val="16"/>
              </w:rPr>
              <w:t>88.73%</w:t>
            </w:r>
          </w:p>
        </w:tc>
        <w:tc>
          <w:tcPr>
            <w:tcW w:w="937" w:type="pct"/>
            <w:tcBorders>
              <w:bottom w:val="single" w:sz="4" w:space="0" w:color="auto"/>
            </w:tcBorders>
            <w:shd w:val="clear" w:color="auto" w:fill="auto"/>
            <w:vAlign w:val="center"/>
          </w:tcPr>
          <w:p w14:paraId="4A1FC6C4" w14:textId="77E057A8" w:rsidR="00DC0682" w:rsidRPr="00ED172B" w:rsidRDefault="00860830" w:rsidP="00CD79C5">
            <w:pPr>
              <w:jc w:val="center"/>
              <w:rPr>
                <w:color w:val="000000" w:themeColor="text1"/>
                <w:szCs w:val="16"/>
              </w:rPr>
            </w:pPr>
            <w:r w:rsidRPr="00ED172B">
              <w:rPr>
                <w:rFonts w:cs="Arial"/>
                <w:color w:val="000000" w:themeColor="text1"/>
                <w:szCs w:val="16"/>
              </w:rPr>
              <w:t>88.90%</w:t>
            </w:r>
          </w:p>
        </w:tc>
        <w:tc>
          <w:tcPr>
            <w:tcW w:w="937" w:type="pct"/>
            <w:tcBorders>
              <w:bottom w:val="single" w:sz="4" w:space="0" w:color="auto"/>
            </w:tcBorders>
            <w:shd w:val="clear" w:color="auto" w:fill="auto"/>
            <w:vAlign w:val="center"/>
          </w:tcPr>
          <w:p w14:paraId="401927F1" w14:textId="4AED5860" w:rsidR="00DC0682" w:rsidRPr="00ED172B" w:rsidRDefault="00860830" w:rsidP="00CD79C5">
            <w:pPr>
              <w:jc w:val="center"/>
              <w:rPr>
                <w:color w:val="000000" w:themeColor="text1"/>
                <w:szCs w:val="16"/>
              </w:rPr>
            </w:pPr>
            <w:r w:rsidRPr="00ED172B">
              <w:rPr>
                <w:rFonts w:cs="Arial"/>
                <w:color w:val="000000" w:themeColor="text1"/>
                <w:szCs w:val="16"/>
              </w:rPr>
              <w:t>86.88%</w:t>
            </w:r>
          </w:p>
        </w:tc>
        <w:tc>
          <w:tcPr>
            <w:tcW w:w="937" w:type="pct"/>
            <w:tcBorders>
              <w:bottom w:val="single" w:sz="4" w:space="0" w:color="auto"/>
            </w:tcBorders>
            <w:shd w:val="clear" w:color="auto" w:fill="auto"/>
            <w:vAlign w:val="center"/>
          </w:tcPr>
          <w:p w14:paraId="201E211E" w14:textId="33CBB339" w:rsidR="00DC0682" w:rsidRPr="00ED172B" w:rsidRDefault="00860830" w:rsidP="00CD79C5">
            <w:pPr>
              <w:jc w:val="center"/>
              <w:rPr>
                <w:color w:val="000000" w:themeColor="text1"/>
                <w:szCs w:val="16"/>
              </w:rPr>
            </w:pPr>
            <w:r w:rsidRPr="00ED172B">
              <w:rPr>
                <w:rFonts w:cs="Arial"/>
                <w:color w:val="000000" w:themeColor="text1"/>
                <w:szCs w:val="16"/>
              </w:rPr>
              <w:t>88.48%</w:t>
            </w:r>
          </w:p>
        </w:tc>
        <w:tc>
          <w:tcPr>
            <w:tcW w:w="937" w:type="pct"/>
            <w:tcBorders>
              <w:bottom w:val="single" w:sz="4" w:space="0" w:color="auto"/>
            </w:tcBorders>
            <w:shd w:val="clear" w:color="auto" w:fill="auto"/>
            <w:vAlign w:val="center"/>
          </w:tcPr>
          <w:p w14:paraId="3EE94A33" w14:textId="3ACCE069" w:rsidR="00DC0682" w:rsidRPr="00ED172B" w:rsidRDefault="00860830" w:rsidP="00CD79C5">
            <w:pPr>
              <w:jc w:val="center"/>
              <w:rPr>
                <w:color w:val="000000" w:themeColor="text1"/>
                <w:szCs w:val="16"/>
              </w:rPr>
            </w:pPr>
            <w:r w:rsidRPr="00ED172B">
              <w:rPr>
                <w:rFonts w:cs="Arial"/>
                <w:color w:val="000000" w:themeColor="text1"/>
                <w:szCs w:val="16"/>
              </w:rPr>
              <w:t>80.55%</w:t>
            </w:r>
          </w:p>
        </w:tc>
      </w:tr>
    </w:tbl>
    <w:p w14:paraId="2D378C60" w14:textId="77777777" w:rsidR="008A4FF2" w:rsidRPr="00ED172B" w:rsidRDefault="008A4FF2">
      <w:pPr>
        <w:rPr>
          <w:b/>
          <w:color w:val="000000" w:themeColor="text1"/>
        </w:rPr>
      </w:pPr>
    </w:p>
    <w:p w14:paraId="73617382" w14:textId="77777777" w:rsidR="008A4FF2" w:rsidRPr="00ED172B" w:rsidRDefault="008A4FF2">
      <w:pPr>
        <w:rPr>
          <w:b/>
          <w:color w:val="000000" w:themeColor="text1"/>
        </w:rPr>
      </w:pPr>
    </w:p>
    <w:p w14:paraId="51FCB41B" w14:textId="471107B5" w:rsidR="00DC0682" w:rsidRPr="00ED172B" w:rsidRDefault="00DC0682">
      <w:pPr>
        <w:rPr>
          <w:b/>
          <w:color w:val="000000" w:themeColor="text1"/>
        </w:rPr>
      </w:pPr>
      <w:r w:rsidRPr="00ED172B">
        <w:rPr>
          <w:b/>
          <w:color w:val="000000" w:themeColor="text1"/>
        </w:rPr>
        <w:t>Targets</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679"/>
        <w:gridCol w:w="1568"/>
        <w:gridCol w:w="1679"/>
        <w:gridCol w:w="1679"/>
        <w:gridCol w:w="1680"/>
        <w:gridCol w:w="1680"/>
        <w:gridCol w:w="1678"/>
      </w:tblGrid>
      <w:tr w:rsidR="00A74C59" w:rsidRPr="00ED172B" w14:paraId="02FB5FEC" w14:textId="0147A57A" w:rsidTr="00A74C59">
        <w:trPr>
          <w:trHeight w:val="265"/>
        </w:trPr>
        <w:tc>
          <w:tcPr>
            <w:tcW w:w="199" w:type="pct"/>
            <w:tcBorders>
              <w:bottom w:val="single" w:sz="4" w:space="0" w:color="auto"/>
            </w:tcBorders>
            <w:shd w:val="clear" w:color="auto" w:fill="auto"/>
          </w:tcPr>
          <w:p w14:paraId="66965110" w14:textId="77777777" w:rsidR="00A74C59" w:rsidRPr="00ED172B" w:rsidRDefault="00A74C59" w:rsidP="00A74C59">
            <w:pPr>
              <w:jc w:val="center"/>
              <w:rPr>
                <w:b/>
                <w:color w:val="000000" w:themeColor="text1"/>
                <w:szCs w:val="16"/>
              </w:rPr>
            </w:pPr>
            <w:r w:rsidRPr="00ED172B">
              <w:rPr>
                <w:b/>
                <w:color w:val="000000" w:themeColor="text1"/>
                <w:szCs w:val="16"/>
              </w:rPr>
              <w:t>FFY</w:t>
            </w:r>
          </w:p>
        </w:tc>
        <w:tc>
          <w:tcPr>
            <w:tcW w:w="757" w:type="pct"/>
            <w:shd w:val="clear" w:color="auto" w:fill="auto"/>
            <w:vAlign w:val="center"/>
          </w:tcPr>
          <w:p w14:paraId="2FB0CA2D" w14:textId="618E9216" w:rsidR="00A74C59" w:rsidRPr="00ED172B" w:rsidRDefault="00A74C59" w:rsidP="00A74C59">
            <w:pPr>
              <w:jc w:val="center"/>
              <w:rPr>
                <w:b/>
                <w:color w:val="000000" w:themeColor="text1"/>
                <w:szCs w:val="16"/>
              </w:rPr>
            </w:pPr>
            <w:r w:rsidRPr="00ED172B">
              <w:rPr>
                <w:rFonts w:cs="Arial"/>
                <w:b/>
                <w:color w:val="000000" w:themeColor="text1"/>
                <w:szCs w:val="16"/>
              </w:rPr>
              <w:t>2020</w:t>
            </w:r>
          </w:p>
        </w:tc>
        <w:tc>
          <w:tcPr>
            <w:tcW w:w="809" w:type="pct"/>
          </w:tcPr>
          <w:p w14:paraId="34A3F497" w14:textId="71FBA966" w:rsidR="00A74C59" w:rsidRPr="00ED172B" w:rsidRDefault="00A74C59" w:rsidP="00A74C59">
            <w:pPr>
              <w:jc w:val="center"/>
              <w:rPr>
                <w:rFonts w:cs="Arial"/>
                <w:b/>
                <w:color w:val="000000" w:themeColor="text1"/>
                <w:szCs w:val="16"/>
              </w:rPr>
            </w:pPr>
            <w:r>
              <w:rPr>
                <w:rFonts w:cs="Arial"/>
                <w:b/>
                <w:color w:val="000000" w:themeColor="text1"/>
                <w:szCs w:val="16"/>
              </w:rPr>
              <w:t>2021</w:t>
            </w:r>
          </w:p>
        </w:tc>
        <w:tc>
          <w:tcPr>
            <w:tcW w:w="809" w:type="pct"/>
          </w:tcPr>
          <w:p w14:paraId="10EB1256" w14:textId="5E9E9AED" w:rsidR="00A74C59" w:rsidRPr="00ED172B" w:rsidRDefault="00A74C59" w:rsidP="00A74C59">
            <w:pPr>
              <w:jc w:val="center"/>
              <w:rPr>
                <w:rFonts w:cs="Arial"/>
                <w:b/>
                <w:color w:val="000000" w:themeColor="text1"/>
                <w:szCs w:val="16"/>
              </w:rPr>
            </w:pPr>
            <w:r w:rsidRPr="005A1B4F">
              <w:rPr>
                <w:rFonts w:cs="Arial"/>
                <w:b/>
                <w:color w:val="000000" w:themeColor="text1"/>
                <w:szCs w:val="16"/>
              </w:rPr>
              <w:t>2022</w:t>
            </w:r>
          </w:p>
        </w:tc>
        <w:tc>
          <w:tcPr>
            <w:tcW w:w="809" w:type="pct"/>
          </w:tcPr>
          <w:p w14:paraId="252B252E" w14:textId="05AA6405" w:rsidR="00A74C59" w:rsidRPr="00ED172B" w:rsidRDefault="00A74C59" w:rsidP="00A74C59">
            <w:pPr>
              <w:jc w:val="center"/>
              <w:rPr>
                <w:rFonts w:cs="Arial"/>
                <w:b/>
                <w:color w:val="000000" w:themeColor="text1"/>
                <w:szCs w:val="16"/>
              </w:rPr>
            </w:pPr>
            <w:r w:rsidRPr="005A1B4F">
              <w:rPr>
                <w:rFonts w:cs="Arial"/>
                <w:b/>
                <w:color w:val="000000" w:themeColor="text1"/>
                <w:szCs w:val="16"/>
              </w:rPr>
              <w:t>2023</w:t>
            </w:r>
          </w:p>
        </w:tc>
        <w:tc>
          <w:tcPr>
            <w:tcW w:w="809" w:type="pct"/>
          </w:tcPr>
          <w:p w14:paraId="033E0CD3" w14:textId="74CBD932" w:rsidR="00A74C59" w:rsidRPr="00ED172B" w:rsidRDefault="00A74C59" w:rsidP="00A74C59">
            <w:pPr>
              <w:jc w:val="center"/>
              <w:rPr>
                <w:rFonts w:cs="Arial"/>
                <w:b/>
                <w:color w:val="000000" w:themeColor="text1"/>
                <w:szCs w:val="16"/>
              </w:rPr>
            </w:pPr>
            <w:r w:rsidRPr="005A1B4F">
              <w:rPr>
                <w:rFonts w:cs="Arial"/>
                <w:b/>
                <w:color w:val="000000" w:themeColor="text1"/>
                <w:szCs w:val="16"/>
              </w:rPr>
              <w:t>2024</w:t>
            </w:r>
          </w:p>
        </w:tc>
        <w:tc>
          <w:tcPr>
            <w:tcW w:w="809" w:type="pct"/>
          </w:tcPr>
          <w:p w14:paraId="7E7EB1D5" w14:textId="4B585B02" w:rsidR="00A74C59" w:rsidRPr="00ED172B" w:rsidRDefault="00A74C59" w:rsidP="00A74C59">
            <w:pPr>
              <w:jc w:val="center"/>
              <w:rPr>
                <w:rFonts w:cs="Arial"/>
                <w:b/>
                <w:color w:val="000000" w:themeColor="text1"/>
                <w:szCs w:val="16"/>
              </w:rPr>
            </w:pPr>
            <w:r w:rsidRPr="005A1B4F">
              <w:rPr>
                <w:rFonts w:cs="Arial"/>
                <w:b/>
                <w:color w:val="000000" w:themeColor="text1"/>
                <w:szCs w:val="16"/>
              </w:rPr>
              <w:t>2025</w:t>
            </w:r>
          </w:p>
        </w:tc>
      </w:tr>
      <w:tr w:rsidR="00A74C59" w:rsidRPr="00ED172B" w14:paraId="1880903D" w14:textId="5D794342" w:rsidTr="00A74C59">
        <w:trPr>
          <w:trHeight w:val="270"/>
        </w:trPr>
        <w:tc>
          <w:tcPr>
            <w:tcW w:w="199" w:type="pct"/>
            <w:shd w:val="clear" w:color="auto" w:fill="auto"/>
          </w:tcPr>
          <w:p w14:paraId="009B82C2" w14:textId="77777777" w:rsidR="00A74C59" w:rsidRPr="00ED172B" w:rsidRDefault="00A74C59" w:rsidP="00A74C59">
            <w:pPr>
              <w:rPr>
                <w:color w:val="000000" w:themeColor="text1"/>
                <w:szCs w:val="16"/>
              </w:rPr>
            </w:pPr>
            <w:r w:rsidRPr="00ED172B">
              <w:rPr>
                <w:color w:val="000000" w:themeColor="text1"/>
                <w:szCs w:val="16"/>
              </w:rPr>
              <w:t>Target</w:t>
            </w:r>
          </w:p>
        </w:tc>
        <w:tc>
          <w:tcPr>
            <w:tcW w:w="757" w:type="pct"/>
            <w:shd w:val="clear" w:color="auto" w:fill="auto"/>
          </w:tcPr>
          <w:p w14:paraId="68F3EB6C" w14:textId="1DC405D3" w:rsidR="00A74C59" w:rsidRPr="00ED172B" w:rsidRDefault="00A74C59" w:rsidP="00A74C59">
            <w:pPr>
              <w:jc w:val="center"/>
              <w:rPr>
                <w:color w:val="000000" w:themeColor="text1"/>
                <w:szCs w:val="16"/>
              </w:rPr>
            </w:pPr>
            <w:r w:rsidRPr="00ED172B">
              <w:rPr>
                <w:color w:val="000000" w:themeColor="text1"/>
                <w:szCs w:val="16"/>
              </w:rPr>
              <w:t>100%</w:t>
            </w:r>
          </w:p>
        </w:tc>
        <w:tc>
          <w:tcPr>
            <w:tcW w:w="809" w:type="pct"/>
          </w:tcPr>
          <w:p w14:paraId="1016327E" w14:textId="3AD6E01E" w:rsidR="00A74C59" w:rsidRPr="00ED172B" w:rsidRDefault="00A74C59" w:rsidP="00A74C59">
            <w:pPr>
              <w:jc w:val="center"/>
              <w:rPr>
                <w:color w:val="000000" w:themeColor="text1"/>
                <w:szCs w:val="16"/>
              </w:rPr>
            </w:pPr>
            <w:r>
              <w:rPr>
                <w:rFonts w:cs="Arial"/>
                <w:color w:val="000000" w:themeColor="text1"/>
                <w:szCs w:val="16"/>
              </w:rPr>
              <w:t>100%</w:t>
            </w:r>
          </w:p>
        </w:tc>
        <w:tc>
          <w:tcPr>
            <w:tcW w:w="809" w:type="pct"/>
          </w:tcPr>
          <w:p w14:paraId="3E9BB463" w14:textId="1F36391F" w:rsidR="00A74C59" w:rsidRPr="00ED172B" w:rsidRDefault="00A74C59" w:rsidP="00A74C59">
            <w:pPr>
              <w:jc w:val="center"/>
              <w:rPr>
                <w:color w:val="000000" w:themeColor="text1"/>
                <w:szCs w:val="16"/>
              </w:rPr>
            </w:pPr>
            <w:r w:rsidRPr="005F5F3C">
              <w:rPr>
                <w:rFonts w:cs="Arial"/>
                <w:color w:val="000000" w:themeColor="text1"/>
                <w:szCs w:val="16"/>
              </w:rPr>
              <w:t>100%</w:t>
            </w:r>
          </w:p>
        </w:tc>
        <w:tc>
          <w:tcPr>
            <w:tcW w:w="809" w:type="pct"/>
          </w:tcPr>
          <w:p w14:paraId="7663FEAC" w14:textId="42E191F9" w:rsidR="00A74C59" w:rsidRPr="00ED172B" w:rsidRDefault="00A74C59" w:rsidP="00A74C59">
            <w:pPr>
              <w:jc w:val="center"/>
              <w:rPr>
                <w:color w:val="000000" w:themeColor="text1"/>
                <w:szCs w:val="16"/>
              </w:rPr>
            </w:pPr>
            <w:r w:rsidRPr="005F5F3C">
              <w:rPr>
                <w:rFonts w:cs="Arial"/>
                <w:color w:val="000000" w:themeColor="text1"/>
                <w:szCs w:val="16"/>
              </w:rPr>
              <w:t>100%</w:t>
            </w:r>
          </w:p>
        </w:tc>
        <w:tc>
          <w:tcPr>
            <w:tcW w:w="809" w:type="pct"/>
          </w:tcPr>
          <w:p w14:paraId="752DFBFA" w14:textId="6C7E6AA4" w:rsidR="00A74C59" w:rsidRPr="00ED172B" w:rsidRDefault="00A74C59" w:rsidP="00A74C59">
            <w:pPr>
              <w:jc w:val="center"/>
              <w:rPr>
                <w:color w:val="000000" w:themeColor="text1"/>
                <w:szCs w:val="16"/>
              </w:rPr>
            </w:pPr>
            <w:r w:rsidRPr="005F5F3C">
              <w:rPr>
                <w:rFonts w:cs="Arial"/>
                <w:color w:val="000000" w:themeColor="text1"/>
                <w:szCs w:val="16"/>
              </w:rPr>
              <w:t>100%</w:t>
            </w:r>
          </w:p>
        </w:tc>
        <w:tc>
          <w:tcPr>
            <w:tcW w:w="809" w:type="pct"/>
          </w:tcPr>
          <w:p w14:paraId="00288A74" w14:textId="0EE358F5" w:rsidR="00A74C59" w:rsidRPr="00ED172B" w:rsidRDefault="00A74C59" w:rsidP="00A74C59">
            <w:pPr>
              <w:jc w:val="center"/>
              <w:rPr>
                <w:color w:val="000000" w:themeColor="text1"/>
                <w:szCs w:val="16"/>
              </w:rPr>
            </w:pPr>
            <w:r w:rsidRPr="005F5F3C">
              <w:rPr>
                <w:rFonts w:cs="Arial"/>
                <w:color w:val="000000" w:themeColor="text1"/>
                <w:szCs w:val="16"/>
              </w:rPr>
              <w:t>100%</w:t>
            </w:r>
          </w:p>
        </w:tc>
      </w:tr>
    </w:tbl>
    <w:p w14:paraId="621A396D" w14:textId="6A74094C" w:rsidR="008E7B96" w:rsidRPr="00ED172B" w:rsidRDefault="00F22D09">
      <w:pPr>
        <w:rPr>
          <w:b/>
          <w:color w:val="000000" w:themeColor="text1"/>
        </w:rPr>
      </w:pPr>
      <w:r>
        <w:rPr>
          <w:b/>
          <w:color w:val="000000" w:themeColor="text1"/>
        </w:rPr>
        <w:t>FFY 2020 SPP/APR Data</w:t>
      </w:r>
    </w:p>
    <w:p w14:paraId="58E9458B" w14:textId="42AC40CB"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72B496FC" w14:textId="65013E4A" w:rsidR="000A170A" w:rsidRDefault="000A170A" w:rsidP="00F939F8">
      <w:pPr>
        <w:rPr>
          <w:color w:val="000000" w:themeColor="text1"/>
          <w:szCs w:val="16"/>
        </w:rPr>
      </w:pPr>
      <w:r w:rsidRPr="00ED172B">
        <w:rPr>
          <w:color w:val="000000" w:themeColor="text1"/>
          <w:szCs w:val="16"/>
        </w:rPr>
        <w:t>NO</w:t>
      </w:r>
    </w:p>
    <w:p w14:paraId="48CD89EC" w14:textId="7C2A490E" w:rsidR="00F939F8" w:rsidRPr="00ED172B" w:rsidRDefault="000A170A" w:rsidP="00F939F8">
      <w:pPr>
        <w:rPr>
          <w:rFonts w:cs="Arial"/>
          <w:b/>
          <w:color w:val="000000" w:themeColor="text1"/>
          <w:szCs w:val="16"/>
        </w:rPr>
      </w:pPr>
      <w:r w:rsidRPr="00ED172B">
        <w:rPr>
          <w:b/>
          <w:color w:val="000000" w:themeColor="text1"/>
          <w:szCs w:val="16"/>
        </w:rPr>
        <w:t xml:space="preserve">If no, please explain. </w:t>
      </w:r>
    </w:p>
    <w:p w14:paraId="1030F7B5" w14:textId="755AD963" w:rsidR="00F939F8" w:rsidRPr="00ED172B" w:rsidRDefault="00860830" w:rsidP="00F939F8">
      <w:pPr>
        <w:rPr>
          <w:color w:val="000000" w:themeColor="text1"/>
        </w:rPr>
      </w:pPr>
      <w:r w:rsidRPr="00ED172B">
        <w:rPr>
          <w:color w:val="000000" w:themeColor="text1"/>
        </w:rPr>
        <w:t xml:space="preserve">Data are reported for toddlers with disabilities exiting Part C where notification to the LEA occured with at least 90 days prior to their third birthday. Local programs notify LEAs directly. The Lead Agency (MA-C) uses a different process for notifying the SEA, which was adversely impacted by the public health measures necessitated by the COVID-19 pandemic.  The pandemic highlighted vulnerabilities in the SEA notification, which MA-C is now working to revise to ensure a more seamless notification process in the future.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0DF9E103" w14:textId="77777777" w:rsidTr="00986B99">
        <w:trPr>
          <w:tblHeader/>
        </w:trPr>
        <w:tc>
          <w:tcPr>
            <w:tcW w:w="1376" w:type="pct"/>
            <w:shd w:val="clear" w:color="auto" w:fill="auto"/>
            <w:vAlign w:val="bottom"/>
          </w:tcPr>
          <w:p w14:paraId="626A819F" w14:textId="4E4B92FB"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shd w:val="clear" w:color="auto" w:fill="auto"/>
            <w:vAlign w:val="bottom"/>
          </w:tcPr>
          <w:p w14:paraId="2AFBA1AE" w14:textId="2BF03792"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shd w:val="clear" w:color="auto" w:fill="auto"/>
            <w:vAlign w:val="bottom"/>
          </w:tcPr>
          <w:p w14:paraId="12765FCA" w14:textId="00958EBB" w:rsidR="00F939F8" w:rsidRPr="00ED172B" w:rsidRDefault="00CD74B5" w:rsidP="00F939F8">
            <w:pPr>
              <w:jc w:val="center"/>
              <w:rPr>
                <w:b/>
                <w:color w:val="000000" w:themeColor="text1"/>
                <w:szCs w:val="16"/>
              </w:rPr>
            </w:pPr>
            <w:r>
              <w:rPr>
                <w:rFonts w:cs="Arial"/>
                <w:b/>
                <w:color w:val="000000" w:themeColor="text1"/>
                <w:szCs w:val="16"/>
              </w:rPr>
              <w:t>FFY 2019 Data</w:t>
            </w:r>
          </w:p>
        </w:tc>
        <w:tc>
          <w:tcPr>
            <w:tcW w:w="625" w:type="pct"/>
            <w:shd w:val="clear" w:color="auto" w:fill="auto"/>
            <w:vAlign w:val="bottom"/>
          </w:tcPr>
          <w:p w14:paraId="6245781C" w14:textId="0491563B" w:rsidR="00F939F8" w:rsidRPr="00ED172B" w:rsidRDefault="00F22D09" w:rsidP="00F939F8">
            <w:pPr>
              <w:jc w:val="center"/>
              <w:rPr>
                <w:b/>
                <w:color w:val="000000" w:themeColor="text1"/>
                <w:szCs w:val="16"/>
              </w:rPr>
            </w:pPr>
            <w:r>
              <w:rPr>
                <w:rFonts w:cs="Arial"/>
                <w:b/>
                <w:color w:val="000000" w:themeColor="text1"/>
                <w:szCs w:val="16"/>
              </w:rPr>
              <w:t>FFY 2020 Target</w:t>
            </w:r>
          </w:p>
        </w:tc>
        <w:tc>
          <w:tcPr>
            <w:tcW w:w="542" w:type="pct"/>
            <w:shd w:val="clear" w:color="auto" w:fill="auto"/>
            <w:vAlign w:val="bottom"/>
          </w:tcPr>
          <w:p w14:paraId="1E1DBF10" w14:textId="56A5D50C" w:rsidR="00F939F8" w:rsidRPr="00ED172B" w:rsidRDefault="00F22D09" w:rsidP="00F939F8">
            <w:pPr>
              <w:jc w:val="center"/>
              <w:rPr>
                <w:b/>
                <w:color w:val="000000" w:themeColor="text1"/>
                <w:szCs w:val="16"/>
              </w:rPr>
            </w:pPr>
            <w:r>
              <w:rPr>
                <w:rFonts w:cs="Arial"/>
                <w:b/>
                <w:color w:val="000000" w:themeColor="text1"/>
                <w:szCs w:val="16"/>
              </w:rPr>
              <w:t>FFY 2020 Data</w:t>
            </w:r>
          </w:p>
        </w:tc>
        <w:tc>
          <w:tcPr>
            <w:tcW w:w="542" w:type="pct"/>
            <w:shd w:val="clear" w:color="auto" w:fill="auto"/>
            <w:vAlign w:val="bottom"/>
          </w:tcPr>
          <w:p w14:paraId="76378A12" w14:textId="6432F921"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4BB8DCC2" w14:textId="2B1865BF"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13F147EB" w14:textId="77777777" w:rsidTr="00986B99">
        <w:tc>
          <w:tcPr>
            <w:tcW w:w="1376" w:type="pct"/>
            <w:shd w:val="clear" w:color="auto" w:fill="auto"/>
            <w:vAlign w:val="center"/>
          </w:tcPr>
          <w:p w14:paraId="4639DE19" w14:textId="76CCEDED" w:rsidR="00F939F8" w:rsidRPr="00ED172B" w:rsidRDefault="00860830" w:rsidP="00F939F8">
            <w:pPr>
              <w:jc w:val="center"/>
              <w:rPr>
                <w:color w:val="000000" w:themeColor="text1"/>
                <w:szCs w:val="16"/>
              </w:rPr>
            </w:pPr>
            <w:r w:rsidRPr="00ED172B">
              <w:rPr>
                <w:color w:val="000000" w:themeColor="text1"/>
                <w:szCs w:val="16"/>
              </w:rPr>
              <w:t>8,288</w:t>
            </w:r>
          </w:p>
        </w:tc>
        <w:tc>
          <w:tcPr>
            <w:tcW w:w="750" w:type="pct"/>
            <w:shd w:val="clear" w:color="auto" w:fill="auto"/>
            <w:vAlign w:val="center"/>
          </w:tcPr>
          <w:p w14:paraId="350A2CCA" w14:textId="6EBFFA0A" w:rsidR="00F939F8" w:rsidRPr="00ED172B" w:rsidRDefault="00860830" w:rsidP="00F939F8">
            <w:pPr>
              <w:jc w:val="center"/>
              <w:rPr>
                <w:color w:val="000000" w:themeColor="text1"/>
                <w:szCs w:val="16"/>
              </w:rPr>
            </w:pPr>
            <w:r w:rsidRPr="00ED172B">
              <w:rPr>
                <w:color w:val="000000" w:themeColor="text1"/>
                <w:szCs w:val="16"/>
              </w:rPr>
              <w:t>8,970</w:t>
            </w:r>
          </w:p>
        </w:tc>
        <w:tc>
          <w:tcPr>
            <w:tcW w:w="626" w:type="pct"/>
            <w:shd w:val="clear" w:color="auto" w:fill="auto"/>
          </w:tcPr>
          <w:p w14:paraId="626514B4" w14:textId="6A77EE05" w:rsidR="00F939F8" w:rsidRPr="00ED172B" w:rsidRDefault="00860830" w:rsidP="00F939F8">
            <w:pPr>
              <w:jc w:val="center"/>
              <w:rPr>
                <w:color w:val="000000" w:themeColor="text1"/>
                <w:szCs w:val="16"/>
              </w:rPr>
            </w:pPr>
            <w:r w:rsidRPr="00ED172B">
              <w:rPr>
                <w:rFonts w:cs="Arial"/>
                <w:color w:val="000000" w:themeColor="text1"/>
                <w:szCs w:val="16"/>
              </w:rPr>
              <w:t>80.55%</w:t>
            </w:r>
          </w:p>
        </w:tc>
        <w:tc>
          <w:tcPr>
            <w:tcW w:w="625" w:type="pct"/>
            <w:shd w:val="clear" w:color="auto" w:fill="auto"/>
          </w:tcPr>
          <w:p w14:paraId="5AD816A1" w14:textId="0C7CDE4B"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shd w:val="clear" w:color="auto" w:fill="auto"/>
          </w:tcPr>
          <w:p w14:paraId="2EE90524" w14:textId="49C17682" w:rsidR="00F939F8" w:rsidRPr="00ED172B" w:rsidRDefault="00860830" w:rsidP="00F939F8">
            <w:pPr>
              <w:jc w:val="center"/>
              <w:rPr>
                <w:color w:val="000000" w:themeColor="text1"/>
                <w:szCs w:val="16"/>
              </w:rPr>
            </w:pPr>
            <w:r w:rsidRPr="00ED172B">
              <w:rPr>
                <w:rFonts w:cs="Arial"/>
                <w:color w:val="000000" w:themeColor="text1"/>
                <w:szCs w:val="16"/>
              </w:rPr>
              <w:t>99.02%</w:t>
            </w:r>
          </w:p>
        </w:tc>
        <w:tc>
          <w:tcPr>
            <w:tcW w:w="542" w:type="pct"/>
            <w:shd w:val="clear" w:color="auto" w:fill="auto"/>
          </w:tcPr>
          <w:p w14:paraId="3C770A13" w14:textId="0F1127A3" w:rsidR="00F939F8" w:rsidRPr="00ED172B" w:rsidRDefault="00320806" w:rsidP="00320806">
            <w:pPr>
              <w:jc w:val="center"/>
              <w:rPr>
                <w:color w:val="000000" w:themeColor="text1"/>
              </w:rPr>
            </w:pPr>
            <w:r w:rsidRPr="00ED172B">
              <w:rPr>
                <w:color w:val="000000" w:themeColor="text1"/>
              </w:rPr>
              <w:t>Did not meet target</w:t>
            </w:r>
          </w:p>
        </w:tc>
        <w:tc>
          <w:tcPr>
            <w:tcW w:w="539" w:type="pct"/>
            <w:shd w:val="clear" w:color="auto" w:fill="auto"/>
          </w:tcPr>
          <w:p w14:paraId="3DCA4621" w14:textId="6D456C28" w:rsidR="00F939F8" w:rsidRPr="00ED172B" w:rsidRDefault="00320806" w:rsidP="00320806">
            <w:pPr>
              <w:jc w:val="center"/>
              <w:rPr>
                <w:color w:val="000000" w:themeColor="text1"/>
              </w:rPr>
            </w:pPr>
            <w:r w:rsidRPr="00ED172B">
              <w:rPr>
                <w:color w:val="000000" w:themeColor="text1"/>
              </w:rPr>
              <w:t>No Slippage</w:t>
            </w:r>
          </w:p>
        </w:tc>
      </w:tr>
    </w:tbl>
    <w:p w14:paraId="2C38A193"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7E5C0BAB" w14:textId="0BB7B3D9"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217B3AE4" w14:textId="6775764A" w:rsidR="00C1714A" w:rsidRDefault="00C1714A" w:rsidP="00C1714A">
      <w:pPr>
        <w:rPr>
          <w:color w:val="000000" w:themeColor="text1"/>
          <w:szCs w:val="16"/>
        </w:rPr>
      </w:pPr>
      <w:r w:rsidRPr="00ED172B">
        <w:rPr>
          <w:color w:val="000000" w:themeColor="text1"/>
          <w:szCs w:val="16"/>
        </w:rPr>
        <w:t>600</w:t>
      </w:r>
    </w:p>
    <w:p w14:paraId="0352EFE6"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1FCA06B9" w14:textId="79637C57" w:rsidR="001F3FD2" w:rsidRPr="00ED172B" w:rsidRDefault="001F3FD2" w:rsidP="001F3FD2">
      <w:pPr>
        <w:rPr>
          <w:rFonts w:cs="Arial"/>
          <w:color w:val="000000" w:themeColor="text1"/>
          <w:szCs w:val="16"/>
        </w:rPr>
      </w:pPr>
      <w:r w:rsidRPr="00ED172B">
        <w:rPr>
          <w:color w:val="000000" w:themeColor="text1"/>
          <w:szCs w:val="16"/>
        </w:rPr>
        <w:t xml:space="preserve">The public health measures necessitated by the COVID-19 pandemic had an undeniable effect on these data. Many LEAs were closed from March 2020 until the September 2020, when they began operating in a remote capacity. </w:t>
      </w:r>
    </w:p>
    <w:p w14:paraId="2047F371" w14:textId="77777777" w:rsidR="001F3FD2" w:rsidRPr="00ED172B" w:rsidRDefault="001F3FD2" w:rsidP="00C1714A">
      <w:pPr>
        <w:rPr>
          <w:rFonts w:cs="Arial"/>
          <w:color w:val="000000" w:themeColor="text1"/>
          <w:szCs w:val="16"/>
        </w:rPr>
      </w:pPr>
    </w:p>
    <w:p w14:paraId="5CC6B66B" w14:textId="51C85E21"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03D3A642" w14:textId="27845084" w:rsidR="003C1AB9" w:rsidRPr="00ED172B" w:rsidRDefault="00860830" w:rsidP="003C1AB9">
      <w:pPr>
        <w:rPr>
          <w:color w:val="000000" w:themeColor="text1"/>
          <w:szCs w:val="16"/>
        </w:rPr>
      </w:pPr>
      <w:r w:rsidRPr="00ED172B">
        <w:rPr>
          <w:color w:val="000000" w:themeColor="text1"/>
          <w:szCs w:val="16"/>
        </w:rPr>
        <w:t xml:space="preserve">These data are collected from MA-C's state database. Local programs are responsible for the LEA notification; after a notification is made, the EIS provider updates the child's record in the state database to document the date on which the LEA notification was sent. </w:t>
      </w:r>
    </w:p>
    <w:p w14:paraId="1A1195D9" w14:textId="5A774785"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2CFFAAE9" w14:textId="721085BB" w:rsidR="00C476A6" w:rsidRDefault="00C476A6" w:rsidP="003C1AB9">
      <w:pPr>
        <w:rPr>
          <w:color w:val="000000" w:themeColor="text1"/>
          <w:szCs w:val="16"/>
        </w:rPr>
      </w:pPr>
      <w:r w:rsidRPr="00ED172B">
        <w:rPr>
          <w:color w:val="000000" w:themeColor="text1"/>
          <w:szCs w:val="16"/>
        </w:rPr>
        <w:t>YES</w:t>
      </w:r>
    </w:p>
    <w:p w14:paraId="5B060883" w14:textId="1855C3FD" w:rsidR="00C476A6" w:rsidRPr="00ED172B" w:rsidRDefault="00C476A6" w:rsidP="003C1AB9">
      <w:pPr>
        <w:rPr>
          <w:b/>
          <w:color w:val="000000" w:themeColor="text1"/>
          <w:szCs w:val="16"/>
        </w:rPr>
      </w:pPr>
      <w:r w:rsidRPr="00ED172B">
        <w:rPr>
          <w:b/>
          <w:color w:val="000000" w:themeColor="text1"/>
          <w:szCs w:val="16"/>
        </w:rPr>
        <w:t>If yes, is the policy on file with the Department? (yes/no)</w:t>
      </w:r>
    </w:p>
    <w:p w14:paraId="2D4C7284" w14:textId="05A1EF1F" w:rsidR="00C476A6" w:rsidRDefault="00C476A6" w:rsidP="003C1AB9">
      <w:pPr>
        <w:rPr>
          <w:color w:val="000000" w:themeColor="text1"/>
          <w:szCs w:val="16"/>
        </w:rPr>
      </w:pPr>
      <w:r w:rsidRPr="00ED172B">
        <w:rPr>
          <w:color w:val="000000" w:themeColor="text1"/>
          <w:szCs w:val="16"/>
        </w:rPr>
        <w:t>YES</w:t>
      </w:r>
    </w:p>
    <w:p w14:paraId="4631D06C"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78FA67A8" w14:textId="43588CA2" w:rsidR="000709B9" w:rsidRDefault="00860830" w:rsidP="00B83404">
      <w:pPr>
        <w:rPr>
          <w:color w:val="000000" w:themeColor="text1"/>
        </w:rPr>
      </w:pPr>
      <w:r w:rsidRPr="00ED172B">
        <w:rPr>
          <w:color w:val="000000" w:themeColor="text1"/>
        </w:rPr>
        <w:t>State database</w:t>
      </w:r>
    </w:p>
    <w:p w14:paraId="107C7D72" w14:textId="2784E578"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12E53171" w14:textId="271EAFE5" w:rsidR="000709B9" w:rsidRPr="00ED172B" w:rsidRDefault="00860830" w:rsidP="000709B9">
      <w:pPr>
        <w:rPr>
          <w:color w:val="000000" w:themeColor="text1"/>
        </w:rPr>
      </w:pPr>
      <w:r w:rsidRPr="00ED172B">
        <w:rPr>
          <w:color w:val="000000" w:themeColor="text1"/>
        </w:rPr>
        <w:t>MA-C uses the full reporting period to collect these data: July 1, 2020-June 30, 2021.</w:t>
      </w:r>
    </w:p>
    <w:p w14:paraId="7DA68A46" w14:textId="0572035E"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7913918B" w14:textId="1A88B429" w:rsidR="000709B9" w:rsidRDefault="00860830" w:rsidP="000709B9">
      <w:pPr>
        <w:rPr>
          <w:rFonts w:cs="Arial"/>
          <w:color w:val="000000" w:themeColor="text1"/>
          <w:szCs w:val="16"/>
        </w:rPr>
      </w:pPr>
      <w:r w:rsidRPr="00ED172B">
        <w:rPr>
          <w:rFonts w:cs="Arial"/>
          <w:color w:val="000000" w:themeColor="text1"/>
          <w:szCs w:val="16"/>
        </w:rPr>
        <w:t>These data accurately reflect data for infants and toddlers with IFSPs for the full reporting period because the include all toddlers with disabilities exiting Part C who were potentially eligible for Part B whose families did not opt-out of such notification.</w:t>
      </w:r>
    </w:p>
    <w:p w14:paraId="608340F2" w14:textId="0ECFEC2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265F7C53" w14:textId="7585271E" w:rsidR="003A3693" w:rsidRPr="00ED172B" w:rsidRDefault="003A3693" w:rsidP="003A3693">
      <w:pPr>
        <w:rPr>
          <w:rFonts w:cs="Arial"/>
          <w:color w:val="000000" w:themeColor="text1"/>
          <w:szCs w:val="16"/>
        </w:rPr>
      </w:pPr>
    </w:p>
    <w:p w14:paraId="6D5F3961" w14:textId="32EB1ADD" w:rsidR="008203B4" w:rsidRPr="00ED172B" w:rsidRDefault="008203B4" w:rsidP="00B83404">
      <w:pPr>
        <w:rPr>
          <w:color w:val="000000" w:themeColor="text1"/>
        </w:rPr>
      </w:pPr>
      <w:r w:rsidRPr="00ED172B">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C08BPFFYNCFINDINGS"/>
      </w:tblPr>
      <w:tblGrid>
        <w:gridCol w:w="2610"/>
        <w:gridCol w:w="2741"/>
        <w:gridCol w:w="2618"/>
        <w:gridCol w:w="2821"/>
      </w:tblGrid>
      <w:tr w:rsidR="00ED172B" w:rsidRPr="00ED172B" w14:paraId="53712311" w14:textId="77777777" w:rsidTr="00986B99">
        <w:trPr>
          <w:tblHeader/>
        </w:trPr>
        <w:tc>
          <w:tcPr>
            <w:tcW w:w="1210" w:type="pct"/>
            <w:shd w:val="clear" w:color="auto" w:fill="auto"/>
            <w:vAlign w:val="bottom"/>
          </w:tcPr>
          <w:p w14:paraId="79291EF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3995FD1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4A1C267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34FC706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FC104FA" w14:textId="77777777" w:rsidTr="00986B99">
        <w:tc>
          <w:tcPr>
            <w:tcW w:w="1210" w:type="pct"/>
            <w:shd w:val="clear" w:color="auto" w:fill="auto"/>
          </w:tcPr>
          <w:p w14:paraId="365B227C" w14:textId="33AB4B70" w:rsidR="008203B4" w:rsidRPr="00ED172B" w:rsidRDefault="00860830" w:rsidP="00ED172B">
            <w:pPr>
              <w:jc w:val="center"/>
              <w:rPr>
                <w:rFonts w:cs="Arial"/>
                <w:color w:val="000000" w:themeColor="text1"/>
                <w:szCs w:val="16"/>
              </w:rPr>
            </w:pPr>
            <w:r w:rsidRPr="00ED172B">
              <w:rPr>
                <w:rFonts w:cs="Arial"/>
                <w:color w:val="000000" w:themeColor="text1"/>
                <w:szCs w:val="16"/>
              </w:rPr>
              <w:t>2</w:t>
            </w:r>
          </w:p>
        </w:tc>
        <w:tc>
          <w:tcPr>
            <w:tcW w:w="1270" w:type="pct"/>
            <w:shd w:val="clear" w:color="auto" w:fill="auto"/>
          </w:tcPr>
          <w:p w14:paraId="6146CAAF" w14:textId="53F3D613" w:rsidR="008203B4" w:rsidRPr="00ED172B" w:rsidRDefault="00860830" w:rsidP="00ED172B">
            <w:pPr>
              <w:jc w:val="center"/>
              <w:rPr>
                <w:rFonts w:cs="Arial"/>
                <w:color w:val="000000" w:themeColor="text1"/>
                <w:szCs w:val="16"/>
              </w:rPr>
            </w:pPr>
            <w:r w:rsidRPr="00ED172B">
              <w:rPr>
                <w:rFonts w:cs="Arial"/>
                <w:color w:val="000000" w:themeColor="text1"/>
                <w:szCs w:val="16"/>
              </w:rPr>
              <w:t>2</w:t>
            </w:r>
          </w:p>
        </w:tc>
        <w:tc>
          <w:tcPr>
            <w:tcW w:w="1213" w:type="pct"/>
            <w:shd w:val="clear" w:color="auto" w:fill="auto"/>
          </w:tcPr>
          <w:p w14:paraId="73DA7B08" w14:textId="5CC5A5B0" w:rsidR="008203B4" w:rsidRPr="00ED172B" w:rsidRDefault="008203B4" w:rsidP="00ED172B">
            <w:pPr>
              <w:jc w:val="center"/>
              <w:rPr>
                <w:rFonts w:cs="Arial"/>
                <w:color w:val="000000" w:themeColor="text1"/>
                <w:szCs w:val="16"/>
              </w:rPr>
            </w:pPr>
          </w:p>
        </w:tc>
        <w:tc>
          <w:tcPr>
            <w:tcW w:w="1308" w:type="pct"/>
            <w:shd w:val="clear" w:color="auto" w:fill="auto"/>
          </w:tcPr>
          <w:p w14:paraId="1FAECB7C" w14:textId="288F3E14" w:rsidR="008203B4" w:rsidRPr="00ED172B" w:rsidRDefault="00860830" w:rsidP="00CD79C5">
            <w:pPr>
              <w:rPr>
                <w:rFonts w:cs="Arial"/>
                <w:color w:val="000000" w:themeColor="text1"/>
                <w:szCs w:val="16"/>
              </w:rPr>
            </w:pPr>
            <w:r w:rsidRPr="00ED172B">
              <w:rPr>
                <w:rFonts w:cs="Arial"/>
                <w:color w:val="000000" w:themeColor="text1"/>
                <w:szCs w:val="16"/>
              </w:rPr>
              <w:t>0</w:t>
            </w:r>
          </w:p>
        </w:tc>
      </w:tr>
    </w:tbl>
    <w:p w14:paraId="4C9152CD" w14:textId="00726149" w:rsidR="008203B4" w:rsidRPr="00ED172B" w:rsidRDefault="00CD74B5" w:rsidP="00B83404">
      <w:pPr>
        <w:rPr>
          <w:color w:val="000000" w:themeColor="text1"/>
        </w:rPr>
      </w:pPr>
      <w:r>
        <w:rPr>
          <w:b/>
          <w:color w:val="000000" w:themeColor="text1"/>
        </w:rPr>
        <w:t>FFY 2019 Findings of Noncompliance Verified as Corrected</w:t>
      </w:r>
    </w:p>
    <w:p w14:paraId="7E226A65" w14:textId="1B98DA5D" w:rsidR="008203B4" w:rsidRPr="00ED172B" w:rsidRDefault="008203B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0958A26D" w14:textId="3A17A487" w:rsidR="008203B4" w:rsidRPr="00ED172B" w:rsidRDefault="00860830" w:rsidP="008203B4">
      <w:pPr>
        <w:rPr>
          <w:rFonts w:cs="Arial"/>
          <w:color w:val="000000" w:themeColor="text1"/>
          <w:szCs w:val="16"/>
        </w:rPr>
      </w:pPr>
      <w:r w:rsidRPr="00ED172B">
        <w:rPr>
          <w:rFonts w:cs="Arial"/>
          <w:color w:val="000000" w:themeColor="text1"/>
          <w:szCs w:val="16"/>
        </w:rPr>
        <w:t xml:space="preserve">The Lead Agency (MA-C) identified FFY2019 noncompliance through annual monitoring of its state database, implementing a process to distinguish inaccurate implementation of the regulatory requirement from inaccurate or delayed data entry. </w:t>
      </w:r>
      <w:r w:rsidRPr="00ED172B">
        <w:rPr>
          <w:rFonts w:cs="Arial"/>
          <w:color w:val="000000" w:themeColor="text1"/>
          <w:szCs w:val="16"/>
        </w:rPr>
        <w:br/>
      </w:r>
      <w:r w:rsidRPr="00ED172B">
        <w:rPr>
          <w:rFonts w:cs="Arial"/>
          <w:color w:val="000000" w:themeColor="text1"/>
          <w:szCs w:val="16"/>
        </w:rPr>
        <w:br/>
        <w:t xml:space="preserve">First, MA-C notified Local programs of each instance of noncompliance or missing data (i.e., each toddler whose record did not demonstrate notification to the LEA and SEA occurred on time). Local programs were required to review their paper records for each instance of noncompliance within 30 days. </w:t>
      </w:r>
      <w:r w:rsidRPr="00ED172B">
        <w:rPr>
          <w:rFonts w:cs="Arial"/>
          <w:color w:val="000000" w:themeColor="text1"/>
          <w:szCs w:val="16"/>
        </w:rPr>
        <w:lastRenderedPageBreak/>
        <w:t xml:space="preserve">Local programs reported back to MA-C either (1) to confirm the instance of noncompliance or (2) to identify it as an error in data entry and provide corrected information. In this case, MA-C updated the state database to reflect corrected data and reanalyzed the local program’s compliance for Indicator 8B. </w:t>
      </w:r>
      <w:r w:rsidRPr="00ED172B">
        <w:rPr>
          <w:rFonts w:cs="Arial"/>
          <w:color w:val="000000" w:themeColor="text1"/>
          <w:szCs w:val="16"/>
        </w:rPr>
        <w:br/>
      </w:r>
      <w:r w:rsidRPr="00ED172B">
        <w:rPr>
          <w:rFonts w:cs="Arial"/>
          <w:color w:val="000000" w:themeColor="text1"/>
          <w:szCs w:val="16"/>
        </w:rPr>
        <w:br/>
        <w:t xml:space="preserve">Next, MA-C confirmed 2 cases of noncompliance in FFY2019 through annual monitoring of its state database. As described above, MA-C verified that the source of noncompliance was incorrect implementation of the regulatory requirement. MA-C evaluated noncompliance for each local program. First, MA-C evaluated the extent of noncompliance by considering a local program’s history of noncompliance and amount of noncompliance in FFY2019. Next, a root cause analysis was conducted for the local program’s noncompliance. For local programs with noncompliance equal to or less than 75%, MA-C led the analysis and determined if the noncompliance was isolated or systemic. For local programs with noncompliance equal to or greater than 85%, the local program led the analysis and determined if the noncompliance was isolated or systemic. All local programs demonstrating less than 95% compliance were placed on Corrective Action Plans (CAPs). Terms of CAPs differed based on the root-cause analysis, the amount of noncompliance, and a local program’s history of noncompliance. MA-C documented the CAPs in Microsoft Excel database that lists all CAPs for the reporting year. After the local program met all the conditions of its CAP, MA-C notified them in writing that the CAP was completed and closed. </w:t>
      </w:r>
      <w:r w:rsidRPr="00ED172B">
        <w:rPr>
          <w:rFonts w:cs="Arial"/>
          <w:color w:val="000000" w:themeColor="text1"/>
          <w:szCs w:val="16"/>
        </w:rPr>
        <w:br/>
      </w:r>
      <w:r w:rsidRPr="00ED172B">
        <w:rPr>
          <w:rFonts w:cs="Arial"/>
          <w:color w:val="000000" w:themeColor="text1"/>
          <w:szCs w:val="16"/>
        </w:rPr>
        <w:br/>
        <w:t>Third, MA-C verified ongoing compliance from the local program within 90 calendar days of the CAP being closed. The procedures used differed based on the type of noncompliance (i.e., isolated or systemic). For local programs with isolated non-compliance, MA-C sampled 10 child records at random using the data from the first quarter of state fiscal year 2021 (i.e., July-October 2020). For local programs with systemic non-compliance, MA-C sampled data from one month (additional months as needed) to be able to sample 10 children for the indicator where systemic non-compliance was determined. MA-C documented its verification in its Microsoft Excel database that lists all CAPs for the reporting year. MA-C notified each local program in writing that compliance had been reached. To date, all FFY2019 findings of noncompliance have been corrected and verified by MA-C.</w:t>
      </w:r>
    </w:p>
    <w:p w14:paraId="285BDB48" w14:textId="7AE03ACA" w:rsidR="008203B4" w:rsidRPr="00ED172B" w:rsidRDefault="008203B4" w:rsidP="00950382">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66F82F06" w14:textId="41277CC3" w:rsidR="008203B4" w:rsidRDefault="00860830" w:rsidP="008203B4">
      <w:pPr>
        <w:rPr>
          <w:rFonts w:cs="Arial"/>
          <w:color w:val="000000" w:themeColor="text1"/>
          <w:szCs w:val="16"/>
        </w:rPr>
      </w:pPr>
      <w:r w:rsidRPr="00ED172B">
        <w:rPr>
          <w:rFonts w:cs="Arial"/>
          <w:color w:val="000000" w:themeColor="text1"/>
          <w:szCs w:val="16"/>
        </w:rPr>
        <w:t>After MA-C verified ongoing compliance at the program level, MA-C reviewed data within the state database to determine the outcome each individual instance of noncompliance at the child level. For each child, it MA-C determined if notification was sent to the LEA and SEA, although late, or if the notification could not be sent as the child was no longer within MA-C's jurisdiction (i.e., the child had exited Part C services). This analysis demonstrated that for both children, notification was provided to the LEA and SEA, although late.</w:t>
      </w:r>
    </w:p>
    <w:p w14:paraId="1AAE6B0A" w14:textId="216EB0E7" w:rsidR="008203B4" w:rsidRPr="00ED172B" w:rsidRDefault="008203B4" w:rsidP="00B83404">
      <w:pPr>
        <w:rPr>
          <w:color w:val="000000" w:themeColor="text1"/>
        </w:rPr>
      </w:pPr>
      <w:r w:rsidRPr="00ED172B">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C08BPPFFYNCFINDINGS"/>
      </w:tblPr>
      <w:tblGrid>
        <w:gridCol w:w="2005"/>
        <w:gridCol w:w="3185"/>
        <w:gridCol w:w="2857"/>
        <w:gridCol w:w="2743"/>
      </w:tblGrid>
      <w:tr w:rsidR="00ED172B" w:rsidRPr="00ED172B" w14:paraId="67C85C4C" w14:textId="77777777" w:rsidTr="00986B99">
        <w:trPr>
          <w:tblHeader/>
        </w:trPr>
        <w:tc>
          <w:tcPr>
            <w:tcW w:w="929" w:type="pct"/>
            <w:shd w:val="clear" w:color="auto" w:fill="auto"/>
            <w:vAlign w:val="bottom"/>
          </w:tcPr>
          <w:p w14:paraId="304D204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shd w:val="clear" w:color="auto" w:fill="auto"/>
            <w:vAlign w:val="bottom"/>
          </w:tcPr>
          <w:p w14:paraId="19DBD567" w14:textId="2E8561C4"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2019 APR</w:t>
            </w:r>
          </w:p>
        </w:tc>
        <w:tc>
          <w:tcPr>
            <w:tcW w:w="1324" w:type="pct"/>
            <w:shd w:val="clear" w:color="auto" w:fill="auto"/>
            <w:vAlign w:val="bottom"/>
          </w:tcPr>
          <w:p w14:paraId="21969E3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shd w:val="clear" w:color="auto" w:fill="auto"/>
            <w:vAlign w:val="bottom"/>
          </w:tcPr>
          <w:p w14:paraId="2A3FAC7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7FAC234" w14:textId="77777777" w:rsidTr="00986B99">
        <w:tc>
          <w:tcPr>
            <w:tcW w:w="929" w:type="pct"/>
            <w:shd w:val="clear" w:color="auto" w:fill="auto"/>
          </w:tcPr>
          <w:p w14:paraId="0C89AE3F" w14:textId="04BB92FE" w:rsidR="008203B4" w:rsidRPr="00ED172B" w:rsidRDefault="008203B4" w:rsidP="00CD79C5">
            <w:pPr>
              <w:rPr>
                <w:rFonts w:cs="Arial"/>
                <w:color w:val="000000" w:themeColor="text1"/>
                <w:szCs w:val="16"/>
              </w:rPr>
            </w:pPr>
          </w:p>
        </w:tc>
        <w:tc>
          <w:tcPr>
            <w:tcW w:w="1476" w:type="pct"/>
            <w:shd w:val="clear" w:color="auto" w:fill="auto"/>
          </w:tcPr>
          <w:p w14:paraId="18EE6A2D" w14:textId="2B02CD87" w:rsidR="008203B4" w:rsidRPr="00ED172B" w:rsidRDefault="008203B4" w:rsidP="00CD79C5">
            <w:pPr>
              <w:jc w:val="center"/>
              <w:rPr>
                <w:rFonts w:cs="Arial"/>
                <w:noProof/>
                <w:color w:val="000000" w:themeColor="text1"/>
                <w:szCs w:val="16"/>
              </w:rPr>
            </w:pPr>
          </w:p>
        </w:tc>
        <w:tc>
          <w:tcPr>
            <w:tcW w:w="1324" w:type="pct"/>
            <w:shd w:val="clear" w:color="auto" w:fill="auto"/>
          </w:tcPr>
          <w:p w14:paraId="0D6BF82C" w14:textId="259370D0" w:rsidR="008203B4" w:rsidRPr="00ED172B" w:rsidRDefault="008203B4" w:rsidP="00CD79C5">
            <w:pPr>
              <w:jc w:val="center"/>
              <w:rPr>
                <w:rFonts w:cs="Arial"/>
                <w:noProof/>
                <w:color w:val="000000" w:themeColor="text1"/>
                <w:szCs w:val="16"/>
              </w:rPr>
            </w:pPr>
          </w:p>
        </w:tc>
        <w:tc>
          <w:tcPr>
            <w:tcW w:w="1271" w:type="pct"/>
            <w:shd w:val="clear" w:color="auto" w:fill="auto"/>
          </w:tcPr>
          <w:p w14:paraId="021C6FD4" w14:textId="245B9AF4" w:rsidR="008203B4" w:rsidRPr="00ED172B" w:rsidRDefault="008203B4" w:rsidP="00CD79C5">
            <w:pPr>
              <w:jc w:val="center"/>
              <w:rPr>
                <w:rFonts w:cs="Arial"/>
                <w:noProof/>
                <w:color w:val="000000" w:themeColor="text1"/>
                <w:szCs w:val="16"/>
              </w:rPr>
            </w:pPr>
          </w:p>
        </w:tc>
      </w:tr>
      <w:tr w:rsidR="00ED172B" w:rsidRPr="00ED172B" w14:paraId="6E9AA680" w14:textId="77777777" w:rsidTr="00986B99">
        <w:tc>
          <w:tcPr>
            <w:tcW w:w="929" w:type="pct"/>
            <w:shd w:val="clear" w:color="auto" w:fill="auto"/>
          </w:tcPr>
          <w:p w14:paraId="09F9027D" w14:textId="69544FBD" w:rsidR="008203B4" w:rsidRPr="00ED172B" w:rsidRDefault="008203B4" w:rsidP="00CD79C5">
            <w:pPr>
              <w:rPr>
                <w:rFonts w:cs="Arial"/>
                <w:color w:val="000000" w:themeColor="text1"/>
                <w:szCs w:val="16"/>
              </w:rPr>
            </w:pPr>
          </w:p>
        </w:tc>
        <w:tc>
          <w:tcPr>
            <w:tcW w:w="1476" w:type="pct"/>
            <w:shd w:val="clear" w:color="auto" w:fill="auto"/>
          </w:tcPr>
          <w:p w14:paraId="30E1255E" w14:textId="62840257" w:rsidR="008203B4" w:rsidRPr="00ED172B" w:rsidRDefault="008203B4" w:rsidP="00CD79C5">
            <w:pPr>
              <w:jc w:val="center"/>
              <w:rPr>
                <w:rFonts w:cs="Arial"/>
                <w:noProof/>
                <w:color w:val="000000" w:themeColor="text1"/>
                <w:szCs w:val="16"/>
              </w:rPr>
            </w:pPr>
          </w:p>
        </w:tc>
        <w:tc>
          <w:tcPr>
            <w:tcW w:w="1324" w:type="pct"/>
            <w:shd w:val="clear" w:color="auto" w:fill="auto"/>
          </w:tcPr>
          <w:p w14:paraId="48634437" w14:textId="19C6DF89" w:rsidR="008203B4" w:rsidRPr="00ED172B" w:rsidRDefault="008203B4" w:rsidP="00CD79C5">
            <w:pPr>
              <w:jc w:val="center"/>
              <w:rPr>
                <w:rFonts w:cs="Arial"/>
                <w:noProof/>
                <w:color w:val="000000" w:themeColor="text1"/>
                <w:szCs w:val="16"/>
              </w:rPr>
            </w:pPr>
          </w:p>
        </w:tc>
        <w:tc>
          <w:tcPr>
            <w:tcW w:w="1271" w:type="pct"/>
            <w:shd w:val="clear" w:color="auto" w:fill="auto"/>
          </w:tcPr>
          <w:p w14:paraId="233CCD3F" w14:textId="7D7A4788" w:rsidR="008203B4" w:rsidRPr="00ED172B" w:rsidRDefault="008203B4" w:rsidP="00CD79C5">
            <w:pPr>
              <w:jc w:val="center"/>
              <w:rPr>
                <w:rFonts w:cs="Arial"/>
                <w:noProof/>
                <w:color w:val="000000" w:themeColor="text1"/>
                <w:szCs w:val="16"/>
              </w:rPr>
            </w:pPr>
          </w:p>
        </w:tc>
      </w:tr>
      <w:tr w:rsidR="00ED172B" w:rsidRPr="00ED172B" w14:paraId="6101D2C3" w14:textId="77777777" w:rsidTr="00986B99">
        <w:tc>
          <w:tcPr>
            <w:tcW w:w="929" w:type="pct"/>
            <w:shd w:val="clear" w:color="auto" w:fill="auto"/>
          </w:tcPr>
          <w:p w14:paraId="3DF27AAE" w14:textId="57173885" w:rsidR="008203B4" w:rsidRPr="00ED172B" w:rsidRDefault="008203B4" w:rsidP="00CD79C5">
            <w:pPr>
              <w:rPr>
                <w:rFonts w:cs="Arial"/>
                <w:color w:val="000000" w:themeColor="text1"/>
                <w:szCs w:val="16"/>
              </w:rPr>
            </w:pPr>
          </w:p>
        </w:tc>
        <w:tc>
          <w:tcPr>
            <w:tcW w:w="1476" w:type="pct"/>
            <w:shd w:val="clear" w:color="auto" w:fill="auto"/>
          </w:tcPr>
          <w:p w14:paraId="1A593A8F" w14:textId="30E039EF" w:rsidR="008203B4" w:rsidRPr="00ED172B" w:rsidRDefault="008203B4" w:rsidP="00CD79C5">
            <w:pPr>
              <w:jc w:val="center"/>
              <w:rPr>
                <w:rFonts w:cs="Arial"/>
                <w:noProof/>
                <w:color w:val="000000" w:themeColor="text1"/>
                <w:szCs w:val="16"/>
              </w:rPr>
            </w:pPr>
          </w:p>
        </w:tc>
        <w:tc>
          <w:tcPr>
            <w:tcW w:w="1324" w:type="pct"/>
            <w:shd w:val="clear" w:color="auto" w:fill="auto"/>
          </w:tcPr>
          <w:p w14:paraId="6C282F27" w14:textId="22019EAC" w:rsidR="008203B4" w:rsidRPr="00ED172B" w:rsidRDefault="008203B4" w:rsidP="00CD79C5">
            <w:pPr>
              <w:jc w:val="center"/>
              <w:rPr>
                <w:rFonts w:cs="Arial"/>
                <w:noProof/>
                <w:color w:val="000000" w:themeColor="text1"/>
                <w:szCs w:val="16"/>
              </w:rPr>
            </w:pPr>
          </w:p>
        </w:tc>
        <w:tc>
          <w:tcPr>
            <w:tcW w:w="1271" w:type="pct"/>
            <w:shd w:val="clear" w:color="auto" w:fill="auto"/>
          </w:tcPr>
          <w:p w14:paraId="5CA5D5A4" w14:textId="3330E222" w:rsidR="008203B4" w:rsidRPr="00ED172B" w:rsidRDefault="008203B4" w:rsidP="00CD79C5">
            <w:pPr>
              <w:jc w:val="center"/>
              <w:rPr>
                <w:rFonts w:cs="Arial"/>
                <w:noProof/>
                <w:color w:val="000000" w:themeColor="text1"/>
                <w:szCs w:val="16"/>
              </w:rPr>
            </w:pPr>
          </w:p>
        </w:tc>
      </w:tr>
    </w:tbl>
    <w:p w14:paraId="6BC401D6" w14:textId="0B4AC648" w:rsidR="008203B4" w:rsidRPr="00A40EE1" w:rsidRDefault="000D0117" w:rsidP="007B0787">
      <w:pPr>
        <w:pStyle w:val="Heading2"/>
      </w:pPr>
      <w:r w:rsidRPr="00A40EE1">
        <w:t xml:space="preserve">8B - </w:t>
      </w:r>
      <w:r w:rsidR="008203B4" w:rsidRPr="00A40EE1">
        <w:t>Prior FFY Required Actions</w:t>
      </w:r>
    </w:p>
    <w:p w14:paraId="2F3B8835" w14:textId="0AD36B8F" w:rsidR="004C1CEE" w:rsidRPr="00ED172B" w:rsidRDefault="00320806" w:rsidP="008203B4">
      <w:pPr>
        <w:rPr>
          <w:rFonts w:cs="Arial"/>
          <w:color w:val="000000" w:themeColor="text1"/>
          <w:szCs w:val="16"/>
        </w:rPr>
      </w:pPr>
      <w:r w:rsidRPr="00ED172B">
        <w:rPr>
          <w:color w:val="000000" w:themeColor="text1"/>
        </w:rPr>
        <w:t xml:space="preserve">Because the State reported less than 100% compliance for FFY 2019, the State must report on the status of correction of noncompliance identified in FFY 2019 for this indicator. When reporting on the correction of noncompliance, the State must report, in the FFY 2020 SPP/APR, that it has verified that each EIS program or provider with noncompliance identified in FFY 2019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2020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2019, although its FFY 2019 data reflect less than 100% compliance, provide an explanation of why the State did not identify any findings of noncompliance in FFY 2019.</w:t>
      </w:r>
      <w:r w:rsidRPr="00ED172B">
        <w:rPr>
          <w:color w:val="000000" w:themeColor="text1"/>
        </w:rPr>
        <w:br/>
      </w:r>
      <w:r w:rsidRPr="00ED172B">
        <w:rPr>
          <w:color w:val="000000" w:themeColor="text1"/>
        </w:rPr>
        <w:br/>
        <w:t xml:space="preserve">The State did not report that it identified any findings of noncompliance in FFY 2018, although its FFY 2018 data reflect less than 100% compliance. In the FFY 2020 SPP/APR, the State must provide an explanation of why it did not identify any findings of noncompliance in FFY 2018. </w:t>
      </w:r>
    </w:p>
    <w:p w14:paraId="38009665" w14:textId="4E04597E" w:rsidR="008203B4" w:rsidRPr="00ED172B" w:rsidRDefault="008203B4" w:rsidP="00B83404">
      <w:pPr>
        <w:rPr>
          <w:color w:val="000000" w:themeColor="text1"/>
        </w:rPr>
      </w:pPr>
      <w:r w:rsidRPr="00ED172B">
        <w:rPr>
          <w:b/>
          <w:color w:val="000000" w:themeColor="text1"/>
        </w:rPr>
        <w:t>Response to actions required in FFY 2019 SPP/APR</w:t>
      </w:r>
      <w:r w:rsidR="00950382" w:rsidRPr="00ED172B">
        <w:rPr>
          <w:color w:val="000000" w:themeColor="text1"/>
        </w:rPr>
        <w:t xml:space="preserve"> </w:t>
      </w:r>
    </w:p>
    <w:p w14:paraId="3B4843EA" w14:textId="2A07CA87" w:rsidR="004C1CEE" w:rsidRPr="00ED172B" w:rsidRDefault="00027F39" w:rsidP="00027F39">
      <w:pPr>
        <w:rPr>
          <w:color w:val="000000" w:themeColor="text1"/>
        </w:rPr>
      </w:pPr>
      <w:r w:rsidRPr="00ED172B">
        <w:rPr>
          <w:color w:val="000000" w:themeColor="text1"/>
        </w:rPr>
        <w:t>The Lead Agency (MA-C) identified FFY18 noncompliance through annual monitoring of its state database, implementing a process to distinguish inaccurate implementation of the regulatory requirement from inaccurate or delayed data entry.</w:t>
      </w:r>
      <w:r w:rsidRPr="00ED172B">
        <w:rPr>
          <w:color w:val="000000" w:themeColor="text1"/>
        </w:rPr>
        <w:br/>
      </w:r>
      <w:r w:rsidRPr="00ED172B">
        <w:rPr>
          <w:color w:val="000000" w:themeColor="text1"/>
        </w:rPr>
        <w:br/>
        <w:t xml:space="preserve">In FFY18, MA-C determined that of the 14 children with noncompliant records, notification had been provided to the SEA and LEA in a timely manner for four children. The apparent delay resulted from a data-entry error. Notification to the SEA and LEA was provided to all 10 of the remaining children, although late. </w:t>
      </w:r>
      <w:r w:rsidRPr="00ED172B">
        <w:rPr>
          <w:color w:val="000000" w:themeColor="text1"/>
        </w:rPr>
        <w:br/>
      </w:r>
      <w:r w:rsidRPr="00ED172B">
        <w:rPr>
          <w:color w:val="000000" w:themeColor="text1"/>
        </w:rPr>
        <w:br/>
        <w:t>MA-C notified the local programs of the discovery of noncompliance. MA-C's General Supervision procedures allowed local programs with minimal noncompliance to correct noncompliance prior to the issuance of a written finding. Subsequent to the discovery of noncompliance, MA-C then verified correction of each instance of child-specific noncompliance. MA-C then reviewed updated program data and confirmed 100% compliance with each statutory or regulatory requirement with which noncompliance was identified.</w:t>
      </w:r>
      <w:r w:rsidRPr="00ED172B">
        <w:rPr>
          <w:color w:val="000000" w:themeColor="text1"/>
        </w:rPr>
        <w:br/>
      </w:r>
      <w:r w:rsidRPr="00ED172B">
        <w:rPr>
          <w:color w:val="000000" w:themeColor="text1"/>
        </w:rPr>
        <w:br/>
        <w:t xml:space="preserve">To verify the accuracy of data, MA-C notified local programs of each instance of noncompliance or missing data (i.e., each toddler whose record did not demonstrate timely provision of services) in FFY18. Local programs were required to review their paper records for each instance of noncompliance within 30 days. Local programs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8B in FFY18 through annual monitoring of its state database. </w:t>
      </w:r>
      <w:r w:rsidRPr="00ED172B">
        <w:rPr>
          <w:color w:val="000000" w:themeColor="text1"/>
        </w:rPr>
        <w:br/>
      </w:r>
      <w:r w:rsidRPr="00ED172B">
        <w:rPr>
          <w:color w:val="000000" w:themeColor="text1"/>
        </w:rPr>
        <w:br/>
        <w:t xml:space="preserve">MA-C required the correction of every instance of FFY18 noncompliance. As stated above, MA-C determined that SEA and LEA notification was provided for 10 children, although late. </w:t>
      </w:r>
      <w:r w:rsidRPr="00ED172B">
        <w:rPr>
          <w:color w:val="000000" w:themeColor="text1"/>
        </w:rPr>
        <w:br/>
      </w:r>
      <w:r w:rsidRPr="00ED172B">
        <w:rPr>
          <w:color w:val="000000" w:themeColor="text1"/>
        </w:rPr>
        <w:br/>
      </w:r>
      <w:r w:rsidRPr="00ED172B">
        <w:rPr>
          <w:color w:val="000000" w:themeColor="text1"/>
        </w:rPr>
        <w:lastRenderedPageBreak/>
        <w:t>MA-C collected and reviewed updated data to verify timely correction of FFY18 noncompliance. MA-C’s specific procedures differed based on the extent of noncompliance and its root cause. For all local programs with compliance rates below 100%, MA-C sampled 10 child records at random using subsequent data from its state database and documented its verification in its records. MA-C notified each local program in writing that compliance had been reached. MA-C has verified that all local programs with less than 100% compliance in FFY18 has demonstrated ongoing compliance.</w:t>
      </w:r>
      <w:r w:rsidRPr="00ED172B">
        <w:rPr>
          <w:color w:val="000000" w:themeColor="text1"/>
        </w:rPr>
        <w:br/>
      </w:r>
      <w:r w:rsidRPr="00ED172B">
        <w:rPr>
          <w:color w:val="000000" w:themeColor="text1"/>
        </w:rPr>
        <w:br/>
        <w:t xml:space="preserve">Per PSC ticket # 22-04814AW, MA-C is unable to edit the data field in the 8B Indicator Data. For FFY18, there were 10 findings of noncompliance and as of April 2022, all 10 have been verified as corrected. </w:t>
      </w:r>
      <w:r w:rsidRPr="00ED172B">
        <w:rPr>
          <w:color w:val="000000" w:themeColor="text1"/>
        </w:rPr>
        <w:br/>
      </w:r>
      <w:r w:rsidRPr="00ED172B">
        <w:rPr>
          <w:color w:val="000000" w:themeColor="text1"/>
        </w:rPr>
        <w:br/>
        <w:t>In FFY19, MA-C originally reported 99.90% compliance and identified 9 children whose records did not reflect notification had been provided to LEA and SEA in a timely manner. MA-C subsequently reviewed data included its’ the state database and discovered an error in its earlier analysis: these data had not previously been assessed for data-entry errors. That is, it was determined that notification was sent for 7 children in a timely manner, and the EIS provider entering data into the state database made an error. Once these errors were resolved, MA-C identified only 2 children whose records did not reflect notification was in a timely manner. MA-C should have reported 99.98% compliant for FFY19. MA-C followed its differentiated procedures (described above) and verified each instance of noncompliance as corrected (i.e., notification was provided, although late).</w:t>
      </w:r>
    </w:p>
    <w:p w14:paraId="6A49C335" w14:textId="11A5537D" w:rsidR="008203B4" w:rsidRPr="00A40EE1" w:rsidRDefault="000D0117" w:rsidP="007B0787">
      <w:pPr>
        <w:pStyle w:val="Heading2"/>
      </w:pPr>
      <w:r w:rsidRPr="00A40EE1">
        <w:t xml:space="preserve">8B - </w:t>
      </w:r>
      <w:r w:rsidR="008203B4" w:rsidRPr="00A40EE1">
        <w:t>OSEP Response</w:t>
      </w:r>
    </w:p>
    <w:p w14:paraId="2AD2C922" w14:textId="1A8CB9FF" w:rsidR="008203B4" w:rsidRPr="00ED172B" w:rsidRDefault="00320806" w:rsidP="00320806">
      <w:pPr>
        <w:rPr>
          <w:color w:val="000000" w:themeColor="text1"/>
        </w:rPr>
      </w:pPr>
      <w:r w:rsidRPr="00ED172B">
        <w:rPr>
          <w:color w:val="000000" w:themeColor="text1"/>
        </w:rPr>
        <w:t>The State provided an explanation of how COVID-19 impacted its ability to collect FFY 2020 data for this indicator and steps the State has taken to mitigate the impact of COVID-19 on data collection.</w:t>
      </w:r>
      <w:r w:rsidRPr="00ED172B">
        <w:rPr>
          <w:color w:val="000000" w:themeColor="text1"/>
        </w:rPr>
        <w:br/>
      </w:r>
      <w:r w:rsidRPr="00ED172B">
        <w:rPr>
          <w:color w:val="000000" w:themeColor="text1"/>
        </w:rPr>
        <w:br/>
        <w:t>The State did not demonstrate that the EIS program or provider corrected the findings of noncompliance identified in FFY 2019 because it did not report that it verified correction of those findings, consistent with the requirements in OSEP Memo 09-02.  Specifically, the State did not report that that it verified that each EIS program or provider with noncompliance identified in FFY 2019 is correctly implementing the specific regulatory requirements (i.e., achieved 100% compliance) based on a review of updated data such as data subsequently collected through on-site monitoring or a State data system. When describing how it verified correction of findings of noncompliance identified in FFY 2019, the State reported " [a]ll local programs demonstrating less than 95% compliance were placed on Corrective Action Plans (CAPs)." OSEP cannot determine whether findings of noncompliance are issued to local programs regardless of the level of noncompliance identified.</w:t>
      </w:r>
    </w:p>
    <w:p w14:paraId="737AE102" w14:textId="64B3C8F0" w:rsidR="008203B4" w:rsidRPr="00A40EE1" w:rsidRDefault="000D0117" w:rsidP="007B0787">
      <w:pPr>
        <w:pStyle w:val="Heading2"/>
      </w:pPr>
      <w:r w:rsidRPr="00A40EE1">
        <w:t xml:space="preserve">8B - </w:t>
      </w:r>
      <w:r w:rsidR="008203B4" w:rsidRPr="00A40EE1">
        <w:t>Required Actions</w:t>
      </w:r>
    </w:p>
    <w:p w14:paraId="4C170AC1" w14:textId="4A171C6A" w:rsidR="008203B4" w:rsidRPr="00ED172B" w:rsidRDefault="00320806" w:rsidP="00320806">
      <w:pPr>
        <w:rPr>
          <w:color w:val="000000" w:themeColor="text1"/>
        </w:rPr>
      </w:pPr>
      <w:r w:rsidRPr="00ED172B">
        <w:rPr>
          <w:color w:val="000000" w:themeColor="text1"/>
        </w:rPr>
        <w:t xml:space="preserve">Because the State reported less than 100% compliance for FFY 2020, the State must report on the status of correction of noncompliance identified in FFY 2020 for this indicator. In addition, the State must demonstrate, in the FFY 2021 SPP/APR, that the two findings of noncompliance identified in FFY 2019 were corrected.  When reporting on the correction of noncompliance, the State must report, in the FFY 2021 SPP/APR, that it has verified that each EIS program or provider with findings of noncompliance identified in FFY 2020 and each EIS program or provider with remaining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2020, although its FFY 2020 data reflect less than 100% compliance, provide an explanation of why the State did not identify any findings of noncompliance in FFY 2020.</w:t>
      </w:r>
    </w:p>
    <w:p w14:paraId="6FEEB595" w14:textId="77777777" w:rsidR="00D77E41" w:rsidRPr="00ED172B" w:rsidRDefault="00D77E41">
      <w:pPr>
        <w:spacing w:before="0" w:after="200" w:line="276" w:lineRule="auto"/>
        <w:rPr>
          <w:rFonts w:eastAsiaTheme="majorEastAsia" w:cstheme="majorBidi"/>
          <w:b/>
          <w:bCs/>
          <w:color w:val="000000" w:themeColor="text1"/>
          <w:sz w:val="20"/>
          <w:szCs w:val="26"/>
        </w:rPr>
      </w:pPr>
      <w:r w:rsidRPr="00ED172B">
        <w:rPr>
          <w:color w:val="000000" w:themeColor="text1"/>
        </w:rPr>
        <w:br w:type="page"/>
      </w:r>
    </w:p>
    <w:p w14:paraId="33B9157B" w14:textId="08A2A379" w:rsidR="00D77E41" w:rsidRPr="00ED172B" w:rsidRDefault="00D77E41" w:rsidP="00D77E41">
      <w:pPr>
        <w:pStyle w:val="Heading1"/>
        <w:rPr>
          <w:color w:val="000000" w:themeColor="text1"/>
        </w:rPr>
      </w:pPr>
      <w:r w:rsidRPr="00ED172B">
        <w:rPr>
          <w:color w:val="000000" w:themeColor="text1"/>
        </w:rPr>
        <w:lastRenderedPageBreak/>
        <w:t>Indicator 8C: Early Childhood Transition</w:t>
      </w:r>
    </w:p>
    <w:p w14:paraId="5E79EF5E"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06E0C145" w14:textId="178AEB5F"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763188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2FB1EB09" w14:textId="725FF3C5"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57927E07" w14:textId="01E9F378"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29F9B081" w14:textId="6B97DD58"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6AF51628"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575FFFCE" w14:textId="77777777" w:rsidR="00D77E41" w:rsidRPr="00ED172B" w:rsidRDefault="00D77E41">
      <w:pPr>
        <w:rPr>
          <w:b/>
          <w:color w:val="000000" w:themeColor="text1"/>
        </w:rPr>
      </w:pPr>
      <w:r w:rsidRPr="00ED172B">
        <w:rPr>
          <w:b/>
          <w:color w:val="000000" w:themeColor="text1"/>
        </w:rPr>
        <w:t>Data Source</w:t>
      </w:r>
    </w:p>
    <w:p w14:paraId="18E564AB"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3353BE00" w14:textId="77777777" w:rsidR="00D77E41" w:rsidRPr="00ED172B" w:rsidRDefault="00D77E41">
      <w:pPr>
        <w:rPr>
          <w:b/>
          <w:color w:val="000000" w:themeColor="text1"/>
        </w:rPr>
      </w:pPr>
      <w:r w:rsidRPr="00ED172B">
        <w:rPr>
          <w:b/>
          <w:color w:val="000000" w:themeColor="text1"/>
        </w:rPr>
        <w:t>Measurement</w:t>
      </w:r>
    </w:p>
    <w:p w14:paraId="2EACE396" w14:textId="61509B8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39A3C650" w14:textId="1CC576EE"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5AFBB637" w14:textId="586B5641"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58A3CF1"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3509EAD" w14:textId="77777777" w:rsidR="00D77E41" w:rsidRPr="00ED172B" w:rsidRDefault="00D77E41">
      <w:pPr>
        <w:rPr>
          <w:b/>
          <w:color w:val="000000" w:themeColor="text1"/>
        </w:rPr>
      </w:pPr>
      <w:r w:rsidRPr="00ED172B">
        <w:rPr>
          <w:b/>
          <w:color w:val="000000" w:themeColor="text1"/>
        </w:rPr>
        <w:t>Instructions</w:t>
      </w:r>
    </w:p>
    <w:p w14:paraId="66E4245E"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59541BF7"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0AC1A934"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4284D488" w14:textId="77777777" w:rsidR="00D77E41" w:rsidRPr="00ED172B"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7CDA386C"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5AB39153"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35DB145D"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30A90D40"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noncompliance as noted in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606E2571" w14:textId="0CE4C22C" w:rsidR="00D77E41" w:rsidRPr="00ED172B"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7C9F4E0B" w14:textId="2B46C8EA" w:rsidR="00D77E41" w:rsidRPr="00A40EE1" w:rsidRDefault="000D0117" w:rsidP="007B0787">
      <w:pPr>
        <w:pStyle w:val="Heading2"/>
      </w:pPr>
      <w:r w:rsidRPr="00A40EE1">
        <w:t xml:space="preserve">8C - </w:t>
      </w:r>
      <w:r w:rsidR="00D77E41" w:rsidRPr="00A40EE1">
        <w:t>Indicator Data</w:t>
      </w:r>
    </w:p>
    <w:p w14:paraId="3B2129A9" w14:textId="65DCDE68"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2899"/>
        <w:gridCol w:w="875"/>
      </w:tblGrid>
      <w:tr w:rsidR="00C25621" w:rsidRPr="00ED172B" w14:paraId="30A17130" w14:textId="77777777" w:rsidTr="00A40EE1">
        <w:trPr>
          <w:trHeight w:val="350"/>
          <w:tblHeader/>
        </w:trPr>
        <w:tc>
          <w:tcPr>
            <w:tcW w:w="4285" w:type="pct"/>
            <w:tcBorders>
              <w:bottom w:val="single" w:sz="4" w:space="0" w:color="auto"/>
            </w:tcBorders>
            <w:shd w:val="clear" w:color="auto" w:fill="auto"/>
            <w:vAlign w:val="center"/>
          </w:tcPr>
          <w:p w14:paraId="08F1A2F9"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3905DAA3"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0424A396" w14:textId="77777777" w:rsidTr="00A40EE1">
        <w:trPr>
          <w:trHeight w:val="350"/>
        </w:trPr>
        <w:tc>
          <w:tcPr>
            <w:tcW w:w="4285" w:type="pct"/>
            <w:tcBorders>
              <w:bottom w:val="single" w:sz="4" w:space="0" w:color="auto"/>
            </w:tcBorders>
            <w:shd w:val="clear" w:color="auto" w:fill="auto"/>
            <w:vAlign w:val="center"/>
          </w:tcPr>
          <w:p w14:paraId="3C800D56" w14:textId="21A7A9C0"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178C8059" w14:textId="6EB88F64" w:rsidR="000378F3" w:rsidRPr="00ED172B" w:rsidRDefault="000378F3" w:rsidP="000378F3">
            <w:pPr>
              <w:jc w:val="center"/>
              <w:rPr>
                <w:color w:val="000000" w:themeColor="text1"/>
              </w:rPr>
            </w:pPr>
            <w:r w:rsidRPr="00ED172B">
              <w:rPr>
                <w:color w:val="000000" w:themeColor="text1"/>
              </w:rPr>
              <w:t>97.70%</w:t>
            </w:r>
          </w:p>
        </w:tc>
      </w:tr>
    </w:tbl>
    <w:p w14:paraId="654D1C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684"/>
        <w:gridCol w:w="2022"/>
        <w:gridCol w:w="2022"/>
        <w:gridCol w:w="2022"/>
        <w:gridCol w:w="2022"/>
        <w:gridCol w:w="2018"/>
      </w:tblGrid>
      <w:tr w:rsidR="00ED172B" w:rsidRPr="00ED172B" w14:paraId="2758FAB4" w14:textId="77777777" w:rsidTr="00A40EE1">
        <w:trPr>
          <w:trHeight w:val="350"/>
        </w:trPr>
        <w:tc>
          <w:tcPr>
            <w:tcW w:w="317" w:type="pct"/>
            <w:tcBorders>
              <w:bottom w:val="single" w:sz="4" w:space="0" w:color="auto"/>
            </w:tcBorders>
            <w:shd w:val="clear" w:color="auto" w:fill="auto"/>
          </w:tcPr>
          <w:p w14:paraId="695712E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4C7D7D03" w14:textId="5146FA9E" w:rsidR="00DC0682" w:rsidRPr="00ED172B" w:rsidRDefault="002163F2" w:rsidP="00CD79C5">
            <w:pPr>
              <w:jc w:val="center"/>
              <w:rPr>
                <w:b/>
                <w:color w:val="000000" w:themeColor="text1"/>
                <w:szCs w:val="16"/>
              </w:rPr>
            </w:pPr>
            <w:r w:rsidRPr="00ED172B">
              <w:rPr>
                <w:rFonts w:cs="Arial"/>
                <w:b/>
                <w:color w:val="000000" w:themeColor="text1"/>
                <w:szCs w:val="16"/>
              </w:rPr>
              <w:t>2015</w:t>
            </w:r>
          </w:p>
        </w:tc>
        <w:tc>
          <w:tcPr>
            <w:tcW w:w="937" w:type="pct"/>
            <w:shd w:val="clear" w:color="auto" w:fill="auto"/>
            <w:vAlign w:val="center"/>
          </w:tcPr>
          <w:p w14:paraId="0531CC69" w14:textId="4A4C6B62" w:rsidR="00DC0682" w:rsidRPr="00ED172B" w:rsidRDefault="002163F2" w:rsidP="00CD79C5">
            <w:pPr>
              <w:jc w:val="center"/>
              <w:rPr>
                <w:b/>
                <w:color w:val="000000" w:themeColor="text1"/>
                <w:szCs w:val="16"/>
              </w:rPr>
            </w:pPr>
            <w:r w:rsidRPr="00ED172B">
              <w:rPr>
                <w:rFonts w:cs="Arial"/>
                <w:b/>
                <w:color w:val="000000" w:themeColor="text1"/>
                <w:szCs w:val="16"/>
              </w:rPr>
              <w:t>2016</w:t>
            </w:r>
          </w:p>
        </w:tc>
        <w:tc>
          <w:tcPr>
            <w:tcW w:w="937" w:type="pct"/>
            <w:shd w:val="clear" w:color="auto" w:fill="auto"/>
            <w:vAlign w:val="center"/>
          </w:tcPr>
          <w:p w14:paraId="627B9655" w14:textId="2E85ECC1"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3A4331F1" w14:textId="73B7B60C"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3EDFB614" w14:textId="521411CB" w:rsidR="00DC0682" w:rsidRPr="00ED172B" w:rsidRDefault="006D43D3" w:rsidP="00CD79C5">
            <w:pPr>
              <w:jc w:val="center"/>
              <w:rPr>
                <w:b/>
                <w:color w:val="000000" w:themeColor="text1"/>
                <w:szCs w:val="16"/>
              </w:rPr>
            </w:pPr>
            <w:r w:rsidRPr="00ED172B">
              <w:rPr>
                <w:rFonts w:cs="Arial"/>
                <w:b/>
                <w:color w:val="000000" w:themeColor="text1"/>
                <w:szCs w:val="16"/>
              </w:rPr>
              <w:t>2019</w:t>
            </w:r>
          </w:p>
        </w:tc>
      </w:tr>
      <w:tr w:rsidR="00ED172B" w:rsidRPr="00ED172B" w14:paraId="7BEE33EE" w14:textId="77777777" w:rsidTr="00A40EE1">
        <w:trPr>
          <w:trHeight w:val="357"/>
        </w:trPr>
        <w:tc>
          <w:tcPr>
            <w:tcW w:w="317" w:type="pct"/>
            <w:shd w:val="clear" w:color="auto" w:fill="auto"/>
          </w:tcPr>
          <w:p w14:paraId="1B969246" w14:textId="77777777" w:rsidR="00DC0682" w:rsidRPr="00ED172B" w:rsidRDefault="00DC0682" w:rsidP="00B83404">
            <w:pPr>
              <w:rPr>
                <w:color w:val="000000" w:themeColor="text1"/>
                <w:szCs w:val="16"/>
              </w:rPr>
            </w:pPr>
            <w:r w:rsidRPr="00ED172B">
              <w:rPr>
                <w:color w:val="000000" w:themeColor="text1"/>
                <w:szCs w:val="16"/>
              </w:rPr>
              <w:t xml:space="preserve">Target </w:t>
            </w:r>
          </w:p>
        </w:tc>
        <w:tc>
          <w:tcPr>
            <w:tcW w:w="937" w:type="pct"/>
            <w:shd w:val="clear" w:color="auto" w:fill="auto"/>
          </w:tcPr>
          <w:p w14:paraId="7A765AD2" w14:textId="66FB6C70"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98730DD" w14:textId="567C00C5"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26A4A74" w14:textId="6E36579C"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02B71884" w14:textId="35CBF7E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534214C" w14:textId="6CF2390C"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5C007E21" w14:textId="77777777" w:rsidTr="00A40EE1">
        <w:trPr>
          <w:trHeight w:val="85"/>
        </w:trPr>
        <w:tc>
          <w:tcPr>
            <w:tcW w:w="317" w:type="pct"/>
            <w:shd w:val="clear" w:color="auto" w:fill="auto"/>
          </w:tcPr>
          <w:p w14:paraId="7C4B21B3" w14:textId="77777777" w:rsidR="00DC0682" w:rsidRPr="00ED172B" w:rsidRDefault="00DC0682" w:rsidP="00B83404">
            <w:pPr>
              <w:rPr>
                <w:color w:val="000000" w:themeColor="text1"/>
                <w:szCs w:val="16"/>
              </w:rPr>
            </w:pPr>
            <w:r w:rsidRPr="00ED172B">
              <w:rPr>
                <w:color w:val="000000" w:themeColor="text1"/>
                <w:szCs w:val="16"/>
              </w:rPr>
              <w:lastRenderedPageBreak/>
              <w:t>Data</w:t>
            </w:r>
          </w:p>
        </w:tc>
        <w:tc>
          <w:tcPr>
            <w:tcW w:w="937" w:type="pct"/>
            <w:shd w:val="clear" w:color="auto" w:fill="auto"/>
            <w:vAlign w:val="center"/>
          </w:tcPr>
          <w:p w14:paraId="6958D420" w14:textId="788EF07E" w:rsidR="00DC0682" w:rsidRPr="00ED172B" w:rsidRDefault="00860830" w:rsidP="00CD79C5">
            <w:pPr>
              <w:jc w:val="center"/>
              <w:rPr>
                <w:color w:val="000000" w:themeColor="text1"/>
                <w:szCs w:val="16"/>
              </w:rPr>
            </w:pPr>
            <w:r w:rsidRPr="00ED172B">
              <w:rPr>
                <w:rFonts w:cs="Arial"/>
                <w:color w:val="000000" w:themeColor="text1"/>
                <w:szCs w:val="16"/>
              </w:rPr>
              <w:t>99.75%</w:t>
            </w:r>
          </w:p>
        </w:tc>
        <w:tc>
          <w:tcPr>
            <w:tcW w:w="937" w:type="pct"/>
            <w:tcBorders>
              <w:bottom w:val="single" w:sz="4" w:space="0" w:color="auto"/>
            </w:tcBorders>
            <w:shd w:val="clear" w:color="auto" w:fill="auto"/>
            <w:vAlign w:val="center"/>
          </w:tcPr>
          <w:p w14:paraId="0FCEB275" w14:textId="6D1C5DA8" w:rsidR="00DC0682" w:rsidRPr="00ED172B" w:rsidRDefault="00860830" w:rsidP="00CD79C5">
            <w:pPr>
              <w:jc w:val="center"/>
              <w:rPr>
                <w:color w:val="000000" w:themeColor="text1"/>
                <w:szCs w:val="16"/>
              </w:rPr>
            </w:pPr>
            <w:r w:rsidRPr="00ED172B">
              <w:rPr>
                <w:rFonts w:cs="Arial"/>
                <w:color w:val="000000" w:themeColor="text1"/>
                <w:szCs w:val="16"/>
              </w:rPr>
              <w:t>99.77%</w:t>
            </w:r>
          </w:p>
        </w:tc>
        <w:tc>
          <w:tcPr>
            <w:tcW w:w="937" w:type="pct"/>
            <w:tcBorders>
              <w:bottom w:val="single" w:sz="4" w:space="0" w:color="auto"/>
            </w:tcBorders>
            <w:shd w:val="clear" w:color="auto" w:fill="auto"/>
            <w:vAlign w:val="center"/>
          </w:tcPr>
          <w:p w14:paraId="07A0FC63" w14:textId="1E853085" w:rsidR="00DC0682" w:rsidRPr="00ED172B" w:rsidRDefault="00860830" w:rsidP="00CD79C5">
            <w:pPr>
              <w:jc w:val="center"/>
              <w:rPr>
                <w:color w:val="000000" w:themeColor="text1"/>
                <w:szCs w:val="16"/>
              </w:rPr>
            </w:pPr>
            <w:r w:rsidRPr="00ED172B">
              <w:rPr>
                <w:rFonts w:cs="Arial"/>
                <w:color w:val="000000" w:themeColor="text1"/>
                <w:szCs w:val="16"/>
              </w:rPr>
              <w:t>99.89%</w:t>
            </w:r>
          </w:p>
        </w:tc>
        <w:tc>
          <w:tcPr>
            <w:tcW w:w="937" w:type="pct"/>
            <w:tcBorders>
              <w:bottom w:val="single" w:sz="4" w:space="0" w:color="auto"/>
            </w:tcBorders>
            <w:shd w:val="clear" w:color="auto" w:fill="auto"/>
            <w:vAlign w:val="center"/>
          </w:tcPr>
          <w:p w14:paraId="45FF1930" w14:textId="6983E3B1" w:rsidR="00DC0682" w:rsidRPr="00ED172B" w:rsidRDefault="00860830" w:rsidP="00CD79C5">
            <w:pPr>
              <w:jc w:val="center"/>
              <w:rPr>
                <w:color w:val="000000" w:themeColor="text1"/>
                <w:szCs w:val="16"/>
              </w:rPr>
            </w:pPr>
            <w:r w:rsidRPr="00ED172B">
              <w:rPr>
                <w:rFonts w:cs="Arial"/>
                <w:color w:val="000000" w:themeColor="text1"/>
                <w:szCs w:val="16"/>
              </w:rPr>
              <w:t>98.64%</w:t>
            </w:r>
          </w:p>
        </w:tc>
        <w:tc>
          <w:tcPr>
            <w:tcW w:w="937" w:type="pct"/>
            <w:tcBorders>
              <w:bottom w:val="single" w:sz="4" w:space="0" w:color="auto"/>
            </w:tcBorders>
            <w:shd w:val="clear" w:color="auto" w:fill="auto"/>
            <w:vAlign w:val="center"/>
          </w:tcPr>
          <w:p w14:paraId="66761B41" w14:textId="671A36D9" w:rsidR="00DC0682" w:rsidRPr="00ED172B" w:rsidRDefault="00860830" w:rsidP="00CD79C5">
            <w:pPr>
              <w:jc w:val="center"/>
              <w:rPr>
                <w:color w:val="000000" w:themeColor="text1"/>
                <w:szCs w:val="16"/>
              </w:rPr>
            </w:pPr>
            <w:r w:rsidRPr="00ED172B">
              <w:rPr>
                <w:rFonts w:cs="Arial"/>
                <w:color w:val="000000" w:themeColor="text1"/>
                <w:szCs w:val="16"/>
              </w:rPr>
              <w:t>99.80%</w:t>
            </w:r>
          </w:p>
        </w:tc>
      </w:tr>
    </w:tbl>
    <w:p w14:paraId="1AFB914D" w14:textId="77777777" w:rsidR="008A4FF2" w:rsidRPr="00ED172B" w:rsidRDefault="008A4FF2">
      <w:pPr>
        <w:rPr>
          <w:b/>
          <w:color w:val="000000" w:themeColor="text1"/>
        </w:rPr>
      </w:pPr>
    </w:p>
    <w:p w14:paraId="211F56D1" w14:textId="77777777" w:rsidR="008A4FF2" w:rsidRPr="00ED172B" w:rsidRDefault="008A4FF2">
      <w:pPr>
        <w:rPr>
          <w:b/>
          <w:color w:val="000000" w:themeColor="text1"/>
        </w:rPr>
      </w:pPr>
    </w:p>
    <w:p w14:paraId="19F398F3" w14:textId="7D1EC959" w:rsidR="00DC0682" w:rsidRPr="00ED172B" w:rsidRDefault="00DC0682">
      <w:pPr>
        <w:rPr>
          <w:b/>
          <w:color w:val="000000" w:themeColor="text1"/>
        </w:rPr>
      </w:pPr>
      <w:r w:rsidRPr="00ED172B">
        <w:rPr>
          <w:b/>
          <w:color w:val="000000" w:themeColor="text1"/>
        </w:rPr>
        <w:t>Targets</w:t>
      </w: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679"/>
        <w:gridCol w:w="1562"/>
        <w:gridCol w:w="1665"/>
        <w:gridCol w:w="1666"/>
        <w:gridCol w:w="1666"/>
        <w:gridCol w:w="1666"/>
        <w:gridCol w:w="1666"/>
      </w:tblGrid>
      <w:tr w:rsidR="00A74C59" w:rsidRPr="00ED172B" w14:paraId="4A0A94D5" w14:textId="2110C8A4" w:rsidTr="00B2754C">
        <w:trPr>
          <w:trHeight w:val="328"/>
        </w:trPr>
        <w:tc>
          <w:tcPr>
            <w:tcW w:w="199" w:type="pct"/>
            <w:tcBorders>
              <w:bottom w:val="single" w:sz="4" w:space="0" w:color="auto"/>
            </w:tcBorders>
            <w:shd w:val="clear" w:color="auto" w:fill="auto"/>
          </w:tcPr>
          <w:p w14:paraId="313F5767" w14:textId="77777777" w:rsidR="00A74C59" w:rsidRPr="00ED172B" w:rsidRDefault="00A74C59" w:rsidP="00A74C59">
            <w:pPr>
              <w:jc w:val="center"/>
              <w:rPr>
                <w:b/>
                <w:color w:val="000000" w:themeColor="text1"/>
                <w:szCs w:val="16"/>
              </w:rPr>
            </w:pPr>
            <w:r w:rsidRPr="00ED172B">
              <w:rPr>
                <w:b/>
                <w:color w:val="000000" w:themeColor="text1"/>
                <w:szCs w:val="16"/>
              </w:rPr>
              <w:t>FFY</w:t>
            </w:r>
          </w:p>
        </w:tc>
        <w:tc>
          <w:tcPr>
            <w:tcW w:w="759" w:type="pct"/>
            <w:shd w:val="clear" w:color="auto" w:fill="auto"/>
            <w:vAlign w:val="center"/>
          </w:tcPr>
          <w:p w14:paraId="6608DBF0" w14:textId="3185DA2A" w:rsidR="00A74C59" w:rsidRPr="00ED172B" w:rsidRDefault="00A74C59" w:rsidP="00A74C59">
            <w:pPr>
              <w:jc w:val="center"/>
              <w:rPr>
                <w:b/>
                <w:color w:val="000000" w:themeColor="text1"/>
                <w:szCs w:val="16"/>
              </w:rPr>
            </w:pPr>
            <w:r w:rsidRPr="00ED172B">
              <w:rPr>
                <w:rFonts w:cs="Arial"/>
                <w:b/>
                <w:color w:val="000000" w:themeColor="text1"/>
                <w:szCs w:val="16"/>
              </w:rPr>
              <w:t>2020</w:t>
            </w:r>
          </w:p>
        </w:tc>
        <w:tc>
          <w:tcPr>
            <w:tcW w:w="808" w:type="pct"/>
          </w:tcPr>
          <w:p w14:paraId="1BEDEEFC" w14:textId="6DD58D98" w:rsidR="00A74C59" w:rsidRPr="00ED172B" w:rsidRDefault="00A74C59" w:rsidP="00A74C59">
            <w:pPr>
              <w:jc w:val="center"/>
              <w:rPr>
                <w:rFonts w:cs="Arial"/>
                <w:b/>
                <w:color w:val="000000" w:themeColor="text1"/>
                <w:szCs w:val="16"/>
              </w:rPr>
            </w:pPr>
            <w:r>
              <w:rPr>
                <w:rFonts w:cs="Arial"/>
                <w:b/>
                <w:color w:val="000000" w:themeColor="text1"/>
                <w:szCs w:val="16"/>
              </w:rPr>
              <w:t>2021</w:t>
            </w:r>
          </w:p>
        </w:tc>
        <w:tc>
          <w:tcPr>
            <w:tcW w:w="808" w:type="pct"/>
          </w:tcPr>
          <w:p w14:paraId="11F5F4E5" w14:textId="34A5E91F" w:rsidR="00A74C59" w:rsidRPr="00ED172B" w:rsidRDefault="00A74C59" w:rsidP="00A74C59">
            <w:pPr>
              <w:jc w:val="center"/>
              <w:rPr>
                <w:rFonts w:cs="Arial"/>
                <w:b/>
                <w:color w:val="000000" w:themeColor="text1"/>
                <w:szCs w:val="16"/>
              </w:rPr>
            </w:pPr>
            <w:r w:rsidRPr="005A1B4F">
              <w:rPr>
                <w:rFonts w:cs="Arial"/>
                <w:b/>
                <w:color w:val="000000" w:themeColor="text1"/>
                <w:szCs w:val="16"/>
              </w:rPr>
              <w:t>2022</w:t>
            </w:r>
          </w:p>
        </w:tc>
        <w:tc>
          <w:tcPr>
            <w:tcW w:w="808" w:type="pct"/>
          </w:tcPr>
          <w:p w14:paraId="23C0A346" w14:textId="5BED0920" w:rsidR="00A74C59" w:rsidRPr="00ED172B" w:rsidRDefault="00A74C59" w:rsidP="00A74C59">
            <w:pPr>
              <w:jc w:val="center"/>
              <w:rPr>
                <w:rFonts w:cs="Arial"/>
                <w:b/>
                <w:color w:val="000000" w:themeColor="text1"/>
                <w:szCs w:val="16"/>
              </w:rPr>
            </w:pPr>
            <w:r w:rsidRPr="005A1B4F">
              <w:rPr>
                <w:rFonts w:cs="Arial"/>
                <w:b/>
                <w:color w:val="000000" w:themeColor="text1"/>
                <w:szCs w:val="16"/>
              </w:rPr>
              <w:t>2023</w:t>
            </w:r>
          </w:p>
        </w:tc>
        <w:tc>
          <w:tcPr>
            <w:tcW w:w="808" w:type="pct"/>
          </w:tcPr>
          <w:p w14:paraId="3044831B" w14:textId="2F83F9AD" w:rsidR="00A74C59" w:rsidRPr="00ED172B" w:rsidRDefault="00A74C59" w:rsidP="00A74C59">
            <w:pPr>
              <w:jc w:val="center"/>
              <w:rPr>
                <w:rFonts w:cs="Arial"/>
                <w:b/>
                <w:color w:val="000000" w:themeColor="text1"/>
                <w:szCs w:val="16"/>
              </w:rPr>
            </w:pPr>
            <w:r w:rsidRPr="005A1B4F">
              <w:rPr>
                <w:rFonts w:cs="Arial"/>
                <w:b/>
                <w:color w:val="000000" w:themeColor="text1"/>
                <w:szCs w:val="16"/>
              </w:rPr>
              <w:t>2024</w:t>
            </w:r>
          </w:p>
        </w:tc>
        <w:tc>
          <w:tcPr>
            <w:tcW w:w="808" w:type="pct"/>
          </w:tcPr>
          <w:p w14:paraId="4F667202" w14:textId="750E2EA5" w:rsidR="00A74C59" w:rsidRPr="00ED172B" w:rsidRDefault="00A74C59" w:rsidP="00A74C59">
            <w:pPr>
              <w:jc w:val="center"/>
              <w:rPr>
                <w:rFonts w:cs="Arial"/>
                <w:b/>
                <w:color w:val="000000" w:themeColor="text1"/>
                <w:szCs w:val="16"/>
              </w:rPr>
            </w:pPr>
            <w:r w:rsidRPr="005A1B4F">
              <w:rPr>
                <w:rFonts w:cs="Arial"/>
                <w:b/>
                <w:color w:val="000000" w:themeColor="text1"/>
                <w:szCs w:val="16"/>
              </w:rPr>
              <w:t>2025</w:t>
            </w:r>
          </w:p>
        </w:tc>
      </w:tr>
      <w:tr w:rsidR="00A74C59" w:rsidRPr="00ED172B" w14:paraId="330A4207" w14:textId="28309058" w:rsidTr="00B2754C">
        <w:trPr>
          <w:trHeight w:val="334"/>
        </w:trPr>
        <w:tc>
          <w:tcPr>
            <w:tcW w:w="199" w:type="pct"/>
            <w:shd w:val="clear" w:color="auto" w:fill="auto"/>
          </w:tcPr>
          <w:p w14:paraId="12FC7A89" w14:textId="77777777" w:rsidR="00A74C59" w:rsidRPr="00ED172B" w:rsidRDefault="00A74C59" w:rsidP="00A74C59">
            <w:pPr>
              <w:rPr>
                <w:color w:val="000000" w:themeColor="text1"/>
                <w:szCs w:val="16"/>
              </w:rPr>
            </w:pPr>
            <w:r w:rsidRPr="00ED172B">
              <w:rPr>
                <w:color w:val="000000" w:themeColor="text1"/>
                <w:szCs w:val="16"/>
              </w:rPr>
              <w:t>Target</w:t>
            </w:r>
          </w:p>
        </w:tc>
        <w:tc>
          <w:tcPr>
            <w:tcW w:w="759" w:type="pct"/>
            <w:shd w:val="clear" w:color="auto" w:fill="auto"/>
          </w:tcPr>
          <w:p w14:paraId="7AF5945C" w14:textId="2C6978AD" w:rsidR="00A74C59" w:rsidRPr="00ED172B" w:rsidRDefault="00A74C59" w:rsidP="00A74C59">
            <w:pPr>
              <w:jc w:val="center"/>
              <w:rPr>
                <w:color w:val="000000" w:themeColor="text1"/>
                <w:szCs w:val="16"/>
              </w:rPr>
            </w:pPr>
            <w:r w:rsidRPr="00ED172B">
              <w:rPr>
                <w:color w:val="000000" w:themeColor="text1"/>
                <w:szCs w:val="16"/>
              </w:rPr>
              <w:t>100%</w:t>
            </w:r>
          </w:p>
        </w:tc>
        <w:tc>
          <w:tcPr>
            <w:tcW w:w="808" w:type="pct"/>
          </w:tcPr>
          <w:p w14:paraId="6A1E3CBC" w14:textId="7AF93675" w:rsidR="00A74C59" w:rsidRPr="00ED172B" w:rsidRDefault="00A74C59" w:rsidP="00A74C59">
            <w:pPr>
              <w:jc w:val="center"/>
              <w:rPr>
                <w:color w:val="000000" w:themeColor="text1"/>
                <w:szCs w:val="16"/>
              </w:rPr>
            </w:pPr>
            <w:r>
              <w:rPr>
                <w:rFonts w:cs="Arial"/>
                <w:color w:val="000000" w:themeColor="text1"/>
                <w:szCs w:val="16"/>
              </w:rPr>
              <w:t>100%</w:t>
            </w:r>
          </w:p>
        </w:tc>
        <w:tc>
          <w:tcPr>
            <w:tcW w:w="808" w:type="pct"/>
          </w:tcPr>
          <w:p w14:paraId="250CDE0D" w14:textId="2C29838D" w:rsidR="00A74C59" w:rsidRPr="00ED172B" w:rsidRDefault="00A74C59" w:rsidP="00A74C59">
            <w:pPr>
              <w:jc w:val="center"/>
              <w:rPr>
                <w:color w:val="000000" w:themeColor="text1"/>
                <w:szCs w:val="16"/>
              </w:rPr>
            </w:pPr>
            <w:r w:rsidRPr="005F5F3C">
              <w:rPr>
                <w:rFonts w:cs="Arial"/>
                <w:color w:val="000000" w:themeColor="text1"/>
                <w:szCs w:val="16"/>
              </w:rPr>
              <w:t>100%</w:t>
            </w:r>
          </w:p>
        </w:tc>
        <w:tc>
          <w:tcPr>
            <w:tcW w:w="808" w:type="pct"/>
          </w:tcPr>
          <w:p w14:paraId="79AF65D2" w14:textId="1AB28DA5" w:rsidR="00A74C59" w:rsidRPr="00ED172B" w:rsidRDefault="00A74C59" w:rsidP="00A74C59">
            <w:pPr>
              <w:jc w:val="center"/>
              <w:rPr>
                <w:color w:val="000000" w:themeColor="text1"/>
                <w:szCs w:val="16"/>
              </w:rPr>
            </w:pPr>
            <w:r w:rsidRPr="005F5F3C">
              <w:rPr>
                <w:rFonts w:cs="Arial"/>
                <w:color w:val="000000" w:themeColor="text1"/>
                <w:szCs w:val="16"/>
              </w:rPr>
              <w:t>100%</w:t>
            </w:r>
          </w:p>
        </w:tc>
        <w:tc>
          <w:tcPr>
            <w:tcW w:w="808" w:type="pct"/>
          </w:tcPr>
          <w:p w14:paraId="58E225F8" w14:textId="5F3C59E5" w:rsidR="00A74C59" w:rsidRPr="00ED172B" w:rsidRDefault="00A74C59" w:rsidP="00A74C59">
            <w:pPr>
              <w:jc w:val="center"/>
              <w:rPr>
                <w:color w:val="000000" w:themeColor="text1"/>
                <w:szCs w:val="16"/>
              </w:rPr>
            </w:pPr>
            <w:r w:rsidRPr="005F5F3C">
              <w:rPr>
                <w:rFonts w:cs="Arial"/>
                <w:color w:val="000000" w:themeColor="text1"/>
                <w:szCs w:val="16"/>
              </w:rPr>
              <w:t>100%</w:t>
            </w:r>
          </w:p>
        </w:tc>
        <w:tc>
          <w:tcPr>
            <w:tcW w:w="808" w:type="pct"/>
          </w:tcPr>
          <w:p w14:paraId="76D77E85" w14:textId="2848BDDE" w:rsidR="00A74C59" w:rsidRPr="00ED172B" w:rsidRDefault="00A74C59" w:rsidP="00A74C59">
            <w:pPr>
              <w:jc w:val="center"/>
              <w:rPr>
                <w:color w:val="000000" w:themeColor="text1"/>
                <w:szCs w:val="16"/>
              </w:rPr>
            </w:pPr>
            <w:r w:rsidRPr="005F5F3C">
              <w:rPr>
                <w:rFonts w:cs="Arial"/>
                <w:color w:val="000000" w:themeColor="text1"/>
                <w:szCs w:val="16"/>
              </w:rPr>
              <w:t>100%</w:t>
            </w:r>
          </w:p>
        </w:tc>
      </w:tr>
    </w:tbl>
    <w:p w14:paraId="4A23C4F7" w14:textId="3EF9C490" w:rsidR="003C1AB9" w:rsidRPr="00ED172B" w:rsidRDefault="00F22D09">
      <w:pPr>
        <w:rPr>
          <w:b/>
          <w:color w:val="000000" w:themeColor="text1"/>
        </w:rPr>
      </w:pPr>
      <w:r>
        <w:rPr>
          <w:b/>
          <w:color w:val="000000" w:themeColor="text1"/>
        </w:rPr>
        <w:t>FFY 2020 SPP/APR Data</w:t>
      </w:r>
    </w:p>
    <w:p w14:paraId="4035DB23" w14:textId="07CE3251" w:rsidR="00D3572A" w:rsidRPr="00ED172B" w:rsidRDefault="00D3572A">
      <w:pPr>
        <w:rPr>
          <w:b/>
          <w:color w:val="000000" w:themeColor="text1"/>
          <w:szCs w:val="16"/>
        </w:rPr>
      </w:pPr>
      <w:r w:rsidRPr="00ED172B">
        <w:rPr>
          <w:b/>
          <w:color w:val="000000" w:themeColor="text1"/>
          <w:szCs w:val="16"/>
        </w:rPr>
        <w:t>Data reflect only those toddlers for whom the Lead Agency has conducted the transition conference held with the approval of the family at least 90 days, and at the discretion of all parties, not more than nine months, prior to the toddler’s third birthday for toddlers potentially eligible for Part B preschool services. (yes/no)</w:t>
      </w:r>
    </w:p>
    <w:p w14:paraId="5B3147C6" w14:textId="45B7172C"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232692C6" w14:textId="77777777" w:rsidTr="00986B99">
        <w:trPr>
          <w:trHeight w:val="359"/>
          <w:tblHeader/>
        </w:trPr>
        <w:tc>
          <w:tcPr>
            <w:tcW w:w="1459" w:type="pct"/>
            <w:shd w:val="clear" w:color="auto" w:fill="auto"/>
            <w:vAlign w:val="bottom"/>
          </w:tcPr>
          <w:p w14:paraId="334B5817" w14:textId="0244E7E6"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shd w:val="clear" w:color="auto" w:fill="auto"/>
            <w:vAlign w:val="bottom"/>
          </w:tcPr>
          <w:p w14:paraId="6C7F2A31" w14:textId="58F67E85"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shd w:val="clear" w:color="auto" w:fill="auto"/>
            <w:vAlign w:val="bottom"/>
          </w:tcPr>
          <w:p w14:paraId="658290B6" w14:textId="0EF69318" w:rsidR="00781A26" w:rsidRPr="00ED172B" w:rsidRDefault="00CD74B5" w:rsidP="00781A26">
            <w:pPr>
              <w:jc w:val="center"/>
              <w:rPr>
                <w:b/>
                <w:color w:val="000000" w:themeColor="text1"/>
                <w:szCs w:val="16"/>
              </w:rPr>
            </w:pPr>
            <w:r>
              <w:rPr>
                <w:rFonts w:cs="Arial"/>
                <w:b/>
                <w:color w:val="000000" w:themeColor="text1"/>
                <w:szCs w:val="16"/>
              </w:rPr>
              <w:t>FFY 2019 Data</w:t>
            </w:r>
          </w:p>
        </w:tc>
        <w:tc>
          <w:tcPr>
            <w:tcW w:w="542" w:type="pct"/>
            <w:shd w:val="clear" w:color="auto" w:fill="auto"/>
            <w:vAlign w:val="bottom"/>
          </w:tcPr>
          <w:p w14:paraId="5CF67A25" w14:textId="2475BDD6" w:rsidR="00781A26" w:rsidRPr="00ED172B" w:rsidRDefault="00F22D09" w:rsidP="00781A26">
            <w:pPr>
              <w:jc w:val="center"/>
              <w:rPr>
                <w:b/>
                <w:color w:val="000000" w:themeColor="text1"/>
                <w:szCs w:val="16"/>
              </w:rPr>
            </w:pPr>
            <w:r>
              <w:rPr>
                <w:rFonts w:cs="Arial"/>
                <w:b/>
                <w:color w:val="000000" w:themeColor="text1"/>
                <w:szCs w:val="16"/>
              </w:rPr>
              <w:t>FFY 2020 Target</w:t>
            </w:r>
          </w:p>
        </w:tc>
        <w:tc>
          <w:tcPr>
            <w:tcW w:w="542" w:type="pct"/>
            <w:shd w:val="clear" w:color="auto" w:fill="auto"/>
            <w:vAlign w:val="bottom"/>
          </w:tcPr>
          <w:p w14:paraId="76B8CA16" w14:textId="54008479" w:rsidR="00781A26" w:rsidRPr="00ED172B" w:rsidRDefault="00F22D09" w:rsidP="00781A26">
            <w:pPr>
              <w:jc w:val="center"/>
              <w:rPr>
                <w:b/>
                <w:color w:val="000000" w:themeColor="text1"/>
                <w:szCs w:val="16"/>
              </w:rPr>
            </w:pPr>
            <w:r>
              <w:rPr>
                <w:rFonts w:cs="Arial"/>
                <w:b/>
                <w:color w:val="000000" w:themeColor="text1"/>
                <w:szCs w:val="16"/>
              </w:rPr>
              <w:t>FFY 2020 Data</w:t>
            </w:r>
          </w:p>
        </w:tc>
        <w:tc>
          <w:tcPr>
            <w:tcW w:w="542" w:type="pct"/>
            <w:shd w:val="clear" w:color="auto" w:fill="auto"/>
            <w:vAlign w:val="bottom"/>
          </w:tcPr>
          <w:p w14:paraId="2A2D965E"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31EE6F0A"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237C6FDE" w14:textId="77777777" w:rsidTr="00986B99">
        <w:trPr>
          <w:trHeight w:val="366"/>
        </w:trPr>
        <w:tc>
          <w:tcPr>
            <w:tcW w:w="1459" w:type="pct"/>
            <w:shd w:val="clear" w:color="auto" w:fill="auto"/>
            <w:vAlign w:val="center"/>
          </w:tcPr>
          <w:p w14:paraId="19D97BFE" w14:textId="12324C57" w:rsidR="00781A26" w:rsidRPr="00ED172B" w:rsidRDefault="00860830" w:rsidP="00781A26">
            <w:pPr>
              <w:jc w:val="center"/>
              <w:rPr>
                <w:color w:val="000000" w:themeColor="text1"/>
                <w:szCs w:val="16"/>
              </w:rPr>
            </w:pPr>
            <w:r w:rsidRPr="00ED172B">
              <w:rPr>
                <w:color w:val="000000" w:themeColor="text1"/>
                <w:szCs w:val="16"/>
              </w:rPr>
              <w:t>5,923</w:t>
            </w:r>
          </w:p>
        </w:tc>
        <w:tc>
          <w:tcPr>
            <w:tcW w:w="751" w:type="pct"/>
            <w:shd w:val="clear" w:color="auto" w:fill="auto"/>
            <w:vAlign w:val="center"/>
          </w:tcPr>
          <w:p w14:paraId="47766C61" w14:textId="02D3DCB2" w:rsidR="00781A26" w:rsidRPr="00ED172B" w:rsidRDefault="00860830" w:rsidP="00781A26">
            <w:pPr>
              <w:jc w:val="center"/>
              <w:rPr>
                <w:color w:val="000000" w:themeColor="text1"/>
                <w:szCs w:val="16"/>
              </w:rPr>
            </w:pPr>
            <w:r w:rsidRPr="00ED172B">
              <w:rPr>
                <w:color w:val="000000" w:themeColor="text1"/>
                <w:szCs w:val="16"/>
              </w:rPr>
              <w:t>8,981</w:t>
            </w:r>
          </w:p>
        </w:tc>
        <w:tc>
          <w:tcPr>
            <w:tcW w:w="625" w:type="pct"/>
            <w:shd w:val="clear" w:color="auto" w:fill="auto"/>
          </w:tcPr>
          <w:p w14:paraId="2528AC6B" w14:textId="64AAC3FC" w:rsidR="00781A26" w:rsidRPr="00ED172B" w:rsidRDefault="00860830" w:rsidP="00781A26">
            <w:pPr>
              <w:jc w:val="center"/>
              <w:rPr>
                <w:color w:val="000000" w:themeColor="text1"/>
                <w:szCs w:val="16"/>
              </w:rPr>
            </w:pPr>
            <w:r w:rsidRPr="00ED172B">
              <w:rPr>
                <w:rFonts w:cs="Arial"/>
                <w:color w:val="000000" w:themeColor="text1"/>
                <w:szCs w:val="16"/>
              </w:rPr>
              <w:t>99.80%</w:t>
            </w:r>
          </w:p>
        </w:tc>
        <w:tc>
          <w:tcPr>
            <w:tcW w:w="542" w:type="pct"/>
            <w:shd w:val="clear" w:color="auto" w:fill="auto"/>
          </w:tcPr>
          <w:p w14:paraId="246B3CEB" w14:textId="3E3E4E56"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shd w:val="clear" w:color="auto" w:fill="auto"/>
          </w:tcPr>
          <w:p w14:paraId="410CD81E" w14:textId="0D2CF052" w:rsidR="00781A26" w:rsidRPr="00ED172B" w:rsidRDefault="00860830" w:rsidP="00781A26">
            <w:pPr>
              <w:jc w:val="center"/>
              <w:rPr>
                <w:color w:val="000000" w:themeColor="text1"/>
                <w:szCs w:val="16"/>
              </w:rPr>
            </w:pPr>
            <w:r w:rsidRPr="00ED172B">
              <w:rPr>
                <w:rFonts w:cs="Arial"/>
                <w:color w:val="000000" w:themeColor="text1"/>
                <w:szCs w:val="16"/>
              </w:rPr>
              <w:t>98.48%</w:t>
            </w:r>
          </w:p>
        </w:tc>
        <w:tc>
          <w:tcPr>
            <w:tcW w:w="542" w:type="pct"/>
            <w:shd w:val="clear" w:color="auto" w:fill="auto"/>
          </w:tcPr>
          <w:p w14:paraId="24CBBB16" w14:textId="07238E18" w:rsidR="00781A26" w:rsidRPr="00ED172B" w:rsidRDefault="00320806" w:rsidP="00027F39">
            <w:pPr>
              <w:jc w:val="center"/>
              <w:rPr>
                <w:color w:val="000000" w:themeColor="text1"/>
              </w:rPr>
            </w:pPr>
            <w:r w:rsidRPr="00ED172B">
              <w:rPr>
                <w:color w:val="000000" w:themeColor="text1"/>
              </w:rPr>
              <w:t>Did not meet target</w:t>
            </w:r>
          </w:p>
        </w:tc>
        <w:tc>
          <w:tcPr>
            <w:tcW w:w="539" w:type="pct"/>
            <w:shd w:val="clear" w:color="auto" w:fill="auto"/>
          </w:tcPr>
          <w:p w14:paraId="36D4F9B5" w14:textId="3DEAC2DD" w:rsidR="00781A26" w:rsidRPr="00ED172B" w:rsidRDefault="00320806" w:rsidP="00027F39">
            <w:pPr>
              <w:jc w:val="center"/>
              <w:rPr>
                <w:color w:val="000000" w:themeColor="text1"/>
              </w:rPr>
            </w:pPr>
            <w:r w:rsidRPr="00ED172B">
              <w:rPr>
                <w:color w:val="000000" w:themeColor="text1"/>
              </w:rPr>
              <w:t>Slippage</w:t>
            </w:r>
          </w:p>
        </w:tc>
      </w:tr>
    </w:tbl>
    <w:p w14:paraId="76E010F0" w14:textId="14E06D77" w:rsidR="005A1CA1" w:rsidRPr="00ED172B" w:rsidRDefault="00F77D8B" w:rsidP="005A1CA1">
      <w:pPr>
        <w:rPr>
          <w:rFonts w:cs="Arial"/>
          <w:b/>
          <w:i/>
          <w:color w:val="000000" w:themeColor="text1"/>
          <w:szCs w:val="16"/>
        </w:rPr>
      </w:pPr>
      <w:r w:rsidRPr="00ED172B">
        <w:rPr>
          <w:rFonts w:cs="Arial"/>
          <w:b/>
          <w:color w:val="000000" w:themeColor="text1"/>
          <w:szCs w:val="16"/>
        </w:rPr>
        <w:t xml:space="preserve">Provide reasons for slippage, if applicable </w:t>
      </w:r>
    </w:p>
    <w:p w14:paraId="0CF6B868" w14:textId="250CA802" w:rsidR="005A1CA1" w:rsidRPr="00ED172B" w:rsidRDefault="00320806" w:rsidP="00320806">
      <w:pPr>
        <w:rPr>
          <w:color w:val="000000" w:themeColor="text1"/>
        </w:rPr>
      </w:pPr>
      <w:r w:rsidRPr="00ED172B">
        <w:rPr>
          <w:color w:val="000000" w:themeColor="text1"/>
        </w:rPr>
        <w:t xml:space="preserve">The COVID-19 pandemic adversely affected the Lead Agency (MA-C)'s performance on Indicator 8C. Many LEAs were closed or had limited operations during the first several months of the reporting year; as families frequently request that LEA representatives participate in the transition conference, many were postponed outside the required timeframe in hopes of having full attendance. Slippage is also attributed to an issue with data quality. MA-C could not confirm that a transition conference occurred for 37 children. These 37 records were migrated in November 2019 to the current state database when an error occurred. Based on the current database's structure and related information in the children's records, MA-C suspects transition conferences did occur for these 37 children. However, as it cannot be confirmed, MA-C has opted to err on the conservative side and report these as instances of noncompliance. </w:t>
      </w:r>
    </w:p>
    <w:p w14:paraId="39BC77DC"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5A329D2D"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519D8514" w14:textId="21D435D2" w:rsidR="00EC3746" w:rsidRPr="00ED172B" w:rsidRDefault="00EC3746" w:rsidP="00EC3746">
      <w:pPr>
        <w:rPr>
          <w:color w:val="000000" w:themeColor="text1"/>
          <w:szCs w:val="16"/>
        </w:rPr>
      </w:pPr>
      <w:r w:rsidRPr="00ED172B">
        <w:rPr>
          <w:color w:val="000000" w:themeColor="text1"/>
          <w:szCs w:val="16"/>
        </w:rPr>
        <w:t>600</w:t>
      </w:r>
    </w:p>
    <w:p w14:paraId="207B52CF" w14:textId="33B5A180"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5E91C783" w14:textId="77777777" w:rsidR="00EC3746" w:rsidRPr="00ED172B" w:rsidRDefault="00EC3746" w:rsidP="00EC3746">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14:paraId="339DA0D8" w14:textId="116C6D22" w:rsidR="00EC3746" w:rsidRDefault="00EC3746" w:rsidP="005A1CA1">
      <w:pPr>
        <w:rPr>
          <w:color w:val="000000" w:themeColor="text1"/>
        </w:rPr>
      </w:pPr>
      <w:r w:rsidRPr="00ED172B">
        <w:rPr>
          <w:color w:val="000000" w:themeColor="text1"/>
        </w:rPr>
        <w:t>2,331</w:t>
      </w:r>
    </w:p>
    <w:p w14:paraId="215A5675"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21B39747" w14:textId="0D6A34CA" w:rsidR="00A32D79" w:rsidRPr="00ED172B" w:rsidRDefault="00A32D79" w:rsidP="00A32D79">
      <w:pPr>
        <w:rPr>
          <w:rFonts w:cs="Arial"/>
          <w:color w:val="000000" w:themeColor="text1"/>
          <w:szCs w:val="16"/>
        </w:rPr>
      </w:pPr>
      <w:r w:rsidRPr="00ED172B">
        <w:rPr>
          <w:color w:val="000000" w:themeColor="text1"/>
          <w:szCs w:val="16"/>
        </w:rPr>
        <w:t xml:space="preserve">The majority of delays were due to exceptional family circumstances, such as a family who was unable to participate in a transition conference at least 90 days prior to the child's third birthday or did not attend as scheduled. Other reasons for delay included children who were referred to Part C after 33 months of age, or families did not provide consent for a transition conference. In other cases, extreme weather prevented the transition conference from occurring as scheduled. </w:t>
      </w:r>
    </w:p>
    <w:p w14:paraId="6A4229B2"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1A5AB2A5" w14:textId="712BFD4F" w:rsidR="00781A26" w:rsidRDefault="00781A26" w:rsidP="00B83404">
      <w:pPr>
        <w:rPr>
          <w:color w:val="000000" w:themeColor="text1"/>
        </w:rPr>
      </w:pPr>
      <w:r w:rsidRPr="00ED172B">
        <w:rPr>
          <w:color w:val="000000" w:themeColor="text1"/>
        </w:rPr>
        <w:t>State database</w:t>
      </w:r>
    </w:p>
    <w:p w14:paraId="1D234BC8" w14:textId="55633D84" w:rsidR="00781A26" w:rsidRPr="00ED172B" w:rsidRDefault="00781A26">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1EF1B9" w14:textId="471657D2" w:rsidR="00781A26" w:rsidRPr="00ED172B" w:rsidRDefault="00860830" w:rsidP="00781A26">
      <w:pPr>
        <w:rPr>
          <w:color w:val="000000" w:themeColor="text1"/>
        </w:rPr>
      </w:pPr>
      <w:r w:rsidRPr="00ED172B">
        <w:rPr>
          <w:color w:val="000000" w:themeColor="text1"/>
        </w:rPr>
        <w:t>The Lead Agency (MA-C) reports data collected during the full reporting period: July 1, 2020-June 30, 2021.</w:t>
      </w:r>
    </w:p>
    <w:p w14:paraId="342C3DA5" w14:textId="22804128" w:rsidR="00781A26" w:rsidRPr="00ED172B" w:rsidRDefault="00781A26">
      <w:pPr>
        <w:rPr>
          <w:b/>
          <w:color w:val="000000" w:themeColor="text1"/>
        </w:rPr>
      </w:pPr>
      <w:r w:rsidRPr="00ED172B">
        <w:rPr>
          <w:b/>
          <w:color w:val="000000" w:themeColor="text1"/>
        </w:rPr>
        <w:t xml:space="preserve">Describe how the data accurately reflect data for infants and toddlers with IFSPs for the full reporting period. </w:t>
      </w:r>
    </w:p>
    <w:p w14:paraId="2045AB1A" w14:textId="660FC827" w:rsidR="00781A26" w:rsidRDefault="00860830" w:rsidP="00781A26">
      <w:pPr>
        <w:rPr>
          <w:rFonts w:cs="Arial"/>
          <w:color w:val="000000" w:themeColor="text1"/>
          <w:szCs w:val="16"/>
        </w:rPr>
      </w:pPr>
      <w:r w:rsidRPr="00ED172B">
        <w:rPr>
          <w:rFonts w:cs="Arial"/>
          <w:color w:val="000000" w:themeColor="text1"/>
          <w:szCs w:val="16"/>
        </w:rPr>
        <w:t xml:space="preserve">These data accurately reflect data for infants and toddlers with IFSPs because it includes all toddlers with disabilities exiting Part C who are potentially eligible for Part B (excluding those for whom the family has not provided consent for a transition planning conference. </w:t>
      </w:r>
    </w:p>
    <w:p w14:paraId="3B2CCC81" w14:textId="0C6D0819" w:rsidR="003A3693" w:rsidRPr="00ED172B" w:rsidRDefault="003A3693" w:rsidP="00950382">
      <w:pPr>
        <w:rPr>
          <w:b/>
          <w:color w:val="000000" w:themeColor="text1"/>
        </w:rPr>
      </w:pPr>
      <w:r w:rsidRPr="00ED172B">
        <w:rPr>
          <w:b/>
          <w:color w:val="000000" w:themeColor="text1"/>
        </w:rPr>
        <w:t>Provide additional information about this indicator (optional).</w:t>
      </w:r>
    </w:p>
    <w:p w14:paraId="40AE3CB1" w14:textId="1A980599" w:rsidR="003A3693" w:rsidRPr="00ED172B" w:rsidRDefault="003A3693" w:rsidP="003A3693">
      <w:pPr>
        <w:rPr>
          <w:rFonts w:cs="Arial"/>
          <w:color w:val="000000" w:themeColor="text1"/>
          <w:szCs w:val="16"/>
        </w:rPr>
      </w:pPr>
    </w:p>
    <w:p w14:paraId="0F5F1132" w14:textId="32E6E59B" w:rsidR="00E06C1E" w:rsidRPr="00ED172B" w:rsidRDefault="00E06C1E" w:rsidP="00B83404">
      <w:pPr>
        <w:rPr>
          <w:color w:val="000000" w:themeColor="text1"/>
        </w:rPr>
      </w:pPr>
      <w:r w:rsidRPr="00ED172B">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2FE37A66" w14:textId="77777777" w:rsidTr="00986B99">
        <w:trPr>
          <w:trHeight w:val="389"/>
          <w:tblHeader/>
        </w:trPr>
        <w:tc>
          <w:tcPr>
            <w:tcW w:w="1209" w:type="pct"/>
            <w:shd w:val="clear" w:color="auto" w:fill="auto"/>
            <w:vAlign w:val="bottom"/>
          </w:tcPr>
          <w:p w14:paraId="4D236109"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68" w:type="pct"/>
            <w:shd w:val="clear" w:color="auto" w:fill="auto"/>
            <w:vAlign w:val="bottom"/>
          </w:tcPr>
          <w:p w14:paraId="614E871C"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shd w:val="clear" w:color="auto" w:fill="auto"/>
            <w:vAlign w:val="bottom"/>
          </w:tcPr>
          <w:p w14:paraId="1CA22C25"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shd w:val="clear" w:color="auto" w:fill="auto"/>
            <w:vAlign w:val="bottom"/>
          </w:tcPr>
          <w:p w14:paraId="14843B4B"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41A79F7" w14:textId="77777777" w:rsidTr="00986B99">
        <w:tc>
          <w:tcPr>
            <w:tcW w:w="1209" w:type="pct"/>
            <w:shd w:val="clear" w:color="auto" w:fill="auto"/>
          </w:tcPr>
          <w:p w14:paraId="44DB5FD7" w14:textId="017C1330" w:rsidR="00E06C1E" w:rsidRPr="00ED172B" w:rsidRDefault="00860830" w:rsidP="00ED172B">
            <w:pPr>
              <w:jc w:val="center"/>
              <w:rPr>
                <w:rFonts w:cs="Arial"/>
                <w:color w:val="000000" w:themeColor="text1"/>
                <w:szCs w:val="16"/>
              </w:rPr>
            </w:pPr>
            <w:r w:rsidRPr="00ED172B">
              <w:rPr>
                <w:rFonts w:cs="Arial"/>
                <w:color w:val="000000" w:themeColor="text1"/>
                <w:szCs w:val="16"/>
              </w:rPr>
              <w:t>3</w:t>
            </w:r>
          </w:p>
        </w:tc>
        <w:tc>
          <w:tcPr>
            <w:tcW w:w="1268" w:type="pct"/>
            <w:shd w:val="clear" w:color="auto" w:fill="auto"/>
          </w:tcPr>
          <w:p w14:paraId="2EF88B35" w14:textId="56AB0211" w:rsidR="00E06C1E" w:rsidRPr="00ED172B" w:rsidRDefault="00860830" w:rsidP="00ED172B">
            <w:pPr>
              <w:jc w:val="center"/>
              <w:rPr>
                <w:rFonts w:cs="Arial"/>
                <w:color w:val="000000" w:themeColor="text1"/>
                <w:szCs w:val="16"/>
              </w:rPr>
            </w:pPr>
            <w:r w:rsidRPr="00ED172B">
              <w:rPr>
                <w:rFonts w:cs="Arial"/>
                <w:color w:val="000000" w:themeColor="text1"/>
                <w:szCs w:val="16"/>
              </w:rPr>
              <w:t>3</w:t>
            </w:r>
          </w:p>
        </w:tc>
        <w:tc>
          <w:tcPr>
            <w:tcW w:w="1211" w:type="pct"/>
            <w:shd w:val="clear" w:color="auto" w:fill="auto"/>
          </w:tcPr>
          <w:p w14:paraId="10012A67" w14:textId="070A52AD" w:rsidR="00E06C1E" w:rsidRPr="00ED172B" w:rsidRDefault="00E06C1E" w:rsidP="00ED172B">
            <w:pPr>
              <w:jc w:val="center"/>
              <w:rPr>
                <w:rFonts w:cs="Arial"/>
                <w:color w:val="000000" w:themeColor="text1"/>
                <w:szCs w:val="16"/>
              </w:rPr>
            </w:pPr>
          </w:p>
        </w:tc>
        <w:tc>
          <w:tcPr>
            <w:tcW w:w="1312" w:type="pct"/>
            <w:shd w:val="clear" w:color="auto" w:fill="auto"/>
          </w:tcPr>
          <w:p w14:paraId="17C46319" w14:textId="0968AE1A" w:rsidR="00E06C1E" w:rsidRPr="00ED172B" w:rsidRDefault="00860830" w:rsidP="00CD79C5">
            <w:pPr>
              <w:rPr>
                <w:rFonts w:cs="Arial"/>
                <w:color w:val="000000" w:themeColor="text1"/>
                <w:szCs w:val="16"/>
              </w:rPr>
            </w:pPr>
            <w:r w:rsidRPr="00ED172B">
              <w:rPr>
                <w:rFonts w:cs="Arial"/>
                <w:color w:val="000000" w:themeColor="text1"/>
                <w:szCs w:val="16"/>
              </w:rPr>
              <w:t>0</w:t>
            </w:r>
          </w:p>
        </w:tc>
      </w:tr>
    </w:tbl>
    <w:p w14:paraId="516D9735" w14:textId="5F03485E" w:rsidR="00E06C1E" w:rsidRPr="00ED172B" w:rsidRDefault="00CD74B5" w:rsidP="00B83404">
      <w:pPr>
        <w:rPr>
          <w:color w:val="000000" w:themeColor="text1"/>
        </w:rPr>
      </w:pPr>
      <w:r>
        <w:rPr>
          <w:b/>
          <w:color w:val="000000" w:themeColor="text1"/>
        </w:rPr>
        <w:t>FFY 2019 Findings of Noncompliance Verified as Corrected</w:t>
      </w:r>
    </w:p>
    <w:p w14:paraId="744E9FCC" w14:textId="4DDC632D" w:rsidR="00E06C1E" w:rsidRPr="00ED172B" w:rsidRDefault="00E06C1E">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07554342" w14:textId="19034021" w:rsidR="00E06C1E" w:rsidRPr="00ED172B" w:rsidRDefault="00860830">
      <w:pPr>
        <w:rPr>
          <w:color w:val="000000" w:themeColor="text1"/>
        </w:rPr>
      </w:pPr>
      <w:r w:rsidRPr="00ED172B">
        <w:rPr>
          <w:color w:val="000000" w:themeColor="text1"/>
        </w:rPr>
        <w:lastRenderedPageBreak/>
        <w:t xml:space="preserve">The Lead Agency (MA-C) identified FFY2019 noncompliance through annual monitoring of its state database, implementing a process to distinguish inaccurate implementation of the regulatory requirement from inaccurate or delayed data entry. </w:t>
      </w:r>
      <w:r w:rsidRPr="00ED172B">
        <w:rPr>
          <w:color w:val="000000" w:themeColor="text1"/>
        </w:rPr>
        <w:br/>
      </w:r>
      <w:r w:rsidRPr="00ED172B">
        <w:rPr>
          <w:color w:val="000000" w:themeColor="text1"/>
        </w:rPr>
        <w:br/>
        <w:t xml:space="preserve">First, MA-C notified Local programs of each instance of noncompliance or missing data (i.e., each toddler whose record did not demonstrate a transition conference was completed on time). Local programs were required to review their paper records for each instance of noncompliance within 30 days. Local programs reported back to MA-C either (1) to confirm the instance of noncompliance or (2) to identify it as an error in data entry and provide corrected information. In this case, MA-C updated the state database to reflect corrected data and reanalyzed the local program’s compliance for Indicator 8C. </w:t>
      </w:r>
      <w:r w:rsidRPr="00ED172B">
        <w:rPr>
          <w:color w:val="000000" w:themeColor="text1"/>
        </w:rPr>
        <w:br/>
      </w:r>
      <w:r w:rsidRPr="00ED172B">
        <w:rPr>
          <w:color w:val="000000" w:themeColor="text1"/>
        </w:rPr>
        <w:br/>
        <w:t xml:space="preserve">Next, MA-C confirmed 3 cases of noncompliance in FFY2019 through annual monitoring of its state database. As described above, MA-C verified that the source of noncompliance was incorrect implementation of the regulatory requirement. MA-C evaluated noncompliance for each local program. First, MA-C evaluated the extent of noncompliance by considering a local program’s history of noncompliance and amount of noncompliance in FFY2019. Next, a root cause analysis was conducted for the local program’s noncompliance. For local programs with noncompliance equal to or less than 75%, MA-C led the analysis and determined if the noncompliance was isolated or systemic. For local programs with noncompliance equal to or greater than 85%, the local program led the analysis and determined if the noncompliance was isolated or systemic. All local programs demonstrating less than 95% compliance were placed on Corrective Action Plans (CAPs). Terms of CAPs differed based on the root-cause analysis, the amount of noncompliance, and a local program’s history of noncompliance. MA-C documented the CAPs in Microsoft Excel database that lists all CAPs for the reporting year. After the local program met all the conditions of its CAP, MA-C notified them in writing that the CAP was completed and closed. </w:t>
      </w:r>
      <w:r w:rsidRPr="00ED172B">
        <w:rPr>
          <w:color w:val="000000" w:themeColor="text1"/>
        </w:rPr>
        <w:br/>
      </w:r>
      <w:r w:rsidRPr="00ED172B">
        <w:rPr>
          <w:color w:val="000000" w:themeColor="text1"/>
        </w:rPr>
        <w:br/>
        <w:t>Third, MA-C verified ongoing compliance from the local program within 90 calendar days of the CAP being closed. The procedures used differed based on the type of noncompliance (i.e., isolated or systemic). For local programs with isolated non-compliance, MA-C sampled 10 child records at random using the data from the first quarter of state fiscal year 2021 (i.e., July-October 2020). For local programs with systemic non-compliance, MA-C sampled data from one month (additional months as needed) to be able to sample 10 children for the indicator where systemic non-compliance was determined. MA-C documented its verification in its Microsoft Excel database that lists all CAPs for the reporting year. MA-C notified each local program in writing that compliance had been reached. To date, all FFY2019 findings of noncompliance have been corrected and verified by MA-C.</w:t>
      </w:r>
    </w:p>
    <w:p w14:paraId="6D01EF0D" w14:textId="1AD582C0" w:rsidR="00E06C1E" w:rsidRPr="00ED172B" w:rsidRDefault="00E06C1E">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E3CA8C6" w14:textId="7957D363" w:rsidR="00E06C1E" w:rsidRDefault="00860830">
      <w:pPr>
        <w:rPr>
          <w:color w:val="000000" w:themeColor="text1"/>
        </w:rPr>
      </w:pPr>
      <w:r w:rsidRPr="00ED172B">
        <w:rPr>
          <w:color w:val="000000" w:themeColor="text1"/>
        </w:rPr>
        <w:t xml:space="preserve">After MA-C verified ongoing compliance at the program level, MA-C reviewed data within the state database to determine the outcome each individual instance of noncompliance at the child level. For each child, it MA-C determined if the transition conference had been held with the family, although late, or if the conference could not be held as the child was no longer within MA-C's jurisdiction (i.e., the child had exited Part C services). This analysis demonstrated that all three children exited the Part C system before a transition conference could be held. </w:t>
      </w:r>
    </w:p>
    <w:p w14:paraId="24E59DC5" w14:textId="34A0AF02" w:rsidR="00E06C1E" w:rsidRPr="00ED172B" w:rsidRDefault="00E06C1E" w:rsidP="00B83404">
      <w:pPr>
        <w:rPr>
          <w:color w:val="000000" w:themeColor="text1"/>
        </w:rPr>
      </w:pPr>
      <w:r w:rsidRPr="00ED172B">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37B70C61" w14:textId="77777777" w:rsidTr="00986B99">
        <w:trPr>
          <w:tblHeader/>
        </w:trPr>
        <w:tc>
          <w:tcPr>
            <w:tcW w:w="954" w:type="pct"/>
            <w:shd w:val="clear" w:color="auto" w:fill="auto"/>
            <w:vAlign w:val="bottom"/>
          </w:tcPr>
          <w:p w14:paraId="17E2443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shd w:val="clear" w:color="auto" w:fill="auto"/>
            <w:vAlign w:val="bottom"/>
          </w:tcPr>
          <w:p w14:paraId="5E5FCDEA" w14:textId="1366BE10"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2019 APR</w:t>
            </w:r>
          </w:p>
        </w:tc>
        <w:tc>
          <w:tcPr>
            <w:tcW w:w="1385" w:type="pct"/>
            <w:shd w:val="clear" w:color="auto" w:fill="auto"/>
            <w:vAlign w:val="bottom"/>
          </w:tcPr>
          <w:p w14:paraId="1C6B855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shd w:val="clear" w:color="auto" w:fill="auto"/>
            <w:vAlign w:val="bottom"/>
          </w:tcPr>
          <w:p w14:paraId="63E733B1"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06E45D6" w14:textId="77777777" w:rsidTr="00986B99">
        <w:tc>
          <w:tcPr>
            <w:tcW w:w="954" w:type="pct"/>
            <w:shd w:val="clear" w:color="auto" w:fill="auto"/>
          </w:tcPr>
          <w:p w14:paraId="0462C17B" w14:textId="6F7A2E92" w:rsidR="00E06C1E" w:rsidRPr="00ED172B" w:rsidRDefault="00E06C1E" w:rsidP="00CD79C5">
            <w:pPr>
              <w:rPr>
                <w:rFonts w:cs="Arial"/>
                <w:color w:val="000000" w:themeColor="text1"/>
                <w:szCs w:val="16"/>
              </w:rPr>
            </w:pPr>
          </w:p>
        </w:tc>
        <w:tc>
          <w:tcPr>
            <w:tcW w:w="1369" w:type="pct"/>
            <w:shd w:val="clear" w:color="auto" w:fill="auto"/>
          </w:tcPr>
          <w:p w14:paraId="5BA52FCC" w14:textId="3D598A47" w:rsidR="00E06C1E" w:rsidRPr="00ED172B" w:rsidRDefault="00E06C1E" w:rsidP="00CD79C5">
            <w:pPr>
              <w:jc w:val="center"/>
              <w:rPr>
                <w:rFonts w:cs="Arial"/>
                <w:noProof/>
                <w:color w:val="000000" w:themeColor="text1"/>
                <w:szCs w:val="16"/>
              </w:rPr>
            </w:pPr>
          </w:p>
        </w:tc>
        <w:tc>
          <w:tcPr>
            <w:tcW w:w="1385" w:type="pct"/>
            <w:shd w:val="clear" w:color="auto" w:fill="auto"/>
          </w:tcPr>
          <w:p w14:paraId="6B279413" w14:textId="2F1AADB8" w:rsidR="00E06C1E" w:rsidRPr="00ED172B" w:rsidRDefault="00E06C1E" w:rsidP="00CD79C5">
            <w:pPr>
              <w:jc w:val="center"/>
              <w:rPr>
                <w:rFonts w:cs="Arial"/>
                <w:noProof/>
                <w:color w:val="000000" w:themeColor="text1"/>
                <w:szCs w:val="16"/>
              </w:rPr>
            </w:pPr>
          </w:p>
        </w:tc>
        <w:tc>
          <w:tcPr>
            <w:tcW w:w="1292" w:type="pct"/>
            <w:shd w:val="clear" w:color="auto" w:fill="auto"/>
          </w:tcPr>
          <w:p w14:paraId="68689D7A" w14:textId="2D874336" w:rsidR="00E06C1E" w:rsidRPr="00ED172B" w:rsidRDefault="00E06C1E" w:rsidP="00CD79C5">
            <w:pPr>
              <w:jc w:val="center"/>
              <w:rPr>
                <w:rFonts w:cs="Arial"/>
                <w:noProof/>
                <w:color w:val="000000" w:themeColor="text1"/>
                <w:szCs w:val="16"/>
              </w:rPr>
            </w:pPr>
          </w:p>
        </w:tc>
      </w:tr>
      <w:tr w:rsidR="00ED172B" w:rsidRPr="00ED172B" w14:paraId="56685A6A" w14:textId="77777777" w:rsidTr="00986B99">
        <w:tc>
          <w:tcPr>
            <w:tcW w:w="954" w:type="pct"/>
            <w:shd w:val="clear" w:color="auto" w:fill="auto"/>
          </w:tcPr>
          <w:p w14:paraId="7179E786" w14:textId="392A4084" w:rsidR="00E06C1E" w:rsidRPr="00ED172B" w:rsidRDefault="00E06C1E" w:rsidP="00CD79C5">
            <w:pPr>
              <w:rPr>
                <w:rFonts w:cs="Arial"/>
                <w:color w:val="000000" w:themeColor="text1"/>
                <w:szCs w:val="16"/>
              </w:rPr>
            </w:pPr>
          </w:p>
        </w:tc>
        <w:tc>
          <w:tcPr>
            <w:tcW w:w="1369" w:type="pct"/>
            <w:shd w:val="clear" w:color="auto" w:fill="auto"/>
          </w:tcPr>
          <w:p w14:paraId="6CB3F624" w14:textId="24F9CFE3" w:rsidR="00E06C1E" w:rsidRPr="00ED172B" w:rsidRDefault="00E06C1E" w:rsidP="00CD79C5">
            <w:pPr>
              <w:jc w:val="center"/>
              <w:rPr>
                <w:rFonts w:cs="Arial"/>
                <w:noProof/>
                <w:color w:val="000000" w:themeColor="text1"/>
                <w:szCs w:val="16"/>
              </w:rPr>
            </w:pPr>
          </w:p>
        </w:tc>
        <w:tc>
          <w:tcPr>
            <w:tcW w:w="1385" w:type="pct"/>
            <w:shd w:val="clear" w:color="auto" w:fill="auto"/>
          </w:tcPr>
          <w:p w14:paraId="4EF6A3A9" w14:textId="5371D864" w:rsidR="00E06C1E" w:rsidRPr="00ED172B" w:rsidRDefault="00E06C1E" w:rsidP="00CD79C5">
            <w:pPr>
              <w:jc w:val="center"/>
              <w:rPr>
                <w:rFonts w:cs="Arial"/>
                <w:noProof/>
                <w:color w:val="000000" w:themeColor="text1"/>
                <w:szCs w:val="16"/>
              </w:rPr>
            </w:pPr>
          </w:p>
        </w:tc>
        <w:tc>
          <w:tcPr>
            <w:tcW w:w="1292" w:type="pct"/>
            <w:shd w:val="clear" w:color="auto" w:fill="auto"/>
          </w:tcPr>
          <w:p w14:paraId="66F1697A" w14:textId="51875C1A" w:rsidR="00E06C1E" w:rsidRPr="00ED172B" w:rsidRDefault="00E06C1E" w:rsidP="00CD79C5">
            <w:pPr>
              <w:jc w:val="center"/>
              <w:rPr>
                <w:rFonts w:cs="Arial"/>
                <w:noProof/>
                <w:color w:val="000000" w:themeColor="text1"/>
                <w:szCs w:val="16"/>
              </w:rPr>
            </w:pPr>
          </w:p>
        </w:tc>
      </w:tr>
      <w:tr w:rsidR="00ED172B" w:rsidRPr="00ED172B" w14:paraId="423BF0B3" w14:textId="77777777" w:rsidTr="00986B99">
        <w:tc>
          <w:tcPr>
            <w:tcW w:w="954" w:type="pct"/>
            <w:shd w:val="clear" w:color="auto" w:fill="auto"/>
          </w:tcPr>
          <w:p w14:paraId="7C618054" w14:textId="50E5413D" w:rsidR="00E06C1E" w:rsidRPr="00ED172B" w:rsidRDefault="00E06C1E" w:rsidP="00CD79C5">
            <w:pPr>
              <w:rPr>
                <w:rFonts w:cs="Arial"/>
                <w:color w:val="000000" w:themeColor="text1"/>
                <w:szCs w:val="16"/>
              </w:rPr>
            </w:pPr>
          </w:p>
        </w:tc>
        <w:tc>
          <w:tcPr>
            <w:tcW w:w="1369" w:type="pct"/>
            <w:shd w:val="clear" w:color="auto" w:fill="auto"/>
          </w:tcPr>
          <w:p w14:paraId="4384FEF7" w14:textId="06049B4E" w:rsidR="00E06C1E" w:rsidRPr="00ED172B" w:rsidRDefault="00E06C1E" w:rsidP="00CD79C5">
            <w:pPr>
              <w:jc w:val="center"/>
              <w:rPr>
                <w:rFonts w:cs="Arial"/>
                <w:noProof/>
                <w:color w:val="000000" w:themeColor="text1"/>
                <w:szCs w:val="16"/>
              </w:rPr>
            </w:pPr>
          </w:p>
        </w:tc>
        <w:tc>
          <w:tcPr>
            <w:tcW w:w="1385" w:type="pct"/>
            <w:shd w:val="clear" w:color="auto" w:fill="auto"/>
          </w:tcPr>
          <w:p w14:paraId="60362BA9" w14:textId="53FAE770" w:rsidR="00E06C1E" w:rsidRPr="00ED172B" w:rsidRDefault="00E06C1E" w:rsidP="00CD79C5">
            <w:pPr>
              <w:jc w:val="center"/>
              <w:rPr>
                <w:rFonts w:cs="Arial"/>
                <w:noProof/>
                <w:color w:val="000000" w:themeColor="text1"/>
                <w:szCs w:val="16"/>
              </w:rPr>
            </w:pPr>
          </w:p>
        </w:tc>
        <w:tc>
          <w:tcPr>
            <w:tcW w:w="1292" w:type="pct"/>
            <w:shd w:val="clear" w:color="auto" w:fill="auto"/>
          </w:tcPr>
          <w:p w14:paraId="1935DBBF" w14:textId="5B8D837C" w:rsidR="00E06C1E" w:rsidRPr="00ED172B" w:rsidRDefault="00E06C1E" w:rsidP="00CD79C5">
            <w:pPr>
              <w:jc w:val="center"/>
              <w:rPr>
                <w:rFonts w:cs="Arial"/>
                <w:noProof/>
                <w:color w:val="000000" w:themeColor="text1"/>
                <w:szCs w:val="16"/>
              </w:rPr>
            </w:pPr>
          </w:p>
        </w:tc>
      </w:tr>
    </w:tbl>
    <w:p w14:paraId="22B5F33A" w14:textId="766786C5" w:rsidR="00E06C1E" w:rsidRPr="00ED172B" w:rsidRDefault="00E06C1E">
      <w:pPr>
        <w:rPr>
          <w:color w:val="000000" w:themeColor="text1"/>
        </w:rPr>
      </w:pPr>
    </w:p>
    <w:p w14:paraId="3940C34D" w14:textId="0B2270A9" w:rsidR="00E06C1E" w:rsidRPr="00A40EE1" w:rsidRDefault="000D0117" w:rsidP="007B0787">
      <w:pPr>
        <w:pStyle w:val="Heading2"/>
      </w:pPr>
      <w:r w:rsidRPr="00A40EE1">
        <w:t xml:space="preserve">8C - </w:t>
      </w:r>
      <w:r w:rsidR="00E06C1E" w:rsidRPr="00A40EE1">
        <w:t>Prior FFY Required Actions</w:t>
      </w:r>
    </w:p>
    <w:p w14:paraId="3523B2FB" w14:textId="508521A4" w:rsidR="00720D77" w:rsidRPr="00ED172B" w:rsidRDefault="00320806" w:rsidP="00E06C1E">
      <w:pPr>
        <w:rPr>
          <w:rFonts w:cs="Arial"/>
          <w:color w:val="000000" w:themeColor="text1"/>
          <w:szCs w:val="16"/>
        </w:rPr>
      </w:pPr>
      <w:r w:rsidRPr="00ED172B">
        <w:rPr>
          <w:color w:val="000000" w:themeColor="text1"/>
        </w:rPr>
        <w:t xml:space="preserve">Because the State reported less than 100% compliance for FFY 2019, the State must report on the status of correction of noncompliance identified in FFY 2019 for this indicator. When reporting on the correction of noncompliance, the State must report, in the FFY 2020 SPP/APR, that it has verified that each EIS program or provider with noncompliance identified in FFY 2019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2020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2019, although its FFY 2019 data reflect less than 100% compliance, provide an explanation of why the State did not identify any findings of noncompliance in FFY 2019.</w:t>
      </w:r>
    </w:p>
    <w:p w14:paraId="4EE6B923" w14:textId="67963996" w:rsidR="00E06C1E" w:rsidRPr="00ED172B" w:rsidRDefault="00E06C1E" w:rsidP="00B83404">
      <w:pPr>
        <w:rPr>
          <w:color w:val="000000" w:themeColor="text1"/>
        </w:rPr>
      </w:pPr>
      <w:r w:rsidRPr="00ED172B">
        <w:rPr>
          <w:b/>
          <w:color w:val="000000" w:themeColor="text1"/>
        </w:rPr>
        <w:t>Response to actions required in FFY 2019 SPP/APR</w:t>
      </w:r>
      <w:r w:rsidR="00950382" w:rsidRPr="00ED172B">
        <w:rPr>
          <w:color w:val="000000" w:themeColor="text1"/>
        </w:rPr>
        <w:t xml:space="preserve"> </w:t>
      </w:r>
    </w:p>
    <w:p w14:paraId="7FE546ED" w14:textId="628A60E0" w:rsidR="00720D77" w:rsidRPr="00ED172B" w:rsidRDefault="00027F39" w:rsidP="00027F39">
      <w:pPr>
        <w:rPr>
          <w:color w:val="000000" w:themeColor="text1"/>
        </w:rPr>
      </w:pPr>
      <w:r w:rsidRPr="00ED172B">
        <w:rPr>
          <w:color w:val="000000" w:themeColor="text1"/>
        </w:rPr>
        <w:t>The Lead Agency (MA-C) identified FFY18 noncompliance through annual monitoring of its state database, implementing a process to distinguish inaccurate implementation of the regulatory requirement from inaccurate or delayed data entry.</w:t>
      </w:r>
      <w:r w:rsidRPr="00ED172B">
        <w:rPr>
          <w:color w:val="000000" w:themeColor="text1"/>
        </w:rPr>
        <w:br/>
      </w:r>
      <w:r w:rsidRPr="00ED172B">
        <w:rPr>
          <w:color w:val="000000" w:themeColor="text1"/>
        </w:rPr>
        <w:br/>
        <w:t xml:space="preserve">In FFY18, MA-C determined that of the 115 children with noncompliant records, 21 had received a transition conference in a timely manner and the apparent delay resulted from a data-entry error. Of the remaining records, 31 received a transition conference, although late, and 63 toddlers were out of MA-C’s jurisdiction prior to correction. </w:t>
      </w:r>
      <w:r w:rsidRPr="00ED172B">
        <w:rPr>
          <w:color w:val="000000" w:themeColor="text1"/>
        </w:rPr>
        <w:br/>
      </w:r>
      <w:r w:rsidRPr="00ED172B">
        <w:rPr>
          <w:color w:val="000000" w:themeColor="text1"/>
        </w:rPr>
        <w:br/>
        <w:t>MA-C notified the local programs of the discovery of noncompliance. MA-C's General Supervision procedures allowed local programs with minimal noncompliance to correct noncompliance prior to the issuance of a written finding. Subsequent to the discovery of noncompliance, MA-C then verified correction of each instance of child-specific noncompliance. MA-C then reviewed updated program data and confirmed 100% compliance with each statutory or regulatory requirement with which noncompliance was identified.</w:t>
      </w:r>
      <w:r w:rsidRPr="00ED172B">
        <w:rPr>
          <w:color w:val="000000" w:themeColor="text1"/>
        </w:rPr>
        <w:br/>
      </w:r>
      <w:r w:rsidRPr="00ED172B">
        <w:rPr>
          <w:color w:val="000000" w:themeColor="text1"/>
        </w:rPr>
        <w:br/>
        <w:t xml:space="preserve">To verify the accuracy of data, MA-C notified local programs of each instance of noncompliance or missing data (i.e., each toddler whose record did not demonstrate timely provision of services) in FFY18. Local programs were required to review their paper records for each instance of noncompliance within 30 days. Local programs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8C in FFY18 through annual monitoring of its state database. </w:t>
      </w:r>
      <w:r w:rsidRPr="00ED172B">
        <w:rPr>
          <w:color w:val="000000" w:themeColor="text1"/>
        </w:rPr>
        <w:br/>
      </w:r>
      <w:r w:rsidRPr="00ED172B">
        <w:rPr>
          <w:color w:val="000000" w:themeColor="text1"/>
        </w:rPr>
        <w:br/>
      </w:r>
      <w:r w:rsidRPr="00ED172B">
        <w:rPr>
          <w:color w:val="000000" w:themeColor="text1"/>
        </w:rPr>
        <w:lastRenderedPageBreak/>
        <w:t>MA-C required the correction of every instance of FFY18 noncompliance. As stated above, MA-C determined that 31 children received a transition conference, although late, and 63 exited the Part C system before a transition conference could be held. MA-C observed that more than half of these 63 toddlers were served by the same EIS program and placed the EIS program on a Corrective Action Plan citing systemic noncompliance.</w:t>
      </w:r>
      <w:r w:rsidRPr="00ED172B">
        <w:rPr>
          <w:color w:val="000000" w:themeColor="text1"/>
        </w:rPr>
        <w:br/>
      </w:r>
      <w:r w:rsidRPr="00ED172B">
        <w:rPr>
          <w:color w:val="000000" w:themeColor="text1"/>
        </w:rPr>
        <w:br/>
        <w:t>MA-C collected and reviewed updated data to verify timely correction of FFY18 noncompliance. MA-C’s specific procedures differed based on the extent of noncompliance and its root cause. For all local programs with compliance rates below 100%, MA-C sampled 10 child records at random using subsequent data from its state database and documented its verification in its records. MA-C notified each local program in writing that compliance had been reached. MA-C has verified that all local programs with less than 100% compliance in FFY18 has demonstrated ongoing compliance.</w:t>
      </w:r>
      <w:r w:rsidRPr="00ED172B">
        <w:rPr>
          <w:color w:val="000000" w:themeColor="text1"/>
        </w:rPr>
        <w:br/>
      </w:r>
      <w:r w:rsidRPr="00ED172B">
        <w:rPr>
          <w:color w:val="000000" w:themeColor="text1"/>
        </w:rPr>
        <w:br/>
        <w:t xml:space="preserve">Per PSC ticket #22-04814AW, MA-C is unable to edit the table "noncompliance identified prior to FFY2019"  in the 8C Indicator Data. For FFY18, there were 94 findings of noncompliance. As of April 2022, all 94 findings have been verified as corrected. </w:t>
      </w:r>
      <w:r w:rsidRPr="00ED172B">
        <w:rPr>
          <w:color w:val="000000" w:themeColor="text1"/>
        </w:rPr>
        <w:br/>
      </w:r>
      <w:r w:rsidRPr="00ED172B">
        <w:rPr>
          <w:color w:val="000000" w:themeColor="text1"/>
        </w:rPr>
        <w:br/>
        <w:t xml:space="preserve">In FFY19, MA-C originally reported 99.80% compliance and identified 16 children whose records did not reflect the that a transition conference was held with the family in a timely manner. MA-C subsequently reviewed data included its’ the state database and discovered an error in its earlier analysis: these data had not previously been assessed for data-entry errors. That is, it was determined that transition conferences with the family were held for 13 children in a timely manner, and the EIS provider entering data into the state database made an error. Once these errors were resolved, MA-C identified only 3 children whose records did not reflect a transition conference was held in a timely manner. MA-C should have reported 99.96% compliant for FFY19. MA-C followed its differentiated procedures (described above) and verified each instance of noncompliance could not be corrected as the child was no longer in MA-C's jurisdiction (i.e., the child exited the Part C system prior to a transition conference being held. </w:t>
      </w:r>
    </w:p>
    <w:p w14:paraId="6FD05FF7" w14:textId="751142CF" w:rsidR="00E06C1E" w:rsidRPr="00A40EE1" w:rsidRDefault="000D0117" w:rsidP="007B0787">
      <w:pPr>
        <w:pStyle w:val="Heading2"/>
      </w:pPr>
      <w:r w:rsidRPr="00A40EE1">
        <w:t xml:space="preserve">8C - </w:t>
      </w:r>
      <w:r w:rsidR="00E06C1E" w:rsidRPr="00A40EE1">
        <w:t>OSEP Response</w:t>
      </w:r>
    </w:p>
    <w:p w14:paraId="27FE6EF5" w14:textId="68DDCFA9" w:rsidR="00E06C1E" w:rsidRPr="00ED172B" w:rsidRDefault="00320806" w:rsidP="00320806">
      <w:pPr>
        <w:rPr>
          <w:color w:val="000000" w:themeColor="text1"/>
        </w:rPr>
      </w:pPr>
      <w:r w:rsidRPr="00ED172B">
        <w:rPr>
          <w:color w:val="000000" w:themeColor="text1"/>
        </w:rPr>
        <w:t>The State did not demonstrate that the EIS program or provider corrected the findings of noncompliance identified in FFY 2019 because it did not report that it verified correction of those findings, consistent with the requirements in OSEP Memo 09-02.  Specifically, the State did not report that that it verified that each EIS program or provider with noncompliance identified in FFY 2019 is correctly implementing the specific regulatory requirements (i.e., achieved 100% compliance) based on a review of updated data such as data subsequently collected through on-site monitoring or a State data system. When describing how it verified correction of findings of noncompliance identified in FFY 2019, the State reported " [a]ll local programs demonstrating less than 95% compliance were placed on Corrective Action Plans (CAPs)." OSEP cannot determine whether findings of noncompliance are issued to local programs regardless of the level of noncompliance identified.</w:t>
      </w:r>
    </w:p>
    <w:p w14:paraId="66F379F4" w14:textId="3E85144C" w:rsidR="00E06C1E" w:rsidRPr="00A40EE1" w:rsidRDefault="000D0117" w:rsidP="007B0787">
      <w:pPr>
        <w:pStyle w:val="Heading2"/>
      </w:pPr>
      <w:r w:rsidRPr="00A40EE1">
        <w:t xml:space="preserve">8C - </w:t>
      </w:r>
      <w:r w:rsidR="00E06C1E" w:rsidRPr="00A40EE1">
        <w:t>Required Actions</w:t>
      </w:r>
    </w:p>
    <w:p w14:paraId="259A7463" w14:textId="2BBA9F30" w:rsidR="00E06C1E" w:rsidRPr="00ED172B" w:rsidRDefault="00320806" w:rsidP="00320806">
      <w:pPr>
        <w:rPr>
          <w:color w:val="000000" w:themeColor="text1"/>
        </w:rPr>
      </w:pPr>
      <w:r w:rsidRPr="00ED172B">
        <w:rPr>
          <w:color w:val="000000" w:themeColor="text1"/>
        </w:rPr>
        <w:t xml:space="preserve">Because the State reported less than 100% compliance for FFY 2020, the State must report on the status of correction of noncompliance identified in FFY 2020 for this indicator. In addition, the State must demonstrate, in the FFY 2021 SPP/APR, that the three findings of noncompliance identified in FFY 2019 were corrected.  When reporting on the correction of noncompliance, the State must report, in the FFY 2021 SPP/APR, that it has verified that each EIS program or provider with findings of noncompliance identified in FFY 2020 and each EIS program or provider with remaining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r>
      <w:r w:rsidRPr="00ED172B">
        <w:rPr>
          <w:color w:val="000000" w:themeColor="text1"/>
        </w:rPr>
        <w:br/>
      </w:r>
      <w:r w:rsidRPr="00ED172B">
        <w:rPr>
          <w:color w:val="000000" w:themeColor="text1"/>
        </w:rPr>
        <w:br/>
        <w:t>If the State did not identify any findings of noncompliance in FFY 2020, although its FFY 2020 data reflect less than 100% compliance, provide an explanation of why the State did not identify any findings of noncompliance in FFY 2020.</w:t>
      </w:r>
    </w:p>
    <w:p w14:paraId="059EBF9E"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0802F7">
          <w:pgSz w:w="12240" w:h="15840"/>
          <w:pgMar w:top="720" w:right="720" w:bottom="720" w:left="720" w:header="720" w:footer="463" w:gutter="0"/>
          <w:cols w:space="720"/>
          <w:docGrid w:linePitch="360"/>
        </w:sectPr>
      </w:pPr>
    </w:p>
    <w:p w14:paraId="0D7CD41A" w14:textId="36464319" w:rsidR="00B3462E" w:rsidRPr="00ED172B" w:rsidRDefault="00B3462E" w:rsidP="0077063D">
      <w:pPr>
        <w:pStyle w:val="Heading1"/>
        <w:rPr>
          <w:color w:val="000000" w:themeColor="text1"/>
        </w:rPr>
      </w:pPr>
      <w:bookmarkStart w:id="48" w:name="_Toc382082390"/>
      <w:bookmarkStart w:id="49" w:name="_Toc392159339"/>
      <w:bookmarkEnd w:id="44"/>
      <w:r w:rsidRPr="00ED172B">
        <w:rPr>
          <w:color w:val="000000" w:themeColor="text1"/>
        </w:rPr>
        <w:lastRenderedPageBreak/>
        <w:t>Indicator 9: Resolution Sessions</w:t>
      </w:r>
      <w:bookmarkEnd w:id="48"/>
      <w:bookmarkEnd w:id="49"/>
    </w:p>
    <w:p w14:paraId="162A1EA4" w14:textId="77777777" w:rsidR="00F51610" w:rsidRPr="00ED172B" w:rsidRDefault="00F51610" w:rsidP="00186420">
      <w:pPr>
        <w:rPr>
          <w:color w:val="000000" w:themeColor="text1"/>
          <w:szCs w:val="20"/>
        </w:rPr>
      </w:pPr>
      <w:bookmarkStart w:id="50" w:name="_Toc381786822"/>
      <w:bookmarkStart w:id="51" w:name="_Toc382731911"/>
      <w:bookmarkStart w:id="52" w:name="_Toc382731912"/>
      <w:bookmarkStart w:id="53" w:name="_Toc392159340"/>
      <w:bookmarkEnd w:id="50"/>
      <w:bookmarkEnd w:id="51"/>
      <w:r w:rsidRPr="00ED172B">
        <w:rPr>
          <w:b/>
          <w:color w:val="000000" w:themeColor="text1"/>
          <w:sz w:val="20"/>
          <w:szCs w:val="20"/>
        </w:rPr>
        <w:t>Instructions and Measurement</w:t>
      </w:r>
    </w:p>
    <w:p w14:paraId="08E18F10"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503A1355" w14:textId="58D9B75E"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20D6E11E" w14:textId="77777777" w:rsidR="00FE403B" w:rsidRPr="00ED172B" w:rsidRDefault="00FE403B">
      <w:pPr>
        <w:rPr>
          <w:b/>
          <w:color w:val="000000" w:themeColor="text1"/>
        </w:rPr>
      </w:pPr>
      <w:r w:rsidRPr="00ED172B">
        <w:rPr>
          <w:b/>
          <w:color w:val="000000" w:themeColor="text1"/>
        </w:rPr>
        <w:t>Data Source</w:t>
      </w:r>
    </w:p>
    <w:p w14:paraId="6E86F032" w14:textId="7420B1CC" w:rsidR="00FE403B"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00FE403B" w:rsidRPr="00ED172B">
        <w:rPr>
          <w:rFonts w:cs="Arial"/>
          <w:color w:val="000000" w:themeColor="text1"/>
          <w:szCs w:val="16"/>
        </w:rPr>
        <w:t>.</w:t>
      </w:r>
    </w:p>
    <w:p w14:paraId="49B9A620" w14:textId="7A3B7345" w:rsidR="00FE403B" w:rsidRPr="00ED172B" w:rsidRDefault="00FE403B">
      <w:pPr>
        <w:rPr>
          <w:b/>
          <w:color w:val="000000" w:themeColor="text1"/>
        </w:rPr>
      </w:pPr>
      <w:r w:rsidRPr="00ED172B">
        <w:rPr>
          <w:b/>
          <w:color w:val="000000" w:themeColor="text1"/>
        </w:rPr>
        <w:t>Measurement</w:t>
      </w:r>
    </w:p>
    <w:p w14:paraId="55C22144" w14:textId="4D92DC81" w:rsidR="00F90BF8" w:rsidRPr="00ED172B" w:rsidRDefault="00F90BF8" w:rsidP="00715B7C">
      <w:pPr>
        <w:rPr>
          <w:color w:val="000000" w:themeColor="text1"/>
          <w:szCs w:val="16"/>
        </w:rPr>
      </w:pPr>
      <w:r w:rsidRPr="00ED172B">
        <w:rPr>
          <w:color w:val="000000" w:themeColor="text1"/>
          <w:szCs w:val="16"/>
        </w:rPr>
        <w:t>Percent = (3.1(a) divided by 3.1) times 100.</w:t>
      </w:r>
    </w:p>
    <w:p w14:paraId="46E381D7" w14:textId="77777777" w:rsidR="00FE403B" w:rsidRPr="00ED172B" w:rsidRDefault="00FE403B">
      <w:pPr>
        <w:rPr>
          <w:b/>
          <w:color w:val="000000" w:themeColor="text1"/>
        </w:rPr>
      </w:pPr>
      <w:r w:rsidRPr="00ED172B">
        <w:rPr>
          <w:b/>
          <w:color w:val="000000" w:themeColor="text1"/>
        </w:rPr>
        <w:t>Instructions</w:t>
      </w:r>
    </w:p>
    <w:p w14:paraId="2A2F58CB" w14:textId="3B947AA9" w:rsidR="00F90BF8" w:rsidRPr="00ED172B" w:rsidRDefault="00F90BF8" w:rsidP="00715B7C">
      <w:pPr>
        <w:rPr>
          <w:color w:val="000000" w:themeColor="text1"/>
          <w:szCs w:val="16"/>
        </w:rPr>
      </w:pPr>
      <w:r w:rsidRPr="00ED172B">
        <w:rPr>
          <w:color w:val="000000" w:themeColor="text1"/>
          <w:szCs w:val="16"/>
        </w:rPr>
        <w:t>Sampling from the State’s 618 data is not allowed.</w:t>
      </w:r>
    </w:p>
    <w:p w14:paraId="756E1F9C" w14:textId="0F78A4C3"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1CBFA8E6" w14:textId="489DCD44"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7FBF3187" w14:textId="54AB83A2" w:rsidR="00F90BF8" w:rsidRPr="00ED172B" w:rsidRDefault="00F90BF8" w:rsidP="00715B7C">
      <w:pPr>
        <w:rPr>
          <w:color w:val="000000" w:themeColor="text1"/>
          <w:szCs w:val="16"/>
        </w:rPr>
      </w:pPr>
      <w:r w:rsidRPr="00ED172B">
        <w:rPr>
          <w:color w:val="000000" w:themeColor="text1"/>
          <w:szCs w:val="16"/>
        </w:rPr>
        <w:t>States are not required to establish baseline or targets if the number of resolution sessions is less than 10. In a reporting period when the number of resolution sessions reaches 10 or greater, the State must develop baseline and targets and report them in the corresponding SPP/APR.</w:t>
      </w:r>
    </w:p>
    <w:p w14:paraId="64DC0E2A" w14:textId="53D5BB2D"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6918407D" w14:textId="7DE8BF5D"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626EF671"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2"/>
    <w:bookmarkEnd w:id="53"/>
    <w:p w14:paraId="498BB6B3" w14:textId="1F66BE76" w:rsidR="007F0CEC" w:rsidRPr="00A40EE1" w:rsidRDefault="000D0117" w:rsidP="007B0787">
      <w:pPr>
        <w:pStyle w:val="Heading2"/>
      </w:pPr>
      <w:r w:rsidRPr="00A40EE1">
        <w:t xml:space="preserve">9 - </w:t>
      </w:r>
      <w:r w:rsidR="00715B7C" w:rsidRPr="00A40EE1">
        <w:t>Indicator Data</w:t>
      </w:r>
    </w:p>
    <w:p w14:paraId="27E473BF" w14:textId="3EE4D9E0" w:rsidR="00524F62" w:rsidRPr="00ED172B" w:rsidRDefault="00524F62" w:rsidP="00524F62">
      <w:pPr>
        <w:rPr>
          <w:b/>
          <w:color w:val="000000" w:themeColor="text1"/>
        </w:rPr>
      </w:pPr>
      <w:r w:rsidRPr="00ED172B">
        <w:rPr>
          <w:b/>
          <w:color w:val="000000" w:themeColor="text1"/>
        </w:rPr>
        <w:t>Not Applicable</w:t>
      </w:r>
    </w:p>
    <w:p w14:paraId="2590DBC0" w14:textId="15E61A4C"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73914029" w14:textId="1768AA7B" w:rsidR="00D12606" w:rsidRPr="00ED172B" w:rsidRDefault="00860830" w:rsidP="00B83404">
      <w:pPr>
        <w:rPr>
          <w:color w:val="000000" w:themeColor="text1"/>
        </w:rPr>
      </w:pPr>
      <w:r w:rsidRPr="00ED172B">
        <w:rPr>
          <w:color w:val="000000" w:themeColor="text1"/>
        </w:rPr>
        <w:t>YES</w:t>
      </w:r>
    </w:p>
    <w:p w14:paraId="2D577CD3" w14:textId="47D29935" w:rsidR="00781A26" w:rsidRPr="00ED172B" w:rsidRDefault="00D12606" w:rsidP="00B83404">
      <w:pPr>
        <w:rPr>
          <w:b/>
          <w:color w:val="000000" w:themeColor="text1"/>
        </w:rPr>
      </w:pPr>
      <w:r w:rsidRPr="00ED172B">
        <w:rPr>
          <w:b/>
          <w:color w:val="000000" w:themeColor="text1"/>
        </w:rPr>
        <w:t xml:space="preserve">Provide an explanation of why it is not applicable below. </w:t>
      </w:r>
    </w:p>
    <w:p w14:paraId="15AA9D9C" w14:textId="77098EE1" w:rsidR="00D12606" w:rsidRPr="00ED172B" w:rsidRDefault="00860830" w:rsidP="00B83404">
      <w:pPr>
        <w:rPr>
          <w:color w:val="000000" w:themeColor="text1"/>
        </w:rPr>
      </w:pPr>
      <w:r w:rsidRPr="00ED172B">
        <w:rPr>
          <w:color w:val="000000" w:themeColor="text1"/>
        </w:rPr>
        <w:t xml:space="preserve">This indicator is not applicable because the Lead Agency (MA-C) uses the Part C hearing procedures under Section 639, 34 CFR 303.430, CFR 303.435-438 and does not provide resolution session.  </w:t>
      </w:r>
    </w:p>
    <w:p w14:paraId="629C12E3" w14:textId="77777777" w:rsidR="009D5CE3" w:rsidRPr="00ED172B" w:rsidRDefault="009D5CE3" w:rsidP="0097671A">
      <w:pPr>
        <w:rPr>
          <w:rFonts w:cs="Arial"/>
          <w:color w:val="000000" w:themeColor="text1"/>
          <w:szCs w:val="16"/>
        </w:rPr>
      </w:pPr>
    </w:p>
    <w:p w14:paraId="48B843A0" w14:textId="3462B79B" w:rsidR="00DC0682" w:rsidRPr="00A40EE1" w:rsidRDefault="000D0117" w:rsidP="007B0787">
      <w:pPr>
        <w:pStyle w:val="Heading2"/>
      </w:pPr>
      <w:bookmarkStart w:id="54" w:name="_Toc381786825"/>
      <w:bookmarkStart w:id="55" w:name="_Toc382731915"/>
      <w:bookmarkStart w:id="56" w:name="_Toc392159343"/>
      <w:r w:rsidRPr="00A40EE1">
        <w:t xml:space="preserve">9 - </w:t>
      </w:r>
      <w:r w:rsidR="00DC0682" w:rsidRPr="00A40EE1">
        <w:t>Prior FFY Required Actions</w:t>
      </w:r>
    </w:p>
    <w:p w14:paraId="036F63EA" w14:textId="4FE66323" w:rsidR="00720D77" w:rsidRPr="00ED172B" w:rsidRDefault="00320806" w:rsidP="00DC0682">
      <w:pPr>
        <w:rPr>
          <w:rFonts w:cs="Arial"/>
          <w:color w:val="000000" w:themeColor="text1"/>
          <w:szCs w:val="16"/>
        </w:rPr>
      </w:pPr>
      <w:r w:rsidRPr="00ED172B">
        <w:rPr>
          <w:color w:val="000000" w:themeColor="text1"/>
        </w:rPr>
        <w:t>None</w:t>
      </w:r>
    </w:p>
    <w:p w14:paraId="68A4FC9E" w14:textId="6CE4698D" w:rsidR="00DC0682" w:rsidRPr="00A40EE1" w:rsidRDefault="000D0117" w:rsidP="007B0787">
      <w:pPr>
        <w:pStyle w:val="Heading2"/>
      </w:pPr>
      <w:r w:rsidRPr="00A40EE1">
        <w:t xml:space="preserve">9 - </w:t>
      </w:r>
      <w:r w:rsidR="00DC0682" w:rsidRPr="00A40EE1">
        <w:t>OSEP Response</w:t>
      </w:r>
    </w:p>
    <w:p w14:paraId="1C7C181C" w14:textId="49B74C9B" w:rsidR="00DC0682" w:rsidRPr="00ED172B" w:rsidRDefault="00320806" w:rsidP="00320806">
      <w:pPr>
        <w:rPr>
          <w:color w:val="000000" w:themeColor="text1"/>
        </w:rPr>
      </w:pPr>
      <w:r w:rsidRPr="00ED172B">
        <w:rPr>
          <w:color w:val="000000" w:themeColor="text1"/>
        </w:rPr>
        <w:t>OSEP notes that this indicator is not applicable.</w:t>
      </w:r>
    </w:p>
    <w:p w14:paraId="5FB5B46D" w14:textId="7FD504EC" w:rsidR="00DC0682" w:rsidRPr="00A40EE1" w:rsidRDefault="000D0117" w:rsidP="007B0787">
      <w:pPr>
        <w:pStyle w:val="Heading2"/>
      </w:pPr>
      <w:r w:rsidRPr="00A40EE1">
        <w:t xml:space="preserve">9 - </w:t>
      </w:r>
      <w:r w:rsidR="00DC0682" w:rsidRPr="00A40EE1">
        <w:t>Required Actions</w:t>
      </w:r>
    </w:p>
    <w:p w14:paraId="58D793A9" w14:textId="1894C6D8" w:rsidR="00DC0682" w:rsidRPr="00ED172B" w:rsidRDefault="00DC0682" w:rsidP="00320806">
      <w:pPr>
        <w:rPr>
          <w:color w:val="000000" w:themeColor="text1"/>
        </w:rPr>
      </w:pPr>
    </w:p>
    <w:p w14:paraId="3A543D7C" w14:textId="77777777" w:rsidR="00DC0682" w:rsidRPr="00ED172B" w:rsidRDefault="00DC0682">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40C7A32D" w14:textId="5DDE5DA3" w:rsidR="007F0CEC" w:rsidRPr="00ED172B" w:rsidRDefault="007F0CEC" w:rsidP="0077063D">
      <w:pPr>
        <w:pStyle w:val="Heading1"/>
        <w:rPr>
          <w:color w:val="000000" w:themeColor="text1"/>
        </w:rPr>
      </w:pPr>
      <w:r w:rsidRPr="00ED172B">
        <w:rPr>
          <w:color w:val="000000" w:themeColor="text1"/>
        </w:rPr>
        <w:lastRenderedPageBreak/>
        <w:t>Indicator 10: Mediation</w:t>
      </w:r>
      <w:bookmarkEnd w:id="54"/>
      <w:bookmarkEnd w:id="55"/>
      <w:bookmarkEnd w:id="56"/>
    </w:p>
    <w:p w14:paraId="68E62423" w14:textId="77777777" w:rsidR="00F51610" w:rsidRPr="00ED172B" w:rsidRDefault="00F51610" w:rsidP="00186420">
      <w:pPr>
        <w:rPr>
          <w:color w:val="000000" w:themeColor="text1"/>
          <w:szCs w:val="20"/>
        </w:rPr>
      </w:pPr>
      <w:bookmarkStart w:id="57" w:name="_Toc382731916"/>
      <w:bookmarkStart w:id="58" w:name="_Toc392159344"/>
      <w:r w:rsidRPr="00ED172B">
        <w:rPr>
          <w:b/>
          <w:color w:val="000000" w:themeColor="text1"/>
          <w:sz w:val="20"/>
          <w:szCs w:val="20"/>
        </w:rPr>
        <w:t>Instructions and Measurement</w:t>
      </w:r>
    </w:p>
    <w:p w14:paraId="45CBBD6E"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342EF4C3"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13B0550C" w14:textId="77777777" w:rsidR="00F90BF8" w:rsidRPr="00ED172B" w:rsidRDefault="00F90BF8">
      <w:pPr>
        <w:rPr>
          <w:b/>
          <w:color w:val="000000" w:themeColor="text1"/>
        </w:rPr>
      </w:pPr>
      <w:r w:rsidRPr="00ED172B">
        <w:rPr>
          <w:b/>
          <w:color w:val="000000" w:themeColor="text1"/>
        </w:rPr>
        <w:t>Data Source</w:t>
      </w:r>
    </w:p>
    <w:p w14:paraId="6EBB7969" w14:textId="77777777" w:rsidR="00F90BF8"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Pr>
          <w:rFonts w:cs="Arial"/>
          <w:color w:val="000000" w:themeColor="text1"/>
          <w:szCs w:val="16"/>
        </w:rPr>
        <w:t>.</w:t>
      </w:r>
    </w:p>
    <w:p w14:paraId="292D98FF" w14:textId="77777777" w:rsidR="00F90BF8" w:rsidRPr="00ED172B" w:rsidRDefault="00F90BF8">
      <w:pPr>
        <w:rPr>
          <w:b/>
          <w:color w:val="000000" w:themeColor="text1"/>
        </w:rPr>
      </w:pPr>
      <w:r w:rsidRPr="00ED172B">
        <w:rPr>
          <w:b/>
          <w:color w:val="000000" w:themeColor="text1"/>
        </w:rPr>
        <w:t>Measurement</w:t>
      </w:r>
    </w:p>
    <w:p w14:paraId="55533F2F" w14:textId="3D8399C8" w:rsidR="00F90BF8" w:rsidRPr="00ED172B" w:rsidRDefault="00F90BF8" w:rsidP="00715B7C">
      <w:pPr>
        <w:rPr>
          <w:color w:val="000000" w:themeColor="text1"/>
          <w:szCs w:val="16"/>
        </w:rPr>
      </w:pPr>
      <w:r w:rsidRPr="00ED172B">
        <w:rPr>
          <w:color w:val="000000" w:themeColor="text1"/>
          <w:szCs w:val="16"/>
        </w:rPr>
        <w:t>Percent = [(2.1(a)(i) + 2.1(b)(i)) divided by 2.1] times 100.</w:t>
      </w:r>
    </w:p>
    <w:p w14:paraId="75ABD207" w14:textId="77777777" w:rsidR="00F90BF8" w:rsidRPr="00ED172B" w:rsidRDefault="00F90BF8">
      <w:pPr>
        <w:rPr>
          <w:b/>
          <w:color w:val="000000" w:themeColor="text1"/>
        </w:rPr>
      </w:pPr>
      <w:r w:rsidRPr="00ED172B">
        <w:rPr>
          <w:b/>
          <w:color w:val="000000" w:themeColor="text1"/>
        </w:rPr>
        <w:t>Instructions</w:t>
      </w:r>
    </w:p>
    <w:p w14:paraId="5BA53C38" w14:textId="77777777" w:rsidR="00F90BF8" w:rsidRPr="00ED172B" w:rsidRDefault="00F90BF8" w:rsidP="00715B7C">
      <w:pPr>
        <w:rPr>
          <w:color w:val="000000" w:themeColor="text1"/>
          <w:szCs w:val="16"/>
        </w:rPr>
      </w:pPr>
      <w:r w:rsidRPr="00ED172B">
        <w:rPr>
          <w:color w:val="000000" w:themeColor="text1"/>
          <w:szCs w:val="16"/>
        </w:rPr>
        <w:t>Sampling from the State’s 618 data is not allowed.</w:t>
      </w:r>
    </w:p>
    <w:p w14:paraId="70797935"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50633D33" w14:textId="07B523FB" w:rsidR="00F90BF8" w:rsidRPr="00ED172B" w:rsidRDefault="00F90BF8" w:rsidP="00715B7C">
      <w:pPr>
        <w:rPr>
          <w:color w:val="000000" w:themeColor="text1"/>
          <w:szCs w:val="16"/>
        </w:rPr>
      </w:pPr>
      <w:r w:rsidRPr="00ED172B">
        <w:rPr>
          <w:color w:val="000000" w:themeColor="text1"/>
          <w:szCs w:val="16"/>
        </w:rPr>
        <w:t>States are not required to establish baseline or targets if the number of mediations is less than 10. In a reporting period when the number of mediations reaches 10 or greater, the State must develop baseline and targets and report them in the corresponding SPP/APR.</w:t>
      </w:r>
    </w:p>
    <w:p w14:paraId="6481ACCC" w14:textId="21E12B44" w:rsidR="00F90BF8" w:rsidRPr="00ED172B" w:rsidRDefault="00CD071F" w:rsidP="00715B7C">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67FB0C0C"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0FB7C586"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p w14:paraId="287A5341" w14:textId="00F1E014" w:rsidR="00715B7C" w:rsidRPr="00A40EE1" w:rsidRDefault="000D0117" w:rsidP="007B0787">
      <w:pPr>
        <w:pStyle w:val="Heading2"/>
      </w:pPr>
      <w:r w:rsidRPr="00A40EE1">
        <w:t xml:space="preserve">10 - </w:t>
      </w:r>
      <w:r w:rsidR="00715B7C" w:rsidRPr="00A40EE1">
        <w:t>Indicator Data</w:t>
      </w:r>
    </w:p>
    <w:p w14:paraId="016B6B29" w14:textId="77777777" w:rsidR="00631022" w:rsidRPr="00ED172B" w:rsidRDefault="00631022" w:rsidP="00631022">
      <w:pPr>
        <w:rPr>
          <w:rFonts w:cs="Arial"/>
          <w:b/>
          <w:color w:val="000000" w:themeColor="text1"/>
          <w:szCs w:val="16"/>
        </w:rPr>
      </w:pPr>
      <w:r w:rsidRPr="00ED172B">
        <w:rPr>
          <w:rFonts w:cs="Arial"/>
          <w:b/>
          <w:color w:val="000000" w:themeColor="text1"/>
          <w:szCs w:val="16"/>
        </w:rPr>
        <w:t>Select yes to use target ranges</w:t>
      </w:r>
    </w:p>
    <w:p w14:paraId="5A2E0BEC" w14:textId="24075C30" w:rsidR="00631022" w:rsidRPr="00ED172B" w:rsidRDefault="00631022" w:rsidP="00186420">
      <w:pPr>
        <w:rPr>
          <w:color w:val="000000" w:themeColor="text1"/>
        </w:rPr>
      </w:pPr>
      <w:r w:rsidRPr="00ED172B">
        <w:rPr>
          <w:rFonts w:cs="Arial"/>
          <w:color w:val="000000" w:themeColor="text1"/>
          <w:szCs w:val="16"/>
        </w:rPr>
        <w:t>Target Range not used</w:t>
      </w:r>
    </w:p>
    <w:p w14:paraId="69A772DE" w14:textId="05345981" w:rsidR="00DC16A4" w:rsidRPr="00ED172B" w:rsidRDefault="00631022">
      <w:pPr>
        <w:rPr>
          <w:b/>
          <w:color w:val="000000" w:themeColor="text1"/>
        </w:rPr>
      </w:pPr>
      <w:r w:rsidRPr="00ED172B">
        <w:rPr>
          <w:b/>
          <w:color w:val="000000" w:themeColor="text1"/>
        </w:rPr>
        <w:t xml:space="preserve">Select yes if the data reported in this indicator are not the same as the State’s data reported under section 618 of the IDEA. </w:t>
      </w:r>
    </w:p>
    <w:p w14:paraId="4DEB85CE" w14:textId="14D6670E" w:rsidR="00631022" w:rsidRDefault="00631022">
      <w:pPr>
        <w:rPr>
          <w:color w:val="000000" w:themeColor="text1"/>
        </w:rPr>
      </w:pPr>
      <w:r w:rsidRPr="00ED172B">
        <w:rPr>
          <w:color w:val="000000" w:themeColor="text1"/>
        </w:rPr>
        <w:t>NO</w:t>
      </w:r>
    </w:p>
    <w:p w14:paraId="7DE6E5E4" w14:textId="27BBC5FE"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6813B365" w14:textId="77777777" w:rsidTr="00986B99">
        <w:trPr>
          <w:trHeight w:val="296"/>
          <w:tblHeader/>
        </w:trPr>
        <w:tc>
          <w:tcPr>
            <w:tcW w:w="1519" w:type="pct"/>
            <w:shd w:val="clear" w:color="auto" w:fill="auto"/>
          </w:tcPr>
          <w:p w14:paraId="1E0E49C0"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shd w:val="clear" w:color="auto" w:fill="auto"/>
          </w:tcPr>
          <w:p w14:paraId="25301036"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shd w:val="clear" w:color="auto" w:fill="auto"/>
          </w:tcPr>
          <w:p w14:paraId="3FEAA9B4"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shd w:val="clear" w:color="auto" w:fill="auto"/>
          </w:tcPr>
          <w:p w14:paraId="287D402C"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0EFEE654" w14:textId="77777777" w:rsidTr="00986B99">
        <w:trPr>
          <w:trHeight w:val="380"/>
        </w:trPr>
        <w:tc>
          <w:tcPr>
            <w:tcW w:w="1519" w:type="pct"/>
            <w:shd w:val="clear" w:color="auto" w:fill="auto"/>
          </w:tcPr>
          <w:p w14:paraId="56D61A9B" w14:textId="496861FF" w:rsidR="00781A26" w:rsidRPr="00ED172B" w:rsidRDefault="0034085B" w:rsidP="00781A26">
            <w:pPr>
              <w:rPr>
                <w:rFonts w:cs="Arial"/>
                <w:color w:val="000000" w:themeColor="text1"/>
                <w:szCs w:val="16"/>
              </w:rPr>
            </w:pPr>
            <w:r w:rsidRPr="00ED172B">
              <w:rPr>
                <w:rFonts w:cs="Arial"/>
                <w:color w:val="000000" w:themeColor="text1"/>
                <w:szCs w:val="16"/>
              </w:rPr>
              <w:t>SY 2020-21 EMAPS IDEA Part C  Dispute Resolution Survey; Section B: Mediation Requests</w:t>
            </w:r>
          </w:p>
        </w:tc>
        <w:tc>
          <w:tcPr>
            <w:tcW w:w="1565" w:type="pct"/>
            <w:shd w:val="clear" w:color="auto" w:fill="auto"/>
          </w:tcPr>
          <w:p w14:paraId="6EC7A23E" w14:textId="5D430E66" w:rsidR="00781A26" w:rsidRPr="00ED172B" w:rsidRDefault="0034085B" w:rsidP="00781A26">
            <w:pPr>
              <w:jc w:val="center"/>
              <w:rPr>
                <w:rFonts w:cs="Arial"/>
                <w:color w:val="000000" w:themeColor="text1"/>
                <w:szCs w:val="16"/>
              </w:rPr>
            </w:pPr>
            <w:r w:rsidRPr="00ED172B">
              <w:rPr>
                <w:rFonts w:cs="Arial"/>
                <w:color w:val="000000" w:themeColor="text1"/>
                <w:szCs w:val="16"/>
              </w:rPr>
              <w:t>11/03/2021</w:t>
            </w:r>
          </w:p>
        </w:tc>
        <w:tc>
          <w:tcPr>
            <w:tcW w:w="1175" w:type="pct"/>
            <w:shd w:val="clear" w:color="auto" w:fill="auto"/>
          </w:tcPr>
          <w:p w14:paraId="7BA820FA"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shd w:val="clear" w:color="auto" w:fill="auto"/>
          </w:tcPr>
          <w:p w14:paraId="7C060BC8" w14:textId="1D89C439" w:rsidR="00781A26" w:rsidRPr="00ED172B" w:rsidRDefault="00027F39" w:rsidP="00ED172B">
            <w:pPr>
              <w:jc w:val="center"/>
              <w:rPr>
                <w:color w:val="000000" w:themeColor="text1"/>
              </w:rPr>
            </w:pPr>
            <w:r w:rsidRPr="00ED172B">
              <w:rPr>
                <w:color w:val="000000" w:themeColor="text1"/>
              </w:rPr>
              <w:t>0</w:t>
            </w:r>
          </w:p>
        </w:tc>
      </w:tr>
      <w:tr w:rsidR="00ED172B" w:rsidRPr="00ED172B" w14:paraId="2A1CAAF1" w14:textId="77777777" w:rsidTr="00986B99">
        <w:trPr>
          <w:trHeight w:val="380"/>
        </w:trPr>
        <w:tc>
          <w:tcPr>
            <w:tcW w:w="1519" w:type="pct"/>
            <w:shd w:val="clear" w:color="auto" w:fill="auto"/>
          </w:tcPr>
          <w:p w14:paraId="63D6E2EE" w14:textId="527A4C4E" w:rsidR="00781A26" w:rsidRPr="00ED172B" w:rsidRDefault="0034085B" w:rsidP="00781A26">
            <w:pPr>
              <w:rPr>
                <w:rFonts w:cs="Arial"/>
                <w:color w:val="000000" w:themeColor="text1"/>
                <w:szCs w:val="16"/>
              </w:rPr>
            </w:pPr>
            <w:r w:rsidRPr="00ED172B">
              <w:rPr>
                <w:rFonts w:cs="Arial"/>
                <w:color w:val="000000" w:themeColor="text1"/>
                <w:szCs w:val="16"/>
              </w:rPr>
              <w:t>SY 2020-21 EMAPS IDEA Part C  Dispute Resolution Survey; Section B: Mediation Requests</w:t>
            </w:r>
          </w:p>
        </w:tc>
        <w:tc>
          <w:tcPr>
            <w:tcW w:w="1565" w:type="pct"/>
            <w:shd w:val="clear" w:color="auto" w:fill="auto"/>
          </w:tcPr>
          <w:p w14:paraId="45CCAA10" w14:textId="238E9547" w:rsidR="00781A26" w:rsidRPr="00ED172B" w:rsidRDefault="0034085B" w:rsidP="00781A26">
            <w:pPr>
              <w:jc w:val="center"/>
              <w:rPr>
                <w:rFonts w:cs="Arial"/>
                <w:color w:val="000000" w:themeColor="text1"/>
                <w:szCs w:val="16"/>
              </w:rPr>
            </w:pPr>
            <w:r w:rsidRPr="00ED172B">
              <w:rPr>
                <w:rFonts w:cs="Arial"/>
                <w:color w:val="000000" w:themeColor="text1"/>
                <w:szCs w:val="16"/>
              </w:rPr>
              <w:t>11/03/2021</w:t>
            </w:r>
          </w:p>
        </w:tc>
        <w:tc>
          <w:tcPr>
            <w:tcW w:w="1175" w:type="pct"/>
            <w:shd w:val="clear" w:color="auto" w:fill="auto"/>
          </w:tcPr>
          <w:p w14:paraId="57A50D57"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shd w:val="clear" w:color="auto" w:fill="auto"/>
          </w:tcPr>
          <w:p w14:paraId="71FDA12A" w14:textId="40679280" w:rsidR="00781A26" w:rsidRPr="00ED172B" w:rsidRDefault="00027F39" w:rsidP="00ED172B">
            <w:pPr>
              <w:jc w:val="center"/>
              <w:rPr>
                <w:color w:val="000000" w:themeColor="text1"/>
              </w:rPr>
            </w:pPr>
            <w:r w:rsidRPr="00ED172B">
              <w:rPr>
                <w:color w:val="000000" w:themeColor="text1"/>
              </w:rPr>
              <w:t>0</w:t>
            </w:r>
          </w:p>
        </w:tc>
      </w:tr>
      <w:tr w:rsidR="00ED172B" w:rsidRPr="00ED172B" w14:paraId="4CAA107A" w14:textId="77777777" w:rsidTr="00986B99">
        <w:trPr>
          <w:trHeight w:val="380"/>
        </w:trPr>
        <w:tc>
          <w:tcPr>
            <w:tcW w:w="1519" w:type="pct"/>
            <w:shd w:val="clear" w:color="auto" w:fill="auto"/>
          </w:tcPr>
          <w:p w14:paraId="28D69B92" w14:textId="300183BC" w:rsidR="00781A26" w:rsidRPr="00ED172B" w:rsidRDefault="0034085B" w:rsidP="00781A26">
            <w:pPr>
              <w:rPr>
                <w:rFonts w:cs="Arial"/>
                <w:color w:val="000000" w:themeColor="text1"/>
                <w:szCs w:val="16"/>
              </w:rPr>
            </w:pPr>
            <w:r w:rsidRPr="00ED172B">
              <w:rPr>
                <w:rFonts w:cs="Arial"/>
                <w:color w:val="000000" w:themeColor="text1"/>
                <w:szCs w:val="16"/>
              </w:rPr>
              <w:t>SY 2020-21 EMAPS IDEA Part C  Dispute Resolution Survey; Section B: Mediation Requests</w:t>
            </w:r>
          </w:p>
        </w:tc>
        <w:tc>
          <w:tcPr>
            <w:tcW w:w="1565" w:type="pct"/>
            <w:shd w:val="clear" w:color="auto" w:fill="auto"/>
          </w:tcPr>
          <w:p w14:paraId="4C1AF679" w14:textId="41A56BF9" w:rsidR="00781A26" w:rsidRPr="00ED172B" w:rsidRDefault="0034085B" w:rsidP="00781A26">
            <w:pPr>
              <w:jc w:val="center"/>
              <w:rPr>
                <w:rFonts w:cs="Arial"/>
                <w:color w:val="000000" w:themeColor="text1"/>
                <w:szCs w:val="16"/>
              </w:rPr>
            </w:pPr>
            <w:r w:rsidRPr="00ED172B">
              <w:rPr>
                <w:rFonts w:cs="Arial"/>
                <w:color w:val="000000" w:themeColor="text1"/>
                <w:szCs w:val="16"/>
              </w:rPr>
              <w:t>11/03/2021</w:t>
            </w:r>
          </w:p>
        </w:tc>
        <w:tc>
          <w:tcPr>
            <w:tcW w:w="1175" w:type="pct"/>
            <w:shd w:val="clear" w:color="auto" w:fill="auto"/>
          </w:tcPr>
          <w:p w14:paraId="416E4FE8"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shd w:val="clear" w:color="auto" w:fill="auto"/>
          </w:tcPr>
          <w:p w14:paraId="3FFC49DA" w14:textId="2AACC070" w:rsidR="00781A26" w:rsidRPr="00ED172B" w:rsidRDefault="00027F39" w:rsidP="00ED172B">
            <w:pPr>
              <w:jc w:val="center"/>
              <w:rPr>
                <w:color w:val="000000" w:themeColor="text1"/>
              </w:rPr>
            </w:pPr>
            <w:r w:rsidRPr="00ED172B">
              <w:rPr>
                <w:color w:val="000000" w:themeColor="text1"/>
              </w:rPr>
              <w:t>0</w:t>
            </w:r>
          </w:p>
        </w:tc>
      </w:tr>
    </w:tbl>
    <w:p w14:paraId="3E6B3744" w14:textId="23AB342D" w:rsidR="00822D9C" w:rsidRDefault="00287B52" w:rsidP="00287B52">
      <w:pPr>
        <w:pStyle w:val="Bold"/>
        <w:rPr>
          <w:color w:val="000000" w:themeColor="text1"/>
        </w:rPr>
      </w:pPr>
      <w:r w:rsidRPr="00ED172B">
        <w:rPr>
          <w:color w:val="000000" w:themeColor="text1"/>
        </w:rPr>
        <w:t>Targets: Description of Stakeholder Input</w:t>
      </w:r>
    </w:p>
    <w:p w14:paraId="29B47A7E" w14:textId="7900ED41" w:rsidR="00E44DFC" w:rsidRDefault="00CF03E0" w:rsidP="00ED172B">
      <w:pPr>
        <w:rPr>
          <w:color w:val="000000" w:themeColor="text1"/>
        </w:rPr>
      </w:pPr>
      <w:r w:rsidRPr="00ED172B">
        <w:rPr>
          <w:color w:val="000000" w:themeColor="text1"/>
        </w:rPr>
        <w:t>The State Interagency Coordinating Council (ICC) serves as the primary stakeholder body for MA-C. ICC provides feedback to develop state targets, identify areas of need, and help recommend additional data analysis to improve MA-C performance. The ICC is comprised of 41 appointed members with variation in level of experience, discipline, role, geographic location across the Commonwealth, and race/ethnicity. Additionally, the ICC meetings are made available to the public and agendas and meeting links are published on MA-C's website and advertised through by the Parent Training and Information Center.</w:t>
      </w:r>
    </w:p>
    <w:p w14:paraId="68E60F77" w14:textId="50BC5DCB" w:rsidR="00287B52" w:rsidRPr="00ED172B" w:rsidRDefault="00287B52" w:rsidP="00287B52">
      <w:pPr>
        <w:pStyle w:val="Bold"/>
        <w:rPr>
          <w:b w:val="0"/>
          <w:color w:val="000000" w:themeColor="text1"/>
        </w:rPr>
      </w:pPr>
    </w:p>
    <w:p w14:paraId="18583600" w14:textId="757B2E4C" w:rsidR="00715B7C" w:rsidRDefault="00423A30" w:rsidP="00287B52">
      <w:pPr>
        <w:rPr>
          <w:rFonts w:cs="Arial"/>
          <w:b/>
          <w:color w:val="000000" w:themeColor="text1"/>
          <w:szCs w:val="16"/>
        </w:rPr>
      </w:pPr>
      <w:r w:rsidRPr="00ED172B">
        <w:rPr>
          <w:rFonts w:cs="Arial"/>
          <w:b/>
          <w:color w:val="000000" w:themeColor="text1"/>
          <w:szCs w:val="16"/>
        </w:rPr>
        <w:t>Historical Data</w:t>
      </w:r>
    </w:p>
    <w:p w14:paraId="11AC067C" w14:textId="4481D23D"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2811"/>
        <w:gridCol w:w="875"/>
      </w:tblGrid>
      <w:tr w:rsidR="000378F3" w:rsidRPr="00ED172B" w14:paraId="799A45A9" w14:textId="77777777" w:rsidTr="00A40EE1">
        <w:trPr>
          <w:trHeight w:val="350"/>
          <w:tblHeader/>
        </w:trPr>
        <w:tc>
          <w:tcPr>
            <w:tcW w:w="4389" w:type="pct"/>
            <w:tcBorders>
              <w:bottom w:val="single" w:sz="4" w:space="0" w:color="auto"/>
            </w:tcBorders>
            <w:shd w:val="clear" w:color="auto" w:fill="auto"/>
            <w:vAlign w:val="center"/>
          </w:tcPr>
          <w:p w14:paraId="0798E3F3"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shd w:val="clear" w:color="auto" w:fill="auto"/>
            <w:vAlign w:val="center"/>
          </w:tcPr>
          <w:p w14:paraId="0F6D9282"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196E0A11" w14:textId="77777777" w:rsidTr="00A40EE1">
        <w:trPr>
          <w:trHeight w:val="350"/>
        </w:trPr>
        <w:tc>
          <w:tcPr>
            <w:tcW w:w="4389" w:type="pct"/>
            <w:tcBorders>
              <w:bottom w:val="single" w:sz="4" w:space="0" w:color="auto"/>
            </w:tcBorders>
            <w:shd w:val="clear" w:color="auto" w:fill="auto"/>
          </w:tcPr>
          <w:p w14:paraId="2E6F6CB1" w14:textId="3D236666" w:rsidR="000378F3" w:rsidRPr="00ED172B" w:rsidRDefault="000378F3" w:rsidP="000378F3">
            <w:pPr>
              <w:jc w:val="center"/>
              <w:rPr>
                <w:b/>
                <w:color w:val="000000" w:themeColor="text1"/>
              </w:rPr>
            </w:pPr>
            <w:r w:rsidRPr="00ED172B">
              <w:rPr>
                <w:color w:val="000000" w:themeColor="text1"/>
              </w:rPr>
              <w:t>2005</w:t>
            </w:r>
          </w:p>
        </w:tc>
        <w:tc>
          <w:tcPr>
            <w:tcW w:w="611" w:type="pct"/>
            <w:shd w:val="clear" w:color="auto" w:fill="auto"/>
            <w:vAlign w:val="center"/>
          </w:tcPr>
          <w:p w14:paraId="03A9855E" w14:textId="5D4201BC" w:rsidR="000378F3" w:rsidRPr="00ED172B" w:rsidRDefault="000378F3" w:rsidP="000378F3">
            <w:pPr>
              <w:jc w:val="center"/>
              <w:rPr>
                <w:color w:val="000000" w:themeColor="text1"/>
              </w:rPr>
            </w:pPr>
          </w:p>
        </w:tc>
      </w:tr>
    </w:tbl>
    <w:p w14:paraId="436B5496"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15E0F4DB" w14:textId="77777777" w:rsidTr="00986B99">
        <w:trPr>
          <w:trHeight w:val="350"/>
        </w:trPr>
        <w:tc>
          <w:tcPr>
            <w:tcW w:w="623" w:type="pct"/>
            <w:tcBorders>
              <w:bottom w:val="single" w:sz="4" w:space="0" w:color="auto"/>
            </w:tcBorders>
            <w:shd w:val="clear" w:color="auto" w:fill="auto"/>
          </w:tcPr>
          <w:p w14:paraId="3A753115"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3CE8C174" w14:textId="54215B00" w:rsidR="00965010" w:rsidRPr="00ED172B" w:rsidRDefault="002163F2" w:rsidP="00CD79C5">
            <w:pPr>
              <w:jc w:val="center"/>
              <w:rPr>
                <w:rFonts w:cs="Arial"/>
                <w:b/>
                <w:color w:val="000000" w:themeColor="text1"/>
                <w:szCs w:val="16"/>
              </w:rPr>
            </w:pPr>
            <w:r w:rsidRPr="00ED172B">
              <w:rPr>
                <w:rFonts w:cs="Arial"/>
                <w:b/>
                <w:color w:val="000000" w:themeColor="text1"/>
                <w:szCs w:val="16"/>
              </w:rPr>
              <w:t>2015</w:t>
            </w:r>
          </w:p>
        </w:tc>
        <w:tc>
          <w:tcPr>
            <w:tcW w:w="875" w:type="pct"/>
            <w:shd w:val="clear" w:color="auto" w:fill="auto"/>
          </w:tcPr>
          <w:p w14:paraId="48525C47" w14:textId="74E82FEF" w:rsidR="00965010" w:rsidRPr="00ED172B" w:rsidRDefault="002163F2" w:rsidP="00CD79C5">
            <w:pPr>
              <w:jc w:val="center"/>
              <w:rPr>
                <w:rFonts w:cs="Arial"/>
                <w:b/>
                <w:color w:val="000000" w:themeColor="text1"/>
                <w:szCs w:val="16"/>
              </w:rPr>
            </w:pPr>
            <w:r w:rsidRPr="00ED172B">
              <w:rPr>
                <w:rFonts w:cs="Arial"/>
                <w:b/>
                <w:color w:val="000000" w:themeColor="text1"/>
                <w:szCs w:val="16"/>
              </w:rPr>
              <w:t>2016</w:t>
            </w:r>
          </w:p>
        </w:tc>
        <w:tc>
          <w:tcPr>
            <w:tcW w:w="875" w:type="pct"/>
            <w:shd w:val="clear" w:color="auto" w:fill="auto"/>
            <w:vAlign w:val="center"/>
          </w:tcPr>
          <w:p w14:paraId="1AAAE12B" w14:textId="25CD9A53" w:rsidR="00965010" w:rsidRPr="00ED172B" w:rsidRDefault="002163F2" w:rsidP="00CD79C5">
            <w:pPr>
              <w:jc w:val="center"/>
              <w:rPr>
                <w:rFonts w:cs="Arial"/>
                <w:b/>
                <w:color w:val="000000" w:themeColor="text1"/>
                <w:szCs w:val="16"/>
              </w:rPr>
            </w:pPr>
            <w:r w:rsidRPr="00ED172B">
              <w:rPr>
                <w:rFonts w:cs="Arial"/>
                <w:b/>
                <w:color w:val="000000" w:themeColor="text1"/>
                <w:szCs w:val="16"/>
              </w:rPr>
              <w:t>2017</w:t>
            </w:r>
          </w:p>
        </w:tc>
        <w:tc>
          <w:tcPr>
            <w:tcW w:w="875" w:type="pct"/>
            <w:shd w:val="clear" w:color="auto" w:fill="auto"/>
            <w:vAlign w:val="center"/>
          </w:tcPr>
          <w:p w14:paraId="288CEC24" w14:textId="050C85BF" w:rsidR="00965010"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vAlign w:val="center"/>
          </w:tcPr>
          <w:p w14:paraId="414BD96D" w14:textId="6D5AFB86" w:rsidR="00965010" w:rsidRPr="00ED172B" w:rsidRDefault="006D43D3" w:rsidP="00CD79C5">
            <w:pPr>
              <w:jc w:val="center"/>
              <w:rPr>
                <w:rFonts w:cs="Arial"/>
                <w:b/>
                <w:color w:val="000000" w:themeColor="text1"/>
                <w:szCs w:val="16"/>
              </w:rPr>
            </w:pPr>
            <w:r w:rsidRPr="00ED172B">
              <w:rPr>
                <w:rFonts w:cs="Arial"/>
                <w:b/>
                <w:color w:val="000000" w:themeColor="text1"/>
                <w:szCs w:val="16"/>
              </w:rPr>
              <w:t>2019</w:t>
            </w:r>
          </w:p>
        </w:tc>
      </w:tr>
      <w:tr w:rsidR="00ED172B" w:rsidRPr="00ED172B" w14:paraId="47A8721B" w14:textId="77777777" w:rsidTr="00986B99">
        <w:trPr>
          <w:trHeight w:val="357"/>
        </w:trPr>
        <w:tc>
          <w:tcPr>
            <w:tcW w:w="623" w:type="pct"/>
            <w:shd w:val="clear" w:color="auto" w:fill="auto"/>
          </w:tcPr>
          <w:p w14:paraId="721E2942" w14:textId="5670436E" w:rsidR="00965010" w:rsidRPr="00ED172B" w:rsidRDefault="00965010" w:rsidP="00CD79C5">
            <w:pPr>
              <w:rPr>
                <w:rFonts w:cs="Arial"/>
                <w:color w:val="000000" w:themeColor="text1"/>
                <w:szCs w:val="16"/>
              </w:rPr>
            </w:pPr>
            <w:r w:rsidRPr="00ED172B">
              <w:rPr>
                <w:rFonts w:cs="Arial"/>
                <w:color w:val="000000" w:themeColor="text1"/>
                <w:szCs w:val="16"/>
              </w:rPr>
              <w:t>Target&gt;=</w:t>
            </w:r>
          </w:p>
        </w:tc>
        <w:tc>
          <w:tcPr>
            <w:tcW w:w="875" w:type="pct"/>
            <w:shd w:val="clear" w:color="auto" w:fill="auto"/>
          </w:tcPr>
          <w:p w14:paraId="0A21AF8F" w14:textId="5612EC32" w:rsidR="00965010" w:rsidRPr="00ED172B" w:rsidRDefault="00965010" w:rsidP="00186420">
            <w:pPr>
              <w:jc w:val="center"/>
              <w:rPr>
                <w:rFonts w:cs="Arial"/>
                <w:color w:val="000000" w:themeColor="text1"/>
                <w:szCs w:val="16"/>
              </w:rPr>
            </w:pPr>
          </w:p>
        </w:tc>
        <w:tc>
          <w:tcPr>
            <w:tcW w:w="875" w:type="pct"/>
            <w:shd w:val="clear" w:color="auto" w:fill="auto"/>
          </w:tcPr>
          <w:p w14:paraId="4958A7B0" w14:textId="75FC1EB5"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6925E141" w14:textId="6C4655F4"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6D3F5E0A" w14:textId="302FDA6B" w:rsidR="00965010" w:rsidRPr="00ED172B" w:rsidRDefault="00965010" w:rsidP="00186420">
            <w:pPr>
              <w:jc w:val="center"/>
              <w:rPr>
                <w:rFonts w:cs="Arial"/>
                <w:color w:val="000000" w:themeColor="text1"/>
                <w:szCs w:val="16"/>
              </w:rPr>
            </w:pPr>
          </w:p>
        </w:tc>
        <w:tc>
          <w:tcPr>
            <w:tcW w:w="875" w:type="pct"/>
            <w:shd w:val="clear" w:color="auto" w:fill="auto"/>
            <w:vAlign w:val="center"/>
          </w:tcPr>
          <w:p w14:paraId="3307A743" w14:textId="0DA1032C" w:rsidR="00965010" w:rsidRPr="00ED172B" w:rsidRDefault="00965010" w:rsidP="00186420">
            <w:pPr>
              <w:jc w:val="center"/>
              <w:rPr>
                <w:rFonts w:cs="Arial"/>
                <w:color w:val="000000" w:themeColor="text1"/>
                <w:szCs w:val="16"/>
              </w:rPr>
            </w:pPr>
          </w:p>
        </w:tc>
      </w:tr>
      <w:tr w:rsidR="00ED172B" w:rsidRPr="00ED172B" w14:paraId="70310803" w14:textId="77777777" w:rsidTr="00986B99">
        <w:trPr>
          <w:trHeight w:val="85"/>
        </w:trPr>
        <w:tc>
          <w:tcPr>
            <w:tcW w:w="623" w:type="pct"/>
            <w:shd w:val="clear" w:color="auto" w:fill="auto"/>
          </w:tcPr>
          <w:p w14:paraId="242E5B90" w14:textId="77777777" w:rsidR="00965010" w:rsidRPr="00ED172B" w:rsidRDefault="00965010" w:rsidP="00CD79C5">
            <w:pPr>
              <w:rPr>
                <w:rFonts w:cs="Arial"/>
                <w:color w:val="000000" w:themeColor="text1"/>
                <w:szCs w:val="16"/>
              </w:rPr>
            </w:pPr>
            <w:r w:rsidRPr="00ED172B">
              <w:rPr>
                <w:rFonts w:cs="Arial"/>
                <w:color w:val="000000" w:themeColor="text1"/>
                <w:szCs w:val="16"/>
              </w:rPr>
              <w:t>Data</w:t>
            </w:r>
          </w:p>
        </w:tc>
        <w:tc>
          <w:tcPr>
            <w:tcW w:w="875" w:type="pct"/>
            <w:shd w:val="clear" w:color="auto" w:fill="auto"/>
          </w:tcPr>
          <w:p w14:paraId="217B706A" w14:textId="7317F284" w:rsidR="00965010" w:rsidRPr="00ED172B" w:rsidRDefault="00965010" w:rsidP="00186420">
            <w:pPr>
              <w:jc w:val="center"/>
              <w:rPr>
                <w:rFonts w:cs="Arial"/>
                <w:color w:val="000000" w:themeColor="text1"/>
                <w:szCs w:val="16"/>
              </w:rPr>
            </w:pPr>
          </w:p>
        </w:tc>
        <w:tc>
          <w:tcPr>
            <w:tcW w:w="875" w:type="pct"/>
            <w:shd w:val="clear" w:color="auto" w:fill="auto"/>
          </w:tcPr>
          <w:p w14:paraId="179468D4" w14:textId="6AEF13A0" w:rsidR="0096501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875" w:type="pct"/>
            <w:tcBorders>
              <w:bottom w:val="single" w:sz="4" w:space="0" w:color="auto"/>
            </w:tcBorders>
            <w:shd w:val="clear" w:color="auto" w:fill="auto"/>
            <w:vAlign w:val="center"/>
          </w:tcPr>
          <w:p w14:paraId="33864A15" w14:textId="13EED87A"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41D4E2E4" w14:textId="36C47BB5" w:rsidR="00965010" w:rsidRPr="00ED172B" w:rsidRDefault="00965010" w:rsidP="00186420">
            <w:pPr>
              <w:jc w:val="center"/>
              <w:rPr>
                <w:rFonts w:cs="Arial"/>
                <w:color w:val="000000" w:themeColor="text1"/>
                <w:szCs w:val="16"/>
              </w:rPr>
            </w:pPr>
          </w:p>
        </w:tc>
        <w:tc>
          <w:tcPr>
            <w:tcW w:w="875" w:type="pct"/>
            <w:tcBorders>
              <w:bottom w:val="single" w:sz="4" w:space="0" w:color="auto"/>
            </w:tcBorders>
            <w:shd w:val="clear" w:color="auto" w:fill="auto"/>
            <w:vAlign w:val="center"/>
          </w:tcPr>
          <w:p w14:paraId="1F1127D0" w14:textId="3B0BE864" w:rsidR="00965010" w:rsidRPr="00ED172B" w:rsidRDefault="00965010" w:rsidP="00186420">
            <w:pPr>
              <w:jc w:val="center"/>
              <w:rPr>
                <w:rFonts w:cs="Arial"/>
                <w:color w:val="000000" w:themeColor="text1"/>
                <w:szCs w:val="16"/>
              </w:rPr>
            </w:pPr>
          </w:p>
        </w:tc>
      </w:tr>
    </w:tbl>
    <w:p w14:paraId="4DA02AA2" w14:textId="77777777" w:rsidR="00720D77" w:rsidRPr="00ED172B" w:rsidRDefault="00720D77" w:rsidP="00720D77">
      <w:pPr>
        <w:pStyle w:val="Italic"/>
        <w:rPr>
          <w:rFonts w:cs="Arial"/>
          <w:i w:val="0"/>
          <w:color w:val="000000" w:themeColor="text1"/>
          <w:szCs w:val="16"/>
        </w:rPr>
      </w:pPr>
    </w:p>
    <w:p w14:paraId="2EC7A5C1" w14:textId="64FBA7B4" w:rsidR="00965010" w:rsidRPr="00ED172B" w:rsidRDefault="00965010" w:rsidP="00B83404">
      <w:pPr>
        <w:rPr>
          <w:color w:val="000000" w:themeColor="text1"/>
        </w:rPr>
      </w:pPr>
      <w:r w:rsidRPr="00ED172B">
        <w:rPr>
          <w:b/>
          <w:color w:val="000000" w:themeColor="text1"/>
        </w:rPr>
        <w:t>Targets</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866"/>
        <w:gridCol w:w="1517"/>
        <w:gridCol w:w="1628"/>
        <w:gridCol w:w="1628"/>
        <w:gridCol w:w="1628"/>
        <w:gridCol w:w="1628"/>
        <w:gridCol w:w="1627"/>
      </w:tblGrid>
      <w:tr w:rsidR="00C375EA" w:rsidRPr="00ED172B" w14:paraId="3367B66C" w14:textId="18B525E5" w:rsidTr="00E021FF">
        <w:trPr>
          <w:trHeight w:val="360"/>
        </w:trPr>
        <w:tc>
          <w:tcPr>
            <w:tcW w:w="260" w:type="pct"/>
            <w:tcBorders>
              <w:bottom w:val="single" w:sz="4" w:space="0" w:color="auto"/>
            </w:tcBorders>
            <w:shd w:val="clear" w:color="auto" w:fill="auto"/>
          </w:tcPr>
          <w:p w14:paraId="3C2EA831" w14:textId="77777777" w:rsidR="00C375EA" w:rsidRPr="00ED172B" w:rsidRDefault="00C375EA" w:rsidP="00C375EA">
            <w:pPr>
              <w:jc w:val="center"/>
              <w:rPr>
                <w:b/>
                <w:color w:val="000000" w:themeColor="text1"/>
              </w:rPr>
            </w:pPr>
            <w:r w:rsidRPr="00ED172B">
              <w:rPr>
                <w:b/>
                <w:color w:val="000000" w:themeColor="text1"/>
              </w:rPr>
              <w:t>FFY</w:t>
            </w:r>
          </w:p>
        </w:tc>
        <w:tc>
          <w:tcPr>
            <w:tcW w:w="746" w:type="pct"/>
            <w:shd w:val="clear" w:color="auto" w:fill="auto"/>
            <w:vAlign w:val="center"/>
          </w:tcPr>
          <w:p w14:paraId="64F739CA" w14:textId="43EC1A3D" w:rsidR="00C375EA" w:rsidRPr="00ED172B" w:rsidRDefault="00C375EA" w:rsidP="00C375EA">
            <w:pPr>
              <w:jc w:val="center"/>
              <w:rPr>
                <w:b/>
                <w:color w:val="000000" w:themeColor="text1"/>
              </w:rPr>
            </w:pPr>
            <w:r w:rsidRPr="00ED172B">
              <w:rPr>
                <w:b/>
                <w:color w:val="000000" w:themeColor="text1"/>
              </w:rPr>
              <w:t>2020</w:t>
            </w:r>
          </w:p>
        </w:tc>
        <w:tc>
          <w:tcPr>
            <w:tcW w:w="799" w:type="pct"/>
          </w:tcPr>
          <w:p w14:paraId="787B7032" w14:textId="0281A2A2" w:rsidR="00C375EA" w:rsidRPr="00ED172B" w:rsidRDefault="00C375EA" w:rsidP="00C375EA">
            <w:pPr>
              <w:jc w:val="center"/>
              <w:rPr>
                <w:b/>
                <w:color w:val="000000" w:themeColor="text1"/>
              </w:rPr>
            </w:pPr>
            <w:r>
              <w:rPr>
                <w:rFonts w:cs="Arial"/>
                <w:b/>
                <w:color w:val="000000" w:themeColor="text1"/>
                <w:szCs w:val="16"/>
              </w:rPr>
              <w:t>2021</w:t>
            </w:r>
          </w:p>
        </w:tc>
        <w:tc>
          <w:tcPr>
            <w:tcW w:w="799" w:type="pct"/>
          </w:tcPr>
          <w:p w14:paraId="328C1C3C" w14:textId="4248D53A" w:rsidR="00C375EA" w:rsidRPr="00ED172B" w:rsidRDefault="00C375EA" w:rsidP="00C375EA">
            <w:pPr>
              <w:jc w:val="center"/>
              <w:rPr>
                <w:b/>
                <w:color w:val="000000" w:themeColor="text1"/>
              </w:rPr>
            </w:pPr>
            <w:r w:rsidRPr="005A1B4F">
              <w:rPr>
                <w:rFonts w:cs="Arial"/>
                <w:b/>
                <w:color w:val="000000" w:themeColor="text1"/>
                <w:szCs w:val="16"/>
              </w:rPr>
              <w:t>2022</w:t>
            </w:r>
          </w:p>
        </w:tc>
        <w:tc>
          <w:tcPr>
            <w:tcW w:w="799" w:type="pct"/>
          </w:tcPr>
          <w:p w14:paraId="4423FD31" w14:textId="7F28EAA2" w:rsidR="00C375EA" w:rsidRPr="00ED172B" w:rsidRDefault="00C375EA" w:rsidP="00C375EA">
            <w:pPr>
              <w:jc w:val="center"/>
              <w:rPr>
                <w:b/>
                <w:color w:val="000000" w:themeColor="text1"/>
              </w:rPr>
            </w:pPr>
            <w:r w:rsidRPr="005A1B4F">
              <w:rPr>
                <w:rFonts w:cs="Arial"/>
                <w:b/>
                <w:color w:val="000000" w:themeColor="text1"/>
                <w:szCs w:val="16"/>
              </w:rPr>
              <w:t>2023</w:t>
            </w:r>
          </w:p>
        </w:tc>
        <w:tc>
          <w:tcPr>
            <w:tcW w:w="799" w:type="pct"/>
          </w:tcPr>
          <w:p w14:paraId="33B52103" w14:textId="5FBE5484" w:rsidR="00C375EA" w:rsidRPr="00ED172B" w:rsidRDefault="00C375EA" w:rsidP="00C375EA">
            <w:pPr>
              <w:jc w:val="center"/>
              <w:rPr>
                <w:b/>
                <w:color w:val="000000" w:themeColor="text1"/>
              </w:rPr>
            </w:pPr>
            <w:r w:rsidRPr="005A1B4F">
              <w:rPr>
                <w:rFonts w:cs="Arial"/>
                <w:b/>
                <w:color w:val="000000" w:themeColor="text1"/>
                <w:szCs w:val="16"/>
              </w:rPr>
              <w:t>2024</w:t>
            </w:r>
          </w:p>
        </w:tc>
        <w:tc>
          <w:tcPr>
            <w:tcW w:w="799" w:type="pct"/>
          </w:tcPr>
          <w:p w14:paraId="46C02C42" w14:textId="23BD3BF9" w:rsidR="00C375EA" w:rsidRPr="00ED172B" w:rsidRDefault="00C375EA" w:rsidP="00C375EA">
            <w:pPr>
              <w:jc w:val="center"/>
              <w:rPr>
                <w:b/>
                <w:color w:val="000000" w:themeColor="text1"/>
              </w:rPr>
            </w:pPr>
            <w:r w:rsidRPr="005A1B4F">
              <w:rPr>
                <w:rFonts w:cs="Arial"/>
                <w:b/>
                <w:color w:val="000000" w:themeColor="text1"/>
                <w:szCs w:val="16"/>
              </w:rPr>
              <w:t>2025</w:t>
            </w:r>
          </w:p>
        </w:tc>
      </w:tr>
      <w:tr w:rsidR="00C375EA" w:rsidRPr="00ED172B" w14:paraId="0276B9DA" w14:textId="556EB458" w:rsidTr="00E021FF">
        <w:trPr>
          <w:trHeight w:val="367"/>
        </w:trPr>
        <w:tc>
          <w:tcPr>
            <w:tcW w:w="260" w:type="pct"/>
            <w:shd w:val="clear" w:color="auto" w:fill="auto"/>
          </w:tcPr>
          <w:p w14:paraId="2CCE1C49" w14:textId="473A3F03" w:rsidR="00C375EA" w:rsidRPr="00ED172B" w:rsidRDefault="00C375EA" w:rsidP="00C375EA">
            <w:pPr>
              <w:rPr>
                <w:rFonts w:cs="Arial"/>
                <w:color w:val="000000" w:themeColor="text1"/>
                <w:szCs w:val="16"/>
              </w:rPr>
            </w:pPr>
            <w:r w:rsidRPr="00ED172B">
              <w:rPr>
                <w:rFonts w:cs="Arial"/>
                <w:color w:val="000000" w:themeColor="text1"/>
                <w:szCs w:val="16"/>
              </w:rPr>
              <w:t>Target&gt;=</w:t>
            </w:r>
          </w:p>
        </w:tc>
        <w:tc>
          <w:tcPr>
            <w:tcW w:w="746" w:type="pct"/>
            <w:shd w:val="clear" w:color="auto" w:fill="auto"/>
            <w:vAlign w:val="center"/>
          </w:tcPr>
          <w:p w14:paraId="7A1FE832" w14:textId="7EA6C6B8" w:rsidR="00C375EA" w:rsidRPr="00ED172B" w:rsidRDefault="00C375EA" w:rsidP="00C375EA">
            <w:pPr>
              <w:jc w:val="center"/>
              <w:rPr>
                <w:color w:val="000000" w:themeColor="text1"/>
              </w:rPr>
            </w:pPr>
          </w:p>
        </w:tc>
        <w:tc>
          <w:tcPr>
            <w:tcW w:w="799" w:type="pct"/>
          </w:tcPr>
          <w:p w14:paraId="1309820B" w14:textId="7FA1AFB9" w:rsidR="00C375EA" w:rsidRPr="00ED172B" w:rsidRDefault="00C375EA" w:rsidP="00C375EA">
            <w:pPr>
              <w:jc w:val="center"/>
              <w:rPr>
                <w:color w:val="000000" w:themeColor="text1"/>
              </w:rPr>
            </w:pPr>
          </w:p>
        </w:tc>
        <w:tc>
          <w:tcPr>
            <w:tcW w:w="799" w:type="pct"/>
          </w:tcPr>
          <w:p w14:paraId="6ECE8CF3" w14:textId="055095F9" w:rsidR="00C375EA" w:rsidRPr="00ED172B" w:rsidRDefault="00C375EA" w:rsidP="00C375EA">
            <w:pPr>
              <w:jc w:val="center"/>
              <w:rPr>
                <w:color w:val="000000" w:themeColor="text1"/>
              </w:rPr>
            </w:pPr>
          </w:p>
        </w:tc>
        <w:tc>
          <w:tcPr>
            <w:tcW w:w="799" w:type="pct"/>
          </w:tcPr>
          <w:p w14:paraId="050245E2" w14:textId="1B636362" w:rsidR="00C375EA" w:rsidRPr="00ED172B" w:rsidRDefault="00C375EA" w:rsidP="00C375EA">
            <w:pPr>
              <w:jc w:val="center"/>
              <w:rPr>
                <w:color w:val="000000" w:themeColor="text1"/>
              </w:rPr>
            </w:pPr>
          </w:p>
        </w:tc>
        <w:tc>
          <w:tcPr>
            <w:tcW w:w="799" w:type="pct"/>
          </w:tcPr>
          <w:p w14:paraId="433FAF77" w14:textId="7DB1946D" w:rsidR="00C375EA" w:rsidRPr="00ED172B" w:rsidRDefault="00C375EA" w:rsidP="00C375EA">
            <w:pPr>
              <w:jc w:val="center"/>
              <w:rPr>
                <w:color w:val="000000" w:themeColor="text1"/>
              </w:rPr>
            </w:pPr>
          </w:p>
        </w:tc>
        <w:tc>
          <w:tcPr>
            <w:tcW w:w="799" w:type="pct"/>
          </w:tcPr>
          <w:p w14:paraId="7D3B4331" w14:textId="462F034E" w:rsidR="00C375EA" w:rsidRPr="00ED172B" w:rsidRDefault="00C375EA" w:rsidP="00C375EA">
            <w:pPr>
              <w:jc w:val="center"/>
              <w:rPr>
                <w:color w:val="000000" w:themeColor="text1"/>
              </w:rPr>
            </w:pPr>
          </w:p>
        </w:tc>
      </w:tr>
    </w:tbl>
    <w:p w14:paraId="1E64FA85" w14:textId="77777777" w:rsidR="0065724F" w:rsidRPr="00ED172B" w:rsidRDefault="0065724F">
      <w:pPr>
        <w:rPr>
          <w:b/>
          <w:color w:val="000000" w:themeColor="text1"/>
        </w:rPr>
      </w:pPr>
    </w:p>
    <w:p w14:paraId="2299CDE5" w14:textId="0A9D83E4" w:rsidR="00715B7C" w:rsidRPr="00ED172B" w:rsidRDefault="00F22D09">
      <w:pPr>
        <w:rPr>
          <w:b/>
          <w:color w:val="000000" w:themeColor="text1"/>
        </w:rPr>
      </w:pPr>
      <w:r>
        <w:rPr>
          <w:b/>
          <w:color w:val="000000" w:themeColor="text1"/>
        </w:rPr>
        <w:lastRenderedPageBreak/>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2059"/>
        <w:gridCol w:w="2133"/>
        <w:gridCol w:w="1419"/>
        <w:gridCol w:w="750"/>
        <w:gridCol w:w="885"/>
        <w:gridCol w:w="1019"/>
        <w:gridCol w:w="1282"/>
        <w:gridCol w:w="1243"/>
      </w:tblGrid>
      <w:tr w:rsidR="00ED172B" w:rsidRPr="00ED172B" w14:paraId="1FE1A8B6" w14:textId="77777777" w:rsidTr="00986B99">
        <w:trPr>
          <w:tblHeader/>
        </w:trPr>
        <w:tc>
          <w:tcPr>
            <w:tcW w:w="0" w:type="auto"/>
            <w:shd w:val="clear" w:color="auto" w:fill="auto"/>
          </w:tcPr>
          <w:p w14:paraId="47F7ACE9"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shd w:val="clear" w:color="auto" w:fill="auto"/>
            <w:vAlign w:val="bottom"/>
          </w:tcPr>
          <w:p w14:paraId="03B14E3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shd w:val="clear" w:color="auto" w:fill="auto"/>
            <w:vAlign w:val="bottom"/>
          </w:tcPr>
          <w:p w14:paraId="4411AF0D"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shd w:val="clear" w:color="auto" w:fill="auto"/>
            <w:vAlign w:val="bottom"/>
          </w:tcPr>
          <w:p w14:paraId="75756C39" w14:textId="57D984F6" w:rsidR="003F7F2F" w:rsidRPr="00ED172B" w:rsidRDefault="00CD74B5" w:rsidP="00CD79C5">
            <w:pPr>
              <w:jc w:val="center"/>
              <w:rPr>
                <w:rFonts w:cs="Arial"/>
                <w:b/>
                <w:color w:val="000000" w:themeColor="text1"/>
                <w:szCs w:val="16"/>
              </w:rPr>
            </w:pPr>
            <w:r>
              <w:rPr>
                <w:rFonts w:cs="Arial"/>
                <w:b/>
                <w:color w:val="000000" w:themeColor="text1"/>
                <w:szCs w:val="16"/>
              </w:rPr>
              <w:t>FFY 2019 Data</w:t>
            </w:r>
          </w:p>
        </w:tc>
        <w:tc>
          <w:tcPr>
            <w:tcW w:w="0" w:type="auto"/>
            <w:shd w:val="clear" w:color="auto" w:fill="auto"/>
            <w:vAlign w:val="bottom"/>
          </w:tcPr>
          <w:p w14:paraId="34C5B321" w14:textId="4ECEC7FA" w:rsidR="003F7F2F" w:rsidRPr="00ED172B" w:rsidRDefault="00F22D09" w:rsidP="00CD79C5">
            <w:pPr>
              <w:jc w:val="center"/>
              <w:rPr>
                <w:rFonts w:cs="Arial"/>
                <w:b/>
                <w:color w:val="000000" w:themeColor="text1"/>
                <w:szCs w:val="16"/>
              </w:rPr>
            </w:pPr>
            <w:r>
              <w:rPr>
                <w:rFonts w:cs="Arial"/>
                <w:b/>
                <w:color w:val="000000" w:themeColor="text1"/>
                <w:szCs w:val="16"/>
              </w:rPr>
              <w:t>FFY 2020 Target</w:t>
            </w:r>
          </w:p>
        </w:tc>
        <w:tc>
          <w:tcPr>
            <w:tcW w:w="472" w:type="pct"/>
            <w:shd w:val="clear" w:color="auto" w:fill="auto"/>
            <w:vAlign w:val="bottom"/>
          </w:tcPr>
          <w:p w14:paraId="1F75CC89" w14:textId="6DDAB043" w:rsidR="003F7F2F" w:rsidRPr="00ED172B" w:rsidRDefault="00F22D09" w:rsidP="00CD79C5">
            <w:pPr>
              <w:jc w:val="center"/>
              <w:rPr>
                <w:rFonts w:cs="Arial"/>
                <w:b/>
                <w:color w:val="000000" w:themeColor="text1"/>
                <w:szCs w:val="16"/>
              </w:rPr>
            </w:pPr>
            <w:r>
              <w:rPr>
                <w:rFonts w:cs="Arial"/>
                <w:b/>
                <w:color w:val="000000" w:themeColor="text1"/>
                <w:szCs w:val="16"/>
              </w:rPr>
              <w:t>FFY 2020 Data</w:t>
            </w:r>
          </w:p>
        </w:tc>
        <w:tc>
          <w:tcPr>
            <w:tcW w:w="594" w:type="pct"/>
            <w:shd w:val="clear" w:color="auto" w:fill="auto"/>
            <w:vAlign w:val="bottom"/>
          </w:tcPr>
          <w:p w14:paraId="05346B8E"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shd w:val="clear" w:color="auto" w:fill="auto"/>
            <w:vAlign w:val="bottom"/>
          </w:tcPr>
          <w:p w14:paraId="470EDA8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6F6C016F" w14:textId="77777777" w:rsidTr="00986B99">
        <w:tc>
          <w:tcPr>
            <w:tcW w:w="0" w:type="auto"/>
            <w:shd w:val="clear" w:color="auto" w:fill="auto"/>
          </w:tcPr>
          <w:p w14:paraId="2F120EC8" w14:textId="2CFA9571"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62CDDF21" w14:textId="577CFA88"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vAlign w:val="center"/>
          </w:tcPr>
          <w:p w14:paraId="0EF5D1FA" w14:textId="62B0C3A2"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07852742" w14:textId="74D08B36" w:rsidR="003F7F2F" w:rsidRPr="00ED172B" w:rsidRDefault="003F7F2F" w:rsidP="00320806">
            <w:pPr>
              <w:jc w:val="center"/>
              <w:rPr>
                <w:color w:val="000000" w:themeColor="text1"/>
              </w:rPr>
            </w:pPr>
          </w:p>
        </w:tc>
        <w:tc>
          <w:tcPr>
            <w:tcW w:w="0" w:type="auto"/>
            <w:shd w:val="clear" w:color="auto" w:fill="auto"/>
          </w:tcPr>
          <w:p w14:paraId="1A3FD4BD" w14:textId="73FB264C" w:rsidR="003F7F2F" w:rsidRPr="00ED172B" w:rsidRDefault="003F7F2F" w:rsidP="00320806">
            <w:pPr>
              <w:jc w:val="center"/>
              <w:rPr>
                <w:color w:val="000000" w:themeColor="text1"/>
              </w:rPr>
            </w:pPr>
          </w:p>
        </w:tc>
        <w:tc>
          <w:tcPr>
            <w:tcW w:w="472" w:type="pct"/>
            <w:shd w:val="clear" w:color="auto" w:fill="auto"/>
          </w:tcPr>
          <w:p w14:paraId="1DD10E42" w14:textId="62FF3817" w:rsidR="003F7F2F" w:rsidRPr="00ED172B" w:rsidRDefault="003F7F2F" w:rsidP="00320806">
            <w:pPr>
              <w:jc w:val="center"/>
              <w:rPr>
                <w:color w:val="000000" w:themeColor="text1"/>
              </w:rPr>
            </w:pPr>
          </w:p>
        </w:tc>
        <w:tc>
          <w:tcPr>
            <w:tcW w:w="594" w:type="pct"/>
            <w:shd w:val="clear" w:color="auto" w:fill="auto"/>
          </w:tcPr>
          <w:p w14:paraId="781CCB45" w14:textId="1DA4E651" w:rsidR="003F7F2F" w:rsidRPr="00ED172B" w:rsidRDefault="00320806" w:rsidP="00320806">
            <w:pPr>
              <w:jc w:val="center"/>
              <w:rPr>
                <w:color w:val="000000" w:themeColor="text1"/>
              </w:rPr>
            </w:pPr>
            <w:r w:rsidRPr="00ED172B">
              <w:rPr>
                <w:color w:val="000000" w:themeColor="text1"/>
              </w:rPr>
              <w:t>N/A</w:t>
            </w:r>
          </w:p>
        </w:tc>
        <w:tc>
          <w:tcPr>
            <w:tcW w:w="576" w:type="pct"/>
            <w:shd w:val="clear" w:color="auto" w:fill="auto"/>
          </w:tcPr>
          <w:p w14:paraId="03AF1958" w14:textId="597B8C94" w:rsidR="003F7F2F" w:rsidRPr="00ED172B" w:rsidRDefault="00320806" w:rsidP="00320806">
            <w:pPr>
              <w:jc w:val="center"/>
              <w:rPr>
                <w:color w:val="000000" w:themeColor="text1"/>
              </w:rPr>
            </w:pPr>
            <w:r w:rsidRPr="00ED172B">
              <w:rPr>
                <w:color w:val="000000" w:themeColor="text1"/>
              </w:rPr>
              <w:t>N/A</w:t>
            </w:r>
          </w:p>
        </w:tc>
      </w:tr>
    </w:tbl>
    <w:bookmarkEnd w:id="57"/>
    <w:bookmarkEnd w:id="58"/>
    <w:p w14:paraId="18742D48"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3BF9D881" w14:textId="3BD29B6D" w:rsidR="00EA0143" w:rsidRPr="00ED172B" w:rsidRDefault="00EA0143" w:rsidP="00EA0143">
      <w:pPr>
        <w:rPr>
          <w:rFonts w:cs="Arial"/>
          <w:color w:val="000000" w:themeColor="text1"/>
          <w:szCs w:val="16"/>
        </w:rPr>
      </w:pPr>
    </w:p>
    <w:p w14:paraId="51685558" w14:textId="51A1E7FE" w:rsidR="00DC0682" w:rsidRPr="00A40EE1" w:rsidRDefault="000D0117" w:rsidP="007B0787">
      <w:pPr>
        <w:pStyle w:val="Heading2"/>
      </w:pPr>
      <w:bookmarkStart w:id="59" w:name="_Hlk79570511"/>
      <w:r w:rsidRPr="00A40EE1">
        <w:t xml:space="preserve">10 - </w:t>
      </w:r>
      <w:r w:rsidR="00DC0682" w:rsidRPr="00A40EE1">
        <w:t>Prior FFY Required Actions</w:t>
      </w:r>
      <w:bookmarkEnd w:id="59"/>
    </w:p>
    <w:p w14:paraId="03BC5221" w14:textId="030F5A99" w:rsidR="00905F26" w:rsidRPr="00ED172B" w:rsidRDefault="00320806" w:rsidP="00320806">
      <w:pPr>
        <w:rPr>
          <w:color w:val="000000" w:themeColor="text1"/>
        </w:rPr>
      </w:pPr>
      <w:r w:rsidRPr="00ED172B">
        <w:rPr>
          <w:color w:val="000000" w:themeColor="text1"/>
        </w:rPr>
        <w:t>None</w:t>
      </w:r>
    </w:p>
    <w:p w14:paraId="0A2991B8" w14:textId="74F61C52" w:rsidR="00DC0682" w:rsidRPr="00A40EE1" w:rsidRDefault="000D0117" w:rsidP="007B0787">
      <w:pPr>
        <w:pStyle w:val="Heading2"/>
      </w:pPr>
      <w:r w:rsidRPr="00A40EE1">
        <w:t xml:space="preserve">10 - </w:t>
      </w:r>
      <w:r w:rsidR="00DC0682" w:rsidRPr="00A40EE1">
        <w:t>OSEP Response</w:t>
      </w:r>
    </w:p>
    <w:p w14:paraId="77C80526" w14:textId="1E2329A6" w:rsidR="00DC0682" w:rsidRPr="00ED172B" w:rsidRDefault="00320806" w:rsidP="00320806">
      <w:pPr>
        <w:rPr>
          <w:color w:val="000000" w:themeColor="text1"/>
        </w:rPr>
      </w:pPr>
      <w:r w:rsidRPr="00ED172B">
        <w:rPr>
          <w:color w:val="000000" w:themeColor="text1"/>
        </w:rPr>
        <w:t xml:space="preserve">The State reported fewer than ten mediations held in FFY 2020. The State is not required to provide targets until any fiscal year in which ten or more mediations were held. </w:t>
      </w:r>
    </w:p>
    <w:p w14:paraId="4F7A83AE" w14:textId="09F6D90F" w:rsidR="00DC0682" w:rsidRPr="00A40EE1" w:rsidRDefault="000D0117" w:rsidP="007B0787">
      <w:pPr>
        <w:pStyle w:val="Heading2"/>
      </w:pPr>
      <w:r w:rsidRPr="00A40EE1">
        <w:t xml:space="preserve">10 - </w:t>
      </w:r>
      <w:r w:rsidR="00DC0682" w:rsidRPr="00A40EE1">
        <w:t>Required Actions</w:t>
      </w:r>
    </w:p>
    <w:p w14:paraId="2A1A943C" w14:textId="668A3535" w:rsidR="00DC0682" w:rsidRPr="00ED172B" w:rsidRDefault="00DC0682" w:rsidP="00320806">
      <w:pPr>
        <w:rPr>
          <w:color w:val="000000" w:themeColor="text1"/>
        </w:rPr>
      </w:pPr>
    </w:p>
    <w:p w14:paraId="2A9527B0" w14:textId="77777777" w:rsidR="00DD311B" w:rsidRPr="00ED172B" w:rsidRDefault="00DD311B">
      <w:pPr>
        <w:spacing w:before="0" w:after="200" w:line="276" w:lineRule="auto"/>
        <w:rPr>
          <w:color w:val="000000" w:themeColor="text1"/>
        </w:rPr>
      </w:pPr>
      <w:r w:rsidRPr="00ED172B">
        <w:rPr>
          <w:color w:val="000000" w:themeColor="text1"/>
        </w:rPr>
        <w:br w:type="page"/>
      </w:r>
    </w:p>
    <w:p w14:paraId="256AFB11" w14:textId="2160FC96" w:rsidR="00621DEC" w:rsidRPr="00ED172B" w:rsidRDefault="00621DEC" w:rsidP="00621DEC">
      <w:pPr>
        <w:pStyle w:val="Heading1"/>
        <w:rPr>
          <w:color w:val="000000" w:themeColor="text1"/>
        </w:rPr>
      </w:pPr>
      <w:bookmarkStart w:id="60" w:name="_Toc392159348"/>
      <w:r w:rsidRPr="00ED172B">
        <w:rPr>
          <w:color w:val="000000" w:themeColor="text1"/>
        </w:rPr>
        <w:lastRenderedPageBreak/>
        <w:t>Indicator 11: State Systemic Improvement Plan</w:t>
      </w:r>
    </w:p>
    <w:p w14:paraId="142E9252"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70329708"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59B010C8" w14:textId="5FD8FE4C"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60417113" w14:textId="77777777" w:rsidR="00621DEC" w:rsidRPr="00ED172B" w:rsidRDefault="00621DEC" w:rsidP="00621DEC">
      <w:pPr>
        <w:rPr>
          <w:b/>
          <w:color w:val="000000" w:themeColor="text1"/>
        </w:rPr>
      </w:pPr>
      <w:r w:rsidRPr="00ED172B">
        <w:rPr>
          <w:b/>
          <w:color w:val="000000" w:themeColor="text1"/>
        </w:rPr>
        <w:t>Measurement</w:t>
      </w:r>
    </w:p>
    <w:p w14:paraId="2258D5B6" w14:textId="77777777" w:rsidR="009E3024" w:rsidRDefault="009E3024" w:rsidP="009E3024">
      <w:r>
        <w:t>The State’s SPP/APR includes an SSIP that is a comprehensive, ambitious, yet achievable multi-year plan for improving results for infants and toddlers with disabilities and their families. The SSIP includes each of the components described below.</w:t>
      </w:r>
    </w:p>
    <w:p w14:paraId="7990113E" w14:textId="77777777" w:rsidR="00621DEC" w:rsidRPr="00ED172B" w:rsidRDefault="00621DEC" w:rsidP="00621DEC">
      <w:pPr>
        <w:rPr>
          <w:b/>
          <w:color w:val="000000" w:themeColor="text1"/>
        </w:rPr>
      </w:pPr>
      <w:r w:rsidRPr="00ED172B">
        <w:rPr>
          <w:b/>
          <w:color w:val="000000" w:themeColor="text1"/>
        </w:rPr>
        <w:t>Instructions</w:t>
      </w:r>
    </w:p>
    <w:p w14:paraId="6B1F0890" w14:textId="7F40F871" w:rsidR="009E3024" w:rsidRPr="00D77E41" w:rsidRDefault="009E3024" w:rsidP="009E3024">
      <w:r w:rsidRPr="00C76255">
        <w:rPr>
          <w:b/>
          <w:i/>
        </w:rPr>
        <w:t>Baseline Data:</w:t>
      </w:r>
      <w:r w:rsidRPr="00D77E41">
        <w:t xml:space="preserve"> </w:t>
      </w:r>
      <w:r>
        <w:t>T</w:t>
      </w:r>
      <w:r w:rsidRPr="00D77E41">
        <w:t>he State must provide baseline data that must be expressed as a percentage and which is aligned with the State-identified Measurable Result(s) for Infants and Toddlers with Disabilities and their Families.</w:t>
      </w:r>
    </w:p>
    <w:p w14:paraId="20986344" w14:textId="77777777" w:rsidR="009E3024" w:rsidRPr="00D77E41" w:rsidRDefault="009E3024" w:rsidP="009E3024">
      <w:r w:rsidRPr="00C76255">
        <w:rPr>
          <w:b/>
          <w:i/>
        </w:rPr>
        <w:t>Targets:</w:t>
      </w:r>
      <w:r w:rsidRPr="00D77E41">
        <w:t xml:space="preserve"> </w:t>
      </w:r>
      <w:r w:rsidRPr="00790FB6">
        <w:t>In its FFY 20</w:t>
      </w:r>
      <w:r>
        <w:t>20</w:t>
      </w:r>
      <w:r w:rsidRPr="00790FB6">
        <w:t xml:space="preserve"> SPP/APR, due February </w:t>
      </w:r>
      <w:r>
        <w:t>1</w:t>
      </w:r>
      <w:r w:rsidRPr="00790FB6">
        <w:t>, 20</w:t>
      </w:r>
      <w:r>
        <w:t>22</w:t>
      </w:r>
      <w:r w:rsidRPr="00790FB6">
        <w:t xml:space="preserve">, the State must provide measurable and rigorous targets (expressed as percentages) for each of the </w:t>
      </w:r>
      <w:r>
        <w:t>six</w:t>
      </w:r>
      <w:r w:rsidRPr="00790FB6">
        <w:t xml:space="preserve"> years from FFY 20</w:t>
      </w:r>
      <w:r>
        <w:t>20</w:t>
      </w:r>
      <w:r w:rsidRPr="00790FB6">
        <w:t xml:space="preserve"> through </w:t>
      </w:r>
      <w:r>
        <w:t>FFY 2025</w:t>
      </w:r>
      <w:r w:rsidRPr="00790FB6">
        <w:t xml:space="preserve">. The State’s </w:t>
      </w:r>
      <w:r>
        <w:t>FFY 2025</w:t>
      </w:r>
      <w:r w:rsidRPr="00790FB6">
        <w:t xml:space="preserve"> target must demonstrate improvement over the State’s baseline data.</w:t>
      </w:r>
    </w:p>
    <w:p w14:paraId="1124F15C" w14:textId="77777777" w:rsidR="009E3024" w:rsidRPr="00D77E41" w:rsidRDefault="009E3024" w:rsidP="009E3024">
      <w:r w:rsidRPr="00C76255">
        <w:rPr>
          <w:b/>
          <w:i/>
        </w:rPr>
        <w:t>Updated Data:</w:t>
      </w:r>
      <w:r w:rsidRPr="00D77E41">
        <w:t xml:space="preserve"> In its FFYs 20</w:t>
      </w:r>
      <w:r>
        <w:t>20</w:t>
      </w:r>
      <w:r w:rsidRPr="00D77E41">
        <w:t xml:space="preserve"> through </w:t>
      </w:r>
      <w:r>
        <w:t>FFY 2025</w:t>
      </w:r>
      <w:r w:rsidRPr="00D77E41">
        <w:t xml:space="preserve"> SPPs/APRs, due February 20</w:t>
      </w:r>
      <w:r>
        <w:t>22</w:t>
      </w:r>
      <w:r w:rsidRPr="00D77E41">
        <w:t xml:space="preserve"> through February </w:t>
      </w:r>
      <w:r>
        <w:t>2027</w:t>
      </w:r>
      <w:r w:rsidRPr="00D77E41">
        <w:t>, the State must provide updated data for that specific FFY (expressed as percentages) and that data must be aligned with the State-identified Measurable Result(s) for Infants and Toddlers with Disabilities and their Families. In its FFYs 20</w:t>
      </w:r>
      <w:r>
        <w:t>20</w:t>
      </w:r>
      <w:r w:rsidRPr="00D77E41">
        <w:t xml:space="preserve"> through </w:t>
      </w:r>
      <w:r>
        <w:t>FFY 2025</w:t>
      </w:r>
      <w:r w:rsidRPr="00D77E41">
        <w:t xml:space="preserve"> SPPs/APRs, the State must report on whether it met its target.</w:t>
      </w:r>
    </w:p>
    <w:p w14:paraId="514C1F1A"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705209A0"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16482F85" w14:textId="61FC5286" w:rsidR="009E3024" w:rsidRPr="00C76255" w:rsidRDefault="009E3024" w:rsidP="009E3024">
      <w:pPr>
        <w:pStyle w:val="Subhed"/>
        <w:rPr>
          <w:b w:val="0"/>
        </w:rPr>
      </w:pPr>
      <w:r w:rsidRPr="00C76255">
        <w:rPr>
          <w:i/>
        </w:rPr>
        <w:t>Phase I: Analysis</w:t>
      </w:r>
      <w:r w:rsidR="00FA283D">
        <w:rPr>
          <w:b w:val="0"/>
        </w:rPr>
        <w:t>:</w:t>
      </w:r>
    </w:p>
    <w:p w14:paraId="6A53C679" w14:textId="6EC1FD61" w:rsidR="009E3024" w:rsidRPr="00D77E41" w:rsidRDefault="00FB141D" w:rsidP="00F85A5B">
      <w:pPr>
        <w:ind w:left="360"/>
      </w:pPr>
      <w:r>
        <w:t xml:space="preserve">- </w:t>
      </w:r>
      <w:r w:rsidR="009E3024" w:rsidRPr="00D77E41">
        <w:t>Data Analysis;</w:t>
      </w:r>
    </w:p>
    <w:p w14:paraId="2AF202E6" w14:textId="7A737778" w:rsidR="009E3024" w:rsidRPr="00D77E41" w:rsidRDefault="00FB141D" w:rsidP="00F85A5B">
      <w:pPr>
        <w:ind w:left="360"/>
      </w:pPr>
      <w:r>
        <w:t xml:space="preserve">- </w:t>
      </w:r>
      <w:r w:rsidR="009E3024" w:rsidRPr="00D77E41">
        <w:t>Analysis of State Infrastructure to Support Improvement and Build Capacity;</w:t>
      </w:r>
    </w:p>
    <w:p w14:paraId="2165FD76" w14:textId="397475D4" w:rsidR="009E3024" w:rsidRPr="00D77E41" w:rsidRDefault="00FB141D" w:rsidP="00F85A5B">
      <w:pPr>
        <w:ind w:left="360"/>
      </w:pPr>
      <w:r>
        <w:t xml:space="preserve">- </w:t>
      </w:r>
      <w:r w:rsidR="009E3024" w:rsidRPr="00D77E41">
        <w:t>State-identified Measurable Result(s) for Infants and Toddlers with Disabilities and their Families;</w:t>
      </w:r>
    </w:p>
    <w:p w14:paraId="60B94B6B" w14:textId="79941E27" w:rsidR="009E3024" w:rsidRPr="00D77E41" w:rsidRDefault="00FB141D" w:rsidP="00F85A5B">
      <w:pPr>
        <w:ind w:left="360"/>
      </w:pPr>
      <w:r>
        <w:t xml:space="preserve">- </w:t>
      </w:r>
      <w:r w:rsidR="009E3024" w:rsidRPr="00D77E41">
        <w:t>Selection of Coherent Improvement Strategies; and</w:t>
      </w:r>
    </w:p>
    <w:p w14:paraId="3F8F2083" w14:textId="6DA8FD5D" w:rsidR="009E3024" w:rsidRPr="00D77E41" w:rsidRDefault="00FB141D" w:rsidP="00F85A5B">
      <w:pPr>
        <w:ind w:left="360"/>
      </w:pPr>
      <w:r>
        <w:t xml:space="preserve">- </w:t>
      </w:r>
      <w:r w:rsidR="009E3024" w:rsidRPr="00D77E41">
        <w:t>Theory of Action.</w:t>
      </w:r>
    </w:p>
    <w:p w14:paraId="70DF16DB" w14:textId="3C43E375"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397CC486" w14:textId="0D68E6C4" w:rsidR="009E3024" w:rsidRPr="00D77E41" w:rsidRDefault="00C334F4" w:rsidP="0055373D">
      <w:pPr>
        <w:ind w:left="360"/>
      </w:pPr>
      <w:r>
        <w:t xml:space="preserve">- </w:t>
      </w:r>
      <w:r w:rsidR="009E3024" w:rsidRPr="00D77E41">
        <w:t>Infrastructure Development;</w:t>
      </w:r>
    </w:p>
    <w:p w14:paraId="028C10FD" w14:textId="494E6925" w:rsidR="009E3024" w:rsidRPr="00D77E41" w:rsidRDefault="00C334F4" w:rsidP="0055373D">
      <w:pPr>
        <w:ind w:left="360"/>
      </w:pPr>
      <w:r>
        <w:t xml:space="preserve">- </w:t>
      </w:r>
      <w:r w:rsidR="009E3024" w:rsidRPr="00D77E41">
        <w:t>Support for EIS Program and/or EIS Provider Implementation of Evidence-Based Practices; and</w:t>
      </w:r>
    </w:p>
    <w:p w14:paraId="52747840" w14:textId="0BC142ED" w:rsidR="009E3024" w:rsidRPr="00D77E41" w:rsidRDefault="00C334F4" w:rsidP="0055373D">
      <w:pPr>
        <w:ind w:left="360"/>
      </w:pPr>
      <w:r>
        <w:t xml:space="preserve">- </w:t>
      </w:r>
      <w:r w:rsidR="009E3024" w:rsidRPr="00D77E41">
        <w:t>Evaluation.</w:t>
      </w:r>
    </w:p>
    <w:p w14:paraId="59360DE3" w14:textId="6A7A23F1"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09BF97C2" w14:textId="1D61436C" w:rsidR="009E3024" w:rsidRPr="00D77E41" w:rsidRDefault="00FB141D" w:rsidP="00F85A5B">
      <w:pPr>
        <w:ind w:left="360"/>
      </w:pPr>
      <w:r>
        <w:t xml:space="preserve">- </w:t>
      </w:r>
      <w:r w:rsidR="009E3024" w:rsidRPr="00D77E41">
        <w:t>Results of Ongoing Evaluation and Revisions to the SSIP.</w:t>
      </w:r>
    </w:p>
    <w:p w14:paraId="162D9C3C" w14:textId="77777777" w:rsidR="009E3024" w:rsidRPr="00C76255" w:rsidRDefault="009E3024" w:rsidP="009E3024">
      <w:pPr>
        <w:rPr>
          <w:b/>
        </w:rPr>
      </w:pPr>
      <w:r w:rsidRPr="00C76255">
        <w:rPr>
          <w:b/>
        </w:rPr>
        <w:t>Specific Content of Each Phase of the SSIP</w:t>
      </w:r>
    </w:p>
    <w:p w14:paraId="6ECF6A75" w14:textId="6AC1BD99" w:rsidR="009E3024" w:rsidRPr="00D77E41" w:rsidRDefault="009E3024" w:rsidP="009E3024">
      <w:r w:rsidRPr="00D77E41">
        <w:t>Refer to FFY 2013-2015 Measurement Table for detailed requirements of Phase I and Phase II SSIP submissions.</w:t>
      </w:r>
    </w:p>
    <w:p w14:paraId="26340158"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342443BE" w14:textId="77777777" w:rsidR="009E3024" w:rsidRPr="00C76255" w:rsidRDefault="009E3024" w:rsidP="009E3024">
      <w:pPr>
        <w:rPr>
          <w:b/>
          <w:i/>
        </w:rPr>
      </w:pPr>
      <w:r w:rsidRPr="00C76255">
        <w:rPr>
          <w:b/>
          <w:i/>
        </w:rPr>
        <w:t>Phase III: Implementation and Evaluation</w:t>
      </w:r>
    </w:p>
    <w:p w14:paraId="6E47A165"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4D078392" w14:textId="77777777" w:rsidR="009E3024" w:rsidRPr="00D77E41" w:rsidRDefault="009E3024" w:rsidP="009E3024">
      <w:pPr>
        <w:tabs>
          <w:tab w:val="left" w:pos="270"/>
          <w:tab w:val="left" w:pos="630"/>
        </w:tabs>
      </w:pPr>
      <w:r w:rsidRPr="00D77E41">
        <w:t>A</w:t>
      </w:r>
      <w:r>
        <w:t>.</w:t>
      </w:r>
      <w:r w:rsidRPr="00D77E41">
        <w:t xml:space="preserve"> </w:t>
      </w:r>
      <w:r>
        <w:tab/>
      </w:r>
      <w:r w:rsidRPr="00D77E41">
        <w:t>Data Analysis</w:t>
      </w:r>
    </w:p>
    <w:p w14:paraId="344F56D3" w14:textId="259389C0" w:rsidR="009E3024" w:rsidRPr="00D77E41" w:rsidRDefault="009E3024" w:rsidP="009E3024">
      <w:r w:rsidRPr="00D77E41">
        <w:t>As required in the Instructions for the Indicator/Measurement, in its FFYs 20</w:t>
      </w:r>
      <w:r>
        <w:t>20</w:t>
      </w:r>
      <w:r w:rsidRPr="00D77E41">
        <w:t xml:space="preserve"> through </w:t>
      </w:r>
      <w:r>
        <w:t>FFY 2025</w:t>
      </w:r>
      <w:r w:rsidRPr="00D77E41">
        <w:t xml:space="preserve">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62C2ADDF" w14:textId="77777777" w:rsidR="009E3024" w:rsidRPr="00D77E41" w:rsidRDefault="009E3024" w:rsidP="009E3024">
      <w:pPr>
        <w:tabs>
          <w:tab w:val="left" w:pos="360"/>
        </w:tabs>
      </w:pPr>
      <w:r w:rsidRPr="00D77E41">
        <w:t>B</w:t>
      </w:r>
      <w:r>
        <w:t>.</w:t>
      </w:r>
      <w:r w:rsidRPr="00D77E41">
        <w:t xml:space="preserve"> </w:t>
      </w:r>
      <w:r>
        <w:tab/>
      </w:r>
      <w:r w:rsidRPr="00D77E41">
        <w:t>Phase III Implementation, Analysis and Evaluation</w:t>
      </w:r>
    </w:p>
    <w:p w14:paraId="61954051" w14:textId="55A8B23E" w:rsidR="009E3024" w:rsidRPr="00D77E41" w:rsidRDefault="009E3024" w:rsidP="009E3024">
      <w:r w:rsidRPr="00D77E41">
        <w:t xml:space="preserve">The State must provide a narrative or graphic representation, e.g., a logic model, of the principal activities, measures and outcomes that were implemented since the State’s last SSIP submission (i.e., April </w:t>
      </w:r>
      <w:r>
        <w:t>1</w:t>
      </w:r>
      <w:r w:rsidRPr="00D77E41">
        <w:t xml:space="preserve">, </w:t>
      </w:r>
      <w:r>
        <w:t>2021</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35D14A61" w14:textId="59D6AF5D"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for the </w:t>
      </w:r>
      <w:r>
        <w:t>FFY 2020</w:t>
      </w:r>
      <w:r w:rsidRPr="00D77E41">
        <w:t xml:space="preserve"> APR, report on anticipated outcomes to be obtained during FFY </w:t>
      </w:r>
      <w:r>
        <w:t>2021</w:t>
      </w:r>
      <w:r w:rsidRPr="00D77E41">
        <w:t xml:space="preserve">, i.e., July 1, </w:t>
      </w:r>
      <w:r>
        <w:t>2021</w:t>
      </w:r>
      <w:r w:rsidRPr="00D77E41">
        <w:t xml:space="preserve">-June 30, </w:t>
      </w:r>
      <w:r>
        <w:t>2022</w:t>
      </w:r>
      <w:r w:rsidRPr="00D77E41">
        <w:t>).</w:t>
      </w:r>
    </w:p>
    <w:p w14:paraId="391F34BE" w14:textId="1BB4521A" w:rsidR="009E3024" w:rsidRPr="00D77E41" w:rsidRDefault="009E3024" w:rsidP="009E3024">
      <w:r w:rsidRPr="00D77E41">
        <w:lastRenderedPageBreak/>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D77E41">
        <w:t>SiMR</w:t>
      </w:r>
      <w:proofErr w:type="spellEnd"/>
      <w:r w:rsidRPr="00D77E41">
        <w:t xml:space="preserve"> by changing program/district policies, procedures, and/or practices, teacher/provider practices (</w:t>
      </w:r>
      <w:r w:rsidR="00F37E58">
        <w:t>i.e.</w:t>
      </w:r>
      <w:r w:rsidRPr="00D77E41">
        <w:t>, behaviors), parent/caregiver outcomes, and/or child outcomes. Describe any additional data (</w:t>
      </w:r>
      <w:r w:rsidR="00F37E58">
        <w:t>i.</w:t>
      </w:r>
      <w:r w:rsidRPr="00D77E41">
        <w:t>e., progress monitoring data) that was collected to support the on-going use of the evidence-based practices and inform decision-making for the next year of SSIP implementation.</w:t>
      </w:r>
    </w:p>
    <w:p w14:paraId="7D373E21" w14:textId="77777777" w:rsidR="009E3024" w:rsidRPr="00D77E41" w:rsidRDefault="009E3024" w:rsidP="009E3024">
      <w:pPr>
        <w:tabs>
          <w:tab w:val="left" w:pos="270"/>
        </w:tabs>
      </w:pPr>
      <w:r w:rsidRPr="00D77E41">
        <w:t>C</w:t>
      </w:r>
      <w:r>
        <w:t xml:space="preserve">. </w:t>
      </w:r>
      <w:r>
        <w:tab/>
      </w:r>
      <w:r w:rsidRPr="00D77E41">
        <w:t>Stakeholder Engagement</w:t>
      </w:r>
    </w:p>
    <w:p w14:paraId="4B576169"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7240E8DC" w14:textId="77777777" w:rsidR="009E3024" w:rsidRPr="00D77E41" w:rsidRDefault="009E3024" w:rsidP="009E3024">
      <w:r w:rsidRPr="00D77E41">
        <w:t>Additional Implementation Activities</w:t>
      </w:r>
    </w:p>
    <w:p w14:paraId="3F323975" w14:textId="77777777" w:rsidR="009E3024" w:rsidRDefault="009E3024" w:rsidP="009E3024">
      <w:r w:rsidRPr="00D77E41">
        <w:t xml:space="preserve">The State should identify any activities not already described that it intends to implement in the next fiscal year (e.g., for the </w:t>
      </w:r>
      <w:r>
        <w:t>FFY 2020</w:t>
      </w:r>
      <w:r w:rsidRPr="00D77E41">
        <w:t xml:space="preserve"> APR, report on activities it intends to implement in FFY </w:t>
      </w:r>
      <w:r>
        <w:t>2021</w:t>
      </w:r>
      <w:r w:rsidRPr="00D77E41">
        <w:t xml:space="preserve">, i.e., July 1, </w:t>
      </w:r>
      <w:r>
        <w:t>2021</w:t>
      </w:r>
      <w:r w:rsidRPr="00D77E41">
        <w:t xml:space="preserve">-June 30, </w:t>
      </w:r>
      <w:r>
        <w:t>2022</w:t>
      </w:r>
      <w:r w:rsidRPr="00D77E41">
        <w:t>) including a timeline, anticipated data collection and measures, and expected outcomes that are related to the SiMR. The State should describe any newly identified barriers and include steps to address these barriers.</w:t>
      </w:r>
    </w:p>
    <w:p w14:paraId="091FCDF2" w14:textId="2F330FEF" w:rsidR="00F5460E" w:rsidRDefault="00F5460E" w:rsidP="00F5460E">
      <w:pPr>
        <w:pStyle w:val="Heading2"/>
      </w:pPr>
      <w:r w:rsidRPr="00A40EE1">
        <w:t>1</w:t>
      </w:r>
      <w:r>
        <w:t>1</w:t>
      </w:r>
      <w:r w:rsidRPr="00A40EE1">
        <w:t xml:space="preserve"> - </w:t>
      </w:r>
      <w:r w:rsidRPr="000A364E">
        <w:t>Indicator Data</w:t>
      </w:r>
    </w:p>
    <w:p w14:paraId="62AF478C" w14:textId="77777777" w:rsidR="00741E58" w:rsidRPr="00F85A5B" w:rsidRDefault="00741E58" w:rsidP="00741E58">
      <w:pPr>
        <w:rPr>
          <w:b/>
          <w:bCs/>
        </w:rPr>
      </w:pPr>
      <w:r w:rsidRPr="00F85A5B">
        <w:rPr>
          <w:b/>
          <w:bCs/>
        </w:rPr>
        <w:t>Section A: Data Analysis</w:t>
      </w:r>
    </w:p>
    <w:p w14:paraId="54F70263" w14:textId="58D3F4C5" w:rsidR="00F5460E" w:rsidRDefault="00741E58" w:rsidP="00741E58">
      <w:pPr>
        <w:rPr>
          <w:b/>
          <w:bCs/>
        </w:rPr>
      </w:pPr>
      <w:r w:rsidRPr="00F85A5B">
        <w:rPr>
          <w:b/>
          <w:bCs/>
        </w:rPr>
        <w:t>What is the State-identified Measurable Result (SiMR)?</w:t>
      </w:r>
    </w:p>
    <w:p w14:paraId="5EF17788" w14:textId="2FA358EC" w:rsidR="008517CB" w:rsidRPr="00F85A5B" w:rsidRDefault="008517CB" w:rsidP="00741E58">
      <w:pPr>
        <w:rPr>
          <w:color w:val="000000" w:themeColor="text1"/>
        </w:rPr>
      </w:pPr>
      <w:r w:rsidRPr="00ED172B">
        <w:rPr>
          <w:color w:val="000000" w:themeColor="text1"/>
        </w:rPr>
        <w:t>During the State Systemic Improvement Plan Phase I in 2015, Massachusetts Part C/Early Intervention identified improving positive social-emotional skills (including social relationships), as measured by Summary Statement 1, as its State-Identified Measurable Result (SIMR).</w:t>
      </w:r>
    </w:p>
    <w:p w14:paraId="3035665E" w14:textId="2B992CBD" w:rsidR="008517CB" w:rsidRDefault="008517CB" w:rsidP="008517CB">
      <w:pPr>
        <w:rPr>
          <w:b/>
          <w:bCs/>
        </w:rPr>
      </w:pPr>
      <w:r w:rsidRPr="008517CB">
        <w:rPr>
          <w:b/>
          <w:bCs/>
        </w:rPr>
        <w:t>Has the SiMR changed since the last SSIP submission? (yes/no)</w:t>
      </w:r>
    </w:p>
    <w:p w14:paraId="1894103D" w14:textId="08DFDF04" w:rsidR="001C46CD" w:rsidRPr="000123EB" w:rsidRDefault="001C46CD" w:rsidP="008517CB">
      <w:r w:rsidRPr="000123EB">
        <w:t>NO</w:t>
      </w:r>
    </w:p>
    <w:p w14:paraId="6EC47F33" w14:textId="77777777" w:rsidR="00E46F5E" w:rsidRDefault="00E46F5E" w:rsidP="008517CB">
      <w:pPr>
        <w:rPr>
          <w:b/>
          <w:bCs/>
        </w:rPr>
      </w:pPr>
    </w:p>
    <w:p w14:paraId="160C27D7" w14:textId="03F97943" w:rsidR="008517CB" w:rsidRDefault="008517CB" w:rsidP="008517CB">
      <w:pPr>
        <w:rPr>
          <w:b/>
          <w:bCs/>
        </w:rPr>
      </w:pPr>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p w14:paraId="2DFF9C44" w14:textId="3D7DE653" w:rsidR="00E46F5E" w:rsidRPr="000123EB" w:rsidRDefault="00E46F5E" w:rsidP="008517CB">
      <w:pPr>
        <w:rPr>
          <w:color w:val="000000" w:themeColor="text1"/>
        </w:rPr>
      </w:pPr>
      <w:r w:rsidRPr="000123EB">
        <w:rPr>
          <w:color w:val="000000" w:themeColor="text1"/>
        </w:rPr>
        <w:t>NO</w:t>
      </w:r>
    </w:p>
    <w:p w14:paraId="750D781D" w14:textId="77777777" w:rsidR="00E46F5E" w:rsidRPr="008517CB" w:rsidRDefault="00E46F5E" w:rsidP="008517CB">
      <w:pPr>
        <w:rPr>
          <w:b/>
          <w:bCs/>
        </w:rPr>
      </w:pPr>
    </w:p>
    <w:p w14:paraId="67311EEB" w14:textId="5E251F48" w:rsidR="00A5616C" w:rsidRDefault="00A5616C" w:rsidP="00A5616C">
      <w:pPr>
        <w:rPr>
          <w:b/>
          <w:bCs/>
        </w:rPr>
      </w:pPr>
      <w:r w:rsidRPr="00A5616C">
        <w:rPr>
          <w:b/>
          <w:bCs/>
        </w:rPr>
        <w:t>Is the State’s theory of action new or revised since the previous submission? (yes/no)</w:t>
      </w:r>
    </w:p>
    <w:p w14:paraId="66909F1C" w14:textId="33FCF0A9" w:rsidR="00A5616C" w:rsidRPr="000123EB" w:rsidRDefault="00A5616C" w:rsidP="00A5616C">
      <w:r w:rsidRPr="000123EB">
        <w:t>NO</w:t>
      </w:r>
    </w:p>
    <w:p w14:paraId="0D9538A8" w14:textId="7B83F3AB" w:rsidR="00305E79" w:rsidRPr="00305E79" w:rsidRDefault="00305E79" w:rsidP="00305E79">
      <w:pPr>
        <w:rPr>
          <w:rFonts w:cs="Arial"/>
          <w:b/>
          <w:bCs/>
          <w:szCs w:val="16"/>
        </w:rPr>
      </w:pPr>
      <w:r w:rsidRPr="0055373D">
        <w:rPr>
          <w:rFonts w:cs="Arial"/>
          <w:b/>
          <w:bCs/>
          <w:szCs w:val="16"/>
        </w:rPr>
        <w:t>Please provide a link to the current theory of action.</w:t>
      </w:r>
    </w:p>
    <w:p w14:paraId="0FC0C59D" w14:textId="4CA000ED" w:rsidR="00305E79" w:rsidRPr="00F85A5B" w:rsidRDefault="00305E79" w:rsidP="00305E79">
      <w:r w:rsidRPr="00FD59F0">
        <w:t>https://www.mass.gov/lists/public-reporting-for-early-intervention#state-systemic-improvement-plan-</w:t>
      </w:r>
    </w:p>
    <w:p w14:paraId="00FFBF53" w14:textId="6FFAEB58" w:rsidR="008517CB" w:rsidRDefault="008517CB" w:rsidP="008517CB">
      <w:pPr>
        <w:rPr>
          <w:b/>
          <w:bCs/>
        </w:rPr>
      </w:pPr>
    </w:p>
    <w:p w14:paraId="106F39B4" w14:textId="77777777" w:rsidR="00A3455E" w:rsidRDefault="00A3455E" w:rsidP="00A3455E">
      <w:pPr>
        <w:pStyle w:val="Subhed"/>
      </w:pPr>
      <w:r w:rsidRPr="000315F0">
        <w:t>Progress toward the SiMR</w:t>
      </w:r>
    </w:p>
    <w:p w14:paraId="16056B16" w14:textId="77777777"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r w:rsidRPr="00250728">
        <w:rPr>
          <w:rFonts w:cs="Arial"/>
          <w:b/>
          <w:bCs/>
          <w:i/>
          <w:iCs/>
        </w:rPr>
        <w:t xml:space="preserve"> </w:t>
      </w:r>
    </w:p>
    <w:p w14:paraId="3645021F" w14:textId="058BAA46" w:rsidR="00A3455E" w:rsidRDefault="00A3455E" w:rsidP="00741E58">
      <w:pPr>
        <w:rPr>
          <w:b/>
          <w:bCs/>
        </w:rPr>
      </w:pPr>
      <w:r w:rsidRPr="00A3455E">
        <w:rPr>
          <w:b/>
          <w:bCs/>
        </w:rPr>
        <w:t>Select yes if the State uses two targets for measurement. (yes/no)</w:t>
      </w:r>
    </w:p>
    <w:p w14:paraId="07A920B0" w14:textId="4E5EB02E" w:rsidR="00935B33" w:rsidRPr="000123EB" w:rsidRDefault="00935B33" w:rsidP="00741E58">
      <w:r w:rsidRPr="000123EB">
        <w:t>NO</w:t>
      </w:r>
    </w:p>
    <w:p w14:paraId="2164967F" w14:textId="5EF09CFF" w:rsidR="00250728" w:rsidRDefault="00250728" w:rsidP="00741E58"/>
    <w:p w14:paraId="6E39DD08" w14:textId="77777777" w:rsidR="008C5AD3" w:rsidRDefault="008C5AD3" w:rsidP="008C5AD3">
      <w:pPr>
        <w:rPr>
          <w:rFonts w:cs="Arial"/>
          <w:b/>
          <w:color w:val="000000" w:themeColor="text1"/>
          <w:szCs w:val="16"/>
        </w:rPr>
      </w:pPr>
      <w:r w:rsidRPr="00ED172B">
        <w:rPr>
          <w:rFonts w:cs="Arial"/>
          <w:b/>
          <w:color w:val="000000" w:themeColor="text1"/>
          <w:szCs w:val="16"/>
        </w:rPr>
        <w:t>Historical Data</w:t>
      </w:r>
    </w:p>
    <w:p w14:paraId="3CE160FC" w14:textId="77777777" w:rsidR="008C5AD3" w:rsidRDefault="008C5AD3" w:rsidP="008C5AD3">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BASELINEDATA"/>
      </w:tblPr>
      <w:tblGrid>
        <w:gridCol w:w="2811"/>
        <w:gridCol w:w="875"/>
      </w:tblGrid>
      <w:tr w:rsidR="008C5AD3" w:rsidRPr="00ED172B" w14:paraId="0EFB88A4" w14:textId="77777777" w:rsidTr="000F1FED">
        <w:trPr>
          <w:trHeight w:val="350"/>
          <w:tblHeader/>
        </w:trPr>
        <w:tc>
          <w:tcPr>
            <w:tcW w:w="4389" w:type="pct"/>
            <w:tcBorders>
              <w:bottom w:val="single" w:sz="4" w:space="0" w:color="auto"/>
            </w:tcBorders>
            <w:shd w:val="clear" w:color="auto" w:fill="auto"/>
            <w:vAlign w:val="center"/>
          </w:tcPr>
          <w:p w14:paraId="2D527EBC" w14:textId="77777777" w:rsidR="008C5AD3" w:rsidRPr="001071FD" w:rsidRDefault="008C5AD3" w:rsidP="0082735C">
            <w:pPr>
              <w:jc w:val="center"/>
              <w:rPr>
                <w:b/>
                <w:bCs/>
                <w:color w:val="000000" w:themeColor="text1"/>
              </w:rPr>
            </w:pPr>
            <w:r>
              <w:rPr>
                <w:b/>
                <w:bCs/>
                <w:color w:val="000000" w:themeColor="text1"/>
              </w:rPr>
              <w:t>Baseline Year</w:t>
            </w:r>
          </w:p>
        </w:tc>
        <w:tc>
          <w:tcPr>
            <w:tcW w:w="611" w:type="pct"/>
            <w:shd w:val="clear" w:color="auto" w:fill="auto"/>
            <w:vAlign w:val="center"/>
          </w:tcPr>
          <w:p w14:paraId="50D4CE4F" w14:textId="77777777" w:rsidR="008C5AD3" w:rsidRPr="001071FD" w:rsidRDefault="008C5AD3" w:rsidP="0082735C">
            <w:pPr>
              <w:jc w:val="center"/>
              <w:rPr>
                <w:b/>
                <w:bCs/>
                <w:color w:val="000000" w:themeColor="text1"/>
              </w:rPr>
            </w:pPr>
            <w:r w:rsidRPr="001071FD">
              <w:rPr>
                <w:b/>
                <w:bCs/>
                <w:color w:val="000000" w:themeColor="text1"/>
              </w:rPr>
              <w:t>Baseline Data</w:t>
            </w:r>
          </w:p>
        </w:tc>
      </w:tr>
      <w:tr w:rsidR="008C5AD3" w:rsidRPr="00ED172B" w14:paraId="5A4971F9" w14:textId="77777777" w:rsidTr="000F1FED">
        <w:trPr>
          <w:trHeight w:val="350"/>
        </w:trPr>
        <w:tc>
          <w:tcPr>
            <w:tcW w:w="4389" w:type="pct"/>
            <w:tcBorders>
              <w:bottom w:val="single" w:sz="4" w:space="0" w:color="auto"/>
            </w:tcBorders>
            <w:shd w:val="clear" w:color="auto" w:fill="auto"/>
          </w:tcPr>
          <w:p w14:paraId="62B5AA2F" w14:textId="66A1FAED" w:rsidR="008C5AD3" w:rsidRPr="00ED172B" w:rsidRDefault="008C5AD3" w:rsidP="0082735C">
            <w:pPr>
              <w:jc w:val="center"/>
              <w:rPr>
                <w:b/>
                <w:color w:val="000000" w:themeColor="text1"/>
              </w:rPr>
            </w:pPr>
            <w:r w:rsidRPr="00ED172B">
              <w:rPr>
                <w:color w:val="000000" w:themeColor="text1"/>
              </w:rPr>
              <w:t>2013</w:t>
            </w:r>
          </w:p>
        </w:tc>
        <w:tc>
          <w:tcPr>
            <w:tcW w:w="611" w:type="pct"/>
            <w:shd w:val="clear" w:color="auto" w:fill="auto"/>
            <w:vAlign w:val="center"/>
          </w:tcPr>
          <w:p w14:paraId="6E4EA629" w14:textId="5D8BB69D" w:rsidR="008C5AD3" w:rsidRPr="00ED172B" w:rsidRDefault="008C5AD3" w:rsidP="0082735C">
            <w:pPr>
              <w:jc w:val="center"/>
              <w:rPr>
                <w:color w:val="000000" w:themeColor="text1"/>
              </w:rPr>
            </w:pPr>
            <w:r w:rsidRPr="00ED172B">
              <w:rPr>
                <w:color w:val="000000" w:themeColor="text1"/>
              </w:rPr>
              <w:t>56.57%</w:t>
            </w:r>
          </w:p>
        </w:tc>
      </w:tr>
    </w:tbl>
    <w:p w14:paraId="4EA639B1" w14:textId="580109EF" w:rsidR="008C5AD3" w:rsidRDefault="008C5AD3" w:rsidP="008C5AD3">
      <w:pPr>
        <w:rPr>
          <w:rFonts w:cs="Arial"/>
          <w:b/>
          <w:color w:val="000000" w:themeColor="text1"/>
          <w:szCs w:val="16"/>
        </w:rPr>
      </w:pPr>
    </w:p>
    <w:p w14:paraId="6F57E88A" w14:textId="35E86312" w:rsidR="00E7729E" w:rsidRPr="00ED172B" w:rsidRDefault="00E7729E" w:rsidP="00E7729E">
      <w:pPr>
        <w:rPr>
          <w:color w:val="000000" w:themeColor="text1"/>
        </w:rPr>
      </w:pPr>
      <w:r w:rsidRPr="00A10714">
        <w:rPr>
          <w:b/>
          <w:color w:val="000000" w:themeColor="text1"/>
        </w:rPr>
        <w:t>Targets</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TARGETS"/>
      </w:tblPr>
      <w:tblGrid>
        <w:gridCol w:w="866"/>
        <w:gridCol w:w="1517"/>
        <w:gridCol w:w="1628"/>
        <w:gridCol w:w="1628"/>
        <w:gridCol w:w="1628"/>
        <w:gridCol w:w="1628"/>
        <w:gridCol w:w="1627"/>
      </w:tblGrid>
      <w:tr w:rsidR="00E7729E" w:rsidRPr="00ED172B" w14:paraId="0453CCC2" w14:textId="77777777" w:rsidTr="0082735C">
        <w:trPr>
          <w:trHeight w:val="360"/>
        </w:trPr>
        <w:tc>
          <w:tcPr>
            <w:tcW w:w="260" w:type="pct"/>
            <w:tcBorders>
              <w:bottom w:val="single" w:sz="4" w:space="0" w:color="auto"/>
            </w:tcBorders>
            <w:shd w:val="clear" w:color="auto" w:fill="auto"/>
          </w:tcPr>
          <w:p w14:paraId="1A80DB10" w14:textId="77777777" w:rsidR="00E7729E" w:rsidRPr="00ED172B" w:rsidRDefault="00E7729E" w:rsidP="0082735C">
            <w:pPr>
              <w:jc w:val="center"/>
              <w:rPr>
                <w:b/>
                <w:color w:val="000000" w:themeColor="text1"/>
              </w:rPr>
            </w:pPr>
            <w:r w:rsidRPr="00ED172B">
              <w:rPr>
                <w:b/>
                <w:color w:val="000000" w:themeColor="text1"/>
              </w:rPr>
              <w:t>FFY</w:t>
            </w:r>
          </w:p>
        </w:tc>
        <w:tc>
          <w:tcPr>
            <w:tcW w:w="746" w:type="pct"/>
            <w:shd w:val="clear" w:color="auto" w:fill="auto"/>
            <w:vAlign w:val="center"/>
          </w:tcPr>
          <w:p w14:paraId="5C60C210" w14:textId="77777777" w:rsidR="00E7729E" w:rsidRPr="00ED172B" w:rsidRDefault="00E7729E" w:rsidP="0082735C">
            <w:pPr>
              <w:jc w:val="center"/>
              <w:rPr>
                <w:b/>
                <w:color w:val="000000" w:themeColor="text1"/>
              </w:rPr>
            </w:pPr>
            <w:r w:rsidRPr="00ED172B">
              <w:rPr>
                <w:b/>
                <w:color w:val="000000" w:themeColor="text1"/>
              </w:rPr>
              <w:t>2020</w:t>
            </w:r>
          </w:p>
        </w:tc>
        <w:tc>
          <w:tcPr>
            <w:tcW w:w="799" w:type="pct"/>
          </w:tcPr>
          <w:p w14:paraId="0701C412" w14:textId="77777777" w:rsidR="00E7729E" w:rsidRPr="00ED172B" w:rsidRDefault="00E7729E" w:rsidP="0082735C">
            <w:pPr>
              <w:jc w:val="center"/>
              <w:rPr>
                <w:b/>
                <w:color w:val="000000" w:themeColor="text1"/>
              </w:rPr>
            </w:pPr>
            <w:r>
              <w:rPr>
                <w:rFonts w:cs="Arial"/>
                <w:b/>
                <w:color w:val="000000" w:themeColor="text1"/>
                <w:szCs w:val="16"/>
              </w:rPr>
              <w:t>2021</w:t>
            </w:r>
          </w:p>
        </w:tc>
        <w:tc>
          <w:tcPr>
            <w:tcW w:w="799" w:type="pct"/>
          </w:tcPr>
          <w:p w14:paraId="69CB9B5C" w14:textId="77777777" w:rsidR="00E7729E" w:rsidRPr="00ED172B" w:rsidRDefault="00E7729E" w:rsidP="0082735C">
            <w:pPr>
              <w:jc w:val="center"/>
              <w:rPr>
                <w:b/>
                <w:color w:val="000000" w:themeColor="text1"/>
              </w:rPr>
            </w:pPr>
            <w:r w:rsidRPr="005A1B4F">
              <w:rPr>
                <w:rFonts w:cs="Arial"/>
                <w:b/>
                <w:color w:val="000000" w:themeColor="text1"/>
                <w:szCs w:val="16"/>
              </w:rPr>
              <w:t>2022</w:t>
            </w:r>
          </w:p>
        </w:tc>
        <w:tc>
          <w:tcPr>
            <w:tcW w:w="799" w:type="pct"/>
          </w:tcPr>
          <w:p w14:paraId="43141ACC" w14:textId="77777777" w:rsidR="00E7729E" w:rsidRPr="00ED172B" w:rsidRDefault="00E7729E" w:rsidP="0082735C">
            <w:pPr>
              <w:jc w:val="center"/>
              <w:rPr>
                <w:b/>
                <w:color w:val="000000" w:themeColor="text1"/>
              </w:rPr>
            </w:pPr>
            <w:r w:rsidRPr="005A1B4F">
              <w:rPr>
                <w:rFonts w:cs="Arial"/>
                <w:b/>
                <w:color w:val="000000" w:themeColor="text1"/>
                <w:szCs w:val="16"/>
              </w:rPr>
              <w:t>2023</w:t>
            </w:r>
          </w:p>
        </w:tc>
        <w:tc>
          <w:tcPr>
            <w:tcW w:w="799" w:type="pct"/>
          </w:tcPr>
          <w:p w14:paraId="7554E00B" w14:textId="77777777" w:rsidR="00E7729E" w:rsidRPr="00ED172B" w:rsidRDefault="00E7729E" w:rsidP="0082735C">
            <w:pPr>
              <w:jc w:val="center"/>
              <w:rPr>
                <w:b/>
                <w:color w:val="000000" w:themeColor="text1"/>
              </w:rPr>
            </w:pPr>
            <w:r w:rsidRPr="005A1B4F">
              <w:rPr>
                <w:rFonts w:cs="Arial"/>
                <w:b/>
                <w:color w:val="000000" w:themeColor="text1"/>
                <w:szCs w:val="16"/>
              </w:rPr>
              <w:t>2024</w:t>
            </w:r>
          </w:p>
        </w:tc>
        <w:tc>
          <w:tcPr>
            <w:tcW w:w="799" w:type="pct"/>
          </w:tcPr>
          <w:p w14:paraId="54240154" w14:textId="77777777" w:rsidR="00E7729E" w:rsidRPr="00ED172B" w:rsidRDefault="00E7729E" w:rsidP="0082735C">
            <w:pPr>
              <w:jc w:val="center"/>
              <w:rPr>
                <w:b/>
                <w:color w:val="000000" w:themeColor="text1"/>
              </w:rPr>
            </w:pPr>
            <w:r w:rsidRPr="005A1B4F">
              <w:rPr>
                <w:rFonts w:cs="Arial"/>
                <w:b/>
                <w:color w:val="000000" w:themeColor="text1"/>
                <w:szCs w:val="16"/>
              </w:rPr>
              <w:t>2025</w:t>
            </w:r>
          </w:p>
        </w:tc>
      </w:tr>
      <w:tr w:rsidR="00E7729E" w:rsidRPr="00ED172B" w14:paraId="02BF8447" w14:textId="77777777" w:rsidTr="0082735C">
        <w:trPr>
          <w:trHeight w:val="367"/>
        </w:trPr>
        <w:tc>
          <w:tcPr>
            <w:tcW w:w="260" w:type="pct"/>
            <w:shd w:val="clear" w:color="auto" w:fill="auto"/>
          </w:tcPr>
          <w:p w14:paraId="1DE2EEC4" w14:textId="77777777" w:rsidR="00E7729E" w:rsidRPr="00ED172B" w:rsidRDefault="00E7729E" w:rsidP="0082735C">
            <w:pPr>
              <w:rPr>
                <w:rFonts w:cs="Arial"/>
                <w:color w:val="000000" w:themeColor="text1"/>
                <w:szCs w:val="16"/>
              </w:rPr>
            </w:pPr>
            <w:r w:rsidRPr="00ED172B">
              <w:rPr>
                <w:rFonts w:cs="Arial"/>
                <w:color w:val="000000" w:themeColor="text1"/>
                <w:szCs w:val="16"/>
              </w:rPr>
              <w:t>Target&gt;=</w:t>
            </w:r>
          </w:p>
        </w:tc>
        <w:tc>
          <w:tcPr>
            <w:tcW w:w="746" w:type="pct"/>
            <w:shd w:val="clear" w:color="auto" w:fill="auto"/>
            <w:vAlign w:val="center"/>
          </w:tcPr>
          <w:p w14:paraId="25EEA933" w14:textId="705FFDFB" w:rsidR="00E7729E" w:rsidRPr="00ED172B" w:rsidRDefault="00E7729E" w:rsidP="0082735C">
            <w:pPr>
              <w:jc w:val="center"/>
              <w:rPr>
                <w:color w:val="000000" w:themeColor="text1"/>
              </w:rPr>
            </w:pPr>
            <w:r w:rsidRPr="00ED172B">
              <w:rPr>
                <w:color w:val="000000" w:themeColor="text1"/>
              </w:rPr>
              <w:t>57.00%</w:t>
            </w:r>
          </w:p>
        </w:tc>
        <w:tc>
          <w:tcPr>
            <w:tcW w:w="799" w:type="pct"/>
          </w:tcPr>
          <w:p w14:paraId="4FDDD4C1" w14:textId="5C51D581" w:rsidR="00E7729E" w:rsidRPr="00ED172B" w:rsidRDefault="00E7729E" w:rsidP="0082735C">
            <w:pPr>
              <w:jc w:val="center"/>
              <w:rPr>
                <w:color w:val="000000" w:themeColor="text1"/>
              </w:rPr>
            </w:pPr>
            <w:r>
              <w:rPr>
                <w:rFonts w:cs="Arial"/>
                <w:color w:val="000000" w:themeColor="text1"/>
                <w:szCs w:val="16"/>
              </w:rPr>
              <w:t>57.00%</w:t>
            </w:r>
          </w:p>
        </w:tc>
        <w:tc>
          <w:tcPr>
            <w:tcW w:w="799" w:type="pct"/>
          </w:tcPr>
          <w:p w14:paraId="0C37D80B" w14:textId="12806C46" w:rsidR="00E7729E" w:rsidRPr="00ED172B" w:rsidRDefault="00E7729E" w:rsidP="0082735C">
            <w:pPr>
              <w:jc w:val="center"/>
              <w:rPr>
                <w:color w:val="000000" w:themeColor="text1"/>
              </w:rPr>
            </w:pPr>
            <w:r w:rsidRPr="005F5F3C">
              <w:rPr>
                <w:rFonts w:cs="Arial"/>
                <w:color w:val="000000" w:themeColor="text1"/>
                <w:szCs w:val="16"/>
              </w:rPr>
              <w:t>57.10%</w:t>
            </w:r>
          </w:p>
        </w:tc>
        <w:tc>
          <w:tcPr>
            <w:tcW w:w="799" w:type="pct"/>
          </w:tcPr>
          <w:p w14:paraId="5567CF00" w14:textId="51ED482E" w:rsidR="00E7729E" w:rsidRPr="00ED172B" w:rsidRDefault="00E7729E" w:rsidP="0082735C">
            <w:pPr>
              <w:jc w:val="center"/>
              <w:rPr>
                <w:color w:val="000000" w:themeColor="text1"/>
              </w:rPr>
            </w:pPr>
            <w:r w:rsidRPr="005F5F3C">
              <w:rPr>
                <w:rFonts w:cs="Arial"/>
                <w:color w:val="000000" w:themeColor="text1"/>
                <w:szCs w:val="16"/>
              </w:rPr>
              <w:t>57.10%</w:t>
            </w:r>
          </w:p>
        </w:tc>
        <w:tc>
          <w:tcPr>
            <w:tcW w:w="799" w:type="pct"/>
          </w:tcPr>
          <w:p w14:paraId="0A7D04E6" w14:textId="1AA3CDA1" w:rsidR="00E7729E" w:rsidRPr="00ED172B" w:rsidRDefault="00E7729E" w:rsidP="0082735C">
            <w:pPr>
              <w:jc w:val="center"/>
              <w:rPr>
                <w:color w:val="000000" w:themeColor="text1"/>
              </w:rPr>
            </w:pPr>
            <w:r w:rsidRPr="005F5F3C">
              <w:rPr>
                <w:rFonts w:cs="Arial"/>
                <w:color w:val="000000" w:themeColor="text1"/>
                <w:szCs w:val="16"/>
              </w:rPr>
              <w:t>57.20%</w:t>
            </w:r>
          </w:p>
        </w:tc>
        <w:tc>
          <w:tcPr>
            <w:tcW w:w="799" w:type="pct"/>
          </w:tcPr>
          <w:p w14:paraId="7931B37C" w14:textId="3ABF9291" w:rsidR="00E7729E" w:rsidRPr="00ED172B" w:rsidRDefault="00E7729E" w:rsidP="0082735C">
            <w:pPr>
              <w:jc w:val="center"/>
              <w:rPr>
                <w:color w:val="000000" w:themeColor="text1"/>
              </w:rPr>
            </w:pPr>
            <w:r w:rsidRPr="005F5F3C">
              <w:rPr>
                <w:rFonts w:cs="Arial"/>
                <w:color w:val="000000" w:themeColor="text1"/>
                <w:szCs w:val="16"/>
              </w:rPr>
              <w:t>57.20%</w:t>
            </w:r>
          </w:p>
        </w:tc>
      </w:tr>
    </w:tbl>
    <w:p w14:paraId="7BA6F57E" w14:textId="77777777" w:rsidR="008C5AD3" w:rsidRPr="00ED172B" w:rsidRDefault="008C5AD3" w:rsidP="008C5AD3">
      <w:pPr>
        <w:pStyle w:val="Italic"/>
        <w:rPr>
          <w:rFonts w:cs="Arial"/>
          <w:i w:val="0"/>
          <w:color w:val="000000" w:themeColor="text1"/>
          <w:szCs w:val="16"/>
        </w:rPr>
      </w:pPr>
    </w:p>
    <w:p w14:paraId="3FAB99C9" w14:textId="77777777" w:rsidR="005A3EDC" w:rsidRPr="00ED172B" w:rsidRDefault="005A3EDC" w:rsidP="005A3EDC">
      <w:pPr>
        <w:rPr>
          <w:b/>
          <w:color w:val="000000" w:themeColor="text1"/>
        </w:rPr>
      </w:pPr>
      <w:r>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FFYAPRDATA"/>
      </w:tblPr>
      <w:tblGrid>
        <w:gridCol w:w="2515"/>
        <w:gridCol w:w="1890"/>
        <w:gridCol w:w="1439"/>
        <w:gridCol w:w="1351"/>
        <w:gridCol w:w="1260"/>
        <w:gridCol w:w="1260"/>
        <w:gridCol w:w="1075"/>
      </w:tblGrid>
      <w:tr w:rsidR="005A3EDC" w:rsidRPr="00ED172B" w14:paraId="6E048B6B" w14:textId="77777777" w:rsidTr="009C4033">
        <w:trPr>
          <w:trHeight w:val="354"/>
        </w:trPr>
        <w:tc>
          <w:tcPr>
            <w:tcW w:w="1165" w:type="pct"/>
            <w:shd w:val="clear" w:color="auto" w:fill="auto"/>
            <w:vAlign w:val="bottom"/>
          </w:tcPr>
          <w:p w14:paraId="35377E80" w14:textId="2AF6D1B5" w:rsidR="005A3EDC" w:rsidRPr="00ED172B" w:rsidRDefault="005E3DB9" w:rsidP="0082735C">
            <w:pPr>
              <w:jc w:val="center"/>
              <w:rPr>
                <w:b/>
                <w:color w:val="000000" w:themeColor="text1"/>
                <w:szCs w:val="16"/>
              </w:rPr>
            </w:pPr>
            <w:r w:rsidRPr="00ED172B">
              <w:rPr>
                <w:color w:val="000000" w:themeColor="text1"/>
                <w:szCs w:val="16"/>
              </w:rPr>
              <w:t>Not including at-risk toddlers, Of those children who entered or exited the program below age expectations in Outcome A, the percent who substantially increased their rate of growth by the time they turned 3 years of age or exited the program</w:t>
            </w:r>
          </w:p>
        </w:tc>
        <w:tc>
          <w:tcPr>
            <w:tcW w:w="876" w:type="pct"/>
            <w:shd w:val="clear" w:color="auto" w:fill="auto"/>
            <w:vAlign w:val="bottom"/>
          </w:tcPr>
          <w:p w14:paraId="2CFCBD1B" w14:textId="129F1692" w:rsidR="005A3EDC" w:rsidRPr="00ED172B" w:rsidRDefault="005E3DB9" w:rsidP="0082735C">
            <w:pPr>
              <w:jc w:val="center"/>
              <w:rPr>
                <w:b/>
                <w:color w:val="000000" w:themeColor="text1"/>
                <w:szCs w:val="16"/>
              </w:rPr>
            </w:pPr>
            <w:r w:rsidRPr="00ED172B">
              <w:rPr>
                <w:color w:val="000000" w:themeColor="text1"/>
                <w:szCs w:val="16"/>
              </w:rPr>
              <w:t>Not including at-risk toddlers, children who entered or exited the program below age expectations in Outcome A</w:t>
            </w:r>
          </w:p>
        </w:tc>
        <w:tc>
          <w:tcPr>
            <w:tcW w:w="667" w:type="pct"/>
            <w:shd w:val="clear" w:color="auto" w:fill="auto"/>
            <w:vAlign w:val="bottom"/>
          </w:tcPr>
          <w:p w14:paraId="76EF8F05" w14:textId="77777777" w:rsidR="005A3EDC" w:rsidRPr="00ED172B" w:rsidRDefault="005A3EDC" w:rsidP="0082735C">
            <w:pPr>
              <w:jc w:val="center"/>
              <w:rPr>
                <w:b/>
                <w:color w:val="000000" w:themeColor="text1"/>
                <w:szCs w:val="16"/>
              </w:rPr>
            </w:pPr>
            <w:r>
              <w:rPr>
                <w:rFonts w:cs="Arial"/>
                <w:b/>
                <w:color w:val="000000" w:themeColor="text1"/>
                <w:szCs w:val="16"/>
              </w:rPr>
              <w:t>FFY 2019 Data</w:t>
            </w:r>
          </w:p>
        </w:tc>
        <w:tc>
          <w:tcPr>
            <w:tcW w:w="626" w:type="pct"/>
            <w:shd w:val="clear" w:color="auto" w:fill="auto"/>
            <w:vAlign w:val="bottom"/>
          </w:tcPr>
          <w:p w14:paraId="5F4EA754" w14:textId="77777777" w:rsidR="005A3EDC" w:rsidRPr="00ED172B" w:rsidRDefault="005A3EDC" w:rsidP="0082735C">
            <w:pPr>
              <w:jc w:val="center"/>
              <w:rPr>
                <w:b/>
                <w:color w:val="000000" w:themeColor="text1"/>
                <w:szCs w:val="16"/>
              </w:rPr>
            </w:pPr>
            <w:r>
              <w:rPr>
                <w:rFonts w:cs="Arial"/>
                <w:b/>
                <w:color w:val="000000" w:themeColor="text1"/>
                <w:szCs w:val="16"/>
              </w:rPr>
              <w:t>FFY 2020 Target</w:t>
            </w:r>
          </w:p>
        </w:tc>
        <w:tc>
          <w:tcPr>
            <w:tcW w:w="584" w:type="pct"/>
            <w:shd w:val="clear" w:color="auto" w:fill="auto"/>
            <w:vAlign w:val="bottom"/>
          </w:tcPr>
          <w:p w14:paraId="67762CBC" w14:textId="77777777" w:rsidR="005A3EDC" w:rsidRPr="00ED172B" w:rsidRDefault="005A3EDC" w:rsidP="0082735C">
            <w:pPr>
              <w:jc w:val="center"/>
              <w:rPr>
                <w:b/>
                <w:color w:val="000000" w:themeColor="text1"/>
                <w:szCs w:val="16"/>
              </w:rPr>
            </w:pPr>
            <w:r>
              <w:rPr>
                <w:rFonts w:cs="Arial"/>
                <w:b/>
                <w:color w:val="000000" w:themeColor="text1"/>
                <w:szCs w:val="16"/>
              </w:rPr>
              <w:t>FFY 2020 Data</w:t>
            </w:r>
          </w:p>
        </w:tc>
        <w:tc>
          <w:tcPr>
            <w:tcW w:w="584" w:type="pct"/>
            <w:shd w:val="clear" w:color="auto" w:fill="auto"/>
            <w:vAlign w:val="bottom"/>
          </w:tcPr>
          <w:p w14:paraId="3B9F25BA" w14:textId="77777777" w:rsidR="005A3EDC" w:rsidRPr="00ED172B" w:rsidRDefault="005A3EDC" w:rsidP="0082735C">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63772CF4" w14:textId="77777777" w:rsidR="005A3EDC" w:rsidRPr="00ED172B" w:rsidRDefault="005A3EDC" w:rsidP="0082735C">
            <w:pPr>
              <w:jc w:val="center"/>
              <w:rPr>
                <w:b/>
                <w:color w:val="000000" w:themeColor="text1"/>
                <w:szCs w:val="16"/>
              </w:rPr>
            </w:pPr>
            <w:r w:rsidRPr="00ED172B">
              <w:rPr>
                <w:b/>
                <w:color w:val="000000" w:themeColor="text1"/>
                <w:szCs w:val="16"/>
              </w:rPr>
              <w:t>Slippage</w:t>
            </w:r>
          </w:p>
        </w:tc>
      </w:tr>
      <w:tr w:rsidR="005A3EDC" w:rsidRPr="00ED172B" w14:paraId="6DBCB096" w14:textId="77777777" w:rsidTr="009C4033">
        <w:trPr>
          <w:trHeight w:val="287"/>
        </w:trPr>
        <w:tc>
          <w:tcPr>
            <w:tcW w:w="1165" w:type="pct"/>
            <w:shd w:val="clear" w:color="auto" w:fill="auto"/>
            <w:vAlign w:val="center"/>
          </w:tcPr>
          <w:p w14:paraId="3F656E99" w14:textId="27CC2589" w:rsidR="005A3EDC" w:rsidRPr="00ED172B" w:rsidRDefault="005A3EDC" w:rsidP="0082735C">
            <w:pPr>
              <w:jc w:val="center"/>
              <w:rPr>
                <w:color w:val="000000" w:themeColor="text1"/>
                <w:szCs w:val="16"/>
              </w:rPr>
            </w:pPr>
            <w:r w:rsidRPr="00ED172B">
              <w:rPr>
                <w:color w:val="000000" w:themeColor="text1"/>
                <w:szCs w:val="16"/>
              </w:rPr>
              <w:t>1,313</w:t>
            </w:r>
          </w:p>
        </w:tc>
        <w:tc>
          <w:tcPr>
            <w:tcW w:w="876" w:type="pct"/>
            <w:shd w:val="clear" w:color="auto" w:fill="auto"/>
            <w:vAlign w:val="center"/>
          </w:tcPr>
          <w:p w14:paraId="3150BE9F" w14:textId="5DC8C558" w:rsidR="005A3EDC" w:rsidRPr="00ED172B" w:rsidRDefault="005A3EDC" w:rsidP="0082735C">
            <w:pPr>
              <w:jc w:val="center"/>
              <w:rPr>
                <w:color w:val="000000" w:themeColor="text1"/>
                <w:szCs w:val="16"/>
              </w:rPr>
            </w:pPr>
            <w:r w:rsidRPr="00ED172B">
              <w:rPr>
                <w:color w:val="000000" w:themeColor="text1"/>
                <w:szCs w:val="16"/>
              </w:rPr>
              <w:t>2,663</w:t>
            </w:r>
          </w:p>
        </w:tc>
        <w:tc>
          <w:tcPr>
            <w:tcW w:w="667" w:type="pct"/>
            <w:shd w:val="clear" w:color="auto" w:fill="auto"/>
          </w:tcPr>
          <w:p w14:paraId="01ADA7D7" w14:textId="7A44C784" w:rsidR="005A3EDC" w:rsidRPr="00ED172B" w:rsidRDefault="005A3EDC" w:rsidP="0082735C">
            <w:pPr>
              <w:jc w:val="center"/>
              <w:rPr>
                <w:color w:val="000000" w:themeColor="text1"/>
                <w:szCs w:val="16"/>
              </w:rPr>
            </w:pPr>
            <w:r w:rsidRPr="00ED172B">
              <w:rPr>
                <w:rFonts w:cs="Arial"/>
                <w:color w:val="000000" w:themeColor="text1"/>
                <w:szCs w:val="16"/>
              </w:rPr>
              <w:t>56.90%</w:t>
            </w:r>
          </w:p>
        </w:tc>
        <w:tc>
          <w:tcPr>
            <w:tcW w:w="626" w:type="pct"/>
            <w:shd w:val="clear" w:color="auto" w:fill="auto"/>
          </w:tcPr>
          <w:p w14:paraId="7E0CA0EB" w14:textId="2BC1966F" w:rsidR="005A3EDC" w:rsidRPr="00ED172B" w:rsidRDefault="005A3EDC" w:rsidP="0082735C">
            <w:pPr>
              <w:jc w:val="center"/>
              <w:rPr>
                <w:color w:val="000000" w:themeColor="text1"/>
                <w:szCs w:val="16"/>
              </w:rPr>
            </w:pPr>
            <w:r w:rsidRPr="00ED172B">
              <w:rPr>
                <w:color w:val="000000" w:themeColor="text1"/>
                <w:szCs w:val="16"/>
              </w:rPr>
              <w:t>57.00%</w:t>
            </w:r>
          </w:p>
        </w:tc>
        <w:tc>
          <w:tcPr>
            <w:tcW w:w="584" w:type="pct"/>
            <w:shd w:val="clear" w:color="auto" w:fill="auto"/>
          </w:tcPr>
          <w:p w14:paraId="458651F5" w14:textId="00EF1137" w:rsidR="005A3EDC" w:rsidRPr="00ED172B" w:rsidRDefault="005A3EDC" w:rsidP="0082735C">
            <w:pPr>
              <w:jc w:val="center"/>
              <w:rPr>
                <w:color w:val="000000" w:themeColor="text1"/>
                <w:szCs w:val="16"/>
              </w:rPr>
            </w:pPr>
            <w:r w:rsidRPr="00ED172B">
              <w:rPr>
                <w:rFonts w:cs="Arial"/>
                <w:color w:val="000000" w:themeColor="text1"/>
                <w:szCs w:val="16"/>
              </w:rPr>
              <w:t>49.31%</w:t>
            </w:r>
          </w:p>
        </w:tc>
        <w:tc>
          <w:tcPr>
            <w:tcW w:w="584" w:type="pct"/>
            <w:shd w:val="clear" w:color="auto" w:fill="auto"/>
          </w:tcPr>
          <w:p w14:paraId="4D02F4DA" w14:textId="5ECE8E78" w:rsidR="005A3EDC" w:rsidRPr="00ED172B" w:rsidRDefault="005A3EDC" w:rsidP="0082735C">
            <w:pPr>
              <w:jc w:val="center"/>
              <w:rPr>
                <w:color w:val="000000" w:themeColor="text1"/>
              </w:rPr>
            </w:pPr>
            <w:r w:rsidRPr="00ED172B">
              <w:rPr>
                <w:color w:val="000000" w:themeColor="text1"/>
              </w:rPr>
              <w:t>Did not meet target</w:t>
            </w:r>
          </w:p>
        </w:tc>
        <w:tc>
          <w:tcPr>
            <w:tcW w:w="498" w:type="pct"/>
            <w:shd w:val="clear" w:color="auto" w:fill="auto"/>
          </w:tcPr>
          <w:p w14:paraId="057828AA" w14:textId="1DB7167A" w:rsidR="005A3EDC" w:rsidRPr="00ED172B" w:rsidRDefault="005A3EDC" w:rsidP="0082735C">
            <w:pPr>
              <w:jc w:val="center"/>
              <w:rPr>
                <w:color w:val="000000" w:themeColor="text1"/>
              </w:rPr>
            </w:pPr>
            <w:r w:rsidRPr="00ED172B">
              <w:rPr>
                <w:color w:val="000000" w:themeColor="text1"/>
              </w:rPr>
              <w:t>Slippage</w:t>
            </w:r>
          </w:p>
        </w:tc>
      </w:tr>
    </w:tbl>
    <w:p w14:paraId="7F827FC2" w14:textId="77777777" w:rsidR="005A3EDC" w:rsidRPr="00ED172B" w:rsidRDefault="005A3EDC" w:rsidP="005A3EDC">
      <w:pPr>
        <w:rPr>
          <w:rFonts w:cs="Arial"/>
          <w:b/>
          <w:i/>
          <w:color w:val="000000" w:themeColor="text1"/>
          <w:szCs w:val="16"/>
        </w:rPr>
      </w:pPr>
      <w:r w:rsidRPr="00ED172B">
        <w:rPr>
          <w:rFonts w:cs="Arial"/>
          <w:b/>
          <w:color w:val="000000" w:themeColor="text1"/>
          <w:szCs w:val="16"/>
        </w:rPr>
        <w:t xml:space="preserve">Provide reasons for slippage, if applicable </w:t>
      </w:r>
    </w:p>
    <w:p w14:paraId="4C6C3946" w14:textId="3260EF55" w:rsidR="005A3EDC" w:rsidRDefault="005A3EDC" w:rsidP="005A3EDC">
      <w:pPr>
        <w:rPr>
          <w:color w:val="000000" w:themeColor="text1"/>
        </w:rPr>
      </w:pPr>
      <w:r w:rsidRPr="00ED172B">
        <w:rPr>
          <w:color w:val="000000" w:themeColor="text1"/>
        </w:rPr>
        <w:t>The COVID-19 pandemic necessitated public health measures such as social distancing and reduced in-person interactions. MA-C did not allow EIS providers to administer the Battelle Developmental Inventory (2nd ed; BDI-2) via telehealth. Fewer toddlers were evaluated upon exiting, and it is suspected that this lower denominator affected the overall performance in this area.</w:t>
      </w:r>
    </w:p>
    <w:p w14:paraId="4F07CE97" w14:textId="2F5F51F8" w:rsidR="00693B33" w:rsidRDefault="00693B33" w:rsidP="00741E58"/>
    <w:p w14:paraId="7FBF3D2A" w14:textId="0B121499" w:rsidR="00305E79" w:rsidRDefault="00305E79" w:rsidP="00C14BC7">
      <w:pPr>
        <w:rPr>
          <w:b/>
          <w:bCs/>
        </w:rPr>
      </w:pPr>
      <w:r>
        <w:rPr>
          <w:b/>
          <w:bCs/>
        </w:rPr>
        <w:t>Provide the data source for the FFY 2020 data.</w:t>
      </w:r>
    </w:p>
    <w:p w14:paraId="39EA1EF2" w14:textId="4442F412" w:rsidR="00305E79" w:rsidRDefault="00305E79" w:rsidP="00305E79">
      <w:pPr>
        <w:rPr>
          <w:color w:val="000000" w:themeColor="text1"/>
        </w:rPr>
      </w:pPr>
      <w:r w:rsidRPr="00ED172B">
        <w:rPr>
          <w:color w:val="000000" w:themeColor="text1"/>
        </w:rPr>
        <w:t>MA-C collects data on Child Outcome 3A, Summary Statement 1 from its state database. EIS providers enter evaluation data at the outset of an infant or toddler’s enrollment in Part C services and upon exiting. EIS providers use the Battelle Developmental Inventory (2nd edition) to evaluate progress.</w:t>
      </w:r>
    </w:p>
    <w:p w14:paraId="58E947E6" w14:textId="35C272EA" w:rsidR="00C14BC7" w:rsidRPr="00C14BC7" w:rsidRDefault="00C14BC7" w:rsidP="00C14BC7">
      <w:r w:rsidRPr="00F85A5B">
        <w:rPr>
          <w:b/>
          <w:bCs/>
        </w:rPr>
        <w:t>Please describe how data are collected and analyzed for the SiMR</w:t>
      </w:r>
      <w:r w:rsidRPr="00C14BC7">
        <w:t>.</w:t>
      </w:r>
    </w:p>
    <w:p w14:paraId="6315B3BF" w14:textId="4A2D6D59" w:rsidR="00C14BC7" w:rsidRDefault="00C14BC7" w:rsidP="00C14BC7">
      <w:pPr>
        <w:rPr>
          <w:color w:val="000000" w:themeColor="text1"/>
        </w:rPr>
      </w:pPr>
      <w:r w:rsidRPr="00ED172B">
        <w:rPr>
          <w:color w:val="000000" w:themeColor="text1"/>
        </w:rPr>
        <w:t xml:space="preserve">First, EIS providers administer and score the Battelle Developmental Inventory (2nd edition; BDI-2) following the publisher's manual. Next, EIS providers enter the developmental quotient (DQ) into the state database. Third, MA-C's Data Manager analyzes the duration of early intervention services provided to the child prior to the administration of the BDI-2; children who received less than six months of services are excluded from future analyses. Similarly, children who have only one administration (e.g., completed upon exit but not entry) or have incomplete scoring information are also excluded. Having identified the children to be included in this calculation, MA-C determines which of five BDI-2 categories the child's performance falls: (a) child did not improve functioning, (b) child's functioning improved but is not comparable to same-aged peers, (c) child's functioning improved to near-age expectations but did not reach it, (d) child's functioning improved and is comparable to same-aged peers, or (e) child entered with functioning comparable to same-aged peers and the level was maintained. MA-C then prepares a report of the number of children included in each category and compares the raw number and percentage of children in each category across prior reporting years. To calculate the summary statement (used for the SiMR), MA-C adds the number of children included in the two middle categories (i.e., categories C and D, described above) and then divides the sum by the sum of the number of children in categories A, B, C, and D (described above). Children in category E (i.e., those who enter and exit with functioning comparable to same-aged peers) are excluded from this analysis. </w:t>
      </w:r>
    </w:p>
    <w:p w14:paraId="76D8647E" w14:textId="78CCE65B" w:rsidR="00270F92" w:rsidRDefault="00270F92" w:rsidP="00741E58"/>
    <w:p w14:paraId="5BA5A6C5" w14:textId="219990FA" w:rsidR="006D5F86" w:rsidRPr="00F85A5B" w:rsidRDefault="006D5F86" w:rsidP="006D5F86">
      <w:pPr>
        <w:rPr>
          <w:rFonts w:cs="Arial"/>
          <w:b/>
          <w:bCs/>
        </w:rPr>
      </w:pPr>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SiMR?</w:t>
      </w:r>
      <w:r w:rsidR="00CD071F">
        <w:rPr>
          <w:b/>
          <w:bCs/>
        </w:rPr>
        <w:t xml:space="preserve"> </w:t>
      </w:r>
      <w:r w:rsidR="00CD071F" w:rsidRPr="00CD071F">
        <w:rPr>
          <w:b/>
          <w:bCs/>
        </w:rPr>
        <w:t>(yes/no)</w:t>
      </w:r>
      <w:r w:rsidRPr="00F85A5B">
        <w:rPr>
          <w:rFonts w:cs="Arial"/>
          <w:b/>
          <w:bCs/>
        </w:rPr>
        <w:t xml:space="preserve">  </w:t>
      </w:r>
    </w:p>
    <w:p w14:paraId="6A765DFA" w14:textId="1921A02D" w:rsidR="00831891" w:rsidRPr="000123EB" w:rsidRDefault="00831891" w:rsidP="00831891">
      <w:pPr>
        <w:rPr>
          <w:color w:val="000000" w:themeColor="text1"/>
        </w:rPr>
      </w:pPr>
      <w:r w:rsidRPr="00ED172B">
        <w:rPr>
          <w:color w:val="000000" w:themeColor="text1"/>
        </w:rPr>
        <w:t>YES</w:t>
      </w:r>
    </w:p>
    <w:p w14:paraId="67AE1CE1" w14:textId="4AACCFD3" w:rsidR="006D5F86" w:rsidRDefault="007F0DC5" w:rsidP="00741E58">
      <w:pPr>
        <w:rPr>
          <w:rFonts w:cs="Arial"/>
          <w:b/>
          <w:bCs/>
        </w:rPr>
      </w:pPr>
      <w:r>
        <w:rPr>
          <w:rFonts w:cs="Arial"/>
          <w:b/>
          <w:bCs/>
        </w:rPr>
        <w:t xml:space="preserve">Describe any additional data collected by the State to assess progress toward the </w:t>
      </w:r>
      <w:proofErr w:type="spellStart"/>
      <w:r>
        <w:rPr>
          <w:rFonts w:cs="Arial"/>
          <w:b/>
          <w:bCs/>
        </w:rPr>
        <w:t>SiMR</w:t>
      </w:r>
      <w:proofErr w:type="spellEnd"/>
      <w:r w:rsidR="008E5E4F">
        <w:rPr>
          <w:rFonts w:cs="Arial"/>
          <w:b/>
          <w:bCs/>
        </w:rPr>
        <w:t>.</w:t>
      </w:r>
    </w:p>
    <w:p w14:paraId="20083E9E" w14:textId="002A0498" w:rsidR="006F322B" w:rsidRDefault="006F322B" w:rsidP="006F322B">
      <w:pPr>
        <w:rPr>
          <w:color w:val="000000" w:themeColor="text1"/>
        </w:rPr>
      </w:pPr>
      <w:r w:rsidRPr="00ED172B">
        <w:rPr>
          <w:color w:val="000000" w:themeColor="text1"/>
        </w:rPr>
        <w:t xml:space="preserve">In addition to data collect on the SiMR, MA-C collects data on the number of attendees to participate in professional development offerings designed to improve the SiMR. A larger number of attendees might portend progress on the SiMR because of newly acquired knowledge, skills, or abilities. By contrast, EIS programs who have no attendees to these training may be a relevant variable with respect to the fidelity with which those programs implement the activities designed to improve the SiMR. </w:t>
      </w:r>
      <w:r w:rsidRPr="00ED172B">
        <w:rPr>
          <w:color w:val="000000" w:themeColor="text1"/>
        </w:rPr>
        <w:br/>
      </w:r>
      <w:r w:rsidRPr="00ED172B">
        <w:rPr>
          <w:color w:val="000000" w:themeColor="text1"/>
        </w:rPr>
        <w:br/>
        <w:t xml:space="preserve">The Parents Interacting With Infants (PIWI) institute was designed to increase attendees knowledge, skills, and abilities with respect to the PIWI model and philosophy, which is one activity MA-C has designed to improve its SiMR. The FFY20 training was evaluated after its completion in December 2020. Of its 28 participants, most had been involved in the EIS community for five or more years. Despite the lengthy experience, 90% of participants reported that the training improved their application of the evidence-based strategies to support parent-child interactions and progress toward IFSP outcomes. </w:t>
      </w:r>
      <w:r w:rsidRPr="00ED172B">
        <w:rPr>
          <w:color w:val="000000" w:themeColor="text1"/>
        </w:rPr>
        <w:br/>
      </w:r>
      <w:r w:rsidRPr="00ED172B">
        <w:rPr>
          <w:color w:val="000000" w:themeColor="text1"/>
        </w:rPr>
        <w:br/>
        <w:t>The Reflective Supervision training was designed to increase attendees knowledge, skills, and abilities in the provision of high-quality supervision for early intervention specialists. The FFY20 training, which occurred between November 2020- and June 2021, was evaluated by 47 attendees, all of whom had been involved in the EIS community at least two years, with most reporting more than five years. 68% of participants reported that the training improved their ability to use reflective supervision to support the PIWI philosophy in practice.</w:t>
      </w:r>
      <w:r w:rsidRPr="00ED172B">
        <w:rPr>
          <w:color w:val="000000" w:themeColor="text1"/>
        </w:rPr>
        <w:br/>
      </w:r>
      <w:r w:rsidRPr="00ED172B">
        <w:rPr>
          <w:color w:val="000000" w:themeColor="text1"/>
        </w:rPr>
        <w:br/>
        <w:t xml:space="preserve">The Child Development Institute was designed to increase attendees knowledge, skills, and abilities with respect to child development, including its history, differing theories, and the role culture plays in a child's development. The FFY20 institute was evaluated after its completion in December 2020. It was attended by seven EIS providers employed by four different programs. Attendees' levels of experience was more varied than others groups, ranging from seven months to over five years, with a mode of two to five years experience in the early intervention community. Attendees reported less robust perceived improvements from this training: only 43% of attendees reported the training helped them connect child development to the IFSP process. However, all participants reported that the institute increased their ability to identify child development from the whole child perspective. As a result of these data, MA-C will review and revise its curriculum and pedagogy in future reporting years. </w:t>
      </w:r>
      <w:r w:rsidRPr="00ED172B">
        <w:rPr>
          <w:color w:val="000000" w:themeColor="text1"/>
        </w:rPr>
        <w:br/>
      </w:r>
      <w:r w:rsidRPr="00ED172B">
        <w:rPr>
          <w:color w:val="000000" w:themeColor="text1"/>
        </w:rPr>
        <w:br/>
        <w:t>Taken together, these data suggest that EIS providers working within the Commonwealth are increasing their knowledge, skills, and abilities of the improvement strategies designed to effect the SiMR.</w:t>
      </w:r>
    </w:p>
    <w:p w14:paraId="5AF54FE1" w14:textId="1D928FAB" w:rsidR="006F322B" w:rsidRDefault="006F322B" w:rsidP="00741E58">
      <w:pPr>
        <w:rPr>
          <w:b/>
          <w:bCs/>
        </w:rPr>
      </w:pPr>
    </w:p>
    <w:p w14:paraId="7345EC60" w14:textId="7CD24D28" w:rsidR="00C77A39" w:rsidRDefault="00C77A39" w:rsidP="00C77A39">
      <w:pPr>
        <w:spacing w:after="0"/>
        <w:rPr>
          <w:rFonts w:cs="Arial"/>
          <w:b/>
          <w:bCs/>
        </w:rPr>
      </w:pPr>
      <w:r w:rsidRPr="00F85A5B">
        <w:rPr>
          <w:rFonts w:cs="Arial"/>
          <w:b/>
          <w:bCs/>
        </w:rPr>
        <w:t xml:space="preserve">Did the State identify any general data quality concerns, unrelated to COVID-19, that affected progress toward the SiMR during the reporting period? </w:t>
      </w:r>
      <w:r w:rsidR="00CD071F" w:rsidRPr="00CD071F">
        <w:rPr>
          <w:b/>
          <w:bCs/>
        </w:rPr>
        <w:t>(yes/no)</w:t>
      </w:r>
    </w:p>
    <w:p w14:paraId="0DD31B03" w14:textId="7D01B3CB" w:rsidR="005838E8" w:rsidRDefault="005838E8" w:rsidP="00C77A39">
      <w:pPr>
        <w:spacing w:after="0"/>
        <w:rPr>
          <w:rFonts w:cs="Arial"/>
          <w:b/>
          <w:bCs/>
        </w:rPr>
      </w:pPr>
      <w:r w:rsidRPr="00ED172B">
        <w:rPr>
          <w:color w:val="000000" w:themeColor="text1"/>
        </w:rPr>
        <w:t>YES</w:t>
      </w:r>
    </w:p>
    <w:p w14:paraId="73202954" w14:textId="7B202709" w:rsidR="00CA7DE8" w:rsidRPr="00F85A5B" w:rsidRDefault="007F0DC5" w:rsidP="00C77A39">
      <w:pPr>
        <w:spacing w:after="0"/>
        <w:rPr>
          <w:rFonts w:cs="Arial"/>
          <w:b/>
          <w:bCs/>
        </w:rPr>
      </w:pPr>
      <w:r>
        <w:rPr>
          <w:rFonts w:cs="Arial"/>
          <w:b/>
          <w:bCs/>
        </w:rPr>
        <w:t>Describe any data quality issues, unrelated to COVID-19</w:t>
      </w:r>
      <w:r w:rsidR="000B4BBE">
        <w:rPr>
          <w:rFonts w:cs="Arial"/>
        </w:rPr>
        <w:t>,</w:t>
      </w:r>
      <w:r>
        <w:rPr>
          <w:rFonts w:cs="Arial"/>
          <w:b/>
          <w:bCs/>
        </w:rPr>
        <w:t xml:space="preserve"> specific to the SiMR data and include actions taken to address data quality concerns.</w:t>
      </w:r>
    </w:p>
    <w:p w14:paraId="1A9E428E" w14:textId="14D1AA65" w:rsidR="00C77A39" w:rsidRDefault="005838E8" w:rsidP="00741E58">
      <w:pPr>
        <w:rPr>
          <w:color w:val="000000" w:themeColor="text1"/>
        </w:rPr>
      </w:pPr>
      <w:r w:rsidRPr="00ED172B">
        <w:rPr>
          <w:color w:val="000000" w:themeColor="text1"/>
        </w:rPr>
        <w:t>MA-C has learned that 36 of its 59 EIS programs rely on the same third-party electronic medical record application to upload information into the state database. MA-C has identified errors and omissions in the third-party program. To address these data quality concerns, MA-C has facilitated a number of meetings between the developers of its state databased and the developers for the third-party electronic medical record application to distinguish errors at the application level from errors at the user-level. When errors were discovered in the third-party's application, MA-C worked closely with the developers to identify necessary changes and test new file formats to ensure data quality and completeness. For errors attributed to the user (i.e., the EIS provider entering data into the third-party's application incorrectly), MA-C worked with the third-party to provide joint technical assistance to users to correct the errors and ensure accurate data entry moving forward.</w:t>
      </w:r>
    </w:p>
    <w:p w14:paraId="2806BED7" w14:textId="77777777" w:rsidR="005838E8" w:rsidRDefault="005838E8" w:rsidP="00741E58">
      <w:pPr>
        <w:rPr>
          <w:b/>
          <w:bCs/>
        </w:rPr>
      </w:pPr>
    </w:p>
    <w:p w14:paraId="2F92DA5E" w14:textId="040E23FA" w:rsidR="00FC7972" w:rsidRDefault="00FC7972" w:rsidP="00741E58">
      <w:pPr>
        <w:rPr>
          <w:b/>
          <w:bCs/>
        </w:rPr>
      </w:pPr>
      <w:r w:rsidRPr="00FC7972">
        <w:rPr>
          <w:b/>
          <w:bCs/>
        </w:rPr>
        <w:t>Did the State identify any data quality concerns directly related to the COVID-19 pandemic during the reporting period? (yes/no)</w:t>
      </w:r>
    </w:p>
    <w:p w14:paraId="315EE8A6" w14:textId="43B354C8" w:rsidR="005838E8" w:rsidRDefault="005838E8" w:rsidP="00741E58">
      <w:pPr>
        <w:rPr>
          <w:b/>
          <w:bCs/>
        </w:rPr>
      </w:pPr>
      <w:r w:rsidRPr="00ED172B">
        <w:rPr>
          <w:color w:val="000000" w:themeColor="text1"/>
        </w:rPr>
        <w:t>YES</w:t>
      </w:r>
    </w:p>
    <w:p w14:paraId="7226EDE7" w14:textId="6022C94E" w:rsidR="0039177A" w:rsidRDefault="0039177A" w:rsidP="00741E58">
      <w:pPr>
        <w:rPr>
          <w:b/>
          <w:bCs/>
        </w:rPr>
      </w:pPr>
      <w:r w:rsidRPr="0039177A">
        <w:rPr>
          <w:b/>
          <w:bCs/>
        </w:rPr>
        <w:t>If data for this reporting period were impacted specifically by COVID-19, the State must include in the narrative for the indicator: (1) the impact on data completeness, validity and reliability for the indicator; (2) an explanation of how COVID-19 specifically impacted the State’s ability to collect the data for the indicator; and (3) any steps the State took to mitigate the impact of COVID-19 on the data collection.</w:t>
      </w:r>
    </w:p>
    <w:p w14:paraId="3191B04B" w14:textId="4B73F4C9" w:rsidR="005838E8" w:rsidRPr="000123EB" w:rsidRDefault="005838E8" w:rsidP="00741E58">
      <w:pPr>
        <w:rPr>
          <w:b/>
          <w:bCs/>
        </w:rPr>
      </w:pPr>
      <w:r w:rsidRPr="00ED172B">
        <w:rPr>
          <w:color w:val="000000" w:themeColor="text1"/>
        </w:rPr>
        <w:t xml:space="preserve">MA-C uses the Battelle Developmental Inventory (2nd ed; BDI-2) to assess children’s positive social-emotional skills. The completeness of the data were adversely affected as a direct result of the COVID-19 pandemic because the majority of early intervention services were provided via telehealth, which is not a validated mode to administer the BDI-2.  MA-C took steps to mitigate the impact of COVID-19 on data collection by offering technical assistance to EIS providers to support in-person assessment while limiting possible exposure risks (e.g., one evaluator in person while others participate via telehealth). Additionally, MA-C provided personal protective equipment to EIS providers free of charge to enable in-person services to safely resume </w:t>
      </w:r>
      <w:r w:rsidRPr="00ED172B">
        <w:rPr>
          <w:color w:val="000000" w:themeColor="text1"/>
        </w:rPr>
        <w:lastRenderedPageBreak/>
        <w:t>beginning in May 2020. Taken together, the inability to administer the BDI-2 remotely impacted the completeness of child outcomes, which in turn has impacted the SiMR.</w:t>
      </w:r>
    </w:p>
    <w:p w14:paraId="763A4FBB" w14:textId="4A04ABFB" w:rsidR="005838E8" w:rsidRDefault="005838E8" w:rsidP="00741E58">
      <w:pPr>
        <w:rPr>
          <w:b/>
          <w:bCs/>
        </w:rPr>
      </w:pPr>
    </w:p>
    <w:p w14:paraId="27A9EDA7" w14:textId="77777777" w:rsidR="00562F31" w:rsidRPr="000315F0" w:rsidRDefault="00562F31" w:rsidP="00562F31">
      <w:pPr>
        <w:pStyle w:val="Subhed"/>
      </w:pPr>
      <w:r w:rsidRPr="000315F0">
        <w:t>Section B:</w:t>
      </w:r>
      <w:r>
        <w:t xml:space="preserve"> </w:t>
      </w:r>
      <w:r w:rsidRPr="000315F0">
        <w:t>Implementation, Analysis and Evaluation</w:t>
      </w:r>
    </w:p>
    <w:p w14:paraId="3D0EE56D" w14:textId="5C03021B" w:rsidR="00562F31" w:rsidRDefault="000B4BBE" w:rsidP="00562F31">
      <w:pPr>
        <w:rPr>
          <w:rFonts w:cs="Arial"/>
          <w:b/>
          <w:bCs/>
        </w:rPr>
      </w:pPr>
      <w:r w:rsidRPr="000B4BBE">
        <w:rPr>
          <w:rFonts w:cs="Arial"/>
          <w:b/>
          <w:bCs/>
        </w:rPr>
        <w:t xml:space="preserve">Is the State’s evaluation plan new or revised since the previous submission? </w:t>
      </w:r>
      <w:r w:rsidR="00CD071F" w:rsidRPr="00CD071F">
        <w:rPr>
          <w:b/>
          <w:bCs/>
        </w:rPr>
        <w:t>(yes/no)</w:t>
      </w:r>
    </w:p>
    <w:p w14:paraId="3BD5BB29" w14:textId="2F721563" w:rsidR="001B6A5C" w:rsidRPr="000123EB" w:rsidRDefault="001B6A5C" w:rsidP="00562F31">
      <w:pPr>
        <w:rPr>
          <w:color w:val="000000" w:themeColor="text1"/>
        </w:rPr>
      </w:pPr>
      <w:r w:rsidRPr="00ED172B">
        <w:rPr>
          <w:color w:val="000000" w:themeColor="text1"/>
        </w:rPr>
        <w:t>YES</w:t>
      </w:r>
    </w:p>
    <w:p w14:paraId="46AB45A4" w14:textId="7A74A710" w:rsidR="00F024C7" w:rsidRPr="000123EB" w:rsidRDefault="00F024C7" w:rsidP="00562F31">
      <w:pPr>
        <w:rPr>
          <w:b/>
          <w:bCs/>
          <w:color w:val="000000" w:themeColor="text1"/>
        </w:rPr>
      </w:pPr>
      <w:r w:rsidRPr="000123EB">
        <w:rPr>
          <w:b/>
          <w:bCs/>
          <w:color w:val="000000" w:themeColor="text1"/>
        </w:rPr>
        <w:t xml:space="preserve">If yes, please provide the following information: a description of the changes and updates to the evaluation plan; a rationale or justification for the changes; </w:t>
      </w:r>
      <w:r w:rsidR="000B4BBE" w:rsidRPr="000B4BBE">
        <w:rPr>
          <w:b/>
          <w:bCs/>
          <w:color w:val="000000" w:themeColor="text1"/>
        </w:rPr>
        <w:t>and</w:t>
      </w:r>
      <w:r w:rsidR="000B4BBE" w:rsidRPr="000D4947">
        <w:rPr>
          <w:b/>
          <w:bCs/>
          <w:color w:val="000000" w:themeColor="text1"/>
        </w:rPr>
        <w:t>, a link to the State’s current evaluation plan</w:t>
      </w:r>
      <w:bookmarkStart w:id="61" w:name="_Hlk83820859"/>
      <w:r w:rsidRPr="000D4947">
        <w:rPr>
          <w:b/>
          <w:bCs/>
          <w:color w:val="000000" w:themeColor="text1"/>
        </w:rPr>
        <w:t>.</w:t>
      </w:r>
      <w:bookmarkEnd w:id="61"/>
    </w:p>
    <w:p w14:paraId="7A62891D" w14:textId="77A07520" w:rsidR="00F024C7" w:rsidRPr="00A87DE5" w:rsidRDefault="00202113" w:rsidP="00562F31">
      <w:pPr>
        <w:rPr>
          <w:color w:val="000000" w:themeColor="text1"/>
        </w:rPr>
      </w:pPr>
      <w:r w:rsidRPr="00202113">
        <w:rPr>
          <w:color w:val="000000" w:themeColor="text1"/>
        </w:rPr>
        <w:t xml:space="preserve">Four new outputs have been included. The rationale for making the changes is to reflect and evaluate new infrastructure improvement strategies. New outputs include: 1. ICC Coordinator will recruit and engage diverse stakeholders, 2. Lead Agency Staff use dashboard for data-based decision making, 3. Personnel certification process that supports highly qualified and diverse EIS providers, 4. Audit process is documented and implemented with fidelity. </w:t>
      </w:r>
      <w:r w:rsidRPr="00202113">
        <w:rPr>
          <w:color w:val="000000" w:themeColor="text1"/>
        </w:rPr>
        <w:br/>
      </w:r>
      <w:r w:rsidRPr="00202113">
        <w:rPr>
          <w:color w:val="000000" w:themeColor="text1"/>
        </w:rPr>
        <w:br/>
        <w:t>The evaluation plan is uploaded as an attachment and can be accessed at https://www.mass.gov/lists/public-reporting-for-early-intervention#state-systemic-improvement-plan-</w:t>
      </w:r>
    </w:p>
    <w:p w14:paraId="2D4D51DA" w14:textId="77777777" w:rsidR="00EE4E0F" w:rsidRDefault="00EE4E0F" w:rsidP="003B71AB">
      <w:pPr>
        <w:rPr>
          <w:rFonts w:cs="Arial"/>
          <w:b/>
          <w:bCs/>
        </w:rPr>
      </w:pPr>
    </w:p>
    <w:p w14:paraId="051DAFDE" w14:textId="4F021F29" w:rsidR="003B71AB" w:rsidRPr="00E30972" w:rsidRDefault="00A85B6E" w:rsidP="003B71AB">
      <w:pPr>
        <w:rPr>
          <w:rFonts w:cs="Arial"/>
          <w:b/>
        </w:rPr>
      </w:pPr>
      <w:r w:rsidRPr="008E5E4F">
        <w:rPr>
          <w:rFonts w:cs="Arial"/>
          <w:b/>
          <w:szCs w:val="16"/>
        </w:rPr>
        <w:t>Provide a summary of each infrastructure improvement strategy implemented in the reporting period.</w:t>
      </w:r>
    </w:p>
    <w:p w14:paraId="25F98C7D" w14:textId="49E84F34" w:rsidR="00EE4E0F" w:rsidRPr="009A49C9" w:rsidRDefault="00EE4E0F" w:rsidP="00EE4E0F">
      <w:pPr>
        <w:rPr>
          <w:b/>
          <w:bCs/>
        </w:rPr>
      </w:pPr>
      <w:r w:rsidRPr="00ED172B">
        <w:rPr>
          <w:color w:val="000000" w:themeColor="text1"/>
        </w:rPr>
        <w:t>MA-C acknowledges that it did not implement its current infrastructure activities identified in its SSIP. The COVID-19 pandemic and the public health measures it necessitated impacted MA-C's ability to do so.</w:t>
      </w:r>
    </w:p>
    <w:p w14:paraId="49B94502" w14:textId="7B5BB3EC" w:rsidR="006237B0" w:rsidRDefault="006237B0" w:rsidP="003B71AB">
      <w:pPr>
        <w:rPr>
          <w:rFonts w:cs="Arial"/>
          <w:b/>
          <w:bCs/>
        </w:rPr>
      </w:pPr>
    </w:p>
    <w:p w14:paraId="60BDB0B8" w14:textId="7FA0C053" w:rsidR="006237B0" w:rsidRDefault="00A85B6E" w:rsidP="006237B0">
      <w:pPr>
        <w:rPr>
          <w:rFonts w:cs="Arial"/>
          <w:b/>
          <w:bCs/>
        </w:rPr>
      </w:pPr>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85B6E">
        <w:rPr>
          <w:rFonts w:cs="Arial"/>
          <w:b/>
          <w:bCs/>
        </w:rPr>
        <w:t>SiMR</w:t>
      </w:r>
      <w:proofErr w:type="spellEnd"/>
      <w:r w:rsidRPr="00A85B6E">
        <w:rPr>
          <w:rFonts w:cs="Arial"/>
          <w:b/>
          <w:bCs/>
        </w:rPr>
        <w:t xml:space="preserve">; (b) sustainability of systems improvement efforts; and/or (c) scale-up. </w:t>
      </w:r>
    </w:p>
    <w:p w14:paraId="6C845F06" w14:textId="7D9487AF" w:rsidR="000379F6" w:rsidRDefault="000379F6" w:rsidP="006237B0">
      <w:pPr>
        <w:rPr>
          <w:rFonts w:cs="Arial"/>
          <w:b/>
          <w:bCs/>
        </w:rPr>
      </w:pPr>
    </w:p>
    <w:p w14:paraId="372876BC" w14:textId="75D5A78F" w:rsidR="009C2256" w:rsidRDefault="009C2256" w:rsidP="009C2256">
      <w:pPr>
        <w:rPr>
          <w:rFonts w:cs="Arial"/>
          <w:b/>
          <w:bCs/>
        </w:rPr>
      </w:pPr>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p w14:paraId="15FABCCC" w14:textId="764152CE" w:rsidR="000039B6" w:rsidRPr="000039B6" w:rsidRDefault="000039B6" w:rsidP="009C2256">
      <w:pPr>
        <w:rPr>
          <w:b/>
          <w:bCs/>
        </w:rPr>
      </w:pPr>
      <w:r w:rsidRPr="00ED172B">
        <w:rPr>
          <w:color w:val="000000" w:themeColor="text1"/>
        </w:rPr>
        <w:t>YES</w:t>
      </w:r>
    </w:p>
    <w:p w14:paraId="77559E11" w14:textId="46263890" w:rsidR="003447DC" w:rsidRDefault="00606607" w:rsidP="003447DC">
      <w:pPr>
        <w:rPr>
          <w:rFonts w:cs="Arial"/>
          <w:b/>
          <w:bCs/>
          <w:i/>
          <w:iCs/>
        </w:rPr>
      </w:pPr>
      <w:r>
        <w:rPr>
          <w:rFonts w:cs="Arial"/>
          <w:b/>
          <w:bCs/>
        </w:rPr>
        <w:t xml:space="preserve">Describe each </w:t>
      </w:r>
      <w:r w:rsidR="003447DC" w:rsidRPr="003447DC">
        <w:rPr>
          <w:rFonts w:cs="Arial"/>
          <w:b/>
          <w:bCs/>
          <w:u w:val="single"/>
        </w:rPr>
        <w:t>new</w:t>
      </w:r>
      <w:r w:rsidR="003447DC" w:rsidRPr="003447DC">
        <w:rPr>
          <w:rFonts w:cs="Arial"/>
          <w:b/>
          <w:bCs/>
        </w:rPr>
        <w:t xml:space="preserve"> (newly identified) infrastructure improvement strategy and the short-term or intermediate outcomes achieved</w:t>
      </w:r>
      <w:r w:rsidR="003447DC" w:rsidRPr="003447DC">
        <w:rPr>
          <w:rFonts w:cs="Arial"/>
          <w:b/>
          <w:bCs/>
          <w:i/>
          <w:iCs/>
        </w:rPr>
        <w:t xml:space="preserve">. </w:t>
      </w:r>
    </w:p>
    <w:p w14:paraId="5CE1B56C" w14:textId="3CE2BA28" w:rsidR="006A728F" w:rsidRPr="000123EB" w:rsidRDefault="00802016" w:rsidP="003447DC">
      <w:pPr>
        <w:rPr>
          <w:b/>
          <w:bCs/>
        </w:rPr>
      </w:pPr>
      <w:r w:rsidRPr="00ED172B">
        <w:rPr>
          <w:color w:val="000000" w:themeColor="text1"/>
        </w:rPr>
        <w:t>MA-C has continuously sought to be a national leader in service to the infants and toddlers enrolled in Part C system. On a per capita basis, Massachusetts is one of the largest in the county. Through continuous leadership on the national and local level, MA-C has been able to partner across government and the healthcare sector, especially payors, to create accessible and affordable services for its at-risk and developmentally delayed infants and toddlers. Building on a successful strategy of growth and increasing access over the past 35 years, MA-C is ready to move in a new strategic direction that builds on the past and shifts towards a renewed focus on high-quality services and equitable access. To that end, MA-C undertook several new infrastructure activities during FFY20 to incorporate lessons from the COVID-19 pandemic response that strained families, EIS providers, and MA-C staff. New areas identified that will improve our SSIP and better achieve the SiMR include:</w:t>
      </w:r>
      <w:r w:rsidRPr="00ED172B">
        <w:rPr>
          <w:color w:val="000000" w:themeColor="text1"/>
        </w:rPr>
        <w:br/>
      </w:r>
      <w:r w:rsidRPr="00ED172B">
        <w:rPr>
          <w:color w:val="000000" w:themeColor="text1"/>
        </w:rPr>
        <w:br/>
        <w:t>Governance. In FFY20, MA-C began its first-ever strategic planning process. It established the strategic vision of being a high-quality Part C program. The plan includes priority areas to (a) establish a high-functioning lead agency, (b) implement data-based decision-making, (c) eliminate inequities, (d) establish policy and procedure, (e) standardize practice, evaluation, and oversight of EIS providers. This activity is necessary to achieve the SiMR because MA-C’s prior improvement strategies were not sufficiently integrated; that is, the strategies worked in parallel with one another and did not establish a system of support. This activity supports sustainability of systems improvement efforts because MA-C is approaching the strategic plan through the science of quality improvement. Each strategic priority has been broken down to include specific action areas, each of which has a quarterly plan to identify required actions, contingencies, required resources, timelines, responsible parties, deadlines, and key performance indicators.</w:t>
      </w:r>
      <w:r w:rsidRPr="00ED172B">
        <w:rPr>
          <w:color w:val="000000" w:themeColor="text1"/>
        </w:rPr>
        <w:br/>
      </w:r>
      <w:r w:rsidRPr="00ED172B">
        <w:rPr>
          <w:color w:val="000000" w:themeColor="text1"/>
        </w:rPr>
        <w:br/>
        <w:t>Data. In FFY20, MA-C continued its development of its state database. As part of its strategic planning process, it articulate the purpose of the state database to be a tool to improve the accuracy, reliability, and validity in data collected and to enable data-based decision-making within the Lead Agency and at EIS programs. This activity is necessary to achieve the SiMR because MA-C relies on data from its state database to evaluate progress toward the SiMR. This activity supports a system of improvement because enables MA-C to implement monitoring procedures and use data to inform decisions about EIS provider performance, efficacy of technical assistance provided, and stakeholder interests in using the database.</w:t>
      </w:r>
      <w:r w:rsidRPr="00ED172B">
        <w:rPr>
          <w:color w:val="000000" w:themeColor="text1"/>
        </w:rPr>
        <w:br/>
      </w:r>
      <w:r w:rsidRPr="00ED172B">
        <w:rPr>
          <w:color w:val="000000" w:themeColor="text1"/>
        </w:rPr>
        <w:br/>
        <w:t>Personnel. In FFY20, MA-C piloted a new certificate process to identify highly qualified personnel to deliver early intervention services. MA-C partnered with a local university to identify a process to evaluate its existing personnel standards. This activity was necessary to achieve the SiMR because it enables MA-C to ensure that the personnel providing early intervention services are highly qualified and appropriately credentialed to improve children’s positive social-emotional outcomes. The results of this pilot will be available in FFY21 and will inform MA-C’s data-based decision as to if and how to scale-up the certificate from 36 pilot participants from five EIS programs to include all of those across the Commonwealth.</w:t>
      </w:r>
      <w:r w:rsidRPr="00ED172B">
        <w:rPr>
          <w:color w:val="000000" w:themeColor="text1"/>
        </w:rPr>
        <w:br/>
      </w:r>
      <w:r w:rsidRPr="00ED172B">
        <w:rPr>
          <w:color w:val="000000" w:themeColor="text1"/>
        </w:rPr>
        <w:br/>
        <w:t>Finance. In FFY20, MA-C procured a new contract to provide Applied Behavior Analysis (ABA) services to children diagnosed with autism. MA-C coordinated with Medicaid and commercial insurance partners to ensure appropriate funding is available for children enrolled in these services and to remove barriers to timely access to services. For example, MA-C partnered with a local university to fund the Autism Insurance Resource Center designed to inform families of their rights to these services and the financial obligations of their healthcare payor related to these services under Massachusetts state law. These activities were necessary to achieve the SiMR because they enable children diagnosed with autism to access medically necessary specialty services designed to remediate the symptoms of autism and improve their social-emotional skills. Applied Behavior Analysis has been widely acknowledged as the most effective treatment for autism and its use is supported by decades of peer-reviewed research. This activity supports a system of improvement because it enables MA-C to make better use of its resources and funds as the payor of last resort. That is, prior to the procurement, ABA providers were subcontractors of the EIS programs, which resulted in inconsistent access, quality, and funding streams. With the contracts established, MA-C will be able to use its resources more effectively and ensure equitable access to highly qualified and appropriately credentialed ABA providers.</w:t>
      </w:r>
    </w:p>
    <w:p w14:paraId="0B9E8F82" w14:textId="77777777" w:rsidR="00EB4B7B" w:rsidRPr="00EB4B7B" w:rsidRDefault="00EB4B7B" w:rsidP="00EB4B7B">
      <w:pPr>
        <w:rPr>
          <w:rFonts w:cs="Arial"/>
          <w:b/>
          <w:bCs/>
        </w:rPr>
      </w:pPr>
      <w:r w:rsidRPr="00EB4B7B">
        <w:rPr>
          <w:rFonts w:cs="Arial"/>
          <w:b/>
          <w:bCs/>
        </w:rPr>
        <w:t xml:space="preserve">Provide a summary of the next steps for each infrastructure improvement strategy and the anticipated outcomes to be attained during the next reporting period. </w:t>
      </w:r>
    </w:p>
    <w:p w14:paraId="2B44D59F" w14:textId="71C78214" w:rsidR="00370225" w:rsidRPr="005137B6" w:rsidRDefault="00370225" w:rsidP="00370225">
      <w:pPr>
        <w:rPr>
          <w:b/>
          <w:bCs/>
        </w:rPr>
      </w:pPr>
      <w:r w:rsidRPr="00ED172B">
        <w:rPr>
          <w:color w:val="000000" w:themeColor="text1"/>
        </w:rPr>
        <w:lastRenderedPageBreak/>
        <w:t xml:space="preserve">MA-C will continue its activities related to each infrastructure improvement strategy in the next reporting year. A summary of anticipated outcomes and outputs within each area is provided below. </w:t>
      </w:r>
      <w:r w:rsidRPr="00ED172B">
        <w:rPr>
          <w:color w:val="000000" w:themeColor="text1"/>
        </w:rPr>
        <w:br/>
      </w:r>
      <w:r w:rsidRPr="00ED172B">
        <w:rPr>
          <w:color w:val="000000" w:themeColor="text1"/>
        </w:rPr>
        <w:br/>
        <w:t>Governance. In FFY21, MA-C will share its strategic plan with its State Interagency Coordinating Council (ICC) to recruit feedback and ideas for how to implement its action plans, timing of plan elements, and components that were overlooked or omitted. Additionally, MA-C will create a new position to support the ICC and actively recruit and engage diverse stakeholders. Anticipated outcomes include completion of quarter 1 and 2 activities, which focus largely on the strategic priority of establishing a high-functioning lead agency (e.g., developing an effective organizational structure, documenting internal policies and procedures to ensure transparent, replicable activities). An ICC Coordinator will be on-staff and will develop an ICC implementation guide to support the work, document the ICC’s activities, and ensure ongoing compliance with subpart G of IDEA Part C.</w:t>
      </w:r>
      <w:r w:rsidRPr="00ED172B">
        <w:rPr>
          <w:color w:val="000000" w:themeColor="text1"/>
        </w:rPr>
        <w:br/>
      </w:r>
      <w:r w:rsidRPr="00ED172B">
        <w:rPr>
          <w:color w:val="000000" w:themeColor="text1"/>
        </w:rPr>
        <w:br/>
        <w:t xml:space="preserve">Data. In FFY21, MA-C will undertake development to allow EIS programs to review their performance on the federal indicators on a monthly basis. At present, these data are only available 3-5 months after the reporting year ends. Additionally, MA-C will recruit and hire a research analyst skilled in epidemiology to serve as its Part C Data Manager and assist MA-C in implementing data-based decision making. Anticipated outputs include having a data-reporting dashboard developed for Lead Agency staff by the end of the reporting year, a similar dashboard for EIS programs at least in a pilot form, and a research analyst on staff by the end of FFY21. Anticipated outcomes include increased monitoring of programs for compliance and results indicators that allows for faster identification and correction of noncompliance. </w:t>
      </w:r>
      <w:r w:rsidRPr="00ED172B">
        <w:rPr>
          <w:color w:val="000000" w:themeColor="text1"/>
        </w:rPr>
        <w:br/>
      </w:r>
      <w:r w:rsidRPr="00ED172B">
        <w:rPr>
          <w:color w:val="000000" w:themeColor="text1"/>
        </w:rPr>
        <w:br/>
        <w:t>Personnel. In FFY20, MA-C piloted a new certificate process to identify highly qualified personnel to deliver early intervention services. MA-C partnered with a local university to identify a process to evaluate its existing personnel standards. This activity was necessary to achieve the SiMR because it enables MA-C to ensure that the personnel providing early intervention services are highly qualified and appropriately credentialed to improve children’s positive social-emotional outcomes.</w:t>
      </w:r>
      <w:r w:rsidRPr="00ED172B">
        <w:rPr>
          <w:color w:val="000000" w:themeColor="text1"/>
        </w:rPr>
        <w:br/>
        <w:t xml:space="preserve">The results of this pilot will be available in FFY21 and will inform MA-C’s data-based decision as to if and how to scale-up the certificate from pilot participants to include all of those across the Commonwealth. In FFY21, MA-C will evaluate the pilot results and make a data-based decision about its efficacy. Anticipated outputs include presenting the results to the ICC and soliciting feedback about how to proceed (i.e., how to scale up if effective or how to revise if ineffective). Anticipated outcomes include a personnel certification process that supports highly qualified personnel to be employed in the delivery of early intervention services across the Commonwealth. </w:t>
      </w:r>
      <w:r w:rsidRPr="00ED172B">
        <w:rPr>
          <w:color w:val="000000" w:themeColor="text1"/>
        </w:rPr>
        <w:br/>
      </w:r>
      <w:r w:rsidRPr="00ED172B">
        <w:rPr>
          <w:color w:val="000000" w:themeColor="text1"/>
        </w:rPr>
        <w:br/>
        <w:t xml:space="preserve">Finance. In FFY21, MA-C will refine its audit procedures to ensure accuracy of claims submitted to MA-C as the payor of last resort. Anticipated outputs include documented audit procedures completed by the end of FFY21. Anticipated outcomes include claims that are audited for accuracy related to the implementation of the payor of last resort requirements. </w:t>
      </w:r>
    </w:p>
    <w:p w14:paraId="2CFA4DC1" w14:textId="503EEA2B" w:rsidR="009C2256" w:rsidRDefault="009C2256" w:rsidP="006237B0">
      <w:pPr>
        <w:rPr>
          <w:rFonts w:cs="Arial"/>
          <w:b/>
          <w:bCs/>
        </w:rPr>
      </w:pPr>
    </w:p>
    <w:p w14:paraId="283AD2CC" w14:textId="1DD9E2BE" w:rsidR="0072398B" w:rsidRDefault="0072398B" w:rsidP="0072398B">
      <w:pPr>
        <w:rPr>
          <w:rFonts w:cs="Arial"/>
          <w:b/>
          <w:bCs/>
        </w:rPr>
      </w:pPr>
      <w:r w:rsidRPr="0072398B">
        <w:rPr>
          <w:rFonts w:cs="Arial"/>
          <w:b/>
          <w:bCs/>
        </w:rPr>
        <w:t>List the selected evidence-based practices implemented in the reporting period:</w:t>
      </w:r>
    </w:p>
    <w:p w14:paraId="741AB6F5" w14:textId="3EC0E8B5" w:rsidR="00582D95" w:rsidRDefault="00582D95" w:rsidP="00582D95">
      <w:pPr>
        <w:rPr>
          <w:color w:val="000000" w:themeColor="text1"/>
        </w:rPr>
      </w:pPr>
      <w:r w:rsidRPr="00ED172B">
        <w:rPr>
          <w:color w:val="000000" w:themeColor="text1"/>
        </w:rPr>
        <w:t xml:space="preserve">EIS programs contracted with MA-C provide services using the Parents Interacting With Infants (PIWI) model. </w:t>
      </w:r>
    </w:p>
    <w:p w14:paraId="00FAC5EA" w14:textId="77777777" w:rsidR="00047DA0" w:rsidRPr="005137B6" w:rsidRDefault="00047DA0" w:rsidP="00582D95">
      <w:pPr>
        <w:rPr>
          <w:b/>
          <w:bCs/>
        </w:rPr>
      </w:pPr>
    </w:p>
    <w:p w14:paraId="79E6D61A" w14:textId="54FF2AF5" w:rsidR="002679EA" w:rsidRDefault="00AB24A4" w:rsidP="00AB24A4">
      <w:pPr>
        <w:rPr>
          <w:rFonts w:cs="Arial"/>
          <w:b/>
          <w:bCs/>
        </w:rPr>
      </w:pPr>
      <w:r w:rsidRPr="00AB24A4">
        <w:rPr>
          <w:rFonts w:cs="Arial"/>
          <w:b/>
          <w:bCs/>
        </w:rPr>
        <w:t>Provide a summary of each evidence-based practice.</w:t>
      </w:r>
    </w:p>
    <w:p w14:paraId="0AE8C012" w14:textId="0CF0516A" w:rsidR="002679EA" w:rsidRPr="005137B6" w:rsidRDefault="002679EA" w:rsidP="002679EA">
      <w:pPr>
        <w:rPr>
          <w:b/>
          <w:bCs/>
        </w:rPr>
      </w:pPr>
      <w:r w:rsidRPr="00ED172B">
        <w:rPr>
          <w:color w:val="000000" w:themeColor="text1"/>
        </w:rPr>
        <w:t>Parents Interacting With Infants (PIWI; Yates and McCollum, 2017) is an evidenced-based set of practices based on beliefs (i.e., a “philosophy”) about families, children, and helping relationships. The objectives of PIWI are to increase confidence, competence, and positive relationships for parents and children ages 0-2. It does so by focusing on the parent-child relationship and using coaching to promote responsive, respectful parent-child interactions. Research indicates that early interactions with parents influence a child's future outcomes (e.g., Center for the Developing Child, 2016). The PIWI model encourages the use of evidence-based strategies including family-centered practices, family-capacity building, and family-professional collaboration (DEC, 2014).</w:t>
      </w:r>
    </w:p>
    <w:p w14:paraId="4B178C88" w14:textId="595701A4" w:rsidR="00AB24A4" w:rsidRPr="00AB24A4" w:rsidRDefault="00AB24A4" w:rsidP="00AB24A4">
      <w:pPr>
        <w:rPr>
          <w:rFonts w:cs="Arial"/>
          <w:b/>
          <w:bCs/>
        </w:rPr>
      </w:pPr>
      <w:r w:rsidRPr="00AB24A4">
        <w:rPr>
          <w:rFonts w:cs="Arial"/>
          <w:b/>
          <w:bCs/>
        </w:rPr>
        <w:t xml:space="preserve"> </w:t>
      </w:r>
    </w:p>
    <w:p w14:paraId="61132AC2" w14:textId="7757BBF4" w:rsidR="00F05ED0" w:rsidRDefault="00B8661E" w:rsidP="00B8661E">
      <w:pPr>
        <w:rPr>
          <w:rFonts w:cs="Arial"/>
          <w:b/>
          <w:bCs/>
        </w:rPr>
      </w:pPr>
      <w:r w:rsidRPr="00B8661E">
        <w:rPr>
          <w:rFonts w:cs="Arial"/>
          <w:b/>
          <w:bCs/>
        </w:rPr>
        <w:t xml:space="preserve">Provide a summary of how each evidence-based practices and activities or strategies that support its use, is intended to impact the </w:t>
      </w:r>
      <w:proofErr w:type="spellStart"/>
      <w:r w:rsidR="006A6410" w:rsidRPr="006A6410">
        <w:rPr>
          <w:rFonts w:cs="Arial"/>
          <w:b/>
          <w:bCs/>
        </w:rPr>
        <w:t>SiMR</w:t>
      </w:r>
      <w:proofErr w:type="spellEnd"/>
      <w:r w:rsidR="006A6410" w:rsidRPr="006A6410">
        <w:rPr>
          <w:rFonts w:cs="Arial"/>
          <w:b/>
          <w:bCs/>
        </w:rPr>
        <w:t xml:space="preserve"> by changing program/district policies, procedures, and/or practices, teacher/provider practices (e.g. behaviors), parent/caregiver outcomes, and/or child/outcomes. </w:t>
      </w:r>
    </w:p>
    <w:p w14:paraId="2FC32005" w14:textId="20E8C2E6" w:rsidR="00F05ED0" w:rsidRPr="005137B6" w:rsidRDefault="00F05ED0" w:rsidP="00F05ED0">
      <w:pPr>
        <w:rPr>
          <w:b/>
          <w:bCs/>
        </w:rPr>
      </w:pPr>
      <w:r w:rsidRPr="00ED172B">
        <w:rPr>
          <w:color w:val="000000" w:themeColor="text1"/>
        </w:rPr>
        <w:t xml:space="preserve">The Lead Agency (MA-C) has previously endorse PIWI as a strategy that, if implemented with integrity, will impact the SiMR. Specifically, PIWI is a philosophy that can inform EIS programs' internal policies and procedures, including training of their practitioners following its implementation guidelines. The PIWI philosophy offers a decision-making model to assist EIS programs in all aspects of service planning and delivery. The PIWI model empowers families by increasing their knowledge of their children's development and strengthens the parent-child dyad by helping parents interpret and respond to their children's behavior in positive, supportive ways. When EIS providers implement evidence-based strategies such as family-centered practices, family-capacity building, and family-professional collaboration, children are more likely to substantially increase their positive social-emotional outcomes. </w:t>
      </w:r>
    </w:p>
    <w:p w14:paraId="7723C486" w14:textId="5F1FC69C" w:rsidR="00B8661E" w:rsidRPr="00B8661E" w:rsidRDefault="00B8661E" w:rsidP="00B8661E">
      <w:pPr>
        <w:rPr>
          <w:rFonts w:cs="Arial"/>
          <w:b/>
          <w:bCs/>
        </w:rPr>
      </w:pPr>
      <w:r w:rsidRPr="00B8661E">
        <w:rPr>
          <w:rFonts w:cs="Arial"/>
          <w:b/>
          <w:bCs/>
        </w:rPr>
        <w:t xml:space="preserve"> </w:t>
      </w:r>
    </w:p>
    <w:p w14:paraId="5B7E5005" w14:textId="3FBD6621" w:rsidR="00F008FE" w:rsidRDefault="00F008FE" w:rsidP="00F008FE">
      <w:pPr>
        <w:rPr>
          <w:rFonts w:cs="Arial"/>
          <w:b/>
          <w:bCs/>
        </w:rPr>
      </w:pPr>
      <w:r w:rsidRPr="00F008FE">
        <w:rPr>
          <w:rFonts w:cs="Arial"/>
          <w:b/>
          <w:bCs/>
        </w:rPr>
        <w:t xml:space="preserve">Describe the data collected to monitor fidelity of implementation and to assess practice change. </w:t>
      </w:r>
    </w:p>
    <w:p w14:paraId="6371547D" w14:textId="42F6C7DD" w:rsidR="0051509A" w:rsidRPr="005137B6" w:rsidRDefault="0051509A" w:rsidP="0051509A">
      <w:pPr>
        <w:rPr>
          <w:b/>
          <w:bCs/>
        </w:rPr>
      </w:pPr>
      <w:r w:rsidRPr="00ED172B">
        <w:rPr>
          <w:color w:val="000000" w:themeColor="text1"/>
        </w:rPr>
        <w:t xml:space="preserve">MA-C did not monitor fidelity of implementation and assess practice change for PIWI in FFY20. The COVID-19 pandemic adversely effected MA-C's ability to collect reliable data on the fidelity of implementation; public health measures necessitated by the COVID-19 pandemic prohibited site visits and increased burdens on early intervention services providers, already struggling to effectively implement telehealth while operating under conditions with fewer staff available and fewer families seeking services. </w:t>
      </w:r>
    </w:p>
    <w:p w14:paraId="6003DDF2" w14:textId="77777777" w:rsidR="0051509A" w:rsidRPr="00F008FE" w:rsidRDefault="0051509A" w:rsidP="00F008FE">
      <w:pPr>
        <w:rPr>
          <w:rFonts w:cs="Arial"/>
          <w:b/>
          <w:bCs/>
        </w:rPr>
      </w:pPr>
    </w:p>
    <w:p w14:paraId="44008222" w14:textId="1DDFE8EC" w:rsidR="00F255D2" w:rsidRPr="006A6410" w:rsidRDefault="006A6410" w:rsidP="00F255D2">
      <w:pPr>
        <w:rPr>
          <w:rFonts w:cs="Arial"/>
          <w:b/>
          <w:bCs/>
        </w:rPr>
      </w:pPr>
      <w:r w:rsidRPr="00E30972">
        <w:rPr>
          <w:rFonts w:cs="Arial"/>
          <w:b/>
          <w:bCs/>
        </w:rPr>
        <w:t>Describe any additional data (e.g. progress monitoring) that was collected that supports the decision to continue the ongoing use of each evidence-based practice.</w:t>
      </w:r>
      <w:r w:rsidR="00F255D2" w:rsidRPr="006A6410">
        <w:rPr>
          <w:rFonts w:cs="Arial"/>
          <w:b/>
          <w:bCs/>
        </w:rPr>
        <w:t xml:space="preserve"> </w:t>
      </w:r>
    </w:p>
    <w:p w14:paraId="007AE64F" w14:textId="127A4D0F" w:rsidR="00107600" w:rsidRPr="005137B6" w:rsidRDefault="00107600" w:rsidP="00107600">
      <w:pPr>
        <w:rPr>
          <w:b/>
          <w:bCs/>
        </w:rPr>
      </w:pPr>
    </w:p>
    <w:p w14:paraId="72F94657" w14:textId="77777777" w:rsidR="00107600" w:rsidRDefault="00107600" w:rsidP="00F255D2">
      <w:pPr>
        <w:rPr>
          <w:rFonts w:cs="Arial"/>
          <w:b/>
          <w:bCs/>
        </w:rPr>
      </w:pPr>
    </w:p>
    <w:p w14:paraId="52E9D5CB" w14:textId="51235CAD" w:rsidR="006A6410" w:rsidRDefault="006A6410" w:rsidP="00064BA4">
      <w:pPr>
        <w:rPr>
          <w:rFonts w:cs="Arial"/>
          <w:b/>
          <w:bCs/>
        </w:rPr>
      </w:pPr>
      <w:r w:rsidRPr="006A6410">
        <w:rPr>
          <w:rFonts w:cs="Arial"/>
          <w:b/>
          <w:bCs/>
        </w:rPr>
        <w:t xml:space="preserve">Provide a summary of the next steps for each evidence-based practices and the anticipated outcomes to be attained during the next reporting period. </w:t>
      </w:r>
    </w:p>
    <w:p w14:paraId="5FC33224" w14:textId="66099ED0" w:rsidR="00026ADD" w:rsidRPr="005137B6" w:rsidRDefault="00026ADD" w:rsidP="00026ADD">
      <w:pPr>
        <w:rPr>
          <w:b/>
          <w:bCs/>
        </w:rPr>
      </w:pPr>
      <w:r w:rsidRPr="00ED172B">
        <w:rPr>
          <w:color w:val="000000" w:themeColor="text1"/>
        </w:rPr>
        <w:t xml:space="preserve">During FFY21, MA-C will evaluate the effects of the PIWI training by soliciting feedback about their practices from attendees (i.e., new EIS providers) and by surveying families receiving early intervention services to learn more about the effects of its PIWI Institute. </w:t>
      </w:r>
    </w:p>
    <w:p w14:paraId="20BF17A9" w14:textId="77777777" w:rsidR="00026ADD" w:rsidRDefault="00026ADD" w:rsidP="00064BA4">
      <w:pPr>
        <w:rPr>
          <w:rFonts w:cs="Arial"/>
          <w:b/>
          <w:bCs/>
        </w:rPr>
      </w:pPr>
    </w:p>
    <w:p w14:paraId="6E353315" w14:textId="530DDDF2" w:rsidR="00F24AC2" w:rsidRPr="00064BA4" w:rsidRDefault="006A6410" w:rsidP="00064BA4">
      <w:pPr>
        <w:rPr>
          <w:rFonts w:cs="Arial"/>
          <w:b/>
          <w:bCs/>
        </w:rPr>
      </w:pPr>
      <w:r w:rsidRPr="006A6410">
        <w:rPr>
          <w:rFonts w:cs="Arial"/>
          <w:b/>
          <w:bCs/>
        </w:rPr>
        <w:lastRenderedPageBreak/>
        <w:t xml:space="preserve">Describe any changes to the activities, strategies, or timelines described in the previous submission and include a rationale or justification for the changes. If the State intends to continue implementing the SSIP without modifications, the State must describe how the data from the evaluation support this decision. </w:t>
      </w:r>
    </w:p>
    <w:p w14:paraId="3CD37456" w14:textId="51E3D5BC" w:rsidR="00064BA4" w:rsidRDefault="00B50A83" w:rsidP="00F255D2">
      <w:pPr>
        <w:rPr>
          <w:color w:val="000000" w:themeColor="text1"/>
        </w:rPr>
      </w:pPr>
      <w:r w:rsidRPr="00ED172B">
        <w:rPr>
          <w:color w:val="000000" w:themeColor="text1"/>
        </w:rPr>
        <w:t>Any changes made in the absence of data would be purely speculative. Because MA-C has not collected implementation data on the effects of its SSIP activities, it will begin implementing its SSIP activities in FFY21 and FFY22 as originally planned for FFY19.</w:t>
      </w:r>
    </w:p>
    <w:p w14:paraId="38B47A1D" w14:textId="7EBD8053" w:rsidR="00436802" w:rsidRDefault="00436802" w:rsidP="00F255D2">
      <w:pPr>
        <w:rPr>
          <w:color w:val="000000" w:themeColor="text1"/>
        </w:rPr>
      </w:pPr>
    </w:p>
    <w:p w14:paraId="46F0EF88" w14:textId="77777777" w:rsidR="00436802" w:rsidRPr="00B50A83" w:rsidRDefault="00436802" w:rsidP="00F255D2">
      <w:pPr>
        <w:rPr>
          <w:b/>
          <w:bCs/>
        </w:rPr>
      </w:pPr>
    </w:p>
    <w:p w14:paraId="1C8F2A53" w14:textId="77777777" w:rsidR="00436802" w:rsidRDefault="000F3CCC" w:rsidP="000F3CCC">
      <w:pPr>
        <w:rPr>
          <w:rFonts w:cs="Arial"/>
          <w:b/>
          <w:bCs/>
        </w:rPr>
      </w:pPr>
      <w:r w:rsidRPr="000F3CCC">
        <w:rPr>
          <w:rFonts w:cs="Arial"/>
          <w:b/>
          <w:bCs/>
        </w:rPr>
        <w:t>Section C: Stakeholder Engagement</w:t>
      </w:r>
    </w:p>
    <w:p w14:paraId="3B57804E" w14:textId="4354CD0C" w:rsidR="00436802" w:rsidRDefault="00436802" w:rsidP="00436802">
      <w:pPr>
        <w:pStyle w:val="Bold"/>
        <w:rPr>
          <w:color w:val="000000" w:themeColor="text1"/>
        </w:rPr>
      </w:pPr>
      <w:r w:rsidRPr="00A10714">
        <w:rPr>
          <w:color w:val="000000" w:themeColor="text1"/>
        </w:rPr>
        <w:t>Description of Stakeholder Input</w:t>
      </w:r>
    </w:p>
    <w:p w14:paraId="4585765C" w14:textId="77777777" w:rsidR="00436802" w:rsidRDefault="00436802" w:rsidP="00436802">
      <w:pPr>
        <w:rPr>
          <w:color w:val="000000" w:themeColor="text1"/>
        </w:rPr>
      </w:pPr>
      <w:r w:rsidRPr="00ED172B">
        <w:rPr>
          <w:color w:val="000000" w:themeColor="text1"/>
        </w:rPr>
        <w:t>The State Interagency Coordinating Council (ICC) serves as the primary stakeholder body for MA-C. ICC provides feedback to develop state targets, identify areas of need, and help recommend additional data analysis to improve MA-C performance. The ICC is comprised of 41 appointed members with variation in level of experience, discipline, role, geographic location across the Commonwealth, and race/ethnicity. Additionally, the ICC meetings are made available to the public and agendas and meeting links are published on MA-C's website and advertised through by the Parent Training and Information Center.</w:t>
      </w:r>
    </w:p>
    <w:p w14:paraId="10DD8D81" w14:textId="77777777" w:rsidR="00436802" w:rsidRPr="00ED172B" w:rsidRDefault="00436802" w:rsidP="00436802">
      <w:pPr>
        <w:pStyle w:val="Bold"/>
        <w:rPr>
          <w:b w:val="0"/>
          <w:color w:val="000000" w:themeColor="text1"/>
        </w:rPr>
      </w:pPr>
    </w:p>
    <w:p w14:paraId="4CBCC65C" w14:textId="6D7AD6CB" w:rsidR="000F3CCC" w:rsidRPr="000F3CCC" w:rsidRDefault="000F3CCC" w:rsidP="000F3CCC">
      <w:pPr>
        <w:rPr>
          <w:rFonts w:cs="Arial"/>
          <w:b/>
          <w:bCs/>
        </w:rPr>
      </w:pPr>
      <w:r w:rsidRPr="000F3CCC">
        <w:rPr>
          <w:rFonts w:cs="Arial"/>
          <w:b/>
          <w:bCs/>
        </w:rPr>
        <w:t xml:space="preserve"> </w:t>
      </w:r>
    </w:p>
    <w:p w14:paraId="0112849A" w14:textId="77777777" w:rsidR="000F3CCC" w:rsidRPr="000F3CCC" w:rsidRDefault="000F3CCC" w:rsidP="000F3CCC">
      <w:pPr>
        <w:rPr>
          <w:rFonts w:cs="Arial"/>
          <w:b/>
          <w:bCs/>
        </w:rPr>
      </w:pPr>
      <w:r w:rsidRPr="000F3CCC">
        <w:rPr>
          <w:rFonts w:cs="Arial"/>
          <w:b/>
          <w:bCs/>
        </w:rPr>
        <w:t xml:space="preserve">Describe the specific strategies implemented to engage stakeholders in key improvement efforts. </w:t>
      </w:r>
    </w:p>
    <w:p w14:paraId="7A97D15A" w14:textId="346F07A8" w:rsidR="00D96943" w:rsidRPr="00B50A83" w:rsidRDefault="00D96943" w:rsidP="00D96943">
      <w:pPr>
        <w:rPr>
          <w:b/>
          <w:bCs/>
        </w:rPr>
      </w:pPr>
      <w:r w:rsidRPr="00ED172B">
        <w:rPr>
          <w:color w:val="000000" w:themeColor="text1"/>
        </w:rPr>
        <w:t>Beginning in March 2021, MA-C re-centered its coordination and communication with the State Interagency Coordinating Council (ICC) to follow the Leading by Convening framework. The Part C Coordinator prepared data on MA-C’s performance prior to each ICC meeting. Data included (but are not limited to) information about personnel retention and certification, the number of infants and toddlers referred to the MA-C system (including data analyzed by race), the percentage of children referred who are evaluated and determined eligible, and fiscal information about the types of services provided.  The Part C Coordinator attended each ICC meeting to present the data and answer questions from ICC members and the public. MA-C staff provided training to family representatives to develop comfort and confidence participating in ICC meetings through individualized meetings. The Part C Coordinator collaborated with provider representatives to provide technical assistance to interpret data accurately and make data-based decisions.</w:t>
      </w:r>
    </w:p>
    <w:p w14:paraId="4F13D059" w14:textId="77777777" w:rsidR="00476A20" w:rsidRDefault="00476A20" w:rsidP="00DA6A6C">
      <w:pPr>
        <w:rPr>
          <w:rFonts w:cs="Arial"/>
          <w:b/>
          <w:bCs/>
        </w:rPr>
      </w:pPr>
    </w:p>
    <w:p w14:paraId="7F1D30A2" w14:textId="49E86B13" w:rsidR="00476A20" w:rsidRDefault="00DA6A6C" w:rsidP="00DA6A6C">
      <w:pPr>
        <w:rPr>
          <w:rFonts w:cs="Arial"/>
          <w:b/>
          <w:bCs/>
        </w:rPr>
      </w:pPr>
      <w:r w:rsidRPr="00DA6A6C">
        <w:rPr>
          <w:rFonts w:cs="Arial"/>
          <w:b/>
          <w:bCs/>
        </w:rPr>
        <w:t>Were there any concerns expressed by stakeholders during engagement activities?</w:t>
      </w:r>
      <w:r w:rsidR="00CD071F">
        <w:rPr>
          <w:b/>
          <w:bCs/>
        </w:rPr>
        <w:t xml:space="preserve"> </w:t>
      </w:r>
      <w:r w:rsidR="00CD071F" w:rsidRPr="00CD071F">
        <w:rPr>
          <w:b/>
          <w:bCs/>
        </w:rPr>
        <w:t>(yes/no)</w:t>
      </w:r>
    </w:p>
    <w:p w14:paraId="6ABDC33E" w14:textId="3149C6FF" w:rsidR="00DA6A6C" w:rsidRPr="000420BE" w:rsidRDefault="000420BE" w:rsidP="00DA6A6C">
      <w:pPr>
        <w:rPr>
          <w:b/>
          <w:bCs/>
        </w:rPr>
      </w:pPr>
      <w:r w:rsidRPr="00ED172B">
        <w:rPr>
          <w:color w:val="000000" w:themeColor="text1"/>
        </w:rPr>
        <w:t>YES</w:t>
      </w:r>
    </w:p>
    <w:p w14:paraId="3189F8DE" w14:textId="274B0BF2" w:rsidR="003D4AAD" w:rsidRPr="003D4AAD" w:rsidRDefault="00436802" w:rsidP="003D4AAD">
      <w:pPr>
        <w:rPr>
          <w:rFonts w:cs="Arial"/>
          <w:b/>
          <w:bCs/>
        </w:rPr>
      </w:pPr>
      <w:r>
        <w:rPr>
          <w:rFonts w:cs="Arial"/>
          <w:b/>
          <w:bCs/>
        </w:rPr>
        <w:t xml:space="preserve">Describe how the State addressed the concerns expressed by stakeholders. </w:t>
      </w:r>
    </w:p>
    <w:p w14:paraId="18AA4CF0" w14:textId="426ABC15" w:rsidR="0072398B" w:rsidRDefault="004A571B" w:rsidP="006237B0">
      <w:pPr>
        <w:rPr>
          <w:color w:val="000000" w:themeColor="text1"/>
        </w:rPr>
      </w:pPr>
      <w:r w:rsidRPr="00ED172B">
        <w:rPr>
          <w:color w:val="000000" w:themeColor="text1"/>
        </w:rPr>
        <w:t>In FFY20, the State Interagency Coordinating Council (ICC) identified a number of concerns related to the MA-C’s activities to achieve the SiMR. First, the ICC expressed concern that the instrument used to evaluate a improvement for a child’s social-emotional skills was difficult to use with families who’s primary spoken language is not English. In response, MA-C retained access to manuals for administering the BDI-2 to families who’s primary spoken language is not English. Additionally, MA-C provided access to on-demand interpreter services for all EIS programs free of charge. Next, the ICC expressed concern that the BDI-2 could not be administered via telehealth. In response, MA-C explored the Child Outcomes Survey (COS) by speaking with its OSEP Liaison, Technical Assistance Reps from ECTA and DaSy, and other Part C Coordinators using the COS to evaluate child outcomes. Finally, the ICC expressed concern that data (compliance, results, and fiscal) had not been routinely provided in FFY19. In response, MA-C began presenting data at each ICC meeting.</w:t>
      </w:r>
    </w:p>
    <w:p w14:paraId="00BB8B73" w14:textId="77777777" w:rsidR="004A571B" w:rsidRPr="006237B0" w:rsidRDefault="004A571B" w:rsidP="006237B0">
      <w:pPr>
        <w:rPr>
          <w:rFonts w:cs="Arial"/>
          <w:b/>
          <w:bCs/>
        </w:rPr>
      </w:pPr>
    </w:p>
    <w:p w14:paraId="47232689" w14:textId="77777777" w:rsidR="004E393A" w:rsidRDefault="004E393A" w:rsidP="004E393A">
      <w:pPr>
        <w:rPr>
          <w:rFonts w:cstheme="minorHAnsi"/>
          <w:b/>
          <w:bCs/>
        </w:rPr>
      </w:pPr>
      <w:r w:rsidRPr="00DF62C9">
        <w:rPr>
          <w:rFonts w:cstheme="minorHAnsi"/>
          <w:b/>
          <w:bCs/>
        </w:rPr>
        <w:t>Additional Implementation Activities</w:t>
      </w:r>
    </w:p>
    <w:p w14:paraId="2A8A27BE" w14:textId="56086B53" w:rsidR="004E393A" w:rsidRDefault="004E393A" w:rsidP="004E393A">
      <w:pPr>
        <w:rPr>
          <w:b/>
          <w:bCs/>
        </w:rPr>
      </w:pPr>
      <w:r w:rsidRPr="00F85A5B">
        <w:rPr>
          <w:b/>
          <w:bCs/>
        </w:rPr>
        <w:t>List any activities not already described that the State intends to implement in the next fiscal year that are related to the SiMR.</w:t>
      </w:r>
    </w:p>
    <w:p w14:paraId="54FDC4CC" w14:textId="4E342817" w:rsidR="00917FC3" w:rsidRPr="00F85A5B" w:rsidRDefault="00917FC3" w:rsidP="004E393A">
      <w:pPr>
        <w:rPr>
          <w:color w:val="000000" w:themeColor="text1"/>
        </w:rPr>
      </w:pPr>
      <w:r w:rsidRPr="00ED172B">
        <w:rPr>
          <w:color w:val="000000" w:themeColor="text1"/>
        </w:rPr>
        <w:t>In FFY21, MA-C will recruit and retain a research analyst/epidemiologist to evaluate racial, language, and geographic differences in the SiMR and a health equity program manager to lead MA-C’s response to eliminate any inequities.</w:t>
      </w:r>
    </w:p>
    <w:p w14:paraId="7E4D8D02" w14:textId="77777777" w:rsidR="00297898" w:rsidRPr="00297898" w:rsidRDefault="00297898" w:rsidP="00297898">
      <w:pPr>
        <w:rPr>
          <w:rFonts w:cs="Arial"/>
          <w:b/>
          <w:bCs/>
        </w:rPr>
      </w:pPr>
      <w:r w:rsidRPr="00297898">
        <w:rPr>
          <w:rFonts w:cs="Arial"/>
          <w:b/>
          <w:bCs/>
        </w:rPr>
        <w:t xml:space="preserve">Provide a timeline, anticipated data collection and measures, and expected outcomes for these activities that are related to the SiMR. </w:t>
      </w:r>
    </w:p>
    <w:p w14:paraId="08124F49" w14:textId="4CDFC9D0" w:rsidR="006237B0" w:rsidRDefault="007B151D" w:rsidP="00067F9F">
      <w:pPr>
        <w:spacing w:before="0" w:after="0"/>
        <w:rPr>
          <w:color w:val="000000" w:themeColor="text1"/>
        </w:rPr>
      </w:pPr>
      <w:r w:rsidRPr="00ED172B">
        <w:rPr>
          <w:color w:val="000000" w:themeColor="text1"/>
        </w:rPr>
        <w:t xml:space="preserve">Racial disparities are well documented across health and educational services. By the end of FFY21, MA-C will have its SiMR analyzed by race. Additionally, the geography of the Commonwealth promotes inequities in service delivery (i.e., urban Boston vs. rural Berkshire-area); by the end of FFY21, MA-C will have its SiMR data analyzed to evaluate geographic disparities. These data will be collected from the state database. Expected outcomes include uncovering disparities and developing targeted technical assistance, workforce initiatives, and family engagement initiatives to reduce and ultimately eliminate these disparities. </w:t>
      </w:r>
    </w:p>
    <w:p w14:paraId="26E4FB73" w14:textId="77777777" w:rsidR="007B151D" w:rsidRPr="00F85A5B" w:rsidRDefault="007B151D" w:rsidP="003B71AB">
      <w:pPr>
        <w:rPr>
          <w:color w:val="000000" w:themeColor="text1"/>
        </w:rPr>
      </w:pPr>
    </w:p>
    <w:p w14:paraId="6983483D" w14:textId="3FFCDF3A" w:rsidR="009E0726" w:rsidRDefault="009E0726" w:rsidP="009E0726">
      <w:pPr>
        <w:rPr>
          <w:rFonts w:cs="Arial"/>
          <w:b/>
          <w:bCs/>
        </w:rPr>
      </w:pPr>
      <w:r w:rsidRPr="009E0726">
        <w:rPr>
          <w:rFonts w:cs="Arial"/>
          <w:b/>
          <w:bCs/>
        </w:rPr>
        <w:t>Describe any newly identified barriers and include steps to address these barriers.</w:t>
      </w:r>
    </w:p>
    <w:p w14:paraId="6E8B2008" w14:textId="0F892B41" w:rsidR="00F40121" w:rsidRDefault="00F40121" w:rsidP="00F40121">
      <w:pPr>
        <w:rPr>
          <w:color w:val="000000" w:themeColor="text1"/>
        </w:rPr>
      </w:pPr>
      <w:r w:rsidRPr="00ED172B">
        <w:rPr>
          <w:color w:val="000000" w:themeColor="text1"/>
        </w:rPr>
        <w:t xml:space="preserve">Technical Barriers. State Interagency Coordinating Council (ICC) members still require additional knowledge, skills, and practice to interpret data accurately and make data-based decisions. In FFY21, MA-C will develop orientation for ICC members to include TA on these skills. Relationship Barriers. The affects of the COVID-19 pandemic, combined with MA-C leadership changes in FFY17, FFY18, and FFY20 have strained the relationship between the ICC and MA-C. Beginning in FFY20 (March 2021), MA-C appointed a new Part C Coordinator who adopted a Leading by Convening model to working with the ICC. MA-C will continue to address the relationship barrier by making data increasingly available to the ICC and the wider public. </w:t>
      </w:r>
    </w:p>
    <w:p w14:paraId="630C787A" w14:textId="77777777" w:rsidR="009B26D1" w:rsidRPr="009E0726" w:rsidRDefault="009B26D1" w:rsidP="009E0726">
      <w:pPr>
        <w:rPr>
          <w:rFonts w:cs="Arial"/>
          <w:b/>
          <w:bCs/>
        </w:rPr>
      </w:pPr>
    </w:p>
    <w:p w14:paraId="2E2328D4" w14:textId="46BA2384" w:rsidR="00261010" w:rsidRPr="00261010" w:rsidRDefault="00261010" w:rsidP="00261010">
      <w:pPr>
        <w:rPr>
          <w:rFonts w:cs="Arial"/>
          <w:b/>
          <w:bCs/>
        </w:rPr>
      </w:pPr>
      <w:r w:rsidRPr="00261010">
        <w:rPr>
          <w:rFonts w:cs="Arial"/>
          <w:b/>
          <w:bCs/>
        </w:rPr>
        <w:t>Provide additional information about this indicator (optional).</w:t>
      </w:r>
    </w:p>
    <w:p w14:paraId="58D41C9E" w14:textId="2B949EC4" w:rsidR="00F40121" w:rsidRDefault="00F40121" w:rsidP="00F40121">
      <w:pPr>
        <w:rPr>
          <w:color w:val="000000" w:themeColor="text1"/>
        </w:rPr>
      </w:pPr>
      <w:r w:rsidRPr="00ED172B">
        <w:rPr>
          <w:color w:val="000000" w:themeColor="text1"/>
        </w:rPr>
        <w:t>The updated evaluation plan can be found at https://www.mass.gov/lists/public-reporting-for-early-intervention#state-systemic-improvement-plan-</w:t>
      </w:r>
    </w:p>
    <w:p w14:paraId="304699EC" w14:textId="77777777" w:rsidR="005838E8" w:rsidRDefault="005838E8" w:rsidP="00741E58">
      <w:pPr>
        <w:rPr>
          <w:b/>
          <w:bCs/>
        </w:rPr>
      </w:pPr>
    </w:p>
    <w:p w14:paraId="2B6FC0CA" w14:textId="77777777" w:rsidR="005838E8" w:rsidRPr="00F85A5B" w:rsidRDefault="005838E8" w:rsidP="00F85A5B">
      <w:pPr>
        <w:rPr>
          <w:b/>
          <w:bCs/>
        </w:rPr>
      </w:pPr>
    </w:p>
    <w:p w14:paraId="7B664953" w14:textId="677D6DE8" w:rsidR="00F5460E" w:rsidRPr="00A40EE1" w:rsidRDefault="00F5460E" w:rsidP="00F5460E">
      <w:pPr>
        <w:pStyle w:val="Heading2"/>
      </w:pPr>
      <w:r w:rsidRPr="00A40EE1">
        <w:t>1</w:t>
      </w:r>
      <w:r>
        <w:t>1</w:t>
      </w:r>
      <w:r w:rsidRPr="00A40EE1">
        <w:t xml:space="preserve"> - </w:t>
      </w:r>
      <w:r w:rsidRPr="00A10714">
        <w:t>Prior FFY Required Actions</w:t>
      </w:r>
    </w:p>
    <w:p w14:paraId="1E17F2E2" w14:textId="3EADC4EE" w:rsidR="00F5460E" w:rsidRPr="00ED172B" w:rsidRDefault="00F5460E" w:rsidP="00F5460E">
      <w:pPr>
        <w:rPr>
          <w:color w:val="000000" w:themeColor="text1"/>
        </w:rPr>
      </w:pPr>
      <w:r w:rsidRPr="00ED172B">
        <w:rPr>
          <w:color w:val="000000" w:themeColor="text1"/>
        </w:rPr>
        <w:t>None</w:t>
      </w:r>
    </w:p>
    <w:p w14:paraId="68A5FD13" w14:textId="2BE41878" w:rsidR="00F5460E" w:rsidRPr="00A40EE1" w:rsidRDefault="00F5460E" w:rsidP="00F5460E">
      <w:pPr>
        <w:pStyle w:val="Heading2"/>
      </w:pPr>
      <w:r w:rsidRPr="00A40EE1">
        <w:lastRenderedPageBreak/>
        <w:t>1</w:t>
      </w:r>
      <w:r w:rsidR="001C46CD">
        <w:t>1</w:t>
      </w:r>
      <w:r w:rsidRPr="00A40EE1">
        <w:t xml:space="preserve"> - OSEP Response</w:t>
      </w:r>
    </w:p>
    <w:p w14:paraId="42EAAED9" w14:textId="7B889C41" w:rsidR="00F5460E" w:rsidRPr="00ED172B" w:rsidRDefault="00F5460E" w:rsidP="00F5460E">
      <w:pPr>
        <w:rPr>
          <w:color w:val="000000" w:themeColor="text1"/>
        </w:rPr>
      </w:pPr>
      <w:r w:rsidRPr="00ED172B">
        <w:rPr>
          <w:color w:val="000000" w:themeColor="text1"/>
        </w:rPr>
        <w:t>The State provided targets for FFYs 2020 through 2025 for this indicator, and OSEP accepts those targets.</w:t>
      </w:r>
      <w:r w:rsidRPr="00ED172B">
        <w:rPr>
          <w:color w:val="000000" w:themeColor="text1"/>
        </w:rPr>
        <w:br/>
      </w:r>
      <w:r w:rsidRPr="00ED172B">
        <w:rPr>
          <w:color w:val="000000" w:themeColor="text1"/>
        </w:rPr>
        <w:br/>
        <w:t>The State provided an explanation of how COVID-19 impacted its ability to collect FFY 2020 data for this indicator and steps the State has taken to mitigate the impact of COVID-19 on data collection.</w:t>
      </w:r>
    </w:p>
    <w:p w14:paraId="404298B8" w14:textId="4D0869A2" w:rsidR="00F5460E" w:rsidRPr="00A40EE1" w:rsidRDefault="00F5460E" w:rsidP="00F5460E">
      <w:pPr>
        <w:pStyle w:val="Heading2"/>
      </w:pPr>
      <w:r w:rsidRPr="00A40EE1">
        <w:t>1</w:t>
      </w:r>
      <w:r w:rsidR="001C46CD">
        <w:t>1</w:t>
      </w:r>
      <w:r w:rsidRPr="00A40EE1">
        <w:t xml:space="preserve"> - Required Actions</w:t>
      </w:r>
    </w:p>
    <w:p w14:paraId="55E9952C" w14:textId="0C53720F" w:rsidR="00F5460E" w:rsidRPr="00ED172B" w:rsidRDefault="00F5460E" w:rsidP="00F5460E">
      <w:pPr>
        <w:rPr>
          <w:color w:val="000000" w:themeColor="text1"/>
        </w:rPr>
      </w:pPr>
      <w:r w:rsidRPr="00ED172B">
        <w:rPr>
          <w:color w:val="000000" w:themeColor="text1"/>
        </w:rPr>
        <w:t>OSEP notes that one or more of the Indicator 11 attachment(s) included in the State’s FFY 2020 SPP/APR submission are not in compliance with Section 508 of the Rehabilitation Act of 1973, as amended (Section 508), and will not be posted on the U.S. Department of Education’s IDEA website. Therefore, the State must make the attachment(s) available to the public as soon as practicable, but no later than 120 days after the date of the determination letter.</w:t>
      </w:r>
    </w:p>
    <w:p w14:paraId="37B492A8" w14:textId="5F272293" w:rsidR="00621DEC" w:rsidRDefault="00621DEC" w:rsidP="00F85A5B">
      <w:pPr>
        <w:pStyle w:val="Heading2"/>
        <w:rPr>
          <w:color w:val="000000" w:themeColor="text1"/>
          <w:sz w:val="22"/>
          <w:szCs w:val="28"/>
        </w:rPr>
      </w:pPr>
      <w:r>
        <w:rPr>
          <w:color w:val="000000" w:themeColor="text1"/>
        </w:rPr>
        <w:br w:type="page"/>
      </w:r>
    </w:p>
    <w:p w14:paraId="76BEC9D6" w14:textId="69F0031E" w:rsidR="00D77E41" w:rsidRPr="00ED172B" w:rsidRDefault="00D77E41" w:rsidP="00D77E41">
      <w:pPr>
        <w:pStyle w:val="Heading1"/>
        <w:rPr>
          <w:color w:val="000000" w:themeColor="text1"/>
        </w:rPr>
      </w:pPr>
      <w:r w:rsidRPr="00ED172B">
        <w:rPr>
          <w:color w:val="000000" w:themeColor="text1"/>
        </w:rPr>
        <w:lastRenderedPageBreak/>
        <w:t>Certification</w:t>
      </w:r>
    </w:p>
    <w:p w14:paraId="10520843" w14:textId="77777777" w:rsidR="00D77E41" w:rsidRPr="00ED172B" w:rsidRDefault="00D77E41" w:rsidP="00186420">
      <w:pPr>
        <w:rPr>
          <w:color w:val="000000" w:themeColor="text1"/>
        </w:rPr>
      </w:pPr>
      <w:r w:rsidRPr="00ED172B">
        <w:rPr>
          <w:b/>
          <w:color w:val="000000" w:themeColor="text1"/>
          <w:sz w:val="20"/>
          <w:szCs w:val="20"/>
        </w:rPr>
        <w:t>Instructions</w:t>
      </w:r>
    </w:p>
    <w:p w14:paraId="3613AD02" w14:textId="11E354F6" w:rsidR="00D77E41" w:rsidRPr="00ED172B" w:rsidRDefault="008E67B7" w:rsidP="00D77E41">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14:paraId="2BE1082F" w14:textId="77777777" w:rsidR="00D77E41" w:rsidRPr="00ED172B" w:rsidRDefault="00D77E41" w:rsidP="00D77E41">
      <w:pPr>
        <w:rPr>
          <w:b/>
          <w:color w:val="000000" w:themeColor="text1"/>
        </w:rPr>
      </w:pPr>
      <w:r w:rsidRPr="00ED172B">
        <w:rPr>
          <w:b/>
          <w:color w:val="000000" w:themeColor="text1"/>
        </w:rPr>
        <w:t>Certify</w:t>
      </w:r>
    </w:p>
    <w:p w14:paraId="26D9ED56" w14:textId="77777777" w:rsidR="00D77E41"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14:paraId="09D4042A" w14:textId="77777777" w:rsidR="00404159"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14:paraId="71FBD425" w14:textId="593F2D58"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Lead Agency Director</w:t>
      </w:r>
    </w:p>
    <w:p w14:paraId="43D7F85B" w14:textId="7316ED68" w:rsidR="00D77E41" w:rsidRPr="00ED172B" w:rsidRDefault="00D77E41">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14:paraId="36D2D64A"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14:paraId="4F5F890F" w14:textId="67BB69D9"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Emily White</w:t>
      </w:r>
    </w:p>
    <w:p w14:paraId="5F5311B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14:paraId="07D7540F" w14:textId="1BD8A4B8"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Director, Early Intervention Division and Part C Coordinator</w:t>
      </w:r>
    </w:p>
    <w:p w14:paraId="7E4BD4E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14:paraId="41D2DA4D" w14:textId="6133D61F"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Emily.A.White@mass.gov</w:t>
      </w:r>
    </w:p>
    <w:p w14:paraId="0B3F2655" w14:textId="77777777" w:rsidR="00FD047C" w:rsidRPr="00ED172B" w:rsidRDefault="00D77E41" w:rsidP="00D77E41">
      <w:pPr>
        <w:autoSpaceDE w:val="0"/>
        <w:autoSpaceDN w:val="0"/>
        <w:adjustRightInd w:val="0"/>
        <w:rPr>
          <w:rFonts w:cs="Arial"/>
          <w:bCs/>
          <w:color w:val="000000" w:themeColor="text1"/>
          <w:szCs w:val="16"/>
        </w:rPr>
      </w:pPr>
      <w:r w:rsidRPr="00ED172B">
        <w:rPr>
          <w:rFonts w:cs="Arial"/>
          <w:b/>
          <w:color w:val="000000" w:themeColor="text1"/>
          <w:szCs w:val="16"/>
        </w:rPr>
        <w:t>Phone:</w:t>
      </w:r>
      <w:r w:rsidR="00781A26" w:rsidRPr="00ED172B">
        <w:rPr>
          <w:rFonts w:cs="Arial"/>
          <w:bCs/>
          <w:color w:val="000000" w:themeColor="text1"/>
          <w:szCs w:val="16"/>
        </w:rPr>
        <w:t xml:space="preserve"> </w:t>
      </w:r>
    </w:p>
    <w:p w14:paraId="4532CFC2" w14:textId="1CAA54B5"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(781) 400-6648</w:t>
      </w:r>
      <w:bookmarkEnd w:id="60"/>
    </w:p>
    <w:p w14:paraId="4424A936" w14:textId="491BEDEB" w:rsidR="00FD047C" w:rsidRPr="00ED172B" w:rsidRDefault="00FD047C" w:rsidP="00FD047C">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14:paraId="4D7C4705" w14:textId="500BFD51" w:rsidR="00FD047C" w:rsidRPr="00ED172B" w:rsidRDefault="00FD047C" w:rsidP="00FD047C">
      <w:pPr>
        <w:autoSpaceDE w:val="0"/>
        <w:autoSpaceDN w:val="0"/>
        <w:adjustRightInd w:val="0"/>
        <w:rPr>
          <w:rFonts w:cs="Arial"/>
          <w:b/>
          <w:color w:val="000000" w:themeColor="text1"/>
          <w:szCs w:val="16"/>
        </w:rPr>
      </w:pPr>
      <w:r w:rsidRPr="00ED172B">
        <w:rPr>
          <w:rFonts w:cs="Arial"/>
          <w:bCs/>
          <w:color w:val="000000" w:themeColor="text1"/>
          <w:szCs w:val="16"/>
        </w:rPr>
        <w:t>04/26/22  1:56:01 PM</w:t>
      </w:r>
    </w:p>
    <w:p w14:paraId="7B3F3D6E" w14:textId="6A7B8F3C" w:rsidR="00FD047C" w:rsidRPr="00ED172B" w:rsidRDefault="00FD047C" w:rsidP="00D77E41">
      <w:pPr>
        <w:autoSpaceDE w:val="0"/>
        <w:autoSpaceDN w:val="0"/>
        <w:adjustRightInd w:val="0"/>
        <w:rPr>
          <w:rFonts w:cs="Arial"/>
          <w:b/>
          <w:color w:val="000000" w:themeColor="text1"/>
          <w:szCs w:val="16"/>
        </w:rPr>
      </w:pPr>
    </w:p>
    <w:sectPr w:rsidR="00FD047C" w:rsidRPr="00ED172B" w:rsidSect="000802F7">
      <w:pgSz w:w="12240" w:h="15840"/>
      <w:pgMar w:top="720" w:right="720" w:bottom="720" w:left="720" w:header="720" w:footer="4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E38AF" w14:textId="77777777" w:rsidR="003E2DB0" w:rsidRDefault="003E2DB0" w:rsidP="000802F7">
      <w:pPr>
        <w:spacing w:before="0" w:after="0"/>
      </w:pPr>
      <w:r>
        <w:separator/>
      </w:r>
    </w:p>
  </w:endnote>
  <w:endnote w:type="continuationSeparator" w:id="0">
    <w:p w14:paraId="55037562" w14:textId="77777777" w:rsidR="003E2DB0" w:rsidRDefault="003E2DB0" w:rsidP="000802F7">
      <w:pPr>
        <w:spacing w:before="0" w:after="0"/>
      </w:pPr>
      <w:r>
        <w:continuationSeparator/>
      </w:r>
    </w:p>
  </w:endnote>
  <w:endnote w:type="continuationNotice" w:id="1">
    <w:p w14:paraId="21F40994" w14:textId="77777777" w:rsidR="003E2DB0" w:rsidRDefault="003E2D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57E60C7E" w14:textId="3BA0AC7F"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71390" w14:textId="77777777" w:rsidR="003E2DB0" w:rsidRDefault="003E2DB0" w:rsidP="000802F7">
      <w:pPr>
        <w:spacing w:before="0" w:after="0"/>
      </w:pPr>
      <w:r>
        <w:separator/>
      </w:r>
    </w:p>
  </w:footnote>
  <w:footnote w:type="continuationSeparator" w:id="0">
    <w:p w14:paraId="44E2D287" w14:textId="77777777" w:rsidR="003E2DB0" w:rsidRDefault="003E2DB0" w:rsidP="000802F7">
      <w:pPr>
        <w:spacing w:before="0" w:after="0"/>
      </w:pPr>
      <w:r>
        <w:continuationSeparator/>
      </w:r>
    </w:p>
  </w:footnote>
  <w:footnote w:type="continuationNotice" w:id="1">
    <w:p w14:paraId="1A375FA9" w14:textId="77777777" w:rsidR="003E2DB0" w:rsidRDefault="003E2D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D0F71" w14:textId="77777777" w:rsidR="00F178A0" w:rsidRDefault="00F17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75pt;height:21.75pt;visibility:visible" o:bullet="t">
        <v:imagedata r:id="rId1" o:title="" croptop="12526f" cropbottom="7411f" cropleft="12045f" cropright="6359f"/>
      </v:shape>
    </w:pict>
  </w:numPicBullet>
  <w:abstractNum w:abstractNumId="0" w15:restartNumberingAfterBreak="0">
    <w:nsid w:val="01C62947"/>
    <w:multiLevelType w:val="hybridMultilevel"/>
    <w:tmpl w:val="9892B02C"/>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4027BE0"/>
    <w:multiLevelType w:val="hybridMultilevel"/>
    <w:tmpl w:val="CAA21CBA"/>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96369"/>
    <w:multiLevelType w:val="hybridMultilevel"/>
    <w:tmpl w:val="0B4A567E"/>
    <w:lvl w:ilvl="0" w:tplc="902C864E">
      <w:start w:val="1"/>
      <w:numFmt w:val="bullet"/>
      <w:lvlText w:val=""/>
      <w:lvlJc w:val="left"/>
      <w:pPr>
        <w:ind w:left="5760" w:hanging="360"/>
      </w:pPr>
      <w:rPr>
        <w:rFonts w:ascii="Symbol" w:hAnsi="Symbol" w:hint="default"/>
        <w:b/>
        <w:i w:val="0"/>
        <w:color w:val="8DB3E2" w:themeColor="text2" w:themeTint="66"/>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 w15:restartNumberingAfterBreak="0">
    <w:nsid w:val="0BA853BF"/>
    <w:multiLevelType w:val="hybridMultilevel"/>
    <w:tmpl w:val="334C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D2D1C"/>
    <w:multiLevelType w:val="hybridMultilevel"/>
    <w:tmpl w:val="8C003C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2CD5CB1"/>
    <w:multiLevelType w:val="hybridMultilevel"/>
    <w:tmpl w:val="B5480818"/>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B5CF4"/>
    <w:multiLevelType w:val="hybridMultilevel"/>
    <w:tmpl w:val="2F52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831DF"/>
    <w:multiLevelType w:val="hybridMultilevel"/>
    <w:tmpl w:val="CAA21CBA"/>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91E6D"/>
    <w:multiLevelType w:val="hybridMultilevel"/>
    <w:tmpl w:val="D050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F95B2C"/>
    <w:multiLevelType w:val="hybridMultilevel"/>
    <w:tmpl w:val="B5480818"/>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C03FA"/>
    <w:multiLevelType w:val="hybridMultilevel"/>
    <w:tmpl w:val="CAA21CBA"/>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F468A"/>
    <w:multiLevelType w:val="hybridMultilevel"/>
    <w:tmpl w:val="B5480818"/>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E1677"/>
    <w:multiLevelType w:val="hybridMultilevel"/>
    <w:tmpl w:val="E582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C3F30"/>
    <w:multiLevelType w:val="hybridMultilevel"/>
    <w:tmpl w:val="2378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439EC"/>
    <w:multiLevelType w:val="hybridMultilevel"/>
    <w:tmpl w:val="BC14DA9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5E547C4B"/>
    <w:multiLevelType w:val="hybridMultilevel"/>
    <w:tmpl w:val="BB94D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11E01"/>
    <w:multiLevelType w:val="hybridMultilevel"/>
    <w:tmpl w:val="A2B2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E6A71"/>
    <w:multiLevelType w:val="hybridMultilevel"/>
    <w:tmpl w:val="9A24F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37DB8"/>
    <w:multiLevelType w:val="hybridMultilevel"/>
    <w:tmpl w:val="9892B02C"/>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6CC7F34"/>
    <w:multiLevelType w:val="hybridMultilevel"/>
    <w:tmpl w:val="9F809C7A"/>
    <w:lvl w:ilvl="0" w:tplc="63A638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0345B"/>
    <w:multiLevelType w:val="hybridMultilevel"/>
    <w:tmpl w:val="07A0DB14"/>
    <w:lvl w:ilvl="0" w:tplc="FC6C7E0C">
      <w:start w:val="1"/>
      <w:numFmt w:val="decimal"/>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546CD"/>
    <w:multiLevelType w:val="hybridMultilevel"/>
    <w:tmpl w:val="E23CB6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C0C638D"/>
    <w:multiLevelType w:val="hybridMultilevel"/>
    <w:tmpl w:val="AE9AD832"/>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6D9B213B"/>
    <w:multiLevelType w:val="hybridMultilevel"/>
    <w:tmpl w:val="B5480818"/>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C61B7"/>
    <w:multiLevelType w:val="hybridMultilevel"/>
    <w:tmpl w:val="C436D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609EF"/>
    <w:multiLevelType w:val="hybridMultilevel"/>
    <w:tmpl w:val="CAA21CBA"/>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B4454"/>
    <w:multiLevelType w:val="hybridMultilevel"/>
    <w:tmpl w:val="C6FC3398"/>
    <w:lvl w:ilvl="0" w:tplc="10EEE51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1054D"/>
    <w:multiLevelType w:val="hybridMultilevel"/>
    <w:tmpl w:val="D61A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20"/>
  </w:num>
  <w:num w:numId="4">
    <w:abstractNumId w:val="26"/>
  </w:num>
  <w:num w:numId="5">
    <w:abstractNumId w:val="10"/>
  </w:num>
  <w:num w:numId="6">
    <w:abstractNumId w:val="28"/>
  </w:num>
  <w:num w:numId="7">
    <w:abstractNumId w:val="1"/>
  </w:num>
  <w:num w:numId="8">
    <w:abstractNumId w:val="6"/>
  </w:num>
  <w:num w:numId="9">
    <w:abstractNumId w:val="18"/>
  </w:num>
  <w:num w:numId="10">
    <w:abstractNumId w:val="14"/>
  </w:num>
  <w:num w:numId="11">
    <w:abstractNumId w:val="29"/>
  </w:num>
  <w:num w:numId="12">
    <w:abstractNumId w:val="8"/>
  </w:num>
  <w:num w:numId="13">
    <w:abstractNumId w:val="16"/>
  </w:num>
  <w:num w:numId="14">
    <w:abstractNumId w:val="13"/>
  </w:num>
  <w:num w:numId="15">
    <w:abstractNumId w:val="2"/>
  </w:num>
  <w:num w:numId="16">
    <w:abstractNumId w:val="15"/>
  </w:num>
  <w:num w:numId="17">
    <w:abstractNumId w:val="23"/>
  </w:num>
  <w:num w:numId="18">
    <w:abstractNumId w:val="19"/>
  </w:num>
  <w:num w:numId="19">
    <w:abstractNumId w:val="4"/>
  </w:num>
  <w:num w:numId="20">
    <w:abstractNumId w:val="22"/>
  </w:num>
  <w:num w:numId="21">
    <w:abstractNumId w:val="0"/>
  </w:num>
  <w:num w:numId="22">
    <w:abstractNumId w:val="11"/>
  </w:num>
  <w:num w:numId="23">
    <w:abstractNumId w:val="25"/>
  </w:num>
  <w:num w:numId="24">
    <w:abstractNumId w:val="24"/>
  </w:num>
  <w:num w:numId="25">
    <w:abstractNumId w:val="6"/>
  </w:num>
  <w:num w:numId="26">
    <w:abstractNumId w:val="4"/>
  </w:num>
  <w:num w:numId="27">
    <w:abstractNumId w:val="22"/>
  </w:num>
  <w:num w:numId="28">
    <w:abstractNumId w:val="5"/>
  </w:num>
  <w:num w:numId="29">
    <w:abstractNumId w:val="7"/>
  </w:num>
  <w:num w:numId="30">
    <w:abstractNumId w:val="27"/>
  </w:num>
  <w:num w:numId="31">
    <w:abstractNumId w:val="12"/>
  </w:num>
  <w:num w:numId="32">
    <w:abstractNumId w:val="3"/>
  </w:num>
  <w:num w:numId="3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C5E"/>
    <w:rsid w:val="00001EAE"/>
    <w:rsid w:val="000032E5"/>
    <w:rsid w:val="00003894"/>
    <w:rsid w:val="0000398B"/>
    <w:rsid w:val="000039B6"/>
    <w:rsid w:val="00004700"/>
    <w:rsid w:val="00004E61"/>
    <w:rsid w:val="00006354"/>
    <w:rsid w:val="00010158"/>
    <w:rsid w:val="00011778"/>
    <w:rsid w:val="000123EB"/>
    <w:rsid w:val="0001275E"/>
    <w:rsid w:val="00012CFF"/>
    <w:rsid w:val="00012EB2"/>
    <w:rsid w:val="00013004"/>
    <w:rsid w:val="00014550"/>
    <w:rsid w:val="00014552"/>
    <w:rsid w:val="0001550D"/>
    <w:rsid w:val="00015D55"/>
    <w:rsid w:val="0001707D"/>
    <w:rsid w:val="00017826"/>
    <w:rsid w:val="00017FA6"/>
    <w:rsid w:val="000209D6"/>
    <w:rsid w:val="00020C35"/>
    <w:rsid w:val="0002166F"/>
    <w:rsid w:val="000221B3"/>
    <w:rsid w:val="00023642"/>
    <w:rsid w:val="00023E62"/>
    <w:rsid w:val="00024979"/>
    <w:rsid w:val="000251C4"/>
    <w:rsid w:val="000256D1"/>
    <w:rsid w:val="00025D8D"/>
    <w:rsid w:val="00026ADD"/>
    <w:rsid w:val="00027886"/>
    <w:rsid w:val="00027F39"/>
    <w:rsid w:val="00030B45"/>
    <w:rsid w:val="00030F20"/>
    <w:rsid w:val="00031560"/>
    <w:rsid w:val="00031C3A"/>
    <w:rsid w:val="00031E3A"/>
    <w:rsid w:val="00032548"/>
    <w:rsid w:val="00032DB1"/>
    <w:rsid w:val="00033474"/>
    <w:rsid w:val="0003461E"/>
    <w:rsid w:val="000360A5"/>
    <w:rsid w:val="00037032"/>
    <w:rsid w:val="000378F3"/>
    <w:rsid w:val="000379CD"/>
    <w:rsid w:val="000379F6"/>
    <w:rsid w:val="00041E27"/>
    <w:rsid w:val="000420BE"/>
    <w:rsid w:val="000423B5"/>
    <w:rsid w:val="00042EBF"/>
    <w:rsid w:val="00043341"/>
    <w:rsid w:val="0004359A"/>
    <w:rsid w:val="000437FD"/>
    <w:rsid w:val="00044700"/>
    <w:rsid w:val="00044748"/>
    <w:rsid w:val="00044883"/>
    <w:rsid w:val="000477FF"/>
    <w:rsid w:val="00047BB6"/>
    <w:rsid w:val="00047DA0"/>
    <w:rsid w:val="000533D7"/>
    <w:rsid w:val="00053A33"/>
    <w:rsid w:val="00054582"/>
    <w:rsid w:val="000545D2"/>
    <w:rsid w:val="00054A60"/>
    <w:rsid w:val="00054FA8"/>
    <w:rsid w:val="00055FC7"/>
    <w:rsid w:val="000564AC"/>
    <w:rsid w:val="000618B4"/>
    <w:rsid w:val="00061AB2"/>
    <w:rsid w:val="00061F73"/>
    <w:rsid w:val="00063CB9"/>
    <w:rsid w:val="00064809"/>
    <w:rsid w:val="00064AB6"/>
    <w:rsid w:val="00064BA4"/>
    <w:rsid w:val="00067C04"/>
    <w:rsid w:val="00067F9F"/>
    <w:rsid w:val="000709B9"/>
    <w:rsid w:val="00072B99"/>
    <w:rsid w:val="00072FEE"/>
    <w:rsid w:val="00073047"/>
    <w:rsid w:val="00074237"/>
    <w:rsid w:val="000743D6"/>
    <w:rsid w:val="00075324"/>
    <w:rsid w:val="000802F7"/>
    <w:rsid w:val="000806CC"/>
    <w:rsid w:val="00080D36"/>
    <w:rsid w:val="00080EBD"/>
    <w:rsid w:val="0008147F"/>
    <w:rsid w:val="00082667"/>
    <w:rsid w:val="000829BF"/>
    <w:rsid w:val="00082CFF"/>
    <w:rsid w:val="0008392B"/>
    <w:rsid w:val="0008402E"/>
    <w:rsid w:val="000847AD"/>
    <w:rsid w:val="00086F70"/>
    <w:rsid w:val="00091E9A"/>
    <w:rsid w:val="000922BF"/>
    <w:rsid w:val="000923A7"/>
    <w:rsid w:val="00092E0A"/>
    <w:rsid w:val="0009453E"/>
    <w:rsid w:val="00094681"/>
    <w:rsid w:val="00095A95"/>
    <w:rsid w:val="000964F0"/>
    <w:rsid w:val="00097942"/>
    <w:rsid w:val="000A1594"/>
    <w:rsid w:val="000A170A"/>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C26"/>
    <w:rsid w:val="000B3A11"/>
    <w:rsid w:val="000B3B4A"/>
    <w:rsid w:val="000B4BBE"/>
    <w:rsid w:val="000B4FD4"/>
    <w:rsid w:val="000B7462"/>
    <w:rsid w:val="000C0069"/>
    <w:rsid w:val="000C1C56"/>
    <w:rsid w:val="000C2AED"/>
    <w:rsid w:val="000C3421"/>
    <w:rsid w:val="000C57BE"/>
    <w:rsid w:val="000C5918"/>
    <w:rsid w:val="000C5A7A"/>
    <w:rsid w:val="000C6015"/>
    <w:rsid w:val="000C6763"/>
    <w:rsid w:val="000C688B"/>
    <w:rsid w:val="000D0117"/>
    <w:rsid w:val="000D1580"/>
    <w:rsid w:val="000D37FC"/>
    <w:rsid w:val="000D4623"/>
    <w:rsid w:val="000D4947"/>
    <w:rsid w:val="000D4C8D"/>
    <w:rsid w:val="000D69E5"/>
    <w:rsid w:val="000D6C5B"/>
    <w:rsid w:val="000D6EC4"/>
    <w:rsid w:val="000D7858"/>
    <w:rsid w:val="000E0A7D"/>
    <w:rsid w:val="000E1C83"/>
    <w:rsid w:val="000E206D"/>
    <w:rsid w:val="000E30A8"/>
    <w:rsid w:val="000E3445"/>
    <w:rsid w:val="000E43BF"/>
    <w:rsid w:val="000E4B47"/>
    <w:rsid w:val="000E4B9A"/>
    <w:rsid w:val="000E54B5"/>
    <w:rsid w:val="000E56FA"/>
    <w:rsid w:val="000E62E5"/>
    <w:rsid w:val="000E7688"/>
    <w:rsid w:val="000F0525"/>
    <w:rsid w:val="000F1686"/>
    <w:rsid w:val="000F1858"/>
    <w:rsid w:val="000F19D5"/>
    <w:rsid w:val="000F1FED"/>
    <w:rsid w:val="000F27DB"/>
    <w:rsid w:val="000F3CCC"/>
    <w:rsid w:val="000F435D"/>
    <w:rsid w:val="000F4F37"/>
    <w:rsid w:val="000F4FB0"/>
    <w:rsid w:val="000F5814"/>
    <w:rsid w:val="000F66B8"/>
    <w:rsid w:val="000F670E"/>
    <w:rsid w:val="000F7399"/>
    <w:rsid w:val="000F7CF3"/>
    <w:rsid w:val="000F7D53"/>
    <w:rsid w:val="001010F3"/>
    <w:rsid w:val="0010168C"/>
    <w:rsid w:val="00101CA5"/>
    <w:rsid w:val="00102695"/>
    <w:rsid w:val="00102C3C"/>
    <w:rsid w:val="00104B17"/>
    <w:rsid w:val="00104E0D"/>
    <w:rsid w:val="0010504E"/>
    <w:rsid w:val="0010510A"/>
    <w:rsid w:val="00105DC4"/>
    <w:rsid w:val="001061C0"/>
    <w:rsid w:val="00106D71"/>
    <w:rsid w:val="0010731D"/>
    <w:rsid w:val="00107406"/>
    <w:rsid w:val="00107600"/>
    <w:rsid w:val="00112DDC"/>
    <w:rsid w:val="00112F4D"/>
    <w:rsid w:val="00113CE9"/>
    <w:rsid w:val="00113E1E"/>
    <w:rsid w:val="00115277"/>
    <w:rsid w:val="001156D2"/>
    <w:rsid w:val="00115CDA"/>
    <w:rsid w:val="00116D0B"/>
    <w:rsid w:val="00116D8B"/>
    <w:rsid w:val="00117490"/>
    <w:rsid w:val="00117696"/>
    <w:rsid w:val="00117952"/>
    <w:rsid w:val="00120AE3"/>
    <w:rsid w:val="0012230D"/>
    <w:rsid w:val="001225CB"/>
    <w:rsid w:val="00124054"/>
    <w:rsid w:val="0012497F"/>
    <w:rsid w:val="00124DB5"/>
    <w:rsid w:val="00124E6A"/>
    <w:rsid w:val="00124ED5"/>
    <w:rsid w:val="00126853"/>
    <w:rsid w:val="00126FF9"/>
    <w:rsid w:val="001270B8"/>
    <w:rsid w:val="001273C6"/>
    <w:rsid w:val="00130AE9"/>
    <w:rsid w:val="00131E2C"/>
    <w:rsid w:val="00132EE9"/>
    <w:rsid w:val="00133698"/>
    <w:rsid w:val="00134C0C"/>
    <w:rsid w:val="00135576"/>
    <w:rsid w:val="00136BE2"/>
    <w:rsid w:val="0014028E"/>
    <w:rsid w:val="00140A8A"/>
    <w:rsid w:val="00141A33"/>
    <w:rsid w:val="00142117"/>
    <w:rsid w:val="00142347"/>
    <w:rsid w:val="0014261C"/>
    <w:rsid w:val="001430AA"/>
    <w:rsid w:val="0014399E"/>
    <w:rsid w:val="001445CE"/>
    <w:rsid w:val="00144EB2"/>
    <w:rsid w:val="00145F88"/>
    <w:rsid w:val="00146B79"/>
    <w:rsid w:val="00146FBA"/>
    <w:rsid w:val="00150B3B"/>
    <w:rsid w:val="00151612"/>
    <w:rsid w:val="00151989"/>
    <w:rsid w:val="00151F97"/>
    <w:rsid w:val="00153A6F"/>
    <w:rsid w:val="00153F2D"/>
    <w:rsid w:val="001542AE"/>
    <w:rsid w:val="00156264"/>
    <w:rsid w:val="0015671D"/>
    <w:rsid w:val="00156BF7"/>
    <w:rsid w:val="001600D9"/>
    <w:rsid w:val="001604F3"/>
    <w:rsid w:val="00160856"/>
    <w:rsid w:val="001634E7"/>
    <w:rsid w:val="0016375D"/>
    <w:rsid w:val="001638EB"/>
    <w:rsid w:val="00163BEE"/>
    <w:rsid w:val="00164B78"/>
    <w:rsid w:val="00164FFE"/>
    <w:rsid w:val="00165225"/>
    <w:rsid w:val="00165467"/>
    <w:rsid w:val="00167930"/>
    <w:rsid w:val="00170A9A"/>
    <w:rsid w:val="001721C0"/>
    <w:rsid w:val="00172F58"/>
    <w:rsid w:val="00172FC0"/>
    <w:rsid w:val="001744F9"/>
    <w:rsid w:val="00174B9B"/>
    <w:rsid w:val="00174E1C"/>
    <w:rsid w:val="00176006"/>
    <w:rsid w:val="0017668C"/>
    <w:rsid w:val="00177EC7"/>
    <w:rsid w:val="001806EA"/>
    <w:rsid w:val="00181DEB"/>
    <w:rsid w:val="0018238E"/>
    <w:rsid w:val="001829C9"/>
    <w:rsid w:val="00183E9B"/>
    <w:rsid w:val="0018469E"/>
    <w:rsid w:val="00186420"/>
    <w:rsid w:val="001866DE"/>
    <w:rsid w:val="00190B59"/>
    <w:rsid w:val="00191350"/>
    <w:rsid w:val="0019150B"/>
    <w:rsid w:val="0019260C"/>
    <w:rsid w:val="00193E59"/>
    <w:rsid w:val="00195F78"/>
    <w:rsid w:val="001963DE"/>
    <w:rsid w:val="00197A4F"/>
    <w:rsid w:val="001A0637"/>
    <w:rsid w:val="001A171A"/>
    <w:rsid w:val="001A192D"/>
    <w:rsid w:val="001A2ACC"/>
    <w:rsid w:val="001A342F"/>
    <w:rsid w:val="001A3539"/>
    <w:rsid w:val="001A4B29"/>
    <w:rsid w:val="001A5652"/>
    <w:rsid w:val="001A582D"/>
    <w:rsid w:val="001A5EBA"/>
    <w:rsid w:val="001A6E55"/>
    <w:rsid w:val="001B0473"/>
    <w:rsid w:val="001B1139"/>
    <w:rsid w:val="001B12D3"/>
    <w:rsid w:val="001B1B38"/>
    <w:rsid w:val="001B2224"/>
    <w:rsid w:val="001B45DD"/>
    <w:rsid w:val="001B4677"/>
    <w:rsid w:val="001B6595"/>
    <w:rsid w:val="001B6A5C"/>
    <w:rsid w:val="001B6F43"/>
    <w:rsid w:val="001B6FC2"/>
    <w:rsid w:val="001B7654"/>
    <w:rsid w:val="001C05DB"/>
    <w:rsid w:val="001C0D43"/>
    <w:rsid w:val="001C22E3"/>
    <w:rsid w:val="001C23B6"/>
    <w:rsid w:val="001C2BF0"/>
    <w:rsid w:val="001C3D0E"/>
    <w:rsid w:val="001C4405"/>
    <w:rsid w:val="001C46CD"/>
    <w:rsid w:val="001C5219"/>
    <w:rsid w:val="001C53AA"/>
    <w:rsid w:val="001C5417"/>
    <w:rsid w:val="001C56E8"/>
    <w:rsid w:val="001C6627"/>
    <w:rsid w:val="001C7E55"/>
    <w:rsid w:val="001D1A20"/>
    <w:rsid w:val="001D21D9"/>
    <w:rsid w:val="001D2E9B"/>
    <w:rsid w:val="001D4777"/>
    <w:rsid w:val="001D51D9"/>
    <w:rsid w:val="001D5656"/>
    <w:rsid w:val="001D5F4A"/>
    <w:rsid w:val="001D6BA5"/>
    <w:rsid w:val="001D6E02"/>
    <w:rsid w:val="001D7011"/>
    <w:rsid w:val="001D71B6"/>
    <w:rsid w:val="001D7755"/>
    <w:rsid w:val="001D7F3B"/>
    <w:rsid w:val="001E141D"/>
    <w:rsid w:val="001E22C1"/>
    <w:rsid w:val="001E2AFB"/>
    <w:rsid w:val="001E2E5A"/>
    <w:rsid w:val="001E39E3"/>
    <w:rsid w:val="001E3FEA"/>
    <w:rsid w:val="001E4908"/>
    <w:rsid w:val="001E5B13"/>
    <w:rsid w:val="001E5CEA"/>
    <w:rsid w:val="001F1285"/>
    <w:rsid w:val="001F1489"/>
    <w:rsid w:val="001F1E6E"/>
    <w:rsid w:val="001F32F8"/>
    <w:rsid w:val="001F3A65"/>
    <w:rsid w:val="001F3FD2"/>
    <w:rsid w:val="001F4C9D"/>
    <w:rsid w:val="001F545F"/>
    <w:rsid w:val="001F5E3B"/>
    <w:rsid w:val="001F6B80"/>
    <w:rsid w:val="001F76D7"/>
    <w:rsid w:val="001F7A3C"/>
    <w:rsid w:val="00201DDB"/>
    <w:rsid w:val="00202113"/>
    <w:rsid w:val="00202778"/>
    <w:rsid w:val="00202A6D"/>
    <w:rsid w:val="00202F95"/>
    <w:rsid w:val="002044A7"/>
    <w:rsid w:val="00204735"/>
    <w:rsid w:val="00205039"/>
    <w:rsid w:val="00205239"/>
    <w:rsid w:val="00205324"/>
    <w:rsid w:val="0020548E"/>
    <w:rsid w:val="00205E6B"/>
    <w:rsid w:val="002060DB"/>
    <w:rsid w:val="0020799B"/>
    <w:rsid w:val="002107AA"/>
    <w:rsid w:val="00210D18"/>
    <w:rsid w:val="00211DCE"/>
    <w:rsid w:val="00212A97"/>
    <w:rsid w:val="00214AB0"/>
    <w:rsid w:val="0021508C"/>
    <w:rsid w:val="0021530B"/>
    <w:rsid w:val="00215A38"/>
    <w:rsid w:val="00215E6A"/>
    <w:rsid w:val="002163F2"/>
    <w:rsid w:val="00217F33"/>
    <w:rsid w:val="00220217"/>
    <w:rsid w:val="00220285"/>
    <w:rsid w:val="00220DE8"/>
    <w:rsid w:val="002210FB"/>
    <w:rsid w:val="0022161C"/>
    <w:rsid w:val="002223BB"/>
    <w:rsid w:val="00222B7B"/>
    <w:rsid w:val="00223A72"/>
    <w:rsid w:val="00224107"/>
    <w:rsid w:val="002242B8"/>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9D"/>
    <w:rsid w:val="0024351A"/>
    <w:rsid w:val="00243800"/>
    <w:rsid w:val="00243C7D"/>
    <w:rsid w:val="00244BFC"/>
    <w:rsid w:val="00244FA8"/>
    <w:rsid w:val="002451A6"/>
    <w:rsid w:val="002451DC"/>
    <w:rsid w:val="00245835"/>
    <w:rsid w:val="002458C0"/>
    <w:rsid w:val="00245D5D"/>
    <w:rsid w:val="002465B8"/>
    <w:rsid w:val="00246915"/>
    <w:rsid w:val="002477AC"/>
    <w:rsid w:val="00250728"/>
    <w:rsid w:val="002507BC"/>
    <w:rsid w:val="00250A97"/>
    <w:rsid w:val="00251098"/>
    <w:rsid w:val="002518F2"/>
    <w:rsid w:val="0025243E"/>
    <w:rsid w:val="0025260D"/>
    <w:rsid w:val="002534F0"/>
    <w:rsid w:val="0025687D"/>
    <w:rsid w:val="00256998"/>
    <w:rsid w:val="002606CC"/>
    <w:rsid w:val="00260DBA"/>
    <w:rsid w:val="00260ED7"/>
    <w:rsid w:val="00261010"/>
    <w:rsid w:val="0026103E"/>
    <w:rsid w:val="00261D41"/>
    <w:rsid w:val="00262344"/>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952"/>
    <w:rsid w:val="00270F92"/>
    <w:rsid w:val="00271DCF"/>
    <w:rsid w:val="00271E37"/>
    <w:rsid w:val="0027224D"/>
    <w:rsid w:val="002733A2"/>
    <w:rsid w:val="00274768"/>
    <w:rsid w:val="002760A3"/>
    <w:rsid w:val="002764FB"/>
    <w:rsid w:val="002768DB"/>
    <w:rsid w:val="002772F4"/>
    <w:rsid w:val="002775D1"/>
    <w:rsid w:val="00277C0C"/>
    <w:rsid w:val="00280BE5"/>
    <w:rsid w:val="00280C06"/>
    <w:rsid w:val="0028126A"/>
    <w:rsid w:val="002813C2"/>
    <w:rsid w:val="0028232F"/>
    <w:rsid w:val="00282650"/>
    <w:rsid w:val="00282855"/>
    <w:rsid w:val="00283035"/>
    <w:rsid w:val="002838F3"/>
    <w:rsid w:val="00283A6E"/>
    <w:rsid w:val="00283E11"/>
    <w:rsid w:val="00283E7C"/>
    <w:rsid w:val="0028570E"/>
    <w:rsid w:val="00286019"/>
    <w:rsid w:val="00286999"/>
    <w:rsid w:val="00287B52"/>
    <w:rsid w:val="002908CD"/>
    <w:rsid w:val="0029150F"/>
    <w:rsid w:val="00291D97"/>
    <w:rsid w:val="00291EA9"/>
    <w:rsid w:val="00292265"/>
    <w:rsid w:val="002931EC"/>
    <w:rsid w:val="0029367B"/>
    <w:rsid w:val="00293B59"/>
    <w:rsid w:val="00293C02"/>
    <w:rsid w:val="002959B0"/>
    <w:rsid w:val="00296604"/>
    <w:rsid w:val="00296A63"/>
    <w:rsid w:val="00296EF8"/>
    <w:rsid w:val="0029729C"/>
    <w:rsid w:val="002974C4"/>
    <w:rsid w:val="00297710"/>
    <w:rsid w:val="00297898"/>
    <w:rsid w:val="00297B2C"/>
    <w:rsid w:val="002A0900"/>
    <w:rsid w:val="002A1E9E"/>
    <w:rsid w:val="002A1EAC"/>
    <w:rsid w:val="002A2503"/>
    <w:rsid w:val="002A2966"/>
    <w:rsid w:val="002A2A1B"/>
    <w:rsid w:val="002A43F7"/>
    <w:rsid w:val="002A476C"/>
    <w:rsid w:val="002A5ACF"/>
    <w:rsid w:val="002A5C3B"/>
    <w:rsid w:val="002A5E4E"/>
    <w:rsid w:val="002A6E26"/>
    <w:rsid w:val="002A723A"/>
    <w:rsid w:val="002A7E5B"/>
    <w:rsid w:val="002B0B00"/>
    <w:rsid w:val="002B14DF"/>
    <w:rsid w:val="002B15AD"/>
    <w:rsid w:val="002B4034"/>
    <w:rsid w:val="002B49BF"/>
    <w:rsid w:val="002B5631"/>
    <w:rsid w:val="002B5671"/>
    <w:rsid w:val="002B5F4B"/>
    <w:rsid w:val="002B6555"/>
    <w:rsid w:val="002B659C"/>
    <w:rsid w:val="002B68F9"/>
    <w:rsid w:val="002C02F9"/>
    <w:rsid w:val="002C11D6"/>
    <w:rsid w:val="002C32D7"/>
    <w:rsid w:val="002C3413"/>
    <w:rsid w:val="002C537D"/>
    <w:rsid w:val="002C56B1"/>
    <w:rsid w:val="002C5994"/>
    <w:rsid w:val="002C5BEF"/>
    <w:rsid w:val="002C68A2"/>
    <w:rsid w:val="002C72EA"/>
    <w:rsid w:val="002D0123"/>
    <w:rsid w:val="002D0922"/>
    <w:rsid w:val="002D4D55"/>
    <w:rsid w:val="002D5A91"/>
    <w:rsid w:val="002D6723"/>
    <w:rsid w:val="002D6889"/>
    <w:rsid w:val="002D71EA"/>
    <w:rsid w:val="002D7A24"/>
    <w:rsid w:val="002D7B2A"/>
    <w:rsid w:val="002D7C09"/>
    <w:rsid w:val="002E00D1"/>
    <w:rsid w:val="002E11D8"/>
    <w:rsid w:val="002E1451"/>
    <w:rsid w:val="002E1E81"/>
    <w:rsid w:val="002E26E0"/>
    <w:rsid w:val="002E346C"/>
    <w:rsid w:val="002E4104"/>
    <w:rsid w:val="002E456C"/>
    <w:rsid w:val="002E5124"/>
    <w:rsid w:val="002E5136"/>
    <w:rsid w:val="002E64AF"/>
    <w:rsid w:val="002F0129"/>
    <w:rsid w:val="002F088C"/>
    <w:rsid w:val="002F0F0E"/>
    <w:rsid w:val="002F1A9A"/>
    <w:rsid w:val="002F1DE2"/>
    <w:rsid w:val="002F2336"/>
    <w:rsid w:val="002F26D8"/>
    <w:rsid w:val="002F27B8"/>
    <w:rsid w:val="002F48B9"/>
    <w:rsid w:val="002F5568"/>
    <w:rsid w:val="002F5A9E"/>
    <w:rsid w:val="002F5F54"/>
    <w:rsid w:val="002F7D07"/>
    <w:rsid w:val="00300258"/>
    <w:rsid w:val="0030068A"/>
    <w:rsid w:val="00300CF4"/>
    <w:rsid w:val="00301085"/>
    <w:rsid w:val="00301362"/>
    <w:rsid w:val="003013C1"/>
    <w:rsid w:val="003020A9"/>
    <w:rsid w:val="00302CA6"/>
    <w:rsid w:val="003043F2"/>
    <w:rsid w:val="00304471"/>
    <w:rsid w:val="00305E79"/>
    <w:rsid w:val="00306032"/>
    <w:rsid w:val="0030619F"/>
    <w:rsid w:val="0030668A"/>
    <w:rsid w:val="003066D7"/>
    <w:rsid w:val="00306A86"/>
    <w:rsid w:val="003077CF"/>
    <w:rsid w:val="0031099B"/>
    <w:rsid w:val="00310D4A"/>
    <w:rsid w:val="003112BE"/>
    <w:rsid w:val="00312C1A"/>
    <w:rsid w:val="00312EB5"/>
    <w:rsid w:val="003136FD"/>
    <w:rsid w:val="00315173"/>
    <w:rsid w:val="0031546B"/>
    <w:rsid w:val="00315747"/>
    <w:rsid w:val="00317888"/>
    <w:rsid w:val="00320806"/>
    <w:rsid w:val="00321497"/>
    <w:rsid w:val="00321982"/>
    <w:rsid w:val="00321B65"/>
    <w:rsid w:val="00321D4A"/>
    <w:rsid w:val="00322EB5"/>
    <w:rsid w:val="00323BDD"/>
    <w:rsid w:val="00324430"/>
    <w:rsid w:val="00326698"/>
    <w:rsid w:val="00330231"/>
    <w:rsid w:val="00331137"/>
    <w:rsid w:val="00332054"/>
    <w:rsid w:val="003321D1"/>
    <w:rsid w:val="00332397"/>
    <w:rsid w:val="00332E23"/>
    <w:rsid w:val="00334953"/>
    <w:rsid w:val="00335139"/>
    <w:rsid w:val="00337015"/>
    <w:rsid w:val="00340115"/>
    <w:rsid w:val="00340484"/>
    <w:rsid w:val="0034074E"/>
    <w:rsid w:val="0034085B"/>
    <w:rsid w:val="00341650"/>
    <w:rsid w:val="00342627"/>
    <w:rsid w:val="00342BF9"/>
    <w:rsid w:val="00343A3C"/>
    <w:rsid w:val="00343E21"/>
    <w:rsid w:val="00343E32"/>
    <w:rsid w:val="003447DC"/>
    <w:rsid w:val="00345385"/>
    <w:rsid w:val="00345912"/>
    <w:rsid w:val="00345EDF"/>
    <w:rsid w:val="003461DB"/>
    <w:rsid w:val="00346D66"/>
    <w:rsid w:val="00347516"/>
    <w:rsid w:val="00347F04"/>
    <w:rsid w:val="00350525"/>
    <w:rsid w:val="0035126E"/>
    <w:rsid w:val="0035249E"/>
    <w:rsid w:val="00352769"/>
    <w:rsid w:val="00352E0A"/>
    <w:rsid w:val="00352E68"/>
    <w:rsid w:val="003546A3"/>
    <w:rsid w:val="00355E23"/>
    <w:rsid w:val="003569A0"/>
    <w:rsid w:val="00361678"/>
    <w:rsid w:val="00361F62"/>
    <w:rsid w:val="00362018"/>
    <w:rsid w:val="00362834"/>
    <w:rsid w:val="0036311E"/>
    <w:rsid w:val="00363327"/>
    <w:rsid w:val="00363AAB"/>
    <w:rsid w:val="00366764"/>
    <w:rsid w:val="00370225"/>
    <w:rsid w:val="00370888"/>
    <w:rsid w:val="00370A28"/>
    <w:rsid w:val="0037116A"/>
    <w:rsid w:val="0037212A"/>
    <w:rsid w:val="0037347F"/>
    <w:rsid w:val="003739C5"/>
    <w:rsid w:val="00373CF8"/>
    <w:rsid w:val="00374399"/>
    <w:rsid w:val="003745FE"/>
    <w:rsid w:val="003747D0"/>
    <w:rsid w:val="00375DCE"/>
    <w:rsid w:val="00376282"/>
    <w:rsid w:val="003776AA"/>
    <w:rsid w:val="00377D5E"/>
    <w:rsid w:val="0038029B"/>
    <w:rsid w:val="003809AF"/>
    <w:rsid w:val="0038191F"/>
    <w:rsid w:val="003819CC"/>
    <w:rsid w:val="00382E34"/>
    <w:rsid w:val="00384541"/>
    <w:rsid w:val="00384D9E"/>
    <w:rsid w:val="00384DA6"/>
    <w:rsid w:val="00390CF9"/>
    <w:rsid w:val="003910BA"/>
    <w:rsid w:val="0039177A"/>
    <w:rsid w:val="00391C58"/>
    <w:rsid w:val="00391C9B"/>
    <w:rsid w:val="003923EF"/>
    <w:rsid w:val="00392D78"/>
    <w:rsid w:val="003940FE"/>
    <w:rsid w:val="003961AE"/>
    <w:rsid w:val="0039695A"/>
    <w:rsid w:val="003977D8"/>
    <w:rsid w:val="003A07BF"/>
    <w:rsid w:val="003A1055"/>
    <w:rsid w:val="003A2612"/>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FBF"/>
    <w:rsid w:val="003B21F7"/>
    <w:rsid w:val="003B2EFF"/>
    <w:rsid w:val="003B3666"/>
    <w:rsid w:val="003B3875"/>
    <w:rsid w:val="003B41C7"/>
    <w:rsid w:val="003B496A"/>
    <w:rsid w:val="003B5FA0"/>
    <w:rsid w:val="003B6047"/>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E4D"/>
    <w:rsid w:val="003C5493"/>
    <w:rsid w:val="003C6F87"/>
    <w:rsid w:val="003C7251"/>
    <w:rsid w:val="003C7719"/>
    <w:rsid w:val="003C776C"/>
    <w:rsid w:val="003D0040"/>
    <w:rsid w:val="003D02CD"/>
    <w:rsid w:val="003D3787"/>
    <w:rsid w:val="003D4AAD"/>
    <w:rsid w:val="003D5FD3"/>
    <w:rsid w:val="003D61B5"/>
    <w:rsid w:val="003D6CFB"/>
    <w:rsid w:val="003E15B9"/>
    <w:rsid w:val="003E1D8E"/>
    <w:rsid w:val="003E28EB"/>
    <w:rsid w:val="003E2DB0"/>
    <w:rsid w:val="003E3B30"/>
    <w:rsid w:val="003E53BB"/>
    <w:rsid w:val="003E5A6B"/>
    <w:rsid w:val="003E65F5"/>
    <w:rsid w:val="003F0F5F"/>
    <w:rsid w:val="003F14BD"/>
    <w:rsid w:val="003F1EF0"/>
    <w:rsid w:val="003F2DBE"/>
    <w:rsid w:val="003F4461"/>
    <w:rsid w:val="003F4A0E"/>
    <w:rsid w:val="003F589D"/>
    <w:rsid w:val="003F58AF"/>
    <w:rsid w:val="003F6728"/>
    <w:rsid w:val="003F6F4E"/>
    <w:rsid w:val="003F7F2F"/>
    <w:rsid w:val="00400F0F"/>
    <w:rsid w:val="0040136C"/>
    <w:rsid w:val="00401792"/>
    <w:rsid w:val="00402758"/>
    <w:rsid w:val="00402838"/>
    <w:rsid w:val="0040304B"/>
    <w:rsid w:val="0040325C"/>
    <w:rsid w:val="00404159"/>
    <w:rsid w:val="004043E9"/>
    <w:rsid w:val="00404967"/>
    <w:rsid w:val="004070B7"/>
    <w:rsid w:val="0041349F"/>
    <w:rsid w:val="0041365C"/>
    <w:rsid w:val="00413C81"/>
    <w:rsid w:val="004143CB"/>
    <w:rsid w:val="00414FEA"/>
    <w:rsid w:val="0041514F"/>
    <w:rsid w:val="00415998"/>
    <w:rsid w:val="00416250"/>
    <w:rsid w:val="004170D0"/>
    <w:rsid w:val="00417A18"/>
    <w:rsid w:val="00420273"/>
    <w:rsid w:val="00420950"/>
    <w:rsid w:val="004216A9"/>
    <w:rsid w:val="00421726"/>
    <w:rsid w:val="00421CA3"/>
    <w:rsid w:val="00422FBD"/>
    <w:rsid w:val="00423A30"/>
    <w:rsid w:val="00423BCE"/>
    <w:rsid w:val="00424D45"/>
    <w:rsid w:val="00424E9C"/>
    <w:rsid w:val="00424EF0"/>
    <w:rsid w:val="00426370"/>
    <w:rsid w:val="004278B3"/>
    <w:rsid w:val="00427DD6"/>
    <w:rsid w:val="0043130B"/>
    <w:rsid w:val="00431D4D"/>
    <w:rsid w:val="00433A7A"/>
    <w:rsid w:val="00433DB7"/>
    <w:rsid w:val="00433E14"/>
    <w:rsid w:val="00434298"/>
    <w:rsid w:val="00435119"/>
    <w:rsid w:val="0043678A"/>
    <w:rsid w:val="00436802"/>
    <w:rsid w:val="00437204"/>
    <w:rsid w:val="004374D6"/>
    <w:rsid w:val="00440EFA"/>
    <w:rsid w:val="004410A6"/>
    <w:rsid w:val="00441FB4"/>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D94"/>
    <w:rsid w:val="004557DA"/>
    <w:rsid w:val="004559B9"/>
    <w:rsid w:val="00455E5A"/>
    <w:rsid w:val="0045699B"/>
    <w:rsid w:val="00456A3D"/>
    <w:rsid w:val="00456D75"/>
    <w:rsid w:val="004577C1"/>
    <w:rsid w:val="004578B2"/>
    <w:rsid w:val="004600BA"/>
    <w:rsid w:val="00462483"/>
    <w:rsid w:val="004624DE"/>
    <w:rsid w:val="004625A7"/>
    <w:rsid w:val="0046281F"/>
    <w:rsid w:val="00462D2D"/>
    <w:rsid w:val="004634EA"/>
    <w:rsid w:val="00463D01"/>
    <w:rsid w:val="0046405B"/>
    <w:rsid w:val="00464BA8"/>
    <w:rsid w:val="004651E0"/>
    <w:rsid w:val="00465BA4"/>
    <w:rsid w:val="0046603A"/>
    <w:rsid w:val="0046611E"/>
    <w:rsid w:val="0046721A"/>
    <w:rsid w:val="00470774"/>
    <w:rsid w:val="0047086A"/>
    <w:rsid w:val="004713D1"/>
    <w:rsid w:val="00472138"/>
    <w:rsid w:val="00472221"/>
    <w:rsid w:val="004725E6"/>
    <w:rsid w:val="00473539"/>
    <w:rsid w:val="004737F0"/>
    <w:rsid w:val="00473AB0"/>
    <w:rsid w:val="00474848"/>
    <w:rsid w:val="00474989"/>
    <w:rsid w:val="00475880"/>
    <w:rsid w:val="00475E2D"/>
    <w:rsid w:val="004761C7"/>
    <w:rsid w:val="0047630E"/>
    <w:rsid w:val="004765BA"/>
    <w:rsid w:val="0047666D"/>
    <w:rsid w:val="00476A20"/>
    <w:rsid w:val="00476B4C"/>
    <w:rsid w:val="00480C58"/>
    <w:rsid w:val="0048106A"/>
    <w:rsid w:val="00482A0C"/>
    <w:rsid w:val="00482C64"/>
    <w:rsid w:val="00483A7E"/>
    <w:rsid w:val="00484C42"/>
    <w:rsid w:val="00484E18"/>
    <w:rsid w:val="004855E0"/>
    <w:rsid w:val="00485BBF"/>
    <w:rsid w:val="0048675D"/>
    <w:rsid w:val="004868E8"/>
    <w:rsid w:val="00486CF4"/>
    <w:rsid w:val="0048717F"/>
    <w:rsid w:val="004871E4"/>
    <w:rsid w:val="00487F39"/>
    <w:rsid w:val="00492994"/>
    <w:rsid w:val="00494644"/>
    <w:rsid w:val="004952E2"/>
    <w:rsid w:val="00495547"/>
    <w:rsid w:val="004955D2"/>
    <w:rsid w:val="00496FEA"/>
    <w:rsid w:val="0049743B"/>
    <w:rsid w:val="00497C4D"/>
    <w:rsid w:val="004A00BD"/>
    <w:rsid w:val="004A048F"/>
    <w:rsid w:val="004A1179"/>
    <w:rsid w:val="004A13F5"/>
    <w:rsid w:val="004A15B3"/>
    <w:rsid w:val="004A1709"/>
    <w:rsid w:val="004A38B9"/>
    <w:rsid w:val="004A3CF1"/>
    <w:rsid w:val="004A4483"/>
    <w:rsid w:val="004A476A"/>
    <w:rsid w:val="004A571B"/>
    <w:rsid w:val="004A5828"/>
    <w:rsid w:val="004A72AF"/>
    <w:rsid w:val="004A7446"/>
    <w:rsid w:val="004A7F62"/>
    <w:rsid w:val="004B0B07"/>
    <w:rsid w:val="004B1014"/>
    <w:rsid w:val="004B11A4"/>
    <w:rsid w:val="004B2F3F"/>
    <w:rsid w:val="004B32D8"/>
    <w:rsid w:val="004B3BC6"/>
    <w:rsid w:val="004B3FD9"/>
    <w:rsid w:val="004B6512"/>
    <w:rsid w:val="004B69B2"/>
    <w:rsid w:val="004B6C0B"/>
    <w:rsid w:val="004B755C"/>
    <w:rsid w:val="004B782D"/>
    <w:rsid w:val="004C1866"/>
    <w:rsid w:val="004C1CEE"/>
    <w:rsid w:val="004C4C71"/>
    <w:rsid w:val="004C6F4C"/>
    <w:rsid w:val="004C7EE6"/>
    <w:rsid w:val="004D055A"/>
    <w:rsid w:val="004D0C88"/>
    <w:rsid w:val="004D0ED6"/>
    <w:rsid w:val="004D12C4"/>
    <w:rsid w:val="004D140B"/>
    <w:rsid w:val="004D257E"/>
    <w:rsid w:val="004D2E91"/>
    <w:rsid w:val="004D364A"/>
    <w:rsid w:val="004D402E"/>
    <w:rsid w:val="004D494B"/>
    <w:rsid w:val="004D4BDA"/>
    <w:rsid w:val="004D6D75"/>
    <w:rsid w:val="004D7C38"/>
    <w:rsid w:val="004E00C8"/>
    <w:rsid w:val="004E087F"/>
    <w:rsid w:val="004E0F0B"/>
    <w:rsid w:val="004E1360"/>
    <w:rsid w:val="004E1471"/>
    <w:rsid w:val="004E1A9D"/>
    <w:rsid w:val="004E393A"/>
    <w:rsid w:val="004E4074"/>
    <w:rsid w:val="004E4B8A"/>
    <w:rsid w:val="004E4D6B"/>
    <w:rsid w:val="004E5163"/>
    <w:rsid w:val="004E6EEC"/>
    <w:rsid w:val="004E7413"/>
    <w:rsid w:val="004E7E47"/>
    <w:rsid w:val="004F0C02"/>
    <w:rsid w:val="004F0C1C"/>
    <w:rsid w:val="004F1386"/>
    <w:rsid w:val="004F1483"/>
    <w:rsid w:val="004F1C60"/>
    <w:rsid w:val="004F20A4"/>
    <w:rsid w:val="004F2261"/>
    <w:rsid w:val="004F2A13"/>
    <w:rsid w:val="004F348D"/>
    <w:rsid w:val="004F34AB"/>
    <w:rsid w:val="004F3C7D"/>
    <w:rsid w:val="004F494A"/>
    <w:rsid w:val="004F53DE"/>
    <w:rsid w:val="004F5E31"/>
    <w:rsid w:val="004F64DD"/>
    <w:rsid w:val="004F7463"/>
    <w:rsid w:val="004F756B"/>
    <w:rsid w:val="004F7E56"/>
    <w:rsid w:val="00500859"/>
    <w:rsid w:val="005018AB"/>
    <w:rsid w:val="005024FD"/>
    <w:rsid w:val="005036AB"/>
    <w:rsid w:val="00504107"/>
    <w:rsid w:val="005046A6"/>
    <w:rsid w:val="00504809"/>
    <w:rsid w:val="00504D1A"/>
    <w:rsid w:val="00507464"/>
    <w:rsid w:val="00507A51"/>
    <w:rsid w:val="00510105"/>
    <w:rsid w:val="0051067B"/>
    <w:rsid w:val="00511AB2"/>
    <w:rsid w:val="00511C1D"/>
    <w:rsid w:val="0051396A"/>
    <w:rsid w:val="00513985"/>
    <w:rsid w:val="00513D98"/>
    <w:rsid w:val="0051407E"/>
    <w:rsid w:val="00514367"/>
    <w:rsid w:val="00514C11"/>
    <w:rsid w:val="0051509A"/>
    <w:rsid w:val="0051553C"/>
    <w:rsid w:val="005155CD"/>
    <w:rsid w:val="00515CD0"/>
    <w:rsid w:val="00516351"/>
    <w:rsid w:val="00516737"/>
    <w:rsid w:val="005179CD"/>
    <w:rsid w:val="00520619"/>
    <w:rsid w:val="00520D39"/>
    <w:rsid w:val="00520F5D"/>
    <w:rsid w:val="005217D0"/>
    <w:rsid w:val="00521EAE"/>
    <w:rsid w:val="00522CFA"/>
    <w:rsid w:val="00523FAA"/>
    <w:rsid w:val="00524F62"/>
    <w:rsid w:val="00525A27"/>
    <w:rsid w:val="00525B28"/>
    <w:rsid w:val="00525B5D"/>
    <w:rsid w:val="0052615D"/>
    <w:rsid w:val="005262C1"/>
    <w:rsid w:val="00526DC0"/>
    <w:rsid w:val="005272DB"/>
    <w:rsid w:val="00530769"/>
    <w:rsid w:val="00530F27"/>
    <w:rsid w:val="0053161B"/>
    <w:rsid w:val="0053197E"/>
    <w:rsid w:val="005319BD"/>
    <w:rsid w:val="005322E8"/>
    <w:rsid w:val="005331BB"/>
    <w:rsid w:val="00533B0C"/>
    <w:rsid w:val="00533E58"/>
    <w:rsid w:val="005340E9"/>
    <w:rsid w:val="00534663"/>
    <w:rsid w:val="00534F0F"/>
    <w:rsid w:val="00535B05"/>
    <w:rsid w:val="00536507"/>
    <w:rsid w:val="00536749"/>
    <w:rsid w:val="00536947"/>
    <w:rsid w:val="00536F59"/>
    <w:rsid w:val="00540BE5"/>
    <w:rsid w:val="00540D34"/>
    <w:rsid w:val="0054124F"/>
    <w:rsid w:val="0054138E"/>
    <w:rsid w:val="00542D94"/>
    <w:rsid w:val="005437D9"/>
    <w:rsid w:val="0054574A"/>
    <w:rsid w:val="005459A8"/>
    <w:rsid w:val="00545FA0"/>
    <w:rsid w:val="0054617E"/>
    <w:rsid w:val="005473C2"/>
    <w:rsid w:val="0055088F"/>
    <w:rsid w:val="00550901"/>
    <w:rsid w:val="00550D9A"/>
    <w:rsid w:val="00550FC1"/>
    <w:rsid w:val="005510B1"/>
    <w:rsid w:val="00552C72"/>
    <w:rsid w:val="0055373D"/>
    <w:rsid w:val="00553ADE"/>
    <w:rsid w:val="00554311"/>
    <w:rsid w:val="00555729"/>
    <w:rsid w:val="005566A3"/>
    <w:rsid w:val="00556ACB"/>
    <w:rsid w:val="00556FC4"/>
    <w:rsid w:val="005573B3"/>
    <w:rsid w:val="005573BB"/>
    <w:rsid w:val="00557804"/>
    <w:rsid w:val="00557D06"/>
    <w:rsid w:val="00562F31"/>
    <w:rsid w:val="005630B4"/>
    <w:rsid w:val="00564357"/>
    <w:rsid w:val="005643BD"/>
    <w:rsid w:val="00564BFF"/>
    <w:rsid w:val="00565369"/>
    <w:rsid w:val="0056613A"/>
    <w:rsid w:val="0056654D"/>
    <w:rsid w:val="00566D6C"/>
    <w:rsid w:val="00571E72"/>
    <w:rsid w:val="00573310"/>
    <w:rsid w:val="005735FC"/>
    <w:rsid w:val="005740D8"/>
    <w:rsid w:val="00574250"/>
    <w:rsid w:val="00574970"/>
    <w:rsid w:val="00574BBB"/>
    <w:rsid w:val="0057557B"/>
    <w:rsid w:val="00575688"/>
    <w:rsid w:val="005756A5"/>
    <w:rsid w:val="00576416"/>
    <w:rsid w:val="00576498"/>
    <w:rsid w:val="00576F84"/>
    <w:rsid w:val="00577A0F"/>
    <w:rsid w:val="00581329"/>
    <w:rsid w:val="00582C08"/>
    <w:rsid w:val="00582C70"/>
    <w:rsid w:val="00582D95"/>
    <w:rsid w:val="005838E8"/>
    <w:rsid w:val="00583FAD"/>
    <w:rsid w:val="005843B2"/>
    <w:rsid w:val="00585557"/>
    <w:rsid w:val="00585BC2"/>
    <w:rsid w:val="00585D34"/>
    <w:rsid w:val="00586C93"/>
    <w:rsid w:val="00586DCA"/>
    <w:rsid w:val="00587A22"/>
    <w:rsid w:val="00590614"/>
    <w:rsid w:val="005913D1"/>
    <w:rsid w:val="005918D1"/>
    <w:rsid w:val="00594011"/>
    <w:rsid w:val="005945C8"/>
    <w:rsid w:val="00595FD8"/>
    <w:rsid w:val="00597845"/>
    <w:rsid w:val="005A08D0"/>
    <w:rsid w:val="005A1138"/>
    <w:rsid w:val="005A1818"/>
    <w:rsid w:val="005A18E0"/>
    <w:rsid w:val="005A1CA1"/>
    <w:rsid w:val="005A3341"/>
    <w:rsid w:val="005A3A3E"/>
    <w:rsid w:val="005A3BF3"/>
    <w:rsid w:val="005A3EDC"/>
    <w:rsid w:val="005A43C0"/>
    <w:rsid w:val="005A4830"/>
    <w:rsid w:val="005A4FE1"/>
    <w:rsid w:val="005A7BC0"/>
    <w:rsid w:val="005A7E73"/>
    <w:rsid w:val="005B0A78"/>
    <w:rsid w:val="005B188F"/>
    <w:rsid w:val="005B2415"/>
    <w:rsid w:val="005B2789"/>
    <w:rsid w:val="005B4004"/>
    <w:rsid w:val="005B5169"/>
    <w:rsid w:val="005B6725"/>
    <w:rsid w:val="005B7DDF"/>
    <w:rsid w:val="005C0C52"/>
    <w:rsid w:val="005C14C2"/>
    <w:rsid w:val="005C362A"/>
    <w:rsid w:val="005C3FFD"/>
    <w:rsid w:val="005C4311"/>
    <w:rsid w:val="005C6BF5"/>
    <w:rsid w:val="005C6DCB"/>
    <w:rsid w:val="005D0690"/>
    <w:rsid w:val="005D22B2"/>
    <w:rsid w:val="005D3A4C"/>
    <w:rsid w:val="005D3F8B"/>
    <w:rsid w:val="005D5508"/>
    <w:rsid w:val="005D6D24"/>
    <w:rsid w:val="005D7714"/>
    <w:rsid w:val="005D799E"/>
    <w:rsid w:val="005E00AD"/>
    <w:rsid w:val="005E1087"/>
    <w:rsid w:val="005E2832"/>
    <w:rsid w:val="005E3DB9"/>
    <w:rsid w:val="005E414F"/>
    <w:rsid w:val="005E5083"/>
    <w:rsid w:val="005E54D4"/>
    <w:rsid w:val="005E59DB"/>
    <w:rsid w:val="005E635B"/>
    <w:rsid w:val="005F00C3"/>
    <w:rsid w:val="005F28F5"/>
    <w:rsid w:val="005F408F"/>
    <w:rsid w:val="005F4279"/>
    <w:rsid w:val="005F481B"/>
    <w:rsid w:val="005F5010"/>
    <w:rsid w:val="005F5034"/>
    <w:rsid w:val="005F61B8"/>
    <w:rsid w:val="005F6257"/>
    <w:rsid w:val="005F762F"/>
    <w:rsid w:val="005F7AB7"/>
    <w:rsid w:val="0060065D"/>
    <w:rsid w:val="006029F5"/>
    <w:rsid w:val="00603B42"/>
    <w:rsid w:val="00603E99"/>
    <w:rsid w:val="00604467"/>
    <w:rsid w:val="006051E2"/>
    <w:rsid w:val="0060541C"/>
    <w:rsid w:val="00605E0D"/>
    <w:rsid w:val="00606346"/>
    <w:rsid w:val="00606607"/>
    <w:rsid w:val="00606705"/>
    <w:rsid w:val="006070BE"/>
    <w:rsid w:val="006073AD"/>
    <w:rsid w:val="0061037F"/>
    <w:rsid w:val="006104B2"/>
    <w:rsid w:val="006111D4"/>
    <w:rsid w:val="006116B4"/>
    <w:rsid w:val="006122DB"/>
    <w:rsid w:val="00612978"/>
    <w:rsid w:val="006133A3"/>
    <w:rsid w:val="00613A18"/>
    <w:rsid w:val="006147C9"/>
    <w:rsid w:val="00614B2B"/>
    <w:rsid w:val="0061562D"/>
    <w:rsid w:val="00615BD0"/>
    <w:rsid w:val="00616172"/>
    <w:rsid w:val="00616AB4"/>
    <w:rsid w:val="00617122"/>
    <w:rsid w:val="00617B8B"/>
    <w:rsid w:val="00617D05"/>
    <w:rsid w:val="00617F81"/>
    <w:rsid w:val="00620267"/>
    <w:rsid w:val="00621DEC"/>
    <w:rsid w:val="00621E66"/>
    <w:rsid w:val="00622107"/>
    <w:rsid w:val="006221A4"/>
    <w:rsid w:val="00622F65"/>
    <w:rsid w:val="006237B0"/>
    <w:rsid w:val="00625011"/>
    <w:rsid w:val="006253B8"/>
    <w:rsid w:val="0062595D"/>
    <w:rsid w:val="00625AF2"/>
    <w:rsid w:val="0063007F"/>
    <w:rsid w:val="00630925"/>
    <w:rsid w:val="00631022"/>
    <w:rsid w:val="006315A8"/>
    <w:rsid w:val="006318FB"/>
    <w:rsid w:val="0063215B"/>
    <w:rsid w:val="00632DF6"/>
    <w:rsid w:val="00633452"/>
    <w:rsid w:val="00634A84"/>
    <w:rsid w:val="00634AD8"/>
    <w:rsid w:val="00636B0E"/>
    <w:rsid w:val="00637BE2"/>
    <w:rsid w:val="00640F04"/>
    <w:rsid w:val="006414D9"/>
    <w:rsid w:val="00641AC8"/>
    <w:rsid w:val="00642FF1"/>
    <w:rsid w:val="0064369A"/>
    <w:rsid w:val="0064501C"/>
    <w:rsid w:val="00646642"/>
    <w:rsid w:val="00646E42"/>
    <w:rsid w:val="0064716E"/>
    <w:rsid w:val="00647F29"/>
    <w:rsid w:val="00650305"/>
    <w:rsid w:val="00650385"/>
    <w:rsid w:val="00650588"/>
    <w:rsid w:val="00650873"/>
    <w:rsid w:val="00650CF7"/>
    <w:rsid w:val="00650D52"/>
    <w:rsid w:val="00650E5B"/>
    <w:rsid w:val="006510EC"/>
    <w:rsid w:val="00651541"/>
    <w:rsid w:val="00652AA7"/>
    <w:rsid w:val="0065340E"/>
    <w:rsid w:val="006535AD"/>
    <w:rsid w:val="00653B49"/>
    <w:rsid w:val="00653D42"/>
    <w:rsid w:val="006544DF"/>
    <w:rsid w:val="0065474E"/>
    <w:rsid w:val="0065501F"/>
    <w:rsid w:val="00655963"/>
    <w:rsid w:val="0065643A"/>
    <w:rsid w:val="006570CC"/>
    <w:rsid w:val="00657135"/>
    <w:rsid w:val="0065724F"/>
    <w:rsid w:val="00660214"/>
    <w:rsid w:val="00660BFE"/>
    <w:rsid w:val="006619C3"/>
    <w:rsid w:val="00661A0F"/>
    <w:rsid w:val="006628E4"/>
    <w:rsid w:val="00664D35"/>
    <w:rsid w:val="00665097"/>
    <w:rsid w:val="00665E2F"/>
    <w:rsid w:val="0066646D"/>
    <w:rsid w:val="00667873"/>
    <w:rsid w:val="00671E7A"/>
    <w:rsid w:val="00672EE9"/>
    <w:rsid w:val="00674187"/>
    <w:rsid w:val="006746B1"/>
    <w:rsid w:val="00674A5C"/>
    <w:rsid w:val="0067594B"/>
    <w:rsid w:val="00676225"/>
    <w:rsid w:val="006766B1"/>
    <w:rsid w:val="006800AF"/>
    <w:rsid w:val="00680330"/>
    <w:rsid w:val="006822BE"/>
    <w:rsid w:val="00682424"/>
    <w:rsid w:val="006833AD"/>
    <w:rsid w:val="0068408E"/>
    <w:rsid w:val="00685039"/>
    <w:rsid w:val="006856E6"/>
    <w:rsid w:val="00685BA9"/>
    <w:rsid w:val="00686ABE"/>
    <w:rsid w:val="00687993"/>
    <w:rsid w:val="006902F0"/>
    <w:rsid w:val="006905D0"/>
    <w:rsid w:val="00690AC9"/>
    <w:rsid w:val="00692716"/>
    <w:rsid w:val="006935F4"/>
    <w:rsid w:val="00693A7B"/>
    <w:rsid w:val="00693B33"/>
    <w:rsid w:val="00694144"/>
    <w:rsid w:val="00695D5E"/>
    <w:rsid w:val="006973EB"/>
    <w:rsid w:val="0069761B"/>
    <w:rsid w:val="006A02EA"/>
    <w:rsid w:val="006A05A9"/>
    <w:rsid w:val="006A11BE"/>
    <w:rsid w:val="006A36A8"/>
    <w:rsid w:val="006A36C0"/>
    <w:rsid w:val="006A3AA9"/>
    <w:rsid w:val="006A5203"/>
    <w:rsid w:val="006A6410"/>
    <w:rsid w:val="006A728F"/>
    <w:rsid w:val="006A75D3"/>
    <w:rsid w:val="006B0F30"/>
    <w:rsid w:val="006B10DC"/>
    <w:rsid w:val="006B2FE9"/>
    <w:rsid w:val="006B33AE"/>
    <w:rsid w:val="006B3671"/>
    <w:rsid w:val="006B486C"/>
    <w:rsid w:val="006B4CA9"/>
    <w:rsid w:val="006B59B9"/>
    <w:rsid w:val="006B64EC"/>
    <w:rsid w:val="006B7031"/>
    <w:rsid w:val="006B7B05"/>
    <w:rsid w:val="006C0CA1"/>
    <w:rsid w:val="006C100B"/>
    <w:rsid w:val="006C28CF"/>
    <w:rsid w:val="006C3B7E"/>
    <w:rsid w:val="006C4BB8"/>
    <w:rsid w:val="006C6111"/>
    <w:rsid w:val="006C6B39"/>
    <w:rsid w:val="006C7125"/>
    <w:rsid w:val="006D0CD0"/>
    <w:rsid w:val="006D16E4"/>
    <w:rsid w:val="006D1912"/>
    <w:rsid w:val="006D1A2B"/>
    <w:rsid w:val="006D20B0"/>
    <w:rsid w:val="006D275D"/>
    <w:rsid w:val="006D43D3"/>
    <w:rsid w:val="006D4925"/>
    <w:rsid w:val="006D4F8F"/>
    <w:rsid w:val="006D5982"/>
    <w:rsid w:val="006D5E8D"/>
    <w:rsid w:val="006D5F86"/>
    <w:rsid w:val="006D6023"/>
    <w:rsid w:val="006D773D"/>
    <w:rsid w:val="006D7F35"/>
    <w:rsid w:val="006E1738"/>
    <w:rsid w:val="006E3226"/>
    <w:rsid w:val="006E322D"/>
    <w:rsid w:val="006E39C5"/>
    <w:rsid w:val="006E50D3"/>
    <w:rsid w:val="006E52F6"/>
    <w:rsid w:val="006F014A"/>
    <w:rsid w:val="006F0EFF"/>
    <w:rsid w:val="006F2318"/>
    <w:rsid w:val="006F2A7D"/>
    <w:rsid w:val="006F322B"/>
    <w:rsid w:val="006F391E"/>
    <w:rsid w:val="006F4490"/>
    <w:rsid w:val="006F4A54"/>
    <w:rsid w:val="006F4BF7"/>
    <w:rsid w:val="006F5957"/>
    <w:rsid w:val="006F66A1"/>
    <w:rsid w:val="006F673C"/>
    <w:rsid w:val="006F6E86"/>
    <w:rsid w:val="006F7D1B"/>
    <w:rsid w:val="0070083E"/>
    <w:rsid w:val="00700BCA"/>
    <w:rsid w:val="00700F54"/>
    <w:rsid w:val="007011EC"/>
    <w:rsid w:val="007016F6"/>
    <w:rsid w:val="00701B5B"/>
    <w:rsid w:val="00702A40"/>
    <w:rsid w:val="0070373C"/>
    <w:rsid w:val="00703FA0"/>
    <w:rsid w:val="00704C17"/>
    <w:rsid w:val="007059B2"/>
    <w:rsid w:val="007063F7"/>
    <w:rsid w:val="00707D22"/>
    <w:rsid w:val="0071007C"/>
    <w:rsid w:val="007104B6"/>
    <w:rsid w:val="007122B2"/>
    <w:rsid w:val="0071263E"/>
    <w:rsid w:val="007128D9"/>
    <w:rsid w:val="007134D3"/>
    <w:rsid w:val="0071352E"/>
    <w:rsid w:val="00713972"/>
    <w:rsid w:val="00715709"/>
    <w:rsid w:val="00715B7C"/>
    <w:rsid w:val="00715CA8"/>
    <w:rsid w:val="007164C1"/>
    <w:rsid w:val="007166D8"/>
    <w:rsid w:val="007169DD"/>
    <w:rsid w:val="00717130"/>
    <w:rsid w:val="00717461"/>
    <w:rsid w:val="00717710"/>
    <w:rsid w:val="0072060C"/>
    <w:rsid w:val="00720D77"/>
    <w:rsid w:val="007227E3"/>
    <w:rsid w:val="00722E3B"/>
    <w:rsid w:val="0072398B"/>
    <w:rsid w:val="00723A08"/>
    <w:rsid w:val="007243C1"/>
    <w:rsid w:val="00724F2E"/>
    <w:rsid w:val="00725433"/>
    <w:rsid w:val="00727644"/>
    <w:rsid w:val="00727F8D"/>
    <w:rsid w:val="0073008A"/>
    <w:rsid w:val="00730959"/>
    <w:rsid w:val="0073226E"/>
    <w:rsid w:val="007327EA"/>
    <w:rsid w:val="007341C1"/>
    <w:rsid w:val="00734221"/>
    <w:rsid w:val="0073456C"/>
    <w:rsid w:val="007350D8"/>
    <w:rsid w:val="007362A1"/>
    <w:rsid w:val="00736E83"/>
    <w:rsid w:val="00741C9B"/>
    <w:rsid w:val="00741E58"/>
    <w:rsid w:val="00742D40"/>
    <w:rsid w:val="00742E14"/>
    <w:rsid w:val="00743466"/>
    <w:rsid w:val="00743759"/>
    <w:rsid w:val="00744152"/>
    <w:rsid w:val="007450A5"/>
    <w:rsid w:val="007453E4"/>
    <w:rsid w:val="00745BF1"/>
    <w:rsid w:val="00746369"/>
    <w:rsid w:val="00746F3A"/>
    <w:rsid w:val="00747DFB"/>
    <w:rsid w:val="00750CD5"/>
    <w:rsid w:val="00751D4E"/>
    <w:rsid w:val="00752483"/>
    <w:rsid w:val="007529F4"/>
    <w:rsid w:val="00752FA3"/>
    <w:rsid w:val="00753E04"/>
    <w:rsid w:val="00754110"/>
    <w:rsid w:val="00754A1A"/>
    <w:rsid w:val="007555EC"/>
    <w:rsid w:val="0075665C"/>
    <w:rsid w:val="00756827"/>
    <w:rsid w:val="00756ABA"/>
    <w:rsid w:val="00760C8C"/>
    <w:rsid w:val="00761753"/>
    <w:rsid w:val="00762352"/>
    <w:rsid w:val="00762BBD"/>
    <w:rsid w:val="007637D6"/>
    <w:rsid w:val="00764FE1"/>
    <w:rsid w:val="00767A2B"/>
    <w:rsid w:val="00770084"/>
    <w:rsid w:val="007700EC"/>
    <w:rsid w:val="0077028E"/>
    <w:rsid w:val="0077063D"/>
    <w:rsid w:val="007709B9"/>
    <w:rsid w:val="0077120F"/>
    <w:rsid w:val="007721A8"/>
    <w:rsid w:val="007730E3"/>
    <w:rsid w:val="00773230"/>
    <w:rsid w:val="00773D6B"/>
    <w:rsid w:val="00773DD2"/>
    <w:rsid w:val="00774A11"/>
    <w:rsid w:val="00774A90"/>
    <w:rsid w:val="00775707"/>
    <w:rsid w:val="007767D3"/>
    <w:rsid w:val="00776F26"/>
    <w:rsid w:val="007800BD"/>
    <w:rsid w:val="00780303"/>
    <w:rsid w:val="0078056F"/>
    <w:rsid w:val="00780A42"/>
    <w:rsid w:val="00780CF3"/>
    <w:rsid w:val="00781A26"/>
    <w:rsid w:val="0078252B"/>
    <w:rsid w:val="007825DE"/>
    <w:rsid w:val="00782908"/>
    <w:rsid w:val="00782B5F"/>
    <w:rsid w:val="0078491F"/>
    <w:rsid w:val="00784AAF"/>
    <w:rsid w:val="00786521"/>
    <w:rsid w:val="007874BB"/>
    <w:rsid w:val="00791ADA"/>
    <w:rsid w:val="00791DEB"/>
    <w:rsid w:val="0079360D"/>
    <w:rsid w:val="00793FF9"/>
    <w:rsid w:val="00794BA1"/>
    <w:rsid w:val="00796266"/>
    <w:rsid w:val="00797A93"/>
    <w:rsid w:val="007A009C"/>
    <w:rsid w:val="007A0BD2"/>
    <w:rsid w:val="007A1A42"/>
    <w:rsid w:val="007A1B2A"/>
    <w:rsid w:val="007A396F"/>
    <w:rsid w:val="007A4872"/>
    <w:rsid w:val="007A4D2D"/>
    <w:rsid w:val="007A4E60"/>
    <w:rsid w:val="007A511A"/>
    <w:rsid w:val="007A6310"/>
    <w:rsid w:val="007A6B9D"/>
    <w:rsid w:val="007A715D"/>
    <w:rsid w:val="007A76EE"/>
    <w:rsid w:val="007A7DA4"/>
    <w:rsid w:val="007A7F27"/>
    <w:rsid w:val="007B0787"/>
    <w:rsid w:val="007B0A26"/>
    <w:rsid w:val="007B1221"/>
    <w:rsid w:val="007B151D"/>
    <w:rsid w:val="007B1B7E"/>
    <w:rsid w:val="007B2B8D"/>
    <w:rsid w:val="007B46BF"/>
    <w:rsid w:val="007B5842"/>
    <w:rsid w:val="007B6D8E"/>
    <w:rsid w:val="007B7ACE"/>
    <w:rsid w:val="007C08C2"/>
    <w:rsid w:val="007C0DC7"/>
    <w:rsid w:val="007C139C"/>
    <w:rsid w:val="007C1A22"/>
    <w:rsid w:val="007C1AC4"/>
    <w:rsid w:val="007C1FC9"/>
    <w:rsid w:val="007C2607"/>
    <w:rsid w:val="007C2A9F"/>
    <w:rsid w:val="007C3268"/>
    <w:rsid w:val="007C32E1"/>
    <w:rsid w:val="007C364C"/>
    <w:rsid w:val="007C4262"/>
    <w:rsid w:val="007C454A"/>
    <w:rsid w:val="007C5CB2"/>
    <w:rsid w:val="007D12EA"/>
    <w:rsid w:val="007D2CBD"/>
    <w:rsid w:val="007D374D"/>
    <w:rsid w:val="007D41F8"/>
    <w:rsid w:val="007D527A"/>
    <w:rsid w:val="007D6635"/>
    <w:rsid w:val="007D798F"/>
    <w:rsid w:val="007D7A3B"/>
    <w:rsid w:val="007E0FCC"/>
    <w:rsid w:val="007E14EE"/>
    <w:rsid w:val="007E1738"/>
    <w:rsid w:val="007E2AF5"/>
    <w:rsid w:val="007E4314"/>
    <w:rsid w:val="007E43DA"/>
    <w:rsid w:val="007E5038"/>
    <w:rsid w:val="007E57D2"/>
    <w:rsid w:val="007E58E3"/>
    <w:rsid w:val="007E5C06"/>
    <w:rsid w:val="007E5D64"/>
    <w:rsid w:val="007E64AD"/>
    <w:rsid w:val="007E6810"/>
    <w:rsid w:val="007E6F9F"/>
    <w:rsid w:val="007E7258"/>
    <w:rsid w:val="007E75CB"/>
    <w:rsid w:val="007E7AC4"/>
    <w:rsid w:val="007E7C36"/>
    <w:rsid w:val="007F0969"/>
    <w:rsid w:val="007F0CEC"/>
    <w:rsid w:val="007F0DC5"/>
    <w:rsid w:val="007F0DF4"/>
    <w:rsid w:val="007F11D7"/>
    <w:rsid w:val="007F164B"/>
    <w:rsid w:val="007F3393"/>
    <w:rsid w:val="007F3BA1"/>
    <w:rsid w:val="007F3FCB"/>
    <w:rsid w:val="007F41FD"/>
    <w:rsid w:val="007F44DE"/>
    <w:rsid w:val="007F4671"/>
    <w:rsid w:val="007F55E8"/>
    <w:rsid w:val="007F6192"/>
    <w:rsid w:val="007F63D9"/>
    <w:rsid w:val="007F6AFF"/>
    <w:rsid w:val="0080086C"/>
    <w:rsid w:val="008012B6"/>
    <w:rsid w:val="00802016"/>
    <w:rsid w:val="00803AC9"/>
    <w:rsid w:val="00803FBB"/>
    <w:rsid w:val="00804222"/>
    <w:rsid w:val="0080439F"/>
    <w:rsid w:val="008043A8"/>
    <w:rsid w:val="00804BFA"/>
    <w:rsid w:val="00805DD3"/>
    <w:rsid w:val="008108AC"/>
    <w:rsid w:val="008115FD"/>
    <w:rsid w:val="00811A99"/>
    <w:rsid w:val="008124D7"/>
    <w:rsid w:val="0081430E"/>
    <w:rsid w:val="00814341"/>
    <w:rsid w:val="00814758"/>
    <w:rsid w:val="008149EF"/>
    <w:rsid w:val="00815A6D"/>
    <w:rsid w:val="00815F2C"/>
    <w:rsid w:val="008203B4"/>
    <w:rsid w:val="008221C1"/>
    <w:rsid w:val="00822D9C"/>
    <w:rsid w:val="0082342F"/>
    <w:rsid w:val="0082346B"/>
    <w:rsid w:val="00823672"/>
    <w:rsid w:val="0082560D"/>
    <w:rsid w:val="0082574D"/>
    <w:rsid w:val="00826A26"/>
    <w:rsid w:val="00826D36"/>
    <w:rsid w:val="0082735C"/>
    <w:rsid w:val="008277E7"/>
    <w:rsid w:val="00827B5E"/>
    <w:rsid w:val="00827EE7"/>
    <w:rsid w:val="008305A8"/>
    <w:rsid w:val="00831891"/>
    <w:rsid w:val="008320B5"/>
    <w:rsid w:val="00832953"/>
    <w:rsid w:val="00833727"/>
    <w:rsid w:val="008345E5"/>
    <w:rsid w:val="00834E68"/>
    <w:rsid w:val="00834FB7"/>
    <w:rsid w:val="00835297"/>
    <w:rsid w:val="00835CCC"/>
    <w:rsid w:val="00836848"/>
    <w:rsid w:val="00837940"/>
    <w:rsid w:val="00837E94"/>
    <w:rsid w:val="0084029E"/>
    <w:rsid w:val="0084279D"/>
    <w:rsid w:val="00843E0F"/>
    <w:rsid w:val="00845096"/>
    <w:rsid w:val="0084674B"/>
    <w:rsid w:val="008469C7"/>
    <w:rsid w:val="00847916"/>
    <w:rsid w:val="00850278"/>
    <w:rsid w:val="00850BB0"/>
    <w:rsid w:val="0085119E"/>
    <w:rsid w:val="008517CB"/>
    <w:rsid w:val="00851CC5"/>
    <w:rsid w:val="008521F9"/>
    <w:rsid w:val="00852263"/>
    <w:rsid w:val="0085317B"/>
    <w:rsid w:val="0085496F"/>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7CA"/>
    <w:rsid w:val="00866366"/>
    <w:rsid w:val="0087093B"/>
    <w:rsid w:val="00870B5A"/>
    <w:rsid w:val="00870D14"/>
    <w:rsid w:val="008719C4"/>
    <w:rsid w:val="00871AEE"/>
    <w:rsid w:val="0087345D"/>
    <w:rsid w:val="008748A5"/>
    <w:rsid w:val="00876657"/>
    <w:rsid w:val="00876817"/>
    <w:rsid w:val="00877614"/>
    <w:rsid w:val="00881450"/>
    <w:rsid w:val="00881D3B"/>
    <w:rsid w:val="00881F72"/>
    <w:rsid w:val="00883F13"/>
    <w:rsid w:val="0088492C"/>
    <w:rsid w:val="00885970"/>
    <w:rsid w:val="00885C62"/>
    <w:rsid w:val="00885EBA"/>
    <w:rsid w:val="0088607D"/>
    <w:rsid w:val="008872E7"/>
    <w:rsid w:val="0088758A"/>
    <w:rsid w:val="00887FBA"/>
    <w:rsid w:val="008901AF"/>
    <w:rsid w:val="0089101A"/>
    <w:rsid w:val="00891027"/>
    <w:rsid w:val="008911DD"/>
    <w:rsid w:val="008942E7"/>
    <w:rsid w:val="0089571C"/>
    <w:rsid w:val="00896860"/>
    <w:rsid w:val="00897286"/>
    <w:rsid w:val="008974C3"/>
    <w:rsid w:val="00897554"/>
    <w:rsid w:val="008A0549"/>
    <w:rsid w:val="008A0798"/>
    <w:rsid w:val="008A11B1"/>
    <w:rsid w:val="008A1C07"/>
    <w:rsid w:val="008A28C4"/>
    <w:rsid w:val="008A290D"/>
    <w:rsid w:val="008A29C2"/>
    <w:rsid w:val="008A4FF2"/>
    <w:rsid w:val="008A517B"/>
    <w:rsid w:val="008A54C8"/>
    <w:rsid w:val="008A5873"/>
    <w:rsid w:val="008A663E"/>
    <w:rsid w:val="008A71D0"/>
    <w:rsid w:val="008A78AA"/>
    <w:rsid w:val="008B048F"/>
    <w:rsid w:val="008B0C67"/>
    <w:rsid w:val="008B1088"/>
    <w:rsid w:val="008B2127"/>
    <w:rsid w:val="008B3135"/>
    <w:rsid w:val="008B3D40"/>
    <w:rsid w:val="008B60E2"/>
    <w:rsid w:val="008B7475"/>
    <w:rsid w:val="008B7DBD"/>
    <w:rsid w:val="008B7DF5"/>
    <w:rsid w:val="008B7FDF"/>
    <w:rsid w:val="008C0A1F"/>
    <w:rsid w:val="008C1409"/>
    <w:rsid w:val="008C26A6"/>
    <w:rsid w:val="008C4470"/>
    <w:rsid w:val="008C5962"/>
    <w:rsid w:val="008C5AD3"/>
    <w:rsid w:val="008C5CBE"/>
    <w:rsid w:val="008C5FD7"/>
    <w:rsid w:val="008C6D27"/>
    <w:rsid w:val="008C7D15"/>
    <w:rsid w:val="008D0823"/>
    <w:rsid w:val="008D194B"/>
    <w:rsid w:val="008D3349"/>
    <w:rsid w:val="008D3482"/>
    <w:rsid w:val="008D369E"/>
    <w:rsid w:val="008D433F"/>
    <w:rsid w:val="008D619C"/>
    <w:rsid w:val="008D66A2"/>
    <w:rsid w:val="008E16F9"/>
    <w:rsid w:val="008E1C65"/>
    <w:rsid w:val="008E2491"/>
    <w:rsid w:val="008E2621"/>
    <w:rsid w:val="008E452B"/>
    <w:rsid w:val="008E4F28"/>
    <w:rsid w:val="008E5E4F"/>
    <w:rsid w:val="008E6320"/>
    <w:rsid w:val="008E67B7"/>
    <w:rsid w:val="008E7B96"/>
    <w:rsid w:val="008F0291"/>
    <w:rsid w:val="008F1F71"/>
    <w:rsid w:val="008F4918"/>
    <w:rsid w:val="008F4F89"/>
    <w:rsid w:val="008F532E"/>
    <w:rsid w:val="008F5DB7"/>
    <w:rsid w:val="008F7ACA"/>
    <w:rsid w:val="009000CE"/>
    <w:rsid w:val="009007EE"/>
    <w:rsid w:val="00902308"/>
    <w:rsid w:val="009026F3"/>
    <w:rsid w:val="00903182"/>
    <w:rsid w:val="0090340B"/>
    <w:rsid w:val="00903774"/>
    <w:rsid w:val="0090384F"/>
    <w:rsid w:val="00903F23"/>
    <w:rsid w:val="00904E40"/>
    <w:rsid w:val="00905291"/>
    <w:rsid w:val="00905F26"/>
    <w:rsid w:val="00907A9B"/>
    <w:rsid w:val="00910610"/>
    <w:rsid w:val="00911671"/>
    <w:rsid w:val="00911700"/>
    <w:rsid w:val="009117F0"/>
    <w:rsid w:val="00911BA2"/>
    <w:rsid w:val="00911E06"/>
    <w:rsid w:val="00911F8E"/>
    <w:rsid w:val="00912B1B"/>
    <w:rsid w:val="00914D48"/>
    <w:rsid w:val="00915491"/>
    <w:rsid w:val="00915D46"/>
    <w:rsid w:val="009170DE"/>
    <w:rsid w:val="009172F2"/>
    <w:rsid w:val="00917FC3"/>
    <w:rsid w:val="00920AEA"/>
    <w:rsid w:val="00921339"/>
    <w:rsid w:val="009228C1"/>
    <w:rsid w:val="00923F2E"/>
    <w:rsid w:val="00924DCE"/>
    <w:rsid w:val="009255E5"/>
    <w:rsid w:val="00925847"/>
    <w:rsid w:val="00926667"/>
    <w:rsid w:val="00930011"/>
    <w:rsid w:val="009305F8"/>
    <w:rsid w:val="00930BAA"/>
    <w:rsid w:val="00930D2A"/>
    <w:rsid w:val="009331EF"/>
    <w:rsid w:val="009333BB"/>
    <w:rsid w:val="0093373D"/>
    <w:rsid w:val="0093456C"/>
    <w:rsid w:val="0093462D"/>
    <w:rsid w:val="00934778"/>
    <w:rsid w:val="0093491D"/>
    <w:rsid w:val="009356C1"/>
    <w:rsid w:val="00935B33"/>
    <w:rsid w:val="009415EB"/>
    <w:rsid w:val="00941BB7"/>
    <w:rsid w:val="009437E9"/>
    <w:rsid w:val="00943A67"/>
    <w:rsid w:val="00943BB1"/>
    <w:rsid w:val="00943EFA"/>
    <w:rsid w:val="00944FB4"/>
    <w:rsid w:val="0094735E"/>
    <w:rsid w:val="0094743F"/>
    <w:rsid w:val="00947C07"/>
    <w:rsid w:val="00950161"/>
    <w:rsid w:val="00950382"/>
    <w:rsid w:val="00951443"/>
    <w:rsid w:val="0095159B"/>
    <w:rsid w:val="00951A0A"/>
    <w:rsid w:val="00951DA5"/>
    <w:rsid w:val="00952078"/>
    <w:rsid w:val="00952282"/>
    <w:rsid w:val="009526B8"/>
    <w:rsid w:val="009534CC"/>
    <w:rsid w:val="00953CA5"/>
    <w:rsid w:val="00954742"/>
    <w:rsid w:val="0095537B"/>
    <w:rsid w:val="009553C6"/>
    <w:rsid w:val="00956341"/>
    <w:rsid w:val="009566FF"/>
    <w:rsid w:val="00956F82"/>
    <w:rsid w:val="0095745C"/>
    <w:rsid w:val="00960CD0"/>
    <w:rsid w:val="00960F94"/>
    <w:rsid w:val="009611F2"/>
    <w:rsid w:val="00961E1B"/>
    <w:rsid w:val="00963870"/>
    <w:rsid w:val="00963E16"/>
    <w:rsid w:val="00964467"/>
    <w:rsid w:val="00965010"/>
    <w:rsid w:val="00965F4F"/>
    <w:rsid w:val="00966D46"/>
    <w:rsid w:val="009678F5"/>
    <w:rsid w:val="00967D30"/>
    <w:rsid w:val="009706B2"/>
    <w:rsid w:val="0097078D"/>
    <w:rsid w:val="009709BF"/>
    <w:rsid w:val="00972124"/>
    <w:rsid w:val="00972442"/>
    <w:rsid w:val="009754A0"/>
    <w:rsid w:val="00975876"/>
    <w:rsid w:val="00975A3C"/>
    <w:rsid w:val="0097671A"/>
    <w:rsid w:val="009774B8"/>
    <w:rsid w:val="0098003F"/>
    <w:rsid w:val="00980064"/>
    <w:rsid w:val="00980810"/>
    <w:rsid w:val="0098181B"/>
    <w:rsid w:val="009821AF"/>
    <w:rsid w:val="00982A58"/>
    <w:rsid w:val="00982D59"/>
    <w:rsid w:val="00983FE2"/>
    <w:rsid w:val="00984301"/>
    <w:rsid w:val="009844B5"/>
    <w:rsid w:val="009846E6"/>
    <w:rsid w:val="00985804"/>
    <w:rsid w:val="00986037"/>
    <w:rsid w:val="00986244"/>
    <w:rsid w:val="009866DB"/>
    <w:rsid w:val="00986B99"/>
    <w:rsid w:val="0098712B"/>
    <w:rsid w:val="009901EF"/>
    <w:rsid w:val="009914D8"/>
    <w:rsid w:val="009922FC"/>
    <w:rsid w:val="00992A44"/>
    <w:rsid w:val="009936FF"/>
    <w:rsid w:val="0099447D"/>
    <w:rsid w:val="00995398"/>
    <w:rsid w:val="00995746"/>
    <w:rsid w:val="00995E40"/>
    <w:rsid w:val="0099603A"/>
    <w:rsid w:val="00996DD5"/>
    <w:rsid w:val="00997807"/>
    <w:rsid w:val="00997B72"/>
    <w:rsid w:val="009A02AB"/>
    <w:rsid w:val="009A1058"/>
    <w:rsid w:val="009A157A"/>
    <w:rsid w:val="009A2965"/>
    <w:rsid w:val="009A3621"/>
    <w:rsid w:val="009A37D2"/>
    <w:rsid w:val="009A49C9"/>
    <w:rsid w:val="009A4BAC"/>
    <w:rsid w:val="009A5641"/>
    <w:rsid w:val="009A5F4B"/>
    <w:rsid w:val="009A70E0"/>
    <w:rsid w:val="009A73FF"/>
    <w:rsid w:val="009B013E"/>
    <w:rsid w:val="009B0853"/>
    <w:rsid w:val="009B26D1"/>
    <w:rsid w:val="009B4FDA"/>
    <w:rsid w:val="009B5DB6"/>
    <w:rsid w:val="009B6005"/>
    <w:rsid w:val="009B6586"/>
    <w:rsid w:val="009B6C2A"/>
    <w:rsid w:val="009B739A"/>
    <w:rsid w:val="009C0E2A"/>
    <w:rsid w:val="009C1D42"/>
    <w:rsid w:val="009C2256"/>
    <w:rsid w:val="009C2B83"/>
    <w:rsid w:val="009C4033"/>
    <w:rsid w:val="009C5632"/>
    <w:rsid w:val="009C60CE"/>
    <w:rsid w:val="009D1412"/>
    <w:rsid w:val="009D1DF5"/>
    <w:rsid w:val="009D292D"/>
    <w:rsid w:val="009D378C"/>
    <w:rsid w:val="009D3860"/>
    <w:rsid w:val="009D5CE3"/>
    <w:rsid w:val="009D626D"/>
    <w:rsid w:val="009D6400"/>
    <w:rsid w:val="009D72C2"/>
    <w:rsid w:val="009E0726"/>
    <w:rsid w:val="009E2199"/>
    <w:rsid w:val="009E3024"/>
    <w:rsid w:val="009E38AF"/>
    <w:rsid w:val="009E39EA"/>
    <w:rsid w:val="009E3CC2"/>
    <w:rsid w:val="009E4023"/>
    <w:rsid w:val="009E44CB"/>
    <w:rsid w:val="009E58E6"/>
    <w:rsid w:val="009E7157"/>
    <w:rsid w:val="009F181B"/>
    <w:rsid w:val="009F1D24"/>
    <w:rsid w:val="009F3208"/>
    <w:rsid w:val="009F348B"/>
    <w:rsid w:val="009F3F0F"/>
    <w:rsid w:val="009F415D"/>
    <w:rsid w:val="009F67E9"/>
    <w:rsid w:val="009F6D6C"/>
    <w:rsid w:val="009F79A2"/>
    <w:rsid w:val="00A017B3"/>
    <w:rsid w:val="00A01C3F"/>
    <w:rsid w:val="00A01E85"/>
    <w:rsid w:val="00A02C45"/>
    <w:rsid w:val="00A03EFA"/>
    <w:rsid w:val="00A042A8"/>
    <w:rsid w:val="00A06AB0"/>
    <w:rsid w:val="00A06C95"/>
    <w:rsid w:val="00A06EFB"/>
    <w:rsid w:val="00A10548"/>
    <w:rsid w:val="00A10714"/>
    <w:rsid w:val="00A117F6"/>
    <w:rsid w:val="00A12278"/>
    <w:rsid w:val="00A12638"/>
    <w:rsid w:val="00A13A83"/>
    <w:rsid w:val="00A13E00"/>
    <w:rsid w:val="00A14932"/>
    <w:rsid w:val="00A1498C"/>
    <w:rsid w:val="00A163A2"/>
    <w:rsid w:val="00A16C89"/>
    <w:rsid w:val="00A171A9"/>
    <w:rsid w:val="00A17B7C"/>
    <w:rsid w:val="00A20096"/>
    <w:rsid w:val="00A20643"/>
    <w:rsid w:val="00A217D2"/>
    <w:rsid w:val="00A22677"/>
    <w:rsid w:val="00A23384"/>
    <w:rsid w:val="00A26AB9"/>
    <w:rsid w:val="00A26EB1"/>
    <w:rsid w:val="00A27325"/>
    <w:rsid w:val="00A2772B"/>
    <w:rsid w:val="00A3031B"/>
    <w:rsid w:val="00A30602"/>
    <w:rsid w:val="00A327A7"/>
    <w:rsid w:val="00A32D79"/>
    <w:rsid w:val="00A33203"/>
    <w:rsid w:val="00A33C81"/>
    <w:rsid w:val="00A3455E"/>
    <w:rsid w:val="00A3674D"/>
    <w:rsid w:val="00A36770"/>
    <w:rsid w:val="00A37025"/>
    <w:rsid w:val="00A4096D"/>
    <w:rsid w:val="00A40EE1"/>
    <w:rsid w:val="00A40EE2"/>
    <w:rsid w:val="00A42D29"/>
    <w:rsid w:val="00A430B5"/>
    <w:rsid w:val="00A47064"/>
    <w:rsid w:val="00A47C7A"/>
    <w:rsid w:val="00A50F85"/>
    <w:rsid w:val="00A51737"/>
    <w:rsid w:val="00A51FF7"/>
    <w:rsid w:val="00A526BE"/>
    <w:rsid w:val="00A52ABB"/>
    <w:rsid w:val="00A52D95"/>
    <w:rsid w:val="00A52D97"/>
    <w:rsid w:val="00A534AF"/>
    <w:rsid w:val="00A540E9"/>
    <w:rsid w:val="00A55630"/>
    <w:rsid w:val="00A5616C"/>
    <w:rsid w:val="00A56320"/>
    <w:rsid w:val="00A564E2"/>
    <w:rsid w:val="00A56893"/>
    <w:rsid w:val="00A56AE9"/>
    <w:rsid w:val="00A5723B"/>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E3A"/>
    <w:rsid w:val="00A66738"/>
    <w:rsid w:val="00A67B22"/>
    <w:rsid w:val="00A70663"/>
    <w:rsid w:val="00A7106F"/>
    <w:rsid w:val="00A71F5F"/>
    <w:rsid w:val="00A725EA"/>
    <w:rsid w:val="00A73E5C"/>
    <w:rsid w:val="00A741CC"/>
    <w:rsid w:val="00A74AAC"/>
    <w:rsid w:val="00A74C59"/>
    <w:rsid w:val="00A801EB"/>
    <w:rsid w:val="00A80FEB"/>
    <w:rsid w:val="00A81191"/>
    <w:rsid w:val="00A813AC"/>
    <w:rsid w:val="00A813DA"/>
    <w:rsid w:val="00A850D2"/>
    <w:rsid w:val="00A85B3D"/>
    <w:rsid w:val="00A85B6E"/>
    <w:rsid w:val="00A863D5"/>
    <w:rsid w:val="00A86C9C"/>
    <w:rsid w:val="00A86E16"/>
    <w:rsid w:val="00A8716C"/>
    <w:rsid w:val="00A87560"/>
    <w:rsid w:val="00A87DE5"/>
    <w:rsid w:val="00A9009F"/>
    <w:rsid w:val="00A90364"/>
    <w:rsid w:val="00A90581"/>
    <w:rsid w:val="00A91940"/>
    <w:rsid w:val="00A91AFF"/>
    <w:rsid w:val="00A9216B"/>
    <w:rsid w:val="00A9217C"/>
    <w:rsid w:val="00A92650"/>
    <w:rsid w:val="00A928D3"/>
    <w:rsid w:val="00A92F94"/>
    <w:rsid w:val="00A93979"/>
    <w:rsid w:val="00A94C55"/>
    <w:rsid w:val="00A95533"/>
    <w:rsid w:val="00A95CF9"/>
    <w:rsid w:val="00A966A5"/>
    <w:rsid w:val="00A96A21"/>
    <w:rsid w:val="00A97229"/>
    <w:rsid w:val="00A9742C"/>
    <w:rsid w:val="00AA010F"/>
    <w:rsid w:val="00AA0F67"/>
    <w:rsid w:val="00AA1A12"/>
    <w:rsid w:val="00AA2BB8"/>
    <w:rsid w:val="00AA3463"/>
    <w:rsid w:val="00AA3A28"/>
    <w:rsid w:val="00AA5D23"/>
    <w:rsid w:val="00AA67C0"/>
    <w:rsid w:val="00AA76F1"/>
    <w:rsid w:val="00AB0431"/>
    <w:rsid w:val="00AB08B1"/>
    <w:rsid w:val="00AB200C"/>
    <w:rsid w:val="00AB24A4"/>
    <w:rsid w:val="00AB3582"/>
    <w:rsid w:val="00AB380D"/>
    <w:rsid w:val="00AB38B4"/>
    <w:rsid w:val="00AB4BBB"/>
    <w:rsid w:val="00AB4C0E"/>
    <w:rsid w:val="00AB4C33"/>
    <w:rsid w:val="00AB4F35"/>
    <w:rsid w:val="00AB527A"/>
    <w:rsid w:val="00AB5291"/>
    <w:rsid w:val="00AB52AD"/>
    <w:rsid w:val="00AB5F48"/>
    <w:rsid w:val="00AB7284"/>
    <w:rsid w:val="00AB7B8B"/>
    <w:rsid w:val="00AB7E25"/>
    <w:rsid w:val="00AC0489"/>
    <w:rsid w:val="00AC0646"/>
    <w:rsid w:val="00AC1418"/>
    <w:rsid w:val="00AC161E"/>
    <w:rsid w:val="00AC2111"/>
    <w:rsid w:val="00AC23D5"/>
    <w:rsid w:val="00AC5429"/>
    <w:rsid w:val="00AC5922"/>
    <w:rsid w:val="00AC79E3"/>
    <w:rsid w:val="00AC7BB6"/>
    <w:rsid w:val="00AD0841"/>
    <w:rsid w:val="00AD10DA"/>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32C"/>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30A"/>
    <w:rsid w:val="00AF7190"/>
    <w:rsid w:val="00AF73DB"/>
    <w:rsid w:val="00B0123F"/>
    <w:rsid w:val="00B01334"/>
    <w:rsid w:val="00B01CEA"/>
    <w:rsid w:val="00B02670"/>
    <w:rsid w:val="00B02904"/>
    <w:rsid w:val="00B032DE"/>
    <w:rsid w:val="00B0414E"/>
    <w:rsid w:val="00B06A84"/>
    <w:rsid w:val="00B06B7E"/>
    <w:rsid w:val="00B06C3E"/>
    <w:rsid w:val="00B073DB"/>
    <w:rsid w:val="00B07423"/>
    <w:rsid w:val="00B0758A"/>
    <w:rsid w:val="00B07595"/>
    <w:rsid w:val="00B12A6D"/>
    <w:rsid w:val="00B13554"/>
    <w:rsid w:val="00B15367"/>
    <w:rsid w:val="00B155D4"/>
    <w:rsid w:val="00B1599B"/>
    <w:rsid w:val="00B15FA1"/>
    <w:rsid w:val="00B20541"/>
    <w:rsid w:val="00B20856"/>
    <w:rsid w:val="00B20988"/>
    <w:rsid w:val="00B20D5E"/>
    <w:rsid w:val="00B22C72"/>
    <w:rsid w:val="00B2300A"/>
    <w:rsid w:val="00B2403F"/>
    <w:rsid w:val="00B240EA"/>
    <w:rsid w:val="00B24CA0"/>
    <w:rsid w:val="00B25A9D"/>
    <w:rsid w:val="00B268B5"/>
    <w:rsid w:val="00B273D9"/>
    <w:rsid w:val="00B2754C"/>
    <w:rsid w:val="00B27BA5"/>
    <w:rsid w:val="00B312CC"/>
    <w:rsid w:val="00B33BA6"/>
    <w:rsid w:val="00B3462E"/>
    <w:rsid w:val="00B3489D"/>
    <w:rsid w:val="00B34D52"/>
    <w:rsid w:val="00B35A85"/>
    <w:rsid w:val="00B37D47"/>
    <w:rsid w:val="00B40046"/>
    <w:rsid w:val="00B40185"/>
    <w:rsid w:val="00B408EE"/>
    <w:rsid w:val="00B409C3"/>
    <w:rsid w:val="00B40AB5"/>
    <w:rsid w:val="00B438CD"/>
    <w:rsid w:val="00B43B37"/>
    <w:rsid w:val="00B455C9"/>
    <w:rsid w:val="00B45AFC"/>
    <w:rsid w:val="00B46259"/>
    <w:rsid w:val="00B4665F"/>
    <w:rsid w:val="00B46857"/>
    <w:rsid w:val="00B505CD"/>
    <w:rsid w:val="00B50A83"/>
    <w:rsid w:val="00B50F8A"/>
    <w:rsid w:val="00B51029"/>
    <w:rsid w:val="00B5154D"/>
    <w:rsid w:val="00B51C5C"/>
    <w:rsid w:val="00B5226C"/>
    <w:rsid w:val="00B54491"/>
    <w:rsid w:val="00B54E6C"/>
    <w:rsid w:val="00B55C3D"/>
    <w:rsid w:val="00B56D0B"/>
    <w:rsid w:val="00B5712D"/>
    <w:rsid w:val="00B5766A"/>
    <w:rsid w:val="00B57976"/>
    <w:rsid w:val="00B605F5"/>
    <w:rsid w:val="00B60990"/>
    <w:rsid w:val="00B609A4"/>
    <w:rsid w:val="00B61551"/>
    <w:rsid w:val="00B61941"/>
    <w:rsid w:val="00B61DC4"/>
    <w:rsid w:val="00B63617"/>
    <w:rsid w:val="00B659D3"/>
    <w:rsid w:val="00B666CF"/>
    <w:rsid w:val="00B670DF"/>
    <w:rsid w:val="00B67B96"/>
    <w:rsid w:val="00B67F4C"/>
    <w:rsid w:val="00B70C7F"/>
    <w:rsid w:val="00B71866"/>
    <w:rsid w:val="00B71C5E"/>
    <w:rsid w:val="00B72189"/>
    <w:rsid w:val="00B72CF0"/>
    <w:rsid w:val="00B73BA4"/>
    <w:rsid w:val="00B73FC4"/>
    <w:rsid w:val="00B771D7"/>
    <w:rsid w:val="00B801B2"/>
    <w:rsid w:val="00B8277D"/>
    <w:rsid w:val="00B83214"/>
    <w:rsid w:val="00B83404"/>
    <w:rsid w:val="00B842B5"/>
    <w:rsid w:val="00B8475D"/>
    <w:rsid w:val="00B84C5D"/>
    <w:rsid w:val="00B85251"/>
    <w:rsid w:val="00B853CC"/>
    <w:rsid w:val="00B8661E"/>
    <w:rsid w:val="00B86B6B"/>
    <w:rsid w:val="00B86B8B"/>
    <w:rsid w:val="00B86E84"/>
    <w:rsid w:val="00B86E85"/>
    <w:rsid w:val="00B872D1"/>
    <w:rsid w:val="00B91988"/>
    <w:rsid w:val="00B9293C"/>
    <w:rsid w:val="00B934D2"/>
    <w:rsid w:val="00B93F6D"/>
    <w:rsid w:val="00B94815"/>
    <w:rsid w:val="00B95C14"/>
    <w:rsid w:val="00B97669"/>
    <w:rsid w:val="00BA0429"/>
    <w:rsid w:val="00BA2104"/>
    <w:rsid w:val="00BA306B"/>
    <w:rsid w:val="00BA43D9"/>
    <w:rsid w:val="00BA4780"/>
    <w:rsid w:val="00BA480A"/>
    <w:rsid w:val="00BA5482"/>
    <w:rsid w:val="00BA55AE"/>
    <w:rsid w:val="00BA57AA"/>
    <w:rsid w:val="00BA6992"/>
    <w:rsid w:val="00BB07A1"/>
    <w:rsid w:val="00BB0ACE"/>
    <w:rsid w:val="00BB0D13"/>
    <w:rsid w:val="00BB32F3"/>
    <w:rsid w:val="00BB45A2"/>
    <w:rsid w:val="00BB6859"/>
    <w:rsid w:val="00BB78B5"/>
    <w:rsid w:val="00BB7A07"/>
    <w:rsid w:val="00BC060A"/>
    <w:rsid w:val="00BC0656"/>
    <w:rsid w:val="00BC0C42"/>
    <w:rsid w:val="00BC114A"/>
    <w:rsid w:val="00BC1F7F"/>
    <w:rsid w:val="00BC2EF9"/>
    <w:rsid w:val="00BC3A91"/>
    <w:rsid w:val="00BC5979"/>
    <w:rsid w:val="00BC62E7"/>
    <w:rsid w:val="00BC6FE3"/>
    <w:rsid w:val="00BD0303"/>
    <w:rsid w:val="00BD0401"/>
    <w:rsid w:val="00BD1456"/>
    <w:rsid w:val="00BD181F"/>
    <w:rsid w:val="00BD18C1"/>
    <w:rsid w:val="00BD26F5"/>
    <w:rsid w:val="00BD2E91"/>
    <w:rsid w:val="00BD3B5B"/>
    <w:rsid w:val="00BD516D"/>
    <w:rsid w:val="00BD528E"/>
    <w:rsid w:val="00BD7718"/>
    <w:rsid w:val="00BD7835"/>
    <w:rsid w:val="00BE2F38"/>
    <w:rsid w:val="00BE326C"/>
    <w:rsid w:val="00BE4067"/>
    <w:rsid w:val="00BE571C"/>
    <w:rsid w:val="00BE7036"/>
    <w:rsid w:val="00BE7103"/>
    <w:rsid w:val="00BE7A42"/>
    <w:rsid w:val="00BE7B1A"/>
    <w:rsid w:val="00BF006D"/>
    <w:rsid w:val="00BF00F3"/>
    <w:rsid w:val="00BF04FB"/>
    <w:rsid w:val="00BF0CF7"/>
    <w:rsid w:val="00BF2D9E"/>
    <w:rsid w:val="00BF3511"/>
    <w:rsid w:val="00BF4187"/>
    <w:rsid w:val="00BF45F7"/>
    <w:rsid w:val="00BF4652"/>
    <w:rsid w:val="00BF5B8F"/>
    <w:rsid w:val="00BF5EAB"/>
    <w:rsid w:val="00BF7CAB"/>
    <w:rsid w:val="00BF7D80"/>
    <w:rsid w:val="00C0025D"/>
    <w:rsid w:val="00C010E4"/>
    <w:rsid w:val="00C01C38"/>
    <w:rsid w:val="00C02692"/>
    <w:rsid w:val="00C02EB9"/>
    <w:rsid w:val="00C02F12"/>
    <w:rsid w:val="00C02FF5"/>
    <w:rsid w:val="00C03CB4"/>
    <w:rsid w:val="00C03EC6"/>
    <w:rsid w:val="00C041AB"/>
    <w:rsid w:val="00C05F32"/>
    <w:rsid w:val="00C06B8F"/>
    <w:rsid w:val="00C07084"/>
    <w:rsid w:val="00C07AB1"/>
    <w:rsid w:val="00C10A6D"/>
    <w:rsid w:val="00C11E87"/>
    <w:rsid w:val="00C12079"/>
    <w:rsid w:val="00C12403"/>
    <w:rsid w:val="00C12AD6"/>
    <w:rsid w:val="00C13FB5"/>
    <w:rsid w:val="00C146B3"/>
    <w:rsid w:val="00C149D9"/>
    <w:rsid w:val="00C14BC7"/>
    <w:rsid w:val="00C14F43"/>
    <w:rsid w:val="00C15786"/>
    <w:rsid w:val="00C1714A"/>
    <w:rsid w:val="00C17A3B"/>
    <w:rsid w:val="00C17E0E"/>
    <w:rsid w:val="00C2266A"/>
    <w:rsid w:val="00C227BD"/>
    <w:rsid w:val="00C23698"/>
    <w:rsid w:val="00C24E83"/>
    <w:rsid w:val="00C2539C"/>
    <w:rsid w:val="00C25621"/>
    <w:rsid w:val="00C25A87"/>
    <w:rsid w:val="00C25D8B"/>
    <w:rsid w:val="00C277AE"/>
    <w:rsid w:val="00C317C5"/>
    <w:rsid w:val="00C31AE4"/>
    <w:rsid w:val="00C31FA1"/>
    <w:rsid w:val="00C332B5"/>
    <w:rsid w:val="00C334F4"/>
    <w:rsid w:val="00C3392D"/>
    <w:rsid w:val="00C3396A"/>
    <w:rsid w:val="00C33ED6"/>
    <w:rsid w:val="00C3454D"/>
    <w:rsid w:val="00C3681D"/>
    <w:rsid w:val="00C369E6"/>
    <w:rsid w:val="00C36C23"/>
    <w:rsid w:val="00C375EA"/>
    <w:rsid w:val="00C408F8"/>
    <w:rsid w:val="00C410ED"/>
    <w:rsid w:val="00C43AD8"/>
    <w:rsid w:val="00C453F5"/>
    <w:rsid w:val="00C463E3"/>
    <w:rsid w:val="00C469A5"/>
    <w:rsid w:val="00C47352"/>
    <w:rsid w:val="00C476A6"/>
    <w:rsid w:val="00C47E1D"/>
    <w:rsid w:val="00C510C6"/>
    <w:rsid w:val="00C519FB"/>
    <w:rsid w:val="00C5413F"/>
    <w:rsid w:val="00C54943"/>
    <w:rsid w:val="00C5522F"/>
    <w:rsid w:val="00C55A80"/>
    <w:rsid w:val="00C55B98"/>
    <w:rsid w:val="00C57490"/>
    <w:rsid w:val="00C57BB2"/>
    <w:rsid w:val="00C57F17"/>
    <w:rsid w:val="00C613F4"/>
    <w:rsid w:val="00C61C2E"/>
    <w:rsid w:val="00C625CF"/>
    <w:rsid w:val="00C62E1E"/>
    <w:rsid w:val="00C63075"/>
    <w:rsid w:val="00C65558"/>
    <w:rsid w:val="00C6758D"/>
    <w:rsid w:val="00C71446"/>
    <w:rsid w:val="00C71F0B"/>
    <w:rsid w:val="00C72C4A"/>
    <w:rsid w:val="00C73133"/>
    <w:rsid w:val="00C73A67"/>
    <w:rsid w:val="00C74691"/>
    <w:rsid w:val="00C74DA6"/>
    <w:rsid w:val="00C74E3D"/>
    <w:rsid w:val="00C74E4D"/>
    <w:rsid w:val="00C74EEA"/>
    <w:rsid w:val="00C75A4F"/>
    <w:rsid w:val="00C75C3F"/>
    <w:rsid w:val="00C75DB4"/>
    <w:rsid w:val="00C766CC"/>
    <w:rsid w:val="00C779B5"/>
    <w:rsid w:val="00C77A39"/>
    <w:rsid w:val="00C814C0"/>
    <w:rsid w:val="00C81DA9"/>
    <w:rsid w:val="00C81FBD"/>
    <w:rsid w:val="00C82955"/>
    <w:rsid w:val="00C83443"/>
    <w:rsid w:val="00C83769"/>
    <w:rsid w:val="00C83D00"/>
    <w:rsid w:val="00C8421D"/>
    <w:rsid w:val="00C84957"/>
    <w:rsid w:val="00C84CC8"/>
    <w:rsid w:val="00C85E4C"/>
    <w:rsid w:val="00C86149"/>
    <w:rsid w:val="00C86F8D"/>
    <w:rsid w:val="00C9207A"/>
    <w:rsid w:val="00C93FA8"/>
    <w:rsid w:val="00C94EBD"/>
    <w:rsid w:val="00C95503"/>
    <w:rsid w:val="00C958EA"/>
    <w:rsid w:val="00C96297"/>
    <w:rsid w:val="00C97484"/>
    <w:rsid w:val="00CA0148"/>
    <w:rsid w:val="00CA1448"/>
    <w:rsid w:val="00CA14C2"/>
    <w:rsid w:val="00CA15B6"/>
    <w:rsid w:val="00CA1CD9"/>
    <w:rsid w:val="00CA2834"/>
    <w:rsid w:val="00CA2A29"/>
    <w:rsid w:val="00CA32B2"/>
    <w:rsid w:val="00CA3CD2"/>
    <w:rsid w:val="00CA41C7"/>
    <w:rsid w:val="00CA4E1D"/>
    <w:rsid w:val="00CA5009"/>
    <w:rsid w:val="00CA64BC"/>
    <w:rsid w:val="00CA65C9"/>
    <w:rsid w:val="00CA7DE8"/>
    <w:rsid w:val="00CB0A72"/>
    <w:rsid w:val="00CB0DA3"/>
    <w:rsid w:val="00CB13C6"/>
    <w:rsid w:val="00CB18B4"/>
    <w:rsid w:val="00CB1ED7"/>
    <w:rsid w:val="00CB20E5"/>
    <w:rsid w:val="00CB34A2"/>
    <w:rsid w:val="00CB39E0"/>
    <w:rsid w:val="00CB3A6E"/>
    <w:rsid w:val="00CB50DD"/>
    <w:rsid w:val="00CB5BE6"/>
    <w:rsid w:val="00CB69D6"/>
    <w:rsid w:val="00CB6EE1"/>
    <w:rsid w:val="00CB7DBA"/>
    <w:rsid w:val="00CC00A0"/>
    <w:rsid w:val="00CC1408"/>
    <w:rsid w:val="00CC15AB"/>
    <w:rsid w:val="00CC190A"/>
    <w:rsid w:val="00CC2356"/>
    <w:rsid w:val="00CC3F24"/>
    <w:rsid w:val="00CC3FED"/>
    <w:rsid w:val="00CC415E"/>
    <w:rsid w:val="00CC489E"/>
    <w:rsid w:val="00CC625A"/>
    <w:rsid w:val="00CC634E"/>
    <w:rsid w:val="00CC7263"/>
    <w:rsid w:val="00CD0295"/>
    <w:rsid w:val="00CD071F"/>
    <w:rsid w:val="00CD0D03"/>
    <w:rsid w:val="00CD0FBC"/>
    <w:rsid w:val="00CD1148"/>
    <w:rsid w:val="00CD161C"/>
    <w:rsid w:val="00CD3D3A"/>
    <w:rsid w:val="00CD44AE"/>
    <w:rsid w:val="00CD4FE9"/>
    <w:rsid w:val="00CD73D9"/>
    <w:rsid w:val="00CD74B5"/>
    <w:rsid w:val="00CD79C5"/>
    <w:rsid w:val="00CE05AB"/>
    <w:rsid w:val="00CE100C"/>
    <w:rsid w:val="00CE1139"/>
    <w:rsid w:val="00CE1CE8"/>
    <w:rsid w:val="00CE2572"/>
    <w:rsid w:val="00CE25F8"/>
    <w:rsid w:val="00CE28F5"/>
    <w:rsid w:val="00CE2D39"/>
    <w:rsid w:val="00CE5122"/>
    <w:rsid w:val="00CE5A76"/>
    <w:rsid w:val="00CE61F3"/>
    <w:rsid w:val="00CE625C"/>
    <w:rsid w:val="00CE6EF5"/>
    <w:rsid w:val="00CE7EB2"/>
    <w:rsid w:val="00CF03E0"/>
    <w:rsid w:val="00CF0A94"/>
    <w:rsid w:val="00CF0AF1"/>
    <w:rsid w:val="00CF1749"/>
    <w:rsid w:val="00CF1E3D"/>
    <w:rsid w:val="00CF2696"/>
    <w:rsid w:val="00CF27C4"/>
    <w:rsid w:val="00CF289A"/>
    <w:rsid w:val="00CF3F95"/>
    <w:rsid w:val="00CF6299"/>
    <w:rsid w:val="00CF69A7"/>
    <w:rsid w:val="00CF723B"/>
    <w:rsid w:val="00D001D3"/>
    <w:rsid w:val="00D00430"/>
    <w:rsid w:val="00D018D5"/>
    <w:rsid w:val="00D020C1"/>
    <w:rsid w:val="00D02CFA"/>
    <w:rsid w:val="00D03701"/>
    <w:rsid w:val="00D03ABE"/>
    <w:rsid w:val="00D03DFD"/>
    <w:rsid w:val="00D0432D"/>
    <w:rsid w:val="00D04712"/>
    <w:rsid w:val="00D0481B"/>
    <w:rsid w:val="00D04D78"/>
    <w:rsid w:val="00D055F1"/>
    <w:rsid w:val="00D06162"/>
    <w:rsid w:val="00D06420"/>
    <w:rsid w:val="00D0701F"/>
    <w:rsid w:val="00D077E3"/>
    <w:rsid w:val="00D07A59"/>
    <w:rsid w:val="00D11A66"/>
    <w:rsid w:val="00D12606"/>
    <w:rsid w:val="00D13146"/>
    <w:rsid w:val="00D15AA1"/>
    <w:rsid w:val="00D15B61"/>
    <w:rsid w:val="00D16794"/>
    <w:rsid w:val="00D17FD8"/>
    <w:rsid w:val="00D20529"/>
    <w:rsid w:val="00D20CBF"/>
    <w:rsid w:val="00D21052"/>
    <w:rsid w:val="00D21140"/>
    <w:rsid w:val="00D21EAA"/>
    <w:rsid w:val="00D228F8"/>
    <w:rsid w:val="00D22E02"/>
    <w:rsid w:val="00D2417D"/>
    <w:rsid w:val="00D24498"/>
    <w:rsid w:val="00D24615"/>
    <w:rsid w:val="00D24F15"/>
    <w:rsid w:val="00D25CBC"/>
    <w:rsid w:val="00D2679D"/>
    <w:rsid w:val="00D27467"/>
    <w:rsid w:val="00D300B3"/>
    <w:rsid w:val="00D30AF1"/>
    <w:rsid w:val="00D31457"/>
    <w:rsid w:val="00D31E59"/>
    <w:rsid w:val="00D32975"/>
    <w:rsid w:val="00D34C54"/>
    <w:rsid w:val="00D3555C"/>
    <w:rsid w:val="00D3572A"/>
    <w:rsid w:val="00D35DEE"/>
    <w:rsid w:val="00D37C0C"/>
    <w:rsid w:val="00D37FA9"/>
    <w:rsid w:val="00D40767"/>
    <w:rsid w:val="00D409A1"/>
    <w:rsid w:val="00D41EAD"/>
    <w:rsid w:val="00D42148"/>
    <w:rsid w:val="00D427E8"/>
    <w:rsid w:val="00D43B22"/>
    <w:rsid w:val="00D449C5"/>
    <w:rsid w:val="00D44E6F"/>
    <w:rsid w:val="00D44E98"/>
    <w:rsid w:val="00D453E5"/>
    <w:rsid w:val="00D45F98"/>
    <w:rsid w:val="00D4643F"/>
    <w:rsid w:val="00D4696A"/>
    <w:rsid w:val="00D50738"/>
    <w:rsid w:val="00D5103B"/>
    <w:rsid w:val="00D52AE0"/>
    <w:rsid w:val="00D53EE6"/>
    <w:rsid w:val="00D558DA"/>
    <w:rsid w:val="00D57298"/>
    <w:rsid w:val="00D57F7D"/>
    <w:rsid w:val="00D60294"/>
    <w:rsid w:val="00D60DDD"/>
    <w:rsid w:val="00D62A08"/>
    <w:rsid w:val="00D62BE4"/>
    <w:rsid w:val="00D62DBA"/>
    <w:rsid w:val="00D63102"/>
    <w:rsid w:val="00D647C5"/>
    <w:rsid w:val="00D64954"/>
    <w:rsid w:val="00D6512E"/>
    <w:rsid w:val="00D66260"/>
    <w:rsid w:val="00D6658E"/>
    <w:rsid w:val="00D70630"/>
    <w:rsid w:val="00D708DA"/>
    <w:rsid w:val="00D70C7E"/>
    <w:rsid w:val="00D71B7C"/>
    <w:rsid w:val="00D71E9A"/>
    <w:rsid w:val="00D74080"/>
    <w:rsid w:val="00D74CAD"/>
    <w:rsid w:val="00D75831"/>
    <w:rsid w:val="00D75CBE"/>
    <w:rsid w:val="00D76A05"/>
    <w:rsid w:val="00D76C40"/>
    <w:rsid w:val="00D76EC9"/>
    <w:rsid w:val="00D77E41"/>
    <w:rsid w:val="00D80AB4"/>
    <w:rsid w:val="00D81639"/>
    <w:rsid w:val="00D819BF"/>
    <w:rsid w:val="00D82204"/>
    <w:rsid w:val="00D825E5"/>
    <w:rsid w:val="00D8338E"/>
    <w:rsid w:val="00D84540"/>
    <w:rsid w:val="00D84B8F"/>
    <w:rsid w:val="00D84F8A"/>
    <w:rsid w:val="00D85879"/>
    <w:rsid w:val="00D85F7F"/>
    <w:rsid w:val="00D8608C"/>
    <w:rsid w:val="00D873C6"/>
    <w:rsid w:val="00D900AD"/>
    <w:rsid w:val="00D908BC"/>
    <w:rsid w:val="00D90EE2"/>
    <w:rsid w:val="00D91210"/>
    <w:rsid w:val="00D9121B"/>
    <w:rsid w:val="00D91F0C"/>
    <w:rsid w:val="00D93619"/>
    <w:rsid w:val="00D942CD"/>
    <w:rsid w:val="00D95BF2"/>
    <w:rsid w:val="00D96393"/>
    <w:rsid w:val="00D96943"/>
    <w:rsid w:val="00D96E31"/>
    <w:rsid w:val="00D97289"/>
    <w:rsid w:val="00D974E1"/>
    <w:rsid w:val="00DA0126"/>
    <w:rsid w:val="00DA14A7"/>
    <w:rsid w:val="00DA1AA7"/>
    <w:rsid w:val="00DA2081"/>
    <w:rsid w:val="00DA2B33"/>
    <w:rsid w:val="00DA2BCE"/>
    <w:rsid w:val="00DA3835"/>
    <w:rsid w:val="00DA4947"/>
    <w:rsid w:val="00DA5777"/>
    <w:rsid w:val="00DA65FF"/>
    <w:rsid w:val="00DA662F"/>
    <w:rsid w:val="00DA6A6C"/>
    <w:rsid w:val="00DA79C9"/>
    <w:rsid w:val="00DA7CA0"/>
    <w:rsid w:val="00DB1D43"/>
    <w:rsid w:val="00DB27B0"/>
    <w:rsid w:val="00DB2B16"/>
    <w:rsid w:val="00DB2E4E"/>
    <w:rsid w:val="00DB3324"/>
    <w:rsid w:val="00DB4D82"/>
    <w:rsid w:val="00DB5063"/>
    <w:rsid w:val="00DB61F6"/>
    <w:rsid w:val="00DB62B8"/>
    <w:rsid w:val="00DB635A"/>
    <w:rsid w:val="00DB7233"/>
    <w:rsid w:val="00DB7A74"/>
    <w:rsid w:val="00DC0682"/>
    <w:rsid w:val="00DC0E9B"/>
    <w:rsid w:val="00DC16A4"/>
    <w:rsid w:val="00DC1F76"/>
    <w:rsid w:val="00DC4B6C"/>
    <w:rsid w:val="00DC4D1E"/>
    <w:rsid w:val="00DC7262"/>
    <w:rsid w:val="00DC7E05"/>
    <w:rsid w:val="00DD1311"/>
    <w:rsid w:val="00DD1D55"/>
    <w:rsid w:val="00DD1EE7"/>
    <w:rsid w:val="00DD2119"/>
    <w:rsid w:val="00DD311B"/>
    <w:rsid w:val="00DD4294"/>
    <w:rsid w:val="00DD6165"/>
    <w:rsid w:val="00DD6663"/>
    <w:rsid w:val="00DD7917"/>
    <w:rsid w:val="00DE01CB"/>
    <w:rsid w:val="00DE0E25"/>
    <w:rsid w:val="00DE189A"/>
    <w:rsid w:val="00DE3B9C"/>
    <w:rsid w:val="00DE5141"/>
    <w:rsid w:val="00DE58A0"/>
    <w:rsid w:val="00DE58DB"/>
    <w:rsid w:val="00DE5B71"/>
    <w:rsid w:val="00DE5B96"/>
    <w:rsid w:val="00DE6DA4"/>
    <w:rsid w:val="00DE73FB"/>
    <w:rsid w:val="00DF073E"/>
    <w:rsid w:val="00DF09CC"/>
    <w:rsid w:val="00DF14E7"/>
    <w:rsid w:val="00DF29F1"/>
    <w:rsid w:val="00DF2F4F"/>
    <w:rsid w:val="00DF3846"/>
    <w:rsid w:val="00DF4EB1"/>
    <w:rsid w:val="00DF64D2"/>
    <w:rsid w:val="00DF6698"/>
    <w:rsid w:val="00DF77C4"/>
    <w:rsid w:val="00E00BB6"/>
    <w:rsid w:val="00E01C49"/>
    <w:rsid w:val="00E021FF"/>
    <w:rsid w:val="00E02FC9"/>
    <w:rsid w:val="00E02FFE"/>
    <w:rsid w:val="00E03916"/>
    <w:rsid w:val="00E039A5"/>
    <w:rsid w:val="00E049BD"/>
    <w:rsid w:val="00E04A01"/>
    <w:rsid w:val="00E04ECE"/>
    <w:rsid w:val="00E05AE5"/>
    <w:rsid w:val="00E06C1E"/>
    <w:rsid w:val="00E06D3C"/>
    <w:rsid w:val="00E07671"/>
    <w:rsid w:val="00E0798F"/>
    <w:rsid w:val="00E102FF"/>
    <w:rsid w:val="00E1124C"/>
    <w:rsid w:val="00E11B8F"/>
    <w:rsid w:val="00E11BB1"/>
    <w:rsid w:val="00E13F29"/>
    <w:rsid w:val="00E16198"/>
    <w:rsid w:val="00E16AB4"/>
    <w:rsid w:val="00E16BAA"/>
    <w:rsid w:val="00E17F49"/>
    <w:rsid w:val="00E20418"/>
    <w:rsid w:val="00E21412"/>
    <w:rsid w:val="00E22486"/>
    <w:rsid w:val="00E22993"/>
    <w:rsid w:val="00E229A0"/>
    <w:rsid w:val="00E230CB"/>
    <w:rsid w:val="00E23D5F"/>
    <w:rsid w:val="00E23E25"/>
    <w:rsid w:val="00E24547"/>
    <w:rsid w:val="00E25577"/>
    <w:rsid w:val="00E257B1"/>
    <w:rsid w:val="00E25AC1"/>
    <w:rsid w:val="00E26920"/>
    <w:rsid w:val="00E27408"/>
    <w:rsid w:val="00E30474"/>
    <w:rsid w:val="00E30972"/>
    <w:rsid w:val="00E30C17"/>
    <w:rsid w:val="00E30D86"/>
    <w:rsid w:val="00E3160B"/>
    <w:rsid w:val="00E31684"/>
    <w:rsid w:val="00E316D5"/>
    <w:rsid w:val="00E31E0B"/>
    <w:rsid w:val="00E32435"/>
    <w:rsid w:val="00E32B9B"/>
    <w:rsid w:val="00E3369B"/>
    <w:rsid w:val="00E3423F"/>
    <w:rsid w:val="00E34CDC"/>
    <w:rsid w:val="00E368B4"/>
    <w:rsid w:val="00E37592"/>
    <w:rsid w:val="00E37FDF"/>
    <w:rsid w:val="00E4039F"/>
    <w:rsid w:val="00E440C8"/>
    <w:rsid w:val="00E440FE"/>
    <w:rsid w:val="00E444AA"/>
    <w:rsid w:val="00E447C5"/>
    <w:rsid w:val="00E44845"/>
    <w:rsid w:val="00E44DFC"/>
    <w:rsid w:val="00E46B43"/>
    <w:rsid w:val="00E46F5E"/>
    <w:rsid w:val="00E470D9"/>
    <w:rsid w:val="00E50124"/>
    <w:rsid w:val="00E50B80"/>
    <w:rsid w:val="00E50C0E"/>
    <w:rsid w:val="00E50D17"/>
    <w:rsid w:val="00E524D8"/>
    <w:rsid w:val="00E52597"/>
    <w:rsid w:val="00E525CB"/>
    <w:rsid w:val="00E52CF6"/>
    <w:rsid w:val="00E535A8"/>
    <w:rsid w:val="00E538FF"/>
    <w:rsid w:val="00E539AB"/>
    <w:rsid w:val="00E54407"/>
    <w:rsid w:val="00E55520"/>
    <w:rsid w:val="00E5784B"/>
    <w:rsid w:val="00E57C92"/>
    <w:rsid w:val="00E6079D"/>
    <w:rsid w:val="00E614E8"/>
    <w:rsid w:val="00E6158C"/>
    <w:rsid w:val="00E6243E"/>
    <w:rsid w:val="00E626FE"/>
    <w:rsid w:val="00E62A8A"/>
    <w:rsid w:val="00E62B92"/>
    <w:rsid w:val="00E6417D"/>
    <w:rsid w:val="00E66495"/>
    <w:rsid w:val="00E664BA"/>
    <w:rsid w:val="00E67F3E"/>
    <w:rsid w:val="00E70266"/>
    <w:rsid w:val="00E702C2"/>
    <w:rsid w:val="00E70C3A"/>
    <w:rsid w:val="00E70F15"/>
    <w:rsid w:val="00E718ED"/>
    <w:rsid w:val="00E7229A"/>
    <w:rsid w:val="00E73CA5"/>
    <w:rsid w:val="00E75248"/>
    <w:rsid w:val="00E75EC1"/>
    <w:rsid w:val="00E76B1A"/>
    <w:rsid w:val="00E7729E"/>
    <w:rsid w:val="00E804F0"/>
    <w:rsid w:val="00E80C37"/>
    <w:rsid w:val="00E81924"/>
    <w:rsid w:val="00E82D58"/>
    <w:rsid w:val="00E84077"/>
    <w:rsid w:val="00E856C3"/>
    <w:rsid w:val="00E866D0"/>
    <w:rsid w:val="00E87031"/>
    <w:rsid w:val="00E872D3"/>
    <w:rsid w:val="00E87790"/>
    <w:rsid w:val="00E878D3"/>
    <w:rsid w:val="00E87D62"/>
    <w:rsid w:val="00E9116A"/>
    <w:rsid w:val="00E91570"/>
    <w:rsid w:val="00E928DD"/>
    <w:rsid w:val="00E93DFE"/>
    <w:rsid w:val="00E949DD"/>
    <w:rsid w:val="00E956A8"/>
    <w:rsid w:val="00E959A2"/>
    <w:rsid w:val="00E95FA9"/>
    <w:rsid w:val="00EA0143"/>
    <w:rsid w:val="00EA0390"/>
    <w:rsid w:val="00EA0E22"/>
    <w:rsid w:val="00EA12F7"/>
    <w:rsid w:val="00EA1891"/>
    <w:rsid w:val="00EA2918"/>
    <w:rsid w:val="00EA3E48"/>
    <w:rsid w:val="00EA4DAA"/>
    <w:rsid w:val="00EA5A14"/>
    <w:rsid w:val="00EA5BA9"/>
    <w:rsid w:val="00EA60FA"/>
    <w:rsid w:val="00EA65BC"/>
    <w:rsid w:val="00EA6A17"/>
    <w:rsid w:val="00EA7673"/>
    <w:rsid w:val="00EB0146"/>
    <w:rsid w:val="00EB057F"/>
    <w:rsid w:val="00EB1354"/>
    <w:rsid w:val="00EB2BB1"/>
    <w:rsid w:val="00EB2F6F"/>
    <w:rsid w:val="00EB381C"/>
    <w:rsid w:val="00EB4B7B"/>
    <w:rsid w:val="00EB66C5"/>
    <w:rsid w:val="00EB6C1F"/>
    <w:rsid w:val="00EB6D2B"/>
    <w:rsid w:val="00EB7CAF"/>
    <w:rsid w:val="00EC0636"/>
    <w:rsid w:val="00EC064D"/>
    <w:rsid w:val="00EC083A"/>
    <w:rsid w:val="00EC0F6D"/>
    <w:rsid w:val="00EC174C"/>
    <w:rsid w:val="00EC1ED8"/>
    <w:rsid w:val="00EC364B"/>
    <w:rsid w:val="00EC3746"/>
    <w:rsid w:val="00EC3FED"/>
    <w:rsid w:val="00EC41AA"/>
    <w:rsid w:val="00EC5281"/>
    <w:rsid w:val="00EC5A65"/>
    <w:rsid w:val="00EC5F63"/>
    <w:rsid w:val="00EC619B"/>
    <w:rsid w:val="00EC61AC"/>
    <w:rsid w:val="00EC63A2"/>
    <w:rsid w:val="00ED007C"/>
    <w:rsid w:val="00ED0C6A"/>
    <w:rsid w:val="00ED172B"/>
    <w:rsid w:val="00ED2071"/>
    <w:rsid w:val="00ED272C"/>
    <w:rsid w:val="00ED2DDD"/>
    <w:rsid w:val="00ED3BCC"/>
    <w:rsid w:val="00ED48DA"/>
    <w:rsid w:val="00ED509B"/>
    <w:rsid w:val="00ED55AA"/>
    <w:rsid w:val="00ED6E79"/>
    <w:rsid w:val="00ED712A"/>
    <w:rsid w:val="00ED74EE"/>
    <w:rsid w:val="00ED7D12"/>
    <w:rsid w:val="00EE0221"/>
    <w:rsid w:val="00EE05B7"/>
    <w:rsid w:val="00EE0C65"/>
    <w:rsid w:val="00EE1DD1"/>
    <w:rsid w:val="00EE24E7"/>
    <w:rsid w:val="00EE4E0F"/>
    <w:rsid w:val="00EE50A8"/>
    <w:rsid w:val="00EE58C0"/>
    <w:rsid w:val="00EE6372"/>
    <w:rsid w:val="00EE6F42"/>
    <w:rsid w:val="00EE7144"/>
    <w:rsid w:val="00EE7829"/>
    <w:rsid w:val="00EF09DF"/>
    <w:rsid w:val="00EF3463"/>
    <w:rsid w:val="00EF36A1"/>
    <w:rsid w:val="00EF45CC"/>
    <w:rsid w:val="00EF4A30"/>
    <w:rsid w:val="00EF4E00"/>
    <w:rsid w:val="00EF76FE"/>
    <w:rsid w:val="00F0087F"/>
    <w:rsid w:val="00F008FE"/>
    <w:rsid w:val="00F00C86"/>
    <w:rsid w:val="00F0119D"/>
    <w:rsid w:val="00F01254"/>
    <w:rsid w:val="00F01A8D"/>
    <w:rsid w:val="00F024C7"/>
    <w:rsid w:val="00F02E8A"/>
    <w:rsid w:val="00F03286"/>
    <w:rsid w:val="00F03E46"/>
    <w:rsid w:val="00F0433A"/>
    <w:rsid w:val="00F046B6"/>
    <w:rsid w:val="00F05ED0"/>
    <w:rsid w:val="00F0619B"/>
    <w:rsid w:val="00F06ADC"/>
    <w:rsid w:val="00F06EF8"/>
    <w:rsid w:val="00F11700"/>
    <w:rsid w:val="00F11F45"/>
    <w:rsid w:val="00F129DF"/>
    <w:rsid w:val="00F13C0D"/>
    <w:rsid w:val="00F13F8C"/>
    <w:rsid w:val="00F143C2"/>
    <w:rsid w:val="00F144F9"/>
    <w:rsid w:val="00F147FA"/>
    <w:rsid w:val="00F14D0B"/>
    <w:rsid w:val="00F15AA8"/>
    <w:rsid w:val="00F1643E"/>
    <w:rsid w:val="00F178A0"/>
    <w:rsid w:val="00F20899"/>
    <w:rsid w:val="00F20E73"/>
    <w:rsid w:val="00F21D64"/>
    <w:rsid w:val="00F22006"/>
    <w:rsid w:val="00F2262B"/>
    <w:rsid w:val="00F22D09"/>
    <w:rsid w:val="00F24AC2"/>
    <w:rsid w:val="00F25214"/>
    <w:rsid w:val="00F2548E"/>
    <w:rsid w:val="00F255D2"/>
    <w:rsid w:val="00F25965"/>
    <w:rsid w:val="00F3080C"/>
    <w:rsid w:val="00F32724"/>
    <w:rsid w:val="00F32751"/>
    <w:rsid w:val="00F32B6D"/>
    <w:rsid w:val="00F339CE"/>
    <w:rsid w:val="00F33E0A"/>
    <w:rsid w:val="00F33E76"/>
    <w:rsid w:val="00F342F9"/>
    <w:rsid w:val="00F3511E"/>
    <w:rsid w:val="00F3516E"/>
    <w:rsid w:val="00F35698"/>
    <w:rsid w:val="00F35C0E"/>
    <w:rsid w:val="00F360F2"/>
    <w:rsid w:val="00F3615E"/>
    <w:rsid w:val="00F366A6"/>
    <w:rsid w:val="00F36848"/>
    <w:rsid w:val="00F37E58"/>
    <w:rsid w:val="00F40121"/>
    <w:rsid w:val="00F40C9F"/>
    <w:rsid w:val="00F4238C"/>
    <w:rsid w:val="00F42995"/>
    <w:rsid w:val="00F44638"/>
    <w:rsid w:val="00F4580C"/>
    <w:rsid w:val="00F45CB7"/>
    <w:rsid w:val="00F45CE5"/>
    <w:rsid w:val="00F47E58"/>
    <w:rsid w:val="00F507BE"/>
    <w:rsid w:val="00F50AD0"/>
    <w:rsid w:val="00F51011"/>
    <w:rsid w:val="00F51610"/>
    <w:rsid w:val="00F52B75"/>
    <w:rsid w:val="00F5303D"/>
    <w:rsid w:val="00F5435D"/>
    <w:rsid w:val="00F5460E"/>
    <w:rsid w:val="00F54F47"/>
    <w:rsid w:val="00F54FAA"/>
    <w:rsid w:val="00F55079"/>
    <w:rsid w:val="00F55CF9"/>
    <w:rsid w:val="00F563DA"/>
    <w:rsid w:val="00F571EB"/>
    <w:rsid w:val="00F607CC"/>
    <w:rsid w:val="00F61A89"/>
    <w:rsid w:val="00F627C0"/>
    <w:rsid w:val="00F63955"/>
    <w:rsid w:val="00F64287"/>
    <w:rsid w:val="00F651BC"/>
    <w:rsid w:val="00F66714"/>
    <w:rsid w:val="00F67355"/>
    <w:rsid w:val="00F67CCA"/>
    <w:rsid w:val="00F67FA4"/>
    <w:rsid w:val="00F702B4"/>
    <w:rsid w:val="00F70415"/>
    <w:rsid w:val="00F7071C"/>
    <w:rsid w:val="00F70AC4"/>
    <w:rsid w:val="00F70B2D"/>
    <w:rsid w:val="00F70B9C"/>
    <w:rsid w:val="00F71605"/>
    <w:rsid w:val="00F719E6"/>
    <w:rsid w:val="00F72C4B"/>
    <w:rsid w:val="00F74CF3"/>
    <w:rsid w:val="00F74E2A"/>
    <w:rsid w:val="00F754D5"/>
    <w:rsid w:val="00F75864"/>
    <w:rsid w:val="00F765B8"/>
    <w:rsid w:val="00F7673F"/>
    <w:rsid w:val="00F76753"/>
    <w:rsid w:val="00F77D8B"/>
    <w:rsid w:val="00F80505"/>
    <w:rsid w:val="00F807FB"/>
    <w:rsid w:val="00F80C9C"/>
    <w:rsid w:val="00F825BA"/>
    <w:rsid w:val="00F82625"/>
    <w:rsid w:val="00F829C9"/>
    <w:rsid w:val="00F83228"/>
    <w:rsid w:val="00F83727"/>
    <w:rsid w:val="00F83A6A"/>
    <w:rsid w:val="00F83F88"/>
    <w:rsid w:val="00F845CB"/>
    <w:rsid w:val="00F84A82"/>
    <w:rsid w:val="00F84DDE"/>
    <w:rsid w:val="00F85027"/>
    <w:rsid w:val="00F857BB"/>
    <w:rsid w:val="00F85A5B"/>
    <w:rsid w:val="00F860F5"/>
    <w:rsid w:val="00F8685E"/>
    <w:rsid w:val="00F86861"/>
    <w:rsid w:val="00F872DC"/>
    <w:rsid w:val="00F9062E"/>
    <w:rsid w:val="00F90A32"/>
    <w:rsid w:val="00F90BF8"/>
    <w:rsid w:val="00F939F8"/>
    <w:rsid w:val="00F95744"/>
    <w:rsid w:val="00F95AA3"/>
    <w:rsid w:val="00F95FEA"/>
    <w:rsid w:val="00F9713C"/>
    <w:rsid w:val="00F97A57"/>
    <w:rsid w:val="00F97A99"/>
    <w:rsid w:val="00F97C7F"/>
    <w:rsid w:val="00FA1420"/>
    <w:rsid w:val="00FA2430"/>
    <w:rsid w:val="00FA283D"/>
    <w:rsid w:val="00FA3375"/>
    <w:rsid w:val="00FA45A1"/>
    <w:rsid w:val="00FA46DF"/>
    <w:rsid w:val="00FA5E02"/>
    <w:rsid w:val="00FA69B8"/>
    <w:rsid w:val="00FA7580"/>
    <w:rsid w:val="00FB141D"/>
    <w:rsid w:val="00FB146D"/>
    <w:rsid w:val="00FB1F1C"/>
    <w:rsid w:val="00FB32A4"/>
    <w:rsid w:val="00FB39DD"/>
    <w:rsid w:val="00FB41C1"/>
    <w:rsid w:val="00FB483E"/>
    <w:rsid w:val="00FB4E79"/>
    <w:rsid w:val="00FB513B"/>
    <w:rsid w:val="00FB51A3"/>
    <w:rsid w:val="00FB7AE9"/>
    <w:rsid w:val="00FC0549"/>
    <w:rsid w:val="00FC083E"/>
    <w:rsid w:val="00FC0A2B"/>
    <w:rsid w:val="00FC0AC7"/>
    <w:rsid w:val="00FC13CE"/>
    <w:rsid w:val="00FC1AA8"/>
    <w:rsid w:val="00FC1E9E"/>
    <w:rsid w:val="00FC298C"/>
    <w:rsid w:val="00FC2B12"/>
    <w:rsid w:val="00FC49D3"/>
    <w:rsid w:val="00FC5451"/>
    <w:rsid w:val="00FC576C"/>
    <w:rsid w:val="00FC727D"/>
    <w:rsid w:val="00FC769C"/>
    <w:rsid w:val="00FC7972"/>
    <w:rsid w:val="00FD047C"/>
    <w:rsid w:val="00FD059E"/>
    <w:rsid w:val="00FD18B2"/>
    <w:rsid w:val="00FD3C8C"/>
    <w:rsid w:val="00FD4802"/>
    <w:rsid w:val="00FD4A6F"/>
    <w:rsid w:val="00FD59F0"/>
    <w:rsid w:val="00FD66D7"/>
    <w:rsid w:val="00FE122D"/>
    <w:rsid w:val="00FE1B3A"/>
    <w:rsid w:val="00FE27FA"/>
    <w:rsid w:val="00FE2991"/>
    <w:rsid w:val="00FE3AA6"/>
    <w:rsid w:val="00FE3F4C"/>
    <w:rsid w:val="00FE3F69"/>
    <w:rsid w:val="00FE403B"/>
    <w:rsid w:val="00FE4661"/>
    <w:rsid w:val="00FE6398"/>
    <w:rsid w:val="00FE6608"/>
    <w:rsid w:val="00FE7611"/>
    <w:rsid w:val="00FF026D"/>
    <w:rsid w:val="00FF155B"/>
    <w:rsid w:val="00FF2213"/>
    <w:rsid w:val="00FF244B"/>
    <w:rsid w:val="00FF2F0B"/>
    <w:rsid w:val="00FF3F3A"/>
    <w:rsid w:val="00FF54D0"/>
    <w:rsid w:val="00FF55B8"/>
    <w:rsid w:val="00FF5F8A"/>
    <w:rsid w:val="00FF694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461D"/>
  <w15:docId w15:val="{B61F946E-EA9B-40D6-9661-37BE67C3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830"/>
    <w:pPr>
      <w:spacing w:before="60" w:after="60" w:line="240" w:lineRule="auto"/>
    </w:pPr>
    <w:rPr>
      <w:rFonts w:ascii="Arial" w:hAnsi="Arial"/>
      <w:sz w:val="16"/>
    </w:rPr>
  </w:style>
  <w:style w:type="paragraph" w:styleId="Heading1">
    <w:name w:val="heading 1"/>
    <w:basedOn w:val="Normal"/>
    <w:next w:val="Normal"/>
    <w:link w:val="Heading1Char"/>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9774B8"/>
    <w:pPr>
      <w:keepNext/>
      <w:keepLines/>
      <w:spacing w:before="12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9774B8"/>
    <w:rPr>
      <w:rFonts w:asciiTheme="majorHAnsi" w:eastAsiaTheme="majorEastAsia" w:hAnsiTheme="majorHAnsi" w:cstheme="majorBidi"/>
      <w:b/>
      <w:bCs/>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2"/>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9d910d1478a0d971c479fde64394890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95ece80a52bca9fec6d4c17f78110e1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DNVT47QTA7NQ-509440880-390920</_dlc_DocId>
    <_dlc_DocIdUrl xmlns="b7635ab0-52e7-4e33-aa76-893cd120ef45">
      <Url>https://sharepoint.aemcorp.com/ed/EDMITS/_layouts/15/DocIdRedir.aspx?ID=DNVT47QTA7NQ-509440880-390920</Url>
      <Description>DNVT47QTA7NQ-509440880-390920</Description>
    </_dlc_DocIdUrl>
    <_dlc_DocIdPersistId xmlns="b7635ab0-52e7-4e33-aa76-893cd120ef45">false</_dlc_DocIdPersistId>
    <RoutingTargetFolder xmlns="http://schemas.microsoft.com/sharepoint/v3" xsi:nil="true"/>
    <Document_x0020_Purpose xmlns="75b8f200-01bb-4893-a3c4-f3a17e332d9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2.xml><?xml version="1.0" encoding="utf-8"?>
<ds:datastoreItem xmlns:ds="http://schemas.openxmlformats.org/officeDocument/2006/customXml" ds:itemID="{47FCEAEB-52AB-4575-9E03-2C3BBED2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4.xml><?xml version="1.0" encoding="utf-8"?>
<ds:datastoreItem xmlns:ds="http://schemas.openxmlformats.org/officeDocument/2006/customXml" ds:itemID="{084FE08C-21C7-4F8B-B039-5438764D1B9A}">
  <ds:schemaRefs>
    <ds:schemaRef ds:uri="http://schemas.microsoft.com/sharepoint/events"/>
  </ds:schemaRefs>
</ds:datastoreItem>
</file>

<file path=customXml/itemProps5.xml><?xml version="1.0" encoding="utf-8"?>
<ds:datastoreItem xmlns:ds="http://schemas.openxmlformats.org/officeDocument/2006/customXml" ds:itemID="{7881BCB8-03D0-4290-935D-F6B299B61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34364</Words>
  <Characters>195876</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Wallace, Cynthia (DPH)</cp:lastModifiedBy>
  <cp:revision>2</cp:revision>
  <cp:lastPrinted>2014-08-19T16:56:00Z</cp:lastPrinted>
  <dcterms:created xsi:type="dcterms:W3CDTF">2022-06-27T17:21:00Z</dcterms:created>
  <dcterms:modified xsi:type="dcterms:W3CDTF">2022-06-27T17:21:00Z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_dlc_DocIdItemGuid">
    <vt:lpwstr>4b6e6a98-a3d5-467d-a141-983aa618120f</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