
<file path=[Content_Types].xml><?xml version="1.0" encoding="utf-8"?>
<Types xmlns="http://schemas.openxmlformats.org/package/2006/content-types">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E07FA" w14:textId="03EEBB33" w:rsidR="0082346B" w:rsidRPr="001071FD" w:rsidRDefault="0082346B" w:rsidP="0082346B">
      <w:pPr>
        <w:autoSpaceDE w:val="0"/>
        <w:autoSpaceDN w:val="0"/>
        <w:adjustRightInd w:val="0"/>
        <w:jc w:val="center"/>
        <w:rPr>
          <w:rFonts w:cs="Arial"/>
          <w:b/>
          <w:bCs/>
          <w:smallCaps/>
          <w:color w:val="000000" w:themeColor="text1"/>
          <w:sz w:val="32"/>
          <w:szCs w:val="32"/>
        </w:rPr>
      </w:pPr>
      <w:bookmarkStart w:id="0" w:name="_Toc382082357"/>
      <w:bookmarkStart w:id="1" w:name="_Toc392159258"/>
      <w:r w:rsidRPr="001071FD">
        <w:rPr>
          <w:rFonts w:cs="Arial"/>
          <w:b/>
          <w:bCs/>
          <w:smallCaps/>
          <w:color w:val="000000" w:themeColor="text1"/>
          <w:sz w:val="32"/>
          <w:szCs w:val="32"/>
        </w:rPr>
        <w:t>State Performance Plan / Annual Performance Report: Part C</w:t>
      </w:r>
    </w:p>
    <w:p w14:paraId="35A4F3A3" w14:textId="1C32BC71" w:rsidR="0082346B" w:rsidRPr="001071FD" w:rsidRDefault="0082346B" w:rsidP="0082346B">
      <w:pPr>
        <w:autoSpaceDE w:val="0"/>
        <w:autoSpaceDN w:val="0"/>
        <w:adjustRightInd w:val="0"/>
        <w:spacing w:before="360"/>
        <w:jc w:val="center"/>
        <w:rPr>
          <w:rFonts w:cs="Arial"/>
          <w:b/>
          <w:bCs/>
          <w:color w:val="000000" w:themeColor="text1"/>
          <w:sz w:val="24"/>
          <w:szCs w:val="24"/>
        </w:rPr>
      </w:pPr>
      <w:r w:rsidRPr="001071FD">
        <w:rPr>
          <w:rFonts w:cs="Arial"/>
          <w:b/>
          <w:bCs/>
          <w:color w:val="000000" w:themeColor="text1"/>
          <w:sz w:val="24"/>
          <w:szCs w:val="24"/>
        </w:rPr>
        <w:t>for STATE FORMULA GRANT PROGRAMS under the Individuals with Disabilities Education Act</w:t>
      </w:r>
    </w:p>
    <w:p w14:paraId="14238AAF" w14:textId="784CE90B" w:rsidR="0082346B" w:rsidRPr="001071FD" w:rsidRDefault="0082346B" w:rsidP="0082346B">
      <w:pPr>
        <w:autoSpaceDE w:val="0"/>
        <w:autoSpaceDN w:val="0"/>
        <w:adjustRightInd w:val="0"/>
        <w:spacing w:before="360"/>
        <w:jc w:val="center"/>
        <w:rPr>
          <w:rFonts w:cs="Arial"/>
          <w:b/>
          <w:bCs/>
          <w:color w:val="000000" w:themeColor="text1"/>
          <w:sz w:val="28"/>
          <w:szCs w:val="28"/>
        </w:rPr>
      </w:pPr>
      <w:r w:rsidRPr="005C29F8">
        <w:rPr>
          <w:rFonts w:cs="Arial"/>
          <w:b/>
          <w:bCs/>
          <w:color w:val="000000" w:themeColor="text1"/>
          <w:sz w:val="24"/>
          <w:szCs w:val="24"/>
        </w:rPr>
        <w:t xml:space="preserve">For reporting on </w:t>
      </w:r>
      <w:r>
        <w:rPr>
          <w:rFonts w:cs="Arial"/>
          <w:b/>
          <w:bCs/>
          <w:color w:val="000000" w:themeColor="text1"/>
          <w:sz w:val="24"/>
          <w:szCs w:val="24"/>
        </w:rPr>
        <w:br/>
      </w:r>
      <w:r w:rsidR="00F22D09">
        <w:rPr>
          <w:rFonts w:cs="Arial"/>
          <w:b/>
          <w:bCs/>
          <w:color w:val="000000" w:themeColor="text1"/>
          <w:sz w:val="28"/>
          <w:szCs w:val="28"/>
        </w:rPr>
        <w:t>FFY 202</w:t>
      </w:r>
      <w:r w:rsidR="00792528">
        <w:rPr>
          <w:rFonts w:cs="Arial"/>
          <w:b/>
          <w:bCs/>
          <w:color w:val="000000" w:themeColor="text1"/>
          <w:sz w:val="28"/>
          <w:szCs w:val="28"/>
        </w:rPr>
        <w:t>1</w:t>
      </w:r>
    </w:p>
    <w:p w14:paraId="328C2694" w14:textId="77777777" w:rsidR="0082346B" w:rsidRPr="001071FD" w:rsidRDefault="0082346B" w:rsidP="0082346B">
      <w:pPr>
        <w:autoSpaceDE w:val="0"/>
        <w:autoSpaceDN w:val="0"/>
        <w:adjustRightInd w:val="0"/>
        <w:spacing w:before="360"/>
        <w:jc w:val="center"/>
        <w:rPr>
          <w:rFonts w:cs="Arial"/>
          <w:b/>
          <w:bCs/>
          <w:color w:val="000000" w:themeColor="text1"/>
          <w:sz w:val="32"/>
          <w:szCs w:val="32"/>
        </w:rPr>
      </w:pPr>
      <w:r w:rsidRPr="001071FD">
        <w:rPr>
          <w:rFonts w:cs="Arial"/>
          <w:b/>
          <w:bCs/>
          <w:color w:val="000000" w:themeColor="text1"/>
          <w:sz w:val="32"/>
          <w:szCs w:val="32"/>
        </w:rPr>
        <w:t>Massachusetts</w:t>
      </w:r>
    </w:p>
    <w:p w14:paraId="45B0CEC9" w14:textId="77777777" w:rsidR="0082346B" w:rsidRPr="005C29F8" w:rsidRDefault="0082346B" w:rsidP="0082346B">
      <w:pPr>
        <w:autoSpaceDE w:val="0"/>
        <w:autoSpaceDN w:val="0"/>
        <w:adjustRightInd w:val="0"/>
        <w:spacing w:before="360"/>
        <w:jc w:val="center"/>
        <w:rPr>
          <w:rFonts w:cs="Arial"/>
          <w:b/>
          <w:bCs/>
          <w:color w:val="000000" w:themeColor="text1"/>
          <w:sz w:val="24"/>
          <w:szCs w:val="24"/>
        </w:rPr>
      </w:pPr>
      <w:r>
        <w:rPr>
          <w:rFonts w:cs="Arial"/>
          <w:noProof/>
          <w:color w:val="000000" w:themeColor="text1"/>
          <w:sz w:val="24"/>
          <w:szCs w:val="24"/>
        </w:rPr>
        <w:drawing>
          <wp:inline distT="0" distB="0" distL="0" distR="0" wp14:anchorId="595780A9" wp14:editId="0CEFC105">
            <wp:extent cx="2281963" cy="2286000"/>
            <wp:effectExtent l="0" t="0" r="4445" b="0"/>
            <wp:docPr id="2" name="Picture 2"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S. Department of Education sea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1963" cy="2286000"/>
                    </a:xfrm>
                    <a:prstGeom prst="rect">
                      <a:avLst/>
                    </a:prstGeom>
                  </pic:spPr>
                </pic:pic>
              </a:graphicData>
            </a:graphic>
          </wp:inline>
        </w:drawing>
      </w:r>
    </w:p>
    <w:p w14:paraId="2AF9D8C0" w14:textId="1A7659E4" w:rsidR="0082346B" w:rsidRPr="005C29F8" w:rsidRDefault="0082346B" w:rsidP="0082346B">
      <w:pPr>
        <w:autoSpaceDE w:val="0"/>
        <w:autoSpaceDN w:val="0"/>
        <w:adjustRightInd w:val="0"/>
        <w:spacing w:before="360"/>
        <w:jc w:val="center"/>
        <w:rPr>
          <w:rFonts w:cs="Arial"/>
          <w:b/>
          <w:bCs/>
          <w:color w:val="000000" w:themeColor="text1"/>
          <w:sz w:val="24"/>
          <w:szCs w:val="24"/>
        </w:rPr>
      </w:pPr>
      <w:r w:rsidRPr="005C29F8">
        <w:rPr>
          <w:rFonts w:cs="Arial"/>
          <w:b/>
          <w:bCs/>
          <w:color w:val="000000" w:themeColor="text1"/>
          <w:sz w:val="24"/>
          <w:szCs w:val="24"/>
        </w:rPr>
        <w:t xml:space="preserve">PART C DUE </w:t>
      </w:r>
      <w:r>
        <w:rPr>
          <w:rFonts w:cs="Arial"/>
          <w:b/>
          <w:bCs/>
          <w:color w:val="000000" w:themeColor="text1"/>
          <w:sz w:val="24"/>
          <w:szCs w:val="24"/>
        </w:rPr>
        <w:br/>
      </w:r>
      <w:r w:rsidR="00B43A02">
        <w:rPr>
          <w:rFonts w:cs="Arial"/>
          <w:b/>
          <w:bCs/>
          <w:color w:val="000000" w:themeColor="text1"/>
          <w:sz w:val="24"/>
          <w:szCs w:val="24"/>
        </w:rPr>
        <w:t>February 1, 2023</w:t>
      </w:r>
    </w:p>
    <w:p w14:paraId="4DFD0E86" w14:textId="77777777" w:rsidR="0082346B" w:rsidRPr="005C29F8" w:rsidRDefault="0082346B" w:rsidP="0082346B">
      <w:pPr>
        <w:autoSpaceDE w:val="0"/>
        <w:autoSpaceDN w:val="0"/>
        <w:adjustRightInd w:val="0"/>
        <w:spacing w:before="360"/>
        <w:jc w:val="center"/>
        <w:rPr>
          <w:rFonts w:cs="Arial"/>
          <w:b/>
          <w:bCs/>
          <w:color w:val="000000" w:themeColor="text1"/>
          <w:sz w:val="18"/>
          <w:szCs w:val="18"/>
        </w:rPr>
      </w:pPr>
      <w:r w:rsidRPr="005C29F8">
        <w:rPr>
          <w:rFonts w:cs="Arial"/>
          <w:b/>
          <w:bCs/>
          <w:color w:val="000000" w:themeColor="text1"/>
          <w:sz w:val="18"/>
          <w:szCs w:val="18"/>
        </w:rPr>
        <w:t>U.S. DEPARTMENT OF EDUCATION</w:t>
      </w:r>
    </w:p>
    <w:p w14:paraId="0022FD2E" w14:textId="6A23E138" w:rsidR="0082346B" w:rsidRDefault="0082346B" w:rsidP="0082346B">
      <w:pPr>
        <w:jc w:val="center"/>
        <w:rPr>
          <w:rFonts w:cs="Arial"/>
          <w:b/>
          <w:bCs/>
          <w:color w:val="000000" w:themeColor="text1"/>
          <w:sz w:val="18"/>
          <w:szCs w:val="18"/>
        </w:rPr>
      </w:pPr>
      <w:r w:rsidRPr="005C29F8">
        <w:rPr>
          <w:rFonts w:cs="Arial"/>
          <w:b/>
          <w:bCs/>
          <w:color w:val="000000" w:themeColor="text1"/>
          <w:sz w:val="18"/>
          <w:szCs w:val="18"/>
        </w:rPr>
        <w:t>WASHINGTON, DC 20202</w:t>
      </w:r>
    </w:p>
    <w:p w14:paraId="30F07D4A" w14:textId="2C9FB663" w:rsidR="00181DEB" w:rsidRPr="00ED172B" w:rsidRDefault="00F563DA" w:rsidP="00CD6E4E">
      <w:pPr>
        <w:pStyle w:val="Heading1"/>
        <w:tabs>
          <w:tab w:val="left" w:pos="8415"/>
        </w:tabs>
        <w:rPr>
          <w:color w:val="000000" w:themeColor="text1"/>
        </w:rPr>
      </w:pPr>
      <w:r>
        <w:rPr>
          <w:rFonts w:cs="Arial"/>
          <w:color w:val="000000" w:themeColor="text1"/>
          <w:sz w:val="18"/>
          <w:szCs w:val="18"/>
        </w:rPr>
        <w:br w:type="page"/>
      </w:r>
      <w:r w:rsidR="00181DEB" w:rsidRPr="00ED172B">
        <w:rPr>
          <w:color w:val="000000" w:themeColor="text1"/>
        </w:rPr>
        <w:lastRenderedPageBreak/>
        <w:t>Introduction</w:t>
      </w:r>
      <w:r w:rsidR="0073775B">
        <w:rPr>
          <w:color w:val="000000" w:themeColor="text1"/>
        </w:rPr>
        <w:tab/>
      </w:r>
    </w:p>
    <w:p w14:paraId="51365A5D" w14:textId="77777777" w:rsidR="00014550" w:rsidRPr="00ED172B" w:rsidRDefault="00014550" w:rsidP="009A3621">
      <w:pPr>
        <w:rPr>
          <w:color w:val="000000" w:themeColor="text1"/>
          <w:szCs w:val="20"/>
        </w:rPr>
      </w:pPr>
      <w:r w:rsidRPr="00ED172B">
        <w:rPr>
          <w:b/>
          <w:color w:val="000000" w:themeColor="text1"/>
          <w:sz w:val="20"/>
          <w:szCs w:val="20"/>
        </w:rPr>
        <w:t>Instructions</w:t>
      </w:r>
    </w:p>
    <w:p w14:paraId="2D358717" w14:textId="30358795" w:rsidR="00014550" w:rsidRPr="00ED172B" w:rsidRDefault="004868E8" w:rsidP="00042EBF">
      <w:pPr>
        <w:rPr>
          <w:color w:val="000000" w:themeColor="text1"/>
          <w:szCs w:val="16"/>
          <w:shd w:val="clear" w:color="auto" w:fill="FFFFFF"/>
        </w:rPr>
      </w:pPr>
      <w:r w:rsidRPr="00ED172B">
        <w:rPr>
          <w:color w:val="000000" w:themeColor="text1"/>
          <w:szCs w:val="16"/>
          <w:shd w:val="clear" w:color="auto" w:fill="FFFFFF"/>
        </w:rPr>
        <w:t>Provide sufficient detail to ensure that the Secretary and the public are informed of and understand the State’s systems designed to drive improved results for infants and toddlers with disabilities and their families and to ensure that the Lead Agency (LA) meets the requirements of Part C of the IDEA. This introduction must include descriptions of the State’s General Supervision System, Technical Assistance System, Professional Development System, Stakeholder Involvement, and Reporting to the Public.</w:t>
      </w:r>
    </w:p>
    <w:p w14:paraId="0DFB17FF" w14:textId="49892274" w:rsidR="00042EBF" w:rsidRPr="00A40EE1" w:rsidRDefault="00571E72" w:rsidP="00C15786">
      <w:pPr>
        <w:pStyle w:val="Heading2"/>
      </w:pPr>
      <w:r w:rsidRPr="00A40EE1">
        <w:t xml:space="preserve">Intro - </w:t>
      </w:r>
      <w:r w:rsidR="00042EBF" w:rsidRPr="00A40EE1">
        <w:t>Indicator Data</w:t>
      </w:r>
    </w:p>
    <w:p w14:paraId="15034079" w14:textId="66F2BB2C" w:rsidR="00181DEB" w:rsidRPr="00ED172B" w:rsidRDefault="00181DEB">
      <w:pPr>
        <w:rPr>
          <w:b/>
          <w:color w:val="000000" w:themeColor="text1"/>
        </w:rPr>
      </w:pPr>
      <w:r w:rsidRPr="00ED172B">
        <w:rPr>
          <w:b/>
          <w:color w:val="000000" w:themeColor="text1"/>
        </w:rPr>
        <w:t>Executive Summary</w:t>
      </w:r>
    </w:p>
    <w:p w14:paraId="09038252" w14:textId="4DBCDFF1" w:rsidR="003A4D77" w:rsidRPr="00ED172B" w:rsidRDefault="00860830" w:rsidP="003A4D77">
      <w:pPr>
        <w:rPr>
          <w:color w:val="000000" w:themeColor="text1"/>
        </w:rPr>
      </w:pPr>
      <w:r w:rsidRPr="00ED172B">
        <w:rPr>
          <w:color w:val="000000" w:themeColor="text1"/>
        </w:rPr>
        <w:t xml:space="preserve">The Early Intervention Division, located within the Department of Public Health is the state agency in Massachusetts that is referred to as the lead agency for Part C of the Individuals with Disabilities Education Act (IDEA) or MA-C. During the year from 7/1/21 through 6/30/22, MA-C had contracts with 59 agencies to provide general Early Intervention Services (EIS) and 23 agencies to provide specialty services, such as Early Intensive Behavioral Intervention and services for vision and hearing differences. Based on active personnel listed within the state database, approximately 5,678 qualified personnel rendered services to 30,778 children and their families (a ratio of approximately 5.4 children per provider). </w:t>
        <w:br/>
        <w:t/>
        <w:br/>
        <w:t xml:space="preserve">Additionally, MA-C had a contract with a family support network, Massachusetts Family Ties, to facilitate referrals to early intervention and provide training and technical assistance to families enrolled in the Part C system. All referrals are received by one of the 59 general EIS programs, which conduct an intake, collect records, and schedule initial eligibility evaluations. Programs are required to complete all aspects of supporting families from referral through when the family exits the Part C system. MA-C verifies that these 59 general EIS programs achieve and sustain high-levels of compliance with the IDEA and produce meaningful outcomes for families and their children through its Early Intervention Operational Standards, standardized forms, technical assistance, a centralized clinical and billing database, and positive, trusting working relationships to oversee these contracts. These 59 general EIS programs are responsible for maintaining accurate records within the state database, the Early Intervention Client System (EICS). </w:t>
        <w:br/>
        <w:t/>
        <w:br/>
        <w:t>In federal fiscal year 2021 (FFY21) (July 1, 2021-June 30, 2022), the Part C system received 45,176 referrals and completed 37,963 multidisciplinary evaluations. 30,778 children had an active Individualized Family Service Plan (IFSP) in the program year. MA-C served 9.95% of the population of infants and toddlers under three years old based on the point-in-time count on October 1st, which exceeds the national average (indicator 6). MA-C served 4.17% of the population under one year old, which is higher than the national average of 3.2% (indicator 5). The majority (99.12%) of infants and toddlers with IFSPs primarily received early intervention services in the home or community-based setting (indicator 2). Taken together, these data demonstrate MA-C's robust system that centers children and families.</w:t>
      </w:r>
    </w:p>
    <w:p w14:paraId="6009AC06" w14:textId="7EF72D40" w:rsidR="004C7EE6" w:rsidRDefault="004C7EE6" w:rsidP="004C7EE6">
      <w:pPr>
        <w:pStyle w:val="Subhed"/>
      </w:pPr>
      <w:r>
        <w:t>A</w:t>
      </w:r>
      <w:r w:rsidRPr="001B6EB0">
        <w:t>dditional information related to data collection and reporting</w:t>
      </w:r>
    </w:p>
    <w:p w14:paraId="35504308" w14:textId="29D7C803" w:rsidR="008C6D27" w:rsidRPr="00ED172B" w:rsidRDefault="008C6D27" w:rsidP="008C6D27">
      <w:pPr>
        <w:rPr>
          <w:color w:val="000000" w:themeColor="text1"/>
        </w:rPr>
      </w:pPr>
      <w:r w:rsidRPr="00ED172B">
        <w:rPr>
          <w:color w:val="000000" w:themeColor="text1"/>
        </w:rPr>
        <w:t xml:space="preserve">The Lead Agency (MA-C) continues to develop its comprehensive state database, the Early Intervention Client System (EICS). This web-based database offers electronic case-management and billing systems to support the EIS programs and to enable MA-C to conduct appropriate monitoring and oversight of the Part C system. The EICS continues to improve MA-C by ensuring an unduplicated count for 618 reporting, assisting in the verification of data entered by EIS providers, allowing MA-C to detect trends for improvement planning, identifying potential areas of noncompliance, and allowing tracking of required corrective actions for verification. </w:t>
        <w:br/>
        <w:t/>
        <w:br/>
        <w:t xml:space="preserve">The EICS is developed and maintained by a contracted vendor and managed by the EICS Application Lead, an Early Intervention Information Technology staff embedded within the MA-C. The EICS provides real-time data on system-level variables such as new referrals to the Part C system, the number of children enrolled in MA-C (i.e., those with active IFSPs), service utilization, billing and claims data, and exiting reasons. The centralized system of data collection is vital to the data collection and analysis reporting contained in this SPP/APR. </w:t>
        <w:br/>
        <w:t xml:space="preserve">Although the EICS has been used by providers since November 2019, it is still in active phases of development. During FFY21, additional functionality was added to the EICS to enhance monitoring and oversight as well as improve and streamline provider practices. Some examples of the additional functionality include (1) submission of claims using a standard format (i.e., 837) that allowed MA-C to automate validations as part of its assurance of serving as the Payor of Last Resort, (2) completion of transfer paperwork within the EICS to ensure continuity of care and services for highly mobile children and other families changing EIS programs, (3) increased functionality for 22 agencies contracted to provide Early Intensive Behavioral Interventions, including creating seamless electronic referrals from the general EIS program to increase timely services, (4) significantly expanding the number of data fields that can be extracted by contracted providers to improve their access to real-time performance data, (5) expanding print privileges for certain user profiles to allow families to have greater access to their child's IFSP and records, and (6) a revised workflow for children exiting the Part C system to better support EIS programs as they work to transition children to the next phase of their educational journey. </w:t>
        <w:br/>
        <w:t/>
        <w:br/>
        <w:t>In addition to EICS, MA-C uses the Family Survey developed by the National Center Special Education Accountability Monitoring (NCSEAM) to report in Indicator 4. This instrument was selected because of its rigorous development process which ensures the state has valid and reliable data. Data are collected, maintained, and analyzed by a contracted vendor and managed by the Director of the Office of Family Initiatives, staff embedded within MA-C.</w:t>
      </w:r>
    </w:p>
    <w:p w14:paraId="255BEFE2" w14:textId="0EBDC8B7" w:rsidR="00181DEB" w:rsidRPr="00ED172B" w:rsidRDefault="00181DEB">
      <w:pPr>
        <w:rPr>
          <w:b/>
          <w:color w:val="000000" w:themeColor="text1"/>
        </w:rPr>
      </w:pPr>
      <w:r w:rsidRPr="00ED172B">
        <w:rPr>
          <w:b/>
          <w:color w:val="000000" w:themeColor="text1"/>
        </w:rPr>
        <w:t>General Supervision System</w:t>
      </w:r>
    </w:p>
    <w:p w14:paraId="530E7A61" w14:textId="03597E86" w:rsidR="00181DEB" w:rsidRPr="00ED172B" w:rsidRDefault="00181DEB" w:rsidP="00042EBF">
      <w:pPr>
        <w:rPr>
          <w:b/>
          <w:color w:val="000000" w:themeColor="text1"/>
          <w:szCs w:val="16"/>
        </w:rPr>
      </w:pPr>
      <w:r w:rsidRPr="00ED172B">
        <w:rPr>
          <w:b/>
          <w:color w:val="000000" w:themeColor="text1"/>
          <w:szCs w:val="16"/>
        </w:rPr>
        <w:t>The systems that are in place to ensure that IDEA Part C requirements are met, e.g., monitoring systems, dispute resolution systems.</w:t>
      </w:r>
    </w:p>
    <w:p w14:paraId="1B57950D" w14:textId="1D7D48FB" w:rsidR="003A4D77" w:rsidRPr="00ED172B" w:rsidRDefault="00860830" w:rsidP="00042EBF">
      <w:pPr>
        <w:rPr>
          <w:color w:val="000000" w:themeColor="text1"/>
          <w:szCs w:val="16"/>
        </w:rPr>
      </w:pPr>
      <w:r w:rsidRPr="00ED172B">
        <w:rPr>
          <w:color w:val="000000" w:themeColor="text1"/>
          <w:szCs w:val="16"/>
        </w:rPr>
        <w:t xml:space="preserve">General Supervision for Massachusetts' Part C program (MA-C) includes all of the sections described in this introduction and other components such as policies and procedures and fiscal management. The monitoring and dispute resolution components are integrated and include multiple mechanisms to identify and correct noncompliance with the Individuals with Disabilities Education Act (IDEA) and state requirements. MA-C's General Supervision system is comprised of both universal and targeted activities. MA-C conducts universal activities such as annual monitoring of each EIS program to ensure the implementation of the IDEA and identify possible areas of noncompliance and low performance (e.g., collection and verification of data for the SPP/APR, public reporting of EIS program performance from APR, and determinations about how EIS programs are meeting the requirements of the IDEA). MA-C also requires EIS programs to complete a Culturally and Linguistically Appropriate Services (CLAS) provider self-assessment to result in improvement plans in six action areas (https://www.mass.gov/lists/making-clas-happen-six-areas-for-action#self-assessment-tool-). Contracted providers are also required to complete the Commonwealth's Uniform Financial Statement and Independent Auditor's Report (UFR) annually that is analyzed by the Department of Public Health's Purchase of Services Office to identify any financial risks or concerns around the use of federal and state funds (https://ufr.osd.state.ma.us/). </w:t>
        <w:br/>
        <w:t/>
        <w:br/>
        <w:t xml:space="preserve">MA-C's General Supervision system relies heavily on review of data compiled from its state database, the Early Intervention Client System (EICS) . The purpose of these reviews are threefold: (1) to ensure data in EICS are accurate, valid, and reliable, (2) to identify noncompliance and areas for improvement within EIS program performance, and (3) to verify correction of noncompliance in accordance with federal requirements in OSEP Memo 09-02 . </w:t>
        <w:br/>
        <w:t/>
        <w:br/>
        <w:t xml:space="preserve">MA-C's General Supervision system permits the identification of both systemic and isolated noncompliance with federal regulatory requirements. All noncompliance is identified to the program in writing, including the details to support the finding (e.g., the measure, actual percentages, regulatory references). As part of the notification of findings of noncompliance, programs are informed that MA-C must verify the correction of all noncompliance as soon as possible, but in no case later than one year from the date of the written notification. MA-C develops a Corrective Action Plan with the contracted provider when necessary to ensure correction and sustain compliance. </w:t>
        <w:br/>
        <w:t/>
        <w:br/>
        <w:t xml:space="preserve">Complaints and Dispute Resolution: </w:t>
        <w:br/>
        <w:t xml:space="preserve">MA-C staff, contracted EIS programs, and contracted family support vendors work together to ensure that parents are aware of their right to resolve disputes. Established procedures address disputes between a family and their EIS program or MA-C, as well as complaints filed by organizations or individuals alleging that a public agency or a private provider is violating federal or state statute and regulations. Parties who have been unsuccessful at resolving issues at a local level may choose to resolve a dispute through mediation, due process hearing, or by filing a formal administrative (i.e., state) complaint. </w:t>
        <w:br/>
        <w:t/>
        <w:br/>
        <w:t xml:space="preserve">Requests for mediation may be submitted either by parents or a contracted EIS provider to the MA-C’s Dispute Resolution Coordinator. Mediation services are provided by the Bureau of Special Education Appeals (BSEA) at the Division of Law Appeals (DALA) through an Interagency Service Agreement. Mediators with training in Part C and mediation techniques are randomly assigned to provide a mediation within 14 calendar days unless the parties agree to a different timeline. </w:t>
        <w:br/>
        <w:t/>
        <w:br/>
        <w:t>Requests for an due process hearing can be submitted by parents to MA-C's Dispute Resolution Coordinator. The request is then referred to the Bureau of Special Education Appeals at the Division of Law Appeals (DALA), who assigns an impartial hearing officer with knowledge of Part C requirements. A notice of hearing is sent which will include parental rights related to the hearing process. A written decision is issued in 30 calendar days unless the hearing officer extends the timeline at the request of either party. The decisions of the hearing officer may be appealed in a court of competent jurisdiction.</w:t>
        <w:br/>
        <w:t/>
        <w:br/>
        <w:t xml:space="preserve">Parents may also file formal administrative (i.e., state) complaints against the Part C system by submitting the complaint in writing to MA-C's Dispute Resolution Coordinator. An investigation is completed, and a written narrative of conclusions based on findings is issued within 60 calendar days unless there are exceptional circumstances. The Dispute Resolution Coordinator shares the findings of complaint investigations with MA-C's Part C Coordinator and legal counsel, as well as MA-C’s Manager of Clinical Quality who oversees monitoring activities. Findings of noncompliance requiring a corrective action are developed and implemented within one year. Corrective action plans include identification of root cause, actions to correct the noncompliance, and activities to ensure sustained compliance. </w:t>
      </w:r>
    </w:p>
    <w:p w14:paraId="49C3FD7F" w14:textId="77777777" w:rsidR="00181DEB" w:rsidRPr="00ED172B" w:rsidRDefault="00181DEB">
      <w:pPr>
        <w:rPr>
          <w:b/>
          <w:color w:val="000000" w:themeColor="text1"/>
        </w:rPr>
      </w:pPr>
      <w:r w:rsidRPr="00ED172B">
        <w:rPr>
          <w:b/>
          <w:color w:val="000000" w:themeColor="text1"/>
        </w:rPr>
        <w:t>Technical Assistance System:</w:t>
      </w:r>
    </w:p>
    <w:p w14:paraId="7EE0C7FA" w14:textId="0AF910D4" w:rsidR="00181DEB" w:rsidRPr="00ED172B" w:rsidRDefault="00181DEB" w:rsidP="00042EBF">
      <w:pPr>
        <w:rPr>
          <w:b/>
          <w:color w:val="000000" w:themeColor="text1"/>
          <w:szCs w:val="16"/>
        </w:rPr>
      </w:pPr>
      <w:r w:rsidRPr="00ED172B">
        <w:rPr>
          <w:b/>
          <w:color w:val="000000" w:themeColor="text1"/>
          <w:szCs w:val="16"/>
        </w:rPr>
        <w:t>The mechanisms that the State has in place to ensure the timely delivery of high quality, evidence-based technical assistance and support to early intervention service (EIS) programs.</w:t>
      </w:r>
    </w:p>
    <w:p w14:paraId="1697FA23" w14:textId="56CF03A5" w:rsidR="003A4D77" w:rsidRPr="00ED172B" w:rsidRDefault="00860830" w:rsidP="00042EBF">
      <w:pPr>
        <w:rPr>
          <w:color w:val="000000" w:themeColor="text1"/>
          <w:szCs w:val="16"/>
        </w:rPr>
      </w:pPr>
      <w:r w:rsidRPr="00ED172B">
        <w:rPr>
          <w:color w:val="000000" w:themeColor="text1"/>
          <w:szCs w:val="16"/>
        </w:rPr>
        <w:t xml:space="preserve">MA-C maintains a webpage (https://www.mass.gov/orgs/early-intervention-division), which include data on its performance, tool kits for service coordinators, the Early Intervention Operational Standards, professional development opportunities and required EIP training, information/resources for parents. New guidance, policies, and procedures are announced to contractors in a synchronous webinar and via MA-C's electronic mailing listserv.</w:t>
        <w:br/>
        <w:t/>
        <w:br/>
        <w:t xml:space="preserve">MA-C holds one-hour webinars via Zoom twice monthly for program directors and administrators of its contracted providers.  The calls are arranged and moderated by MA-C's Communications Specialist. The purpose of these calls is to keep program directors and administrators apprised of current federal/State guidance, share Statewide data, provide updates on newly developed Program resources, training opportunities, receive feedback from the provider community, and to ensure there is an opportunity for issues to be raised and questions to be posed to and responded by MA-C. Following each webinar, MA-C distributes copies of all slides and resources presented . In addition, program directors can use the information received during these calls and disseminate it to staff working within their programs. </w:t>
        <w:br/>
        <w:t/>
        <w:br/>
        <w:t xml:space="preserve">MA-C regularly communicates with its contracted providers by way of a weekly email. These emails include announcements from related state agencies involved in the early childhood system of care, public health alerts, reminders about upcoming deadlines, and highlights data from its database, the Early Intervention Client System (EICS). </w:t>
      </w:r>
    </w:p>
    <w:p w14:paraId="6F4BBA1C" w14:textId="77777777" w:rsidR="00181DEB" w:rsidRPr="00ED172B" w:rsidRDefault="00181DEB">
      <w:pPr>
        <w:rPr>
          <w:b/>
          <w:color w:val="000000" w:themeColor="text1"/>
        </w:rPr>
      </w:pPr>
      <w:r w:rsidRPr="00ED172B">
        <w:rPr>
          <w:b/>
          <w:color w:val="000000" w:themeColor="text1"/>
        </w:rPr>
        <w:t>Professional Development System:</w:t>
      </w:r>
    </w:p>
    <w:p w14:paraId="472FC7D3" w14:textId="6229555E" w:rsidR="00181DEB" w:rsidRPr="00ED172B" w:rsidRDefault="00181DEB" w:rsidP="00181DEB">
      <w:pPr>
        <w:rPr>
          <w:b/>
          <w:color w:val="000000" w:themeColor="text1"/>
          <w:szCs w:val="16"/>
        </w:rPr>
      </w:pPr>
      <w:r w:rsidRPr="00ED172B">
        <w:rPr>
          <w:b/>
          <w:color w:val="000000" w:themeColor="text1"/>
          <w:szCs w:val="16"/>
        </w:rPr>
        <w:t>The mechanisms the State has in place to ensure that service providers are effectively providing services that improve results for infants and toddlers with disabilities and their families.</w:t>
      </w:r>
    </w:p>
    <w:p w14:paraId="66BCEB0F" w14:textId="4812B8EE" w:rsidR="003A4D77" w:rsidRPr="00ED172B" w:rsidRDefault="00860830" w:rsidP="00181DEB">
      <w:pPr>
        <w:rPr>
          <w:color w:val="000000" w:themeColor="text1"/>
          <w:szCs w:val="16"/>
        </w:rPr>
      </w:pPr>
      <w:r w:rsidRPr="00ED172B">
        <w:rPr>
          <w:color w:val="000000" w:themeColor="text1"/>
          <w:szCs w:val="16"/>
        </w:rPr>
        <w:t xml:space="preserve">MA-C has established mechanisms for ongoing professional development for both lead agency (MA-C) staff and contracted vendors. </w:t>
        <w:br/>
        <w:t/>
        <w:br/>
        <w:t xml:space="preserve">The Part C Coordinator ensures MA-C staff review existing technical assistance resources and solicit ongoing feedback and guidance from the Early Childhood Technical Assistance Center (ECTA), The Center for IDEA and Early Childhood Data Systems (DaSy), and the Center for IDEA Fiscal Reporting (CIFR). MA-C staff regularly participate in individual meetings with ECTA and CIFR representatives, community of practices (e.g., BDI Users Group), attend technical assistance webinars and maintain their own professional development which supports their ability to provide ongoing TA to the 59 comprehensive EIS programs and 23 specialty services programs contracted with MA-C. </w:t>
        <w:br/>
        <w:t/>
        <w:br/>
        <w:t xml:space="preserve">MA-C established personnel standards for all practitioners that provide early intervention services, including specialty service providers. These standards are maintained and monitored for all early intervention practitioners, requiring educational background and licensure (if applicable). To provide services to infants and toddlers enrolled in the MA-C system, practitioners must be employed by one of the agencies under contract with MA-C to provide these services and have their credentials (e.g., licensure, certifications) and required work experience verified by MA-C's Certification Coordinator. </w:t>
        <w:br/>
        <w:t/>
        <w:br/>
        <w:t xml:space="preserve">Prior to the outset of their work with infants and toddlers enrolled in the Part C system, new EIS providers must complete required professional development sessions and on-boarding procedures required by the hiring agency. MA-C contracts with a vendor to oversee its pre-service training and develop and deliver ongoing professional development to its EIS programs. Under the direction of MA-C, the vendor develops and delivers training across priority areas (e.g., Culturally and Linguistically Appropriate Services, Unconscious Bias, evidence-based strategies to improve early childhood outcomes). During FFY21, the vendor continued to leverage virtual platforms (e.g., Zoom, Microsoft Teams) to deliver synchronous and asynchronous professional development opportunities. </w:t>
      </w:r>
    </w:p>
    <w:p w14:paraId="29B4BF78" w14:textId="77777777" w:rsidR="00D62BE4" w:rsidRPr="00D62BE4" w:rsidRDefault="00D62BE4" w:rsidP="00D62BE4">
      <w:pPr>
        <w:rPr>
          <w:b/>
          <w:color w:val="000000" w:themeColor="text1"/>
        </w:rPr>
      </w:pPr>
      <w:r w:rsidRPr="00D974E1">
        <w:rPr>
          <w:b/>
          <w:color w:val="000000" w:themeColor="text1"/>
        </w:rPr>
        <w:t xml:space="preserve">Broad Stakeholder Input: </w:t>
      </w:r>
    </w:p>
    <w:p w14:paraId="4993DCA5" w14:textId="6BB10D1A" w:rsidR="00D62BE4" w:rsidRDefault="00D62BE4" w:rsidP="00D62BE4">
      <w:pPr>
        <w:rPr>
          <w:b/>
          <w:color w:val="000000" w:themeColor="text1"/>
        </w:rPr>
      </w:pPr>
      <w:r w:rsidRPr="00D62BE4">
        <w:rPr>
          <w:b/>
          <w:color w:val="000000" w:themeColor="text1"/>
        </w:rPr>
        <w:t>The mechanisms for soliciting broad stakeholder input on the State’s targets in the SPP/APR and any subsequent revisions that the State has made to those targets, and the development and implementation of Indicator 11, the State’s Systemic Improvement Plan (SSIP).</w:t>
      </w:r>
    </w:p>
    <w:p w14:paraId="025083D4" w14:textId="1FBE7633" w:rsidR="00D62BE4" w:rsidRPr="00F85A5B" w:rsidRDefault="00116D8B" w:rsidP="00D62BE4">
      <w:pPr>
        <w:rPr>
          <w:color w:val="000000" w:themeColor="text1"/>
          <w:szCs w:val="16"/>
        </w:rPr>
      </w:pPr>
      <w:r w:rsidRPr="00ED172B">
        <w:rPr>
          <w:color w:val="000000" w:themeColor="text1"/>
          <w:szCs w:val="16"/>
        </w:rPr>
        <w:t>MA-C collaborates closely with other State agencies on a variety of issues related to the early childhood system of care and the Part C system, including the Department of Elementary and Secondary Education (DESE), Purchase of Services Office (POS), the Office of Health Equity (OHE), the Division of Medical Assistance (MassHealth), the Department of Early Education and Care (EEC), the Office for the Child Advocate (OCA), the Division of Insurance (DOI), the Massachusetts Maternal, Infant, and Early Childhood Home Visiting team (MassMIECHV), the Early Intervention Parenting Partnerships (EIPP), the Massachusetts Autism Commission (MAC), Massachusetts Child Psychiatry Access Project (MCPAP), and the and the Department of Mental Health (DMH). Most of these agencies are represented on the State Interagency Coordinating Council (ICC).</w:t>
        <w:br/>
        <w:t/>
        <w:br/>
        <w:t>This Annual Performance Report (APR) was developed with broad stakeholder input. At a State Interagency Coordinating Council (ICC) meeting in January 2023, the members reviewed results from FFY21 (7/1/21-6/30/22) for each indicator. Drafts were also shared with staff from the Early Childhood Technical Assistance Center (ECTA), who reviewed and provided initial feedback and guidance. On January 24, 2023, the ICC co-chairs adopted the APR as in lieu of submitting its own report, fulfilling the State Interagency Coordinating Council's obligations to report to the U.S. Department of Education for FFY21.</w:t>
      </w:r>
    </w:p>
    <w:p w14:paraId="250D9274" w14:textId="1C276BD3" w:rsidR="003747D0" w:rsidRPr="00ED172B" w:rsidRDefault="003747D0" w:rsidP="003747D0">
      <w:pPr>
        <w:rPr>
          <w:b/>
          <w:color w:val="000000" w:themeColor="text1"/>
          <w:szCs w:val="16"/>
        </w:rPr>
      </w:pPr>
      <w:r w:rsidRPr="00ED172B">
        <w:rPr>
          <w:b/>
          <w:color w:val="000000" w:themeColor="text1"/>
          <w:szCs w:val="16"/>
        </w:rPr>
        <w:t xml:space="preserve">Apply stakeholder input from introduction to all Part C results indicators. (y/n) </w:t>
      </w:r>
    </w:p>
    <w:p w14:paraId="1CB822D1" w14:textId="77777777" w:rsidR="00907A9B" w:rsidRDefault="003747D0">
      <w:pPr>
        <w:rPr>
          <w:color w:val="000000" w:themeColor="text1"/>
          <w:szCs w:val="16"/>
        </w:rPr>
      </w:pPr>
      <w:r w:rsidRPr="00ED172B">
        <w:rPr>
          <w:color w:val="000000" w:themeColor="text1"/>
          <w:szCs w:val="16"/>
        </w:rPr>
        <w:t>YES</w:t>
      </w:r>
    </w:p>
    <w:p w14:paraId="7DEA0B5E" w14:textId="030CCA43" w:rsidR="00887FBA" w:rsidRDefault="00887FBA">
      <w:pPr>
        <w:rPr>
          <w:b/>
          <w:color w:val="000000" w:themeColor="text1"/>
        </w:rPr>
      </w:pPr>
      <w:r w:rsidRPr="00887FBA">
        <w:rPr>
          <w:b/>
          <w:color w:val="000000" w:themeColor="text1"/>
        </w:rPr>
        <w:t>Number of Parent Members:</w:t>
      </w:r>
    </w:p>
    <w:p w14:paraId="6F9BBC61" w14:textId="058E2B2B" w:rsidR="00887FBA" w:rsidRPr="00ED172B" w:rsidRDefault="00887FBA" w:rsidP="00887FBA">
      <w:pPr>
        <w:rPr>
          <w:color w:val="000000" w:themeColor="text1"/>
          <w:szCs w:val="16"/>
        </w:rPr>
      </w:pPr>
      <w:r w:rsidRPr="00ED172B">
        <w:rPr>
          <w:color w:val="000000" w:themeColor="text1"/>
          <w:szCs w:val="16"/>
        </w:rPr>
        <w:t>14</w:t>
      </w:r>
    </w:p>
    <w:p w14:paraId="3124ECA4" w14:textId="733293E7" w:rsidR="00887FBA" w:rsidRDefault="00887FBA">
      <w:pPr>
        <w:rPr>
          <w:b/>
          <w:color w:val="000000" w:themeColor="text1"/>
        </w:rPr>
      </w:pPr>
      <w:r w:rsidRPr="00887FBA">
        <w:rPr>
          <w:b/>
          <w:color w:val="000000" w:themeColor="text1"/>
        </w:rPr>
        <w:t>Parent Members Engagement:</w:t>
      </w:r>
    </w:p>
    <w:p w14:paraId="7660E9C5" w14:textId="505FA6B2" w:rsidR="00887FBA" w:rsidRDefault="00887FBA">
      <w:pPr>
        <w:rPr>
          <w:b/>
          <w:color w:val="000000" w:themeColor="text1"/>
        </w:rPr>
      </w:pPr>
      <w:r w:rsidRPr="00887FBA">
        <w:rPr>
          <w:b/>
          <w:color w:val="000000" w:themeColor="text1"/>
        </w:rPr>
        <w:t>Describe how the parent members of the Interagency Coordinating Council, parent center staff, parents from local and statewide advocacy and advisory committees, and individual parents were engaged in setting targets, analyzing data, developing improvement strategies, and evaluating progress.</w:t>
      </w:r>
    </w:p>
    <w:p w14:paraId="7CE6FAFE" w14:textId="5A01E2A2" w:rsidR="00887FBA" w:rsidRPr="00F85A5B" w:rsidRDefault="00091E9A">
      <w:pPr>
        <w:rPr>
          <w:color w:val="000000" w:themeColor="text1"/>
          <w:szCs w:val="16"/>
        </w:rPr>
      </w:pPr>
      <w:r w:rsidRPr="00ED172B">
        <w:rPr>
          <w:color w:val="000000" w:themeColor="text1"/>
          <w:szCs w:val="16"/>
        </w:rPr>
        <w:t xml:space="preserve">During FFY21, 14 parent members of the State Interagency Coordinating Council (ICC), representatives from the Commonwealth's Parent Training and Information Center, and parents from local and statewide advocacy and advisory committees were engaged in analyzing data, developing improvement strategies, and evaluating progress in several ways. One way in which parents were involved in target setting included when the Lead Agency (MA-C) presented APR data and sought out feedback from the ICC during an ICC meeting; in April 2022, the Part C Data Manager presented data on response rate and representativeness of Indicator 4 data. Parents on who are on the ICC weighed in the analysis and provided valuable feedback. Additionally, parents who are on ICC subcommittees have reviewed multiple sets of data and have provided feedback. </w:t>
        <w:br/>
        <w:t/>
        <w:br/>
        <w:t xml:space="preserve">The Federation for Children with Special Needs (FCSN) is the Commonwealth’s Parent Training and Information Center and is staffed by individuals with lived experience caring for a child with special needs. The FCSN participates on the ICC by having representatives, one of whom served as the co-chair of the Family Engagement subcommittee during the reporting year. In addition to ICC meetings, FCSN met regularly with MA-C staff to share common themes from the parent support network they offer. </w:t>
        <w:br/>
        <w:t/>
        <w:br/>
        <w:t xml:space="preserve">The Early Intervention Parent Leadership Project (EIPLP) works closely with MA-C and provided family engagement and support for a small group of individual families enrolled in early intervention during FFY21. To help families feel empowered to participate in the process, MA-C sponsored four families to attend the FCSN conference in March 2022 to increase their knowledge of their rights and high-quality early intervention services. </w:t>
        <w:br/>
        <w:t/>
        <w:br/>
        <w:t>Prior to each ICC meeting, the Early Intervention Parent Leadership Project's (EIPLP) Family Engagement Coordinator, staff working closely with MA-C, connected with each parent member via telephone, email, and/or text to answer questions related to the upcoming meeting's agenda or other related matters. Beginning in January 2022, the EIPLP developed and began delivering a structured ICC orientation to parent members. This orientation includes information about the purpose and activities of the ICC, information about the MA-C program and the IDEA Part C, information about the MA-C mission, values, and key principles, meeting logistics, and expectations for parent members.</w:t>
      </w:r>
    </w:p>
    <w:p w14:paraId="478ADE7A" w14:textId="77777777" w:rsidR="00375DCE" w:rsidRPr="00375DCE" w:rsidRDefault="00375DCE" w:rsidP="00375DCE">
      <w:pPr>
        <w:rPr>
          <w:b/>
          <w:color w:val="000000" w:themeColor="text1"/>
        </w:rPr>
      </w:pPr>
      <w:r w:rsidRPr="00375DCE">
        <w:rPr>
          <w:b/>
          <w:color w:val="000000" w:themeColor="text1"/>
        </w:rPr>
        <w:t>Activities to Improve Outcomes for Children with Disabilities:</w:t>
      </w:r>
    </w:p>
    <w:p w14:paraId="7C7668E9" w14:textId="40A34C84" w:rsidR="00375DCE" w:rsidRDefault="00375DCE" w:rsidP="00375DCE">
      <w:pPr>
        <w:rPr>
          <w:b/>
          <w:color w:val="000000" w:themeColor="text1"/>
        </w:rPr>
      </w:pPr>
      <w:r w:rsidRPr="00375DCE">
        <w:rPr>
          <w:b/>
          <w:color w:val="000000" w:themeColor="text1"/>
        </w:rPr>
        <w:t>Describe the activities conducted to increase the capacity of diverse groups of parents to support the development of implementation activities designed to improve outcomes for infants and toddlers with disabilities and their families.</w:t>
      </w:r>
    </w:p>
    <w:p w14:paraId="054E8935" w14:textId="2FBC8274" w:rsidR="00375DCE" w:rsidRDefault="002D7C09" w:rsidP="00375DCE">
      <w:pPr>
        <w:rPr>
          <w:color w:val="000000" w:themeColor="text1"/>
          <w:szCs w:val="16"/>
        </w:rPr>
      </w:pPr>
      <w:r w:rsidRPr="00ED172B">
        <w:rPr>
          <w:color w:val="000000" w:themeColor="text1"/>
          <w:szCs w:val="16"/>
        </w:rPr>
        <w:t xml:space="preserve">The Massachusetts State Interagency Coordinating Council (ICC) has established a subcommittee to explore racial inequities affecting outcomes for infants and toddlers enrolled in the Commonwealth's Part C system (MA-C). Members of this subcommittee include program directors, parent members of ICC, and MA-C staff. In direct response to the subcommittees observations in FFY20, the ICC hosted several guest speakers in FFY21 to help review child outcomes through a racial equity lens. </w:t>
        <w:br/>
        <w:t/>
        <w:br/>
        <w:t xml:space="preserve">Additionally, during FFY21 several new parents joined the ICC and have provided valuable feedback on implementation activities in improving outcomes for infants and toddlers enrolled in the Part C system. Prior to their appointment, the Early Intervention Parent Leadership Project (EIPLP), staff working in close collaboration with MA-C, met with interested parents to orient them to the ICC's purpose and responsibility, including helping them understand the SPP/APR, target setting, and the implementation of Part C in the Commonwealth, and shared a video to help key representatives better understand Indicator 4 and how data collected from the survey are used to inform state and federal reporting, monitoring, and policy changes. </w:t>
      </w:r>
    </w:p>
    <w:p w14:paraId="568574BC" w14:textId="77777777" w:rsidR="006D0CD0" w:rsidRPr="00F85A5B" w:rsidRDefault="006D0CD0" w:rsidP="006D0CD0">
      <w:pPr>
        <w:rPr>
          <w:b/>
          <w:color w:val="000000" w:themeColor="text1"/>
        </w:rPr>
      </w:pPr>
      <w:r w:rsidRPr="00F85A5B">
        <w:rPr>
          <w:b/>
          <w:color w:val="000000" w:themeColor="text1"/>
        </w:rPr>
        <w:t>Soliciting Public Input:</w:t>
      </w:r>
    </w:p>
    <w:p w14:paraId="6DE56C89" w14:textId="65E52F00" w:rsidR="006D0CD0" w:rsidRDefault="006D0CD0" w:rsidP="006D0CD0">
      <w:pPr>
        <w:rPr>
          <w:b/>
          <w:color w:val="000000" w:themeColor="text1"/>
        </w:rPr>
      </w:pPr>
      <w:r w:rsidRPr="00F85A5B">
        <w:rPr>
          <w:b/>
          <w:color w:val="000000" w:themeColor="text1"/>
        </w:rPr>
        <w:t>The mechanisms and timelines for soliciting public input for setting targets, analyzing data, developing improvement strategies, and evaluating progress.</w:t>
      </w:r>
    </w:p>
    <w:p w14:paraId="0381CFBB" w14:textId="64F886B8" w:rsidR="006D0CD0" w:rsidRDefault="006D0CD0" w:rsidP="006D0CD0">
      <w:pPr>
        <w:rPr>
          <w:color w:val="000000" w:themeColor="text1"/>
          <w:szCs w:val="16"/>
        </w:rPr>
      </w:pPr>
      <w:r w:rsidRPr="00ED172B">
        <w:rPr>
          <w:color w:val="000000" w:themeColor="text1"/>
          <w:szCs w:val="16"/>
        </w:rPr>
        <w:t>This State Performance Plan/Annual Performance Report (SPP/APR) was developed with broad input from key representatives. At a State Interagency Coordinating Council (ICC) meeting on January 12, 2023, the members reviewed results from FFY21 (7/1/21-6/30/22) for each indicator in comparison to the prior four federal fiscal years. As entered into the online submission tool, a draft of the APR was sent to national technical assistance (TA) centers, including DaSy and the ECTA Center, whose staff reviewed the draft and provided helpful guidance. The ICC co-chairs approved this Annual Performance Report (APR), fulfilling the State Interagency Coordinating Council's obligations to report to the U.S. Department of Education in the current fiscal year.</w:t>
        <w:br/>
        <w:t/>
        <w:br/>
        <w:t>The FFY21 timeline for soliciting public input included activities throughout the reporting year. On October 14, 2021, the ICC developed its charges in collaboration with MA-C staff. This meeting was facilitated virtually; charges were selected by separating into smaller groups to discuss and identify priorities before debriefing as a whole. The Part C Coordinator for MA-C attended the ICC Retreat and agreed to the charges proposed by the ICC. The ICC then met in November 2021, January 2022, April 2022, and June 2022 to work toward those charges. During each meeting, the Part C Coordinator presented data on MA-C's performance as well as other metrics requested by the ICC. In April 2022, the Part C Application was made available to the public. An announcement was made on MA-C's website, distributed via email to all contracted EIS programs, and announced via email via the Parent Training and Information Center's contact list. An online form was developed to collect questions and feedback from MA-C's key representatives and the general public.  Comments were reviewed for patterns of questions or concerns related to the Part C Application. Also in April, ICC members were asked to review data for Indicator 4 from FFY21 and offer recommendations to increase the response rate, particularly among communities of color.</w:t>
      </w:r>
    </w:p>
    <w:p w14:paraId="2BC7B253" w14:textId="77777777" w:rsidR="00583FAD" w:rsidRPr="00F85A5B" w:rsidRDefault="00583FAD" w:rsidP="00583FAD">
      <w:pPr>
        <w:rPr>
          <w:b/>
          <w:color w:val="000000" w:themeColor="text1"/>
        </w:rPr>
      </w:pPr>
      <w:r w:rsidRPr="00F85A5B">
        <w:rPr>
          <w:b/>
          <w:color w:val="000000" w:themeColor="text1"/>
        </w:rPr>
        <w:t>Making Results Available to the Public:</w:t>
      </w:r>
    </w:p>
    <w:p w14:paraId="76B02DE6" w14:textId="74DEC32D" w:rsidR="00583FAD" w:rsidRDefault="00583FAD" w:rsidP="00583FAD">
      <w:pPr>
        <w:rPr>
          <w:b/>
          <w:color w:val="000000" w:themeColor="text1"/>
        </w:rPr>
      </w:pPr>
      <w:r w:rsidRPr="00F85A5B">
        <w:rPr>
          <w:b/>
          <w:color w:val="000000" w:themeColor="text1"/>
        </w:rPr>
        <w:t>The mechanisms and timelines for making the results of the target setting, data analysis, development of the improvement strategies, and evaluation available to the public.</w:t>
      </w:r>
    </w:p>
    <w:p w14:paraId="11C27D9E" w14:textId="4B17759B" w:rsidR="00583FAD" w:rsidRDefault="00583FAD" w:rsidP="00583FAD">
      <w:pPr>
        <w:rPr>
          <w:color w:val="000000" w:themeColor="text1"/>
          <w:szCs w:val="16"/>
        </w:rPr>
      </w:pPr>
      <w:r w:rsidRPr="00ED172B">
        <w:rPr>
          <w:color w:val="000000" w:themeColor="text1"/>
          <w:szCs w:val="16"/>
        </w:rPr>
        <w:t xml:space="preserve">The Part C Coordinator for the Lead Agency (MA-C) presented and discussed data analysis results with the State Interagency Coordinating Council (ICC) on January 12, 2023. The results of the data analysis were presented to the public in both graphs and tables for development of the improvement strategies and evaluation. The graphs illustrated the trends of all the historical data for the prior five federal fiscal years. The tables contained the actual numbers of the baseline, historical data, and current levels of performance for each indicator. Copies of these materials will be posted on the ICC website (https://www.mass.gov/interagency-coordinating-council-icc) in accordance with the state's Open Meeting Law following approval of the meeting minutes at the next scheduled ICC meeting. </w:t>
        <w:br/>
        <w:t/>
        <w:br/>
        <w:t>Additionally, MA-C has developed a robust email database that includes more than 12,000 families, providers, and other key representatives across the Commonwealth. MA-C sends emails to its contracted providers on a weekly basis and a monthly professional development newsletter to anyone who signs up to receive these notifications through its website.</w:t>
      </w:r>
    </w:p>
    <w:p w14:paraId="2B722A72" w14:textId="77777777" w:rsidR="00181DEB" w:rsidRPr="00ED172B" w:rsidRDefault="00181DEB">
      <w:pPr>
        <w:rPr>
          <w:b/>
          <w:color w:val="000000" w:themeColor="text1"/>
        </w:rPr>
      </w:pPr>
      <w:r w:rsidRPr="00ED172B">
        <w:rPr>
          <w:b/>
          <w:color w:val="000000" w:themeColor="text1"/>
        </w:rPr>
        <w:t>Reporting to the Public:</w:t>
      </w:r>
    </w:p>
    <w:p w14:paraId="1A46B98A" w14:textId="18533F25" w:rsidR="004868E8" w:rsidRPr="00ED172B" w:rsidRDefault="004868E8" w:rsidP="004868E8">
      <w:pPr>
        <w:rPr>
          <w:b/>
          <w:color w:val="000000" w:themeColor="text1"/>
          <w:szCs w:val="16"/>
        </w:rPr>
      </w:pPr>
      <w:r w:rsidRPr="00ED172B">
        <w:rPr>
          <w:b/>
          <w:color w:val="000000" w:themeColor="text1"/>
          <w:szCs w:val="16"/>
        </w:rPr>
        <w:t xml:space="preserve">How and where the State reported to the public on the FFY 2020 performance of each EIS Program located in the State on the targets in the SPP/APR as soon as practicable, but no later than 120 days following the State’s submission of its FFY 2020 APR, as required by 34 CFR §303.702(b)(1)(i)(A); and a description of where, on its website, a complete copy of the State’s SPP/APR, including any revision if the State has revised the targets that it submitted with its FFY </w:t>
      </w:r>
      <w:r w:rsidR="008E3C49" w:rsidRPr="00ED172B">
        <w:rPr>
          <w:b/>
          <w:color w:val="000000" w:themeColor="text1"/>
          <w:szCs w:val="16"/>
        </w:rPr>
        <w:t>20</w:t>
      </w:r>
      <w:r w:rsidR="008E3C49">
        <w:rPr>
          <w:b/>
          <w:color w:val="000000" w:themeColor="text1"/>
          <w:szCs w:val="16"/>
        </w:rPr>
        <w:t>20</w:t>
      </w:r>
      <w:r w:rsidR="008E3C49" w:rsidRPr="00ED172B">
        <w:rPr>
          <w:b/>
          <w:color w:val="000000" w:themeColor="text1"/>
          <w:szCs w:val="16"/>
        </w:rPr>
        <w:t xml:space="preserve"> </w:t>
      </w:r>
      <w:r w:rsidRPr="00ED172B">
        <w:rPr>
          <w:b/>
          <w:color w:val="000000" w:themeColor="text1"/>
          <w:szCs w:val="16"/>
        </w:rPr>
        <w:t xml:space="preserve">APR in </w:t>
      </w:r>
      <w:r w:rsidR="008E3C49" w:rsidRPr="00ED172B">
        <w:rPr>
          <w:b/>
          <w:color w:val="000000" w:themeColor="text1"/>
          <w:szCs w:val="16"/>
        </w:rPr>
        <w:t>202</w:t>
      </w:r>
      <w:r w:rsidR="008E3C49">
        <w:rPr>
          <w:b/>
          <w:color w:val="000000" w:themeColor="text1"/>
          <w:szCs w:val="16"/>
        </w:rPr>
        <w:t>2</w:t>
      </w:r>
      <w:r w:rsidRPr="00ED172B">
        <w:rPr>
          <w:b/>
          <w:color w:val="000000" w:themeColor="text1"/>
          <w:szCs w:val="16"/>
        </w:rPr>
        <w:t>, is available.</w:t>
      </w:r>
    </w:p>
    <w:p w14:paraId="788E8800" w14:textId="7E8AC8B9" w:rsidR="003A4D77" w:rsidRPr="00ED172B" w:rsidRDefault="00860830" w:rsidP="00DF09CC">
      <w:pPr>
        <w:rPr>
          <w:color w:val="000000" w:themeColor="text1"/>
          <w:szCs w:val="16"/>
        </w:rPr>
      </w:pPr>
      <w:r w:rsidRPr="00ED172B">
        <w:rPr>
          <w:color w:val="000000" w:themeColor="text1"/>
          <w:szCs w:val="16"/>
        </w:rPr>
        <w:t>MA-C maintains a public web site for the Early Intervention Division at the following address: https://www.mass.gov/orgs/early-intervention-division</w:t>
        <w:br/>
        <w:t/>
        <w:br/>
        <w:t xml:space="preserve">Statewide and local performance data for FFY20 are available on MA-C's public reporting page: https://www.mass.gov/lists/public-reporting-for-early-intervention. As advised by OSEP in April 2023, this document has been updated to describe more clearly the reason for excluding 10 EIS programs' data from this report in Indicator 1. </w:t>
        <w:br/>
        <w:t/>
        <w:br/>
        <w:t>The APR is the mechanism that the Commonwealth will use to report on progress in meeting the measurable and rigorous targets and is posted on the state's website: https://www.mass.gov/lists/public-reporting-for-early-intervention#part-c-state-performance-plan-(spp)-annual-performance-report-(apr)-</w:t>
        <w:br/>
        <w:t/>
        <w:br/>
        <w:t>MA-C maintains a SSIP section on the public web site (https://www.mass.gov/lists/public-reporting-for-early-intervention#state-systemic-improvement-plan-). The SSIP page includes information on all project phases, the State’s theory of action, SSIP evaluation plan, and measures for improvement.</w:t>
      </w:r>
    </w:p>
    <w:p w14:paraId="6A6F1771" w14:textId="3EDEB232" w:rsidR="003A4D77" w:rsidRPr="00A40EE1" w:rsidRDefault="00571E72" w:rsidP="00C15786">
      <w:pPr>
        <w:pStyle w:val="Heading2"/>
      </w:pPr>
      <w:r w:rsidRPr="00A40EE1">
        <w:t xml:space="preserve">Intro - </w:t>
      </w:r>
      <w:r w:rsidR="003A4D77" w:rsidRPr="00A40EE1">
        <w:t xml:space="preserve">Prior FFY Required Actions </w:t>
      </w:r>
    </w:p>
    <w:p w14:paraId="42E348D4" w14:textId="355A8F7D" w:rsidR="003A4D77" w:rsidRPr="00ED172B" w:rsidRDefault="00027F39" w:rsidP="00027F39">
      <w:pPr>
        <w:rPr>
          <w:color w:val="000000" w:themeColor="text1"/>
        </w:rPr>
      </w:pPr>
      <w:r w:rsidRPr="00ED172B">
        <w:rPr>
          <w:color w:val="000000" w:themeColor="text1"/>
        </w:rPr>
        <w:t>None</w:t>
      </w:r>
    </w:p>
    <w:p w14:paraId="49F2B657" w14:textId="77777777" w:rsidR="005A43C0" w:rsidRPr="00ED172B" w:rsidRDefault="005A43C0" w:rsidP="003A4D77">
      <w:pPr>
        <w:rPr>
          <w:rFonts w:cs="Arial"/>
          <w:color w:val="000000" w:themeColor="text1"/>
          <w:szCs w:val="16"/>
        </w:rPr>
      </w:pPr>
    </w:p>
    <w:p w14:paraId="37898305" w14:textId="383BCBB8" w:rsidR="003A4D77" w:rsidRPr="00A40EE1" w:rsidRDefault="00571E72" w:rsidP="00C15786">
      <w:pPr>
        <w:pStyle w:val="Heading2"/>
      </w:pPr>
      <w:r w:rsidRPr="00A40EE1">
        <w:t>Intro - OSEP Response</w:t>
      </w:r>
    </w:p>
    <w:p w14:paraId="317418C1" w14:textId="65B78829" w:rsidR="003A4D77" w:rsidRPr="00ED172B" w:rsidRDefault="00027F39" w:rsidP="00027F39">
      <w:pPr>
        <w:rPr>
          <w:color w:val="000000" w:themeColor="text1"/>
        </w:rPr>
      </w:pPr>
      <w:r w:rsidRPr="00ED172B">
        <w:rPr>
          <w:color w:val="000000" w:themeColor="text1"/>
        </w:rPr>
        <w:t>The State Interagency Coordinating Council (SICC) submitted to the Secretary its annual report that is required under IDEA section 641(e)(1)(D) and 34 C.F.R. § 303.604(c). The SICC noted it has elected to support the State lead agency's submission of its SPP/APR as its annual report in lieu of submitting a separate report. OSEP accepts the SICC form, which will not be posted publicly with the State's SPP/APR documents.</w:t>
      </w:r>
    </w:p>
    <w:p w14:paraId="4DE677F5" w14:textId="22C5CCC7" w:rsidR="003A4D77" w:rsidRPr="00A40EE1" w:rsidRDefault="00571E72" w:rsidP="00C15786">
      <w:pPr>
        <w:pStyle w:val="Heading2"/>
      </w:pPr>
      <w:r w:rsidRPr="00A40EE1">
        <w:t>Intro - Required Actions</w:t>
      </w:r>
    </w:p>
    <w:p w14:paraId="1D94D5A9" w14:textId="74A17E4D" w:rsidR="003A4D77" w:rsidRPr="00ED172B" w:rsidRDefault="00027F39" w:rsidP="00027F39">
      <w:pPr>
        <w:rPr>
          <w:color w:val="000000" w:themeColor="text1"/>
        </w:rPr>
      </w:pPr>
      <w:r w:rsidRPr="00ED172B">
        <w:rPr>
          <w:color w:val="000000" w:themeColor="text1"/>
        </w:rPr>
        <w:t/>
      </w:r>
    </w:p>
    <w:p w14:paraId="363852FA" w14:textId="77777777" w:rsidR="00181DEB" w:rsidRPr="00ED172B" w:rsidRDefault="00181DEB">
      <w:pPr>
        <w:spacing w:before="0" w:after="200" w:line="276" w:lineRule="auto"/>
        <w:rPr>
          <w:rFonts w:asciiTheme="majorHAnsi" w:eastAsiaTheme="majorEastAsia" w:hAnsiTheme="majorHAnsi" w:cstheme="majorBidi"/>
          <w:b/>
          <w:bCs/>
          <w:color w:val="000000" w:themeColor="text1"/>
          <w:sz w:val="28"/>
          <w:szCs w:val="28"/>
        </w:rPr>
      </w:pPr>
      <w:r w:rsidRPr="00ED172B">
        <w:rPr>
          <w:color w:val="000000" w:themeColor="text1"/>
        </w:rPr>
        <w:br w:type="page"/>
      </w:r>
    </w:p>
    <w:p w14:paraId="29D41139" w14:textId="781A6B87" w:rsidR="00EB0146" w:rsidRPr="00ED172B" w:rsidRDefault="00EB0146" w:rsidP="0077063D">
      <w:pPr>
        <w:pStyle w:val="Heading1"/>
        <w:rPr>
          <w:color w:val="000000" w:themeColor="text1"/>
        </w:rPr>
      </w:pPr>
      <w:r w:rsidRPr="00ED172B">
        <w:rPr>
          <w:color w:val="000000" w:themeColor="text1"/>
        </w:rPr>
        <w:lastRenderedPageBreak/>
        <w:t xml:space="preserve">Indicator 1: </w:t>
      </w:r>
      <w:bookmarkEnd w:id="0"/>
      <w:bookmarkEnd w:id="1"/>
      <w:r w:rsidR="005F5034" w:rsidRPr="00ED172B">
        <w:rPr>
          <w:color w:val="000000" w:themeColor="text1"/>
        </w:rPr>
        <w:t xml:space="preserve">Timely </w:t>
      </w:r>
      <w:r w:rsidR="00321B65" w:rsidRPr="00ED172B">
        <w:rPr>
          <w:color w:val="000000" w:themeColor="text1"/>
        </w:rPr>
        <w:t>P</w:t>
      </w:r>
      <w:r w:rsidR="005F5034" w:rsidRPr="00ED172B">
        <w:rPr>
          <w:color w:val="000000" w:themeColor="text1"/>
        </w:rPr>
        <w:t xml:space="preserve">rovision of </w:t>
      </w:r>
      <w:r w:rsidR="00321B65" w:rsidRPr="00ED172B">
        <w:rPr>
          <w:color w:val="000000" w:themeColor="text1"/>
        </w:rPr>
        <w:t>S</w:t>
      </w:r>
      <w:r w:rsidR="005F5034" w:rsidRPr="00ED172B">
        <w:rPr>
          <w:color w:val="000000" w:themeColor="text1"/>
        </w:rPr>
        <w:t>ervices</w:t>
      </w:r>
    </w:p>
    <w:p w14:paraId="289C1D05" w14:textId="23E658E1" w:rsidR="00174E1C" w:rsidRPr="00ED172B" w:rsidRDefault="00174E1C" w:rsidP="00E01C49">
      <w:pPr>
        <w:rPr>
          <w:color w:val="000000" w:themeColor="text1"/>
          <w:szCs w:val="20"/>
        </w:rPr>
      </w:pPr>
      <w:r w:rsidRPr="00ED172B">
        <w:rPr>
          <w:b/>
          <w:color w:val="000000" w:themeColor="text1"/>
          <w:sz w:val="20"/>
          <w:szCs w:val="20"/>
        </w:rPr>
        <w:t>Instructions and Measurement</w:t>
      </w:r>
    </w:p>
    <w:p w14:paraId="47A57E5D" w14:textId="77777777" w:rsidR="005F5034" w:rsidRPr="00ED172B" w:rsidRDefault="005F5034" w:rsidP="0077063D">
      <w:pPr>
        <w:rPr>
          <w:b/>
          <w:color w:val="000000" w:themeColor="text1"/>
          <w:szCs w:val="16"/>
        </w:rPr>
      </w:pPr>
      <w:bookmarkStart w:id="2" w:name="_Toc392159259"/>
      <w:r w:rsidRPr="00ED172B">
        <w:rPr>
          <w:b/>
          <w:color w:val="000000" w:themeColor="text1"/>
          <w:szCs w:val="16"/>
        </w:rPr>
        <w:t xml:space="preserve">Monitoring Priority: </w:t>
      </w:r>
      <w:r w:rsidRPr="00ED172B">
        <w:rPr>
          <w:color w:val="000000" w:themeColor="text1"/>
          <w:szCs w:val="16"/>
        </w:rPr>
        <w:t>Early Intervention Services In Natural Environments</w:t>
      </w:r>
    </w:p>
    <w:p w14:paraId="32ED9AA4" w14:textId="4704EC03" w:rsidR="005F5034" w:rsidRPr="00ED172B" w:rsidRDefault="005F5034" w:rsidP="005F5034">
      <w:pPr>
        <w:rPr>
          <w:color w:val="000000" w:themeColor="text1"/>
          <w:szCs w:val="16"/>
        </w:rPr>
      </w:pPr>
      <w:r w:rsidRPr="00ED172B">
        <w:rPr>
          <w:b/>
          <w:color w:val="000000" w:themeColor="text1"/>
          <w:szCs w:val="16"/>
        </w:rPr>
        <w:t xml:space="preserve">Compliance indicator: </w:t>
      </w:r>
      <w:r w:rsidRPr="00ED172B">
        <w:rPr>
          <w:color w:val="000000" w:themeColor="text1"/>
          <w:szCs w:val="16"/>
        </w:rPr>
        <w:t xml:space="preserve">Percent of infants and toddlers with </w:t>
      </w:r>
      <w:r w:rsidR="00DF09CC" w:rsidRPr="00ED172B">
        <w:rPr>
          <w:color w:val="000000" w:themeColor="text1"/>
          <w:szCs w:val="16"/>
        </w:rPr>
        <w:t>Individual Fa</w:t>
      </w:r>
      <w:r w:rsidR="001C6627">
        <w:rPr>
          <w:color w:val="000000" w:themeColor="text1"/>
          <w:szCs w:val="16"/>
        </w:rPr>
        <w:t>m</w:t>
      </w:r>
      <w:r w:rsidR="00DF09CC" w:rsidRPr="00ED172B">
        <w:rPr>
          <w:color w:val="000000" w:themeColor="text1"/>
          <w:szCs w:val="16"/>
        </w:rPr>
        <w:t>ily Service Plans</w:t>
      </w:r>
      <w:r w:rsidR="001C6627">
        <w:rPr>
          <w:color w:val="000000" w:themeColor="text1"/>
          <w:szCs w:val="16"/>
        </w:rPr>
        <w:t xml:space="preserve"> </w:t>
      </w:r>
      <w:r w:rsidR="00DF09CC" w:rsidRPr="00ED172B">
        <w:rPr>
          <w:color w:val="000000" w:themeColor="text1"/>
          <w:szCs w:val="16"/>
        </w:rPr>
        <w:t>(IFSPs)</w:t>
      </w:r>
      <w:r w:rsidRPr="00ED172B">
        <w:rPr>
          <w:color w:val="000000" w:themeColor="text1"/>
          <w:szCs w:val="16"/>
        </w:rPr>
        <w:t xml:space="preserve"> who receive the early intervention services on their IFSPs in a timely manner.</w:t>
      </w:r>
      <w:r w:rsidR="0077063D" w:rsidRPr="00ED172B">
        <w:rPr>
          <w:color w:val="000000" w:themeColor="text1"/>
          <w:szCs w:val="16"/>
        </w:rPr>
        <w:t xml:space="preserve"> </w:t>
      </w:r>
      <w:r w:rsidRPr="00ED172B">
        <w:rPr>
          <w:color w:val="000000" w:themeColor="text1"/>
          <w:szCs w:val="16"/>
        </w:rPr>
        <w:t>(20 U.S.C. 1416(a)(3)(A) and 1442)</w:t>
      </w:r>
    </w:p>
    <w:p w14:paraId="5ECAED3F" w14:textId="77777777" w:rsidR="00DF09CC" w:rsidRPr="00ED172B" w:rsidRDefault="00DF09CC">
      <w:pPr>
        <w:rPr>
          <w:b/>
          <w:color w:val="000000" w:themeColor="text1"/>
        </w:rPr>
      </w:pPr>
      <w:r w:rsidRPr="00ED172B">
        <w:rPr>
          <w:b/>
          <w:color w:val="000000" w:themeColor="text1"/>
        </w:rPr>
        <w:t>Data Source</w:t>
      </w:r>
    </w:p>
    <w:p w14:paraId="29FC80BA" w14:textId="724018B8" w:rsidR="00DF09CC" w:rsidRPr="00ED172B" w:rsidRDefault="00A86E16" w:rsidP="0077063D">
      <w:pPr>
        <w:rPr>
          <w:color w:val="000000" w:themeColor="text1"/>
          <w:szCs w:val="16"/>
        </w:rPr>
      </w:pPr>
      <w:r w:rsidRPr="00ED172B">
        <w:rPr>
          <w:color w:val="000000" w:themeColor="text1"/>
          <w:szCs w:val="16"/>
        </w:rPr>
        <w:t>Data to be taken from monitoring or State data system and must be based on actual, not an average, number of days. Include the State’s criteria for “timely” receipt of early intervention services (i.e., the time period from parent consent to when IFSP services are actually initiated).</w:t>
      </w:r>
    </w:p>
    <w:p w14:paraId="56E31631" w14:textId="77777777" w:rsidR="00DF09CC" w:rsidRPr="00ED172B" w:rsidRDefault="00DF09CC">
      <w:pPr>
        <w:rPr>
          <w:b/>
          <w:color w:val="000000" w:themeColor="text1"/>
        </w:rPr>
      </w:pPr>
      <w:r w:rsidRPr="00ED172B">
        <w:rPr>
          <w:b/>
          <w:color w:val="000000" w:themeColor="text1"/>
        </w:rPr>
        <w:t>Measurement</w:t>
      </w:r>
    </w:p>
    <w:p w14:paraId="4B425749" w14:textId="77777777" w:rsidR="00A86E16" w:rsidRPr="00ED172B" w:rsidRDefault="00A86E16" w:rsidP="0077063D">
      <w:pPr>
        <w:rPr>
          <w:color w:val="000000" w:themeColor="text1"/>
          <w:szCs w:val="16"/>
        </w:rPr>
      </w:pPr>
      <w:r w:rsidRPr="00ED172B">
        <w:rPr>
          <w:color w:val="000000" w:themeColor="text1"/>
          <w:szCs w:val="16"/>
        </w:rPr>
        <w:t>Percent = [(# of infants and toddlers with IFSPs who receive the early intervention services on their IFSPs in a timely manner) divided by the (total # of infants and toddlers with IFSPs)] times 100.</w:t>
      </w:r>
    </w:p>
    <w:p w14:paraId="4B1B5A45" w14:textId="77777777" w:rsidR="00A86E16" w:rsidRPr="00ED172B" w:rsidRDefault="00A86E16" w:rsidP="0077063D">
      <w:pPr>
        <w:rPr>
          <w:color w:val="000000" w:themeColor="text1"/>
          <w:szCs w:val="16"/>
        </w:rPr>
      </w:pPr>
      <w:r w:rsidRPr="00ED172B">
        <w:rPr>
          <w:color w:val="000000" w:themeColor="text1"/>
          <w:szCs w:val="16"/>
        </w:rPr>
        <w:t>Account for untimely receipt of services, including the reasons for delays.</w:t>
      </w:r>
    </w:p>
    <w:p w14:paraId="3CAFBCB4" w14:textId="77777777" w:rsidR="00DF09CC" w:rsidRPr="00ED172B" w:rsidRDefault="00DF09CC">
      <w:pPr>
        <w:rPr>
          <w:b/>
          <w:color w:val="000000" w:themeColor="text1"/>
        </w:rPr>
      </w:pPr>
      <w:r w:rsidRPr="00ED172B">
        <w:rPr>
          <w:b/>
          <w:color w:val="000000" w:themeColor="text1"/>
        </w:rPr>
        <w:t>Instructions</w:t>
      </w:r>
    </w:p>
    <w:p w14:paraId="3EE1C546" w14:textId="77777777" w:rsidR="00A86E16" w:rsidRPr="00ED172B" w:rsidRDefault="00A86E16" w:rsidP="0077063D">
      <w:pPr>
        <w:rPr>
          <w:color w:val="000000" w:themeColor="text1"/>
          <w:szCs w:val="16"/>
        </w:rPr>
      </w:pPr>
      <w:r w:rsidRPr="00ED172B">
        <w:rPr>
          <w:color w:val="000000" w:themeColor="text1"/>
          <w:szCs w:val="16"/>
        </w:rPr>
        <w:t>If data are from State monitoring, describe the method used to select early intervention service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659DB14" w14:textId="77777777" w:rsidR="00A86E16" w:rsidRPr="00ED172B" w:rsidRDefault="00A86E16" w:rsidP="0077063D">
      <w:pPr>
        <w:rPr>
          <w:color w:val="000000" w:themeColor="text1"/>
          <w:szCs w:val="16"/>
        </w:rPr>
      </w:pPr>
      <w:r w:rsidRPr="00ED172B">
        <w:rPr>
          <w:color w:val="000000" w:themeColor="text1"/>
          <w:szCs w:val="16"/>
        </w:rPr>
        <w:t>Targets must be 100%.</w:t>
      </w:r>
    </w:p>
    <w:p w14:paraId="7036877F" w14:textId="77777777" w:rsidR="00A86E16" w:rsidRPr="00ED172B" w:rsidRDefault="00A86E16" w:rsidP="0077063D">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calculation.</w:t>
      </w:r>
    </w:p>
    <w:p w14:paraId="76F90F71" w14:textId="77777777" w:rsidR="00A86E16" w:rsidRPr="00ED172B" w:rsidRDefault="00A86E16" w:rsidP="0077063D">
      <w:pPr>
        <w:rPr>
          <w:color w:val="000000" w:themeColor="text1"/>
          <w:szCs w:val="16"/>
        </w:rPr>
      </w:pPr>
      <w:r w:rsidRPr="00ED172B">
        <w:rPr>
          <w:color w:val="000000" w:themeColor="text1"/>
          <w:szCs w:val="16"/>
        </w:rPr>
        <w:t>The State’s timeliness measure for this indicator must be either: (1) a time period that runs from when the parent consents to IFSP services; or (2) the IFSP initiation date (established by the IFSP Team, including the parent).</w:t>
      </w:r>
    </w:p>
    <w:p w14:paraId="4BD24914" w14:textId="77777777" w:rsidR="00A86E16" w:rsidRPr="00ED172B" w:rsidRDefault="00A86E16" w:rsidP="0077063D">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D4A54D0" w14:textId="77777777" w:rsidR="00A86E16" w:rsidRPr="00ED172B" w:rsidRDefault="00A86E16" w:rsidP="0077063D">
      <w:pPr>
        <w:rPr>
          <w:color w:val="000000" w:themeColor="text1"/>
          <w:szCs w:val="16"/>
        </w:rPr>
      </w:pPr>
      <w:r w:rsidRPr="00ED172B">
        <w:rPr>
          <w:color w:val="000000" w:themeColor="text1"/>
          <w:szCs w:val="16"/>
        </w:rPr>
        <w:t>Provide detailed information about the timely correction of noncompliance as noted in the Office of Special Education Programs’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7A49385" w14:textId="504E05E2" w:rsidR="00A86E16" w:rsidRPr="00ED172B" w:rsidRDefault="00A86E16" w:rsidP="0077063D">
      <w:pPr>
        <w:rPr>
          <w:color w:val="000000" w:themeColor="text1"/>
          <w:szCs w:val="16"/>
        </w:rPr>
      </w:pPr>
      <w:r w:rsidRPr="00ED172B">
        <w:rPr>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66EA9111" w14:textId="77777777" w:rsidR="00193E59" w:rsidRPr="00ED172B" w:rsidRDefault="00193E59" w:rsidP="0077063D">
      <w:pPr>
        <w:rPr>
          <w:color w:val="000000" w:themeColor="text1"/>
          <w:szCs w:val="16"/>
        </w:rPr>
      </w:pPr>
    </w:p>
    <w:bookmarkEnd w:id="2"/>
    <w:p w14:paraId="50323F6D" w14:textId="004783BF" w:rsidR="005E59DB" w:rsidRPr="00A40EE1" w:rsidRDefault="000D0117" w:rsidP="005C3FFD">
      <w:pPr>
        <w:pStyle w:val="Heading2"/>
      </w:pPr>
      <w:r w:rsidRPr="00A40EE1">
        <w:t xml:space="preserve">1 - </w:t>
      </w:r>
      <w:r w:rsidR="0077063D" w:rsidRPr="00A40EE1">
        <w:t>Indicator Data</w:t>
      </w:r>
    </w:p>
    <w:p w14:paraId="32B81788" w14:textId="009B6C8A" w:rsidR="00761753" w:rsidRDefault="00761753">
      <w:pPr>
        <w:rPr>
          <w:b/>
          <w:color w:val="000000" w:themeColor="text1"/>
        </w:rPr>
      </w:pPr>
      <w:bookmarkStart w:id="3" w:name="_Toc392159260"/>
      <w:r w:rsidRPr="00ED172B">
        <w:rPr>
          <w:b/>
          <w:color w:val="000000" w:themeColor="text1"/>
        </w:rPr>
        <w:t>Historical Data</w:t>
      </w:r>
    </w:p>
    <w:tbl>
      <w:tblPr>
        <w:tblStyle w:val="TableGrid"/>
        <w:tblW w:w="0" w:type="auto"/>
        <w:tblLayout w:type="fixed"/>
        <w:tblLook w:val="04A0" w:firstRow="1" w:lastRow="0" w:firstColumn="1" w:lastColumn="0" w:noHBand="0" w:noVBand="1"/>
        <w:tblCaption w:val="C01BASELINEDATA"/>
      </w:tblPr>
      <w:tblGrid>
        <w:gridCol w:w="1797"/>
        <w:gridCol w:w="1798"/>
      </w:tblGrid>
      <w:tr w:rsidR="000A2C40" w14:paraId="1641C315" w14:textId="77777777" w:rsidTr="00A40EE1">
        <w:trPr>
          <w:trHeight w:val="311"/>
          <w:tblHeader/>
        </w:trPr>
        <w:tc>
          <w:tcPr>
            <w:tcW w:w="1797" w:type="dxa"/>
          </w:tcPr>
          <w:p w14:paraId="6D8A83A6" w14:textId="77777777" w:rsidR="000A2C40" w:rsidRPr="003923EF" w:rsidRDefault="000A2C40" w:rsidP="000A2C40">
            <w:pPr>
              <w:jc w:val="center"/>
              <w:rPr>
                <w:b/>
                <w:color w:val="000000" w:themeColor="text1"/>
              </w:rPr>
            </w:pPr>
            <w:r w:rsidRPr="00C779B5">
              <w:rPr>
                <w:rFonts w:cs="Arial"/>
                <w:b/>
                <w:color w:val="000000" w:themeColor="text1"/>
                <w:szCs w:val="16"/>
              </w:rPr>
              <w:t>Baseline Year</w:t>
            </w:r>
          </w:p>
        </w:tc>
        <w:tc>
          <w:tcPr>
            <w:tcW w:w="1798" w:type="dxa"/>
          </w:tcPr>
          <w:p w14:paraId="75E967D8" w14:textId="77777777" w:rsidR="000A2C40" w:rsidRPr="00C779B5" w:rsidRDefault="000A2C40" w:rsidP="000A2C40">
            <w:pPr>
              <w:jc w:val="center"/>
              <w:rPr>
                <w:b/>
                <w:color w:val="000000" w:themeColor="text1"/>
              </w:rPr>
            </w:pPr>
            <w:r w:rsidRPr="00C779B5">
              <w:rPr>
                <w:b/>
                <w:color w:val="000000" w:themeColor="text1"/>
              </w:rPr>
              <w:t>Baseline Data</w:t>
            </w:r>
          </w:p>
        </w:tc>
      </w:tr>
      <w:tr w:rsidR="000A2C40" w14:paraId="3FD36428" w14:textId="77777777" w:rsidTr="00A40EE1">
        <w:trPr>
          <w:trHeight w:val="311"/>
        </w:trPr>
        <w:tc>
          <w:tcPr>
            <w:tcW w:w="1797" w:type="dxa"/>
            <w:vAlign w:val="center"/>
          </w:tcPr>
          <w:p w14:paraId="73E5A89C" w14:textId="26AE6D7B" w:rsidR="000A2C40" w:rsidRDefault="000A2C40" w:rsidP="000A2C40">
            <w:pPr>
              <w:jc w:val="center"/>
              <w:rPr>
                <w:b/>
                <w:color w:val="000000" w:themeColor="text1"/>
              </w:rPr>
            </w:pPr>
            <w:r w:rsidRPr="005C29F8">
              <w:rPr>
                <w:rFonts w:cs="Arial"/>
                <w:color w:val="000000" w:themeColor="text1"/>
                <w:szCs w:val="16"/>
              </w:rPr>
              <w:t>2005</w:t>
            </w:r>
          </w:p>
        </w:tc>
        <w:tc>
          <w:tcPr>
            <w:tcW w:w="1798" w:type="dxa"/>
            <w:vAlign w:val="center"/>
          </w:tcPr>
          <w:p w14:paraId="4C825A6A" w14:textId="0D819E12" w:rsidR="000A2C40" w:rsidRDefault="000A2C40" w:rsidP="000A2C40">
            <w:pPr>
              <w:jc w:val="center"/>
              <w:rPr>
                <w:b/>
                <w:color w:val="000000" w:themeColor="text1"/>
              </w:rPr>
            </w:pPr>
            <w:r w:rsidRPr="005C29F8">
              <w:rPr>
                <w:rFonts w:cs="Arial"/>
                <w:color w:val="000000" w:themeColor="text1"/>
                <w:szCs w:val="16"/>
              </w:rPr>
              <w:t>74.00%</w:t>
            </w:r>
          </w:p>
        </w:tc>
      </w:tr>
    </w:tbl>
    <w:p w14:paraId="659F9D02" w14:textId="24567A3D" w:rsidR="000A2C40" w:rsidRDefault="000A2C40">
      <w:pPr>
        <w:rPr>
          <w:b/>
          <w:color w:val="000000" w:themeColor="text1"/>
        </w:rPr>
      </w:pPr>
    </w:p>
    <w:p w14:paraId="249C4D61"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HISTDATA"/>
      </w:tblPr>
      <w:tblGrid>
        <w:gridCol w:w="984"/>
        <w:gridCol w:w="1979"/>
        <w:gridCol w:w="1981"/>
        <w:gridCol w:w="1834"/>
        <w:gridCol w:w="2007"/>
        <w:gridCol w:w="2005"/>
      </w:tblGrid>
      <w:tr w:rsidR="00ED172B" w:rsidRPr="00ED172B" w14:paraId="22CB2AFF" w14:textId="11B2D5F0" w:rsidTr="00986B99">
        <w:trPr>
          <w:trHeight w:val="350"/>
        </w:trPr>
        <w:tc>
          <w:tcPr>
            <w:tcW w:w="456" w:type="pct"/>
            <w:tcBorders>
              <w:bottom w:val="single" w:sz="4" w:space="0" w:color="auto"/>
            </w:tcBorders>
            <w:shd w:val="clear" w:color="auto" w:fill="auto"/>
          </w:tcPr>
          <w:p w14:paraId="171B41E8" w14:textId="77777777" w:rsidR="003A4D77" w:rsidRPr="00ED172B" w:rsidRDefault="003A4D77" w:rsidP="00E01C49">
            <w:pPr>
              <w:jc w:val="center"/>
              <w:rPr>
                <w:b/>
                <w:color w:val="000000" w:themeColor="text1"/>
                <w:szCs w:val="16"/>
              </w:rPr>
            </w:pPr>
            <w:r w:rsidRPr="00ED172B">
              <w:rPr>
                <w:b/>
                <w:color w:val="000000" w:themeColor="text1"/>
                <w:szCs w:val="16"/>
              </w:rPr>
              <w:t>FFY</w:t>
            </w:r>
          </w:p>
        </w:tc>
        <w:tc>
          <w:tcPr>
            <w:tcW w:w="917" w:type="pct"/>
            <w:shd w:val="clear" w:color="auto" w:fill="auto"/>
            <w:vAlign w:val="center"/>
          </w:tcPr>
          <w:p w14:paraId="0BBC31D5" w14:textId="34E2A72C" w:rsidR="003A4D77" w:rsidRPr="00ED172B" w:rsidRDefault="002163F2" w:rsidP="003A4D77">
            <w:pPr>
              <w:jc w:val="center"/>
              <w:rPr>
                <w:b/>
                <w:color w:val="000000" w:themeColor="text1"/>
                <w:szCs w:val="16"/>
              </w:rPr>
            </w:pPr>
            <w:r w:rsidRPr="00ED172B">
              <w:rPr>
                <w:rFonts w:cs="Arial"/>
                <w:b/>
                <w:color w:val="000000" w:themeColor="text1"/>
                <w:szCs w:val="16"/>
              </w:rPr>
              <w:t>2016</w:t>
            </w:r>
          </w:p>
        </w:tc>
        <w:tc>
          <w:tcPr>
            <w:tcW w:w="918" w:type="pct"/>
            <w:shd w:val="clear" w:color="auto" w:fill="auto"/>
            <w:vAlign w:val="center"/>
          </w:tcPr>
          <w:p w14:paraId="4DD075F8" w14:textId="7F484A8A" w:rsidR="003A4D77" w:rsidRPr="00ED172B" w:rsidRDefault="002163F2" w:rsidP="003A4D77">
            <w:pPr>
              <w:jc w:val="center"/>
              <w:rPr>
                <w:b/>
                <w:color w:val="000000" w:themeColor="text1"/>
                <w:szCs w:val="16"/>
              </w:rPr>
            </w:pPr>
            <w:r w:rsidRPr="00ED172B">
              <w:rPr>
                <w:rFonts w:cs="Arial"/>
                <w:b/>
                <w:color w:val="000000" w:themeColor="text1"/>
                <w:szCs w:val="16"/>
              </w:rPr>
              <w:t>2017</w:t>
            </w:r>
          </w:p>
        </w:tc>
        <w:tc>
          <w:tcPr>
            <w:tcW w:w="850" w:type="pct"/>
            <w:shd w:val="clear" w:color="auto" w:fill="auto"/>
            <w:vAlign w:val="center"/>
          </w:tcPr>
          <w:p w14:paraId="514A90C5" w14:textId="37A399C8" w:rsidR="003A4D77" w:rsidRPr="00ED172B" w:rsidRDefault="002163F2" w:rsidP="003A4D77">
            <w:pPr>
              <w:jc w:val="center"/>
              <w:rPr>
                <w:b/>
                <w:color w:val="000000" w:themeColor="text1"/>
                <w:szCs w:val="16"/>
              </w:rPr>
            </w:pPr>
            <w:r w:rsidRPr="00ED172B">
              <w:rPr>
                <w:rFonts w:cs="Arial"/>
                <w:b/>
                <w:color w:val="000000" w:themeColor="text1"/>
                <w:szCs w:val="16"/>
              </w:rPr>
              <w:t>2018</w:t>
            </w:r>
          </w:p>
        </w:tc>
        <w:tc>
          <w:tcPr>
            <w:tcW w:w="930" w:type="pct"/>
            <w:shd w:val="clear" w:color="auto" w:fill="auto"/>
            <w:vAlign w:val="center"/>
          </w:tcPr>
          <w:p w14:paraId="34A0C210" w14:textId="0D3E0248" w:rsidR="003A4D77" w:rsidRPr="00ED172B" w:rsidRDefault="002163F2" w:rsidP="003A4D77">
            <w:pPr>
              <w:jc w:val="center"/>
              <w:rPr>
                <w:b/>
                <w:color w:val="000000" w:themeColor="text1"/>
                <w:szCs w:val="16"/>
              </w:rPr>
            </w:pPr>
            <w:r w:rsidRPr="00ED172B">
              <w:rPr>
                <w:rFonts w:cs="Arial"/>
                <w:b/>
                <w:color w:val="000000" w:themeColor="text1"/>
                <w:szCs w:val="16"/>
              </w:rPr>
              <w:t>2019</w:t>
            </w:r>
          </w:p>
        </w:tc>
        <w:tc>
          <w:tcPr>
            <w:tcW w:w="929" w:type="pct"/>
            <w:shd w:val="clear" w:color="auto" w:fill="auto"/>
            <w:vAlign w:val="center"/>
          </w:tcPr>
          <w:p w14:paraId="1641BA41" w14:textId="0CD4505D" w:rsidR="003A4D77" w:rsidRPr="00ED172B" w:rsidRDefault="006D43D3" w:rsidP="003A4D77">
            <w:pPr>
              <w:jc w:val="center"/>
              <w:rPr>
                <w:b/>
                <w:color w:val="000000" w:themeColor="text1"/>
                <w:szCs w:val="16"/>
              </w:rPr>
            </w:pPr>
            <w:r w:rsidRPr="00ED172B">
              <w:rPr>
                <w:rFonts w:cs="Arial"/>
                <w:b/>
                <w:color w:val="000000" w:themeColor="text1"/>
                <w:szCs w:val="16"/>
              </w:rPr>
              <w:t>2020</w:t>
            </w:r>
          </w:p>
        </w:tc>
      </w:tr>
      <w:tr w:rsidR="00ED172B" w:rsidRPr="00ED172B" w14:paraId="6CE8763A" w14:textId="0E161AC9" w:rsidTr="00986B99">
        <w:trPr>
          <w:trHeight w:val="357"/>
        </w:trPr>
        <w:tc>
          <w:tcPr>
            <w:tcW w:w="456" w:type="pct"/>
            <w:shd w:val="clear" w:color="auto" w:fill="auto"/>
          </w:tcPr>
          <w:p w14:paraId="673D2FDB" w14:textId="77777777" w:rsidR="00CB5BE6" w:rsidRPr="00ED172B" w:rsidRDefault="00CB5BE6" w:rsidP="00B83404">
            <w:pPr>
              <w:rPr>
                <w:color w:val="000000" w:themeColor="text1"/>
                <w:szCs w:val="16"/>
              </w:rPr>
            </w:pPr>
            <w:r w:rsidRPr="00ED172B">
              <w:rPr>
                <w:color w:val="000000" w:themeColor="text1"/>
                <w:szCs w:val="16"/>
              </w:rPr>
              <w:t xml:space="preserve">Target </w:t>
            </w:r>
          </w:p>
        </w:tc>
        <w:tc>
          <w:tcPr>
            <w:tcW w:w="917" w:type="pct"/>
            <w:shd w:val="clear" w:color="auto" w:fill="auto"/>
          </w:tcPr>
          <w:p w14:paraId="3161DFBE" w14:textId="692C0959" w:rsidR="00CB5BE6" w:rsidRPr="00ED172B" w:rsidRDefault="008C4470" w:rsidP="00CB5BE6">
            <w:pPr>
              <w:jc w:val="center"/>
              <w:rPr>
                <w:color w:val="000000" w:themeColor="text1"/>
                <w:szCs w:val="16"/>
              </w:rPr>
            </w:pPr>
            <w:r w:rsidRPr="00ED172B">
              <w:rPr>
                <w:color w:val="000000" w:themeColor="text1"/>
                <w:szCs w:val="16"/>
              </w:rPr>
              <w:t>100%</w:t>
            </w:r>
          </w:p>
        </w:tc>
        <w:tc>
          <w:tcPr>
            <w:tcW w:w="918" w:type="pct"/>
            <w:shd w:val="clear" w:color="auto" w:fill="auto"/>
          </w:tcPr>
          <w:p w14:paraId="12D1472E" w14:textId="2561B9FA" w:rsidR="00CB5BE6" w:rsidRPr="00ED172B" w:rsidRDefault="008C4470" w:rsidP="00CB5BE6">
            <w:pPr>
              <w:jc w:val="center"/>
              <w:rPr>
                <w:color w:val="000000" w:themeColor="text1"/>
                <w:szCs w:val="16"/>
              </w:rPr>
            </w:pPr>
            <w:r w:rsidRPr="00ED172B">
              <w:rPr>
                <w:color w:val="000000" w:themeColor="text1"/>
                <w:szCs w:val="16"/>
              </w:rPr>
              <w:t>100%</w:t>
            </w:r>
          </w:p>
        </w:tc>
        <w:tc>
          <w:tcPr>
            <w:tcW w:w="850" w:type="pct"/>
            <w:shd w:val="clear" w:color="auto" w:fill="auto"/>
          </w:tcPr>
          <w:p w14:paraId="01A46A4F" w14:textId="759D4F9D" w:rsidR="00CB5BE6" w:rsidRPr="00ED172B" w:rsidRDefault="008C4470" w:rsidP="00CB5BE6">
            <w:pPr>
              <w:jc w:val="center"/>
              <w:rPr>
                <w:color w:val="000000" w:themeColor="text1"/>
                <w:szCs w:val="16"/>
              </w:rPr>
            </w:pPr>
            <w:r w:rsidRPr="00ED172B">
              <w:rPr>
                <w:color w:val="000000" w:themeColor="text1"/>
                <w:szCs w:val="16"/>
              </w:rPr>
              <w:t>100%</w:t>
            </w:r>
          </w:p>
        </w:tc>
        <w:tc>
          <w:tcPr>
            <w:tcW w:w="930" w:type="pct"/>
            <w:shd w:val="clear" w:color="auto" w:fill="auto"/>
          </w:tcPr>
          <w:p w14:paraId="1B8F0DD3" w14:textId="4F0775AB" w:rsidR="00CB5BE6" w:rsidRPr="00ED172B" w:rsidRDefault="008C4470" w:rsidP="00CB5BE6">
            <w:pPr>
              <w:jc w:val="center"/>
              <w:rPr>
                <w:color w:val="000000" w:themeColor="text1"/>
                <w:szCs w:val="16"/>
              </w:rPr>
            </w:pPr>
            <w:r w:rsidRPr="00ED172B">
              <w:rPr>
                <w:color w:val="000000" w:themeColor="text1"/>
                <w:szCs w:val="16"/>
              </w:rPr>
              <w:t>100%</w:t>
            </w:r>
          </w:p>
        </w:tc>
        <w:tc>
          <w:tcPr>
            <w:tcW w:w="929" w:type="pct"/>
            <w:shd w:val="clear" w:color="auto" w:fill="auto"/>
          </w:tcPr>
          <w:p w14:paraId="5A12292D" w14:textId="0A238119" w:rsidR="00CB5BE6" w:rsidRPr="00ED172B" w:rsidRDefault="008C4470" w:rsidP="00CB5BE6">
            <w:pPr>
              <w:jc w:val="center"/>
              <w:rPr>
                <w:color w:val="000000" w:themeColor="text1"/>
                <w:szCs w:val="16"/>
              </w:rPr>
            </w:pPr>
            <w:r w:rsidRPr="00ED172B">
              <w:rPr>
                <w:color w:val="000000" w:themeColor="text1"/>
                <w:szCs w:val="16"/>
              </w:rPr>
              <w:t>100%</w:t>
            </w:r>
          </w:p>
        </w:tc>
      </w:tr>
      <w:tr w:rsidR="00ED172B" w:rsidRPr="00ED172B" w14:paraId="58686DBF" w14:textId="1B582E75" w:rsidTr="00986B99">
        <w:trPr>
          <w:trHeight w:val="85"/>
        </w:trPr>
        <w:tc>
          <w:tcPr>
            <w:tcW w:w="456" w:type="pct"/>
            <w:shd w:val="clear" w:color="auto" w:fill="auto"/>
          </w:tcPr>
          <w:p w14:paraId="2D0C7D71" w14:textId="77777777" w:rsidR="003A4D77" w:rsidRPr="00ED172B" w:rsidRDefault="003A4D77" w:rsidP="00B83404">
            <w:pPr>
              <w:rPr>
                <w:color w:val="000000" w:themeColor="text1"/>
                <w:szCs w:val="16"/>
              </w:rPr>
            </w:pPr>
            <w:r w:rsidRPr="00ED172B">
              <w:rPr>
                <w:color w:val="000000" w:themeColor="text1"/>
                <w:szCs w:val="16"/>
              </w:rPr>
              <w:t>Data</w:t>
            </w:r>
          </w:p>
        </w:tc>
        <w:tc>
          <w:tcPr>
            <w:tcW w:w="917" w:type="pct"/>
            <w:shd w:val="clear" w:color="auto" w:fill="auto"/>
            <w:vAlign w:val="center"/>
          </w:tcPr>
          <w:p w14:paraId="533520F5" w14:textId="68A00307" w:rsidR="003A4D77" w:rsidRPr="00ED172B" w:rsidRDefault="00860830" w:rsidP="003A4D77">
            <w:pPr>
              <w:jc w:val="center"/>
              <w:rPr>
                <w:color w:val="000000" w:themeColor="text1"/>
                <w:szCs w:val="16"/>
              </w:rPr>
            </w:pPr>
            <w:r w:rsidRPr="00ED172B">
              <w:rPr>
                <w:rFonts w:cs="Arial"/>
                <w:color w:val="000000" w:themeColor="text1"/>
                <w:szCs w:val="16"/>
              </w:rPr>
              <w:t>99.50%</w:t>
            </w:r>
          </w:p>
        </w:tc>
        <w:tc>
          <w:tcPr>
            <w:tcW w:w="918" w:type="pct"/>
            <w:tcBorders>
              <w:bottom w:val="single" w:sz="4" w:space="0" w:color="auto"/>
            </w:tcBorders>
            <w:shd w:val="clear" w:color="auto" w:fill="auto"/>
            <w:vAlign w:val="center"/>
          </w:tcPr>
          <w:p w14:paraId="383E26BA" w14:textId="07A641ED" w:rsidR="003A4D77" w:rsidRPr="00ED172B" w:rsidRDefault="00860830" w:rsidP="003A4D77">
            <w:pPr>
              <w:jc w:val="center"/>
              <w:rPr>
                <w:color w:val="000000" w:themeColor="text1"/>
                <w:szCs w:val="16"/>
              </w:rPr>
            </w:pPr>
            <w:r w:rsidRPr="00ED172B">
              <w:rPr>
                <w:rFonts w:cs="Arial"/>
                <w:color w:val="000000" w:themeColor="text1"/>
                <w:szCs w:val="16"/>
              </w:rPr>
              <w:t>99.33%</w:t>
            </w:r>
          </w:p>
        </w:tc>
        <w:tc>
          <w:tcPr>
            <w:tcW w:w="850" w:type="pct"/>
            <w:tcBorders>
              <w:bottom w:val="single" w:sz="4" w:space="0" w:color="auto"/>
            </w:tcBorders>
            <w:shd w:val="clear" w:color="auto" w:fill="auto"/>
            <w:vAlign w:val="center"/>
          </w:tcPr>
          <w:p w14:paraId="4360919A" w14:textId="650E7DC6" w:rsidR="003A4D77" w:rsidRPr="00ED172B" w:rsidRDefault="00860830" w:rsidP="003A4D77">
            <w:pPr>
              <w:jc w:val="center"/>
              <w:rPr>
                <w:color w:val="000000" w:themeColor="text1"/>
                <w:szCs w:val="16"/>
              </w:rPr>
            </w:pPr>
            <w:r w:rsidRPr="00ED172B">
              <w:rPr>
                <w:rFonts w:cs="Arial"/>
                <w:color w:val="000000" w:themeColor="text1"/>
                <w:szCs w:val="16"/>
              </w:rPr>
              <w:t>99.00%</w:t>
            </w:r>
          </w:p>
        </w:tc>
        <w:tc>
          <w:tcPr>
            <w:tcW w:w="930" w:type="pct"/>
            <w:tcBorders>
              <w:bottom w:val="single" w:sz="4" w:space="0" w:color="auto"/>
            </w:tcBorders>
            <w:shd w:val="clear" w:color="auto" w:fill="auto"/>
            <w:vAlign w:val="center"/>
          </w:tcPr>
          <w:p w14:paraId="6ABE873A" w14:textId="1CB80B8B" w:rsidR="003A4D77" w:rsidRPr="00ED172B" w:rsidRDefault="00860830" w:rsidP="003A4D77">
            <w:pPr>
              <w:jc w:val="center"/>
              <w:rPr>
                <w:color w:val="000000" w:themeColor="text1"/>
                <w:szCs w:val="16"/>
              </w:rPr>
            </w:pPr>
            <w:r w:rsidRPr="00ED172B">
              <w:rPr>
                <w:rFonts w:cs="Arial"/>
                <w:color w:val="000000" w:themeColor="text1"/>
                <w:szCs w:val="16"/>
              </w:rPr>
              <w:t>99.21%</w:t>
            </w:r>
          </w:p>
        </w:tc>
        <w:tc>
          <w:tcPr>
            <w:tcW w:w="929" w:type="pct"/>
            <w:tcBorders>
              <w:bottom w:val="single" w:sz="4" w:space="0" w:color="auto"/>
            </w:tcBorders>
            <w:shd w:val="clear" w:color="auto" w:fill="auto"/>
            <w:vAlign w:val="center"/>
          </w:tcPr>
          <w:p w14:paraId="2A56A472" w14:textId="1476B433" w:rsidR="003A4D77" w:rsidRPr="00ED172B" w:rsidRDefault="00860830" w:rsidP="003A4D77">
            <w:pPr>
              <w:jc w:val="center"/>
              <w:rPr>
                <w:color w:val="000000" w:themeColor="text1"/>
                <w:szCs w:val="16"/>
              </w:rPr>
            </w:pPr>
            <w:r w:rsidRPr="00ED172B">
              <w:rPr>
                <w:rFonts w:cs="Arial"/>
                <w:color w:val="000000" w:themeColor="text1"/>
                <w:szCs w:val="16"/>
              </w:rPr>
              <w:t>99.82%</w:t>
            </w:r>
          </w:p>
        </w:tc>
      </w:tr>
    </w:tbl>
    <w:p w14:paraId="461F44EB" w14:textId="77777777" w:rsidR="000A2C40" w:rsidRDefault="000A2C40">
      <w:pPr>
        <w:rPr>
          <w:b/>
          <w:color w:val="000000" w:themeColor="text1"/>
        </w:rPr>
      </w:pPr>
    </w:p>
    <w:p w14:paraId="33CA97E7" w14:textId="2A9F8E35" w:rsidR="00B609A4" w:rsidRPr="00ED172B" w:rsidRDefault="00B609A4">
      <w:pPr>
        <w:rPr>
          <w:b/>
          <w:color w:val="000000" w:themeColor="text1"/>
        </w:rPr>
      </w:pPr>
      <w:r w:rsidRPr="00ED172B">
        <w:rPr>
          <w:b/>
          <w:color w:val="000000" w:themeColor="text1"/>
        </w:rPr>
        <w:t>Targets</w:t>
      </w:r>
    </w:p>
    <w:tbl>
      <w:tblPr>
        <w:tblW w:w="42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1TARGETS"/>
      </w:tblPr>
      <w:tblGrid>
        <w:gridCol w:w="680"/>
        <w:gridCol w:w="1687"/>
        <w:gridCol w:w="1685"/>
        <w:gridCol w:w="1685"/>
        <w:gridCol w:w="1684"/>
        <w:gridCol w:w="1684"/>
      </w:tblGrid>
      <w:tr w:rsidR="001F2876" w:rsidRPr="00ED172B" w14:paraId="246DB490" w14:textId="7B55901D" w:rsidTr="001F2876">
        <w:trPr>
          <w:trHeight w:val="350"/>
        </w:trPr>
        <w:tc>
          <w:tcPr>
            <w:tcW w:w="373" w:type="pct"/>
            <w:tcBorders>
              <w:bottom w:val="single" w:sz="4" w:space="0" w:color="auto"/>
            </w:tcBorders>
            <w:shd w:val="clear" w:color="auto" w:fill="auto"/>
          </w:tcPr>
          <w:p w14:paraId="7E3256F3" w14:textId="77777777" w:rsidR="001F2876" w:rsidRPr="00ED172B" w:rsidRDefault="001F2876" w:rsidP="00E01C49">
            <w:pPr>
              <w:jc w:val="center"/>
              <w:rPr>
                <w:b/>
                <w:color w:val="000000" w:themeColor="text1"/>
                <w:szCs w:val="16"/>
              </w:rPr>
            </w:pPr>
            <w:r w:rsidRPr="00ED172B">
              <w:rPr>
                <w:b/>
                <w:color w:val="000000" w:themeColor="text1"/>
                <w:szCs w:val="16"/>
              </w:rPr>
              <w:t>FFY</w:t>
            </w:r>
          </w:p>
        </w:tc>
        <w:tc>
          <w:tcPr>
            <w:tcW w:w="926" w:type="pct"/>
            <w:shd w:val="clear" w:color="auto" w:fill="auto"/>
            <w:vAlign w:val="center"/>
          </w:tcPr>
          <w:p w14:paraId="6C3EA6E7" w14:textId="0CD96192" w:rsidR="001F2876" w:rsidRPr="00ED172B" w:rsidRDefault="001F2876" w:rsidP="003A4D77">
            <w:pPr>
              <w:jc w:val="center"/>
              <w:rPr>
                <w:b/>
                <w:color w:val="000000" w:themeColor="text1"/>
                <w:szCs w:val="16"/>
              </w:rPr>
            </w:pPr>
            <w:r w:rsidRPr="00ED172B">
              <w:rPr>
                <w:rFonts w:cs="Arial"/>
                <w:b/>
                <w:color w:val="000000" w:themeColor="text1"/>
                <w:szCs w:val="16"/>
              </w:rPr>
              <w:t>2021</w:t>
            </w:r>
          </w:p>
        </w:tc>
        <w:tc>
          <w:tcPr>
            <w:tcW w:w="925" w:type="pct"/>
          </w:tcPr>
          <w:p w14:paraId="44A76023" w14:textId="1CD7C23A" w:rsidR="001F2876" w:rsidRPr="00ED172B" w:rsidRDefault="001F2876" w:rsidP="003A4D77">
            <w:pPr>
              <w:jc w:val="center"/>
              <w:rPr>
                <w:rFonts w:cs="Arial"/>
                <w:b/>
                <w:color w:val="000000" w:themeColor="text1"/>
                <w:szCs w:val="16"/>
              </w:rPr>
            </w:pPr>
            <w:r>
              <w:rPr>
                <w:rFonts w:cs="Arial"/>
                <w:b/>
                <w:color w:val="000000" w:themeColor="text1"/>
                <w:szCs w:val="16"/>
              </w:rPr>
              <w:t>2022</w:t>
            </w:r>
          </w:p>
        </w:tc>
        <w:tc>
          <w:tcPr>
            <w:tcW w:w="925" w:type="pct"/>
          </w:tcPr>
          <w:p w14:paraId="40AA5EA9" w14:textId="37071A4C" w:rsidR="001F2876" w:rsidRPr="00ED172B" w:rsidRDefault="001F2876" w:rsidP="003A4D77">
            <w:pPr>
              <w:jc w:val="center"/>
              <w:rPr>
                <w:rFonts w:cs="Arial"/>
                <w:b/>
                <w:color w:val="000000" w:themeColor="text1"/>
                <w:szCs w:val="16"/>
              </w:rPr>
            </w:pPr>
            <w:r>
              <w:rPr>
                <w:rFonts w:cs="Arial"/>
                <w:b/>
                <w:color w:val="000000" w:themeColor="text1"/>
                <w:szCs w:val="16"/>
              </w:rPr>
              <w:t>2023</w:t>
            </w:r>
          </w:p>
        </w:tc>
        <w:tc>
          <w:tcPr>
            <w:tcW w:w="925" w:type="pct"/>
          </w:tcPr>
          <w:p w14:paraId="489AC9B0" w14:textId="3222C7C4" w:rsidR="001F2876" w:rsidRPr="00ED172B" w:rsidRDefault="001F2876" w:rsidP="003A4D77">
            <w:pPr>
              <w:jc w:val="center"/>
              <w:rPr>
                <w:rFonts w:cs="Arial"/>
                <w:b/>
                <w:color w:val="000000" w:themeColor="text1"/>
                <w:szCs w:val="16"/>
              </w:rPr>
            </w:pPr>
            <w:r>
              <w:rPr>
                <w:rFonts w:cs="Arial"/>
                <w:b/>
                <w:color w:val="000000" w:themeColor="text1"/>
                <w:szCs w:val="16"/>
              </w:rPr>
              <w:t>2024</w:t>
            </w:r>
          </w:p>
        </w:tc>
        <w:tc>
          <w:tcPr>
            <w:tcW w:w="925" w:type="pct"/>
          </w:tcPr>
          <w:p w14:paraId="1C86A691" w14:textId="22914B21" w:rsidR="001F2876" w:rsidRDefault="001F2876" w:rsidP="003A4D77">
            <w:pPr>
              <w:jc w:val="center"/>
              <w:rPr>
                <w:rFonts w:cs="Arial"/>
                <w:b/>
                <w:color w:val="000000" w:themeColor="text1"/>
                <w:szCs w:val="16"/>
              </w:rPr>
            </w:pPr>
            <w:r>
              <w:rPr>
                <w:rFonts w:cs="Arial"/>
                <w:b/>
                <w:color w:val="000000" w:themeColor="text1"/>
                <w:szCs w:val="16"/>
              </w:rPr>
              <w:t>2025</w:t>
            </w:r>
          </w:p>
        </w:tc>
      </w:tr>
      <w:tr w:rsidR="001F2876" w:rsidRPr="00ED172B" w14:paraId="31760632" w14:textId="0D9FE637" w:rsidTr="001F2876">
        <w:trPr>
          <w:trHeight w:val="357"/>
        </w:trPr>
        <w:tc>
          <w:tcPr>
            <w:tcW w:w="373" w:type="pct"/>
            <w:shd w:val="clear" w:color="auto" w:fill="auto"/>
          </w:tcPr>
          <w:p w14:paraId="1FB4BD66" w14:textId="77777777" w:rsidR="001F2876" w:rsidRPr="00ED172B" w:rsidRDefault="001F2876" w:rsidP="00B83404">
            <w:pPr>
              <w:rPr>
                <w:color w:val="000000" w:themeColor="text1"/>
                <w:szCs w:val="16"/>
              </w:rPr>
            </w:pPr>
            <w:r w:rsidRPr="00ED172B">
              <w:rPr>
                <w:color w:val="000000" w:themeColor="text1"/>
                <w:szCs w:val="16"/>
              </w:rPr>
              <w:t>Target</w:t>
            </w:r>
          </w:p>
        </w:tc>
        <w:tc>
          <w:tcPr>
            <w:tcW w:w="926" w:type="pct"/>
            <w:shd w:val="clear" w:color="auto" w:fill="auto"/>
          </w:tcPr>
          <w:p w14:paraId="73D2B7A9" w14:textId="1EA3E525" w:rsidR="001F2876" w:rsidRPr="00ED172B" w:rsidRDefault="001F2876" w:rsidP="00715B7C">
            <w:pPr>
              <w:jc w:val="center"/>
              <w:rPr>
                <w:color w:val="000000" w:themeColor="text1"/>
                <w:szCs w:val="16"/>
              </w:rPr>
            </w:pPr>
            <w:r w:rsidRPr="00ED172B">
              <w:rPr>
                <w:color w:val="000000" w:themeColor="text1"/>
                <w:szCs w:val="16"/>
              </w:rPr>
              <w:t>100%</w:t>
            </w:r>
          </w:p>
        </w:tc>
        <w:tc>
          <w:tcPr>
            <w:tcW w:w="925" w:type="pct"/>
          </w:tcPr>
          <w:p w14:paraId="04EEAAC8" w14:textId="11881C4E" w:rsidR="001F2876" w:rsidRPr="00ED172B" w:rsidRDefault="001F2876" w:rsidP="00715B7C">
            <w:pPr>
              <w:jc w:val="center"/>
              <w:rPr>
                <w:color w:val="000000" w:themeColor="text1"/>
                <w:szCs w:val="16"/>
              </w:rPr>
            </w:pPr>
            <w:r>
              <w:rPr>
                <w:color w:val="000000" w:themeColor="text1"/>
                <w:szCs w:val="16"/>
              </w:rPr>
              <w:t>100%</w:t>
            </w:r>
          </w:p>
        </w:tc>
        <w:tc>
          <w:tcPr>
            <w:tcW w:w="925" w:type="pct"/>
          </w:tcPr>
          <w:p w14:paraId="041BBD6F" w14:textId="37DE789D" w:rsidR="001F2876" w:rsidRPr="00ED172B" w:rsidRDefault="001F2876" w:rsidP="00715B7C">
            <w:pPr>
              <w:jc w:val="center"/>
              <w:rPr>
                <w:color w:val="000000" w:themeColor="text1"/>
                <w:szCs w:val="16"/>
              </w:rPr>
            </w:pPr>
            <w:r>
              <w:rPr>
                <w:color w:val="000000" w:themeColor="text1"/>
                <w:szCs w:val="16"/>
              </w:rPr>
              <w:t>100%</w:t>
            </w:r>
          </w:p>
        </w:tc>
        <w:tc>
          <w:tcPr>
            <w:tcW w:w="925" w:type="pct"/>
          </w:tcPr>
          <w:p w14:paraId="57F0B811" w14:textId="00234F7C" w:rsidR="001F2876" w:rsidRPr="00ED172B" w:rsidRDefault="001F2876" w:rsidP="00715B7C">
            <w:pPr>
              <w:jc w:val="center"/>
              <w:rPr>
                <w:color w:val="000000" w:themeColor="text1"/>
                <w:szCs w:val="16"/>
              </w:rPr>
            </w:pPr>
            <w:r>
              <w:rPr>
                <w:color w:val="000000" w:themeColor="text1"/>
                <w:szCs w:val="16"/>
              </w:rPr>
              <w:t>100%</w:t>
            </w:r>
          </w:p>
        </w:tc>
        <w:tc>
          <w:tcPr>
            <w:tcW w:w="925" w:type="pct"/>
          </w:tcPr>
          <w:p w14:paraId="4A4F7471" w14:textId="380097F1" w:rsidR="001F2876" w:rsidRPr="00ED172B" w:rsidRDefault="001F2876" w:rsidP="00715B7C">
            <w:pPr>
              <w:jc w:val="center"/>
              <w:rPr>
                <w:color w:val="000000" w:themeColor="text1"/>
                <w:szCs w:val="16"/>
              </w:rPr>
            </w:pPr>
            <w:r>
              <w:rPr>
                <w:color w:val="000000" w:themeColor="text1"/>
                <w:szCs w:val="16"/>
              </w:rPr>
              <w:t>100%</w:t>
            </w:r>
          </w:p>
        </w:tc>
      </w:tr>
    </w:tbl>
    <w:p w14:paraId="00A2F9D5" w14:textId="77777777" w:rsidR="000A2C40" w:rsidRDefault="000A2C40">
      <w:pPr>
        <w:rPr>
          <w:b/>
          <w:color w:val="000000" w:themeColor="text1"/>
        </w:rPr>
      </w:pPr>
    </w:p>
    <w:p w14:paraId="4BF12CE7" w14:textId="5A59B3C1" w:rsidR="00441FB4" w:rsidRPr="00ED172B" w:rsidRDefault="00F22D09">
      <w:pPr>
        <w:rPr>
          <w:b/>
          <w:color w:val="000000" w:themeColor="text1"/>
        </w:rPr>
      </w:pPr>
      <w:r>
        <w:rPr>
          <w:b/>
          <w:color w:val="000000" w:themeColor="text1"/>
        </w:rPr>
        <w:t>FFY 2021 SPP/APR Data</w:t>
      </w:r>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1CFFYAPRDATA"/>
      </w:tblPr>
      <w:tblGrid>
        <w:gridCol w:w="1711"/>
        <w:gridCol w:w="1866"/>
        <w:gridCol w:w="1278"/>
        <w:gridCol w:w="1912"/>
        <w:gridCol w:w="1152"/>
        <w:gridCol w:w="1459"/>
        <w:gridCol w:w="1412"/>
      </w:tblGrid>
      <w:tr w:rsidR="00ED172B" w:rsidRPr="00ED172B" w14:paraId="0F119A4D" w14:textId="77B8E4E9" w:rsidTr="00A40EE1">
        <w:trPr>
          <w:tblHeader/>
        </w:trPr>
        <w:tc>
          <w:tcPr>
            <w:tcW w:w="793" w:type="pct"/>
            <w:shd w:val="clear" w:color="auto" w:fill="auto"/>
            <w:vAlign w:val="bottom"/>
          </w:tcPr>
          <w:p w14:paraId="7E547840" w14:textId="77777777" w:rsidR="006A05A9" w:rsidRPr="00ED172B" w:rsidRDefault="006A05A9" w:rsidP="006A05A9">
            <w:pPr>
              <w:jc w:val="center"/>
              <w:rPr>
                <w:b/>
                <w:color w:val="000000" w:themeColor="text1"/>
                <w:szCs w:val="16"/>
              </w:rPr>
            </w:pPr>
            <w:bookmarkStart w:id="4" w:name="_Toc392159261"/>
            <w:r w:rsidRPr="00ED172B">
              <w:rPr>
                <w:b/>
                <w:color w:val="000000" w:themeColor="text1"/>
                <w:szCs w:val="16"/>
              </w:rPr>
              <w:lastRenderedPageBreak/>
              <w:t>Number of infants and toddlers with IFSPs who receive the early intervention services on their IFSPs in a timely manner</w:t>
            </w:r>
          </w:p>
        </w:tc>
        <w:tc>
          <w:tcPr>
            <w:tcW w:w="865" w:type="pct"/>
            <w:shd w:val="clear" w:color="auto" w:fill="auto"/>
            <w:vAlign w:val="bottom"/>
          </w:tcPr>
          <w:p w14:paraId="09962364" w14:textId="77777777" w:rsidR="006A05A9" w:rsidRPr="00ED172B" w:rsidRDefault="006A05A9" w:rsidP="006A05A9">
            <w:pPr>
              <w:jc w:val="center"/>
              <w:rPr>
                <w:b/>
                <w:color w:val="000000" w:themeColor="text1"/>
                <w:szCs w:val="16"/>
              </w:rPr>
            </w:pPr>
            <w:r w:rsidRPr="00ED172B">
              <w:rPr>
                <w:b/>
                <w:color w:val="000000" w:themeColor="text1"/>
                <w:szCs w:val="16"/>
              </w:rPr>
              <w:t>Total number of infants and toddlers with IFSPs</w:t>
            </w:r>
          </w:p>
        </w:tc>
        <w:tc>
          <w:tcPr>
            <w:tcW w:w="592" w:type="pct"/>
            <w:shd w:val="clear" w:color="auto" w:fill="auto"/>
            <w:vAlign w:val="bottom"/>
          </w:tcPr>
          <w:p w14:paraId="2096A85C" w14:textId="3714FAB0" w:rsidR="006A05A9" w:rsidRPr="00ED172B" w:rsidRDefault="00CD74B5" w:rsidP="006A05A9">
            <w:pPr>
              <w:jc w:val="center"/>
              <w:rPr>
                <w:b/>
                <w:color w:val="000000" w:themeColor="text1"/>
                <w:szCs w:val="16"/>
              </w:rPr>
            </w:pPr>
            <w:r>
              <w:rPr>
                <w:rFonts w:cs="Arial"/>
                <w:b/>
                <w:color w:val="000000" w:themeColor="text1"/>
                <w:szCs w:val="16"/>
              </w:rPr>
              <w:t>FFY 2020 Data</w:t>
            </w:r>
          </w:p>
        </w:tc>
        <w:tc>
          <w:tcPr>
            <w:tcW w:w="886" w:type="pct"/>
            <w:shd w:val="clear" w:color="auto" w:fill="auto"/>
            <w:vAlign w:val="bottom"/>
          </w:tcPr>
          <w:p w14:paraId="64E16C07" w14:textId="3AE212AC" w:rsidR="006A05A9" w:rsidRPr="00ED172B" w:rsidRDefault="00F22D09" w:rsidP="006A05A9">
            <w:pPr>
              <w:jc w:val="center"/>
              <w:rPr>
                <w:b/>
                <w:color w:val="000000" w:themeColor="text1"/>
                <w:szCs w:val="16"/>
              </w:rPr>
            </w:pPr>
            <w:r>
              <w:rPr>
                <w:rFonts w:cs="Arial"/>
                <w:b/>
                <w:color w:val="000000" w:themeColor="text1"/>
                <w:szCs w:val="16"/>
              </w:rPr>
              <w:t>FFY 2021 Target</w:t>
            </w:r>
          </w:p>
        </w:tc>
        <w:tc>
          <w:tcPr>
            <w:tcW w:w="534" w:type="pct"/>
            <w:shd w:val="clear" w:color="auto" w:fill="auto"/>
            <w:vAlign w:val="bottom"/>
          </w:tcPr>
          <w:p w14:paraId="3A16633D" w14:textId="0DF31712" w:rsidR="006A05A9" w:rsidRPr="00ED172B" w:rsidRDefault="00F22D09" w:rsidP="006A05A9">
            <w:pPr>
              <w:jc w:val="center"/>
              <w:rPr>
                <w:b/>
                <w:color w:val="000000" w:themeColor="text1"/>
                <w:szCs w:val="16"/>
              </w:rPr>
            </w:pPr>
            <w:r>
              <w:rPr>
                <w:rFonts w:cs="Arial"/>
                <w:b/>
                <w:color w:val="000000" w:themeColor="text1"/>
                <w:szCs w:val="16"/>
              </w:rPr>
              <w:t>FFY 2021 Data</w:t>
            </w:r>
          </w:p>
        </w:tc>
        <w:tc>
          <w:tcPr>
            <w:tcW w:w="676" w:type="pct"/>
            <w:shd w:val="clear" w:color="auto" w:fill="auto"/>
            <w:vAlign w:val="bottom"/>
          </w:tcPr>
          <w:p w14:paraId="0F52761C" w14:textId="0B0E8DE2" w:rsidR="006A05A9" w:rsidRPr="00ED172B" w:rsidRDefault="006A05A9" w:rsidP="006A05A9">
            <w:pPr>
              <w:jc w:val="center"/>
              <w:rPr>
                <w:b/>
                <w:color w:val="000000" w:themeColor="text1"/>
                <w:szCs w:val="16"/>
              </w:rPr>
            </w:pPr>
            <w:r w:rsidRPr="00ED172B">
              <w:rPr>
                <w:b/>
                <w:color w:val="000000" w:themeColor="text1"/>
                <w:szCs w:val="16"/>
              </w:rPr>
              <w:t>Status</w:t>
            </w:r>
          </w:p>
        </w:tc>
        <w:tc>
          <w:tcPr>
            <w:tcW w:w="654" w:type="pct"/>
            <w:shd w:val="clear" w:color="auto" w:fill="auto"/>
            <w:vAlign w:val="bottom"/>
          </w:tcPr>
          <w:p w14:paraId="0B32A54D" w14:textId="349A897C" w:rsidR="006A05A9" w:rsidRPr="00ED172B" w:rsidRDefault="006A05A9" w:rsidP="006A05A9">
            <w:pPr>
              <w:jc w:val="center"/>
              <w:rPr>
                <w:b/>
                <w:color w:val="000000" w:themeColor="text1"/>
                <w:szCs w:val="16"/>
              </w:rPr>
            </w:pPr>
            <w:r w:rsidRPr="00ED172B">
              <w:rPr>
                <w:b/>
                <w:color w:val="000000" w:themeColor="text1"/>
                <w:szCs w:val="16"/>
              </w:rPr>
              <w:t>Slippage</w:t>
            </w:r>
          </w:p>
        </w:tc>
      </w:tr>
      <w:tr w:rsidR="00ED172B" w:rsidRPr="00ED172B" w14:paraId="620F9784" w14:textId="30FC28C1" w:rsidTr="00A40EE1">
        <w:tc>
          <w:tcPr>
            <w:tcW w:w="793" w:type="pct"/>
            <w:shd w:val="clear" w:color="auto" w:fill="auto"/>
            <w:vAlign w:val="center"/>
          </w:tcPr>
          <w:p w14:paraId="31592C01" w14:textId="6D092DA6" w:rsidR="00F97A57" w:rsidRPr="00ED172B" w:rsidRDefault="00860830" w:rsidP="00F97A57">
            <w:pPr>
              <w:jc w:val="center"/>
              <w:rPr>
                <w:color w:val="000000" w:themeColor="text1"/>
                <w:szCs w:val="16"/>
              </w:rPr>
            </w:pPr>
            <w:r w:rsidRPr="00ED172B">
              <w:rPr>
                <w:color w:val="000000" w:themeColor="text1"/>
                <w:szCs w:val="16"/>
              </w:rPr>
              <w:t>9,852</w:t>
            </w:r>
          </w:p>
        </w:tc>
        <w:tc>
          <w:tcPr>
            <w:tcW w:w="865" w:type="pct"/>
            <w:shd w:val="clear" w:color="auto" w:fill="auto"/>
            <w:vAlign w:val="center"/>
          </w:tcPr>
          <w:p w14:paraId="44F9E666" w14:textId="0948A7BD" w:rsidR="00F97A57" w:rsidRPr="00ED172B" w:rsidRDefault="00860830" w:rsidP="00F97A57">
            <w:pPr>
              <w:jc w:val="center"/>
              <w:rPr>
                <w:color w:val="000000" w:themeColor="text1"/>
                <w:szCs w:val="16"/>
              </w:rPr>
            </w:pPr>
            <w:r w:rsidRPr="00ED172B">
              <w:rPr>
                <w:color w:val="000000" w:themeColor="text1"/>
                <w:szCs w:val="16"/>
              </w:rPr>
              <w:t>11,024</w:t>
            </w:r>
          </w:p>
        </w:tc>
        <w:tc>
          <w:tcPr>
            <w:tcW w:w="592" w:type="pct"/>
            <w:shd w:val="clear" w:color="auto" w:fill="auto"/>
          </w:tcPr>
          <w:p w14:paraId="576AB130" w14:textId="21AB123C" w:rsidR="00F97A57" w:rsidRPr="00ED172B" w:rsidRDefault="00860830" w:rsidP="00F97A57">
            <w:pPr>
              <w:jc w:val="center"/>
              <w:rPr>
                <w:color w:val="000000" w:themeColor="text1"/>
                <w:szCs w:val="16"/>
              </w:rPr>
            </w:pPr>
            <w:r w:rsidRPr="00ED172B">
              <w:rPr>
                <w:rFonts w:cs="Arial"/>
                <w:color w:val="000000" w:themeColor="text1"/>
                <w:szCs w:val="16"/>
              </w:rPr>
              <w:t>99.82%</w:t>
            </w:r>
          </w:p>
        </w:tc>
        <w:tc>
          <w:tcPr>
            <w:tcW w:w="886" w:type="pct"/>
            <w:shd w:val="clear" w:color="auto" w:fill="auto"/>
          </w:tcPr>
          <w:p w14:paraId="3533D935" w14:textId="1949D9D3" w:rsidR="00F97A57" w:rsidRPr="00ED172B" w:rsidRDefault="008C4470" w:rsidP="00F97A57">
            <w:pPr>
              <w:jc w:val="center"/>
              <w:rPr>
                <w:color w:val="000000" w:themeColor="text1"/>
                <w:szCs w:val="16"/>
              </w:rPr>
            </w:pPr>
            <w:r w:rsidRPr="00ED172B">
              <w:rPr>
                <w:color w:val="000000" w:themeColor="text1"/>
                <w:szCs w:val="16"/>
              </w:rPr>
              <w:t>100%</w:t>
            </w:r>
          </w:p>
        </w:tc>
        <w:tc>
          <w:tcPr>
            <w:tcW w:w="534" w:type="pct"/>
            <w:shd w:val="clear" w:color="auto" w:fill="auto"/>
          </w:tcPr>
          <w:p w14:paraId="354EFF4D" w14:textId="5546CDAD" w:rsidR="00F97A57" w:rsidRPr="00ED172B" w:rsidRDefault="00860830" w:rsidP="00F97A57">
            <w:pPr>
              <w:jc w:val="center"/>
              <w:rPr>
                <w:color w:val="000000" w:themeColor="text1"/>
                <w:szCs w:val="16"/>
              </w:rPr>
            </w:pPr>
            <w:r w:rsidRPr="00ED172B">
              <w:rPr>
                <w:rFonts w:cs="Arial"/>
                <w:color w:val="000000" w:themeColor="text1"/>
                <w:szCs w:val="16"/>
              </w:rPr>
              <w:t>99.58%</w:t>
            </w:r>
          </w:p>
        </w:tc>
        <w:tc>
          <w:tcPr>
            <w:tcW w:w="676" w:type="pct"/>
            <w:shd w:val="clear" w:color="auto" w:fill="auto"/>
          </w:tcPr>
          <w:p w14:paraId="64C1CD5F" w14:textId="24AEC3C0" w:rsidR="00F97A57" w:rsidRPr="00ED172B" w:rsidRDefault="00AA1A12" w:rsidP="00027F39">
            <w:pPr>
              <w:jc w:val="center"/>
              <w:rPr>
                <w:color w:val="000000" w:themeColor="text1"/>
              </w:rPr>
            </w:pPr>
            <w:r w:rsidRPr="00ED172B">
              <w:rPr>
                <w:rFonts w:cs="Arial"/>
                <w:color w:val="000000" w:themeColor="text1"/>
                <w:szCs w:val="16"/>
              </w:rPr>
              <w:t>Did not meet target</w:t>
            </w:r>
          </w:p>
        </w:tc>
        <w:tc>
          <w:tcPr>
            <w:tcW w:w="654" w:type="pct"/>
            <w:shd w:val="clear" w:color="auto" w:fill="auto"/>
          </w:tcPr>
          <w:p w14:paraId="54B44D47" w14:textId="3452B2C9" w:rsidR="00F97A57" w:rsidRPr="00ED172B" w:rsidRDefault="005E414F" w:rsidP="00027F39">
            <w:pPr>
              <w:jc w:val="center"/>
              <w:rPr>
                <w:color w:val="000000" w:themeColor="text1"/>
              </w:rPr>
            </w:pPr>
            <w:r w:rsidRPr="00ED172B">
              <w:rPr>
                <w:rFonts w:cs="Arial"/>
                <w:color w:val="000000" w:themeColor="text1"/>
                <w:szCs w:val="16"/>
              </w:rPr>
              <w:t>No Slippage</w:t>
            </w:r>
          </w:p>
        </w:tc>
      </w:tr>
    </w:tbl>
    <w:p w14:paraId="3D57C24C" w14:textId="2CACC1E9" w:rsidR="00B54E6C" w:rsidRPr="00ED172B" w:rsidRDefault="00B54E6C" w:rsidP="00B54E6C">
      <w:pPr>
        <w:rPr>
          <w:b/>
          <w:color w:val="000000" w:themeColor="text1"/>
          <w:szCs w:val="16"/>
        </w:rPr>
      </w:pPr>
      <w:r w:rsidRPr="00ED172B">
        <w:rPr>
          <w:b/>
          <w:color w:val="000000" w:themeColor="text1"/>
          <w:szCs w:val="16"/>
        </w:rPr>
        <w:t>Number of documented delays attributable to exceptional family circumstances</w:t>
      </w:r>
    </w:p>
    <w:p w14:paraId="7A97E4C7" w14:textId="30309E08" w:rsidR="00B54E6C" w:rsidRPr="00ED172B" w:rsidRDefault="00B54E6C" w:rsidP="00B54E6C">
      <w:pPr>
        <w:rPr>
          <w:b/>
          <w:color w:val="000000" w:themeColor="text1"/>
          <w:szCs w:val="16"/>
        </w:rPr>
      </w:pPr>
      <w:r w:rsidRPr="00ED172B">
        <w:rPr>
          <w:b/>
          <w:i/>
          <w:color w:val="000000" w:themeColor="text1"/>
          <w:szCs w:val="16"/>
        </w:rPr>
        <w:t>This number will be added to the "Number of infants and toddlers with IFSPs who receive their early intervention services on their IFSPs in a timely manner" field above to calculate the numerator for this indicator.</w:t>
      </w:r>
    </w:p>
    <w:p w14:paraId="1BDA9B66" w14:textId="0D509F41" w:rsidR="00B54E6C" w:rsidRPr="00ED172B" w:rsidRDefault="00B54E6C" w:rsidP="00133698">
      <w:pPr>
        <w:rPr>
          <w:rFonts w:cs="Arial"/>
          <w:color w:val="000000" w:themeColor="text1"/>
          <w:szCs w:val="16"/>
        </w:rPr>
      </w:pPr>
      <w:bookmarkStart w:id="5" w:name="_Toc382082358"/>
      <w:bookmarkEnd w:id="4"/>
      <w:r w:rsidRPr="00ED172B">
        <w:rPr>
          <w:color w:val="000000" w:themeColor="text1"/>
          <w:szCs w:val="16"/>
        </w:rPr>
        <w:t>1,126</w:t>
      </w:r>
    </w:p>
    <w:p w14:paraId="5AF9B014" w14:textId="3F4B8397" w:rsidR="003739C5" w:rsidRDefault="003739C5" w:rsidP="00133698">
      <w:pPr>
        <w:rPr>
          <w:rFonts w:cs="Arial"/>
          <w:b/>
          <w:color w:val="000000" w:themeColor="text1"/>
          <w:szCs w:val="16"/>
        </w:rPr>
      </w:pPr>
      <w:r w:rsidRPr="003739C5">
        <w:rPr>
          <w:rFonts w:cs="Arial"/>
          <w:b/>
          <w:color w:val="000000" w:themeColor="text1"/>
          <w:szCs w:val="16"/>
        </w:rPr>
        <w:t>Provide reasons for delay, if applicable.</w:t>
      </w:r>
    </w:p>
    <w:p w14:paraId="71C1ED23" w14:textId="2777F026" w:rsidR="003739C5" w:rsidRPr="00ED172B" w:rsidRDefault="003739C5" w:rsidP="003739C5">
      <w:pPr>
        <w:rPr>
          <w:rFonts w:cs="Arial"/>
          <w:color w:val="000000" w:themeColor="text1"/>
          <w:szCs w:val="16"/>
        </w:rPr>
      </w:pPr>
      <w:r w:rsidRPr="00ED172B">
        <w:rPr>
          <w:color w:val="000000" w:themeColor="text1"/>
          <w:szCs w:val="16"/>
        </w:rPr>
        <w:t>MA-C reviewed the reasons for delay.</w:t>
        <w:br/>
        <w:t/>
        <w:br/>
        <w:t>Delays attributable to exceptional family circumstances include a family problem scheduling appointment, the family missing or cancelling an appointment, weather or other emergency declared, and COVID-19 if the child or family were unavailable for the appointment. As advised by OSEP, delays in service provision caused by the public health response to the COVID-19 pandemic can meet the definition of exceptional family circumstances, as defined under 34 C.F.R. § 303.310(b), when the child and family are effectively unavailable.</w:t>
        <w:br/>
        <w:t/>
        <w:br/>
        <w:t>Delays not attributable to exceptional family circumstances include difficulty identifying or assigning a service provider, provider scheduling problem, and other local program administrative reasons.</w:t>
      </w:r>
    </w:p>
    <w:p w14:paraId="3E95DC92" w14:textId="76EF721D" w:rsidR="007E0FCC" w:rsidRPr="00ED172B" w:rsidRDefault="00A86E16" w:rsidP="00133698">
      <w:pPr>
        <w:rPr>
          <w:rFonts w:cs="Arial"/>
          <w:b/>
          <w:color w:val="000000" w:themeColor="text1"/>
          <w:szCs w:val="16"/>
        </w:rPr>
      </w:pPr>
      <w:r w:rsidRPr="00ED172B">
        <w:rPr>
          <w:rFonts w:cs="Arial"/>
          <w:b/>
          <w:color w:val="000000" w:themeColor="text1"/>
          <w:szCs w:val="16"/>
        </w:rPr>
        <w:t>Include your State’s criteria for “timely” receipt of early intervention services (i.e., the time period from parent consent to when IFSP services are actually</w:t>
      </w:r>
      <w:r w:rsidRPr="00ED172B">
        <w:rPr>
          <w:b/>
          <w:color w:val="000000" w:themeColor="text1"/>
          <w:szCs w:val="16"/>
        </w:rPr>
        <w:t xml:space="preserve"> </w:t>
      </w:r>
      <w:r w:rsidRPr="00ED172B">
        <w:rPr>
          <w:rFonts w:cs="Arial"/>
          <w:b/>
          <w:color w:val="000000" w:themeColor="text1"/>
          <w:szCs w:val="16"/>
        </w:rPr>
        <w:t>initiated).</w:t>
      </w:r>
    </w:p>
    <w:p w14:paraId="3F2D8FDD" w14:textId="687B9DF6" w:rsidR="007F3393" w:rsidRPr="00ED172B" w:rsidRDefault="00860830" w:rsidP="00133698">
      <w:pPr>
        <w:rPr>
          <w:color w:val="000000" w:themeColor="text1"/>
          <w:szCs w:val="16"/>
        </w:rPr>
      </w:pPr>
      <w:r w:rsidRPr="00ED172B">
        <w:rPr>
          <w:color w:val="000000" w:themeColor="text1"/>
          <w:szCs w:val="16"/>
        </w:rPr>
        <w:t>The Massachusetts Early Intervention Program (MA-C) defines timely receipt of early intervention services as a service that is received within 30 days from the parent or guardian providing consent to implement that service on the IFSP.</w:t>
      </w:r>
    </w:p>
    <w:p w14:paraId="63EBC4F0" w14:textId="77777777" w:rsidR="005A4FE1" w:rsidRPr="00ED172B" w:rsidRDefault="005A4FE1" w:rsidP="00B83404">
      <w:pPr>
        <w:rPr>
          <w:b/>
          <w:color w:val="000000" w:themeColor="text1"/>
        </w:rPr>
      </w:pPr>
      <w:r w:rsidRPr="00ED172B">
        <w:rPr>
          <w:b/>
          <w:color w:val="000000" w:themeColor="text1"/>
        </w:rPr>
        <w:t>What is the source of the data provided for this indicator?</w:t>
      </w:r>
    </w:p>
    <w:p w14:paraId="261B8254" w14:textId="6C7DD3A3" w:rsidR="00431D4D" w:rsidRDefault="00431D4D" w:rsidP="00B83404">
      <w:pPr>
        <w:rPr>
          <w:rFonts w:cs="Arial"/>
          <w:color w:val="000000" w:themeColor="text1"/>
          <w:szCs w:val="16"/>
        </w:rPr>
      </w:pPr>
      <w:bookmarkStart w:id="6" w:name="_Hlk23243004"/>
      <w:r w:rsidRPr="00ED172B">
        <w:rPr>
          <w:rFonts w:cs="Arial"/>
          <w:color w:val="000000" w:themeColor="text1"/>
          <w:szCs w:val="16"/>
        </w:rPr>
        <w:t>State database</w:t>
      </w:r>
    </w:p>
    <w:bookmarkEnd w:id="6"/>
    <w:p w14:paraId="0FB58200" w14:textId="713593EA" w:rsidR="007F3393" w:rsidRPr="00ED172B" w:rsidRDefault="007F3393" w:rsidP="00B83404">
      <w:pPr>
        <w:rPr>
          <w:b/>
          <w:color w:val="000000" w:themeColor="text1"/>
        </w:rPr>
      </w:pPr>
      <w:r w:rsidRPr="00ED172B">
        <w:rPr>
          <w:b/>
          <w:color w:val="000000" w:themeColor="text1"/>
        </w:rPr>
        <w:t>Provide the time period in which the data were collected (e.g., September through December, fourth quarter, selection from the full reporting period).</w:t>
      </w:r>
    </w:p>
    <w:p w14:paraId="04F7364E" w14:textId="24AB7EC2" w:rsidR="007F3393" w:rsidRPr="00ED172B" w:rsidRDefault="00860830" w:rsidP="00B83404">
      <w:pPr>
        <w:rPr>
          <w:color w:val="000000" w:themeColor="text1"/>
        </w:rPr>
      </w:pPr>
      <w:r w:rsidRPr="00ED172B">
        <w:rPr>
          <w:color w:val="000000" w:themeColor="text1"/>
        </w:rPr>
        <w:t xml:space="preserve">Fourth Quarter of FFY21 Reporting Year:  April 1, 2022 - June 30, 2022. </w:t>
      </w:r>
    </w:p>
    <w:p w14:paraId="45217531" w14:textId="7621120B" w:rsidR="007F3393" w:rsidRPr="00ED172B" w:rsidRDefault="007F3393" w:rsidP="00B83404">
      <w:pPr>
        <w:rPr>
          <w:b/>
          <w:color w:val="000000" w:themeColor="text1"/>
        </w:rPr>
      </w:pPr>
      <w:r w:rsidRPr="00ED172B">
        <w:rPr>
          <w:b/>
          <w:color w:val="000000" w:themeColor="text1"/>
        </w:rPr>
        <w:t>Describe how the data accurately reflect data for infants and toddlers with IFSPs for the full reporting period.</w:t>
      </w:r>
    </w:p>
    <w:p w14:paraId="78DAE0FF" w14:textId="5897C081" w:rsidR="007F3393" w:rsidRDefault="00860830" w:rsidP="00B83404">
      <w:pPr>
        <w:rPr>
          <w:color w:val="000000" w:themeColor="text1"/>
        </w:rPr>
      </w:pPr>
      <w:r w:rsidRPr="00ED172B">
        <w:rPr>
          <w:color w:val="000000" w:themeColor="text1"/>
        </w:rPr>
        <w:t>The number of infants and toddlers with new services authorized on an initial or subsequent Individualized Family Service Plan (IFSP) was consistent for each quarter of FFY21, therefore one quarter of FFY21 (April-June 2022) was selected for the calculation of the indicator.</w:t>
      </w:r>
    </w:p>
    <w:p w14:paraId="0A887955" w14:textId="77777777" w:rsidR="0099603A" w:rsidRDefault="002F48B9" w:rsidP="00361F62">
      <w:pPr>
        <w:rPr>
          <w:b/>
          <w:color w:val="000000" w:themeColor="text1"/>
        </w:rPr>
      </w:pPr>
      <w:r w:rsidRPr="002F48B9">
        <w:rPr>
          <w:b/>
          <w:color w:val="000000" w:themeColor="text1"/>
        </w:rPr>
        <w:t>Provide additional information about this indicator (optional)</w:t>
      </w:r>
    </w:p>
    <w:p w14:paraId="7BC214DF" w14:textId="3B536CFA" w:rsidR="006E322D" w:rsidRPr="00ED172B" w:rsidRDefault="00860830" w:rsidP="00361F62">
      <w:pPr>
        <w:rPr>
          <w:color w:val="000000" w:themeColor="text1"/>
        </w:rPr>
      </w:pPr>
      <w:r w:rsidRPr="00ED172B">
        <w:rPr>
          <w:color w:val="000000" w:themeColor="text1"/>
        </w:rPr>
        <w:t xml:space="preserve">The definition of timely provision of services in MA-C is within 30 days from the family providing written consent for the services in the IFSP. MA-C's state database allows EIS programs to capture the reason(s) for delays in services, though this was not a required field during FFY21 due to a previously undetected error in the database development. Immediately upon detection, MA-C sought to capture these undocumented reasons, beginning with June 2022. In order to capture the reasons, each EIS program was provided a report of the infants and toddlers with new services authorized on an initial or subsequent IFSP between April 1, 2022 and June 30, 2022 and for whom those services were not initiated within the required timeframe. EIS programs were instructed to review the infants' and toddlers' records and correct any data entry errors or provide delay reasons, using the following categories: delay attributable to exceptional family circumstances (e.g., family problem scheduling appointment, family missed or cancelled an appointment, family delayed response or consent for an appointment, weather or other emergency declared) or delayed for some other reason (e.g., difficulty identifying or assigning a service provider or provider scheduling problem or other local program administrative reasons). </w:t>
        <w:br/>
        <w:t/>
        <w:br/>
        <w:t xml:space="preserve">91.47% of the delayed services have a documented delay reason. Of the 307 services that do not have a documented delay reason, 69.38% come from the same agency, which operates six EIS programs. MA-C has been providing targeted training and technical assistance to this agency since FFY20, and the agency was placed on a corrective action plan on September 7, 2022 due to continued data errors. Because there are no documented reasons for delay, MA-C considers these delays not attributable to exceptional family circumstance. </w:t>
      </w:r>
    </w:p>
    <w:p w14:paraId="53FAF326" w14:textId="41C8C510" w:rsidR="002F1A9A" w:rsidRPr="00ED172B" w:rsidRDefault="002F1A9A" w:rsidP="00B83404">
      <w:pPr>
        <w:rPr>
          <w:color w:val="000000" w:themeColor="text1"/>
        </w:rPr>
      </w:pPr>
      <w:r w:rsidRPr="00ED172B">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C01PFFYNCFINDINGS"/>
      </w:tblPr>
      <w:tblGrid>
        <w:gridCol w:w="2647"/>
        <w:gridCol w:w="2776"/>
        <w:gridCol w:w="2652"/>
        <w:gridCol w:w="2715"/>
      </w:tblGrid>
      <w:tr w:rsidR="00ED172B" w:rsidRPr="00ED172B" w14:paraId="34A38ABD" w14:textId="77777777" w:rsidTr="00986B99">
        <w:trPr>
          <w:trHeight w:val="389"/>
          <w:tblHeader/>
        </w:trPr>
        <w:tc>
          <w:tcPr>
            <w:tcW w:w="1226" w:type="pct"/>
            <w:shd w:val="clear" w:color="auto" w:fill="auto"/>
            <w:vAlign w:val="bottom"/>
          </w:tcPr>
          <w:p w14:paraId="5D4EE2C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365DD9CF"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4979AFE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5C5E9C6B"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FD61D9A" w14:textId="77777777" w:rsidTr="00986B99">
        <w:tc>
          <w:tcPr>
            <w:tcW w:w="1226" w:type="pct"/>
            <w:shd w:val="clear" w:color="auto" w:fill="auto"/>
          </w:tcPr>
          <w:p w14:paraId="010E54A6" w14:textId="0E2FA923"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86" w:type="pct"/>
            <w:shd w:val="clear" w:color="auto" w:fill="auto"/>
          </w:tcPr>
          <w:p w14:paraId="1DD20B92" w14:textId="04C9E392"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29" w:type="pct"/>
            <w:shd w:val="clear" w:color="auto" w:fill="auto"/>
          </w:tcPr>
          <w:p w14:paraId="1E129A69" w14:textId="461E68FA"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shd w:val="clear" w:color="auto" w:fill="auto"/>
          </w:tcPr>
          <w:p w14:paraId="4ABA803A" w14:textId="0CE67DB7" w:rsidR="002F1A9A"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0275179C" w14:textId="6E490BA0" w:rsidR="002F1A9A" w:rsidRPr="00ED172B" w:rsidRDefault="002F1A9A" w:rsidP="00B83404">
      <w:pPr>
        <w:rPr>
          <w:color w:val="000000" w:themeColor="text1"/>
        </w:rPr>
      </w:pPr>
      <w:r w:rsidRPr="00ED172B">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C01PPFFYNCFINDINGS"/>
      </w:tblPr>
      <w:tblGrid>
        <w:gridCol w:w="1941"/>
        <w:gridCol w:w="3020"/>
        <w:gridCol w:w="3008"/>
        <w:gridCol w:w="2821"/>
      </w:tblGrid>
      <w:tr w:rsidR="00ED172B" w:rsidRPr="00ED172B" w14:paraId="7E28CC0F" w14:textId="77777777" w:rsidTr="00986B99">
        <w:trPr>
          <w:tblHeader/>
        </w:trPr>
        <w:tc>
          <w:tcPr>
            <w:tcW w:w="899" w:type="pct"/>
            <w:shd w:val="clear" w:color="auto" w:fill="auto"/>
            <w:vAlign w:val="bottom"/>
          </w:tcPr>
          <w:p w14:paraId="61175C0A"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14:paraId="5832D775" w14:textId="034FECE5"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2020 APR</w:t>
            </w:r>
          </w:p>
        </w:tc>
        <w:tc>
          <w:tcPr>
            <w:tcW w:w="1394" w:type="pct"/>
            <w:shd w:val="clear" w:color="auto" w:fill="auto"/>
            <w:vAlign w:val="bottom"/>
          </w:tcPr>
          <w:p w14:paraId="31807C98"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2938ABF0" w14:textId="77777777" w:rsidR="002F1A9A" w:rsidRPr="00ED172B" w:rsidRDefault="002F1A9A"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5A6AE6B0" w14:textId="77777777" w:rsidTr="00986B99">
        <w:tc>
          <w:tcPr>
            <w:tcW w:w="899" w:type="pct"/>
            <w:shd w:val="clear" w:color="auto" w:fill="auto"/>
          </w:tcPr>
          <w:p w14:paraId="7E294C4A" w14:textId="793E00D3" w:rsidR="002F1A9A"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14:paraId="1160A201" w14:textId="0E2C6FD9" w:rsidR="002F1A9A" w:rsidRPr="00ED172B" w:rsidRDefault="00860830" w:rsidP="009A3621">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14:paraId="4333C23A" w14:textId="71B77B57" w:rsidR="002F1A9A" w:rsidRPr="00ED172B" w:rsidRDefault="00860830" w:rsidP="009A3621">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14:paraId="33AEF7F3" w14:textId="54D2CF26" w:rsidR="002F1A9A" w:rsidRPr="00ED172B" w:rsidRDefault="00860830" w:rsidP="00433DB7">
            <w:pPr>
              <w:jc w:val="center"/>
              <w:rPr>
                <w:rFonts w:cs="Arial"/>
                <w:noProof/>
                <w:color w:val="000000" w:themeColor="text1"/>
                <w:szCs w:val="16"/>
              </w:rPr>
            </w:pPr>
            <w:r w:rsidRPr="00ED172B">
              <w:rPr>
                <w:rFonts w:cs="Arial"/>
                <w:color w:val="000000" w:themeColor="text1"/>
                <w:szCs w:val="16"/>
              </w:rPr>
              <w:t/>
            </w:r>
          </w:p>
        </w:tc>
      </w:tr>
      <w:tr w:rsidR="00ED172B" w:rsidRPr="00ED172B" w14:paraId="77EEF846" w14:textId="77777777" w:rsidTr="00986B99">
        <w:tc>
          <w:tcPr>
            <w:tcW w:w="899" w:type="pct"/>
            <w:shd w:val="clear" w:color="auto" w:fill="auto"/>
          </w:tcPr>
          <w:p w14:paraId="5220DDBB" w14:textId="617F1338" w:rsidR="002F1A9A" w:rsidRPr="00ED172B" w:rsidRDefault="00860830" w:rsidP="00186420">
            <w:pPr>
              <w:jc w:val="center"/>
              <w:rPr>
                <w:rFonts w:cs="Arial"/>
                <w:color w:val="000000" w:themeColor="text1"/>
                <w:szCs w:val="16"/>
              </w:rPr>
            </w:pPr>
            <w:r w:rsidRPr="00ED172B">
              <w:rPr>
                <w:rFonts w:cs="Arial"/>
                <w:color w:val="000000" w:themeColor="text1"/>
                <w:szCs w:val="16"/>
              </w:rPr>
              <w:lastRenderedPageBreak/>
              <w:t/>
            </w:r>
          </w:p>
        </w:tc>
        <w:tc>
          <w:tcPr>
            <w:tcW w:w="1399" w:type="pct"/>
            <w:shd w:val="clear" w:color="auto" w:fill="auto"/>
          </w:tcPr>
          <w:p w14:paraId="51E72912" w14:textId="28137C7A" w:rsidR="002F1A9A" w:rsidRPr="00ED172B" w:rsidRDefault="00860830" w:rsidP="009A3621">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14:paraId="2C1F8516" w14:textId="6CE00AC5" w:rsidR="002F1A9A" w:rsidRPr="00ED172B" w:rsidRDefault="00860830" w:rsidP="009A3621">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14:paraId="504165E6" w14:textId="20AD78DF" w:rsidR="002F1A9A" w:rsidRPr="00ED172B" w:rsidRDefault="00860830" w:rsidP="00433DB7">
            <w:pPr>
              <w:jc w:val="center"/>
              <w:rPr>
                <w:rFonts w:cs="Arial"/>
                <w:noProof/>
                <w:color w:val="000000" w:themeColor="text1"/>
                <w:szCs w:val="16"/>
              </w:rPr>
            </w:pPr>
            <w:r w:rsidRPr="00ED172B">
              <w:rPr>
                <w:rFonts w:cs="Arial"/>
                <w:color w:val="000000" w:themeColor="text1"/>
                <w:szCs w:val="16"/>
              </w:rPr>
              <w:t/>
            </w:r>
          </w:p>
        </w:tc>
      </w:tr>
      <w:tr w:rsidR="00ED172B" w:rsidRPr="00ED172B" w14:paraId="06686058" w14:textId="77777777" w:rsidTr="00986B99">
        <w:tc>
          <w:tcPr>
            <w:tcW w:w="899" w:type="pct"/>
            <w:shd w:val="clear" w:color="auto" w:fill="auto"/>
          </w:tcPr>
          <w:p w14:paraId="25B79FD3" w14:textId="19A616F7" w:rsidR="002F1A9A"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1399" w:type="pct"/>
            <w:shd w:val="clear" w:color="auto" w:fill="auto"/>
          </w:tcPr>
          <w:p w14:paraId="107B2803" w14:textId="0CF5B5C3" w:rsidR="002F1A9A" w:rsidRPr="00ED172B" w:rsidRDefault="00860830" w:rsidP="009A3621">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14:paraId="5FBAC412" w14:textId="4ED40606" w:rsidR="002F1A9A" w:rsidRPr="00ED172B" w:rsidRDefault="00860830" w:rsidP="009A3621">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14:paraId="1B00BD3C" w14:textId="5FA6F0AB" w:rsidR="002F1A9A" w:rsidRPr="00ED172B" w:rsidRDefault="00860830" w:rsidP="00433DB7">
            <w:pPr>
              <w:jc w:val="center"/>
              <w:rPr>
                <w:rFonts w:cs="Arial"/>
                <w:noProof/>
                <w:color w:val="000000" w:themeColor="text1"/>
                <w:szCs w:val="16"/>
              </w:rPr>
            </w:pPr>
            <w:r w:rsidRPr="00ED172B">
              <w:rPr>
                <w:rFonts w:cs="Arial"/>
                <w:color w:val="000000" w:themeColor="text1"/>
                <w:szCs w:val="16"/>
              </w:rPr>
              <w:t/>
            </w:r>
          </w:p>
        </w:tc>
      </w:tr>
    </w:tbl>
    <w:p w14:paraId="7D42D1C9" w14:textId="0CD6E9DC" w:rsidR="002F1A9A" w:rsidRPr="00A40EE1" w:rsidRDefault="000D0117" w:rsidP="005C3FFD">
      <w:pPr>
        <w:pStyle w:val="Heading2"/>
      </w:pPr>
      <w:r w:rsidRPr="00A40EE1">
        <w:t xml:space="preserve">1 - </w:t>
      </w:r>
      <w:r w:rsidR="002F1A9A" w:rsidRPr="00A40EE1">
        <w:t>Prior FFY Required Actions</w:t>
      </w:r>
    </w:p>
    <w:p w14:paraId="07770A6D" w14:textId="113FE3B3" w:rsidR="002F1A9A" w:rsidRPr="00ED172B" w:rsidRDefault="005E414F" w:rsidP="00027F39">
      <w:pPr>
        <w:rPr>
          <w:color w:val="000000" w:themeColor="text1"/>
        </w:rPr>
      </w:pPr>
      <w:r w:rsidRPr="00ED172B">
        <w:rPr>
          <w:color w:val="000000" w:themeColor="text1"/>
        </w:rPr>
        <w:t xml:space="preserve">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EIS program or provider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2021 SPP/APR, the State must describe the specific actions that were taken to verify the correction. </w:t>
        <w:br/>
        <w:t/>
        <w:br/>
        <w:t>If the State did not identify any findings of noncompliance in FFY 2020, although its FFY 2020 data reflect less than 100% compliance, provide an explanation of why the State did not identify any findings of noncompliance in FFY 2020.</w:t>
      </w:r>
    </w:p>
    <w:p w14:paraId="50B0C9A3" w14:textId="77777777" w:rsidR="004C1CEE" w:rsidRPr="00ED172B" w:rsidRDefault="004C1CEE" w:rsidP="002F1A9A">
      <w:pPr>
        <w:rPr>
          <w:rFonts w:cs="Arial"/>
          <w:color w:val="000000" w:themeColor="text1"/>
          <w:szCs w:val="16"/>
        </w:rPr>
      </w:pPr>
    </w:p>
    <w:p w14:paraId="7CD7BB8E" w14:textId="2C3FB2BB" w:rsidR="002F1A9A" w:rsidRPr="00ED172B" w:rsidRDefault="002F1A9A" w:rsidP="00B83404">
      <w:pPr>
        <w:rPr>
          <w:color w:val="000000" w:themeColor="text1"/>
        </w:rPr>
      </w:pPr>
      <w:r w:rsidRPr="00ED172B">
        <w:rPr>
          <w:b/>
          <w:color w:val="000000" w:themeColor="text1"/>
        </w:rPr>
        <w:t>Response to actions required in FFY 2020 SPP/APR</w:t>
      </w:r>
      <w:r w:rsidR="00950382" w:rsidRPr="00ED172B">
        <w:rPr>
          <w:color w:val="000000" w:themeColor="text1"/>
        </w:rPr>
        <w:t xml:space="preserve"> </w:t>
      </w:r>
    </w:p>
    <w:p w14:paraId="7B432D1F" w14:textId="30BE75E8" w:rsidR="002F1A9A" w:rsidRPr="00ED172B" w:rsidRDefault="00027F39" w:rsidP="00027F39">
      <w:pPr>
        <w:rPr>
          <w:color w:val="000000" w:themeColor="text1"/>
        </w:rPr>
      </w:pPr>
      <w:r w:rsidRPr="00ED172B">
        <w:rPr>
          <w:color w:val="000000" w:themeColor="text1"/>
        </w:rPr>
        <w:t xml:space="preserve">During FFY20, The Lead Agency (MA-C) did not report 100% compliance for Indicator 1, the percentage of infants and toddlers with Individual Family Service Plans (IFSPs) who receive the early intervention services on their IFSPs in a timely manner. MA-C reviewed its state database and discovered 25 records across 11 EIS programs that suggested timely services were not delivered. </w:t>
        <w:br/>
        <w:t/>
        <w:br/>
        <w:t>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Using data entered by EIS programs into EICS, the Part C Data Manager determined that 10 children left the jurisdiction before the services were initiated; she also determined that the remaining 15 children had services which were provided late, as demonstrated by service-level data entered by the EIS programs into EICS.</w:t>
        <w:br/>
        <w:t/>
        <w:br/>
        <w:t>Next, the Part C Data Manager queried the EICS for the 11 EIS programs with compliance rates below 100%. For each EIS program, she sampled 10 child records at random using subsequent service-level data entered by the EIS programs and determined 100% compliance had been demonstrated.</w:t>
        <w:br/>
        <w:t/>
        <w:br/>
        <w:t xml:space="preserve">Consistent with MA-C general supervision practices, no written findings of noncompliance were made because the noncompliance had been corrected. Instead, MA-C emailed the 11 EIS programs who had reported untimely services to remind them of the regulatory requirement and offer training and technical assistance to sustain compliance. </w:t>
      </w:r>
    </w:p>
    <w:p w14:paraId="5B26E5E3" w14:textId="4D399F9F" w:rsidR="002F1A9A" w:rsidRPr="00A40EE1" w:rsidRDefault="000D0117" w:rsidP="005C3FFD">
      <w:pPr>
        <w:pStyle w:val="Heading2"/>
      </w:pPr>
      <w:r w:rsidRPr="00A40EE1">
        <w:t xml:space="preserve">1 - </w:t>
      </w:r>
      <w:r w:rsidR="002F1A9A" w:rsidRPr="00A40EE1">
        <w:t>OSEP Response</w:t>
      </w:r>
    </w:p>
    <w:p w14:paraId="7E4E1765" w14:textId="5486F1D2" w:rsidR="002F1A9A" w:rsidRPr="00ED172B" w:rsidRDefault="005E414F" w:rsidP="00027F39">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2021- June 30, 2022). The State described how the time period in which the data were collected accurately reflects data for infants and toddlers with IFSPs for the full reporting period.</w:t>
      </w:r>
    </w:p>
    <w:p w14:paraId="14E4670B" w14:textId="0CF10102" w:rsidR="002F1A9A" w:rsidRPr="00A40EE1" w:rsidRDefault="000D0117" w:rsidP="005C3FFD">
      <w:pPr>
        <w:pStyle w:val="Heading2"/>
      </w:pPr>
      <w:r w:rsidRPr="00A40EE1">
        <w:lastRenderedPageBreak/>
        <w:t xml:space="preserve">1 - </w:t>
      </w:r>
      <w:r w:rsidR="002F1A9A" w:rsidRPr="00A40EE1">
        <w:t>Required Actions</w:t>
      </w:r>
    </w:p>
    <w:p w14:paraId="1951D376" w14:textId="06E81FEF" w:rsidR="002F1A9A" w:rsidRPr="00ED172B" w:rsidRDefault="00027F39" w:rsidP="00027F39">
      <w:pPr>
        <w:rPr>
          <w:color w:val="000000" w:themeColor="text1"/>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14:paraId="5457E150" w14:textId="2454D9B8" w:rsidR="006B486C" w:rsidRPr="00ED172B" w:rsidRDefault="006B486C" w:rsidP="00604467">
      <w:pPr>
        <w:rPr>
          <w:color w:val="000000" w:themeColor="text1"/>
        </w:rPr>
        <w:sectPr w:rsidR="006B486C" w:rsidRPr="00ED172B" w:rsidSect="006F2318">
          <w:footerReference w:type="default" r:id="rId12"/>
          <w:pgSz w:w="12240" w:h="15840"/>
          <w:pgMar w:top="720" w:right="720" w:bottom="720" w:left="720" w:header="720" w:footer="463" w:gutter="0"/>
          <w:cols w:space="720"/>
          <w:docGrid w:linePitch="360"/>
        </w:sectPr>
      </w:pPr>
    </w:p>
    <w:p w14:paraId="4A6B8FA1" w14:textId="0413C7A8" w:rsidR="00D21EAA" w:rsidRPr="00ED172B" w:rsidRDefault="00D21EAA" w:rsidP="00174E1C">
      <w:pPr>
        <w:pStyle w:val="Heading1"/>
        <w:rPr>
          <w:color w:val="000000" w:themeColor="text1"/>
        </w:rPr>
      </w:pPr>
      <w:bookmarkStart w:id="7" w:name="_Toc392159262"/>
      <w:r w:rsidRPr="00ED172B">
        <w:rPr>
          <w:color w:val="000000" w:themeColor="text1"/>
        </w:rPr>
        <w:lastRenderedPageBreak/>
        <w:t xml:space="preserve">Indicator 2: </w:t>
      </w:r>
      <w:bookmarkEnd w:id="5"/>
      <w:bookmarkEnd w:id="7"/>
      <w:r w:rsidR="00B55C3D" w:rsidRPr="00ED172B">
        <w:rPr>
          <w:color w:val="000000" w:themeColor="text1"/>
        </w:rPr>
        <w:t>Services in Natural Environments</w:t>
      </w:r>
    </w:p>
    <w:p w14:paraId="4A896E65" w14:textId="77777777" w:rsidR="00174E1C" w:rsidRPr="00ED172B" w:rsidRDefault="00174E1C" w:rsidP="00186420">
      <w:pPr>
        <w:rPr>
          <w:color w:val="000000" w:themeColor="text1"/>
          <w:szCs w:val="20"/>
        </w:rPr>
      </w:pPr>
      <w:bookmarkStart w:id="8" w:name="_Toc392159263"/>
      <w:r w:rsidRPr="00ED172B">
        <w:rPr>
          <w:b/>
          <w:color w:val="000000" w:themeColor="text1"/>
          <w:sz w:val="20"/>
          <w:szCs w:val="20"/>
        </w:rPr>
        <w:t>Instructions and Measurement</w:t>
      </w:r>
    </w:p>
    <w:p w14:paraId="1B71FDF7" w14:textId="77777777" w:rsidR="00B55C3D" w:rsidRPr="00ED172B" w:rsidRDefault="00B55C3D" w:rsidP="00174E1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Early Intervention Services In Natural Environments</w:t>
      </w:r>
    </w:p>
    <w:p w14:paraId="7F28A479" w14:textId="155CFC80" w:rsidR="00B55C3D" w:rsidRPr="00ED172B" w:rsidRDefault="00B55C3D" w:rsidP="00B55C3D">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infants and toddlers with IFSPs who primarily receive early intervention services in the home or community-based settings.</w:t>
      </w:r>
      <w:r w:rsidR="007243C1" w:rsidRPr="00ED172B">
        <w:rPr>
          <w:color w:val="000000" w:themeColor="text1"/>
          <w:szCs w:val="16"/>
        </w:rPr>
        <w:t xml:space="preserve"> </w:t>
      </w:r>
      <w:r w:rsidRPr="00ED172B">
        <w:rPr>
          <w:color w:val="000000" w:themeColor="text1"/>
          <w:szCs w:val="16"/>
        </w:rPr>
        <w:t>(20 U.S.C. 1416(a)(3)(A) and 1442)</w:t>
      </w:r>
    </w:p>
    <w:p w14:paraId="6BD43E0B" w14:textId="77777777" w:rsidR="006628E4" w:rsidRPr="00ED172B" w:rsidRDefault="006628E4">
      <w:pPr>
        <w:rPr>
          <w:b/>
          <w:color w:val="000000" w:themeColor="text1"/>
        </w:rPr>
      </w:pPr>
      <w:r w:rsidRPr="00ED172B">
        <w:rPr>
          <w:b/>
          <w:color w:val="000000" w:themeColor="text1"/>
        </w:rPr>
        <w:t>Data Source</w:t>
      </w:r>
    </w:p>
    <w:p w14:paraId="3DA519AD" w14:textId="7BC50025" w:rsidR="006628E4" w:rsidRPr="00ED172B" w:rsidRDefault="006628E4" w:rsidP="00174E1C">
      <w:pPr>
        <w:rPr>
          <w:color w:val="000000" w:themeColor="text1"/>
          <w:szCs w:val="16"/>
        </w:rPr>
      </w:pPr>
      <w:r w:rsidRPr="00ED172B">
        <w:rPr>
          <w:color w:val="000000" w:themeColor="text1"/>
          <w:szCs w:val="16"/>
        </w:rPr>
        <w:t>Data collected under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p>
    <w:p w14:paraId="01D6DC11" w14:textId="77777777" w:rsidR="006628E4" w:rsidRPr="00ED172B" w:rsidRDefault="006628E4">
      <w:pPr>
        <w:rPr>
          <w:b/>
          <w:color w:val="000000" w:themeColor="text1"/>
        </w:rPr>
      </w:pPr>
      <w:r w:rsidRPr="00ED172B">
        <w:rPr>
          <w:b/>
          <w:color w:val="000000" w:themeColor="text1"/>
        </w:rPr>
        <w:t>Measurement</w:t>
      </w:r>
    </w:p>
    <w:p w14:paraId="05B82688" w14:textId="27C10D0B" w:rsidR="006628E4" w:rsidRPr="00ED172B" w:rsidRDefault="006628E4" w:rsidP="00174E1C">
      <w:pPr>
        <w:rPr>
          <w:color w:val="000000" w:themeColor="text1"/>
          <w:szCs w:val="16"/>
        </w:rPr>
      </w:pPr>
      <w:r w:rsidRPr="00ED172B">
        <w:rPr>
          <w:color w:val="000000" w:themeColor="text1"/>
          <w:szCs w:val="16"/>
        </w:rPr>
        <w:t>Percent = [(# of infants and toddlers with IFSPs who primarily receive early intervention services in the home or community-based settings) divided by the (total # of infants and toddlers with IFSPs)] times 100.</w:t>
      </w:r>
    </w:p>
    <w:p w14:paraId="04AAE1E9" w14:textId="77777777" w:rsidR="006628E4" w:rsidRPr="00ED172B" w:rsidRDefault="006628E4">
      <w:pPr>
        <w:rPr>
          <w:b/>
          <w:color w:val="000000" w:themeColor="text1"/>
        </w:rPr>
      </w:pPr>
      <w:r w:rsidRPr="00ED172B">
        <w:rPr>
          <w:b/>
          <w:color w:val="000000" w:themeColor="text1"/>
        </w:rPr>
        <w:t>Instructions</w:t>
      </w:r>
    </w:p>
    <w:p w14:paraId="4FC585CD" w14:textId="77777777" w:rsidR="006628E4" w:rsidRPr="00ED172B" w:rsidRDefault="006628E4" w:rsidP="00174E1C">
      <w:pPr>
        <w:rPr>
          <w:color w:val="000000" w:themeColor="text1"/>
          <w:szCs w:val="16"/>
        </w:rPr>
      </w:pPr>
      <w:r w:rsidRPr="00ED172B">
        <w:rPr>
          <w:color w:val="000000" w:themeColor="text1"/>
          <w:szCs w:val="16"/>
        </w:rPr>
        <w:t>Sampling from the State’s 618 data is not allowed.</w:t>
      </w:r>
    </w:p>
    <w:p w14:paraId="67AADE97" w14:textId="77777777" w:rsidR="006628E4" w:rsidRPr="00ED172B" w:rsidRDefault="006628E4" w:rsidP="00174E1C">
      <w:pPr>
        <w:rPr>
          <w:color w:val="000000" w:themeColor="text1"/>
          <w:szCs w:val="16"/>
        </w:rPr>
      </w:pPr>
      <w:r w:rsidRPr="00ED172B">
        <w:rPr>
          <w:color w:val="000000" w:themeColor="text1"/>
          <w:szCs w:val="16"/>
        </w:rPr>
        <w:t>Describe the results of the calculations and compare the results to the target.</w:t>
      </w:r>
    </w:p>
    <w:p w14:paraId="42AB5A74" w14:textId="6A2F0793" w:rsidR="006628E4" w:rsidRPr="00ED172B" w:rsidRDefault="006628E4" w:rsidP="00174E1C">
      <w:pPr>
        <w:rPr>
          <w:color w:val="000000" w:themeColor="text1"/>
          <w:szCs w:val="16"/>
        </w:rPr>
      </w:pPr>
      <w:r w:rsidRPr="00ED172B">
        <w:rPr>
          <w:color w:val="000000" w:themeColor="text1"/>
          <w:szCs w:val="16"/>
        </w:rPr>
        <w:t>The data reported in this indicator should be consistent with the State’s 618 data reported in Table 2. If not, explain.</w:t>
      </w:r>
    </w:p>
    <w:bookmarkEnd w:id="8"/>
    <w:p w14:paraId="493A0B54" w14:textId="0A91F1AD" w:rsidR="00DE5141" w:rsidRPr="00A40EE1" w:rsidRDefault="000D0117" w:rsidP="005C3FFD">
      <w:pPr>
        <w:pStyle w:val="Heading2"/>
      </w:pPr>
      <w:r w:rsidRPr="00A40EE1">
        <w:t xml:space="preserve">2 - </w:t>
      </w:r>
      <w:r w:rsidR="00174E1C" w:rsidRPr="00A40EE1">
        <w:t>Indicator Data</w:t>
      </w:r>
    </w:p>
    <w:p w14:paraId="52D18010" w14:textId="2BDFB139" w:rsidR="00B312CC" w:rsidRDefault="00B312CC">
      <w:pPr>
        <w:rPr>
          <w:b/>
          <w:color w:val="000000" w:themeColor="text1"/>
        </w:rPr>
      </w:pPr>
      <w:bookmarkStart w:id="9" w:name="_Toc392159264"/>
      <w:r w:rsidRPr="00ED172B">
        <w:rPr>
          <w:b/>
          <w:color w:val="000000" w:themeColor="text1"/>
        </w:rPr>
        <w:t>Historical Data</w:t>
      </w:r>
    </w:p>
    <w:p w14:paraId="3F9E9E24" w14:textId="1F2AEED2" w:rsidR="000A2C40" w:rsidRDefault="000A2C40">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BASELINEDATA"/>
      </w:tblPr>
      <w:tblGrid>
        <w:gridCol w:w="1887"/>
        <w:gridCol w:w="1887"/>
      </w:tblGrid>
      <w:tr w:rsidR="0038029B" w:rsidRPr="00ED172B" w14:paraId="70F8F73D" w14:textId="77777777" w:rsidTr="004B3BC6">
        <w:trPr>
          <w:trHeight w:val="350"/>
          <w:tblHeader/>
        </w:trPr>
        <w:tc>
          <w:tcPr>
            <w:tcW w:w="1800" w:type="dxa"/>
            <w:tcBorders>
              <w:bottom w:val="single" w:sz="4" w:space="0" w:color="auto"/>
            </w:tcBorders>
            <w:shd w:val="clear" w:color="auto" w:fill="auto"/>
            <w:vAlign w:val="center"/>
          </w:tcPr>
          <w:p w14:paraId="3AEF722A" w14:textId="2D4AF0D4" w:rsidR="0038029B" w:rsidRPr="00A40EE1" w:rsidRDefault="0038029B" w:rsidP="000A2C40">
            <w:pPr>
              <w:jc w:val="center"/>
              <w:rPr>
                <w:b/>
                <w:bCs/>
                <w:color w:val="000000" w:themeColor="text1"/>
              </w:rPr>
            </w:pPr>
            <w:r>
              <w:rPr>
                <w:b/>
                <w:bCs/>
                <w:color w:val="000000" w:themeColor="text1"/>
              </w:rPr>
              <w:t>Baseline Year</w:t>
            </w:r>
          </w:p>
        </w:tc>
        <w:tc>
          <w:tcPr>
            <w:tcW w:w="1800" w:type="dxa"/>
            <w:tcBorders>
              <w:top w:val="single" w:sz="4" w:space="0" w:color="auto"/>
              <w:right w:val="single" w:sz="4" w:space="0" w:color="auto"/>
            </w:tcBorders>
            <w:shd w:val="clear" w:color="auto" w:fill="auto"/>
            <w:vAlign w:val="center"/>
          </w:tcPr>
          <w:p w14:paraId="0EFB96D1" w14:textId="773D5379" w:rsidR="0038029B" w:rsidRPr="00A40EE1" w:rsidRDefault="0038029B" w:rsidP="000A2C40">
            <w:pPr>
              <w:jc w:val="center"/>
              <w:rPr>
                <w:rFonts w:cs="Arial"/>
                <w:b/>
                <w:bCs/>
                <w:color w:val="000000" w:themeColor="text1"/>
                <w:szCs w:val="16"/>
              </w:rPr>
            </w:pPr>
            <w:r>
              <w:rPr>
                <w:rFonts w:cs="Arial"/>
                <w:b/>
                <w:bCs/>
                <w:color w:val="000000" w:themeColor="text1"/>
                <w:szCs w:val="16"/>
              </w:rPr>
              <w:t>Baseline Data</w:t>
            </w:r>
          </w:p>
        </w:tc>
      </w:tr>
      <w:tr w:rsidR="0038029B" w:rsidRPr="00ED172B" w14:paraId="1FE14E73" w14:textId="77777777" w:rsidTr="00A40EE1">
        <w:trPr>
          <w:trHeight w:val="350"/>
        </w:trPr>
        <w:tc>
          <w:tcPr>
            <w:tcW w:w="1800" w:type="dxa"/>
            <w:tcBorders>
              <w:bottom w:val="single" w:sz="4" w:space="0" w:color="auto"/>
            </w:tcBorders>
            <w:shd w:val="clear" w:color="auto" w:fill="auto"/>
            <w:vAlign w:val="center"/>
          </w:tcPr>
          <w:p w14:paraId="2412809D" w14:textId="77777777" w:rsidR="0038029B" w:rsidRPr="00ED172B" w:rsidRDefault="0038029B" w:rsidP="000A2C40">
            <w:pPr>
              <w:jc w:val="center"/>
              <w:rPr>
                <w:b/>
                <w:color w:val="000000" w:themeColor="text1"/>
              </w:rPr>
            </w:pPr>
            <w:r w:rsidRPr="00ED172B">
              <w:rPr>
                <w:color w:val="000000" w:themeColor="text1"/>
              </w:rPr>
              <w:t>2005</w:t>
            </w:r>
          </w:p>
        </w:tc>
        <w:tc>
          <w:tcPr>
            <w:tcW w:w="1800" w:type="dxa"/>
            <w:tcBorders>
              <w:top w:val="single" w:sz="4" w:space="0" w:color="auto"/>
              <w:right w:val="single" w:sz="4" w:space="0" w:color="auto"/>
            </w:tcBorders>
            <w:shd w:val="clear" w:color="auto" w:fill="auto"/>
            <w:vAlign w:val="center"/>
          </w:tcPr>
          <w:p w14:paraId="74DCC466" w14:textId="77777777" w:rsidR="0038029B" w:rsidRPr="00ED172B" w:rsidRDefault="0038029B" w:rsidP="000A2C40">
            <w:pPr>
              <w:jc w:val="center"/>
              <w:rPr>
                <w:b/>
                <w:color w:val="000000" w:themeColor="text1"/>
                <w:szCs w:val="16"/>
              </w:rPr>
            </w:pPr>
            <w:r w:rsidRPr="00ED172B">
              <w:rPr>
                <w:rFonts w:cs="Arial"/>
                <w:color w:val="000000" w:themeColor="text1"/>
                <w:szCs w:val="16"/>
              </w:rPr>
              <w:t>98.80%</w:t>
            </w:r>
          </w:p>
        </w:tc>
      </w:tr>
    </w:tbl>
    <w:p w14:paraId="4D18B16D" w14:textId="475B72D9" w:rsidR="000A2C40" w:rsidRDefault="000A2C40">
      <w:pPr>
        <w:rPr>
          <w:b/>
          <w:color w:val="000000" w:themeColor="text1"/>
        </w:rPr>
      </w:pPr>
    </w:p>
    <w:p w14:paraId="1A51B6EA" w14:textId="77777777" w:rsidR="000A2C40" w:rsidRPr="00ED172B" w:rsidRDefault="000A2C40">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HISTDATA"/>
      </w:tblPr>
      <w:tblGrid>
        <w:gridCol w:w="1437"/>
        <w:gridCol w:w="1871"/>
        <w:gridCol w:w="1871"/>
        <w:gridCol w:w="1871"/>
        <w:gridCol w:w="1871"/>
        <w:gridCol w:w="1869"/>
      </w:tblGrid>
      <w:tr w:rsidR="00ED172B" w:rsidRPr="00ED172B" w14:paraId="7FDD231D" w14:textId="25ECD173" w:rsidTr="00986B99">
        <w:trPr>
          <w:trHeight w:val="350"/>
        </w:trPr>
        <w:tc>
          <w:tcPr>
            <w:tcW w:w="666" w:type="pct"/>
            <w:tcBorders>
              <w:bottom w:val="single" w:sz="4" w:space="0" w:color="auto"/>
            </w:tcBorders>
            <w:shd w:val="clear" w:color="auto" w:fill="auto"/>
          </w:tcPr>
          <w:p w14:paraId="787C292C" w14:textId="77777777" w:rsidR="00472221" w:rsidRPr="00ED172B" w:rsidRDefault="00472221" w:rsidP="00186420">
            <w:pPr>
              <w:jc w:val="center"/>
              <w:rPr>
                <w:b/>
                <w:color w:val="000000" w:themeColor="text1"/>
                <w:szCs w:val="16"/>
              </w:rPr>
            </w:pPr>
            <w:r w:rsidRPr="00ED172B">
              <w:rPr>
                <w:b/>
                <w:color w:val="000000" w:themeColor="text1"/>
                <w:szCs w:val="16"/>
              </w:rPr>
              <w:t>FFY</w:t>
            </w:r>
          </w:p>
        </w:tc>
        <w:tc>
          <w:tcPr>
            <w:tcW w:w="867" w:type="pct"/>
            <w:shd w:val="clear" w:color="auto" w:fill="auto"/>
            <w:vAlign w:val="center"/>
          </w:tcPr>
          <w:p w14:paraId="4E446356" w14:textId="285A1B3B" w:rsidR="00472221" w:rsidRPr="00ED172B" w:rsidRDefault="002163F2" w:rsidP="00472221">
            <w:pPr>
              <w:jc w:val="center"/>
              <w:rPr>
                <w:b/>
                <w:color w:val="000000" w:themeColor="text1"/>
                <w:szCs w:val="16"/>
              </w:rPr>
            </w:pPr>
            <w:r w:rsidRPr="00ED172B">
              <w:rPr>
                <w:rFonts w:cs="Arial"/>
                <w:b/>
                <w:color w:val="000000" w:themeColor="text1"/>
                <w:szCs w:val="16"/>
              </w:rPr>
              <w:t>2016</w:t>
            </w:r>
          </w:p>
        </w:tc>
        <w:tc>
          <w:tcPr>
            <w:tcW w:w="867" w:type="pct"/>
            <w:shd w:val="clear" w:color="auto" w:fill="auto"/>
            <w:vAlign w:val="center"/>
          </w:tcPr>
          <w:p w14:paraId="30A3B8E1" w14:textId="24F22632" w:rsidR="00472221" w:rsidRPr="00ED172B" w:rsidRDefault="002163F2" w:rsidP="00472221">
            <w:pPr>
              <w:jc w:val="center"/>
              <w:rPr>
                <w:b/>
                <w:color w:val="000000" w:themeColor="text1"/>
                <w:szCs w:val="16"/>
              </w:rPr>
            </w:pPr>
            <w:r w:rsidRPr="00ED172B">
              <w:rPr>
                <w:rFonts w:cs="Arial"/>
                <w:b/>
                <w:color w:val="000000" w:themeColor="text1"/>
                <w:szCs w:val="16"/>
              </w:rPr>
              <w:t>2017</w:t>
            </w:r>
          </w:p>
        </w:tc>
        <w:tc>
          <w:tcPr>
            <w:tcW w:w="867" w:type="pct"/>
            <w:shd w:val="clear" w:color="auto" w:fill="auto"/>
            <w:vAlign w:val="center"/>
          </w:tcPr>
          <w:p w14:paraId="13F85307" w14:textId="0DEF098F" w:rsidR="00472221" w:rsidRPr="00ED172B" w:rsidRDefault="002163F2" w:rsidP="00472221">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3895EB5E" w14:textId="70A997D1" w:rsidR="00472221" w:rsidRPr="00ED172B" w:rsidRDefault="002163F2" w:rsidP="00472221">
            <w:pPr>
              <w:jc w:val="center"/>
              <w:rPr>
                <w:b/>
                <w:color w:val="000000" w:themeColor="text1"/>
                <w:szCs w:val="16"/>
              </w:rPr>
            </w:pPr>
            <w:r w:rsidRPr="00ED172B">
              <w:rPr>
                <w:rFonts w:cs="Arial"/>
                <w:b/>
                <w:color w:val="000000" w:themeColor="text1"/>
                <w:szCs w:val="16"/>
              </w:rPr>
              <w:t>2019</w:t>
            </w:r>
          </w:p>
        </w:tc>
        <w:tc>
          <w:tcPr>
            <w:tcW w:w="866" w:type="pct"/>
            <w:shd w:val="clear" w:color="auto" w:fill="auto"/>
            <w:vAlign w:val="center"/>
          </w:tcPr>
          <w:p w14:paraId="6A7334FC" w14:textId="23611369" w:rsidR="00472221" w:rsidRPr="00ED172B" w:rsidRDefault="006D43D3" w:rsidP="00472221">
            <w:pPr>
              <w:jc w:val="center"/>
              <w:rPr>
                <w:b/>
                <w:color w:val="000000" w:themeColor="text1"/>
                <w:szCs w:val="16"/>
              </w:rPr>
            </w:pPr>
            <w:r w:rsidRPr="00ED172B">
              <w:rPr>
                <w:rFonts w:cs="Arial"/>
                <w:b/>
                <w:color w:val="000000" w:themeColor="text1"/>
                <w:szCs w:val="16"/>
              </w:rPr>
              <w:t>2020</w:t>
            </w:r>
          </w:p>
        </w:tc>
      </w:tr>
      <w:tr w:rsidR="00ED172B" w:rsidRPr="00ED172B" w14:paraId="1A3FBEC1" w14:textId="758D5A2D" w:rsidTr="00986B99">
        <w:trPr>
          <w:trHeight w:val="357"/>
        </w:trPr>
        <w:tc>
          <w:tcPr>
            <w:tcW w:w="666" w:type="pct"/>
            <w:shd w:val="clear" w:color="auto" w:fill="auto"/>
          </w:tcPr>
          <w:p w14:paraId="619910EF" w14:textId="5E3258DE" w:rsidR="00D71B7C" w:rsidRPr="00ED172B" w:rsidRDefault="00D71B7C" w:rsidP="00B83404">
            <w:pPr>
              <w:rPr>
                <w:color w:val="000000" w:themeColor="text1"/>
                <w:szCs w:val="16"/>
              </w:rPr>
            </w:pPr>
            <w:r w:rsidRPr="00ED172B">
              <w:rPr>
                <w:color w:val="000000" w:themeColor="text1"/>
                <w:szCs w:val="16"/>
              </w:rPr>
              <w:t>Target&gt;=</w:t>
            </w:r>
          </w:p>
        </w:tc>
        <w:tc>
          <w:tcPr>
            <w:tcW w:w="867" w:type="pct"/>
            <w:shd w:val="clear" w:color="auto" w:fill="auto"/>
            <w:vAlign w:val="center"/>
          </w:tcPr>
          <w:p w14:paraId="482B9556" w14:textId="1A803C94" w:rsidR="00D71B7C" w:rsidRPr="00ED172B" w:rsidRDefault="00860830" w:rsidP="00D71B7C">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14:paraId="4B0CEF64" w14:textId="5DF3545B" w:rsidR="00D71B7C" w:rsidRPr="00ED172B" w:rsidRDefault="00860830" w:rsidP="00D71B7C">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14:paraId="4A489F6D" w14:textId="7F753FC5" w:rsidR="00D71B7C" w:rsidRPr="00ED172B" w:rsidRDefault="00860830" w:rsidP="00D71B7C">
            <w:pPr>
              <w:jc w:val="center"/>
              <w:rPr>
                <w:color w:val="000000" w:themeColor="text1"/>
                <w:szCs w:val="16"/>
              </w:rPr>
            </w:pPr>
            <w:r w:rsidRPr="00ED172B">
              <w:rPr>
                <w:rFonts w:cs="Arial"/>
                <w:color w:val="000000" w:themeColor="text1"/>
                <w:szCs w:val="16"/>
              </w:rPr>
              <w:t>96.00%</w:t>
            </w:r>
          </w:p>
        </w:tc>
        <w:tc>
          <w:tcPr>
            <w:tcW w:w="867" w:type="pct"/>
            <w:shd w:val="clear" w:color="auto" w:fill="auto"/>
            <w:vAlign w:val="center"/>
          </w:tcPr>
          <w:p w14:paraId="5F18F91B" w14:textId="7540D14E" w:rsidR="00D71B7C" w:rsidRPr="00ED172B" w:rsidRDefault="00860830" w:rsidP="00D71B7C">
            <w:pPr>
              <w:jc w:val="center"/>
              <w:rPr>
                <w:color w:val="000000" w:themeColor="text1"/>
                <w:szCs w:val="16"/>
              </w:rPr>
            </w:pPr>
            <w:r w:rsidRPr="00ED172B">
              <w:rPr>
                <w:rFonts w:cs="Arial"/>
                <w:color w:val="000000" w:themeColor="text1"/>
                <w:szCs w:val="16"/>
              </w:rPr>
              <w:t>97.00%</w:t>
            </w:r>
          </w:p>
        </w:tc>
        <w:tc>
          <w:tcPr>
            <w:tcW w:w="866" w:type="pct"/>
            <w:shd w:val="clear" w:color="auto" w:fill="auto"/>
            <w:vAlign w:val="center"/>
          </w:tcPr>
          <w:p w14:paraId="5C1958D9" w14:textId="1D59A645" w:rsidR="00D71B7C" w:rsidRPr="00ED172B" w:rsidRDefault="00860830" w:rsidP="00D71B7C">
            <w:pPr>
              <w:jc w:val="center"/>
              <w:rPr>
                <w:color w:val="000000" w:themeColor="text1"/>
                <w:szCs w:val="16"/>
              </w:rPr>
            </w:pPr>
            <w:r w:rsidRPr="00ED172B">
              <w:rPr>
                <w:rFonts w:cs="Arial"/>
                <w:color w:val="000000" w:themeColor="text1"/>
                <w:szCs w:val="16"/>
              </w:rPr>
              <w:t>97.00%</w:t>
            </w:r>
          </w:p>
        </w:tc>
      </w:tr>
      <w:tr w:rsidR="00ED172B" w:rsidRPr="00ED172B" w14:paraId="5833C430" w14:textId="29FE84DB" w:rsidTr="00986B99">
        <w:trPr>
          <w:trHeight w:val="85"/>
        </w:trPr>
        <w:tc>
          <w:tcPr>
            <w:tcW w:w="666" w:type="pct"/>
            <w:shd w:val="clear" w:color="auto" w:fill="auto"/>
          </w:tcPr>
          <w:p w14:paraId="1A85A0DF" w14:textId="77777777" w:rsidR="00D71B7C" w:rsidRPr="00ED172B" w:rsidRDefault="00D71B7C" w:rsidP="00B83404">
            <w:pPr>
              <w:rPr>
                <w:color w:val="000000" w:themeColor="text1"/>
                <w:szCs w:val="16"/>
              </w:rPr>
            </w:pPr>
            <w:r w:rsidRPr="00ED172B">
              <w:rPr>
                <w:color w:val="000000" w:themeColor="text1"/>
                <w:szCs w:val="16"/>
              </w:rPr>
              <w:t>Data</w:t>
            </w:r>
          </w:p>
        </w:tc>
        <w:tc>
          <w:tcPr>
            <w:tcW w:w="867" w:type="pct"/>
            <w:shd w:val="clear" w:color="auto" w:fill="auto"/>
            <w:vAlign w:val="center"/>
          </w:tcPr>
          <w:p w14:paraId="13794BAE" w14:textId="51B76448" w:rsidR="00D71B7C" w:rsidRPr="00ED172B" w:rsidRDefault="00860830" w:rsidP="00D71B7C">
            <w:pPr>
              <w:jc w:val="center"/>
              <w:rPr>
                <w:color w:val="000000" w:themeColor="text1"/>
                <w:szCs w:val="16"/>
              </w:rPr>
            </w:pPr>
            <w:r w:rsidRPr="00ED172B">
              <w:rPr>
                <w:rFonts w:cs="Arial"/>
                <w:color w:val="000000" w:themeColor="text1"/>
                <w:szCs w:val="16"/>
              </w:rPr>
              <w:t>99.76%</w:t>
            </w:r>
          </w:p>
        </w:tc>
        <w:tc>
          <w:tcPr>
            <w:tcW w:w="867" w:type="pct"/>
            <w:shd w:val="clear" w:color="auto" w:fill="auto"/>
            <w:vAlign w:val="center"/>
          </w:tcPr>
          <w:p w14:paraId="2F58FC52" w14:textId="1FD2578B" w:rsidR="00D71B7C" w:rsidRPr="00ED172B" w:rsidRDefault="00860830" w:rsidP="00D71B7C">
            <w:pPr>
              <w:jc w:val="center"/>
              <w:rPr>
                <w:color w:val="000000" w:themeColor="text1"/>
                <w:szCs w:val="16"/>
              </w:rPr>
            </w:pPr>
            <w:r w:rsidRPr="00ED172B">
              <w:rPr>
                <w:rFonts w:cs="Arial"/>
                <w:color w:val="000000" w:themeColor="text1"/>
                <w:szCs w:val="16"/>
              </w:rPr>
              <w:t>99.85%</w:t>
            </w:r>
          </w:p>
        </w:tc>
        <w:tc>
          <w:tcPr>
            <w:tcW w:w="867" w:type="pct"/>
            <w:tcBorders>
              <w:bottom w:val="single" w:sz="4" w:space="0" w:color="auto"/>
            </w:tcBorders>
            <w:shd w:val="clear" w:color="auto" w:fill="auto"/>
            <w:vAlign w:val="center"/>
          </w:tcPr>
          <w:p w14:paraId="03D4B2C7" w14:textId="2104CE09" w:rsidR="00D71B7C" w:rsidRPr="00ED172B" w:rsidRDefault="00860830" w:rsidP="00D71B7C">
            <w:pPr>
              <w:jc w:val="center"/>
              <w:rPr>
                <w:color w:val="000000" w:themeColor="text1"/>
                <w:szCs w:val="16"/>
              </w:rPr>
            </w:pPr>
            <w:r w:rsidRPr="00ED172B">
              <w:rPr>
                <w:rFonts w:cs="Arial"/>
                <w:color w:val="000000" w:themeColor="text1"/>
                <w:szCs w:val="16"/>
              </w:rPr>
              <w:t>99.94%</w:t>
            </w:r>
          </w:p>
        </w:tc>
        <w:tc>
          <w:tcPr>
            <w:tcW w:w="867" w:type="pct"/>
            <w:tcBorders>
              <w:bottom w:val="single" w:sz="4" w:space="0" w:color="auto"/>
            </w:tcBorders>
            <w:shd w:val="clear" w:color="auto" w:fill="auto"/>
            <w:vAlign w:val="center"/>
          </w:tcPr>
          <w:p w14:paraId="11DB3FBB" w14:textId="31829891" w:rsidR="00D71B7C" w:rsidRPr="00ED172B" w:rsidRDefault="00860830" w:rsidP="00D71B7C">
            <w:pPr>
              <w:jc w:val="center"/>
              <w:rPr>
                <w:color w:val="000000" w:themeColor="text1"/>
                <w:szCs w:val="16"/>
              </w:rPr>
            </w:pPr>
            <w:r w:rsidRPr="00ED172B">
              <w:rPr>
                <w:rFonts w:cs="Arial"/>
                <w:color w:val="000000" w:themeColor="text1"/>
                <w:szCs w:val="16"/>
              </w:rPr>
              <w:t>99.88%</w:t>
            </w:r>
          </w:p>
        </w:tc>
        <w:tc>
          <w:tcPr>
            <w:tcW w:w="866" w:type="pct"/>
            <w:tcBorders>
              <w:bottom w:val="single" w:sz="4" w:space="0" w:color="auto"/>
            </w:tcBorders>
            <w:shd w:val="clear" w:color="auto" w:fill="auto"/>
            <w:vAlign w:val="center"/>
          </w:tcPr>
          <w:p w14:paraId="2328AEB2" w14:textId="4844AE53" w:rsidR="00D71B7C" w:rsidRPr="00ED172B" w:rsidRDefault="00860830" w:rsidP="00D71B7C">
            <w:pPr>
              <w:jc w:val="center"/>
              <w:rPr>
                <w:color w:val="000000" w:themeColor="text1"/>
                <w:szCs w:val="16"/>
              </w:rPr>
            </w:pPr>
            <w:r w:rsidRPr="00ED172B">
              <w:rPr>
                <w:rFonts w:cs="Arial"/>
                <w:color w:val="000000" w:themeColor="text1"/>
                <w:szCs w:val="16"/>
              </w:rPr>
              <w:t>98.86%</w:t>
            </w:r>
          </w:p>
        </w:tc>
      </w:tr>
    </w:tbl>
    <w:p w14:paraId="54FA3A41" w14:textId="1A075C46" w:rsidR="00B312CC" w:rsidRPr="00ED172B" w:rsidRDefault="00B312CC">
      <w:pPr>
        <w:rPr>
          <w:b/>
          <w:color w:val="000000" w:themeColor="text1"/>
        </w:rPr>
      </w:pPr>
      <w:r w:rsidRPr="00ED172B">
        <w:rPr>
          <w:b/>
          <w:color w:val="000000" w:themeColor="text1"/>
        </w:rPr>
        <w:t>Targets</w:t>
      </w:r>
    </w:p>
    <w:tbl>
      <w:tblPr>
        <w:tblW w:w="4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2TARGETS"/>
      </w:tblPr>
      <w:tblGrid>
        <w:gridCol w:w="728"/>
        <w:gridCol w:w="1677"/>
        <w:gridCol w:w="1677"/>
        <w:gridCol w:w="1677"/>
        <w:gridCol w:w="1677"/>
        <w:gridCol w:w="1677"/>
      </w:tblGrid>
      <w:tr w:rsidR="009E2382" w:rsidRPr="00ED172B" w14:paraId="69640561" w14:textId="00BF0E9A" w:rsidTr="009E2382">
        <w:trPr>
          <w:trHeight w:val="350"/>
        </w:trPr>
        <w:tc>
          <w:tcPr>
            <w:tcW w:w="399" w:type="pct"/>
            <w:tcBorders>
              <w:bottom w:val="single" w:sz="4" w:space="0" w:color="auto"/>
            </w:tcBorders>
            <w:shd w:val="clear" w:color="auto" w:fill="auto"/>
          </w:tcPr>
          <w:p w14:paraId="1E99C122" w14:textId="77777777" w:rsidR="009E2382" w:rsidRPr="00ED172B" w:rsidRDefault="009E2382" w:rsidP="003546A3">
            <w:pPr>
              <w:jc w:val="center"/>
              <w:rPr>
                <w:b/>
                <w:color w:val="000000" w:themeColor="text1"/>
                <w:szCs w:val="16"/>
              </w:rPr>
            </w:pPr>
            <w:r w:rsidRPr="00ED172B">
              <w:rPr>
                <w:b/>
                <w:color w:val="000000" w:themeColor="text1"/>
                <w:szCs w:val="16"/>
              </w:rPr>
              <w:t>FFY</w:t>
            </w:r>
          </w:p>
        </w:tc>
        <w:tc>
          <w:tcPr>
            <w:tcW w:w="920" w:type="pct"/>
            <w:shd w:val="clear" w:color="auto" w:fill="auto"/>
            <w:vAlign w:val="center"/>
          </w:tcPr>
          <w:p w14:paraId="65FF2B00" w14:textId="7CCAF341" w:rsidR="009E2382" w:rsidRPr="00ED172B" w:rsidRDefault="009E2382" w:rsidP="003546A3">
            <w:pPr>
              <w:jc w:val="center"/>
              <w:rPr>
                <w:b/>
                <w:color w:val="000000" w:themeColor="text1"/>
                <w:szCs w:val="16"/>
              </w:rPr>
            </w:pPr>
            <w:r w:rsidRPr="00ED172B">
              <w:rPr>
                <w:rFonts w:cs="Arial"/>
                <w:b/>
                <w:color w:val="000000" w:themeColor="text1"/>
                <w:szCs w:val="16"/>
              </w:rPr>
              <w:t>2021</w:t>
            </w:r>
          </w:p>
        </w:tc>
        <w:tc>
          <w:tcPr>
            <w:tcW w:w="920" w:type="pct"/>
          </w:tcPr>
          <w:p w14:paraId="6A5B5290" w14:textId="1CFF28ED" w:rsidR="009E2382" w:rsidRPr="00ED172B" w:rsidRDefault="009E2382" w:rsidP="003546A3">
            <w:pPr>
              <w:jc w:val="center"/>
              <w:rPr>
                <w:rFonts w:cs="Arial"/>
                <w:b/>
                <w:color w:val="000000" w:themeColor="text1"/>
                <w:szCs w:val="16"/>
              </w:rPr>
            </w:pPr>
            <w:r>
              <w:rPr>
                <w:rFonts w:cs="Arial"/>
                <w:b/>
                <w:color w:val="000000" w:themeColor="text1"/>
                <w:szCs w:val="16"/>
              </w:rPr>
              <w:t>2022</w:t>
            </w:r>
          </w:p>
        </w:tc>
        <w:tc>
          <w:tcPr>
            <w:tcW w:w="920" w:type="pct"/>
          </w:tcPr>
          <w:p w14:paraId="4C7B3CA6" w14:textId="5B6A1FA8" w:rsidR="009E2382" w:rsidRPr="00ED172B" w:rsidRDefault="009E2382" w:rsidP="003546A3">
            <w:pPr>
              <w:jc w:val="center"/>
              <w:rPr>
                <w:rFonts w:cs="Arial"/>
                <w:b/>
                <w:color w:val="000000" w:themeColor="text1"/>
                <w:szCs w:val="16"/>
              </w:rPr>
            </w:pPr>
            <w:r w:rsidRPr="005A1B4F">
              <w:rPr>
                <w:rFonts w:cs="Arial"/>
                <w:b/>
                <w:color w:val="000000" w:themeColor="text1"/>
                <w:szCs w:val="16"/>
              </w:rPr>
              <w:t>2023</w:t>
            </w:r>
          </w:p>
        </w:tc>
        <w:tc>
          <w:tcPr>
            <w:tcW w:w="920" w:type="pct"/>
          </w:tcPr>
          <w:p w14:paraId="42E64847" w14:textId="5D935C1F" w:rsidR="009E2382" w:rsidRPr="00ED172B" w:rsidRDefault="009E2382" w:rsidP="003546A3">
            <w:pPr>
              <w:jc w:val="center"/>
              <w:rPr>
                <w:rFonts w:cs="Arial"/>
                <w:b/>
                <w:color w:val="000000" w:themeColor="text1"/>
                <w:szCs w:val="16"/>
              </w:rPr>
            </w:pPr>
            <w:r w:rsidRPr="005A1B4F">
              <w:rPr>
                <w:rFonts w:cs="Arial"/>
                <w:b/>
                <w:color w:val="000000" w:themeColor="text1"/>
                <w:szCs w:val="16"/>
              </w:rPr>
              <w:t>2024</w:t>
            </w:r>
          </w:p>
        </w:tc>
        <w:tc>
          <w:tcPr>
            <w:tcW w:w="920" w:type="pct"/>
          </w:tcPr>
          <w:p w14:paraId="176FB67E" w14:textId="73045DAC" w:rsidR="009E2382" w:rsidRPr="00ED172B" w:rsidRDefault="009E2382" w:rsidP="003546A3">
            <w:pPr>
              <w:jc w:val="center"/>
              <w:rPr>
                <w:rFonts w:cs="Arial"/>
                <w:b/>
                <w:color w:val="000000" w:themeColor="text1"/>
                <w:szCs w:val="16"/>
              </w:rPr>
            </w:pPr>
            <w:r w:rsidRPr="005A1B4F">
              <w:rPr>
                <w:rFonts w:cs="Arial"/>
                <w:b/>
                <w:color w:val="000000" w:themeColor="text1"/>
                <w:szCs w:val="16"/>
              </w:rPr>
              <w:t>2025</w:t>
            </w:r>
          </w:p>
        </w:tc>
      </w:tr>
      <w:tr w:rsidR="009E2382" w:rsidRPr="00ED172B" w14:paraId="67435F39" w14:textId="4B221A6D" w:rsidTr="009E2382">
        <w:trPr>
          <w:trHeight w:val="357"/>
        </w:trPr>
        <w:tc>
          <w:tcPr>
            <w:tcW w:w="399" w:type="pct"/>
            <w:shd w:val="clear" w:color="auto" w:fill="auto"/>
          </w:tcPr>
          <w:p w14:paraId="3D2F539F" w14:textId="00377A5F" w:rsidR="009E2382" w:rsidRPr="00ED172B" w:rsidRDefault="009E2382" w:rsidP="00573310">
            <w:pPr>
              <w:rPr>
                <w:color w:val="000000" w:themeColor="text1"/>
                <w:szCs w:val="16"/>
              </w:rPr>
            </w:pPr>
            <w:r w:rsidRPr="00ED172B">
              <w:rPr>
                <w:color w:val="000000" w:themeColor="text1"/>
                <w:szCs w:val="16"/>
              </w:rPr>
              <w:t>Target&gt;=</w:t>
            </w:r>
          </w:p>
        </w:tc>
        <w:tc>
          <w:tcPr>
            <w:tcW w:w="920" w:type="pct"/>
            <w:shd w:val="clear" w:color="auto" w:fill="auto"/>
            <w:vAlign w:val="center"/>
          </w:tcPr>
          <w:p w14:paraId="64D40D5F" w14:textId="4B9F73CA" w:rsidR="009E2382" w:rsidRPr="00ED172B" w:rsidRDefault="009E2382" w:rsidP="00573310">
            <w:pPr>
              <w:jc w:val="center"/>
              <w:rPr>
                <w:color w:val="000000" w:themeColor="text1"/>
                <w:szCs w:val="16"/>
              </w:rPr>
            </w:pPr>
            <w:r w:rsidRPr="00ED172B">
              <w:rPr>
                <w:rFonts w:cs="Arial"/>
                <w:color w:val="000000" w:themeColor="text1"/>
                <w:szCs w:val="16"/>
              </w:rPr>
              <w:t>97.50%</w:t>
            </w:r>
          </w:p>
        </w:tc>
        <w:tc>
          <w:tcPr>
            <w:tcW w:w="920" w:type="pct"/>
          </w:tcPr>
          <w:p w14:paraId="729751AD" w14:textId="13A0179F" w:rsidR="009E2382" w:rsidRPr="00ED172B" w:rsidRDefault="009E2382" w:rsidP="00573310">
            <w:pPr>
              <w:jc w:val="center"/>
              <w:rPr>
                <w:rFonts w:cs="Arial"/>
                <w:color w:val="000000" w:themeColor="text1"/>
                <w:szCs w:val="16"/>
              </w:rPr>
            </w:pPr>
            <w:r>
              <w:rPr>
                <w:rFonts w:cs="Arial"/>
                <w:color w:val="000000" w:themeColor="text1"/>
                <w:szCs w:val="16"/>
              </w:rPr>
              <w:t>97.50%</w:t>
            </w:r>
          </w:p>
        </w:tc>
        <w:tc>
          <w:tcPr>
            <w:tcW w:w="920" w:type="pct"/>
          </w:tcPr>
          <w:p w14:paraId="32254393" w14:textId="0DA02971" w:rsidR="009E2382" w:rsidRPr="00ED172B" w:rsidRDefault="009E2382" w:rsidP="00573310">
            <w:pPr>
              <w:jc w:val="center"/>
              <w:rPr>
                <w:rFonts w:cs="Arial"/>
                <w:color w:val="000000" w:themeColor="text1"/>
                <w:szCs w:val="16"/>
              </w:rPr>
            </w:pPr>
            <w:r w:rsidRPr="005F5F3C">
              <w:rPr>
                <w:rFonts w:cs="Arial"/>
                <w:color w:val="000000" w:themeColor="text1"/>
                <w:szCs w:val="16"/>
              </w:rPr>
              <w:t>98.00%</w:t>
            </w:r>
          </w:p>
        </w:tc>
        <w:tc>
          <w:tcPr>
            <w:tcW w:w="920" w:type="pct"/>
          </w:tcPr>
          <w:p w14:paraId="36BBFFFB" w14:textId="63C7EE46" w:rsidR="009E2382" w:rsidRPr="00ED172B" w:rsidRDefault="009E2382" w:rsidP="00573310">
            <w:pPr>
              <w:jc w:val="center"/>
              <w:rPr>
                <w:rFonts w:cs="Arial"/>
                <w:color w:val="000000" w:themeColor="text1"/>
                <w:szCs w:val="16"/>
              </w:rPr>
            </w:pPr>
            <w:r w:rsidRPr="005F5F3C">
              <w:rPr>
                <w:rFonts w:cs="Arial"/>
                <w:color w:val="000000" w:themeColor="text1"/>
                <w:szCs w:val="16"/>
              </w:rPr>
              <w:t>98.00%</w:t>
            </w:r>
          </w:p>
        </w:tc>
        <w:tc>
          <w:tcPr>
            <w:tcW w:w="920" w:type="pct"/>
          </w:tcPr>
          <w:p w14:paraId="655811EE" w14:textId="6F033809" w:rsidR="009E2382" w:rsidRPr="00ED172B" w:rsidRDefault="009E2382" w:rsidP="00573310">
            <w:pPr>
              <w:jc w:val="center"/>
              <w:rPr>
                <w:rFonts w:cs="Arial"/>
                <w:color w:val="000000" w:themeColor="text1"/>
                <w:szCs w:val="16"/>
              </w:rPr>
            </w:pPr>
            <w:r w:rsidRPr="005F5F3C">
              <w:rPr>
                <w:rFonts w:cs="Arial"/>
                <w:color w:val="000000" w:themeColor="text1"/>
                <w:szCs w:val="16"/>
              </w:rPr>
              <w:t>98.50%</w:t>
            </w:r>
          </w:p>
        </w:tc>
      </w:tr>
    </w:tbl>
    <w:p w14:paraId="048B5BE7" w14:textId="7B076B48" w:rsidR="00BF7D80" w:rsidRDefault="00F80C9C" w:rsidP="00B83404">
      <w:pPr>
        <w:rPr>
          <w:b/>
          <w:color w:val="000000" w:themeColor="text1"/>
        </w:rPr>
      </w:pPr>
      <w:bookmarkStart w:id="10" w:name="_Toc392159265"/>
      <w:bookmarkEnd w:id="9"/>
      <w:r w:rsidRPr="00ED172B">
        <w:rPr>
          <w:b/>
          <w:color w:val="000000" w:themeColor="text1"/>
        </w:rPr>
        <w:t>Targets: Description of Stakeholder Input</w:t>
      </w:r>
    </w:p>
    <w:p w14:paraId="58140005" w14:textId="254A99F8" w:rsidR="00F80C9C" w:rsidRDefault="00CF03E0" w:rsidP="00CF03E0">
      <w:pPr>
        <w:rPr>
          <w:color w:val="000000" w:themeColor="text1"/>
        </w:rPr>
      </w:pPr>
      <w:r w:rsidRPr="00ED172B">
        <w:rPr>
          <w:b/>
          <w:color w:val="000000" w:themeColor="text1"/>
        </w:rPr>
        <w:t xml:space="preserve"> </w:t>
      </w:r>
      <w:r w:rsidRPr="00ED172B">
        <w:rPr>
          <w:color w:val="000000" w:themeColor="text1"/>
        </w:rPr>
        <w:t>MA-C collaborates closely with other State agencies on a variety of issues related to the early childhood system of care and the Part C system, including the Department of Elementary and Secondary Education (DESE), Purchase of Services Office (POS), the Office of Health Equity (OHE), the Division of Medical Assistance (MassHealth), the Department of Early Education and Care (EEC), the Office for the Child Advocate (OCA), the Division of Insurance (DOI), the Massachusetts Maternal, Infant, and Early Childhood Home Visiting team (MassMIECHV), the Early Intervention Parenting Partnerships (EIPP), the Massachusetts Autism Commission (MAC), Massachusetts Child Psychiatry Access Project (MCPAP), and the and the Department of Mental Health (DMH). Most of these agencies are represented on the State Interagency Coordinating Council (ICC).</w:t>
        <w:br/>
        <w:t/>
        <w:br/>
        <w:t>This Annual Performance Report (APR) was developed with broad stakeholder input. At a State Interagency Coordinating Council (ICC) meeting in January 2023, the members reviewed results from FFY21 (7/1/21-6/30/22) for each indicator. Drafts were also shared with staff from the Early Childhood Technical Assistance Center (ECTA), who reviewed and provided initial feedback and guidance. On January 24, 2023, the ICC co-chairs adopted the APR as in lieu of submitting its own report, fulfilling the State Interagency Coordinating Council's obligations to report to the U.S. Department of Education for FFY21.</w:t>
      </w:r>
    </w:p>
    <w:p w14:paraId="7615FD78" w14:textId="04DD62A8" w:rsidR="00AE7452" w:rsidRPr="00ED172B" w:rsidRDefault="00AE7452" w:rsidP="00B83404">
      <w:pPr>
        <w:rPr>
          <w:color w:val="000000" w:themeColor="text1"/>
        </w:rPr>
      </w:pPr>
      <w:r w:rsidRPr="00ED172B">
        <w:rPr>
          <w:rFonts w:cs="Arial"/>
          <w:color w:val="000000" w:themeColor="text1"/>
          <w:szCs w:val="16"/>
        </w:rPr>
        <w:t xml:space="preserve">At a State Interagency Coordinating Council (ICC) meeting in January 2022, members reviewed results from FFY17-FFY20 and established targets for FFY21-FFY25. Please review the MA-C FFY20 APR for a detailed description of this process. </w:t>
        <w:br/>
        <w:t/>
        <w:br/>
        <w:t>During FFY21, MA-C received feedback from specialty service providers that center-based programs are most appropriate for children diagnosed with autism under certain conditions. MA-C is aware of two families who preferred this model and opted to withdraw their children from MA-C home-based, PIWI model of service delivery. Other families engaged through family support activities reiterated the importance of services occurring in natural settings.</w:t>
      </w:r>
    </w:p>
    <w:p w14:paraId="021B388F" w14:textId="77777777" w:rsidR="006628E4" w:rsidRPr="00ED172B" w:rsidRDefault="006628E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Caption w:val="C02PREPOPDATA"/>
      </w:tblPr>
      <w:tblGrid>
        <w:gridCol w:w="2604"/>
        <w:gridCol w:w="3151"/>
        <w:gridCol w:w="3209"/>
        <w:gridCol w:w="1826"/>
      </w:tblGrid>
      <w:tr w:rsidR="00ED172B" w:rsidRPr="00ED172B" w14:paraId="43EF5C6C" w14:textId="77777777" w:rsidTr="00986B99">
        <w:trPr>
          <w:trHeight w:val="372"/>
          <w:tblHeader/>
        </w:trPr>
        <w:tc>
          <w:tcPr>
            <w:tcW w:w="1207" w:type="pct"/>
            <w:shd w:val="clear" w:color="auto" w:fill="auto"/>
          </w:tcPr>
          <w:p w14:paraId="69556F9B" w14:textId="77777777" w:rsidR="000F7D53" w:rsidRPr="00ED172B" w:rsidRDefault="000F7D53" w:rsidP="00516737">
            <w:pPr>
              <w:spacing w:after="0"/>
              <w:jc w:val="center"/>
              <w:rPr>
                <w:b/>
                <w:color w:val="000000" w:themeColor="text1"/>
                <w:szCs w:val="16"/>
              </w:rPr>
            </w:pPr>
            <w:r w:rsidRPr="00ED172B">
              <w:rPr>
                <w:b/>
                <w:color w:val="000000" w:themeColor="text1"/>
                <w:szCs w:val="16"/>
              </w:rPr>
              <w:t>Source</w:t>
            </w:r>
          </w:p>
        </w:tc>
        <w:tc>
          <w:tcPr>
            <w:tcW w:w="1460" w:type="pct"/>
            <w:shd w:val="clear" w:color="auto" w:fill="auto"/>
          </w:tcPr>
          <w:p w14:paraId="0DA78D38" w14:textId="77777777" w:rsidR="000F7D53" w:rsidRPr="00ED172B" w:rsidRDefault="000F7D53" w:rsidP="00516737">
            <w:pPr>
              <w:spacing w:after="0"/>
              <w:jc w:val="center"/>
              <w:rPr>
                <w:b/>
                <w:color w:val="000000" w:themeColor="text1"/>
                <w:szCs w:val="16"/>
              </w:rPr>
            </w:pPr>
            <w:r w:rsidRPr="00ED172B">
              <w:rPr>
                <w:b/>
                <w:color w:val="000000" w:themeColor="text1"/>
                <w:szCs w:val="16"/>
              </w:rPr>
              <w:t>Date</w:t>
            </w:r>
          </w:p>
        </w:tc>
        <w:tc>
          <w:tcPr>
            <w:tcW w:w="1487" w:type="pct"/>
            <w:shd w:val="clear" w:color="auto" w:fill="auto"/>
          </w:tcPr>
          <w:p w14:paraId="6FE143C8" w14:textId="77777777" w:rsidR="000F7D53" w:rsidRPr="00ED172B" w:rsidRDefault="000F7D53" w:rsidP="00516737">
            <w:pPr>
              <w:spacing w:after="0"/>
              <w:jc w:val="center"/>
              <w:rPr>
                <w:b/>
                <w:color w:val="000000" w:themeColor="text1"/>
                <w:szCs w:val="16"/>
              </w:rPr>
            </w:pPr>
            <w:r w:rsidRPr="00ED172B">
              <w:rPr>
                <w:b/>
                <w:color w:val="000000" w:themeColor="text1"/>
                <w:szCs w:val="16"/>
              </w:rPr>
              <w:t>Description</w:t>
            </w:r>
          </w:p>
        </w:tc>
        <w:tc>
          <w:tcPr>
            <w:tcW w:w="846" w:type="pct"/>
            <w:shd w:val="clear" w:color="auto" w:fill="auto"/>
          </w:tcPr>
          <w:p w14:paraId="2FF23077" w14:textId="77777777" w:rsidR="000F7D53" w:rsidRPr="00ED172B" w:rsidRDefault="000F7D53" w:rsidP="00516737">
            <w:pPr>
              <w:spacing w:after="0"/>
              <w:jc w:val="center"/>
              <w:rPr>
                <w:b/>
                <w:color w:val="000000" w:themeColor="text1"/>
                <w:szCs w:val="16"/>
              </w:rPr>
            </w:pPr>
            <w:r w:rsidRPr="00ED172B">
              <w:rPr>
                <w:b/>
                <w:color w:val="000000" w:themeColor="text1"/>
                <w:szCs w:val="16"/>
              </w:rPr>
              <w:t>Data</w:t>
            </w:r>
          </w:p>
        </w:tc>
      </w:tr>
      <w:tr w:rsidR="00ED172B" w:rsidRPr="00ED172B" w14:paraId="0F537033" w14:textId="77777777" w:rsidTr="00986B99">
        <w:trPr>
          <w:trHeight w:val="380"/>
        </w:trPr>
        <w:tc>
          <w:tcPr>
            <w:tcW w:w="1207" w:type="pct"/>
            <w:shd w:val="clear" w:color="auto" w:fill="auto"/>
            <w:vAlign w:val="center"/>
          </w:tcPr>
          <w:p w14:paraId="50B96616" w14:textId="5FDBEB69" w:rsidR="006111D4" w:rsidRPr="00ED172B" w:rsidRDefault="00753E04" w:rsidP="006111D4">
            <w:pPr>
              <w:jc w:val="center"/>
              <w:rPr>
                <w:color w:val="000000" w:themeColor="text1"/>
                <w:szCs w:val="16"/>
              </w:rPr>
            </w:pPr>
            <w:r w:rsidRPr="00ED172B">
              <w:rPr>
                <w:rFonts w:cs="Arial"/>
                <w:color w:val="000000" w:themeColor="text1"/>
                <w:szCs w:val="16"/>
              </w:rPr>
              <w:t>SY 2021-22 EMAPS IDEA Part C Child Count and Settings Survey; Section A: Child Count and Settings by Age</w:t>
            </w:r>
          </w:p>
        </w:tc>
        <w:tc>
          <w:tcPr>
            <w:tcW w:w="1460" w:type="pct"/>
            <w:shd w:val="clear" w:color="auto" w:fill="auto"/>
          </w:tcPr>
          <w:p w14:paraId="738E4570" w14:textId="08441A46" w:rsidR="006111D4" w:rsidRPr="00ED172B" w:rsidRDefault="00753E04" w:rsidP="006111D4">
            <w:pPr>
              <w:jc w:val="center"/>
              <w:rPr>
                <w:rFonts w:cs="Arial"/>
                <w:color w:val="000000" w:themeColor="text1"/>
                <w:szCs w:val="16"/>
              </w:rPr>
            </w:pPr>
            <w:r w:rsidRPr="00ED172B">
              <w:rPr>
                <w:rFonts w:cs="Arial"/>
                <w:color w:val="000000" w:themeColor="text1"/>
                <w:szCs w:val="16"/>
              </w:rPr>
              <w:t>07/06/2022</w:t>
            </w:r>
          </w:p>
        </w:tc>
        <w:tc>
          <w:tcPr>
            <w:tcW w:w="1487" w:type="pct"/>
            <w:shd w:val="clear" w:color="auto" w:fill="auto"/>
          </w:tcPr>
          <w:p w14:paraId="340AC5A9" w14:textId="339193EA" w:rsidR="006111D4" w:rsidRPr="00ED172B" w:rsidRDefault="006111D4" w:rsidP="006111D4">
            <w:pPr>
              <w:jc w:val="center"/>
              <w:rPr>
                <w:color w:val="000000" w:themeColor="text1"/>
                <w:szCs w:val="16"/>
              </w:rPr>
            </w:pPr>
            <w:r w:rsidRPr="00ED172B">
              <w:rPr>
                <w:color w:val="000000" w:themeColor="text1"/>
                <w:szCs w:val="16"/>
              </w:rPr>
              <w:t>Number of infants and toddlers with IFSPs who primarily receive early intervention services in the home or community-based settings</w:t>
            </w:r>
          </w:p>
        </w:tc>
        <w:tc>
          <w:tcPr>
            <w:tcW w:w="846" w:type="pct"/>
            <w:shd w:val="clear" w:color="auto" w:fill="auto"/>
          </w:tcPr>
          <w:p w14:paraId="1C4DB47F" w14:textId="62B147B6" w:rsidR="006111D4" w:rsidRPr="00ED172B" w:rsidRDefault="00860830" w:rsidP="006111D4">
            <w:pPr>
              <w:jc w:val="center"/>
              <w:rPr>
                <w:color w:val="000000" w:themeColor="text1"/>
                <w:szCs w:val="16"/>
              </w:rPr>
            </w:pPr>
            <w:r w:rsidRPr="00ED172B">
              <w:rPr>
                <w:color w:val="000000" w:themeColor="text1"/>
                <w:szCs w:val="16"/>
              </w:rPr>
              <w:t>20,138</w:t>
            </w:r>
          </w:p>
        </w:tc>
      </w:tr>
      <w:tr w:rsidR="00ED172B" w:rsidRPr="00ED172B" w14:paraId="23879959" w14:textId="77777777" w:rsidTr="00986B99">
        <w:trPr>
          <w:trHeight w:val="380"/>
        </w:trPr>
        <w:tc>
          <w:tcPr>
            <w:tcW w:w="1207" w:type="pct"/>
            <w:shd w:val="clear" w:color="auto" w:fill="auto"/>
            <w:vAlign w:val="center"/>
          </w:tcPr>
          <w:p w14:paraId="0F04187E" w14:textId="0D4F9C80" w:rsidR="00F32B6D" w:rsidRPr="00ED172B" w:rsidRDefault="00753E04" w:rsidP="00F32B6D">
            <w:pPr>
              <w:jc w:val="center"/>
              <w:rPr>
                <w:color w:val="000000" w:themeColor="text1"/>
                <w:szCs w:val="16"/>
              </w:rPr>
            </w:pPr>
            <w:r w:rsidRPr="00ED172B">
              <w:rPr>
                <w:rFonts w:cs="Arial"/>
                <w:color w:val="000000" w:themeColor="text1"/>
                <w:szCs w:val="16"/>
              </w:rPr>
              <w:t>SY 2021-22 EMAPS IDEA Part C Child Count and Settings Survey; Section A: Child Count and Settings by Age</w:t>
            </w:r>
          </w:p>
        </w:tc>
        <w:tc>
          <w:tcPr>
            <w:tcW w:w="1460" w:type="pct"/>
            <w:shd w:val="clear" w:color="auto" w:fill="auto"/>
          </w:tcPr>
          <w:p w14:paraId="2B2C4396" w14:textId="37230B50" w:rsidR="00F32B6D" w:rsidRPr="00ED172B" w:rsidRDefault="00753E04" w:rsidP="00F32B6D">
            <w:pPr>
              <w:jc w:val="center"/>
              <w:rPr>
                <w:color w:val="000000" w:themeColor="text1"/>
                <w:szCs w:val="16"/>
              </w:rPr>
            </w:pPr>
            <w:r w:rsidRPr="00ED172B">
              <w:rPr>
                <w:rFonts w:cs="Arial"/>
                <w:color w:val="000000" w:themeColor="text1"/>
                <w:szCs w:val="16"/>
              </w:rPr>
              <w:t>07/06/2022</w:t>
            </w:r>
          </w:p>
        </w:tc>
        <w:tc>
          <w:tcPr>
            <w:tcW w:w="1487" w:type="pct"/>
            <w:shd w:val="clear" w:color="auto" w:fill="auto"/>
          </w:tcPr>
          <w:p w14:paraId="5C29929A" w14:textId="586BB346" w:rsidR="00F32B6D" w:rsidRPr="00ED172B" w:rsidRDefault="00F32B6D" w:rsidP="00F32B6D">
            <w:pPr>
              <w:jc w:val="center"/>
              <w:rPr>
                <w:color w:val="000000" w:themeColor="text1"/>
                <w:szCs w:val="16"/>
              </w:rPr>
            </w:pPr>
            <w:r w:rsidRPr="00ED172B">
              <w:rPr>
                <w:color w:val="000000" w:themeColor="text1"/>
                <w:szCs w:val="16"/>
              </w:rPr>
              <w:t>Total number of infants and toddlers with IFSPs</w:t>
            </w:r>
          </w:p>
        </w:tc>
        <w:tc>
          <w:tcPr>
            <w:tcW w:w="846" w:type="pct"/>
            <w:shd w:val="clear" w:color="auto" w:fill="auto"/>
            <w:vAlign w:val="center"/>
          </w:tcPr>
          <w:p w14:paraId="41EA183A" w14:textId="192C1E18" w:rsidR="00F32B6D" w:rsidRPr="00ED172B" w:rsidRDefault="00860830" w:rsidP="00F32B6D">
            <w:pPr>
              <w:jc w:val="center"/>
              <w:rPr>
                <w:color w:val="000000" w:themeColor="text1"/>
                <w:szCs w:val="16"/>
              </w:rPr>
            </w:pPr>
            <w:r w:rsidRPr="00ED172B">
              <w:rPr>
                <w:color w:val="000000" w:themeColor="text1"/>
                <w:szCs w:val="16"/>
              </w:rPr>
              <w:t>20,316</w:t>
            </w:r>
          </w:p>
        </w:tc>
      </w:tr>
    </w:tbl>
    <w:p w14:paraId="7B961186" w14:textId="654C8AC3" w:rsidR="006628E4" w:rsidRPr="00ED172B" w:rsidRDefault="00F22D09">
      <w:pPr>
        <w:rPr>
          <w:b/>
          <w:color w:val="000000" w:themeColor="text1"/>
        </w:rPr>
      </w:pPr>
      <w:r>
        <w:rPr>
          <w:b/>
          <w:color w:val="000000" w:themeColor="text1"/>
        </w:rPr>
        <w:t>FFY 2021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2FFYAPRDATA"/>
      </w:tblPr>
      <w:tblGrid>
        <w:gridCol w:w="1801"/>
        <w:gridCol w:w="1848"/>
        <w:gridCol w:w="1267"/>
        <w:gridCol w:w="1894"/>
        <w:gridCol w:w="1141"/>
        <w:gridCol w:w="1445"/>
        <w:gridCol w:w="1399"/>
      </w:tblGrid>
      <w:tr w:rsidR="00ED172B" w:rsidRPr="00ED172B" w14:paraId="07885561" w14:textId="77777777" w:rsidTr="00986B99">
        <w:trPr>
          <w:trHeight w:val="359"/>
          <w:tblHeader/>
        </w:trPr>
        <w:tc>
          <w:tcPr>
            <w:tcW w:w="834" w:type="pct"/>
            <w:shd w:val="clear" w:color="auto" w:fill="auto"/>
            <w:vAlign w:val="bottom"/>
          </w:tcPr>
          <w:p w14:paraId="472B2B7A" w14:textId="59B6334C" w:rsidR="00B605F5" w:rsidRPr="00ED172B" w:rsidRDefault="00B605F5" w:rsidP="00B605F5">
            <w:pPr>
              <w:jc w:val="center"/>
              <w:rPr>
                <w:b/>
                <w:color w:val="000000" w:themeColor="text1"/>
                <w:szCs w:val="16"/>
              </w:rPr>
            </w:pPr>
            <w:r w:rsidRPr="00ED172B">
              <w:rPr>
                <w:b/>
                <w:color w:val="000000" w:themeColor="text1"/>
                <w:szCs w:val="16"/>
              </w:rPr>
              <w:t>Number of infants and toddlers with IFSPs who primarily receive early intervention services in the home or community-based settings</w:t>
            </w:r>
          </w:p>
        </w:tc>
        <w:tc>
          <w:tcPr>
            <w:tcW w:w="856" w:type="pct"/>
            <w:shd w:val="clear" w:color="auto" w:fill="auto"/>
            <w:vAlign w:val="bottom"/>
          </w:tcPr>
          <w:p w14:paraId="6BCF7402" w14:textId="42590957" w:rsidR="00B605F5" w:rsidRPr="00ED172B" w:rsidRDefault="00B605F5" w:rsidP="00B605F5">
            <w:pPr>
              <w:jc w:val="center"/>
              <w:rPr>
                <w:color w:val="000000" w:themeColor="text1"/>
                <w:szCs w:val="16"/>
              </w:rPr>
            </w:pPr>
            <w:r w:rsidRPr="00ED172B">
              <w:rPr>
                <w:b/>
                <w:color w:val="000000" w:themeColor="text1"/>
                <w:szCs w:val="16"/>
              </w:rPr>
              <w:t>Total number of Infants and toddlers with IFSPs</w:t>
            </w:r>
          </w:p>
        </w:tc>
        <w:tc>
          <w:tcPr>
            <w:tcW w:w="587" w:type="pct"/>
            <w:shd w:val="clear" w:color="auto" w:fill="auto"/>
            <w:vAlign w:val="bottom"/>
          </w:tcPr>
          <w:p w14:paraId="10A26864" w14:textId="44744E28" w:rsidR="00B605F5" w:rsidRPr="00ED172B" w:rsidRDefault="00CD74B5" w:rsidP="00B605F5">
            <w:pPr>
              <w:jc w:val="center"/>
              <w:rPr>
                <w:b/>
                <w:color w:val="000000" w:themeColor="text1"/>
                <w:szCs w:val="16"/>
              </w:rPr>
            </w:pPr>
            <w:r>
              <w:rPr>
                <w:rFonts w:cs="Arial"/>
                <w:b/>
                <w:color w:val="000000" w:themeColor="text1"/>
                <w:szCs w:val="16"/>
              </w:rPr>
              <w:t>FFY 2020 Data</w:t>
            </w:r>
          </w:p>
        </w:tc>
        <w:tc>
          <w:tcPr>
            <w:tcW w:w="877" w:type="pct"/>
            <w:shd w:val="clear" w:color="auto" w:fill="auto"/>
            <w:vAlign w:val="bottom"/>
          </w:tcPr>
          <w:p w14:paraId="418B7AF3" w14:textId="3CE71CEA" w:rsidR="00B605F5" w:rsidRPr="00ED172B" w:rsidRDefault="00F22D09" w:rsidP="00B605F5">
            <w:pPr>
              <w:jc w:val="center"/>
              <w:rPr>
                <w:b/>
                <w:color w:val="000000" w:themeColor="text1"/>
                <w:szCs w:val="16"/>
              </w:rPr>
            </w:pPr>
            <w:r>
              <w:rPr>
                <w:rFonts w:cs="Arial"/>
                <w:b/>
                <w:color w:val="000000" w:themeColor="text1"/>
                <w:szCs w:val="16"/>
              </w:rPr>
              <w:t>FFY 2021 Target</w:t>
            </w:r>
          </w:p>
        </w:tc>
        <w:tc>
          <w:tcPr>
            <w:tcW w:w="528" w:type="pct"/>
            <w:shd w:val="clear" w:color="auto" w:fill="auto"/>
            <w:vAlign w:val="bottom"/>
          </w:tcPr>
          <w:p w14:paraId="1EF8A614" w14:textId="094D0252" w:rsidR="00B605F5" w:rsidRPr="00ED172B" w:rsidRDefault="00F22D09" w:rsidP="00B605F5">
            <w:pPr>
              <w:jc w:val="center"/>
              <w:rPr>
                <w:b/>
                <w:color w:val="000000" w:themeColor="text1"/>
                <w:szCs w:val="16"/>
              </w:rPr>
            </w:pPr>
            <w:r>
              <w:rPr>
                <w:rFonts w:cs="Arial"/>
                <w:b/>
                <w:color w:val="000000" w:themeColor="text1"/>
                <w:szCs w:val="16"/>
              </w:rPr>
              <w:t>FFY 2021 Data</w:t>
            </w:r>
          </w:p>
        </w:tc>
        <w:tc>
          <w:tcPr>
            <w:tcW w:w="669" w:type="pct"/>
            <w:shd w:val="clear" w:color="auto" w:fill="auto"/>
            <w:vAlign w:val="bottom"/>
          </w:tcPr>
          <w:p w14:paraId="44081306" w14:textId="77777777" w:rsidR="00B605F5" w:rsidRPr="00ED172B" w:rsidRDefault="00B605F5" w:rsidP="00B605F5">
            <w:pPr>
              <w:jc w:val="center"/>
              <w:rPr>
                <w:b/>
                <w:color w:val="000000" w:themeColor="text1"/>
                <w:szCs w:val="16"/>
              </w:rPr>
            </w:pPr>
            <w:r w:rsidRPr="00ED172B">
              <w:rPr>
                <w:b/>
                <w:color w:val="000000" w:themeColor="text1"/>
                <w:szCs w:val="16"/>
              </w:rPr>
              <w:t>Status</w:t>
            </w:r>
          </w:p>
        </w:tc>
        <w:tc>
          <w:tcPr>
            <w:tcW w:w="648" w:type="pct"/>
            <w:shd w:val="clear" w:color="auto" w:fill="auto"/>
            <w:vAlign w:val="bottom"/>
          </w:tcPr>
          <w:p w14:paraId="04CEAB25" w14:textId="77777777" w:rsidR="00B605F5" w:rsidRPr="00ED172B" w:rsidRDefault="00B605F5" w:rsidP="00B605F5">
            <w:pPr>
              <w:jc w:val="center"/>
              <w:rPr>
                <w:b/>
                <w:color w:val="000000" w:themeColor="text1"/>
                <w:szCs w:val="16"/>
              </w:rPr>
            </w:pPr>
            <w:r w:rsidRPr="00ED172B">
              <w:rPr>
                <w:b/>
                <w:color w:val="000000" w:themeColor="text1"/>
                <w:szCs w:val="16"/>
              </w:rPr>
              <w:t>Slippage</w:t>
            </w:r>
          </w:p>
        </w:tc>
      </w:tr>
      <w:tr w:rsidR="00ED172B" w:rsidRPr="00ED172B" w14:paraId="7B353118" w14:textId="77777777" w:rsidTr="00986B99">
        <w:trPr>
          <w:trHeight w:val="366"/>
        </w:trPr>
        <w:tc>
          <w:tcPr>
            <w:tcW w:w="834" w:type="pct"/>
            <w:shd w:val="clear" w:color="auto" w:fill="auto"/>
            <w:vAlign w:val="center"/>
          </w:tcPr>
          <w:p w14:paraId="144020CA" w14:textId="64560A31" w:rsidR="00650CF7" w:rsidRPr="00ED172B" w:rsidRDefault="00860830" w:rsidP="00694144">
            <w:pPr>
              <w:jc w:val="center"/>
              <w:rPr>
                <w:color w:val="000000" w:themeColor="text1"/>
                <w:szCs w:val="16"/>
              </w:rPr>
            </w:pPr>
            <w:r w:rsidRPr="00ED172B">
              <w:rPr>
                <w:color w:val="000000" w:themeColor="text1"/>
                <w:szCs w:val="16"/>
              </w:rPr>
              <w:t>20,138</w:t>
            </w:r>
          </w:p>
        </w:tc>
        <w:tc>
          <w:tcPr>
            <w:tcW w:w="856" w:type="pct"/>
            <w:shd w:val="clear" w:color="auto" w:fill="auto"/>
            <w:vAlign w:val="center"/>
          </w:tcPr>
          <w:p w14:paraId="7B36A1D9" w14:textId="53D1EA58" w:rsidR="00650CF7" w:rsidRPr="00ED172B" w:rsidRDefault="00860830" w:rsidP="00694144">
            <w:pPr>
              <w:jc w:val="center"/>
              <w:rPr>
                <w:color w:val="000000" w:themeColor="text1"/>
                <w:szCs w:val="16"/>
              </w:rPr>
            </w:pPr>
            <w:r w:rsidRPr="00ED172B">
              <w:rPr>
                <w:color w:val="000000" w:themeColor="text1"/>
                <w:szCs w:val="16"/>
              </w:rPr>
              <w:t>20,316</w:t>
            </w:r>
          </w:p>
        </w:tc>
        <w:tc>
          <w:tcPr>
            <w:tcW w:w="587" w:type="pct"/>
            <w:shd w:val="clear" w:color="auto" w:fill="auto"/>
            <w:vAlign w:val="center"/>
          </w:tcPr>
          <w:p w14:paraId="79EBF212" w14:textId="3ECE0202" w:rsidR="00650CF7" w:rsidRPr="00ED172B" w:rsidRDefault="00860830" w:rsidP="00694144">
            <w:pPr>
              <w:jc w:val="center"/>
              <w:rPr>
                <w:color w:val="000000" w:themeColor="text1"/>
                <w:szCs w:val="16"/>
              </w:rPr>
            </w:pPr>
            <w:r w:rsidRPr="00ED172B">
              <w:rPr>
                <w:rFonts w:cs="Arial"/>
                <w:color w:val="000000" w:themeColor="text1"/>
                <w:szCs w:val="16"/>
              </w:rPr>
              <w:t>98.86%</w:t>
            </w:r>
          </w:p>
        </w:tc>
        <w:tc>
          <w:tcPr>
            <w:tcW w:w="877" w:type="pct"/>
            <w:shd w:val="clear" w:color="auto" w:fill="auto"/>
            <w:vAlign w:val="center"/>
          </w:tcPr>
          <w:p w14:paraId="6BB2A0A3" w14:textId="2F872183" w:rsidR="00650CF7" w:rsidRPr="00ED172B" w:rsidRDefault="00860830" w:rsidP="00694144">
            <w:pPr>
              <w:jc w:val="center"/>
              <w:rPr>
                <w:color w:val="000000" w:themeColor="text1"/>
                <w:szCs w:val="16"/>
              </w:rPr>
            </w:pPr>
            <w:r w:rsidRPr="00ED172B">
              <w:rPr>
                <w:rFonts w:cs="Arial"/>
                <w:color w:val="000000" w:themeColor="text1"/>
                <w:szCs w:val="16"/>
              </w:rPr>
              <w:t>97.50%</w:t>
            </w:r>
          </w:p>
        </w:tc>
        <w:tc>
          <w:tcPr>
            <w:tcW w:w="528" w:type="pct"/>
            <w:shd w:val="clear" w:color="auto" w:fill="auto"/>
            <w:vAlign w:val="center"/>
          </w:tcPr>
          <w:p w14:paraId="3EC9700C" w14:textId="27692569" w:rsidR="00650CF7" w:rsidRPr="00ED172B" w:rsidRDefault="00860830" w:rsidP="00694144">
            <w:pPr>
              <w:jc w:val="center"/>
              <w:rPr>
                <w:color w:val="000000" w:themeColor="text1"/>
                <w:szCs w:val="16"/>
              </w:rPr>
            </w:pPr>
            <w:r w:rsidRPr="00ED172B">
              <w:rPr>
                <w:rFonts w:cs="Arial"/>
                <w:color w:val="000000" w:themeColor="text1"/>
                <w:szCs w:val="16"/>
              </w:rPr>
              <w:t>99.12%</w:t>
            </w:r>
          </w:p>
        </w:tc>
        <w:tc>
          <w:tcPr>
            <w:tcW w:w="669" w:type="pct"/>
            <w:shd w:val="clear" w:color="auto" w:fill="auto"/>
            <w:vAlign w:val="center"/>
          </w:tcPr>
          <w:p w14:paraId="50DC4650" w14:textId="13CA2BE4" w:rsidR="00650CF7" w:rsidRPr="00ED172B" w:rsidRDefault="002F5A9E" w:rsidP="00027F39">
            <w:pPr>
              <w:jc w:val="center"/>
              <w:rPr>
                <w:color w:val="000000" w:themeColor="text1"/>
              </w:rPr>
            </w:pPr>
            <w:r w:rsidRPr="00ED172B">
              <w:rPr>
                <w:color w:val="000000" w:themeColor="text1"/>
              </w:rPr>
              <w:t>Met target</w:t>
            </w:r>
          </w:p>
        </w:tc>
        <w:tc>
          <w:tcPr>
            <w:tcW w:w="648" w:type="pct"/>
            <w:shd w:val="clear" w:color="auto" w:fill="auto"/>
            <w:vAlign w:val="center"/>
          </w:tcPr>
          <w:p w14:paraId="2D824F9E" w14:textId="714F97F8" w:rsidR="00650CF7" w:rsidRPr="00ED172B" w:rsidRDefault="002F5A9E" w:rsidP="00027F39">
            <w:pPr>
              <w:jc w:val="center"/>
              <w:rPr>
                <w:color w:val="000000" w:themeColor="text1"/>
              </w:rPr>
            </w:pPr>
            <w:r w:rsidRPr="00ED172B">
              <w:rPr>
                <w:color w:val="000000" w:themeColor="text1"/>
              </w:rPr>
              <w:t>No Slippage</w:t>
            </w:r>
          </w:p>
        </w:tc>
      </w:tr>
    </w:tbl>
    <w:p w14:paraId="34E598B5" w14:textId="0DFDF6A9" w:rsidR="003A3693" w:rsidRPr="00ED172B" w:rsidRDefault="003A3693" w:rsidP="003A3693">
      <w:pPr>
        <w:rPr>
          <w:rFonts w:cs="Arial"/>
          <w:b/>
          <w:color w:val="000000" w:themeColor="text1"/>
          <w:szCs w:val="16"/>
        </w:rPr>
      </w:pPr>
      <w:bookmarkStart w:id="11" w:name="_Toc382082359"/>
      <w:bookmarkStart w:id="12" w:name="_Toc392159266"/>
      <w:bookmarkStart w:id="13" w:name="_Toc365403651"/>
      <w:bookmarkEnd w:id="10"/>
      <w:r w:rsidRPr="00ED172B">
        <w:rPr>
          <w:rFonts w:cs="Arial"/>
          <w:b/>
          <w:color w:val="000000" w:themeColor="text1"/>
          <w:szCs w:val="16"/>
        </w:rPr>
        <w:t>Provide additional information about this indicator (optional).</w:t>
      </w:r>
    </w:p>
    <w:p w14:paraId="67203ABB" w14:textId="34BF3061" w:rsidR="003A3693" w:rsidRPr="00ED172B" w:rsidRDefault="00860830" w:rsidP="003A3693">
      <w:pPr>
        <w:rPr>
          <w:rFonts w:cs="Arial"/>
          <w:color w:val="000000" w:themeColor="text1"/>
          <w:szCs w:val="16"/>
        </w:rPr>
      </w:pPr>
      <w:r w:rsidRPr="00ED172B">
        <w:rPr>
          <w:rFonts w:cs="Arial"/>
          <w:color w:val="000000" w:themeColor="text1"/>
          <w:szCs w:val="16"/>
        </w:rPr>
        <w:t xml:space="preserve">MA-C conducts its annual child count on October 1 of each year. The data reported for this indicator were collected on October 1, 2021, at the beginning of the surge in COVID-19 cases observed in Massachusetts in the fall of 2021 and winter of 2022. For example, on October 1, 2021, Massachusetts Department of Public Health reported 1,481 confirmed and probable cases. This increased drastically within a few months, with DPH reporting more than 36,000 confirmed cases on January 3, 2022. Despite the increased COVID-19 cases, the percentage of children receiving services in natural environments in Massachusetts continues the above-average trend observed prior to the COVID-19 pandemic. </w:t>
        <w:br/>
        <w:t/>
        <w:br/>
        <w:t xml:space="preserve">Historically, children in Massachusetts receive services primarily at home, largely influenced by MA-C's Parents Interacting With Infants (PIWI) model. Some visits were planned in multiple natural environments including within the family's home, childcare, the homes of extended family members and relatives, parks, libraries, and other community locations. While the COVID-19 pandemic did not impact the data of the primary service setting, it significantly impacted the frequency of secondary service settings. Many childcare centers continued to restrict visitors or EIS providers throughout FFY21. Many families reduced the number of services in non-home natural environments that often supplemented the primary setting. </w:t>
        <w:br/>
        <w:t/>
        <w:br/>
        <w:t>During this reporting period, no children received Part C services exclusively in other environments, such as therapy clinics. When they did it generally supplemented services primarily received in natural environments.</w:t>
        <w:br/>
        <w:t/>
        <w:br/>
        <w:t>MA-C attribute this success to the EIS providers' ability to build trust and rapport with families, so they are comfortable allowing providers into their homes. Additionally, MA-C has implemented several initiatives including technical assistance, training, and funding supports to enhance EIS providers' ability to provide Culturally and Linguistically Appropriate Services (CLAS) in accordance with National CLAS Standards established by US Dept of Health and Human Services. Because of these initiatives, MA-C's network of EIS providers were able to maintain a focus on natural learning opportunities providing support in familiar contexts and settings. The increase in services provided as alternative delivery methods (e.g., telehealth) allowed families working outside the home more flexibility to participate in visits they had previously requested be with their IFSP team and childcare providers.</w:t>
      </w:r>
    </w:p>
    <w:p w14:paraId="1F801FF4" w14:textId="35B46122" w:rsidR="00DC0682" w:rsidRPr="00A40EE1" w:rsidRDefault="000D0117" w:rsidP="005C3FFD">
      <w:pPr>
        <w:pStyle w:val="Heading2"/>
      </w:pPr>
      <w:r w:rsidRPr="00A40EE1">
        <w:t xml:space="preserve">2 - </w:t>
      </w:r>
      <w:r w:rsidR="00DC0682" w:rsidRPr="00A40EE1">
        <w:t>Prior FFY Required Actions</w:t>
      </w:r>
    </w:p>
    <w:p w14:paraId="127F5C56" w14:textId="4FCFDE78" w:rsidR="004C1CEE" w:rsidRPr="00ED172B" w:rsidRDefault="002F5A9E" w:rsidP="00DC0682">
      <w:pPr>
        <w:rPr>
          <w:rFonts w:cs="Arial"/>
          <w:color w:val="000000" w:themeColor="text1"/>
          <w:szCs w:val="16"/>
        </w:rPr>
      </w:pPr>
      <w:r w:rsidRPr="00ED172B">
        <w:rPr>
          <w:color w:val="000000" w:themeColor="text1"/>
        </w:rPr>
        <w:t>None</w:t>
      </w:r>
    </w:p>
    <w:p w14:paraId="7C49F614" w14:textId="3891505A" w:rsidR="00DC0682" w:rsidRPr="00A40EE1" w:rsidRDefault="000D0117" w:rsidP="005C3FFD">
      <w:pPr>
        <w:pStyle w:val="Heading2"/>
      </w:pPr>
      <w:r w:rsidRPr="00A40EE1">
        <w:t xml:space="preserve">2 - </w:t>
      </w:r>
      <w:r w:rsidR="00DC0682" w:rsidRPr="00A40EE1">
        <w:t>OSEP Response</w:t>
      </w:r>
    </w:p>
    <w:p w14:paraId="3C724ABD" w14:textId="240B5FAA" w:rsidR="00DC0682" w:rsidRPr="00ED172B" w:rsidRDefault="002F5A9E" w:rsidP="002F5A9E">
      <w:pPr>
        <w:rPr>
          <w:color w:val="000000" w:themeColor="text1"/>
        </w:rPr>
      </w:pPr>
      <w:r w:rsidRPr="00ED172B">
        <w:rPr>
          <w:color w:val="000000" w:themeColor="text1"/>
        </w:rPr>
        <w:t/>
      </w:r>
    </w:p>
    <w:p w14:paraId="07A9F6AD" w14:textId="269C71A0" w:rsidR="00DC0682" w:rsidRPr="00A40EE1" w:rsidRDefault="000D0117" w:rsidP="005C3FFD">
      <w:pPr>
        <w:pStyle w:val="Heading2"/>
      </w:pPr>
      <w:r w:rsidRPr="00A40EE1">
        <w:t xml:space="preserve">2 - </w:t>
      </w:r>
      <w:r w:rsidR="00DC0682" w:rsidRPr="00A40EE1">
        <w:t>Required Actions</w:t>
      </w:r>
    </w:p>
    <w:p w14:paraId="1E68FF4D" w14:textId="53301172" w:rsidR="00DC0682" w:rsidRPr="00ED172B" w:rsidRDefault="002F5A9E" w:rsidP="002F5A9E">
      <w:pPr>
        <w:rPr>
          <w:color w:val="000000" w:themeColor="text1"/>
        </w:rPr>
      </w:pPr>
      <w:r w:rsidRPr="00ED172B">
        <w:rPr>
          <w:color w:val="000000" w:themeColor="text1"/>
        </w:rPr>
        <w:t/>
      </w:r>
    </w:p>
    <w:p w14:paraId="08C95D8D" w14:textId="77777777" w:rsidR="00660214" w:rsidRPr="00ED172B" w:rsidRDefault="0066021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A74FD4B" w14:textId="7206C53B"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1"/>
      <w:bookmarkEnd w:id="12"/>
      <w:r w:rsidR="005F4279" w:rsidRPr="00ED172B">
        <w:rPr>
          <w:color w:val="000000" w:themeColor="text1"/>
        </w:rPr>
        <w:t>3: Early Childhood Outcomes</w:t>
      </w:r>
    </w:p>
    <w:p w14:paraId="6C56BCF0" w14:textId="77777777" w:rsidR="000C5918" w:rsidRPr="00ED172B" w:rsidRDefault="000C5918" w:rsidP="00186420">
      <w:pPr>
        <w:rPr>
          <w:color w:val="000000" w:themeColor="text1"/>
          <w:szCs w:val="20"/>
        </w:rPr>
      </w:pPr>
      <w:bookmarkStart w:id="14" w:name="_Toc392159267"/>
      <w:r w:rsidRPr="00ED172B">
        <w:rPr>
          <w:b/>
          <w:color w:val="000000" w:themeColor="text1"/>
          <w:sz w:val="20"/>
          <w:szCs w:val="20"/>
        </w:rPr>
        <w:t>Instructions and Measurement</w:t>
      </w:r>
    </w:p>
    <w:p w14:paraId="6525FF69" w14:textId="77777777" w:rsidR="005F4279" w:rsidRPr="00ED172B" w:rsidRDefault="005F4279">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7DC43ED3" w14:textId="77777777" w:rsidR="005F4279" w:rsidRPr="00ED172B" w:rsidRDefault="005F4279" w:rsidP="005F4279">
      <w:pPr>
        <w:rPr>
          <w:rFonts w:cs="Arial"/>
          <w:color w:val="000000" w:themeColor="text1"/>
          <w:szCs w:val="16"/>
        </w:rPr>
      </w:pPr>
      <w:r w:rsidRPr="00ED172B">
        <w:rPr>
          <w:rFonts w:cs="Arial"/>
          <w:b/>
          <w:color w:val="000000" w:themeColor="text1"/>
          <w:szCs w:val="16"/>
        </w:rPr>
        <w:t xml:space="preserve">Results indicator: </w:t>
      </w:r>
      <w:r w:rsidRPr="00ED172B">
        <w:rPr>
          <w:rFonts w:cs="Arial"/>
          <w:color w:val="000000" w:themeColor="text1"/>
          <w:szCs w:val="16"/>
        </w:rPr>
        <w:t>Percent of infants and toddlers with IFSPs who demonstrate improved:</w:t>
      </w:r>
    </w:p>
    <w:p w14:paraId="6CAB2321" w14:textId="2DB2028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A. Positive social-emotional skills (including social relationships); </w:t>
      </w:r>
    </w:p>
    <w:p w14:paraId="7C6F9A34" w14:textId="4B08B8EB" w:rsidR="005F4279" w:rsidRPr="00ED172B" w:rsidRDefault="007F55E8" w:rsidP="00ED172B">
      <w:pPr>
        <w:ind w:firstLine="360"/>
        <w:rPr>
          <w:rFonts w:cs="Arial"/>
          <w:color w:val="000000" w:themeColor="text1"/>
          <w:szCs w:val="16"/>
        </w:rPr>
      </w:pPr>
      <w:r w:rsidRPr="00ED172B">
        <w:rPr>
          <w:rFonts w:cs="Arial"/>
          <w:color w:val="000000" w:themeColor="text1"/>
          <w:szCs w:val="16"/>
        </w:rPr>
        <w:t xml:space="preserve">B. Acquisition and use of knowledge and skills (including early language/ communication); and </w:t>
      </w:r>
    </w:p>
    <w:p w14:paraId="607BA869" w14:textId="484FD2C0" w:rsidR="005F4279" w:rsidRPr="00ED172B" w:rsidRDefault="007F55E8" w:rsidP="00ED172B">
      <w:pPr>
        <w:ind w:firstLine="360"/>
        <w:rPr>
          <w:rFonts w:cs="Arial"/>
          <w:color w:val="000000" w:themeColor="text1"/>
          <w:szCs w:val="16"/>
        </w:rPr>
      </w:pPr>
      <w:r w:rsidRPr="00ED172B">
        <w:rPr>
          <w:rFonts w:cs="Arial"/>
          <w:color w:val="000000" w:themeColor="text1"/>
          <w:szCs w:val="16"/>
        </w:rPr>
        <w:t>C. Use of appropriate behaviors to meet their needs.</w:t>
      </w:r>
    </w:p>
    <w:p w14:paraId="02F8B72A" w14:textId="77777777" w:rsidR="005F4279" w:rsidRPr="00ED172B" w:rsidRDefault="005F4279" w:rsidP="005F4279">
      <w:pPr>
        <w:rPr>
          <w:rFonts w:cs="Arial"/>
          <w:color w:val="000000" w:themeColor="text1"/>
          <w:szCs w:val="16"/>
        </w:rPr>
      </w:pPr>
      <w:r w:rsidRPr="00ED172B">
        <w:rPr>
          <w:rFonts w:cs="Arial"/>
          <w:color w:val="000000" w:themeColor="text1"/>
          <w:szCs w:val="16"/>
        </w:rPr>
        <w:t>(20 U.S.C. 1416(a)(3)(A) and 1442)</w:t>
      </w:r>
    </w:p>
    <w:p w14:paraId="2207A350" w14:textId="77777777" w:rsidR="00F83F88" w:rsidRPr="00ED172B" w:rsidRDefault="00F83F88">
      <w:pPr>
        <w:rPr>
          <w:b/>
          <w:color w:val="000000" w:themeColor="text1"/>
        </w:rPr>
      </w:pPr>
      <w:r w:rsidRPr="00ED172B">
        <w:rPr>
          <w:b/>
          <w:color w:val="000000" w:themeColor="text1"/>
        </w:rPr>
        <w:t>Data Source</w:t>
      </w:r>
    </w:p>
    <w:p w14:paraId="156A0C7D" w14:textId="5C588A7F" w:rsidR="00F83F88" w:rsidRPr="00ED172B" w:rsidRDefault="00F83F88" w:rsidP="004A4483">
      <w:pPr>
        <w:rPr>
          <w:rFonts w:cs="Arial"/>
          <w:color w:val="000000" w:themeColor="text1"/>
          <w:szCs w:val="16"/>
        </w:rPr>
      </w:pPr>
      <w:r w:rsidRPr="00ED172B">
        <w:rPr>
          <w:rFonts w:cs="Arial"/>
          <w:color w:val="000000" w:themeColor="text1"/>
          <w:szCs w:val="16"/>
        </w:rPr>
        <w:t>State selected data source.</w:t>
      </w:r>
    </w:p>
    <w:p w14:paraId="206DD9A6" w14:textId="77777777" w:rsidR="00F83F88" w:rsidRPr="00ED172B" w:rsidRDefault="00F83F88">
      <w:pPr>
        <w:rPr>
          <w:b/>
          <w:color w:val="000000" w:themeColor="text1"/>
        </w:rPr>
      </w:pPr>
      <w:r w:rsidRPr="00ED172B">
        <w:rPr>
          <w:b/>
          <w:color w:val="000000" w:themeColor="text1"/>
        </w:rPr>
        <w:t>Measurement</w:t>
      </w:r>
    </w:p>
    <w:p w14:paraId="02CDD99A" w14:textId="77777777" w:rsidR="00F83F88" w:rsidRPr="00ED172B" w:rsidRDefault="00F83F88" w:rsidP="004A4483">
      <w:pPr>
        <w:rPr>
          <w:rFonts w:cs="Arial"/>
          <w:color w:val="000000" w:themeColor="text1"/>
          <w:szCs w:val="16"/>
        </w:rPr>
      </w:pPr>
      <w:r w:rsidRPr="00ED172B">
        <w:rPr>
          <w:rFonts w:cs="Arial"/>
          <w:color w:val="000000" w:themeColor="text1"/>
          <w:szCs w:val="16"/>
        </w:rPr>
        <w:t>Outcomes:</w:t>
      </w:r>
    </w:p>
    <w:p w14:paraId="2E218DAA" w14:textId="6183F4B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A. Positive social-emotional skills (including social relationships);</w:t>
      </w:r>
    </w:p>
    <w:p w14:paraId="584471E2" w14:textId="1E4F2111"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B. Acquisition and use of knowledge and skills (including early language/communication); and</w:t>
      </w:r>
    </w:p>
    <w:p w14:paraId="54D1C25B" w14:textId="5CB438D4" w:rsidR="00F83F88" w:rsidRPr="00ED172B" w:rsidRDefault="00342BF9" w:rsidP="00ED172B">
      <w:pPr>
        <w:ind w:firstLine="360"/>
        <w:rPr>
          <w:rFonts w:cs="Arial"/>
          <w:color w:val="000000" w:themeColor="text1"/>
          <w:szCs w:val="16"/>
        </w:rPr>
      </w:pPr>
      <w:r w:rsidRPr="00ED172B">
        <w:rPr>
          <w:rFonts w:cs="Arial"/>
          <w:color w:val="000000" w:themeColor="text1"/>
          <w:szCs w:val="16"/>
        </w:rPr>
        <w:tab/>
      </w:r>
      <w:r w:rsidR="005E54D4" w:rsidRPr="00ED172B">
        <w:rPr>
          <w:rFonts w:cs="Arial"/>
          <w:color w:val="000000" w:themeColor="text1"/>
          <w:szCs w:val="16"/>
        </w:rPr>
        <w:t>C. Use of appropriate behaviors to meet their needs.</w:t>
      </w:r>
    </w:p>
    <w:p w14:paraId="0E19F7BA" w14:textId="77777777" w:rsidR="00F83F88" w:rsidRPr="00ED172B" w:rsidRDefault="00F83F88" w:rsidP="004A4483">
      <w:pPr>
        <w:rPr>
          <w:rFonts w:cs="Arial"/>
          <w:color w:val="000000" w:themeColor="text1"/>
          <w:szCs w:val="16"/>
        </w:rPr>
      </w:pPr>
      <w:r w:rsidRPr="00ED172B">
        <w:rPr>
          <w:rFonts w:cs="Arial"/>
          <w:color w:val="000000" w:themeColor="text1"/>
          <w:szCs w:val="16"/>
        </w:rPr>
        <w:t>Progress categories for A, B and C:</w:t>
      </w:r>
    </w:p>
    <w:p w14:paraId="01E3EFA9" w14:textId="4705CE46" w:rsidR="00F83F88" w:rsidRPr="00ED172B" w:rsidRDefault="007F55E8" w:rsidP="00ED172B">
      <w:pPr>
        <w:ind w:left="288"/>
        <w:rPr>
          <w:rFonts w:cs="Arial"/>
          <w:color w:val="000000" w:themeColor="text1"/>
          <w:szCs w:val="16"/>
        </w:rPr>
      </w:pPr>
      <w:r w:rsidRPr="00ED172B">
        <w:rPr>
          <w:rFonts w:cs="Arial"/>
          <w:color w:val="000000" w:themeColor="text1"/>
          <w:szCs w:val="16"/>
        </w:rPr>
        <w:t>a. Percent of infants and toddlers who did not improve functioning = [(# of infants and toddlers who did not improve functioning) divided by (# of infants and toddlers with IFSPs assessed)] times 100.</w:t>
      </w:r>
    </w:p>
    <w:p w14:paraId="7887E639" w14:textId="17325666" w:rsidR="00F83F88" w:rsidRPr="00ED172B" w:rsidRDefault="007F55E8" w:rsidP="00ED172B">
      <w:pPr>
        <w:ind w:left="288"/>
        <w:rPr>
          <w:rFonts w:cs="Arial"/>
          <w:color w:val="000000" w:themeColor="text1"/>
          <w:szCs w:val="16"/>
        </w:rPr>
      </w:pPr>
      <w:r w:rsidRPr="00ED172B">
        <w:rPr>
          <w:rFonts w:cs="Arial"/>
          <w:color w:val="000000" w:themeColor="text1"/>
          <w:szCs w:val="16"/>
        </w:rPr>
        <w:t>b. Percent of infants and toddlers who 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100.</w:t>
      </w:r>
    </w:p>
    <w:p w14:paraId="5BA9195E" w14:textId="4B83F5C7" w:rsidR="00F83F88" w:rsidRPr="00ED172B" w:rsidRDefault="007F55E8" w:rsidP="00ED172B">
      <w:pPr>
        <w:ind w:left="288"/>
        <w:rPr>
          <w:rFonts w:cs="Arial"/>
          <w:color w:val="000000" w:themeColor="text1"/>
          <w:szCs w:val="16"/>
        </w:rPr>
      </w:pPr>
      <w:r w:rsidRPr="00ED172B">
        <w:rPr>
          <w:rFonts w:cs="Arial"/>
          <w:color w:val="000000" w:themeColor="text1"/>
          <w:szCs w:val="16"/>
        </w:rPr>
        <w:t>c. Percent of infants and toddlers who improved functioning to a level nearer to same-aged peers but did not reach it = [(# of infants and toddlers who improved functioning to a level nearer to same-aged peers but did not reach it) divided by (# of infants and toddlers with IFSPs assessed)] times 100.</w:t>
      </w:r>
    </w:p>
    <w:p w14:paraId="0D9D3767" w14:textId="0A74AD9F" w:rsidR="00F83F88" w:rsidRPr="00ED172B" w:rsidRDefault="007F55E8" w:rsidP="00ED172B">
      <w:pPr>
        <w:ind w:left="288"/>
        <w:rPr>
          <w:rFonts w:cs="Arial"/>
          <w:color w:val="000000" w:themeColor="text1"/>
          <w:szCs w:val="16"/>
        </w:rPr>
      </w:pPr>
      <w:r w:rsidRPr="00ED172B">
        <w:rPr>
          <w:rFonts w:cs="Arial"/>
          <w:color w:val="000000" w:themeColor="text1"/>
          <w:szCs w:val="16"/>
        </w:rPr>
        <w:t>d. Percent of infants and toddlers who improved functioning to reach a level comparable to same-aged peers = [(# of infants and toddlers who improved functioning to reach a level comparable to same-aged peers) divided by (# of infants and toddlers with IFSPs assessed)] times 100.</w:t>
      </w:r>
    </w:p>
    <w:p w14:paraId="4F6F4FE8" w14:textId="718C9D87" w:rsidR="00F83F88" w:rsidRPr="00ED172B" w:rsidRDefault="007F55E8" w:rsidP="00ED172B">
      <w:pPr>
        <w:ind w:left="288"/>
        <w:rPr>
          <w:rFonts w:cs="Arial"/>
          <w:color w:val="000000" w:themeColor="text1"/>
          <w:szCs w:val="16"/>
        </w:rPr>
      </w:pPr>
      <w:r w:rsidRPr="00ED172B">
        <w:rPr>
          <w:rFonts w:cs="Arial"/>
          <w:color w:val="000000" w:themeColor="text1"/>
          <w:szCs w:val="16"/>
        </w:rPr>
        <w:t>e. Percent of infants and toddlers who maintained functioning at a level comparable to same-aged peers = [(# of infants and toddlers who maintained functioning at a level comparable to same-aged peers) divided by (# of infants and toddlers with IFSPs assessed)] times 100.</w:t>
      </w:r>
    </w:p>
    <w:p w14:paraId="7C594667" w14:textId="77777777" w:rsidR="00F83F88" w:rsidRPr="00ED172B" w:rsidRDefault="00F83F88" w:rsidP="004A4483">
      <w:pPr>
        <w:rPr>
          <w:rFonts w:cs="Arial"/>
          <w:b/>
          <w:bCs/>
          <w:color w:val="000000" w:themeColor="text1"/>
          <w:szCs w:val="16"/>
        </w:rPr>
      </w:pPr>
      <w:r w:rsidRPr="00ED172B">
        <w:rPr>
          <w:rFonts w:cs="Arial"/>
          <w:b/>
          <w:bCs/>
          <w:color w:val="000000" w:themeColor="text1"/>
          <w:szCs w:val="16"/>
        </w:rPr>
        <w:t>Summary Statements for Each of the Three Outcomes:</w:t>
      </w:r>
    </w:p>
    <w:p w14:paraId="07EED66E"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1:</w:t>
      </w:r>
      <w:r w:rsidRPr="00ED172B">
        <w:rPr>
          <w:rFonts w:cs="Arial"/>
          <w:color w:val="000000" w:themeColor="text1"/>
          <w:szCs w:val="16"/>
        </w:rPr>
        <w:t> Of those infants and toddlers who entered early intervention below age expectations in each Outcome, the percent who substantially increased their rate of growth by the time they turned 3 years of age or exited the program.</w:t>
      </w:r>
    </w:p>
    <w:p w14:paraId="70A4FAEC"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1:</w:t>
      </w:r>
    </w:p>
    <w:p w14:paraId="043B1C1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(c) plus # of infants and toddlers reported in category (d)) divided by (# of infants and toddlers reported in progress category (a) plus # of infants and toddlers reported in progress category (b) plus # of infants and toddlers reported in progress category (c) plus # of infants and toddlers reported in progress category (d))] times 100.</w:t>
      </w:r>
    </w:p>
    <w:p w14:paraId="6AB11E47" w14:textId="77777777" w:rsidR="00F83F88" w:rsidRPr="00ED172B" w:rsidRDefault="00F83F88" w:rsidP="004A4483">
      <w:pPr>
        <w:rPr>
          <w:rFonts w:cs="Arial"/>
          <w:color w:val="000000" w:themeColor="text1"/>
          <w:szCs w:val="16"/>
        </w:rPr>
      </w:pPr>
      <w:r w:rsidRPr="00ED172B">
        <w:rPr>
          <w:rFonts w:cs="Arial"/>
          <w:b/>
          <w:color w:val="000000" w:themeColor="text1"/>
          <w:szCs w:val="16"/>
        </w:rPr>
        <w:t>Summary Statement 2:</w:t>
      </w:r>
      <w:r w:rsidRPr="00ED172B">
        <w:rPr>
          <w:rFonts w:cs="Arial"/>
          <w:color w:val="000000" w:themeColor="text1"/>
          <w:szCs w:val="16"/>
        </w:rPr>
        <w:t> The percent of infants and toddlers who were functioning within age expectations in each Outcome by the time they turned 3 years of age or exited the program.</w:t>
      </w:r>
    </w:p>
    <w:p w14:paraId="27E38307" w14:textId="77777777" w:rsidR="00F83F88" w:rsidRPr="00ED172B" w:rsidRDefault="00F83F88" w:rsidP="004A4483">
      <w:pPr>
        <w:rPr>
          <w:rFonts w:cs="Arial"/>
          <w:b/>
          <w:color w:val="000000" w:themeColor="text1"/>
          <w:szCs w:val="16"/>
        </w:rPr>
      </w:pPr>
      <w:r w:rsidRPr="00ED172B">
        <w:rPr>
          <w:rFonts w:cs="Arial"/>
          <w:b/>
          <w:color w:val="000000" w:themeColor="text1"/>
          <w:szCs w:val="16"/>
        </w:rPr>
        <w:t>Measurement for Summary Statement 2:</w:t>
      </w:r>
    </w:p>
    <w:p w14:paraId="5E267956" w14:textId="77777777" w:rsidR="00F83F88" w:rsidRPr="00ED172B" w:rsidRDefault="00F83F88" w:rsidP="004A4483">
      <w:pPr>
        <w:rPr>
          <w:rFonts w:cs="Arial"/>
          <w:color w:val="000000" w:themeColor="text1"/>
          <w:szCs w:val="16"/>
        </w:rPr>
      </w:pPr>
      <w:r w:rsidRPr="00ED172B">
        <w:rPr>
          <w:rFonts w:cs="Arial"/>
          <w:color w:val="000000" w:themeColor="text1"/>
          <w:szCs w:val="16"/>
        </w:rPr>
        <w:t>Percent = [(# of infants and toddlers reported in progress category (d) plus # of infants and toddlers reported in progress category (e)) divided by the (total # of infants and toddlers reported in progress categories (a) + (b) + (c) + (d) + (e))] times 100.</w:t>
      </w:r>
    </w:p>
    <w:p w14:paraId="25A641FB" w14:textId="77777777" w:rsidR="00F83F88" w:rsidRPr="00ED172B" w:rsidRDefault="00F83F88">
      <w:pPr>
        <w:rPr>
          <w:b/>
          <w:color w:val="000000" w:themeColor="text1"/>
        </w:rPr>
      </w:pPr>
      <w:r w:rsidRPr="00ED172B">
        <w:rPr>
          <w:b/>
          <w:color w:val="000000" w:themeColor="text1"/>
        </w:rPr>
        <w:t>Instructions</w:t>
      </w:r>
    </w:p>
    <w:p w14:paraId="7EEB2122" w14:textId="77777777" w:rsidR="00F83F88" w:rsidRPr="00D974E1" w:rsidRDefault="00F83F88" w:rsidP="004A4483">
      <w:pPr>
        <w:rPr>
          <w:rFonts w:cs="Arial"/>
          <w:i/>
          <w:iCs/>
          <w:color w:val="000000" w:themeColor="text1"/>
          <w:szCs w:val="16"/>
        </w:rPr>
      </w:pPr>
      <w:r w:rsidRPr="00D974E1">
        <w:rPr>
          <w:rFonts w:cs="Arial"/>
          <w:bCs/>
          <w:i/>
          <w:iCs/>
          <w:color w:val="000000" w:themeColor="text1"/>
          <w:szCs w:val="16"/>
        </w:rPr>
        <w:t>Sampling of</w:t>
      </w:r>
      <w:r w:rsidRPr="00D974E1">
        <w:rPr>
          <w:rFonts w:cs="Arial"/>
          <w:b/>
          <w:i/>
          <w:iCs/>
          <w:color w:val="000000" w:themeColor="text1"/>
          <w:szCs w:val="16"/>
        </w:rPr>
        <w:t> infants and toddlers with IFSPs</w:t>
      </w:r>
      <w:r w:rsidRPr="00D974E1">
        <w:rPr>
          <w:rFonts w:cs="Arial"/>
          <w:i/>
          <w:iCs/>
          <w:color w:val="000000" w:themeColor="text1"/>
          <w:szCs w:val="16"/>
        </w:rPr>
        <w:t> is allowed. When sampling is used, submit a description of the sampling methodology outlining how the design will yield valid and reliable estimates. (See </w:t>
      </w:r>
      <w:r w:rsidRPr="00D974E1">
        <w:rPr>
          <w:rFonts w:cs="Arial"/>
          <w:i/>
          <w:iCs/>
          <w:color w:val="000000" w:themeColor="text1"/>
          <w:szCs w:val="16"/>
          <w:u w:val="single"/>
        </w:rPr>
        <w:t>General Instructions</w:t>
      </w:r>
      <w:r w:rsidRPr="00D974E1">
        <w:rPr>
          <w:rFonts w:cs="Arial"/>
          <w:i/>
          <w:iCs/>
          <w:color w:val="000000" w:themeColor="text1"/>
          <w:szCs w:val="16"/>
        </w:rPr>
        <w:t> page 2 for additional instructions on sampling.)</w:t>
      </w:r>
    </w:p>
    <w:p w14:paraId="1D631ACD" w14:textId="77777777" w:rsidR="00F83F88" w:rsidRPr="00ED172B" w:rsidRDefault="00F83F88" w:rsidP="004A4483">
      <w:pPr>
        <w:rPr>
          <w:rFonts w:cs="Arial"/>
          <w:color w:val="000000" w:themeColor="text1"/>
          <w:szCs w:val="16"/>
        </w:rPr>
      </w:pPr>
      <w:r w:rsidRPr="00ED172B">
        <w:rPr>
          <w:rFonts w:cs="Arial"/>
          <w:color w:val="000000" w:themeColor="text1"/>
          <w:szCs w:val="16"/>
        </w:rPr>
        <w:t>In the measurement, include in the numerator and denominator only infants and toddlers with IFSPs who received early intervention services for at least six months before exiting the Part C program.</w:t>
      </w:r>
    </w:p>
    <w:p w14:paraId="7E07F147" w14:textId="77777777" w:rsidR="00F83F88" w:rsidRPr="00ED172B" w:rsidRDefault="00F83F88" w:rsidP="004A4483">
      <w:pPr>
        <w:rPr>
          <w:rFonts w:cs="Arial"/>
          <w:color w:val="000000" w:themeColor="text1"/>
          <w:szCs w:val="16"/>
        </w:rPr>
      </w:pPr>
      <w:r w:rsidRPr="00ED172B">
        <w:rPr>
          <w:rFonts w:cs="Arial"/>
          <w:color w:val="000000" w:themeColor="text1"/>
          <w:szCs w:val="16"/>
        </w:rPr>
        <w:t>Report: (1) the number of infants and toddlers who exited the Part C program during the reporting period, as reported in the State’s Part C exiting data under Section 618 of the IDEA; and (2) the number of those infants and toddlers who did not receive early intervention services for at least six months before exiting the Part C program.</w:t>
      </w:r>
    </w:p>
    <w:p w14:paraId="1321EF76" w14:textId="7EEF9F28" w:rsidR="00F83F88" w:rsidRPr="00ED172B" w:rsidRDefault="00F83F88" w:rsidP="004A4483">
      <w:pPr>
        <w:rPr>
          <w:rFonts w:cs="Arial"/>
          <w:color w:val="000000" w:themeColor="text1"/>
          <w:szCs w:val="16"/>
        </w:rPr>
      </w:pPr>
      <w:r w:rsidRPr="00ED172B">
        <w:rPr>
          <w:rFonts w:cs="Arial"/>
          <w:color w:val="000000" w:themeColor="text1"/>
          <w:szCs w:val="16"/>
        </w:rPr>
        <w:t>Describe the results of the calculations and compare the results to the targets. States will use the progress categories for each of the three Outcomes to calculate and report the two Summary Statements.</w:t>
      </w:r>
    </w:p>
    <w:p w14:paraId="17EC3DAA" w14:textId="77777777" w:rsidR="00F83F88" w:rsidRPr="00ED172B" w:rsidRDefault="00F83F88" w:rsidP="004A4483">
      <w:pPr>
        <w:rPr>
          <w:color w:val="000000" w:themeColor="text1"/>
          <w:szCs w:val="16"/>
        </w:rPr>
      </w:pPr>
      <w:r w:rsidRPr="00ED172B">
        <w:rPr>
          <w:color w:val="000000" w:themeColor="text1"/>
          <w:szCs w:val="16"/>
        </w:rPr>
        <w:t>Report progress data and calculate Summary Statements to compare against the six targets. Provide the actual numbers and percentages for the five reporting categories for each of the three outcomes.</w:t>
      </w:r>
    </w:p>
    <w:p w14:paraId="5D065449" w14:textId="77777777" w:rsidR="00F83F88" w:rsidRPr="00ED172B" w:rsidRDefault="00F83F88" w:rsidP="004A4483">
      <w:pPr>
        <w:rPr>
          <w:color w:val="000000" w:themeColor="text1"/>
          <w:szCs w:val="16"/>
        </w:rPr>
      </w:pPr>
      <w:r w:rsidRPr="00ED172B">
        <w:rPr>
          <w:color w:val="000000" w:themeColor="text1"/>
          <w:szCs w:val="16"/>
        </w:rPr>
        <w:t>In presenting results, provide the criteria for defining “comparable to same-aged peers.” If a State is using the Early Childhood Outcomes Center (ECO) Child Outcomes Summary Process (COS), then the criteria for defining “comparable to same-aged peers” has been defined as a child who has been assigned a score of 6 or 7 on the COS.</w:t>
      </w:r>
    </w:p>
    <w:p w14:paraId="56DC50D5" w14:textId="77777777" w:rsidR="00F83F88" w:rsidRPr="00ED172B" w:rsidRDefault="00F83F88" w:rsidP="004A4483">
      <w:pPr>
        <w:rPr>
          <w:color w:val="000000" w:themeColor="text1"/>
          <w:szCs w:val="16"/>
        </w:rPr>
      </w:pPr>
      <w:r w:rsidRPr="00ED172B">
        <w:rPr>
          <w:color w:val="000000" w:themeColor="text1"/>
          <w:szCs w:val="16"/>
        </w:rPr>
        <w:t>In addition, list the instruments and procedures used to gather data for this indicator, including if the State is using the ECO COS.</w:t>
      </w:r>
    </w:p>
    <w:p w14:paraId="7420D0BF" w14:textId="285FA580" w:rsidR="00F83F88" w:rsidRPr="00ED172B" w:rsidRDefault="00F83F88" w:rsidP="004A4483">
      <w:pPr>
        <w:rPr>
          <w:color w:val="000000" w:themeColor="text1"/>
        </w:rPr>
      </w:pPr>
      <w:r w:rsidRPr="00ED172B">
        <w:rPr>
          <w:color w:val="000000" w:themeColor="text1"/>
          <w:szCs w:val="16"/>
        </w:rPr>
        <w:t>If the State’s Part C eligibility criteria include infants and toddlers who are at risk of having substantial developmental delays (or “at-risk infants and toddlers”) under IDEA section 632(5)(B)(i), the State must report data in two ways. First, it must report on all eligible children but exclude its at-risk infants and toddlers (i.e.,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all of the infants and toddlers it serves under Part C (including developmentally delayed children, children with diagnosed conditions, and at-risk infants and toddlers).</w:t>
      </w:r>
    </w:p>
    <w:p w14:paraId="3F1A9F00" w14:textId="6E8EB8B7" w:rsidR="00833727" w:rsidRPr="00A40EE1" w:rsidRDefault="000D0117" w:rsidP="005C3FFD">
      <w:pPr>
        <w:pStyle w:val="Heading2"/>
      </w:pPr>
      <w:r w:rsidRPr="00A40EE1">
        <w:lastRenderedPageBreak/>
        <w:t xml:space="preserve">3 - </w:t>
      </w:r>
      <w:r w:rsidR="004A4483" w:rsidRPr="00A40EE1">
        <w:t>Indicator Data</w:t>
      </w:r>
      <w:bookmarkEnd w:id="14"/>
    </w:p>
    <w:p w14:paraId="4F24CCB1" w14:textId="0C4D54E3" w:rsidR="00363AAB" w:rsidRPr="00ED172B" w:rsidRDefault="00363AAB" w:rsidP="00186420">
      <w:pPr>
        <w:rPr>
          <w:b/>
          <w:color w:val="000000" w:themeColor="text1"/>
        </w:rPr>
      </w:pPr>
      <w:bookmarkStart w:id="15" w:name="_Toc392159268"/>
      <w:r w:rsidRPr="00ED172B">
        <w:rPr>
          <w:b/>
          <w:color w:val="000000" w:themeColor="text1"/>
        </w:rPr>
        <w:t>Does your State's Part C eligibility criteria include infants and toddlers who are at risk of having substantial developmental delays (or “at-risk infants and toddlers”) under IDEA section 632(5)(B)(i)? (yes/no)</w:t>
      </w:r>
    </w:p>
    <w:p w14:paraId="6E42FBC3" w14:textId="45672C6E" w:rsidR="00363AAB" w:rsidRPr="00ED172B" w:rsidRDefault="00363AAB">
      <w:pPr>
        <w:rPr>
          <w:color w:val="000000" w:themeColor="text1"/>
        </w:rPr>
      </w:pPr>
      <w:r w:rsidRPr="00ED172B">
        <w:rPr>
          <w:color w:val="000000" w:themeColor="text1"/>
        </w:rPr>
        <w:t>YES</w:t>
      </w:r>
    </w:p>
    <w:p w14:paraId="1A3E318B" w14:textId="77777777" w:rsidR="00F32724" w:rsidRPr="00ED172B" w:rsidRDefault="00F32724" w:rsidP="00F32724">
      <w:pPr>
        <w:rPr>
          <w:b/>
          <w:color w:val="000000" w:themeColor="text1"/>
        </w:rPr>
      </w:pPr>
    </w:p>
    <w:p w14:paraId="4AA49CFE" w14:textId="159CB7D7" w:rsidR="00F32724" w:rsidRDefault="00F32724" w:rsidP="00F32724">
      <w:pPr>
        <w:rPr>
          <w:b/>
          <w:color w:val="000000" w:themeColor="text1"/>
        </w:rPr>
      </w:pPr>
      <w:r w:rsidRPr="00ED172B">
        <w:rPr>
          <w:b/>
          <w:color w:val="000000" w:themeColor="text1"/>
        </w:rPr>
        <w:t xml:space="preserve">Targets: Description of Stakeholder Input </w:t>
      </w:r>
    </w:p>
    <w:p w14:paraId="28278A5A" w14:textId="77CA1927" w:rsidR="00F32724" w:rsidRDefault="00CF03E0" w:rsidP="00CF03E0">
      <w:pPr>
        <w:rPr>
          <w:color w:val="000000" w:themeColor="text1"/>
        </w:rPr>
      </w:pPr>
      <w:r w:rsidRPr="00ED172B">
        <w:rPr>
          <w:color w:val="000000" w:themeColor="text1"/>
        </w:rPr>
        <w:t>MA-C collaborates closely with other State agencies on a variety of issues related to the early childhood system of care and the Part C system, including the Department of Elementary and Secondary Education (DESE), Purchase of Services Office (POS), the Office of Health Equity (OHE), the Division of Medical Assistance (MassHealth), the Department of Early Education and Care (EEC), the Office for the Child Advocate (OCA), the Division of Insurance (DOI), the Massachusetts Maternal, Infant, and Early Childhood Home Visiting team (MassMIECHV), the Early Intervention Parenting Partnerships (EIPP), the Massachusetts Autism Commission (MAC), Massachusetts Child Psychiatry Access Project (MCPAP), and the and the Department of Mental Health (DMH). Most of these agencies are represented on the State Interagency Coordinating Council (ICC).</w:t>
        <w:br/>
        <w:t/>
        <w:br/>
        <w:t>This Annual Performance Report (APR) was developed with broad stakeholder input. At a State Interagency Coordinating Council (ICC) meeting in January 2023, the members reviewed results from FFY21 (7/1/21-6/30/22) for each indicator. Drafts were also shared with staff from the Early Childhood Technical Assistance Center (ECTA), who reviewed and provided initial feedback and guidance. On January 24, 2023, the ICC co-chairs adopted the APR as in lieu of submitting its own report, fulfilling the State Interagency Coordinating Council's obligations to report to the U.S. Department of Education for FFY21.</w:t>
      </w:r>
    </w:p>
    <w:p w14:paraId="4E7E8330" w14:textId="749679DB" w:rsidR="004C1CEE" w:rsidRPr="00ED172B" w:rsidRDefault="00F32724" w:rsidP="00F32724">
      <w:pPr>
        <w:rPr>
          <w:color w:val="000000" w:themeColor="text1"/>
        </w:rPr>
      </w:pPr>
      <w:r w:rsidRPr="00ED172B">
        <w:rPr>
          <w:rFonts w:cs="Arial"/>
          <w:color w:val="000000" w:themeColor="text1"/>
          <w:szCs w:val="16"/>
        </w:rPr>
        <w:t/>
      </w:r>
    </w:p>
    <w:p w14:paraId="5DC9CE62" w14:textId="77777777" w:rsidR="00006354" w:rsidRPr="00ED172B" w:rsidRDefault="001D7F3B" w:rsidP="00B83404">
      <w:pPr>
        <w:rPr>
          <w:b/>
          <w:color w:val="000000" w:themeColor="text1"/>
        </w:rPr>
      </w:pPr>
      <w:r w:rsidRPr="00ED172B">
        <w:rPr>
          <w:b/>
          <w:color w:val="000000" w:themeColor="text1"/>
        </w:rPr>
        <w:t xml:space="preserve">Will your separate report be just the at-risk infants and toddlers or aggregated performance data on all of the infants and toddlers it serves under Part C? </w:t>
      </w:r>
    </w:p>
    <w:p w14:paraId="41243B5C" w14:textId="3ADA24FD" w:rsidR="00834FB7" w:rsidRPr="00ED172B" w:rsidRDefault="001D7F3B" w:rsidP="00B83404">
      <w:pPr>
        <w:rPr>
          <w:color w:val="000000" w:themeColor="text1"/>
        </w:rPr>
      </w:pPr>
      <w:r w:rsidRPr="00ED172B">
        <w:rPr>
          <w:color w:val="000000" w:themeColor="text1"/>
        </w:rPr>
        <w:t>At-risk infants and toddlers</w:t>
      </w:r>
    </w:p>
    <w:p w14:paraId="681B93F5" w14:textId="65621B11" w:rsidR="009000CE" w:rsidRPr="00ED172B" w:rsidRDefault="009000CE">
      <w:pPr>
        <w:rPr>
          <w:b/>
          <w:color w:val="000000" w:themeColor="text1"/>
        </w:rPr>
      </w:pPr>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C03HISTDATA2"/>
      </w:tblPr>
      <w:tblGrid>
        <w:gridCol w:w="989"/>
        <w:gridCol w:w="988"/>
        <w:gridCol w:w="988"/>
        <w:gridCol w:w="1565"/>
        <w:gridCol w:w="1565"/>
        <w:gridCol w:w="1565"/>
        <w:gridCol w:w="1565"/>
        <w:gridCol w:w="1565"/>
      </w:tblGrid>
      <w:tr w:rsidR="00ED172B" w:rsidRPr="00ED172B" w14:paraId="0C88ABEB" w14:textId="2303324E" w:rsidTr="00A40EE1">
        <w:trPr>
          <w:trHeight w:val="397"/>
        </w:trPr>
        <w:tc>
          <w:tcPr>
            <w:tcW w:w="458" w:type="pct"/>
            <w:tcBorders>
              <w:top w:val="single" w:sz="4" w:space="0" w:color="auto"/>
              <w:left w:val="single" w:sz="4" w:space="0" w:color="auto"/>
              <w:bottom w:val="single" w:sz="4" w:space="0" w:color="auto"/>
              <w:right w:val="single" w:sz="4" w:space="0" w:color="auto"/>
            </w:tcBorders>
            <w:shd w:val="clear" w:color="auto" w:fill="auto"/>
            <w:vAlign w:val="bottom"/>
          </w:tcPr>
          <w:p w14:paraId="653CD1ED" w14:textId="0926D04A" w:rsidR="00037032" w:rsidRPr="00ED172B" w:rsidRDefault="00017FA6" w:rsidP="00037032">
            <w:pPr>
              <w:jc w:val="center"/>
              <w:rPr>
                <w:rFonts w:cs="Arial"/>
                <w:b/>
                <w:color w:val="000000" w:themeColor="text1"/>
                <w:szCs w:val="16"/>
              </w:rPr>
            </w:pPr>
            <w:r>
              <w:rPr>
                <w:rFonts w:cs="Arial"/>
                <w:b/>
                <w:color w:val="000000" w:themeColor="text1"/>
                <w:szCs w:val="16"/>
              </w:rPr>
              <w:t>Outcome</w:t>
            </w:r>
          </w:p>
        </w:tc>
        <w:tc>
          <w:tcPr>
            <w:tcW w:w="458" w:type="pct"/>
            <w:tcBorders>
              <w:top w:val="single" w:sz="4" w:space="0" w:color="auto"/>
              <w:left w:val="single" w:sz="4" w:space="0" w:color="auto"/>
              <w:bottom w:val="single" w:sz="4" w:space="0" w:color="auto"/>
              <w:right w:val="single" w:sz="4" w:space="0" w:color="auto"/>
            </w:tcBorders>
            <w:shd w:val="clear" w:color="auto" w:fill="auto"/>
            <w:vAlign w:val="bottom"/>
          </w:tcPr>
          <w:p w14:paraId="1AD8ADFF" w14:textId="68521B3C" w:rsidR="00037032" w:rsidRPr="00ED172B" w:rsidRDefault="00037032" w:rsidP="00037032">
            <w:pPr>
              <w:jc w:val="center"/>
              <w:rPr>
                <w:rFonts w:cs="Arial"/>
                <w:b/>
                <w:color w:val="000000" w:themeColor="text1"/>
                <w:szCs w:val="16"/>
              </w:rPr>
            </w:pPr>
            <w:r w:rsidRPr="00ED172B">
              <w:rPr>
                <w:rFonts w:cs="Arial"/>
                <w:b/>
                <w:color w:val="000000" w:themeColor="text1"/>
                <w:szCs w:val="16"/>
              </w:rPr>
              <w:t xml:space="preserve">Baseline </w:t>
            </w:r>
          </w:p>
        </w:tc>
        <w:tc>
          <w:tcPr>
            <w:tcW w:w="458" w:type="pct"/>
            <w:tcBorders>
              <w:top w:val="single" w:sz="4" w:space="0" w:color="auto"/>
              <w:left w:val="single" w:sz="4" w:space="0" w:color="auto"/>
              <w:bottom w:val="single" w:sz="4" w:space="0" w:color="auto"/>
              <w:right w:val="single" w:sz="4" w:space="0" w:color="auto"/>
            </w:tcBorders>
            <w:shd w:val="clear" w:color="auto" w:fill="auto"/>
            <w:vAlign w:val="bottom"/>
          </w:tcPr>
          <w:p w14:paraId="7A0F20E5" w14:textId="5135DFD4" w:rsidR="00037032" w:rsidRPr="00ED172B" w:rsidRDefault="00037032" w:rsidP="00037032">
            <w:pPr>
              <w:jc w:val="center"/>
              <w:rPr>
                <w:rFonts w:cs="Arial"/>
                <w:b/>
                <w:color w:val="000000" w:themeColor="text1"/>
                <w:szCs w:val="16"/>
              </w:rPr>
            </w:pPr>
            <w:r w:rsidRPr="00ED172B">
              <w:rPr>
                <w:rFonts w:cs="Arial"/>
                <w:b/>
                <w:color w:val="000000" w:themeColor="text1"/>
                <w:szCs w:val="16"/>
              </w:rPr>
              <w:t>FFY</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84D3CE9" w14:textId="3598135C" w:rsidR="00037032" w:rsidRPr="00ED172B" w:rsidRDefault="002163F2" w:rsidP="00037032">
            <w:pPr>
              <w:jc w:val="center"/>
              <w:rPr>
                <w:rFonts w:cs="Arial"/>
                <w:b/>
                <w:color w:val="000000" w:themeColor="text1"/>
                <w:szCs w:val="16"/>
              </w:rPr>
            </w:pPr>
            <w:r w:rsidRPr="00ED172B">
              <w:rPr>
                <w:rFonts w:cs="Arial"/>
                <w:b/>
                <w:color w:val="000000" w:themeColor="text1"/>
                <w:szCs w:val="16"/>
              </w:rPr>
              <w:t>2016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626A3E4" w14:textId="6E9D093F" w:rsidR="00037032" w:rsidRPr="00ED172B" w:rsidRDefault="002163F2" w:rsidP="00037032">
            <w:pPr>
              <w:jc w:val="center"/>
              <w:rPr>
                <w:rFonts w:cs="Arial"/>
                <w:b/>
                <w:color w:val="000000" w:themeColor="text1"/>
                <w:szCs w:val="16"/>
              </w:rPr>
            </w:pPr>
            <w:r w:rsidRPr="00ED172B">
              <w:rPr>
                <w:rFonts w:cs="Arial"/>
                <w:b/>
                <w:color w:val="000000" w:themeColor="text1"/>
                <w:szCs w:val="16"/>
              </w:rPr>
              <w:t>2017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36A3539" w14:textId="2900568C" w:rsidR="00037032" w:rsidRPr="00ED172B" w:rsidRDefault="002163F2" w:rsidP="00037032">
            <w:pPr>
              <w:jc w:val="center"/>
              <w:rPr>
                <w:rFonts w:cs="Arial"/>
                <w:b/>
                <w:color w:val="000000" w:themeColor="text1"/>
                <w:szCs w:val="16"/>
              </w:rPr>
            </w:pPr>
            <w:r w:rsidRPr="00ED172B">
              <w:rPr>
                <w:rFonts w:cs="Arial"/>
                <w:b/>
                <w:color w:val="000000" w:themeColor="text1"/>
                <w:szCs w:val="16"/>
              </w:rPr>
              <w:t>2018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F8C3CF2" w14:textId="6601E720" w:rsidR="00037032" w:rsidRPr="00ED172B" w:rsidRDefault="002163F2" w:rsidP="00037032">
            <w:pPr>
              <w:jc w:val="center"/>
              <w:rPr>
                <w:rFonts w:cs="Arial"/>
                <w:b/>
                <w:color w:val="000000" w:themeColor="text1"/>
                <w:szCs w:val="16"/>
              </w:rPr>
            </w:pPr>
            <w:r w:rsidRPr="00ED172B">
              <w:rPr>
                <w:rFonts w:cs="Arial"/>
                <w:b/>
                <w:color w:val="000000" w:themeColor="text1"/>
                <w:szCs w:val="16"/>
              </w:rPr>
              <w:t>2019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CADA1E4" w14:textId="632CA7F0" w:rsidR="00037032" w:rsidRPr="00ED172B" w:rsidRDefault="006D43D3" w:rsidP="00037032">
            <w:pPr>
              <w:jc w:val="center"/>
              <w:rPr>
                <w:rFonts w:cs="Arial"/>
                <w:b/>
                <w:color w:val="000000" w:themeColor="text1"/>
                <w:szCs w:val="16"/>
              </w:rPr>
            </w:pPr>
            <w:r w:rsidRPr="00ED172B">
              <w:rPr>
                <w:rFonts w:cs="Arial"/>
                <w:b/>
                <w:color w:val="000000" w:themeColor="text1"/>
                <w:szCs w:val="16"/>
              </w:rPr>
              <w:t>2020</w:t>
            </w:r>
          </w:p>
        </w:tc>
      </w:tr>
      <w:tr w:rsidR="00ED172B" w:rsidRPr="00ED172B" w14:paraId="1F9CE60C" w14:textId="3C289393" w:rsidTr="00A40EE1">
        <w:trPr>
          <w:trHeight w:val="70"/>
        </w:trPr>
        <w:tc>
          <w:tcPr>
            <w:tcW w:w="458" w:type="pct"/>
            <w:tcBorders>
              <w:top w:val="single" w:sz="4" w:space="0" w:color="auto"/>
              <w:left w:val="single" w:sz="4" w:space="0" w:color="auto"/>
              <w:right w:val="single" w:sz="4" w:space="0" w:color="auto"/>
            </w:tcBorders>
            <w:shd w:val="clear" w:color="auto" w:fill="auto"/>
            <w:vAlign w:val="center"/>
          </w:tcPr>
          <w:p w14:paraId="72381289" w14:textId="27F60238" w:rsidR="00C97484" w:rsidRPr="00ED172B" w:rsidRDefault="00C97484" w:rsidP="00186420">
            <w:pPr>
              <w:jc w:val="center"/>
              <w:rPr>
                <w:rFonts w:cs="Arial"/>
                <w:b/>
                <w:color w:val="000000" w:themeColor="text1"/>
                <w:szCs w:val="16"/>
              </w:rPr>
            </w:pPr>
            <w:r w:rsidRPr="00ED172B">
              <w:rPr>
                <w:rFonts w:cs="Arial"/>
                <w:b/>
                <w:color w:val="000000" w:themeColor="text1"/>
                <w:szCs w:val="16"/>
              </w:rPr>
              <w:t>A1</w:t>
            </w:r>
          </w:p>
        </w:tc>
        <w:tc>
          <w:tcPr>
            <w:tcW w:w="458" w:type="pct"/>
            <w:tcBorders>
              <w:top w:val="single" w:sz="4" w:space="0" w:color="auto"/>
              <w:left w:val="single" w:sz="4" w:space="0" w:color="auto"/>
              <w:right w:val="single" w:sz="4" w:space="0" w:color="auto"/>
            </w:tcBorders>
            <w:shd w:val="clear" w:color="auto" w:fill="auto"/>
          </w:tcPr>
          <w:p w14:paraId="2B5E531D" w14:textId="6A971A80" w:rsidR="00C97484" w:rsidRPr="00ED172B" w:rsidRDefault="002F5A9E" w:rsidP="00027F39">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70E878B8" w14:textId="433388B1" w:rsidR="00C97484" w:rsidRPr="00ED172B" w:rsidRDefault="00C97484" w:rsidP="00C97484">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AA52B55" w14:textId="2B0FB45C" w:rsidR="00C97484" w:rsidRPr="00ED172B" w:rsidRDefault="00860830" w:rsidP="00186420">
            <w:pPr>
              <w:jc w:val="center"/>
              <w:rPr>
                <w:rFonts w:cs="Arial"/>
                <w:color w:val="000000" w:themeColor="text1"/>
                <w:szCs w:val="16"/>
              </w:rPr>
            </w:pPr>
            <w:r w:rsidRPr="00ED172B">
              <w:rPr>
                <w:rFonts w:cs="Arial"/>
                <w:color w:val="000000" w:themeColor="text1"/>
                <w:szCs w:val="16"/>
              </w:rPr>
              <w:t>56.70%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D7C4E98" w14:textId="148700E5" w:rsidR="00C97484" w:rsidRPr="00ED172B" w:rsidRDefault="00860830" w:rsidP="00186420">
            <w:pPr>
              <w:jc w:val="center"/>
              <w:rPr>
                <w:rFonts w:cs="Arial"/>
                <w:color w:val="000000" w:themeColor="text1"/>
                <w:szCs w:val="16"/>
              </w:rPr>
            </w:pPr>
            <w:r w:rsidRPr="00ED172B">
              <w:rPr>
                <w:rFonts w:cs="Arial"/>
                <w:color w:val="000000" w:themeColor="text1"/>
                <w:szCs w:val="16"/>
              </w:rPr>
              <w:t>56.80%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4DFFA95" w14:textId="1A3A1202" w:rsidR="00C97484" w:rsidRPr="00ED172B" w:rsidRDefault="00860830" w:rsidP="00186420">
            <w:pPr>
              <w:jc w:val="center"/>
              <w:rPr>
                <w:rFonts w:cs="Arial"/>
                <w:color w:val="000000" w:themeColor="text1"/>
                <w:szCs w:val="16"/>
              </w:rPr>
            </w:pPr>
            <w:r w:rsidRPr="00ED172B">
              <w:rPr>
                <w:rFonts w:cs="Arial"/>
                <w:color w:val="000000" w:themeColor="text1"/>
                <w:szCs w:val="16"/>
              </w:rPr>
              <w:t>56.90%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C035168" w14:textId="40D18EC6" w:rsidR="00C97484" w:rsidRPr="00ED172B" w:rsidRDefault="00860830" w:rsidP="00186420">
            <w:pPr>
              <w:jc w:val="center"/>
              <w:rPr>
                <w:rFonts w:cs="Arial"/>
                <w:color w:val="000000" w:themeColor="text1"/>
                <w:szCs w:val="16"/>
              </w:rPr>
            </w:pPr>
            <w:r w:rsidRPr="00ED172B">
              <w:rPr>
                <w:rFonts w:cs="Arial"/>
                <w:color w:val="000000" w:themeColor="text1"/>
                <w:szCs w:val="16"/>
              </w:rPr>
              <w:t>56.90%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BB24FE1" w14:textId="425F16AC" w:rsidR="00C97484" w:rsidRPr="00ED172B" w:rsidRDefault="00860830" w:rsidP="00186420">
            <w:pPr>
              <w:jc w:val="center"/>
              <w:rPr>
                <w:rFonts w:cs="Arial"/>
                <w:color w:val="000000" w:themeColor="text1"/>
                <w:szCs w:val="16"/>
              </w:rPr>
            </w:pPr>
            <w:r w:rsidRPr="00ED172B">
              <w:rPr>
                <w:rFonts w:cs="Arial"/>
                <w:color w:val="000000" w:themeColor="text1"/>
                <w:szCs w:val="16"/>
              </w:rPr>
              <w:t>57.00%</w:t>
            </w:r>
          </w:p>
        </w:tc>
      </w:tr>
      <w:tr w:rsidR="00ED172B" w:rsidRPr="00ED172B" w14:paraId="5D964328" w14:textId="02AF7702" w:rsidTr="00A40EE1">
        <w:trPr>
          <w:trHeight w:val="70"/>
        </w:trPr>
        <w:tc>
          <w:tcPr>
            <w:tcW w:w="458" w:type="pct"/>
            <w:tcBorders>
              <w:left w:val="single" w:sz="4" w:space="0" w:color="auto"/>
              <w:right w:val="single" w:sz="4" w:space="0" w:color="auto"/>
            </w:tcBorders>
            <w:shd w:val="clear" w:color="auto" w:fill="auto"/>
            <w:vAlign w:val="center"/>
          </w:tcPr>
          <w:p w14:paraId="61320B83" w14:textId="58DBCE73" w:rsidR="00C97484" w:rsidRPr="00ED172B" w:rsidRDefault="006935F4" w:rsidP="00186420">
            <w:pPr>
              <w:jc w:val="center"/>
              <w:rPr>
                <w:rFonts w:cs="Arial"/>
                <w:b/>
                <w:color w:val="000000" w:themeColor="text1"/>
                <w:szCs w:val="16"/>
              </w:rPr>
            </w:pPr>
            <w:r w:rsidRPr="00ED172B">
              <w:rPr>
                <w:rFonts w:cs="Arial"/>
                <w:b/>
                <w:color w:val="000000" w:themeColor="text1"/>
                <w:szCs w:val="16"/>
              </w:rPr>
              <w:t>A1</w:t>
            </w:r>
          </w:p>
        </w:tc>
        <w:tc>
          <w:tcPr>
            <w:tcW w:w="458" w:type="pct"/>
            <w:tcBorders>
              <w:left w:val="single" w:sz="4" w:space="0" w:color="auto"/>
              <w:right w:val="single" w:sz="4" w:space="0" w:color="auto"/>
            </w:tcBorders>
            <w:shd w:val="clear" w:color="auto" w:fill="auto"/>
          </w:tcPr>
          <w:p w14:paraId="16F7D945" w14:textId="6928B791" w:rsidR="00C97484" w:rsidRPr="00ED172B" w:rsidRDefault="002F5A9E" w:rsidP="00027F39">
            <w:pPr>
              <w:jc w:val="center"/>
              <w:rPr>
                <w:color w:val="000000" w:themeColor="text1"/>
              </w:rPr>
            </w:pPr>
            <w:r w:rsidRPr="00ED172B">
              <w:rPr>
                <w:color w:val="000000" w:themeColor="text1"/>
              </w:rPr>
              <w:t>56.67%</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407B9549" w14:textId="7B3DB5DB" w:rsidR="00C97484" w:rsidRPr="00ED172B" w:rsidRDefault="00C97484" w:rsidP="00C97484">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06538A3" w14:textId="59F83FE5" w:rsidR="00C97484" w:rsidRPr="00ED172B" w:rsidRDefault="00860830" w:rsidP="00186420">
            <w:pPr>
              <w:jc w:val="center"/>
              <w:rPr>
                <w:rFonts w:cs="Arial"/>
                <w:color w:val="000000" w:themeColor="text1"/>
                <w:szCs w:val="16"/>
              </w:rPr>
            </w:pPr>
            <w:r w:rsidRPr="00ED172B">
              <w:rPr>
                <w:rFonts w:cs="Arial"/>
                <w:color w:val="000000" w:themeColor="text1"/>
                <w:szCs w:val="16"/>
              </w:rPr>
              <w:t>56.17%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63A62D0" w14:textId="6B6BA79F" w:rsidR="00C97484" w:rsidRPr="00ED172B" w:rsidRDefault="00860830" w:rsidP="00186420">
            <w:pPr>
              <w:jc w:val="center"/>
              <w:rPr>
                <w:rFonts w:cs="Arial"/>
                <w:color w:val="000000" w:themeColor="text1"/>
                <w:szCs w:val="16"/>
              </w:rPr>
            </w:pPr>
            <w:r w:rsidRPr="00ED172B">
              <w:rPr>
                <w:rFonts w:cs="Arial"/>
                <w:color w:val="000000" w:themeColor="text1"/>
                <w:szCs w:val="16"/>
              </w:rPr>
              <w:t>55.74%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8ED95BD" w14:textId="57C731B8" w:rsidR="00C97484" w:rsidRPr="00ED172B" w:rsidRDefault="00860830" w:rsidP="00186420">
            <w:pPr>
              <w:jc w:val="center"/>
              <w:rPr>
                <w:rFonts w:cs="Arial"/>
                <w:color w:val="000000" w:themeColor="text1"/>
                <w:szCs w:val="16"/>
              </w:rPr>
            </w:pPr>
            <w:r w:rsidRPr="00ED172B">
              <w:rPr>
                <w:rFonts w:cs="Arial"/>
                <w:color w:val="000000" w:themeColor="text1"/>
                <w:szCs w:val="16"/>
              </w:rPr>
              <w:t>52.81%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8D145AF" w14:textId="06283571" w:rsidR="00C97484" w:rsidRPr="00ED172B" w:rsidRDefault="00860830" w:rsidP="00186420">
            <w:pPr>
              <w:jc w:val="center"/>
              <w:rPr>
                <w:rFonts w:cs="Arial"/>
                <w:color w:val="000000" w:themeColor="text1"/>
                <w:szCs w:val="16"/>
              </w:rPr>
            </w:pPr>
            <w:r w:rsidRPr="00ED172B">
              <w:rPr>
                <w:rFonts w:cs="Arial"/>
                <w:color w:val="000000" w:themeColor="text1"/>
                <w:szCs w:val="16"/>
              </w:rPr>
              <w:t>44.80%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0753C67" w14:textId="6D1EC722" w:rsidR="00C97484" w:rsidRPr="00ED172B" w:rsidRDefault="00860830" w:rsidP="00186420">
            <w:pPr>
              <w:jc w:val="center"/>
              <w:rPr>
                <w:rFonts w:cs="Arial"/>
                <w:color w:val="000000" w:themeColor="text1"/>
                <w:szCs w:val="16"/>
              </w:rPr>
            </w:pPr>
            <w:r w:rsidRPr="00ED172B">
              <w:rPr>
                <w:rFonts w:cs="Arial"/>
                <w:color w:val="000000" w:themeColor="text1"/>
                <w:szCs w:val="16"/>
              </w:rPr>
              <w:t>49.31%</w:t>
            </w:r>
          </w:p>
        </w:tc>
      </w:tr>
      <w:tr w:rsidR="00ED172B" w:rsidRPr="00ED172B" w14:paraId="0BA2BA9D" w14:textId="4C9B097F" w:rsidTr="00A40EE1">
        <w:trPr>
          <w:trHeight w:val="70"/>
        </w:trPr>
        <w:tc>
          <w:tcPr>
            <w:tcW w:w="458" w:type="pct"/>
            <w:tcBorders>
              <w:top w:val="single" w:sz="4" w:space="0" w:color="auto"/>
              <w:left w:val="single" w:sz="4" w:space="0" w:color="auto"/>
              <w:right w:val="single" w:sz="4" w:space="0" w:color="auto"/>
            </w:tcBorders>
            <w:shd w:val="clear" w:color="auto" w:fill="auto"/>
            <w:vAlign w:val="center"/>
          </w:tcPr>
          <w:p w14:paraId="689B4B04" w14:textId="22350DFC" w:rsidR="00456D75" w:rsidRPr="00ED172B" w:rsidRDefault="008B3D40" w:rsidP="00186420">
            <w:pPr>
              <w:jc w:val="center"/>
              <w:rPr>
                <w:rFonts w:cs="Arial"/>
                <w:b/>
                <w:color w:val="000000" w:themeColor="text1"/>
                <w:szCs w:val="16"/>
              </w:rPr>
            </w:pPr>
            <w:r w:rsidRPr="00ED172B">
              <w:rPr>
                <w:rFonts w:cs="Arial"/>
                <w:b/>
                <w:color w:val="000000" w:themeColor="text1"/>
                <w:szCs w:val="16"/>
              </w:rPr>
              <w:t>A1 AR</w:t>
            </w:r>
          </w:p>
        </w:tc>
        <w:tc>
          <w:tcPr>
            <w:tcW w:w="458" w:type="pct"/>
            <w:tcBorders>
              <w:top w:val="single" w:sz="4" w:space="0" w:color="auto"/>
              <w:left w:val="single" w:sz="4" w:space="0" w:color="auto"/>
              <w:right w:val="single" w:sz="4" w:space="0" w:color="auto"/>
            </w:tcBorders>
            <w:shd w:val="clear" w:color="auto" w:fill="auto"/>
          </w:tcPr>
          <w:p w14:paraId="4C655FA7" w14:textId="40590C58" w:rsidR="00456D75" w:rsidRPr="00ED172B" w:rsidRDefault="002F5A9E" w:rsidP="00027F39">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3005831F" w14:textId="54F5AF08" w:rsidR="00456D75" w:rsidRPr="00ED172B" w:rsidRDefault="00456D75" w:rsidP="00456D7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CFA9D2C" w14:textId="7048AAFB"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56C914D" w14:textId="2ED460A9"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0F1B9B" w14:textId="248D0871" w:rsidR="00456D75" w:rsidRPr="00ED172B" w:rsidRDefault="00860830" w:rsidP="00186420">
            <w:pPr>
              <w:jc w:val="center"/>
              <w:rPr>
                <w:rFonts w:cs="Arial"/>
                <w:color w:val="000000" w:themeColor="text1"/>
                <w:szCs w:val="16"/>
              </w:rPr>
            </w:pPr>
            <w:r w:rsidRPr="00ED172B">
              <w:rPr>
                <w:rFonts w:cs="Arial"/>
                <w:color w:val="000000" w:themeColor="text1"/>
                <w:szCs w:val="16"/>
              </w:rPr>
              <w:t>52.81%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DA30CA" w14:textId="518990BF"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2C821F4" w14:textId="2582C3FC"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24C50F7E" w14:textId="02CB7F29" w:rsidTr="00A40EE1">
        <w:trPr>
          <w:trHeight w:val="287"/>
        </w:trPr>
        <w:tc>
          <w:tcPr>
            <w:tcW w:w="458" w:type="pct"/>
            <w:tcBorders>
              <w:left w:val="single" w:sz="4" w:space="0" w:color="auto"/>
              <w:right w:val="single" w:sz="4" w:space="0" w:color="auto"/>
            </w:tcBorders>
            <w:shd w:val="clear" w:color="auto" w:fill="auto"/>
            <w:vAlign w:val="center"/>
          </w:tcPr>
          <w:p w14:paraId="7CDDE070" w14:textId="68664107" w:rsidR="00456D75" w:rsidRPr="00ED172B" w:rsidRDefault="008B3D40" w:rsidP="00186420">
            <w:pPr>
              <w:jc w:val="center"/>
              <w:rPr>
                <w:rFonts w:cs="Arial"/>
                <w:b/>
                <w:color w:val="000000" w:themeColor="text1"/>
                <w:szCs w:val="16"/>
              </w:rPr>
            </w:pPr>
            <w:r w:rsidRPr="00ED172B">
              <w:rPr>
                <w:rFonts w:cs="Arial"/>
                <w:b/>
                <w:color w:val="000000" w:themeColor="text1"/>
                <w:szCs w:val="16"/>
              </w:rPr>
              <w:t>A1 AR</w:t>
            </w:r>
          </w:p>
        </w:tc>
        <w:tc>
          <w:tcPr>
            <w:tcW w:w="458" w:type="pct"/>
            <w:tcBorders>
              <w:left w:val="single" w:sz="4" w:space="0" w:color="auto"/>
              <w:right w:val="single" w:sz="4" w:space="0" w:color="auto"/>
            </w:tcBorders>
            <w:shd w:val="clear" w:color="auto" w:fill="auto"/>
          </w:tcPr>
          <w:p w14:paraId="4DC5C267" w14:textId="62676658" w:rsidR="00456D75" w:rsidRPr="00ED172B" w:rsidRDefault="002F5A9E" w:rsidP="00027F39">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hideMark/>
          </w:tcPr>
          <w:p w14:paraId="59DDDDA5" w14:textId="42C587B1" w:rsidR="00456D75" w:rsidRPr="00ED172B" w:rsidRDefault="00456D75" w:rsidP="00456D7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A3D5E10" w14:textId="4ECA0D69"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4E7A8F" w14:textId="6EDE807B" w:rsidR="00456D7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0C08541" w14:textId="718AA759" w:rsidR="00456D75" w:rsidRPr="00ED172B" w:rsidRDefault="00860830" w:rsidP="00186420">
            <w:pPr>
              <w:jc w:val="center"/>
              <w:rPr>
                <w:rFonts w:cs="Arial"/>
                <w:color w:val="000000" w:themeColor="text1"/>
                <w:szCs w:val="16"/>
              </w:rPr>
            </w:pPr>
            <w:r w:rsidRPr="00ED172B">
              <w:rPr>
                <w:rFonts w:cs="Arial"/>
                <w:color w:val="000000" w:themeColor="text1"/>
                <w:szCs w:val="16"/>
              </w:rPr>
              <w:t>93.62%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77B6200" w14:textId="78B2D5AF" w:rsidR="00456D75" w:rsidRPr="00ED172B" w:rsidRDefault="00860830" w:rsidP="00186420">
            <w:pPr>
              <w:jc w:val="center"/>
              <w:rPr>
                <w:rFonts w:cs="Arial"/>
                <w:color w:val="000000" w:themeColor="text1"/>
                <w:szCs w:val="16"/>
              </w:rPr>
            </w:pPr>
            <w:r w:rsidRPr="00ED172B">
              <w:rPr>
                <w:rFonts w:cs="Arial"/>
                <w:color w:val="000000" w:themeColor="text1"/>
                <w:szCs w:val="16"/>
              </w:rPr>
              <w:t>93.75%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3DA0290" w14:textId="7F40306B" w:rsidR="00456D75" w:rsidRPr="00ED172B" w:rsidRDefault="00860830" w:rsidP="00186420">
            <w:pPr>
              <w:jc w:val="center"/>
              <w:rPr>
                <w:rFonts w:cs="Arial"/>
                <w:color w:val="000000" w:themeColor="text1"/>
                <w:szCs w:val="16"/>
              </w:rPr>
            </w:pPr>
            <w:r w:rsidRPr="00ED172B">
              <w:rPr>
                <w:rFonts w:cs="Arial"/>
                <w:color w:val="000000" w:themeColor="text1"/>
                <w:szCs w:val="16"/>
              </w:rPr>
              <w:t>100.00%</w:t>
            </w:r>
          </w:p>
        </w:tc>
      </w:tr>
      <w:tr w:rsidR="00ED172B" w:rsidRPr="00ED172B" w14:paraId="40CBAAF1" w14:textId="6DA130C5" w:rsidTr="00A40EE1">
        <w:trPr>
          <w:trHeight w:val="85"/>
        </w:trPr>
        <w:tc>
          <w:tcPr>
            <w:tcW w:w="458" w:type="pct"/>
            <w:tcBorders>
              <w:left w:val="single" w:sz="4" w:space="0" w:color="auto"/>
              <w:right w:val="single" w:sz="4" w:space="0" w:color="auto"/>
            </w:tcBorders>
            <w:shd w:val="clear" w:color="auto" w:fill="auto"/>
            <w:vAlign w:val="center"/>
          </w:tcPr>
          <w:p w14:paraId="36F0186F" w14:textId="50D3C0B4" w:rsidR="009D6400" w:rsidRPr="00ED172B" w:rsidRDefault="009D6400" w:rsidP="00186420">
            <w:pPr>
              <w:jc w:val="center"/>
              <w:rPr>
                <w:rFonts w:cs="Arial"/>
                <w:b/>
                <w:color w:val="000000" w:themeColor="text1"/>
                <w:szCs w:val="16"/>
              </w:rPr>
            </w:pPr>
            <w:r w:rsidRPr="00ED172B">
              <w:rPr>
                <w:rFonts w:cs="Arial"/>
                <w:b/>
                <w:color w:val="000000" w:themeColor="text1"/>
                <w:szCs w:val="16"/>
              </w:rPr>
              <w:t>A2</w:t>
            </w:r>
          </w:p>
        </w:tc>
        <w:tc>
          <w:tcPr>
            <w:tcW w:w="458" w:type="pct"/>
            <w:tcBorders>
              <w:left w:val="single" w:sz="4" w:space="0" w:color="auto"/>
              <w:right w:val="single" w:sz="4" w:space="0" w:color="auto"/>
            </w:tcBorders>
            <w:shd w:val="clear" w:color="auto" w:fill="auto"/>
          </w:tcPr>
          <w:p w14:paraId="76A6E1A7" w14:textId="29F354AF" w:rsidR="009D6400" w:rsidRPr="00ED172B" w:rsidRDefault="001E39E3" w:rsidP="001E39E3">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18B9F82" w14:textId="24A550CC" w:rsidR="009D6400" w:rsidRPr="00ED172B" w:rsidRDefault="009D6400" w:rsidP="009D6400">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97C686E" w14:textId="75196910" w:rsidR="009D6400" w:rsidRPr="00ED172B" w:rsidRDefault="00860830" w:rsidP="00186420">
            <w:pPr>
              <w:jc w:val="center"/>
              <w:rPr>
                <w:rFonts w:cs="Arial"/>
                <w:color w:val="000000" w:themeColor="text1"/>
                <w:szCs w:val="16"/>
              </w:rPr>
            </w:pPr>
            <w:r w:rsidRPr="00ED172B">
              <w:rPr>
                <w:rFonts w:cs="Arial"/>
                <w:color w:val="000000" w:themeColor="text1"/>
                <w:szCs w:val="16"/>
              </w:rPr>
              <w:t>70.90%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4BF2D50" w14:textId="6AE08B89" w:rsidR="009D6400" w:rsidRPr="00ED172B" w:rsidRDefault="00860830" w:rsidP="00186420">
            <w:pPr>
              <w:jc w:val="center"/>
              <w:rPr>
                <w:rFonts w:cs="Arial"/>
                <w:color w:val="000000" w:themeColor="text1"/>
                <w:szCs w:val="16"/>
              </w:rPr>
            </w:pPr>
            <w:r w:rsidRPr="00ED172B">
              <w:rPr>
                <w:rFonts w:cs="Arial"/>
                <w:color w:val="000000" w:themeColor="text1"/>
                <w:szCs w:val="16"/>
              </w:rPr>
              <w:t>71.00%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53A1887" w14:textId="4356095F" w:rsidR="009D6400" w:rsidRPr="00ED172B" w:rsidRDefault="00860830" w:rsidP="00186420">
            <w:pPr>
              <w:jc w:val="center"/>
              <w:rPr>
                <w:rFonts w:cs="Arial"/>
                <w:color w:val="000000" w:themeColor="text1"/>
                <w:szCs w:val="16"/>
              </w:rPr>
            </w:pPr>
            <w:r w:rsidRPr="00ED172B">
              <w:rPr>
                <w:rFonts w:cs="Arial"/>
                <w:color w:val="000000" w:themeColor="text1"/>
                <w:szCs w:val="16"/>
              </w:rPr>
              <w:t>71.10%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EE87284" w14:textId="56B24C10" w:rsidR="009D6400" w:rsidRPr="00ED172B" w:rsidRDefault="00860830" w:rsidP="00186420">
            <w:pPr>
              <w:jc w:val="center"/>
              <w:rPr>
                <w:rFonts w:cs="Arial"/>
                <w:color w:val="000000" w:themeColor="text1"/>
                <w:szCs w:val="16"/>
              </w:rPr>
            </w:pPr>
            <w:r w:rsidRPr="00ED172B">
              <w:rPr>
                <w:rFonts w:cs="Arial"/>
                <w:color w:val="000000" w:themeColor="text1"/>
                <w:szCs w:val="16"/>
              </w:rPr>
              <w:t>71.10%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BD8D9F8" w14:textId="111CF7C1" w:rsidR="009D6400" w:rsidRPr="00ED172B" w:rsidRDefault="00860830" w:rsidP="00186420">
            <w:pPr>
              <w:jc w:val="center"/>
              <w:rPr>
                <w:rFonts w:cs="Arial"/>
                <w:color w:val="000000" w:themeColor="text1"/>
                <w:szCs w:val="16"/>
              </w:rPr>
            </w:pPr>
            <w:r w:rsidRPr="00ED172B">
              <w:rPr>
                <w:rFonts w:cs="Arial"/>
                <w:color w:val="000000" w:themeColor="text1"/>
                <w:szCs w:val="16"/>
              </w:rPr>
              <w:t>71.20%</w:t>
            </w:r>
          </w:p>
        </w:tc>
      </w:tr>
      <w:tr w:rsidR="00ED172B" w:rsidRPr="00ED172B" w14:paraId="5C01EB8C" w14:textId="292EE838" w:rsidTr="00A40EE1">
        <w:trPr>
          <w:trHeight w:val="85"/>
        </w:trPr>
        <w:tc>
          <w:tcPr>
            <w:tcW w:w="458" w:type="pct"/>
            <w:tcBorders>
              <w:left w:val="single" w:sz="4" w:space="0" w:color="auto"/>
              <w:right w:val="single" w:sz="4" w:space="0" w:color="auto"/>
            </w:tcBorders>
            <w:shd w:val="clear" w:color="auto" w:fill="auto"/>
            <w:vAlign w:val="center"/>
          </w:tcPr>
          <w:p w14:paraId="6069A65B" w14:textId="218CEA15" w:rsidR="009D6400" w:rsidRPr="00ED172B" w:rsidRDefault="006935F4" w:rsidP="00186420">
            <w:pPr>
              <w:jc w:val="center"/>
              <w:rPr>
                <w:rFonts w:cs="Arial"/>
                <w:b/>
                <w:color w:val="000000" w:themeColor="text1"/>
                <w:szCs w:val="16"/>
              </w:rPr>
            </w:pPr>
            <w:r w:rsidRPr="00ED172B">
              <w:rPr>
                <w:rFonts w:cs="Arial"/>
                <w:b/>
                <w:color w:val="000000" w:themeColor="text1"/>
                <w:szCs w:val="16"/>
              </w:rPr>
              <w:t>A2</w:t>
            </w:r>
          </w:p>
        </w:tc>
        <w:tc>
          <w:tcPr>
            <w:tcW w:w="458" w:type="pct"/>
            <w:tcBorders>
              <w:left w:val="single" w:sz="4" w:space="0" w:color="auto"/>
              <w:right w:val="single" w:sz="4" w:space="0" w:color="auto"/>
            </w:tcBorders>
            <w:shd w:val="clear" w:color="auto" w:fill="auto"/>
          </w:tcPr>
          <w:p w14:paraId="58343D46" w14:textId="38F2491D" w:rsidR="009D6400" w:rsidRPr="00ED172B" w:rsidRDefault="001E39E3" w:rsidP="001E39E3">
            <w:pPr>
              <w:jc w:val="center"/>
              <w:rPr>
                <w:color w:val="000000" w:themeColor="text1"/>
              </w:rPr>
            </w:pPr>
            <w:r w:rsidRPr="00ED172B">
              <w:rPr>
                <w:color w:val="000000" w:themeColor="text1"/>
              </w:rPr>
              <w:t>70.85%</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274E029" w14:textId="6D995992" w:rsidR="009D6400" w:rsidRPr="00ED172B" w:rsidRDefault="009D6400" w:rsidP="009D6400">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84FAAD7" w14:textId="5D156EF7" w:rsidR="009D6400" w:rsidRPr="00ED172B" w:rsidRDefault="00860830" w:rsidP="00186420">
            <w:pPr>
              <w:jc w:val="center"/>
              <w:rPr>
                <w:rFonts w:cs="Arial"/>
                <w:color w:val="000000" w:themeColor="text1"/>
                <w:szCs w:val="16"/>
              </w:rPr>
            </w:pPr>
            <w:r w:rsidRPr="00ED172B">
              <w:rPr>
                <w:rFonts w:cs="Arial"/>
                <w:color w:val="000000" w:themeColor="text1"/>
                <w:szCs w:val="16"/>
              </w:rPr>
              <w:t>69.01%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359CA95" w14:textId="5DD7F10B" w:rsidR="009D6400" w:rsidRPr="00ED172B" w:rsidRDefault="00860830" w:rsidP="00186420">
            <w:pPr>
              <w:jc w:val="center"/>
              <w:rPr>
                <w:rFonts w:cs="Arial"/>
                <w:color w:val="000000" w:themeColor="text1"/>
                <w:szCs w:val="16"/>
              </w:rPr>
            </w:pPr>
            <w:r w:rsidRPr="00ED172B">
              <w:rPr>
                <w:rFonts w:cs="Arial"/>
                <w:color w:val="000000" w:themeColor="text1"/>
                <w:szCs w:val="16"/>
              </w:rPr>
              <w:t>69.14%</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6BD6CC0" w14:textId="05506B0A" w:rsidR="009D6400" w:rsidRPr="00ED172B" w:rsidRDefault="00860830" w:rsidP="00186420">
            <w:pPr>
              <w:jc w:val="center"/>
              <w:rPr>
                <w:rFonts w:cs="Arial"/>
                <w:color w:val="000000" w:themeColor="text1"/>
                <w:szCs w:val="16"/>
              </w:rPr>
            </w:pPr>
            <w:r w:rsidRPr="00ED172B">
              <w:rPr>
                <w:rFonts w:cs="Arial"/>
                <w:color w:val="000000" w:themeColor="text1"/>
                <w:szCs w:val="16"/>
              </w:rPr>
              <w:t>66.12%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BBCC63F" w14:textId="6DB48DE6" w:rsidR="009D6400" w:rsidRPr="00ED172B" w:rsidRDefault="00860830" w:rsidP="00186420">
            <w:pPr>
              <w:jc w:val="center"/>
              <w:rPr>
                <w:rFonts w:cs="Arial"/>
                <w:color w:val="000000" w:themeColor="text1"/>
                <w:szCs w:val="16"/>
              </w:rPr>
            </w:pPr>
            <w:r w:rsidRPr="00ED172B">
              <w:rPr>
                <w:rFonts w:cs="Arial"/>
                <w:color w:val="000000" w:themeColor="text1"/>
                <w:szCs w:val="16"/>
              </w:rPr>
              <w:t>61.15%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78F801E" w14:textId="25CEB82E" w:rsidR="009D6400" w:rsidRPr="00ED172B" w:rsidRDefault="00860830" w:rsidP="00186420">
            <w:pPr>
              <w:jc w:val="center"/>
              <w:rPr>
                <w:rFonts w:cs="Arial"/>
                <w:color w:val="000000" w:themeColor="text1"/>
                <w:szCs w:val="16"/>
              </w:rPr>
            </w:pPr>
            <w:r w:rsidRPr="00ED172B">
              <w:rPr>
                <w:rFonts w:cs="Arial"/>
                <w:color w:val="000000" w:themeColor="text1"/>
                <w:szCs w:val="16"/>
              </w:rPr>
              <w:t>64.37%</w:t>
            </w:r>
          </w:p>
        </w:tc>
      </w:tr>
      <w:tr w:rsidR="00ED172B" w:rsidRPr="00ED172B" w14:paraId="634D06D5" w14:textId="2732B539" w:rsidTr="00A40EE1">
        <w:trPr>
          <w:trHeight w:val="85"/>
        </w:trPr>
        <w:tc>
          <w:tcPr>
            <w:tcW w:w="458" w:type="pct"/>
            <w:tcBorders>
              <w:left w:val="single" w:sz="4" w:space="0" w:color="auto"/>
              <w:right w:val="single" w:sz="4" w:space="0" w:color="auto"/>
            </w:tcBorders>
            <w:shd w:val="clear" w:color="auto" w:fill="auto"/>
            <w:vAlign w:val="center"/>
          </w:tcPr>
          <w:p w14:paraId="50B645FB" w14:textId="35D9AA7F" w:rsidR="009D6400" w:rsidRPr="00ED172B" w:rsidRDefault="008B3D40" w:rsidP="00186420">
            <w:pPr>
              <w:jc w:val="center"/>
              <w:rPr>
                <w:rFonts w:cs="Arial"/>
                <w:b/>
                <w:color w:val="000000" w:themeColor="text1"/>
                <w:szCs w:val="16"/>
              </w:rPr>
            </w:pPr>
            <w:r w:rsidRPr="00ED172B">
              <w:rPr>
                <w:rFonts w:cs="Arial"/>
                <w:b/>
                <w:color w:val="000000" w:themeColor="text1"/>
                <w:szCs w:val="16"/>
              </w:rPr>
              <w:t>A2 AR</w:t>
            </w:r>
          </w:p>
        </w:tc>
        <w:tc>
          <w:tcPr>
            <w:tcW w:w="458" w:type="pct"/>
            <w:tcBorders>
              <w:left w:val="single" w:sz="4" w:space="0" w:color="auto"/>
              <w:right w:val="single" w:sz="4" w:space="0" w:color="auto"/>
            </w:tcBorders>
            <w:shd w:val="clear" w:color="auto" w:fill="auto"/>
          </w:tcPr>
          <w:p w14:paraId="3FA81BCE" w14:textId="31C0E434" w:rsidR="009D6400"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5B838BD" w14:textId="1F5956D8" w:rsidR="009D6400" w:rsidRPr="00ED172B" w:rsidRDefault="009D6400" w:rsidP="009D6400">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4EB9324" w14:textId="41656AFE"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C78BD98" w14:textId="6AC679E6"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F0E512C" w14:textId="5B3F4E69" w:rsidR="009D6400" w:rsidRPr="00ED172B" w:rsidRDefault="00860830" w:rsidP="00186420">
            <w:pPr>
              <w:jc w:val="center"/>
              <w:rPr>
                <w:rFonts w:cs="Arial"/>
                <w:color w:val="000000" w:themeColor="text1"/>
                <w:szCs w:val="16"/>
              </w:rPr>
            </w:pPr>
            <w:r w:rsidRPr="00ED172B">
              <w:rPr>
                <w:rFonts w:cs="Arial"/>
                <w:color w:val="000000" w:themeColor="text1"/>
                <w:szCs w:val="16"/>
              </w:rPr>
              <w:t>66.12%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1833F3A" w14:textId="26AFF4AD"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F5F19A2" w14:textId="474A6537"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2272E5BB" w14:textId="5E673218" w:rsidTr="00A40EE1">
        <w:trPr>
          <w:trHeight w:val="85"/>
        </w:trPr>
        <w:tc>
          <w:tcPr>
            <w:tcW w:w="458" w:type="pct"/>
            <w:tcBorders>
              <w:left w:val="single" w:sz="4" w:space="0" w:color="auto"/>
              <w:right w:val="single" w:sz="4" w:space="0" w:color="auto"/>
            </w:tcBorders>
            <w:shd w:val="clear" w:color="auto" w:fill="auto"/>
            <w:vAlign w:val="center"/>
          </w:tcPr>
          <w:p w14:paraId="1D0C1157" w14:textId="7A6E94C3" w:rsidR="009D6400" w:rsidRPr="00ED172B" w:rsidRDefault="008B3D40" w:rsidP="00186420">
            <w:pPr>
              <w:jc w:val="center"/>
              <w:rPr>
                <w:rFonts w:cs="Arial"/>
                <w:b/>
                <w:color w:val="000000" w:themeColor="text1"/>
                <w:szCs w:val="16"/>
              </w:rPr>
            </w:pPr>
            <w:r w:rsidRPr="00ED172B">
              <w:rPr>
                <w:rFonts w:cs="Arial"/>
                <w:b/>
                <w:color w:val="000000" w:themeColor="text1"/>
                <w:szCs w:val="16"/>
              </w:rPr>
              <w:t>A2 AR</w:t>
            </w:r>
          </w:p>
        </w:tc>
        <w:tc>
          <w:tcPr>
            <w:tcW w:w="458" w:type="pct"/>
            <w:tcBorders>
              <w:left w:val="single" w:sz="4" w:space="0" w:color="auto"/>
              <w:right w:val="single" w:sz="4" w:space="0" w:color="auto"/>
            </w:tcBorders>
            <w:shd w:val="clear" w:color="auto" w:fill="auto"/>
          </w:tcPr>
          <w:p w14:paraId="34AEF93A" w14:textId="538EC8D5" w:rsidR="009D6400"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02123E4" w14:textId="2CC32E3A" w:rsidR="009D6400" w:rsidRPr="00ED172B" w:rsidRDefault="009D6400" w:rsidP="009D6400">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18D420C" w14:textId="437BF4A4"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32BB901" w14:textId="104613F6"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F650B65" w14:textId="0955173A" w:rsidR="009D6400" w:rsidRPr="00ED172B" w:rsidRDefault="00860830" w:rsidP="00186420">
            <w:pPr>
              <w:jc w:val="center"/>
              <w:rPr>
                <w:rFonts w:cs="Arial"/>
                <w:color w:val="000000" w:themeColor="text1"/>
                <w:szCs w:val="16"/>
              </w:rPr>
            </w:pPr>
            <w:r w:rsidRPr="00ED172B">
              <w:rPr>
                <w:rFonts w:cs="Arial"/>
                <w:color w:val="000000" w:themeColor="text1"/>
                <w:szCs w:val="16"/>
              </w:rPr>
              <w:t>96.69%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9A80F1" w14:textId="7018920B" w:rsidR="009D6400" w:rsidRPr="00ED172B" w:rsidRDefault="00860830" w:rsidP="00186420">
            <w:pPr>
              <w:jc w:val="center"/>
              <w:rPr>
                <w:rFonts w:cs="Arial"/>
                <w:color w:val="000000" w:themeColor="text1"/>
                <w:szCs w:val="16"/>
              </w:rPr>
            </w:pPr>
            <w:r w:rsidRPr="00ED172B">
              <w:rPr>
                <w:rFonts w:cs="Arial"/>
                <w:color w:val="000000" w:themeColor="text1"/>
                <w:szCs w:val="16"/>
              </w:rPr>
              <w:t>96.75%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7F99F2E" w14:textId="2E39C7A4"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r>
      <w:tr w:rsidR="00ED172B" w:rsidRPr="00ED172B" w14:paraId="1529A87B" w14:textId="7E5C8717" w:rsidTr="00A40EE1">
        <w:trPr>
          <w:trHeight w:val="85"/>
        </w:trPr>
        <w:tc>
          <w:tcPr>
            <w:tcW w:w="458" w:type="pct"/>
            <w:tcBorders>
              <w:left w:val="single" w:sz="4" w:space="0" w:color="auto"/>
              <w:right w:val="single" w:sz="4" w:space="0" w:color="auto"/>
            </w:tcBorders>
            <w:shd w:val="clear" w:color="auto" w:fill="auto"/>
            <w:vAlign w:val="center"/>
          </w:tcPr>
          <w:p w14:paraId="2CE3FEB7" w14:textId="540B67BC" w:rsidR="009D6400" w:rsidRPr="00ED172B" w:rsidRDefault="009D6400" w:rsidP="00186420">
            <w:pPr>
              <w:jc w:val="center"/>
              <w:rPr>
                <w:rFonts w:cs="Arial"/>
                <w:b/>
                <w:color w:val="000000" w:themeColor="text1"/>
                <w:szCs w:val="16"/>
              </w:rPr>
            </w:pPr>
            <w:r w:rsidRPr="00ED172B">
              <w:rPr>
                <w:rFonts w:cs="Arial"/>
                <w:b/>
                <w:color w:val="000000" w:themeColor="text1"/>
                <w:szCs w:val="16"/>
              </w:rPr>
              <w:t>B1</w:t>
            </w:r>
          </w:p>
        </w:tc>
        <w:tc>
          <w:tcPr>
            <w:tcW w:w="458" w:type="pct"/>
            <w:tcBorders>
              <w:left w:val="single" w:sz="4" w:space="0" w:color="auto"/>
              <w:right w:val="single" w:sz="4" w:space="0" w:color="auto"/>
            </w:tcBorders>
            <w:shd w:val="clear" w:color="auto" w:fill="auto"/>
          </w:tcPr>
          <w:p w14:paraId="73908386" w14:textId="0F2866BB" w:rsidR="009D6400" w:rsidRPr="00ED172B" w:rsidRDefault="001E39E3"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6B836B0" w14:textId="0C19DD0E" w:rsidR="009D6400" w:rsidRPr="00ED172B" w:rsidRDefault="009D6400" w:rsidP="009D6400">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9E22441" w14:textId="57420F0B" w:rsidR="009D6400" w:rsidRPr="00ED172B" w:rsidRDefault="00860830" w:rsidP="00186420">
            <w:pPr>
              <w:jc w:val="center"/>
              <w:rPr>
                <w:rFonts w:cs="Arial"/>
                <w:color w:val="000000" w:themeColor="text1"/>
                <w:szCs w:val="16"/>
              </w:rPr>
            </w:pPr>
            <w:r w:rsidRPr="00ED172B">
              <w:rPr>
                <w:rFonts w:cs="Arial"/>
                <w:color w:val="000000" w:themeColor="text1"/>
                <w:szCs w:val="16"/>
              </w:rPr>
              <w:t>87.70%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395C1B5" w14:textId="1C47F23D" w:rsidR="009D6400" w:rsidRPr="00ED172B" w:rsidRDefault="00860830" w:rsidP="00186420">
            <w:pPr>
              <w:jc w:val="center"/>
              <w:rPr>
                <w:rFonts w:cs="Arial"/>
                <w:color w:val="000000" w:themeColor="text1"/>
                <w:szCs w:val="16"/>
              </w:rPr>
            </w:pPr>
            <w:r w:rsidRPr="00ED172B">
              <w:rPr>
                <w:rFonts w:cs="Arial"/>
                <w:color w:val="000000" w:themeColor="text1"/>
                <w:szCs w:val="16"/>
              </w:rPr>
              <w:t>87.80%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3350C67" w14:textId="0F24CE74" w:rsidR="009D6400" w:rsidRPr="00ED172B" w:rsidRDefault="00860830" w:rsidP="00186420">
            <w:pPr>
              <w:jc w:val="center"/>
              <w:rPr>
                <w:rFonts w:cs="Arial"/>
                <w:color w:val="000000" w:themeColor="text1"/>
                <w:szCs w:val="16"/>
              </w:rPr>
            </w:pPr>
            <w:r w:rsidRPr="00ED172B">
              <w:rPr>
                <w:rFonts w:cs="Arial"/>
                <w:color w:val="000000" w:themeColor="text1"/>
                <w:szCs w:val="16"/>
              </w:rPr>
              <w:t>87.90%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E644B46" w14:textId="1210E5C6" w:rsidR="009D6400" w:rsidRPr="00ED172B" w:rsidRDefault="00860830" w:rsidP="00186420">
            <w:pPr>
              <w:jc w:val="center"/>
              <w:rPr>
                <w:rFonts w:cs="Arial"/>
                <w:color w:val="000000" w:themeColor="text1"/>
                <w:szCs w:val="16"/>
              </w:rPr>
            </w:pPr>
            <w:r w:rsidRPr="00ED172B">
              <w:rPr>
                <w:rFonts w:cs="Arial"/>
                <w:color w:val="000000" w:themeColor="text1"/>
                <w:szCs w:val="16"/>
              </w:rPr>
              <w:t>87.90%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EB78653" w14:textId="2D4BA829" w:rsidR="009D6400" w:rsidRPr="00ED172B" w:rsidRDefault="00860830" w:rsidP="00186420">
            <w:pPr>
              <w:jc w:val="center"/>
              <w:rPr>
                <w:rFonts w:cs="Arial"/>
                <w:color w:val="000000" w:themeColor="text1"/>
                <w:szCs w:val="16"/>
              </w:rPr>
            </w:pPr>
            <w:r w:rsidRPr="00ED172B">
              <w:rPr>
                <w:rFonts w:cs="Arial"/>
                <w:color w:val="000000" w:themeColor="text1"/>
                <w:szCs w:val="16"/>
              </w:rPr>
              <w:t>88.00%</w:t>
            </w:r>
          </w:p>
        </w:tc>
      </w:tr>
      <w:tr w:rsidR="00ED172B" w:rsidRPr="00ED172B" w14:paraId="06E51325" w14:textId="21A8F97E" w:rsidTr="00A40EE1">
        <w:trPr>
          <w:trHeight w:val="85"/>
        </w:trPr>
        <w:tc>
          <w:tcPr>
            <w:tcW w:w="458" w:type="pct"/>
            <w:tcBorders>
              <w:left w:val="single" w:sz="4" w:space="0" w:color="auto"/>
              <w:right w:val="single" w:sz="4" w:space="0" w:color="auto"/>
            </w:tcBorders>
            <w:shd w:val="clear" w:color="auto" w:fill="auto"/>
            <w:vAlign w:val="center"/>
          </w:tcPr>
          <w:p w14:paraId="7A314116" w14:textId="7B0E5A42" w:rsidR="009D6400" w:rsidRPr="00ED172B" w:rsidRDefault="006935F4" w:rsidP="00186420">
            <w:pPr>
              <w:jc w:val="center"/>
              <w:rPr>
                <w:rFonts w:cs="Arial"/>
                <w:b/>
                <w:color w:val="000000" w:themeColor="text1"/>
                <w:szCs w:val="16"/>
              </w:rPr>
            </w:pPr>
            <w:r w:rsidRPr="00ED172B">
              <w:rPr>
                <w:rFonts w:cs="Arial"/>
                <w:b/>
                <w:color w:val="000000" w:themeColor="text1"/>
                <w:szCs w:val="16"/>
              </w:rPr>
              <w:t>B1</w:t>
            </w:r>
          </w:p>
        </w:tc>
        <w:tc>
          <w:tcPr>
            <w:tcW w:w="458" w:type="pct"/>
            <w:tcBorders>
              <w:left w:val="single" w:sz="4" w:space="0" w:color="auto"/>
              <w:right w:val="single" w:sz="4" w:space="0" w:color="auto"/>
            </w:tcBorders>
            <w:shd w:val="clear" w:color="auto" w:fill="auto"/>
          </w:tcPr>
          <w:p w14:paraId="09BA8A74" w14:textId="073B275B" w:rsidR="009D6400" w:rsidRPr="00ED172B" w:rsidRDefault="001E39E3" w:rsidP="005C14C2">
            <w:pPr>
              <w:jc w:val="center"/>
              <w:rPr>
                <w:color w:val="000000" w:themeColor="text1"/>
              </w:rPr>
            </w:pPr>
            <w:r w:rsidRPr="00ED172B">
              <w:rPr>
                <w:color w:val="000000" w:themeColor="text1"/>
              </w:rPr>
              <w:t>87.64%</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24507E9C" w14:textId="4E2B0B61" w:rsidR="009D6400" w:rsidRPr="00ED172B" w:rsidRDefault="009D6400" w:rsidP="009D6400">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38D500F" w14:textId="4DD69867" w:rsidR="009D6400" w:rsidRPr="00ED172B" w:rsidRDefault="00860830" w:rsidP="00186420">
            <w:pPr>
              <w:jc w:val="center"/>
              <w:rPr>
                <w:rFonts w:cs="Arial"/>
                <w:color w:val="000000" w:themeColor="text1"/>
                <w:szCs w:val="16"/>
              </w:rPr>
            </w:pPr>
            <w:r w:rsidRPr="00ED172B">
              <w:rPr>
                <w:rFonts w:cs="Arial"/>
                <w:color w:val="000000" w:themeColor="text1"/>
                <w:szCs w:val="16"/>
              </w:rPr>
              <w:t>85.78%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44FCA2" w14:textId="1E49CBB9" w:rsidR="009D6400" w:rsidRPr="00ED172B" w:rsidRDefault="00860830" w:rsidP="00186420">
            <w:pPr>
              <w:jc w:val="center"/>
              <w:rPr>
                <w:rFonts w:cs="Arial"/>
                <w:color w:val="000000" w:themeColor="text1"/>
                <w:szCs w:val="16"/>
              </w:rPr>
            </w:pPr>
            <w:r w:rsidRPr="00ED172B">
              <w:rPr>
                <w:rFonts w:cs="Arial"/>
                <w:color w:val="000000" w:themeColor="text1"/>
                <w:szCs w:val="16"/>
              </w:rPr>
              <w:t>85.03%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49C9AA3" w14:textId="34709EEC" w:rsidR="009D6400" w:rsidRPr="00ED172B" w:rsidRDefault="00860830" w:rsidP="00186420">
            <w:pPr>
              <w:jc w:val="center"/>
              <w:rPr>
                <w:rFonts w:cs="Arial"/>
                <w:color w:val="000000" w:themeColor="text1"/>
                <w:szCs w:val="16"/>
              </w:rPr>
            </w:pPr>
            <w:r w:rsidRPr="00ED172B">
              <w:rPr>
                <w:rFonts w:cs="Arial"/>
                <w:color w:val="000000" w:themeColor="text1"/>
                <w:szCs w:val="16"/>
              </w:rPr>
              <w:t>83.72%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377AAD2" w14:textId="56E5C1F2" w:rsidR="009D6400" w:rsidRPr="00ED172B" w:rsidRDefault="00860830" w:rsidP="00186420">
            <w:pPr>
              <w:jc w:val="center"/>
              <w:rPr>
                <w:rFonts w:cs="Arial"/>
                <w:color w:val="000000" w:themeColor="text1"/>
                <w:szCs w:val="16"/>
              </w:rPr>
            </w:pPr>
            <w:r w:rsidRPr="00ED172B">
              <w:rPr>
                <w:rFonts w:cs="Arial"/>
                <w:color w:val="000000" w:themeColor="text1"/>
                <w:szCs w:val="16"/>
              </w:rPr>
              <w:t>43.55%</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A781A5B" w14:textId="1E8177AD" w:rsidR="009D6400" w:rsidRPr="00ED172B" w:rsidRDefault="00860830" w:rsidP="00186420">
            <w:pPr>
              <w:jc w:val="center"/>
              <w:rPr>
                <w:rFonts w:cs="Arial"/>
                <w:color w:val="000000" w:themeColor="text1"/>
                <w:szCs w:val="16"/>
              </w:rPr>
            </w:pPr>
            <w:r w:rsidRPr="00ED172B">
              <w:rPr>
                <w:rFonts w:cs="Arial"/>
                <w:color w:val="000000" w:themeColor="text1"/>
                <w:szCs w:val="16"/>
              </w:rPr>
              <w:t>77.63%</w:t>
            </w:r>
          </w:p>
        </w:tc>
      </w:tr>
      <w:tr w:rsidR="00ED172B" w:rsidRPr="00ED172B" w14:paraId="3ABA93CB" w14:textId="1C980F1F" w:rsidTr="00A40EE1">
        <w:trPr>
          <w:trHeight w:val="85"/>
        </w:trPr>
        <w:tc>
          <w:tcPr>
            <w:tcW w:w="458" w:type="pct"/>
            <w:tcBorders>
              <w:left w:val="single" w:sz="4" w:space="0" w:color="auto"/>
              <w:right w:val="single" w:sz="4" w:space="0" w:color="auto"/>
            </w:tcBorders>
            <w:shd w:val="clear" w:color="auto" w:fill="auto"/>
            <w:vAlign w:val="center"/>
          </w:tcPr>
          <w:p w14:paraId="1D1C2133" w14:textId="7F4DF9BE" w:rsidR="009D6400" w:rsidRPr="00ED172B" w:rsidRDefault="008B3D40" w:rsidP="00186420">
            <w:pPr>
              <w:jc w:val="center"/>
              <w:rPr>
                <w:rFonts w:cs="Arial"/>
                <w:b/>
                <w:color w:val="000000" w:themeColor="text1"/>
                <w:szCs w:val="16"/>
              </w:rPr>
            </w:pPr>
            <w:r w:rsidRPr="00ED172B">
              <w:rPr>
                <w:rFonts w:cs="Arial"/>
                <w:b/>
                <w:color w:val="000000" w:themeColor="text1"/>
                <w:szCs w:val="16"/>
              </w:rPr>
              <w:t>B1 AR</w:t>
            </w:r>
          </w:p>
        </w:tc>
        <w:tc>
          <w:tcPr>
            <w:tcW w:w="458" w:type="pct"/>
            <w:tcBorders>
              <w:left w:val="single" w:sz="4" w:space="0" w:color="auto"/>
              <w:right w:val="single" w:sz="4" w:space="0" w:color="auto"/>
            </w:tcBorders>
            <w:shd w:val="clear" w:color="auto" w:fill="auto"/>
          </w:tcPr>
          <w:p w14:paraId="408237CD" w14:textId="336A9168" w:rsidR="009D6400"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6EDC246" w14:textId="4A7EEE75" w:rsidR="009D6400" w:rsidRPr="00ED172B" w:rsidRDefault="009D6400" w:rsidP="009D6400">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DC60756" w14:textId="028ED5E0"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1143965" w14:textId="3CAF9DE9"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FEAB8A7" w14:textId="3849BB94" w:rsidR="009D6400" w:rsidRPr="00ED172B" w:rsidRDefault="00860830" w:rsidP="00186420">
            <w:pPr>
              <w:jc w:val="center"/>
              <w:rPr>
                <w:rFonts w:cs="Arial"/>
                <w:color w:val="000000" w:themeColor="text1"/>
                <w:szCs w:val="16"/>
              </w:rPr>
            </w:pPr>
            <w:r w:rsidRPr="00ED172B">
              <w:rPr>
                <w:rFonts w:cs="Arial"/>
                <w:color w:val="000000" w:themeColor="text1"/>
                <w:szCs w:val="16"/>
              </w:rPr>
              <w:t>83.72%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591AA60" w14:textId="7FADF5A1"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088C79F" w14:textId="4FB50BA9"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35AD70FD" w14:textId="6A5ECA71" w:rsidTr="00A40EE1">
        <w:trPr>
          <w:trHeight w:val="85"/>
        </w:trPr>
        <w:tc>
          <w:tcPr>
            <w:tcW w:w="458" w:type="pct"/>
            <w:tcBorders>
              <w:left w:val="single" w:sz="4" w:space="0" w:color="auto"/>
              <w:right w:val="single" w:sz="4" w:space="0" w:color="auto"/>
            </w:tcBorders>
            <w:shd w:val="clear" w:color="auto" w:fill="auto"/>
            <w:vAlign w:val="center"/>
          </w:tcPr>
          <w:p w14:paraId="22C4A445" w14:textId="6D72E66E" w:rsidR="009D6400" w:rsidRPr="00ED172B" w:rsidRDefault="008B3D40" w:rsidP="00186420">
            <w:pPr>
              <w:jc w:val="center"/>
              <w:rPr>
                <w:rFonts w:cs="Arial"/>
                <w:b/>
                <w:color w:val="000000" w:themeColor="text1"/>
                <w:szCs w:val="16"/>
              </w:rPr>
            </w:pPr>
            <w:r w:rsidRPr="00ED172B">
              <w:rPr>
                <w:rFonts w:cs="Arial"/>
                <w:b/>
                <w:color w:val="000000" w:themeColor="text1"/>
                <w:szCs w:val="16"/>
              </w:rPr>
              <w:t>B1 AR</w:t>
            </w:r>
          </w:p>
        </w:tc>
        <w:tc>
          <w:tcPr>
            <w:tcW w:w="458" w:type="pct"/>
            <w:tcBorders>
              <w:left w:val="single" w:sz="4" w:space="0" w:color="auto"/>
              <w:right w:val="single" w:sz="4" w:space="0" w:color="auto"/>
            </w:tcBorders>
            <w:shd w:val="clear" w:color="auto" w:fill="auto"/>
          </w:tcPr>
          <w:p w14:paraId="40B0C76B" w14:textId="08215EC6" w:rsidR="009D6400"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70CE2C9" w14:textId="38C8A77F" w:rsidR="009D6400" w:rsidRPr="00ED172B" w:rsidRDefault="009D6400" w:rsidP="009D6400">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2D69CEB" w14:textId="675D246F"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E4EB5DF" w14:textId="22588E35" w:rsidR="009D640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CA3DEF6" w14:textId="517CAEA2"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03CD3FE" w14:textId="53C455B7" w:rsidR="009D6400" w:rsidRPr="00ED172B" w:rsidRDefault="00860830" w:rsidP="00186420">
            <w:pPr>
              <w:jc w:val="center"/>
              <w:rPr>
                <w:rFonts w:cs="Arial"/>
                <w:color w:val="000000" w:themeColor="text1"/>
                <w:szCs w:val="16"/>
              </w:rPr>
            </w:pPr>
            <w:r w:rsidRPr="00ED172B">
              <w:rPr>
                <w:rFonts w:cs="Arial"/>
                <w:color w:val="000000" w:themeColor="text1"/>
                <w:szCs w:val="16"/>
              </w:rPr>
              <w:t>92.79%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1894D48" w14:textId="14B8D577" w:rsidR="009D6400" w:rsidRPr="00ED172B" w:rsidRDefault="00860830" w:rsidP="00186420">
            <w:pPr>
              <w:jc w:val="center"/>
              <w:rPr>
                <w:rFonts w:cs="Arial"/>
                <w:color w:val="000000" w:themeColor="text1"/>
                <w:szCs w:val="16"/>
              </w:rPr>
            </w:pPr>
            <w:r w:rsidRPr="00ED172B">
              <w:rPr>
                <w:rFonts w:cs="Arial"/>
                <w:color w:val="000000" w:themeColor="text1"/>
                <w:szCs w:val="16"/>
              </w:rPr>
              <w:t>100.00%</w:t>
            </w:r>
          </w:p>
        </w:tc>
      </w:tr>
      <w:tr w:rsidR="00ED172B" w:rsidRPr="00ED172B" w14:paraId="578F6AEA" w14:textId="1B66A324" w:rsidTr="00A40EE1">
        <w:trPr>
          <w:trHeight w:val="85"/>
        </w:trPr>
        <w:tc>
          <w:tcPr>
            <w:tcW w:w="458" w:type="pct"/>
            <w:tcBorders>
              <w:left w:val="single" w:sz="4" w:space="0" w:color="auto"/>
              <w:right w:val="single" w:sz="4" w:space="0" w:color="auto"/>
            </w:tcBorders>
            <w:shd w:val="clear" w:color="auto" w:fill="auto"/>
            <w:vAlign w:val="center"/>
          </w:tcPr>
          <w:p w14:paraId="0BFBD864" w14:textId="662ACF8C" w:rsidR="00CD79C5" w:rsidRPr="00ED172B" w:rsidRDefault="00CD79C5" w:rsidP="00186420">
            <w:pPr>
              <w:jc w:val="center"/>
              <w:rPr>
                <w:rFonts w:cs="Arial"/>
                <w:b/>
                <w:color w:val="000000" w:themeColor="text1"/>
                <w:szCs w:val="16"/>
              </w:rPr>
            </w:pPr>
            <w:r w:rsidRPr="00ED172B">
              <w:rPr>
                <w:rFonts w:cs="Arial"/>
                <w:b/>
                <w:color w:val="000000" w:themeColor="text1"/>
                <w:szCs w:val="16"/>
              </w:rPr>
              <w:t>B2</w:t>
            </w:r>
          </w:p>
        </w:tc>
        <w:tc>
          <w:tcPr>
            <w:tcW w:w="458" w:type="pct"/>
            <w:tcBorders>
              <w:left w:val="single" w:sz="4" w:space="0" w:color="auto"/>
              <w:right w:val="single" w:sz="4" w:space="0" w:color="auto"/>
            </w:tcBorders>
            <w:shd w:val="clear" w:color="auto" w:fill="auto"/>
          </w:tcPr>
          <w:p w14:paraId="06ACBC7D" w14:textId="73436E6D" w:rsidR="00CD79C5" w:rsidRPr="00ED172B" w:rsidRDefault="001E39E3"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1B62100" w14:textId="6F8D3B11"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50E5C2A" w14:textId="181FF1DD" w:rsidR="00CD79C5" w:rsidRPr="00ED172B" w:rsidRDefault="00860830" w:rsidP="00186420">
            <w:pPr>
              <w:jc w:val="center"/>
              <w:rPr>
                <w:rFonts w:cs="Arial"/>
                <w:color w:val="000000" w:themeColor="text1"/>
                <w:szCs w:val="16"/>
              </w:rPr>
            </w:pPr>
            <w:r w:rsidRPr="00ED172B">
              <w:rPr>
                <w:rFonts w:cs="Arial"/>
                <w:color w:val="000000" w:themeColor="text1"/>
                <w:szCs w:val="16"/>
              </w:rPr>
              <w:t>51.70%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2F291C5" w14:textId="1C8E7A56" w:rsidR="00CD79C5" w:rsidRPr="00ED172B" w:rsidRDefault="00860830" w:rsidP="00186420">
            <w:pPr>
              <w:jc w:val="center"/>
              <w:rPr>
                <w:rFonts w:cs="Arial"/>
                <w:color w:val="000000" w:themeColor="text1"/>
                <w:szCs w:val="16"/>
              </w:rPr>
            </w:pPr>
            <w:r w:rsidRPr="00ED172B">
              <w:rPr>
                <w:rFonts w:cs="Arial"/>
                <w:color w:val="000000" w:themeColor="text1"/>
                <w:szCs w:val="16"/>
              </w:rPr>
              <w:t>51.80%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ECF1C97" w14:textId="20F800EC" w:rsidR="00CD79C5" w:rsidRPr="00ED172B" w:rsidRDefault="00860830" w:rsidP="00186420">
            <w:pPr>
              <w:jc w:val="center"/>
              <w:rPr>
                <w:rFonts w:cs="Arial"/>
                <w:color w:val="000000" w:themeColor="text1"/>
                <w:szCs w:val="16"/>
              </w:rPr>
            </w:pPr>
            <w:r w:rsidRPr="00ED172B">
              <w:rPr>
                <w:rFonts w:cs="Arial"/>
                <w:color w:val="000000" w:themeColor="text1"/>
                <w:szCs w:val="16"/>
              </w:rPr>
              <w:t>51.90%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A88A785" w14:textId="654822BE" w:rsidR="00CD79C5" w:rsidRPr="00ED172B" w:rsidRDefault="00860830" w:rsidP="00186420">
            <w:pPr>
              <w:jc w:val="center"/>
              <w:rPr>
                <w:rFonts w:cs="Arial"/>
                <w:color w:val="000000" w:themeColor="text1"/>
                <w:szCs w:val="16"/>
              </w:rPr>
            </w:pPr>
            <w:r w:rsidRPr="00ED172B">
              <w:rPr>
                <w:rFonts w:cs="Arial"/>
                <w:color w:val="000000" w:themeColor="text1"/>
                <w:szCs w:val="16"/>
              </w:rPr>
              <w:t>51.90%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B8D69B4" w14:textId="1B69B808" w:rsidR="00CD79C5" w:rsidRPr="00ED172B" w:rsidRDefault="00860830" w:rsidP="00186420">
            <w:pPr>
              <w:jc w:val="center"/>
              <w:rPr>
                <w:rFonts w:cs="Arial"/>
                <w:color w:val="000000" w:themeColor="text1"/>
                <w:szCs w:val="16"/>
              </w:rPr>
            </w:pPr>
            <w:r w:rsidRPr="00ED172B">
              <w:rPr>
                <w:rFonts w:cs="Arial"/>
                <w:color w:val="000000" w:themeColor="text1"/>
                <w:szCs w:val="16"/>
              </w:rPr>
              <w:t>52.00%</w:t>
            </w:r>
          </w:p>
        </w:tc>
      </w:tr>
      <w:tr w:rsidR="00ED172B" w:rsidRPr="00ED172B" w14:paraId="5508559C" w14:textId="0B1CFF20" w:rsidTr="00A40EE1">
        <w:trPr>
          <w:trHeight w:val="85"/>
        </w:trPr>
        <w:tc>
          <w:tcPr>
            <w:tcW w:w="458" w:type="pct"/>
            <w:tcBorders>
              <w:left w:val="single" w:sz="4" w:space="0" w:color="auto"/>
              <w:right w:val="single" w:sz="4" w:space="0" w:color="auto"/>
            </w:tcBorders>
            <w:shd w:val="clear" w:color="auto" w:fill="auto"/>
            <w:vAlign w:val="center"/>
          </w:tcPr>
          <w:p w14:paraId="3405656E" w14:textId="17A54931" w:rsidR="00CD79C5" w:rsidRPr="00ED172B" w:rsidRDefault="006935F4" w:rsidP="00186420">
            <w:pPr>
              <w:jc w:val="center"/>
              <w:rPr>
                <w:rFonts w:cs="Arial"/>
                <w:b/>
                <w:color w:val="000000" w:themeColor="text1"/>
                <w:szCs w:val="16"/>
              </w:rPr>
            </w:pPr>
            <w:r w:rsidRPr="00ED172B">
              <w:rPr>
                <w:rFonts w:cs="Arial"/>
                <w:b/>
                <w:color w:val="000000" w:themeColor="text1"/>
                <w:szCs w:val="16"/>
              </w:rPr>
              <w:t>B2</w:t>
            </w:r>
          </w:p>
        </w:tc>
        <w:tc>
          <w:tcPr>
            <w:tcW w:w="458" w:type="pct"/>
            <w:tcBorders>
              <w:left w:val="single" w:sz="4" w:space="0" w:color="auto"/>
              <w:right w:val="single" w:sz="4" w:space="0" w:color="auto"/>
            </w:tcBorders>
            <w:shd w:val="clear" w:color="auto" w:fill="auto"/>
          </w:tcPr>
          <w:p w14:paraId="290E7FFE" w14:textId="147AFCDB" w:rsidR="00CD79C5" w:rsidRPr="00ED172B" w:rsidRDefault="001E39E3" w:rsidP="005C14C2">
            <w:pPr>
              <w:jc w:val="center"/>
              <w:rPr>
                <w:color w:val="000000" w:themeColor="text1"/>
              </w:rPr>
            </w:pPr>
            <w:r w:rsidRPr="00ED172B">
              <w:rPr>
                <w:color w:val="000000" w:themeColor="text1"/>
              </w:rPr>
              <w:t>51.63%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7D1F4513" w14:textId="06CCC15B"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433C0E2" w14:textId="3A4EF236" w:rsidR="00CD79C5" w:rsidRPr="00ED172B" w:rsidRDefault="00860830" w:rsidP="00186420">
            <w:pPr>
              <w:jc w:val="center"/>
              <w:rPr>
                <w:rFonts w:cs="Arial"/>
                <w:color w:val="000000" w:themeColor="text1"/>
                <w:szCs w:val="16"/>
              </w:rPr>
            </w:pPr>
            <w:r w:rsidRPr="00ED172B">
              <w:rPr>
                <w:rFonts w:cs="Arial"/>
                <w:color w:val="000000" w:themeColor="text1"/>
                <w:szCs w:val="16"/>
              </w:rPr>
              <w:t>48.10%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07B6FEC" w14:textId="29294B94" w:rsidR="00CD79C5" w:rsidRPr="00ED172B" w:rsidRDefault="00860830" w:rsidP="00186420">
            <w:pPr>
              <w:jc w:val="center"/>
              <w:rPr>
                <w:rFonts w:cs="Arial"/>
                <w:color w:val="000000" w:themeColor="text1"/>
                <w:szCs w:val="16"/>
              </w:rPr>
            </w:pPr>
            <w:r w:rsidRPr="00ED172B">
              <w:rPr>
                <w:rFonts w:cs="Arial"/>
                <w:color w:val="000000" w:themeColor="text1"/>
                <w:szCs w:val="16"/>
              </w:rPr>
              <w:t>46.88%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A81980F" w14:textId="6A2EADF3" w:rsidR="00CD79C5" w:rsidRPr="00ED172B" w:rsidRDefault="00860830" w:rsidP="00186420">
            <w:pPr>
              <w:jc w:val="center"/>
              <w:rPr>
                <w:rFonts w:cs="Arial"/>
                <w:color w:val="000000" w:themeColor="text1"/>
                <w:szCs w:val="16"/>
              </w:rPr>
            </w:pPr>
            <w:r w:rsidRPr="00ED172B">
              <w:rPr>
                <w:rFonts w:cs="Arial"/>
                <w:color w:val="000000" w:themeColor="text1"/>
                <w:szCs w:val="16"/>
              </w:rPr>
              <w:t>43.73%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B363CC" w14:textId="381C83A4" w:rsidR="00CD79C5" w:rsidRPr="00ED172B" w:rsidRDefault="00860830" w:rsidP="00186420">
            <w:pPr>
              <w:jc w:val="center"/>
              <w:rPr>
                <w:rFonts w:cs="Arial"/>
                <w:color w:val="000000" w:themeColor="text1"/>
                <w:szCs w:val="16"/>
              </w:rPr>
            </w:pPr>
            <w:r w:rsidRPr="00ED172B">
              <w:rPr>
                <w:rFonts w:cs="Arial"/>
                <w:color w:val="000000" w:themeColor="text1"/>
                <w:szCs w:val="16"/>
              </w:rPr>
              <w:t>35.29%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2743534" w14:textId="5F19E1BD" w:rsidR="00CD79C5" w:rsidRPr="00ED172B" w:rsidRDefault="00860830" w:rsidP="00186420">
            <w:pPr>
              <w:jc w:val="center"/>
              <w:rPr>
                <w:rFonts w:cs="Arial"/>
                <w:color w:val="000000" w:themeColor="text1"/>
                <w:szCs w:val="16"/>
              </w:rPr>
            </w:pPr>
            <w:r w:rsidRPr="00ED172B">
              <w:rPr>
                <w:rFonts w:cs="Arial"/>
                <w:color w:val="000000" w:themeColor="text1"/>
                <w:szCs w:val="16"/>
              </w:rPr>
              <w:t>19.89%</w:t>
            </w:r>
          </w:p>
        </w:tc>
      </w:tr>
      <w:tr w:rsidR="00ED172B" w:rsidRPr="00ED172B" w14:paraId="68116055" w14:textId="6F2A1023" w:rsidTr="00A40EE1">
        <w:trPr>
          <w:trHeight w:val="80"/>
        </w:trPr>
        <w:tc>
          <w:tcPr>
            <w:tcW w:w="458" w:type="pct"/>
            <w:tcBorders>
              <w:left w:val="single" w:sz="4" w:space="0" w:color="auto"/>
              <w:right w:val="single" w:sz="4" w:space="0" w:color="auto"/>
            </w:tcBorders>
            <w:shd w:val="clear" w:color="auto" w:fill="auto"/>
            <w:vAlign w:val="center"/>
          </w:tcPr>
          <w:p w14:paraId="71D30B68" w14:textId="6BFF0644" w:rsidR="00CD79C5" w:rsidRPr="00ED172B" w:rsidRDefault="008B3D40" w:rsidP="00186420">
            <w:pPr>
              <w:jc w:val="center"/>
              <w:rPr>
                <w:rFonts w:cs="Arial"/>
                <w:b/>
                <w:color w:val="000000" w:themeColor="text1"/>
                <w:szCs w:val="16"/>
              </w:rPr>
            </w:pPr>
            <w:r w:rsidRPr="00ED172B">
              <w:rPr>
                <w:rFonts w:cs="Arial"/>
                <w:b/>
                <w:color w:val="000000" w:themeColor="text1"/>
                <w:szCs w:val="16"/>
              </w:rPr>
              <w:t>B2 AR</w:t>
            </w:r>
          </w:p>
        </w:tc>
        <w:tc>
          <w:tcPr>
            <w:tcW w:w="458" w:type="pct"/>
            <w:tcBorders>
              <w:left w:val="single" w:sz="4" w:space="0" w:color="auto"/>
              <w:right w:val="single" w:sz="4" w:space="0" w:color="auto"/>
            </w:tcBorders>
            <w:shd w:val="clear" w:color="auto" w:fill="auto"/>
          </w:tcPr>
          <w:p w14:paraId="37F5F6CF" w14:textId="121A5A95" w:rsidR="00CD79C5"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12915B3C" w14:textId="41C5B8B0"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387269" w14:textId="594B111A"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D89F006" w14:textId="2FDBF221"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FC9F3C3" w14:textId="23E4B41B" w:rsidR="00CD79C5" w:rsidRPr="00ED172B" w:rsidRDefault="00860830" w:rsidP="00186420">
            <w:pPr>
              <w:jc w:val="center"/>
              <w:rPr>
                <w:rFonts w:cs="Arial"/>
                <w:color w:val="000000" w:themeColor="text1"/>
                <w:szCs w:val="16"/>
              </w:rPr>
            </w:pPr>
            <w:r w:rsidRPr="00ED172B">
              <w:rPr>
                <w:rFonts w:cs="Arial"/>
                <w:color w:val="000000" w:themeColor="text1"/>
                <w:szCs w:val="16"/>
              </w:rPr>
              <w:t>43.73%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1997B06" w14:textId="17DE3AAA"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BB9FF7C" w14:textId="437D50D8"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60153D96" w14:textId="698AF9C2" w:rsidTr="00A40EE1">
        <w:trPr>
          <w:trHeight w:val="80"/>
        </w:trPr>
        <w:tc>
          <w:tcPr>
            <w:tcW w:w="458" w:type="pct"/>
            <w:tcBorders>
              <w:left w:val="single" w:sz="4" w:space="0" w:color="auto"/>
              <w:right w:val="single" w:sz="4" w:space="0" w:color="auto"/>
            </w:tcBorders>
            <w:shd w:val="clear" w:color="auto" w:fill="auto"/>
            <w:vAlign w:val="center"/>
          </w:tcPr>
          <w:p w14:paraId="7DA97DD5" w14:textId="31A045BB" w:rsidR="00CD79C5" w:rsidRPr="00ED172B" w:rsidRDefault="008B3D40" w:rsidP="00186420">
            <w:pPr>
              <w:jc w:val="center"/>
              <w:rPr>
                <w:rFonts w:cs="Arial"/>
                <w:b/>
                <w:color w:val="000000" w:themeColor="text1"/>
                <w:szCs w:val="16"/>
              </w:rPr>
            </w:pPr>
            <w:r w:rsidRPr="00ED172B">
              <w:rPr>
                <w:rFonts w:cs="Arial"/>
                <w:b/>
                <w:color w:val="000000" w:themeColor="text1"/>
                <w:szCs w:val="16"/>
              </w:rPr>
              <w:t>B2 AR</w:t>
            </w:r>
          </w:p>
        </w:tc>
        <w:tc>
          <w:tcPr>
            <w:tcW w:w="458" w:type="pct"/>
            <w:tcBorders>
              <w:left w:val="single" w:sz="4" w:space="0" w:color="auto"/>
              <w:right w:val="single" w:sz="4" w:space="0" w:color="auto"/>
            </w:tcBorders>
            <w:shd w:val="clear" w:color="auto" w:fill="auto"/>
          </w:tcPr>
          <w:p w14:paraId="0CF72444" w14:textId="046DD134" w:rsidR="00CD79C5" w:rsidRPr="00ED172B" w:rsidRDefault="001E39E3" w:rsidP="001E39E3">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3F1E708" w14:textId="017BD47B"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CE3E4DA" w14:textId="32BDA21F"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DCF6998" w14:textId="3F3FA68E"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912C35D" w14:textId="0A0FC1D5" w:rsidR="00CD79C5" w:rsidRPr="00ED172B" w:rsidRDefault="00860830" w:rsidP="00186420">
            <w:pPr>
              <w:jc w:val="center"/>
              <w:rPr>
                <w:rFonts w:cs="Arial"/>
                <w:color w:val="000000" w:themeColor="text1"/>
                <w:szCs w:val="16"/>
              </w:rPr>
            </w:pPr>
            <w:r w:rsidRPr="00ED172B">
              <w:rPr>
                <w:rFonts w:cs="Arial"/>
                <w:color w:val="000000" w:themeColor="text1"/>
                <w:szCs w:val="16"/>
              </w:rPr>
              <w:t>93.38%</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DD83C7" w14:textId="1EE3C70E" w:rsidR="00CD79C5" w:rsidRPr="00ED172B" w:rsidRDefault="00860830" w:rsidP="00186420">
            <w:pPr>
              <w:jc w:val="center"/>
              <w:rPr>
                <w:rFonts w:cs="Arial"/>
                <w:color w:val="000000" w:themeColor="text1"/>
                <w:szCs w:val="16"/>
              </w:rPr>
            </w:pPr>
            <w:r w:rsidRPr="00ED172B">
              <w:rPr>
                <w:rFonts w:cs="Arial"/>
                <w:color w:val="000000" w:themeColor="text1"/>
                <w:szCs w:val="16"/>
              </w:rPr>
              <w:t>91.56%</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39C6CC8" w14:textId="072D8E3C" w:rsidR="00CD79C5" w:rsidRPr="00ED172B" w:rsidRDefault="00860830" w:rsidP="00186420">
            <w:pPr>
              <w:jc w:val="center"/>
              <w:rPr>
                <w:rFonts w:cs="Arial"/>
                <w:color w:val="000000" w:themeColor="text1"/>
                <w:szCs w:val="16"/>
              </w:rPr>
            </w:pPr>
            <w:r w:rsidRPr="00ED172B">
              <w:rPr>
                <w:rFonts w:cs="Arial"/>
                <w:color w:val="000000" w:themeColor="text1"/>
                <w:szCs w:val="16"/>
              </w:rPr>
              <w:t>86.89%</w:t>
            </w:r>
          </w:p>
        </w:tc>
      </w:tr>
      <w:tr w:rsidR="00ED172B" w:rsidRPr="00ED172B" w14:paraId="75EC38D5" w14:textId="7305FE4F" w:rsidTr="00A40EE1">
        <w:trPr>
          <w:trHeight w:val="80"/>
        </w:trPr>
        <w:tc>
          <w:tcPr>
            <w:tcW w:w="458" w:type="pct"/>
            <w:tcBorders>
              <w:left w:val="single" w:sz="4" w:space="0" w:color="auto"/>
              <w:right w:val="single" w:sz="4" w:space="0" w:color="auto"/>
            </w:tcBorders>
            <w:shd w:val="clear" w:color="auto" w:fill="auto"/>
            <w:vAlign w:val="center"/>
          </w:tcPr>
          <w:p w14:paraId="4C00EC42" w14:textId="06A1339D" w:rsidR="00CD79C5" w:rsidRPr="00ED172B" w:rsidRDefault="00CD79C5" w:rsidP="00186420">
            <w:pPr>
              <w:jc w:val="center"/>
              <w:rPr>
                <w:rFonts w:cs="Arial"/>
                <w:b/>
                <w:color w:val="000000" w:themeColor="text1"/>
                <w:szCs w:val="16"/>
              </w:rPr>
            </w:pPr>
            <w:r w:rsidRPr="00ED172B">
              <w:rPr>
                <w:rFonts w:cs="Arial"/>
                <w:b/>
                <w:color w:val="000000" w:themeColor="text1"/>
                <w:szCs w:val="16"/>
              </w:rPr>
              <w:t>C1</w:t>
            </w:r>
          </w:p>
        </w:tc>
        <w:tc>
          <w:tcPr>
            <w:tcW w:w="458" w:type="pct"/>
            <w:tcBorders>
              <w:left w:val="single" w:sz="4" w:space="0" w:color="auto"/>
              <w:right w:val="single" w:sz="4" w:space="0" w:color="auto"/>
            </w:tcBorders>
            <w:shd w:val="clear" w:color="auto" w:fill="auto"/>
          </w:tcPr>
          <w:p w14:paraId="595CFD0D" w14:textId="243AF237" w:rsidR="00CD79C5" w:rsidRPr="00ED172B" w:rsidRDefault="005C14C2"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43E4BC68" w14:textId="39933414"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DBDA0B8" w14:textId="5F41B34A" w:rsidR="00CD79C5" w:rsidRPr="00ED172B" w:rsidRDefault="00860830" w:rsidP="00186420">
            <w:pPr>
              <w:jc w:val="center"/>
              <w:rPr>
                <w:rFonts w:cs="Arial"/>
                <w:color w:val="000000" w:themeColor="text1"/>
                <w:szCs w:val="16"/>
              </w:rPr>
            </w:pPr>
            <w:r w:rsidRPr="00ED172B">
              <w:rPr>
                <w:rFonts w:cs="Arial"/>
                <w:color w:val="000000" w:themeColor="text1"/>
                <w:szCs w:val="16"/>
              </w:rPr>
              <w:t>94.70%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ECBAEB3" w14:textId="7687F76B" w:rsidR="00CD79C5" w:rsidRPr="00ED172B" w:rsidRDefault="00860830" w:rsidP="00186420">
            <w:pPr>
              <w:jc w:val="center"/>
              <w:rPr>
                <w:rFonts w:cs="Arial"/>
                <w:color w:val="000000" w:themeColor="text1"/>
                <w:szCs w:val="16"/>
              </w:rPr>
            </w:pPr>
            <w:r w:rsidRPr="00ED172B">
              <w:rPr>
                <w:rFonts w:cs="Arial"/>
                <w:color w:val="000000" w:themeColor="text1"/>
                <w:szCs w:val="16"/>
              </w:rPr>
              <w:t>94.80%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6F9EC9C" w14:textId="592BC665" w:rsidR="00CD79C5" w:rsidRPr="00ED172B" w:rsidRDefault="00860830" w:rsidP="00186420">
            <w:pPr>
              <w:jc w:val="center"/>
              <w:rPr>
                <w:rFonts w:cs="Arial"/>
                <w:color w:val="000000" w:themeColor="text1"/>
                <w:szCs w:val="16"/>
              </w:rPr>
            </w:pPr>
            <w:r w:rsidRPr="00ED172B">
              <w:rPr>
                <w:rFonts w:cs="Arial"/>
                <w:color w:val="000000" w:themeColor="text1"/>
                <w:szCs w:val="16"/>
              </w:rPr>
              <w:t>94.90%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CF6DF96" w14:textId="7F66FAB6" w:rsidR="00CD79C5" w:rsidRPr="00ED172B" w:rsidRDefault="00860830" w:rsidP="00186420">
            <w:pPr>
              <w:jc w:val="center"/>
              <w:rPr>
                <w:rFonts w:cs="Arial"/>
                <w:color w:val="000000" w:themeColor="text1"/>
                <w:szCs w:val="16"/>
              </w:rPr>
            </w:pPr>
            <w:r w:rsidRPr="00ED172B">
              <w:rPr>
                <w:rFonts w:cs="Arial"/>
                <w:color w:val="000000" w:themeColor="text1"/>
                <w:szCs w:val="16"/>
              </w:rPr>
              <w:t>94.90%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7FA0BBE" w14:textId="2CAD1925" w:rsidR="00CD79C5" w:rsidRPr="00ED172B" w:rsidRDefault="00860830" w:rsidP="00186420">
            <w:pPr>
              <w:jc w:val="center"/>
              <w:rPr>
                <w:rFonts w:cs="Arial"/>
                <w:color w:val="000000" w:themeColor="text1"/>
                <w:szCs w:val="16"/>
              </w:rPr>
            </w:pPr>
            <w:r w:rsidRPr="00ED172B">
              <w:rPr>
                <w:rFonts w:cs="Arial"/>
                <w:color w:val="000000" w:themeColor="text1"/>
                <w:szCs w:val="16"/>
              </w:rPr>
              <w:t>95.00%</w:t>
            </w:r>
          </w:p>
        </w:tc>
      </w:tr>
      <w:tr w:rsidR="00ED172B" w:rsidRPr="00ED172B" w14:paraId="11C4CA89" w14:textId="5EA1595B" w:rsidTr="00A40EE1">
        <w:trPr>
          <w:trHeight w:val="80"/>
        </w:trPr>
        <w:tc>
          <w:tcPr>
            <w:tcW w:w="458" w:type="pct"/>
            <w:tcBorders>
              <w:left w:val="single" w:sz="4" w:space="0" w:color="auto"/>
              <w:right w:val="single" w:sz="4" w:space="0" w:color="auto"/>
            </w:tcBorders>
            <w:shd w:val="clear" w:color="auto" w:fill="auto"/>
            <w:vAlign w:val="center"/>
          </w:tcPr>
          <w:p w14:paraId="024D3E31" w14:textId="0647350E" w:rsidR="00CD79C5" w:rsidRPr="00ED172B" w:rsidRDefault="006935F4" w:rsidP="00186420">
            <w:pPr>
              <w:jc w:val="center"/>
              <w:rPr>
                <w:rFonts w:cs="Arial"/>
                <w:b/>
                <w:color w:val="000000" w:themeColor="text1"/>
                <w:szCs w:val="16"/>
              </w:rPr>
            </w:pPr>
            <w:r w:rsidRPr="00ED172B">
              <w:rPr>
                <w:rFonts w:cs="Arial"/>
                <w:b/>
                <w:color w:val="000000" w:themeColor="text1"/>
                <w:szCs w:val="16"/>
              </w:rPr>
              <w:t>C1</w:t>
            </w:r>
          </w:p>
        </w:tc>
        <w:tc>
          <w:tcPr>
            <w:tcW w:w="458" w:type="pct"/>
            <w:tcBorders>
              <w:left w:val="single" w:sz="4" w:space="0" w:color="auto"/>
              <w:right w:val="single" w:sz="4" w:space="0" w:color="auto"/>
            </w:tcBorders>
            <w:shd w:val="clear" w:color="auto" w:fill="auto"/>
          </w:tcPr>
          <w:p w14:paraId="39000E0E" w14:textId="26CEA8FC" w:rsidR="00CD79C5" w:rsidRPr="00ED172B" w:rsidRDefault="002332D6">
            <w:pPr>
              <w:jc w:val="center"/>
              <w:rPr>
                <w:color w:val="000000" w:themeColor="text1"/>
              </w:rPr>
            </w:pPr>
            <w:r w:rsidRPr="00ED172B">
              <w:rPr>
                <w:color w:val="000000" w:themeColor="text1"/>
              </w:rPr>
              <w:t>94.66%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00C3B59D" w14:textId="315ECF11"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6454DD8" w14:textId="4EBCCC10" w:rsidR="00CD79C5" w:rsidRPr="00ED172B" w:rsidRDefault="00860830" w:rsidP="00186420">
            <w:pPr>
              <w:jc w:val="center"/>
              <w:rPr>
                <w:rFonts w:cs="Arial"/>
                <w:color w:val="000000" w:themeColor="text1"/>
                <w:szCs w:val="16"/>
              </w:rPr>
            </w:pPr>
            <w:r w:rsidRPr="00ED172B">
              <w:rPr>
                <w:rFonts w:cs="Arial"/>
                <w:color w:val="000000" w:themeColor="text1"/>
                <w:szCs w:val="16"/>
              </w:rPr>
              <w:t>93.51%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BC82B8A" w14:textId="1F659EDD" w:rsidR="00CD79C5" w:rsidRPr="00ED172B" w:rsidRDefault="00860830" w:rsidP="00186420">
            <w:pPr>
              <w:jc w:val="center"/>
              <w:rPr>
                <w:rFonts w:cs="Arial"/>
                <w:color w:val="000000" w:themeColor="text1"/>
                <w:szCs w:val="16"/>
              </w:rPr>
            </w:pPr>
            <w:r w:rsidRPr="00ED172B">
              <w:rPr>
                <w:rFonts w:cs="Arial"/>
                <w:color w:val="000000" w:themeColor="text1"/>
                <w:szCs w:val="16"/>
              </w:rPr>
              <w:t>93.27%</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93B1F54" w14:textId="585D8D54" w:rsidR="00CD79C5" w:rsidRPr="00ED172B" w:rsidRDefault="00860830" w:rsidP="00186420">
            <w:pPr>
              <w:jc w:val="center"/>
              <w:rPr>
                <w:rFonts w:cs="Arial"/>
                <w:color w:val="000000" w:themeColor="text1"/>
                <w:szCs w:val="16"/>
              </w:rPr>
            </w:pPr>
            <w:r w:rsidRPr="00ED172B">
              <w:rPr>
                <w:rFonts w:cs="Arial"/>
                <w:color w:val="000000" w:themeColor="text1"/>
                <w:szCs w:val="16"/>
              </w:rPr>
              <w:t>92.89%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C2DBD52" w14:textId="5EF24053" w:rsidR="00CD79C5" w:rsidRPr="00ED172B" w:rsidRDefault="00860830" w:rsidP="00186420">
            <w:pPr>
              <w:jc w:val="center"/>
              <w:rPr>
                <w:rFonts w:cs="Arial"/>
                <w:color w:val="000000" w:themeColor="text1"/>
                <w:szCs w:val="16"/>
              </w:rPr>
            </w:pPr>
            <w:r w:rsidRPr="00ED172B">
              <w:rPr>
                <w:rFonts w:cs="Arial"/>
                <w:color w:val="000000" w:themeColor="text1"/>
                <w:szCs w:val="16"/>
              </w:rPr>
              <w:t>50.03%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EEDD006" w14:textId="5C5BA809" w:rsidR="00CD79C5" w:rsidRPr="00ED172B" w:rsidRDefault="00860830" w:rsidP="00186420">
            <w:pPr>
              <w:jc w:val="center"/>
              <w:rPr>
                <w:rFonts w:cs="Arial"/>
                <w:color w:val="000000" w:themeColor="text1"/>
                <w:szCs w:val="16"/>
              </w:rPr>
            </w:pPr>
            <w:r w:rsidRPr="00ED172B">
              <w:rPr>
                <w:rFonts w:cs="Arial"/>
                <w:color w:val="000000" w:themeColor="text1"/>
                <w:szCs w:val="16"/>
              </w:rPr>
              <w:t>84.04%</w:t>
            </w:r>
          </w:p>
        </w:tc>
      </w:tr>
      <w:tr w:rsidR="00ED172B" w:rsidRPr="00ED172B" w14:paraId="636BCB24" w14:textId="34525976" w:rsidTr="00A40EE1">
        <w:trPr>
          <w:trHeight w:val="80"/>
        </w:trPr>
        <w:tc>
          <w:tcPr>
            <w:tcW w:w="458" w:type="pct"/>
            <w:tcBorders>
              <w:left w:val="single" w:sz="4" w:space="0" w:color="auto"/>
              <w:right w:val="single" w:sz="4" w:space="0" w:color="auto"/>
            </w:tcBorders>
            <w:shd w:val="clear" w:color="auto" w:fill="auto"/>
            <w:vAlign w:val="center"/>
          </w:tcPr>
          <w:p w14:paraId="473D3D11" w14:textId="6C9FE77B" w:rsidR="00CD79C5" w:rsidRPr="00ED172B" w:rsidRDefault="008B3D40" w:rsidP="00186420">
            <w:pPr>
              <w:jc w:val="center"/>
              <w:rPr>
                <w:rFonts w:cs="Arial"/>
                <w:b/>
                <w:color w:val="000000" w:themeColor="text1"/>
                <w:szCs w:val="16"/>
              </w:rPr>
            </w:pPr>
            <w:r w:rsidRPr="00ED172B">
              <w:rPr>
                <w:rFonts w:cs="Arial"/>
                <w:b/>
                <w:color w:val="000000" w:themeColor="text1"/>
                <w:szCs w:val="16"/>
              </w:rPr>
              <w:lastRenderedPageBreak/>
              <w:t>C1 AR</w:t>
            </w:r>
          </w:p>
        </w:tc>
        <w:tc>
          <w:tcPr>
            <w:tcW w:w="458" w:type="pct"/>
            <w:tcBorders>
              <w:left w:val="single" w:sz="4" w:space="0" w:color="auto"/>
              <w:right w:val="single" w:sz="4" w:space="0" w:color="auto"/>
            </w:tcBorders>
            <w:shd w:val="clear" w:color="auto" w:fill="auto"/>
          </w:tcPr>
          <w:p w14:paraId="661BF00F" w14:textId="15775303" w:rsidR="00CD79C5" w:rsidRPr="00ED172B" w:rsidRDefault="005C14C2" w:rsidP="005C14C2">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21250AC" w14:textId="07AA7231"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F68543B" w14:textId="30EB7BCC"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074271E" w14:textId="54F90B36"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30D488C" w14:textId="7130091B" w:rsidR="00CD79C5" w:rsidRPr="00ED172B" w:rsidRDefault="00860830" w:rsidP="00186420">
            <w:pPr>
              <w:jc w:val="center"/>
              <w:rPr>
                <w:rFonts w:cs="Arial"/>
                <w:color w:val="000000" w:themeColor="text1"/>
                <w:szCs w:val="16"/>
              </w:rPr>
            </w:pPr>
            <w:r w:rsidRPr="00ED172B">
              <w:rPr>
                <w:rFonts w:cs="Arial"/>
                <w:color w:val="000000" w:themeColor="text1"/>
                <w:szCs w:val="16"/>
              </w:rPr>
              <w:t>92.89%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FA4E180" w14:textId="5ADA3FA0"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63ED144" w14:textId="01C7CFD8"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75BA65E5" w14:textId="42EF0FE5" w:rsidTr="00A40EE1">
        <w:trPr>
          <w:trHeight w:val="80"/>
        </w:trPr>
        <w:tc>
          <w:tcPr>
            <w:tcW w:w="458" w:type="pct"/>
            <w:tcBorders>
              <w:left w:val="single" w:sz="4" w:space="0" w:color="auto"/>
              <w:right w:val="single" w:sz="4" w:space="0" w:color="auto"/>
            </w:tcBorders>
            <w:shd w:val="clear" w:color="auto" w:fill="auto"/>
            <w:vAlign w:val="center"/>
          </w:tcPr>
          <w:p w14:paraId="395D1B41" w14:textId="4D803DA3" w:rsidR="00CD79C5" w:rsidRPr="00ED172B" w:rsidRDefault="008B3D40" w:rsidP="00186420">
            <w:pPr>
              <w:jc w:val="center"/>
              <w:rPr>
                <w:rFonts w:cs="Arial"/>
                <w:b/>
                <w:color w:val="000000" w:themeColor="text1"/>
                <w:szCs w:val="16"/>
              </w:rPr>
            </w:pPr>
            <w:r w:rsidRPr="00ED172B">
              <w:rPr>
                <w:rFonts w:cs="Arial"/>
                <w:b/>
                <w:color w:val="000000" w:themeColor="text1"/>
                <w:szCs w:val="16"/>
              </w:rPr>
              <w:t>C1 AR</w:t>
            </w:r>
          </w:p>
        </w:tc>
        <w:tc>
          <w:tcPr>
            <w:tcW w:w="458" w:type="pct"/>
            <w:tcBorders>
              <w:left w:val="single" w:sz="4" w:space="0" w:color="auto"/>
              <w:right w:val="single" w:sz="4" w:space="0" w:color="auto"/>
            </w:tcBorders>
            <w:shd w:val="clear" w:color="auto" w:fill="auto"/>
          </w:tcPr>
          <w:p w14:paraId="0CDEC5BA" w14:textId="6E80D5B9" w:rsidR="00CD79C5" w:rsidRPr="00ED172B" w:rsidRDefault="005C14C2" w:rsidP="005C14C2">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553C984" w14:textId="7B579917"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29A6B9B7" w14:textId="7E9E8B59"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7C2F7BFE" w14:textId="06C1EF6B"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4B4A94C" w14:textId="0321D26A"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1CFA359" w14:textId="50C5DBA4" w:rsidR="00CD79C5" w:rsidRPr="00ED172B" w:rsidRDefault="00860830" w:rsidP="00186420">
            <w:pPr>
              <w:jc w:val="center"/>
              <w:rPr>
                <w:rFonts w:cs="Arial"/>
                <w:color w:val="000000" w:themeColor="text1"/>
                <w:szCs w:val="16"/>
              </w:rPr>
            </w:pPr>
            <w:r w:rsidRPr="00ED172B">
              <w:rPr>
                <w:rFonts w:cs="Arial"/>
                <w:color w:val="000000" w:themeColor="text1"/>
                <w:szCs w:val="16"/>
              </w:rPr>
              <w:t>97.62%</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8419723" w14:textId="680B30A1" w:rsidR="00CD79C5" w:rsidRPr="00ED172B" w:rsidRDefault="00860830" w:rsidP="00186420">
            <w:pPr>
              <w:jc w:val="center"/>
              <w:rPr>
                <w:rFonts w:cs="Arial"/>
                <w:color w:val="000000" w:themeColor="text1"/>
                <w:szCs w:val="16"/>
              </w:rPr>
            </w:pPr>
            <w:r w:rsidRPr="00ED172B">
              <w:rPr>
                <w:rFonts w:cs="Arial"/>
                <w:color w:val="000000" w:themeColor="text1"/>
                <w:szCs w:val="16"/>
              </w:rPr>
              <w:t>100.00%</w:t>
            </w:r>
          </w:p>
        </w:tc>
      </w:tr>
      <w:tr w:rsidR="00ED172B" w:rsidRPr="00ED172B" w14:paraId="745884F5" w14:textId="374FF67A" w:rsidTr="00A40EE1">
        <w:trPr>
          <w:trHeight w:val="80"/>
        </w:trPr>
        <w:tc>
          <w:tcPr>
            <w:tcW w:w="458" w:type="pct"/>
            <w:tcBorders>
              <w:left w:val="single" w:sz="4" w:space="0" w:color="auto"/>
              <w:right w:val="single" w:sz="4" w:space="0" w:color="auto"/>
            </w:tcBorders>
            <w:shd w:val="clear" w:color="auto" w:fill="auto"/>
            <w:vAlign w:val="center"/>
          </w:tcPr>
          <w:p w14:paraId="24A12BE3" w14:textId="77777777" w:rsidR="00CD79C5" w:rsidRPr="00ED172B" w:rsidRDefault="00CD79C5" w:rsidP="00186420">
            <w:pPr>
              <w:jc w:val="center"/>
              <w:rPr>
                <w:rFonts w:cs="Arial"/>
                <w:b/>
                <w:color w:val="000000" w:themeColor="text1"/>
                <w:szCs w:val="16"/>
              </w:rPr>
            </w:pPr>
            <w:r w:rsidRPr="00ED172B">
              <w:rPr>
                <w:rFonts w:cs="Arial"/>
                <w:b/>
                <w:color w:val="000000" w:themeColor="text1"/>
                <w:szCs w:val="16"/>
              </w:rPr>
              <w:t>C2</w:t>
            </w:r>
          </w:p>
        </w:tc>
        <w:tc>
          <w:tcPr>
            <w:tcW w:w="458" w:type="pct"/>
            <w:tcBorders>
              <w:left w:val="single" w:sz="4" w:space="0" w:color="auto"/>
              <w:right w:val="single" w:sz="4" w:space="0" w:color="auto"/>
            </w:tcBorders>
            <w:shd w:val="clear" w:color="auto" w:fill="auto"/>
          </w:tcPr>
          <w:p w14:paraId="0B67F880" w14:textId="0B76E8F9" w:rsidR="00CD79C5" w:rsidRPr="00ED172B" w:rsidRDefault="005C14C2" w:rsidP="005C14C2">
            <w:pPr>
              <w:jc w:val="center"/>
              <w:rPr>
                <w:color w:val="000000" w:themeColor="text1"/>
              </w:rPr>
            </w:pPr>
            <w:r w:rsidRPr="00ED172B">
              <w:rPr>
                <w:color w:val="000000" w:themeColor="text1"/>
              </w:rPr>
              <w:t>2013</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3F1BA788" w14:textId="697D4877"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47BD13E" w14:textId="0651E384" w:rsidR="00CD79C5" w:rsidRPr="00ED172B" w:rsidRDefault="00860830" w:rsidP="00186420">
            <w:pPr>
              <w:jc w:val="center"/>
              <w:rPr>
                <w:rFonts w:cs="Arial"/>
                <w:color w:val="000000" w:themeColor="text1"/>
                <w:szCs w:val="16"/>
              </w:rPr>
            </w:pPr>
            <w:r w:rsidRPr="00ED172B">
              <w:rPr>
                <w:rFonts w:cs="Arial"/>
                <w:color w:val="000000" w:themeColor="text1"/>
                <w:szCs w:val="16"/>
              </w:rPr>
              <w:t>73.70%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D171543" w14:textId="0E91E0C0" w:rsidR="00CD79C5" w:rsidRPr="00ED172B" w:rsidRDefault="00860830" w:rsidP="00186420">
            <w:pPr>
              <w:jc w:val="center"/>
              <w:rPr>
                <w:rFonts w:cs="Arial"/>
                <w:color w:val="000000" w:themeColor="text1"/>
                <w:szCs w:val="16"/>
              </w:rPr>
            </w:pPr>
            <w:r w:rsidRPr="00ED172B">
              <w:rPr>
                <w:rFonts w:cs="Arial"/>
                <w:color w:val="000000" w:themeColor="text1"/>
                <w:szCs w:val="16"/>
              </w:rPr>
              <w:t>73.80%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99767BB" w14:textId="0D67D628" w:rsidR="00CD79C5" w:rsidRPr="00ED172B" w:rsidRDefault="00860830" w:rsidP="00186420">
            <w:pPr>
              <w:jc w:val="center"/>
              <w:rPr>
                <w:rFonts w:cs="Arial"/>
                <w:color w:val="000000" w:themeColor="text1"/>
                <w:szCs w:val="16"/>
              </w:rPr>
            </w:pPr>
            <w:r w:rsidRPr="00ED172B">
              <w:rPr>
                <w:rFonts w:cs="Arial"/>
                <w:color w:val="000000" w:themeColor="text1"/>
                <w:szCs w:val="16"/>
              </w:rPr>
              <w:t>73.90%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0735A35" w14:textId="638F7D0B" w:rsidR="00CD79C5" w:rsidRPr="00ED172B" w:rsidRDefault="00860830" w:rsidP="00186420">
            <w:pPr>
              <w:jc w:val="center"/>
              <w:rPr>
                <w:rFonts w:cs="Arial"/>
                <w:color w:val="000000" w:themeColor="text1"/>
                <w:szCs w:val="16"/>
              </w:rPr>
            </w:pPr>
            <w:r w:rsidRPr="00ED172B">
              <w:rPr>
                <w:rFonts w:cs="Arial"/>
                <w:color w:val="000000" w:themeColor="text1"/>
                <w:szCs w:val="16"/>
              </w:rPr>
              <w:t>73.90%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1AF7B38" w14:textId="12BCF7E6" w:rsidR="00CD79C5" w:rsidRPr="00ED172B" w:rsidRDefault="00860830" w:rsidP="00186420">
            <w:pPr>
              <w:jc w:val="center"/>
              <w:rPr>
                <w:rFonts w:cs="Arial"/>
                <w:color w:val="000000" w:themeColor="text1"/>
                <w:szCs w:val="16"/>
              </w:rPr>
            </w:pPr>
            <w:r w:rsidRPr="00ED172B">
              <w:rPr>
                <w:rFonts w:cs="Arial"/>
                <w:color w:val="000000" w:themeColor="text1"/>
                <w:szCs w:val="16"/>
              </w:rPr>
              <w:t>74.00%</w:t>
            </w:r>
          </w:p>
        </w:tc>
      </w:tr>
      <w:tr w:rsidR="00ED172B" w:rsidRPr="00ED172B" w14:paraId="2A4ABFAC" w14:textId="1416BF1B" w:rsidTr="00A40EE1">
        <w:trPr>
          <w:trHeight w:val="80"/>
        </w:trPr>
        <w:tc>
          <w:tcPr>
            <w:tcW w:w="458" w:type="pct"/>
            <w:tcBorders>
              <w:left w:val="single" w:sz="4" w:space="0" w:color="auto"/>
              <w:right w:val="single" w:sz="4" w:space="0" w:color="auto"/>
            </w:tcBorders>
            <w:shd w:val="clear" w:color="auto" w:fill="auto"/>
            <w:vAlign w:val="center"/>
          </w:tcPr>
          <w:p w14:paraId="02F1A5D1" w14:textId="660A152D" w:rsidR="00CD79C5" w:rsidRPr="00ED172B" w:rsidRDefault="006935F4" w:rsidP="00186420">
            <w:pPr>
              <w:jc w:val="center"/>
              <w:rPr>
                <w:rFonts w:cs="Arial"/>
                <w:b/>
                <w:color w:val="000000" w:themeColor="text1"/>
                <w:szCs w:val="16"/>
              </w:rPr>
            </w:pPr>
            <w:r w:rsidRPr="00ED172B">
              <w:rPr>
                <w:rFonts w:cs="Arial"/>
                <w:b/>
                <w:color w:val="000000" w:themeColor="text1"/>
                <w:szCs w:val="16"/>
              </w:rPr>
              <w:t>C2</w:t>
            </w:r>
          </w:p>
        </w:tc>
        <w:tc>
          <w:tcPr>
            <w:tcW w:w="458" w:type="pct"/>
            <w:tcBorders>
              <w:left w:val="single" w:sz="4" w:space="0" w:color="auto"/>
              <w:right w:val="single" w:sz="4" w:space="0" w:color="auto"/>
            </w:tcBorders>
            <w:shd w:val="clear" w:color="auto" w:fill="auto"/>
          </w:tcPr>
          <w:p w14:paraId="71F7A5B2" w14:textId="31BD369A" w:rsidR="00CD79C5" w:rsidRPr="00ED172B" w:rsidRDefault="005C14C2" w:rsidP="005C14C2">
            <w:pPr>
              <w:jc w:val="center"/>
              <w:rPr>
                <w:color w:val="000000" w:themeColor="text1"/>
              </w:rPr>
            </w:pPr>
            <w:r w:rsidRPr="00ED172B">
              <w:rPr>
                <w:color w:val="000000" w:themeColor="text1"/>
              </w:rPr>
              <w:t>73.66%</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2BA323B" w14:textId="4C828244"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07C685E" w14:textId="37B61CC0" w:rsidR="00CD79C5" w:rsidRPr="00ED172B" w:rsidRDefault="00860830" w:rsidP="00186420">
            <w:pPr>
              <w:jc w:val="center"/>
              <w:rPr>
                <w:rFonts w:cs="Arial"/>
                <w:color w:val="000000" w:themeColor="text1"/>
                <w:szCs w:val="16"/>
              </w:rPr>
            </w:pPr>
            <w:r w:rsidRPr="00ED172B">
              <w:rPr>
                <w:rFonts w:cs="Arial"/>
                <w:color w:val="000000" w:themeColor="text1"/>
                <w:szCs w:val="16"/>
              </w:rPr>
              <w:t>68.61%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FBCD12A" w14:textId="380639C0" w:rsidR="00CD79C5" w:rsidRPr="00ED172B" w:rsidRDefault="00860830" w:rsidP="00186420">
            <w:pPr>
              <w:jc w:val="center"/>
              <w:rPr>
                <w:rFonts w:cs="Arial"/>
                <w:color w:val="000000" w:themeColor="text1"/>
                <w:szCs w:val="16"/>
              </w:rPr>
            </w:pPr>
            <w:r w:rsidRPr="00ED172B">
              <w:rPr>
                <w:rFonts w:cs="Arial"/>
                <w:color w:val="000000" w:themeColor="text1"/>
                <w:szCs w:val="16"/>
              </w:rPr>
              <w:t>66.99%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9B10B22" w14:textId="3F5BBE7D" w:rsidR="00CD79C5" w:rsidRPr="00ED172B" w:rsidRDefault="00860830" w:rsidP="00186420">
            <w:pPr>
              <w:jc w:val="center"/>
              <w:rPr>
                <w:rFonts w:cs="Arial"/>
                <w:color w:val="000000" w:themeColor="text1"/>
                <w:szCs w:val="16"/>
              </w:rPr>
            </w:pPr>
            <w:r w:rsidRPr="00ED172B">
              <w:rPr>
                <w:rFonts w:cs="Arial"/>
                <w:color w:val="000000" w:themeColor="text1"/>
                <w:szCs w:val="16"/>
              </w:rPr>
              <w:t>63.53%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04C6C8" w14:textId="63070BE5" w:rsidR="00CD79C5" w:rsidRPr="00ED172B" w:rsidRDefault="00860830" w:rsidP="00186420">
            <w:pPr>
              <w:jc w:val="center"/>
              <w:rPr>
                <w:rFonts w:cs="Arial"/>
                <w:color w:val="000000" w:themeColor="text1"/>
                <w:szCs w:val="16"/>
              </w:rPr>
            </w:pPr>
            <w:r w:rsidRPr="00ED172B">
              <w:rPr>
                <w:rFonts w:cs="Arial"/>
                <w:color w:val="000000" w:themeColor="text1"/>
                <w:szCs w:val="16"/>
              </w:rPr>
              <w:t>55.79%</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7AE2548" w14:textId="243666B6" w:rsidR="00CD79C5" w:rsidRPr="00ED172B" w:rsidRDefault="00860830" w:rsidP="00186420">
            <w:pPr>
              <w:jc w:val="center"/>
              <w:rPr>
                <w:rFonts w:cs="Arial"/>
                <w:color w:val="000000" w:themeColor="text1"/>
                <w:szCs w:val="16"/>
              </w:rPr>
            </w:pPr>
            <w:r w:rsidRPr="00ED172B">
              <w:rPr>
                <w:rFonts w:cs="Arial"/>
                <w:color w:val="000000" w:themeColor="text1"/>
                <w:szCs w:val="16"/>
              </w:rPr>
              <w:t>41.97%</w:t>
            </w:r>
          </w:p>
        </w:tc>
      </w:tr>
      <w:tr w:rsidR="00ED172B" w:rsidRPr="00ED172B" w14:paraId="6D6E8E56" w14:textId="7ED91704" w:rsidTr="00A40EE1">
        <w:trPr>
          <w:trHeight w:val="80"/>
        </w:trPr>
        <w:tc>
          <w:tcPr>
            <w:tcW w:w="458" w:type="pct"/>
            <w:tcBorders>
              <w:left w:val="single" w:sz="4" w:space="0" w:color="auto"/>
              <w:right w:val="single" w:sz="4" w:space="0" w:color="auto"/>
            </w:tcBorders>
            <w:shd w:val="clear" w:color="auto" w:fill="auto"/>
            <w:vAlign w:val="center"/>
          </w:tcPr>
          <w:p w14:paraId="086BC3DB" w14:textId="4BC97C0B" w:rsidR="00CD79C5" w:rsidRPr="00ED172B" w:rsidRDefault="008B3D40" w:rsidP="00186420">
            <w:pPr>
              <w:jc w:val="center"/>
              <w:rPr>
                <w:rFonts w:cs="Arial"/>
                <w:b/>
                <w:color w:val="000000" w:themeColor="text1"/>
                <w:szCs w:val="16"/>
              </w:rPr>
            </w:pPr>
            <w:r w:rsidRPr="00ED172B">
              <w:rPr>
                <w:rFonts w:cs="Arial"/>
                <w:b/>
                <w:color w:val="000000" w:themeColor="text1"/>
                <w:szCs w:val="16"/>
              </w:rPr>
              <w:t>C2 AR</w:t>
            </w:r>
          </w:p>
        </w:tc>
        <w:tc>
          <w:tcPr>
            <w:tcW w:w="458" w:type="pct"/>
            <w:tcBorders>
              <w:left w:val="single" w:sz="4" w:space="0" w:color="auto"/>
              <w:right w:val="single" w:sz="4" w:space="0" w:color="auto"/>
            </w:tcBorders>
            <w:shd w:val="clear" w:color="auto" w:fill="auto"/>
          </w:tcPr>
          <w:p w14:paraId="42E912DE" w14:textId="6CE27B41" w:rsidR="00CD79C5" w:rsidRPr="00ED172B" w:rsidRDefault="005C14C2" w:rsidP="005C14C2">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62DA8E9B" w14:textId="767EF16B" w:rsidR="00CD79C5" w:rsidRPr="00ED172B" w:rsidRDefault="00CD79C5" w:rsidP="00CD79C5">
            <w:pPr>
              <w:rPr>
                <w:rFonts w:cs="Arial"/>
                <w:color w:val="000000" w:themeColor="text1"/>
                <w:szCs w:val="16"/>
              </w:rPr>
            </w:pPr>
            <w:r w:rsidRPr="00ED172B">
              <w:rPr>
                <w:rFonts w:cs="Arial"/>
                <w:color w:val="000000" w:themeColor="text1"/>
                <w:szCs w:val="16"/>
              </w:rPr>
              <w:t>Target&gt;=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86311D0" w14:textId="7F007EEB"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4BAF2032" w14:textId="5111F0AF"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872EA85" w14:textId="384B5865" w:rsidR="00CD79C5" w:rsidRPr="00ED172B" w:rsidRDefault="00860830" w:rsidP="00186420">
            <w:pPr>
              <w:jc w:val="center"/>
              <w:rPr>
                <w:rFonts w:cs="Arial"/>
                <w:color w:val="000000" w:themeColor="text1"/>
                <w:szCs w:val="16"/>
              </w:rPr>
            </w:pPr>
            <w:r w:rsidRPr="00ED172B">
              <w:rPr>
                <w:rFonts w:cs="Arial"/>
                <w:color w:val="000000" w:themeColor="text1"/>
                <w:szCs w:val="16"/>
              </w:rPr>
              <w:t>63.53%</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B9BA751" w14:textId="3D8AE6F8"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6954E8D1" w14:textId="14CB8E7D"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r>
      <w:tr w:rsidR="00ED172B" w:rsidRPr="00ED172B" w14:paraId="6B14429C" w14:textId="79747735" w:rsidTr="00A40EE1">
        <w:trPr>
          <w:trHeight w:val="80"/>
        </w:trPr>
        <w:tc>
          <w:tcPr>
            <w:tcW w:w="458" w:type="pct"/>
            <w:tcBorders>
              <w:left w:val="single" w:sz="4" w:space="0" w:color="auto"/>
              <w:right w:val="single" w:sz="4" w:space="0" w:color="auto"/>
            </w:tcBorders>
            <w:shd w:val="clear" w:color="auto" w:fill="auto"/>
            <w:vAlign w:val="center"/>
          </w:tcPr>
          <w:p w14:paraId="4557771F" w14:textId="0BA88612" w:rsidR="00CD79C5" w:rsidRPr="00ED172B" w:rsidRDefault="008B3D40" w:rsidP="00186420">
            <w:pPr>
              <w:jc w:val="center"/>
              <w:rPr>
                <w:rFonts w:cs="Arial"/>
                <w:b/>
                <w:color w:val="000000" w:themeColor="text1"/>
                <w:szCs w:val="16"/>
              </w:rPr>
            </w:pPr>
            <w:r w:rsidRPr="00ED172B">
              <w:rPr>
                <w:rFonts w:cs="Arial"/>
                <w:b/>
                <w:color w:val="000000" w:themeColor="text1"/>
                <w:szCs w:val="16"/>
              </w:rPr>
              <w:t>C2 AR</w:t>
            </w:r>
          </w:p>
        </w:tc>
        <w:tc>
          <w:tcPr>
            <w:tcW w:w="458" w:type="pct"/>
            <w:tcBorders>
              <w:left w:val="single" w:sz="4" w:space="0" w:color="auto"/>
              <w:right w:val="single" w:sz="4" w:space="0" w:color="auto"/>
            </w:tcBorders>
            <w:shd w:val="clear" w:color="auto" w:fill="auto"/>
          </w:tcPr>
          <w:p w14:paraId="5C2D7A20" w14:textId="2A2FDEDE" w:rsidR="00CD79C5" w:rsidRPr="00ED172B" w:rsidRDefault="005C14C2" w:rsidP="00027F39">
            <w:pPr>
              <w:jc w:val="center"/>
              <w:rPr>
                <w:color w:val="000000" w:themeColor="text1"/>
              </w:rPr>
            </w:pPr>
            <w:r w:rsidRPr="00ED172B">
              <w:rPr>
                <w:color w:val="000000" w:themeColor="text1"/>
              </w:rPr>
              <w:t/>
            </w:r>
          </w:p>
        </w:tc>
        <w:tc>
          <w:tcPr>
            <w:tcW w:w="458" w:type="pct"/>
            <w:tcBorders>
              <w:top w:val="single" w:sz="4" w:space="0" w:color="auto"/>
              <w:left w:val="single" w:sz="4" w:space="0" w:color="auto"/>
              <w:bottom w:val="single" w:sz="4" w:space="0" w:color="auto"/>
              <w:right w:val="single" w:sz="4" w:space="0" w:color="auto"/>
            </w:tcBorders>
            <w:shd w:val="clear" w:color="auto" w:fill="auto"/>
          </w:tcPr>
          <w:p w14:paraId="57B33EC5" w14:textId="0839A892" w:rsidR="00CD79C5" w:rsidRPr="00ED172B" w:rsidRDefault="00CD79C5" w:rsidP="00CD79C5">
            <w:pPr>
              <w:rPr>
                <w:rFonts w:cs="Arial"/>
                <w:color w:val="000000" w:themeColor="text1"/>
                <w:szCs w:val="16"/>
              </w:rPr>
            </w:pPr>
            <w:r w:rsidRPr="00ED172B">
              <w:rPr>
                <w:rFonts w:cs="Arial"/>
                <w:color w:val="000000" w:themeColor="text1"/>
                <w:szCs w:val="16"/>
              </w:rPr>
              <w:t>Data</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1000DA62" w14:textId="4BAA682A"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BC6A5F1" w14:textId="18616665" w:rsidR="00CD79C5"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5ED8B4D6" w14:textId="3DDA8A5C" w:rsidR="00CD79C5" w:rsidRPr="00ED172B" w:rsidRDefault="00860830" w:rsidP="00186420">
            <w:pPr>
              <w:jc w:val="center"/>
              <w:rPr>
                <w:rFonts w:cs="Arial"/>
                <w:color w:val="000000" w:themeColor="text1"/>
                <w:szCs w:val="16"/>
              </w:rPr>
            </w:pPr>
            <w:r w:rsidRPr="00ED172B">
              <w:rPr>
                <w:rFonts w:cs="Arial"/>
                <w:color w:val="000000" w:themeColor="text1"/>
                <w:szCs w:val="16"/>
              </w:rPr>
              <w:t>98.01%</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3A9E6EFA" w14:textId="47DE5C75" w:rsidR="00CD79C5" w:rsidRPr="00ED172B" w:rsidRDefault="00860830" w:rsidP="00186420">
            <w:pPr>
              <w:jc w:val="center"/>
              <w:rPr>
                <w:rFonts w:cs="Arial"/>
                <w:color w:val="000000" w:themeColor="text1"/>
                <w:szCs w:val="16"/>
              </w:rPr>
            </w:pPr>
            <w:r w:rsidRPr="00ED172B">
              <w:rPr>
                <w:rFonts w:cs="Arial"/>
                <w:color w:val="000000" w:themeColor="text1"/>
                <w:szCs w:val="16"/>
              </w:rPr>
              <w:t>97.40%</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tcPr>
          <w:p w14:paraId="040E31EE" w14:textId="349087DD" w:rsidR="00CD79C5" w:rsidRPr="00ED172B" w:rsidRDefault="00860830" w:rsidP="00186420">
            <w:pPr>
              <w:jc w:val="center"/>
              <w:rPr>
                <w:rFonts w:cs="Arial"/>
                <w:color w:val="000000" w:themeColor="text1"/>
                <w:szCs w:val="16"/>
              </w:rPr>
            </w:pPr>
            <w:r w:rsidRPr="00ED172B">
              <w:rPr>
                <w:rFonts w:cs="Arial"/>
                <w:color w:val="000000" w:themeColor="text1"/>
                <w:szCs w:val="16"/>
              </w:rPr>
              <w:t>95.08%</w:t>
            </w:r>
          </w:p>
        </w:tc>
      </w:tr>
    </w:tbl>
    <w:p w14:paraId="59D469DB" w14:textId="068408CD" w:rsidR="009000CE" w:rsidRPr="00ED172B" w:rsidRDefault="009000CE">
      <w:pPr>
        <w:rPr>
          <w:b/>
          <w:color w:val="000000" w:themeColor="text1"/>
        </w:rPr>
      </w:pPr>
      <w:r w:rsidRPr="00794BA1">
        <w:rPr>
          <w:b/>
          <w:color w:val="000000" w:themeColor="text1"/>
        </w:rPr>
        <w:t>Targets</w:t>
      </w:r>
    </w:p>
    <w:tbl>
      <w:tblPr>
        <w:tblW w:w="42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TARGETS2"/>
      </w:tblPr>
      <w:tblGrid>
        <w:gridCol w:w="989"/>
        <w:gridCol w:w="2102"/>
        <w:gridCol w:w="1542"/>
        <w:gridCol w:w="1542"/>
        <w:gridCol w:w="1542"/>
        <w:gridCol w:w="1541"/>
      </w:tblGrid>
      <w:tr w:rsidR="009E2382" w:rsidRPr="00ED172B" w14:paraId="5C0381AF" w14:textId="240FB05E" w:rsidTr="006B0ACA">
        <w:trPr>
          <w:trHeight w:val="350"/>
        </w:trPr>
        <w:tc>
          <w:tcPr>
            <w:tcW w:w="534" w:type="pct"/>
            <w:tcBorders>
              <w:bottom w:val="single" w:sz="4" w:space="0" w:color="auto"/>
            </w:tcBorders>
            <w:shd w:val="clear" w:color="auto" w:fill="auto"/>
          </w:tcPr>
          <w:p w14:paraId="7D540CF6" w14:textId="3B69FD16" w:rsidR="009E2382" w:rsidRPr="00ED172B" w:rsidRDefault="009E2382" w:rsidP="00E67F3E">
            <w:pPr>
              <w:jc w:val="center"/>
              <w:rPr>
                <w:b/>
                <w:color w:val="000000" w:themeColor="text1"/>
                <w:szCs w:val="16"/>
              </w:rPr>
            </w:pPr>
            <w:r w:rsidRPr="00ED172B">
              <w:rPr>
                <w:b/>
                <w:color w:val="000000" w:themeColor="text1"/>
                <w:szCs w:val="16"/>
              </w:rPr>
              <w:t>FFY</w:t>
            </w:r>
          </w:p>
        </w:tc>
        <w:tc>
          <w:tcPr>
            <w:tcW w:w="1135" w:type="pct"/>
            <w:shd w:val="clear" w:color="auto" w:fill="auto"/>
            <w:vAlign w:val="center"/>
          </w:tcPr>
          <w:p w14:paraId="1C822F15" w14:textId="2C7063F1" w:rsidR="009E2382" w:rsidRPr="00ED172B" w:rsidRDefault="009E2382" w:rsidP="00E67F3E">
            <w:pPr>
              <w:jc w:val="center"/>
              <w:rPr>
                <w:b/>
                <w:color w:val="000000" w:themeColor="text1"/>
                <w:szCs w:val="16"/>
              </w:rPr>
            </w:pPr>
            <w:r w:rsidRPr="00ED172B">
              <w:rPr>
                <w:rFonts w:cs="Arial"/>
                <w:b/>
                <w:color w:val="000000" w:themeColor="text1"/>
                <w:szCs w:val="16"/>
              </w:rPr>
              <w:t>2021</w:t>
            </w:r>
          </w:p>
        </w:tc>
        <w:tc>
          <w:tcPr>
            <w:tcW w:w="833" w:type="pct"/>
          </w:tcPr>
          <w:p w14:paraId="4F7C81B2" w14:textId="74F8FB4E" w:rsidR="009E2382" w:rsidRPr="00ED172B" w:rsidRDefault="009E2382" w:rsidP="00E67F3E">
            <w:pPr>
              <w:jc w:val="center"/>
              <w:rPr>
                <w:rFonts w:cs="Arial"/>
                <w:b/>
                <w:color w:val="000000" w:themeColor="text1"/>
                <w:szCs w:val="16"/>
              </w:rPr>
            </w:pPr>
            <w:r>
              <w:rPr>
                <w:rFonts w:cs="Arial"/>
                <w:b/>
                <w:color w:val="000000" w:themeColor="text1"/>
                <w:szCs w:val="16"/>
              </w:rPr>
              <w:t>2022</w:t>
            </w:r>
          </w:p>
        </w:tc>
        <w:tc>
          <w:tcPr>
            <w:tcW w:w="833" w:type="pct"/>
          </w:tcPr>
          <w:p w14:paraId="76886659" w14:textId="0ECDD401" w:rsidR="009E2382" w:rsidRPr="00ED172B" w:rsidRDefault="009E2382" w:rsidP="00E67F3E">
            <w:pPr>
              <w:jc w:val="center"/>
              <w:rPr>
                <w:rFonts w:cs="Arial"/>
                <w:b/>
                <w:color w:val="000000" w:themeColor="text1"/>
                <w:szCs w:val="16"/>
              </w:rPr>
            </w:pPr>
            <w:r w:rsidRPr="005A1B4F">
              <w:rPr>
                <w:rFonts w:cs="Arial"/>
                <w:b/>
                <w:color w:val="000000" w:themeColor="text1"/>
                <w:szCs w:val="16"/>
              </w:rPr>
              <w:t>2023</w:t>
            </w:r>
          </w:p>
        </w:tc>
        <w:tc>
          <w:tcPr>
            <w:tcW w:w="833" w:type="pct"/>
          </w:tcPr>
          <w:p w14:paraId="69CB589E" w14:textId="094AD6CD" w:rsidR="009E2382" w:rsidRPr="00ED172B" w:rsidRDefault="009E2382" w:rsidP="00E67F3E">
            <w:pPr>
              <w:jc w:val="center"/>
              <w:rPr>
                <w:rFonts w:cs="Arial"/>
                <w:b/>
                <w:color w:val="000000" w:themeColor="text1"/>
                <w:szCs w:val="16"/>
              </w:rPr>
            </w:pPr>
            <w:r w:rsidRPr="005A1B4F">
              <w:rPr>
                <w:rFonts w:cs="Arial"/>
                <w:b/>
                <w:color w:val="000000" w:themeColor="text1"/>
                <w:szCs w:val="16"/>
              </w:rPr>
              <w:t>2024</w:t>
            </w:r>
          </w:p>
        </w:tc>
        <w:tc>
          <w:tcPr>
            <w:tcW w:w="833" w:type="pct"/>
          </w:tcPr>
          <w:p w14:paraId="3913A201" w14:textId="171F1EF0" w:rsidR="009E2382" w:rsidRPr="00ED172B" w:rsidRDefault="009E2382" w:rsidP="00E67F3E">
            <w:pPr>
              <w:jc w:val="center"/>
              <w:rPr>
                <w:rFonts w:cs="Arial"/>
                <w:b/>
                <w:color w:val="000000" w:themeColor="text1"/>
                <w:szCs w:val="16"/>
              </w:rPr>
            </w:pPr>
            <w:r w:rsidRPr="005A1B4F">
              <w:rPr>
                <w:rFonts w:cs="Arial"/>
                <w:b/>
                <w:color w:val="000000" w:themeColor="text1"/>
                <w:szCs w:val="16"/>
              </w:rPr>
              <w:t>2025</w:t>
            </w:r>
          </w:p>
        </w:tc>
      </w:tr>
      <w:tr w:rsidR="009E2382" w:rsidRPr="00ED172B" w14:paraId="7D3874C8" w14:textId="22DBB207" w:rsidTr="006B0ACA">
        <w:trPr>
          <w:trHeight w:val="357"/>
        </w:trPr>
        <w:tc>
          <w:tcPr>
            <w:tcW w:w="534" w:type="pct"/>
            <w:shd w:val="clear" w:color="auto" w:fill="auto"/>
            <w:vAlign w:val="center"/>
          </w:tcPr>
          <w:p w14:paraId="0D92F8F5" w14:textId="41B6F17B" w:rsidR="009E2382" w:rsidRPr="00ED172B" w:rsidRDefault="009E2382" w:rsidP="00F4238C">
            <w:pPr>
              <w:rPr>
                <w:color w:val="000000" w:themeColor="text1"/>
                <w:szCs w:val="16"/>
              </w:rPr>
            </w:pPr>
            <w:r w:rsidRPr="00ED172B">
              <w:rPr>
                <w:color w:val="000000" w:themeColor="text1"/>
                <w:szCs w:val="16"/>
              </w:rPr>
              <w:t>Target A1 &gt;=</w:t>
            </w:r>
          </w:p>
        </w:tc>
        <w:tc>
          <w:tcPr>
            <w:tcW w:w="1135" w:type="pct"/>
            <w:shd w:val="clear" w:color="auto" w:fill="auto"/>
            <w:vAlign w:val="center"/>
          </w:tcPr>
          <w:p w14:paraId="5A65956F" w14:textId="425987CA" w:rsidR="009E2382" w:rsidRPr="00ED172B" w:rsidRDefault="009E2382" w:rsidP="00F4238C">
            <w:pPr>
              <w:jc w:val="center"/>
              <w:rPr>
                <w:color w:val="000000" w:themeColor="text1"/>
              </w:rPr>
            </w:pPr>
            <w:r w:rsidRPr="00ED172B">
              <w:rPr>
                <w:color w:val="000000" w:themeColor="text1"/>
              </w:rPr>
              <w:t>57.00%</w:t>
            </w:r>
          </w:p>
        </w:tc>
        <w:tc>
          <w:tcPr>
            <w:tcW w:w="833" w:type="pct"/>
            <w:vAlign w:val="center"/>
          </w:tcPr>
          <w:p w14:paraId="648EBDE0" w14:textId="0BFF9DE2" w:rsidR="009E2382" w:rsidRPr="00ED172B" w:rsidRDefault="009E2382" w:rsidP="00F4238C">
            <w:pPr>
              <w:jc w:val="center"/>
              <w:rPr>
                <w:color w:val="000000" w:themeColor="text1"/>
              </w:rPr>
            </w:pPr>
            <w:r w:rsidRPr="00ED172B">
              <w:rPr>
                <w:color w:val="000000" w:themeColor="text1"/>
              </w:rPr>
              <w:t>57.10%</w:t>
            </w:r>
          </w:p>
        </w:tc>
        <w:tc>
          <w:tcPr>
            <w:tcW w:w="833" w:type="pct"/>
            <w:vAlign w:val="center"/>
          </w:tcPr>
          <w:p w14:paraId="531715B6" w14:textId="68588B97" w:rsidR="009E2382" w:rsidRPr="00ED172B" w:rsidRDefault="009E2382" w:rsidP="00F4238C">
            <w:pPr>
              <w:jc w:val="center"/>
              <w:rPr>
                <w:color w:val="000000" w:themeColor="text1"/>
              </w:rPr>
            </w:pPr>
            <w:r w:rsidRPr="00ED172B">
              <w:rPr>
                <w:color w:val="000000" w:themeColor="text1"/>
              </w:rPr>
              <w:t>57.10%</w:t>
            </w:r>
          </w:p>
        </w:tc>
        <w:tc>
          <w:tcPr>
            <w:tcW w:w="833" w:type="pct"/>
            <w:vAlign w:val="center"/>
          </w:tcPr>
          <w:p w14:paraId="37A8D111" w14:textId="27F00B4E" w:rsidR="009E2382" w:rsidRPr="00ED172B" w:rsidRDefault="009E2382" w:rsidP="00F4238C">
            <w:pPr>
              <w:jc w:val="center"/>
              <w:rPr>
                <w:color w:val="000000" w:themeColor="text1"/>
              </w:rPr>
            </w:pPr>
            <w:r w:rsidRPr="00ED172B">
              <w:rPr>
                <w:color w:val="000000" w:themeColor="text1"/>
              </w:rPr>
              <w:t>57.20%</w:t>
            </w:r>
          </w:p>
        </w:tc>
        <w:tc>
          <w:tcPr>
            <w:tcW w:w="833" w:type="pct"/>
            <w:vAlign w:val="center"/>
          </w:tcPr>
          <w:p w14:paraId="62694CDE" w14:textId="3EEE74F2" w:rsidR="009E2382" w:rsidRPr="00ED172B" w:rsidRDefault="009E2382" w:rsidP="00F4238C">
            <w:pPr>
              <w:jc w:val="center"/>
              <w:rPr>
                <w:color w:val="000000" w:themeColor="text1"/>
              </w:rPr>
            </w:pPr>
            <w:r w:rsidRPr="00ED172B">
              <w:rPr>
                <w:color w:val="000000" w:themeColor="text1"/>
              </w:rPr>
              <w:t>57.20%</w:t>
            </w:r>
          </w:p>
        </w:tc>
      </w:tr>
      <w:tr w:rsidR="009E2382" w:rsidRPr="00ED172B" w14:paraId="23A1FD93" w14:textId="5B61E1CC" w:rsidTr="006B0ACA">
        <w:trPr>
          <w:trHeight w:val="357"/>
        </w:trPr>
        <w:tc>
          <w:tcPr>
            <w:tcW w:w="534" w:type="pct"/>
            <w:shd w:val="clear" w:color="auto" w:fill="auto"/>
            <w:vAlign w:val="center"/>
          </w:tcPr>
          <w:p w14:paraId="5BF5DDCA" w14:textId="43E37C51" w:rsidR="009E2382" w:rsidRPr="00ED172B" w:rsidRDefault="009E2382" w:rsidP="00F4238C">
            <w:pPr>
              <w:rPr>
                <w:color w:val="000000" w:themeColor="text1"/>
                <w:szCs w:val="16"/>
              </w:rPr>
            </w:pPr>
            <w:r w:rsidRPr="00ED172B">
              <w:rPr>
                <w:rFonts w:cs="Arial"/>
                <w:color w:val="000000" w:themeColor="text1"/>
                <w:szCs w:val="16"/>
              </w:rPr>
              <w:t>A1 AR</w:t>
            </w:r>
          </w:p>
        </w:tc>
        <w:tc>
          <w:tcPr>
            <w:tcW w:w="1135" w:type="pct"/>
            <w:shd w:val="clear" w:color="auto" w:fill="auto"/>
            <w:vAlign w:val="center"/>
          </w:tcPr>
          <w:p w14:paraId="024A73EA" w14:textId="56B2EB20"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18F14A21" w14:textId="45B3CBBA"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7BB59493" w14:textId="1D9B7ABC"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0011BB46" w14:textId="70C041CE"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434A2740" w14:textId="1AA96EEE" w:rsidR="009E2382" w:rsidRPr="00ED172B" w:rsidRDefault="009E2382" w:rsidP="00F4238C">
            <w:pPr>
              <w:jc w:val="center"/>
              <w:rPr>
                <w:color w:val="000000" w:themeColor="text1"/>
              </w:rPr>
            </w:pPr>
            <w:r w:rsidRPr="00ED172B">
              <w:rPr>
                <w:color w:val="000000" w:themeColor="text1"/>
              </w:rPr>
              <w:t/>
            </w:r>
          </w:p>
        </w:tc>
      </w:tr>
      <w:tr w:rsidR="009E2382" w:rsidRPr="00ED172B" w14:paraId="5972E718" w14:textId="50B84274" w:rsidTr="006B0ACA">
        <w:trPr>
          <w:trHeight w:val="357"/>
        </w:trPr>
        <w:tc>
          <w:tcPr>
            <w:tcW w:w="534" w:type="pct"/>
            <w:shd w:val="clear" w:color="auto" w:fill="auto"/>
            <w:vAlign w:val="center"/>
          </w:tcPr>
          <w:p w14:paraId="79E5234D" w14:textId="119BC8E8" w:rsidR="009E2382" w:rsidRPr="00ED172B" w:rsidRDefault="009E2382" w:rsidP="00F4238C">
            <w:pPr>
              <w:rPr>
                <w:color w:val="000000" w:themeColor="text1"/>
                <w:szCs w:val="16"/>
              </w:rPr>
            </w:pPr>
            <w:r w:rsidRPr="00ED172B">
              <w:rPr>
                <w:color w:val="000000" w:themeColor="text1"/>
                <w:szCs w:val="16"/>
              </w:rPr>
              <w:t>Target A2 &gt;=</w:t>
            </w:r>
          </w:p>
        </w:tc>
        <w:tc>
          <w:tcPr>
            <w:tcW w:w="1135" w:type="pct"/>
            <w:shd w:val="clear" w:color="auto" w:fill="auto"/>
            <w:vAlign w:val="center"/>
          </w:tcPr>
          <w:p w14:paraId="66882A8B" w14:textId="214D868B" w:rsidR="009E2382" w:rsidRPr="00ED172B" w:rsidRDefault="009E2382" w:rsidP="00F4238C">
            <w:pPr>
              <w:jc w:val="center"/>
              <w:rPr>
                <w:color w:val="000000" w:themeColor="text1"/>
              </w:rPr>
            </w:pPr>
            <w:r w:rsidRPr="00ED172B">
              <w:rPr>
                <w:color w:val="000000" w:themeColor="text1"/>
              </w:rPr>
              <w:t>71.20%</w:t>
            </w:r>
          </w:p>
        </w:tc>
        <w:tc>
          <w:tcPr>
            <w:tcW w:w="833" w:type="pct"/>
            <w:vAlign w:val="center"/>
          </w:tcPr>
          <w:p w14:paraId="0106F778" w14:textId="40CDEFDC" w:rsidR="009E2382" w:rsidRPr="00ED172B" w:rsidRDefault="009E2382" w:rsidP="00F4238C">
            <w:pPr>
              <w:jc w:val="center"/>
              <w:rPr>
                <w:color w:val="000000" w:themeColor="text1"/>
              </w:rPr>
            </w:pPr>
            <w:r w:rsidRPr="00ED172B">
              <w:rPr>
                <w:color w:val="000000" w:themeColor="text1"/>
              </w:rPr>
              <w:t>71.25%</w:t>
            </w:r>
          </w:p>
        </w:tc>
        <w:tc>
          <w:tcPr>
            <w:tcW w:w="833" w:type="pct"/>
            <w:vAlign w:val="center"/>
          </w:tcPr>
          <w:p w14:paraId="03506D5F" w14:textId="3777A476" w:rsidR="009E2382" w:rsidRPr="00ED172B" w:rsidRDefault="009E2382" w:rsidP="00F4238C">
            <w:pPr>
              <w:jc w:val="center"/>
              <w:rPr>
                <w:color w:val="000000" w:themeColor="text1"/>
              </w:rPr>
            </w:pPr>
            <w:r w:rsidRPr="00ED172B">
              <w:rPr>
                <w:color w:val="000000" w:themeColor="text1"/>
              </w:rPr>
              <w:t>71.30%</w:t>
            </w:r>
          </w:p>
        </w:tc>
        <w:tc>
          <w:tcPr>
            <w:tcW w:w="833" w:type="pct"/>
            <w:vAlign w:val="center"/>
          </w:tcPr>
          <w:p w14:paraId="3F808086" w14:textId="03ED1F08" w:rsidR="009E2382" w:rsidRPr="00ED172B" w:rsidRDefault="009E2382" w:rsidP="00F4238C">
            <w:pPr>
              <w:jc w:val="center"/>
              <w:rPr>
                <w:color w:val="000000" w:themeColor="text1"/>
              </w:rPr>
            </w:pPr>
            <w:r w:rsidRPr="00ED172B">
              <w:rPr>
                <w:color w:val="000000" w:themeColor="text1"/>
              </w:rPr>
              <w:t>71.35%</w:t>
            </w:r>
          </w:p>
        </w:tc>
        <w:tc>
          <w:tcPr>
            <w:tcW w:w="833" w:type="pct"/>
            <w:vAlign w:val="center"/>
          </w:tcPr>
          <w:p w14:paraId="3FCF5DB2" w14:textId="3ACC396B" w:rsidR="009E2382" w:rsidRPr="00ED172B" w:rsidRDefault="009E2382" w:rsidP="00F4238C">
            <w:pPr>
              <w:jc w:val="center"/>
              <w:rPr>
                <w:color w:val="000000" w:themeColor="text1"/>
              </w:rPr>
            </w:pPr>
            <w:r w:rsidRPr="00ED172B">
              <w:rPr>
                <w:color w:val="000000" w:themeColor="text1"/>
              </w:rPr>
              <w:t>71.40%</w:t>
            </w:r>
          </w:p>
        </w:tc>
      </w:tr>
      <w:tr w:rsidR="009E2382" w:rsidRPr="00ED172B" w14:paraId="47A76A5E" w14:textId="1A4A04DE" w:rsidTr="006B0ACA">
        <w:trPr>
          <w:trHeight w:val="357"/>
        </w:trPr>
        <w:tc>
          <w:tcPr>
            <w:tcW w:w="534" w:type="pct"/>
            <w:shd w:val="clear" w:color="auto" w:fill="auto"/>
            <w:vAlign w:val="center"/>
          </w:tcPr>
          <w:p w14:paraId="608BCC3B" w14:textId="69D6C453" w:rsidR="009E2382" w:rsidRPr="00ED172B" w:rsidRDefault="009E2382" w:rsidP="00F4238C">
            <w:pPr>
              <w:rPr>
                <w:color w:val="000000" w:themeColor="text1"/>
                <w:szCs w:val="16"/>
              </w:rPr>
            </w:pPr>
            <w:r w:rsidRPr="00ED172B">
              <w:rPr>
                <w:rFonts w:cs="Arial"/>
                <w:color w:val="000000" w:themeColor="text1"/>
                <w:szCs w:val="16"/>
              </w:rPr>
              <w:t>A2 AR</w:t>
            </w:r>
          </w:p>
        </w:tc>
        <w:tc>
          <w:tcPr>
            <w:tcW w:w="1135" w:type="pct"/>
            <w:shd w:val="clear" w:color="auto" w:fill="auto"/>
            <w:vAlign w:val="center"/>
          </w:tcPr>
          <w:p w14:paraId="6E26D73C" w14:textId="71C448AD"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4B772F30" w14:textId="33A8E96C"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365A27CB" w14:textId="720FA5E7"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3BB56B0A" w14:textId="5D5C8EAB"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39D845BC" w14:textId="42DA2AC9" w:rsidR="009E2382" w:rsidRPr="00ED172B" w:rsidRDefault="009E2382" w:rsidP="00F4238C">
            <w:pPr>
              <w:jc w:val="center"/>
              <w:rPr>
                <w:color w:val="000000" w:themeColor="text1"/>
              </w:rPr>
            </w:pPr>
            <w:r w:rsidRPr="00ED172B">
              <w:rPr>
                <w:color w:val="000000" w:themeColor="text1"/>
              </w:rPr>
              <w:t/>
            </w:r>
          </w:p>
        </w:tc>
      </w:tr>
      <w:tr w:rsidR="009E2382" w:rsidRPr="00ED172B" w14:paraId="326289E7" w14:textId="11D402BE" w:rsidTr="006B0ACA">
        <w:trPr>
          <w:trHeight w:val="357"/>
        </w:trPr>
        <w:tc>
          <w:tcPr>
            <w:tcW w:w="534" w:type="pct"/>
            <w:shd w:val="clear" w:color="auto" w:fill="auto"/>
            <w:vAlign w:val="center"/>
          </w:tcPr>
          <w:p w14:paraId="28187623" w14:textId="16A254C9" w:rsidR="009E2382" w:rsidRPr="00ED172B" w:rsidRDefault="009E2382" w:rsidP="00F4238C">
            <w:pPr>
              <w:rPr>
                <w:color w:val="000000" w:themeColor="text1"/>
                <w:szCs w:val="16"/>
              </w:rPr>
            </w:pPr>
            <w:r w:rsidRPr="00ED172B">
              <w:rPr>
                <w:color w:val="000000" w:themeColor="text1"/>
                <w:szCs w:val="16"/>
              </w:rPr>
              <w:t>Target B1 &gt;=</w:t>
            </w:r>
          </w:p>
        </w:tc>
        <w:tc>
          <w:tcPr>
            <w:tcW w:w="1135" w:type="pct"/>
            <w:shd w:val="clear" w:color="auto" w:fill="auto"/>
            <w:vAlign w:val="center"/>
          </w:tcPr>
          <w:p w14:paraId="4D78DE34" w14:textId="721262BD" w:rsidR="009E2382" w:rsidRPr="00ED172B" w:rsidRDefault="009E2382" w:rsidP="00F4238C">
            <w:pPr>
              <w:jc w:val="center"/>
              <w:rPr>
                <w:color w:val="000000" w:themeColor="text1"/>
              </w:rPr>
            </w:pPr>
            <w:r w:rsidRPr="00ED172B">
              <w:rPr>
                <w:color w:val="000000" w:themeColor="text1"/>
              </w:rPr>
              <w:t>88.10%</w:t>
            </w:r>
          </w:p>
        </w:tc>
        <w:tc>
          <w:tcPr>
            <w:tcW w:w="833" w:type="pct"/>
            <w:vAlign w:val="center"/>
          </w:tcPr>
          <w:p w14:paraId="630351DA" w14:textId="3DD5C7E1" w:rsidR="009E2382" w:rsidRPr="00ED172B" w:rsidRDefault="009E2382" w:rsidP="00F4238C">
            <w:pPr>
              <w:jc w:val="center"/>
              <w:rPr>
                <w:color w:val="000000" w:themeColor="text1"/>
              </w:rPr>
            </w:pPr>
            <w:r w:rsidRPr="00ED172B">
              <w:rPr>
                <w:color w:val="000000" w:themeColor="text1"/>
              </w:rPr>
              <w:t>88.15%</w:t>
            </w:r>
          </w:p>
        </w:tc>
        <w:tc>
          <w:tcPr>
            <w:tcW w:w="833" w:type="pct"/>
            <w:vAlign w:val="center"/>
          </w:tcPr>
          <w:p w14:paraId="116800CC" w14:textId="4D61E3FF" w:rsidR="009E2382" w:rsidRPr="00ED172B" w:rsidRDefault="009E2382" w:rsidP="00F4238C">
            <w:pPr>
              <w:jc w:val="center"/>
              <w:rPr>
                <w:color w:val="000000" w:themeColor="text1"/>
              </w:rPr>
            </w:pPr>
            <w:r w:rsidRPr="00ED172B">
              <w:rPr>
                <w:color w:val="000000" w:themeColor="text1"/>
              </w:rPr>
              <w:t>88.20%</w:t>
            </w:r>
          </w:p>
        </w:tc>
        <w:tc>
          <w:tcPr>
            <w:tcW w:w="833" w:type="pct"/>
            <w:vAlign w:val="center"/>
          </w:tcPr>
          <w:p w14:paraId="5DF35B76" w14:textId="3F747EA2" w:rsidR="009E2382" w:rsidRPr="00ED172B" w:rsidRDefault="009E2382" w:rsidP="00F4238C">
            <w:pPr>
              <w:jc w:val="center"/>
              <w:rPr>
                <w:color w:val="000000" w:themeColor="text1"/>
              </w:rPr>
            </w:pPr>
            <w:r w:rsidRPr="00ED172B">
              <w:rPr>
                <w:color w:val="000000" w:themeColor="text1"/>
              </w:rPr>
              <w:t>88.25%</w:t>
            </w:r>
          </w:p>
        </w:tc>
        <w:tc>
          <w:tcPr>
            <w:tcW w:w="833" w:type="pct"/>
            <w:vAlign w:val="center"/>
          </w:tcPr>
          <w:p w14:paraId="5C08B766" w14:textId="732AF440" w:rsidR="009E2382" w:rsidRPr="00ED172B" w:rsidRDefault="009E2382" w:rsidP="00F4238C">
            <w:pPr>
              <w:jc w:val="center"/>
              <w:rPr>
                <w:color w:val="000000" w:themeColor="text1"/>
              </w:rPr>
            </w:pPr>
            <w:r w:rsidRPr="00ED172B">
              <w:rPr>
                <w:color w:val="000000" w:themeColor="text1"/>
              </w:rPr>
              <w:t>88.30%</w:t>
            </w:r>
          </w:p>
        </w:tc>
      </w:tr>
      <w:tr w:rsidR="009E2382" w:rsidRPr="00ED172B" w14:paraId="5055DF87" w14:textId="1792796D" w:rsidTr="006B0ACA">
        <w:trPr>
          <w:trHeight w:val="357"/>
        </w:trPr>
        <w:tc>
          <w:tcPr>
            <w:tcW w:w="534" w:type="pct"/>
            <w:shd w:val="clear" w:color="auto" w:fill="auto"/>
            <w:vAlign w:val="center"/>
          </w:tcPr>
          <w:p w14:paraId="5A2F7FDD" w14:textId="5EC2B960" w:rsidR="009E2382" w:rsidRPr="00ED172B" w:rsidRDefault="009E2382" w:rsidP="00F4238C">
            <w:pPr>
              <w:rPr>
                <w:color w:val="000000" w:themeColor="text1"/>
                <w:szCs w:val="16"/>
              </w:rPr>
            </w:pPr>
            <w:r w:rsidRPr="00ED172B">
              <w:rPr>
                <w:rFonts w:cs="Arial"/>
                <w:color w:val="000000" w:themeColor="text1"/>
                <w:szCs w:val="16"/>
              </w:rPr>
              <w:t>B1 AR</w:t>
            </w:r>
          </w:p>
        </w:tc>
        <w:tc>
          <w:tcPr>
            <w:tcW w:w="1135" w:type="pct"/>
            <w:shd w:val="clear" w:color="auto" w:fill="auto"/>
            <w:vAlign w:val="center"/>
          </w:tcPr>
          <w:p w14:paraId="6B4921B7" w14:textId="6BA3B6D8"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52251FE8" w14:textId="79AC3921"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7545D98D" w14:textId="5F1899A1"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13B7E100" w14:textId="4DCA8C08"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103F6A56" w14:textId="6E6AE0E0" w:rsidR="009E2382" w:rsidRPr="00ED172B" w:rsidRDefault="009E2382" w:rsidP="00F4238C">
            <w:pPr>
              <w:jc w:val="center"/>
              <w:rPr>
                <w:color w:val="000000" w:themeColor="text1"/>
              </w:rPr>
            </w:pPr>
            <w:r w:rsidRPr="00ED172B">
              <w:rPr>
                <w:color w:val="000000" w:themeColor="text1"/>
              </w:rPr>
              <w:t/>
            </w:r>
          </w:p>
        </w:tc>
      </w:tr>
      <w:tr w:rsidR="009E2382" w:rsidRPr="00ED172B" w14:paraId="036489EB" w14:textId="32337A76" w:rsidTr="006B0ACA">
        <w:trPr>
          <w:trHeight w:val="357"/>
        </w:trPr>
        <w:tc>
          <w:tcPr>
            <w:tcW w:w="534" w:type="pct"/>
            <w:shd w:val="clear" w:color="auto" w:fill="auto"/>
            <w:vAlign w:val="center"/>
          </w:tcPr>
          <w:p w14:paraId="09512A7A" w14:textId="228AE72F" w:rsidR="009E2382" w:rsidRPr="00ED172B" w:rsidRDefault="009E2382" w:rsidP="00F4238C">
            <w:pPr>
              <w:rPr>
                <w:color w:val="000000" w:themeColor="text1"/>
                <w:szCs w:val="16"/>
              </w:rPr>
            </w:pPr>
            <w:r w:rsidRPr="00ED172B">
              <w:rPr>
                <w:color w:val="000000" w:themeColor="text1"/>
                <w:szCs w:val="16"/>
              </w:rPr>
              <w:t>Target B2 &gt;=</w:t>
            </w:r>
          </w:p>
        </w:tc>
        <w:tc>
          <w:tcPr>
            <w:tcW w:w="1135" w:type="pct"/>
            <w:shd w:val="clear" w:color="auto" w:fill="auto"/>
            <w:vAlign w:val="center"/>
          </w:tcPr>
          <w:p w14:paraId="09D74FB5" w14:textId="5F5CF982" w:rsidR="009E2382" w:rsidRPr="00ED172B" w:rsidRDefault="009E2382" w:rsidP="00F4238C">
            <w:pPr>
              <w:jc w:val="center"/>
              <w:rPr>
                <w:color w:val="000000" w:themeColor="text1"/>
              </w:rPr>
            </w:pPr>
            <w:r w:rsidRPr="00ED172B">
              <w:rPr>
                <w:color w:val="000000" w:themeColor="text1"/>
              </w:rPr>
              <w:t>52.00%</w:t>
            </w:r>
          </w:p>
        </w:tc>
        <w:tc>
          <w:tcPr>
            <w:tcW w:w="833" w:type="pct"/>
            <w:vAlign w:val="center"/>
          </w:tcPr>
          <w:p w14:paraId="15660D6F" w14:textId="1C39DF65" w:rsidR="009E2382" w:rsidRPr="00ED172B" w:rsidRDefault="009E2382" w:rsidP="00F4238C">
            <w:pPr>
              <w:jc w:val="center"/>
              <w:rPr>
                <w:color w:val="000000" w:themeColor="text1"/>
              </w:rPr>
            </w:pPr>
            <w:r w:rsidRPr="00ED172B">
              <w:rPr>
                <w:color w:val="000000" w:themeColor="text1"/>
              </w:rPr>
              <w:t>52.10%</w:t>
            </w:r>
          </w:p>
        </w:tc>
        <w:tc>
          <w:tcPr>
            <w:tcW w:w="833" w:type="pct"/>
            <w:vAlign w:val="center"/>
          </w:tcPr>
          <w:p w14:paraId="071E1BEB" w14:textId="733BF9E8" w:rsidR="009E2382" w:rsidRPr="00ED172B" w:rsidRDefault="009E2382" w:rsidP="00F4238C">
            <w:pPr>
              <w:jc w:val="center"/>
              <w:rPr>
                <w:color w:val="000000" w:themeColor="text1"/>
              </w:rPr>
            </w:pPr>
            <w:r w:rsidRPr="00ED172B">
              <w:rPr>
                <w:color w:val="000000" w:themeColor="text1"/>
              </w:rPr>
              <w:t>52.15%</w:t>
            </w:r>
          </w:p>
        </w:tc>
        <w:tc>
          <w:tcPr>
            <w:tcW w:w="833" w:type="pct"/>
            <w:vAlign w:val="center"/>
          </w:tcPr>
          <w:p w14:paraId="2921A984" w14:textId="5EEF3FC7" w:rsidR="009E2382" w:rsidRPr="00ED172B" w:rsidRDefault="009E2382" w:rsidP="00F4238C">
            <w:pPr>
              <w:jc w:val="center"/>
              <w:rPr>
                <w:color w:val="000000" w:themeColor="text1"/>
              </w:rPr>
            </w:pPr>
            <w:r w:rsidRPr="00ED172B">
              <w:rPr>
                <w:color w:val="000000" w:themeColor="text1"/>
              </w:rPr>
              <w:t>52.20%</w:t>
            </w:r>
          </w:p>
        </w:tc>
        <w:tc>
          <w:tcPr>
            <w:tcW w:w="833" w:type="pct"/>
            <w:vAlign w:val="center"/>
          </w:tcPr>
          <w:p w14:paraId="0B70E7B3" w14:textId="1B6E90EF" w:rsidR="009E2382" w:rsidRPr="00ED172B" w:rsidRDefault="009E2382" w:rsidP="00F4238C">
            <w:pPr>
              <w:jc w:val="center"/>
              <w:rPr>
                <w:color w:val="000000" w:themeColor="text1"/>
              </w:rPr>
            </w:pPr>
            <w:r w:rsidRPr="00ED172B">
              <w:rPr>
                <w:color w:val="000000" w:themeColor="text1"/>
              </w:rPr>
              <w:t>52.25%</w:t>
            </w:r>
          </w:p>
        </w:tc>
      </w:tr>
      <w:tr w:rsidR="009E2382" w:rsidRPr="00ED172B" w14:paraId="000E0E25" w14:textId="6CBB9CA4" w:rsidTr="006B0ACA">
        <w:trPr>
          <w:trHeight w:val="357"/>
        </w:trPr>
        <w:tc>
          <w:tcPr>
            <w:tcW w:w="534" w:type="pct"/>
            <w:shd w:val="clear" w:color="auto" w:fill="auto"/>
            <w:vAlign w:val="center"/>
          </w:tcPr>
          <w:p w14:paraId="0350BAE8" w14:textId="69126BD8" w:rsidR="009E2382" w:rsidRPr="00ED172B" w:rsidRDefault="009E2382" w:rsidP="00F4238C">
            <w:pPr>
              <w:rPr>
                <w:color w:val="000000" w:themeColor="text1"/>
                <w:szCs w:val="16"/>
              </w:rPr>
            </w:pPr>
            <w:r w:rsidRPr="00ED172B">
              <w:rPr>
                <w:rFonts w:cs="Arial"/>
                <w:color w:val="000000" w:themeColor="text1"/>
                <w:szCs w:val="16"/>
              </w:rPr>
              <w:t>B2 AR</w:t>
            </w:r>
          </w:p>
        </w:tc>
        <w:tc>
          <w:tcPr>
            <w:tcW w:w="1135" w:type="pct"/>
            <w:shd w:val="clear" w:color="auto" w:fill="auto"/>
            <w:vAlign w:val="center"/>
          </w:tcPr>
          <w:p w14:paraId="4B1F1572" w14:textId="4FCC82F6"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214BF16B" w14:textId="4A46F5F2"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7979654B" w14:textId="1F561C35"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412FDCC4" w14:textId="4584E82F"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6435220B" w14:textId="16CC1F21" w:rsidR="009E2382" w:rsidRPr="00ED172B" w:rsidRDefault="009E2382" w:rsidP="00F4238C">
            <w:pPr>
              <w:jc w:val="center"/>
              <w:rPr>
                <w:color w:val="000000" w:themeColor="text1"/>
              </w:rPr>
            </w:pPr>
            <w:r w:rsidRPr="00ED172B">
              <w:rPr>
                <w:color w:val="000000" w:themeColor="text1"/>
              </w:rPr>
              <w:t/>
            </w:r>
          </w:p>
        </w:tc>
      </w:tr>
      <w:tr w:rsidR="009E2382" w:rsidRPr="00ED172B" w14:paraId="17693616" w14:textId="50C0B18A" w:rsidTr="006B0ACA">
        <w:trPr>
          <w:trHeight w:val="357"/>
        </w:trPr>
        <w:tc>
          <w:tcPr>
            <w:tcW w:w="534" w:type="pct"/>
            <w:shd w:val="clear" w:color="auto" w:fill="auto"/>
            <w:vAlign w:val="center"/>
          </w:tcPr>
          <w:p w14:paraId="430BB10C" w14:textId="6791B00F" w:rsidR="009E2382" w:rsidRPr="00ED172B" w:rsidRDefault="009E2382" w:rsidP="00F4238C">
            <w:pPr>
              <w:rPr>
                <w:color w:val="000000" w:themeColor="text1"/>
                <w:szCs w:val="16"/>
              </w:rPr>
            </w:pPr>
            <w:r w:rsidRPr="00ED172B">
              <w:rPr>
                <w:color w:val="000000" w:themeColor="text1"/>
                <w:szCs w:val="16"/>
              </w:rPr>
              <w:t>Target C1 &gt;=</w:t>
            </w:r>
          </w:p>
        </w:tc>
        <w:tc>
          <w:tcPr>
            <w:tcW w:w="1135" w:type="pct"/>
            <w:shd w:val="clear" w:color="auto" w:fill="auto"/>
            <w:vAlign w:val="center"/>
          </w:tcPr>
          <w:p w14:paraId="3293E770" w14:textId="3B73713F" w:rsidR="009E2382" w:rsidRPr="00ED172B" w:rsidRDefault="009E2382" w:rsidP="00F4238C">
            <w:pPr>
              <w:jc w:val="center"/>
              <w:rPr>
                <w:color w:val="000000" w:themeColor="text1"/>
              </w:rPr>
            </w:pPr>
            <w:r w:rsidRPr="00ED172B">
              <w:rPr>
                <w:color w:val="000000" w:themeColor="text1"/>
              </w:rPr>
              <w:t>95.10%</w:t>
            </w:r>
          </w:p>
        </w:tc>
        <w:tc>
          <w:tcPr>
            <w:tcW w:w="833" w:type="pct"/>
            <w:vAlign w:val="center"/>
          </w:tcPr>
          <w:p w14:paraId="584C04B4" w14:textId="4B4676B8" w:rsidR="009E2382" w:rsidRPr="00ED172B" w:rsidRDefault="009E2382" w:rsidP="00F4238C">
            <w:pPr>
              <w:jc w:val="center"/>
              <w:rPr>
                <w:color w:val="000000" w:themeColor="text1"/>
              </w:rPr>
            </w:pPr>
            <w:r w:rsidRPr="00ED172B">
              <w:rPr>
                <w:color w:val="000000" w:themeColor="text1"/>
              </w:rPr>
              <w:t>95.10%</w:t>
            </w:r>
          </w:p>
        </w:tc>
        <w:tc>
          <w:tcPr>
            <w:tcW w:w="833" w:type="pct"/>
            <w:vAlign w:val="center"/>
          </w:tcPr>
          <w:p w14:paraId="775D52EA" w14:textId="694546DC" w:rsidR="009E2382" w:rsidRPr="00ED172B" w:rsidRDefault="009E2382" w:rsidP="00F4238C">
            <w:pPr>
              <w:jc w:val="center"/>
              <w:rPr>
                <w:color w:val="000000" w:themeColor="text1"/>
              </w:rPr>
            </w:pPr>
            <w:r w:rsidRPr="00ED172B">
              <w:rPr>
                <w:color w:val="000000" w:themeColor="text1"/>
              </w:rPr>
              <w:t>95.20%</w:t>
            </w:r>
          </w:p>
        </w:tc>
        <w:tc>
          <w:tcPr>
            <w:tcW w:w="833" w:type="pct"/>
            <w:vAlign w:val="center"/>
          </w:tcPr>
          <w:p w14:paraId="5242DFEE" w14:textId="21BC53D8" w:rsidR="009E2382" w:rsidRPr="00ED172B" w:rsidRDefault="009E2382" w:rsidP="00F4238C">
            <w:pPr>
              <w:jc w:val="center"/>
              <w:rPr>
                <w:color w:val="000000" w:themeColor="text1"/>
              </w:rPr>
            </w:pPr>
            <w:r w:rsidRPr="00ED172B">
              <w:rPr>
                <w:color w:val="000000" w:themeColor="text1"/>
              </w:rPr>
              <w:t>95.30%</w:t>
            </w:r>
          </w:p>
        </w:tc>
        <w:tc>
          <w:tcPr>
            <w:tcW w:w="833" w:type="pct"/>
            <w:vAlign w:val="center"/>
          </w:tcPr>
          <w:p w14:paraId="6A95904A" w14:textId="50E94ADA" w:rsidR="009E2382" w:rsidRPr="00ED172B" w:rsidRDefault="009E2382" w:rsidP="00F4238C">
            <w:pPr>
              <w:jc w:val="center"/>
              <w:rPr>
                <w:color w:val="000000" w:themeColor="text1"/>
              </w:rPr>
            </w:pPr>
            <w:r w:rsidRPr="00ED172B">
              <w:rPr>
                <w:color w:val="000000" w:themeColor="text1"/>
              </w:rPr>
              <w:t>95.40%</w:t>
            </w:r>
          </w:p>
        </w:tc>
      </w:tr>
      <w:tr w:rsidR="009E2382" w:rsidRPr="00ED172B" w14:paraId="0C0A9C5B" w14:textId="2CE2FDC8" w:rsidTr="006B0ACA">
        <w:trPr>
          <w:trHeight w:val="357"/>
        </w:trPr>
        <w:tc>
          <w:tcPr>
            <w:tcW w:w="534" w:type="pct"/>
            <w:shd w:val="clear" w:color="auto" w:fill="auto"/>
            <w:vAlign w:val="center"/>
          </w:tcPr>
          <w:p w14:paraId="0D419673" w14:textId="57458D07" w:rsidR="009E2382" w:rsidRPr="00ED172B" w:rsidRDefault="009E2382" w:rsidP="00F4238C">
            <w:pPr>
              <w:rPr>
                <w:color w:val="000000" w:themeColor="text1"/>
                <w:szCs w:val="16"/>
              </w:rPr>
            </w:pPr>
            <w:r w:rsidRPr="00ED172B">
              <w:rPr>
                <w:rFonts w:cs="Arial"/>
                <w:color w:val="000000" w:themeColor="text1"/>
                <w:szCs w:val="16"/>
              </w:rPr>
              <w:t>C1 AR</w:t>
            </w:r>
          </w:p>
        </w:tc>
        <w:tc>
          <w:tcPr>
            <w:tcW w:w="1135" w:type="pct"/>
            <w:shd w:val="clear" w:color="auto" w:fill="auto"/>
            <w:vAlign w:val="center"/>
          </w:tcPr>
          <w:p w14:paraId="2835768C" w14:textId="4640C873"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6909A06F" w14:textId="3647C8C0"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315CB3D8" w14:textId="7AED48C9"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4C6C2010" w14:textId="7C0E3B74"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6B16E14C" w14:textId="490BDBD5" w:rsidR="009E2382" w:rsidRPr="00ED172B" w:rsidRDefault="009E2382" w:rsidP="00F4238C">
            <w:pPr>
              <w:jc w:val="center"/>
              <w:rPr>
                <w:color w:val="000000" w:themeColor="text1"/>
              </w:rPr>
            </w:pPr>
            <w:r w:rsidRPr="00ED172B">
              <w:rPr>
                <w:color w:val="000000" w:themeColor="text1"/>
              </w:rPr>
              <w:t/>
            </w:r>
          </w:p>
        </w:tc>
      </w:tr>
      <w:tr w:rsidR="009E2382" w:rsidRPr="00ED172B" w14:paraId="53A45FFA" w14:textId="67D3ABB9" w:rsidTr="006B0ACA">
        <w:trPr>
          <w:trHeight w:val="357"/>
        </w:trPr>
        <w:tc>
          <w:tcPr>
            <w:tcW w:w="534" w:type="pct"/>
            <w:shd w:val="clear" w:color="auto" w:fill="auto"/>
            <w:vAlign w:val="center"/>
          </w:tcPr>
          <w:p w14:paraId="3A4CA3C3" w14:textId="62CD31CE" w:rsidR="009E2382" w:rsidRPr="00ED172B" w:rsidRDefault="009E2382" w:rsidP="00F4238C">
            <w:pPr>
              <w:rPr>
                <w:color w:val="000000" w:themeColor="text1"/>
                <w:szCs w:val="16"/>
              </w:rPr>
            </w:pPr>
            <w:r w:rsidRPr="00ED172B">
              <w:rPr>
                <w:color w:val="000000" w:themeColor="text1"/>
                <w:szCs w:val="16"/>
              </w:rPr>
              <w:t>Target C2 &gt;=</w:t>
            </w:r>
          </w:p>
        </w:tc>
        <w:tc>
          <w:tcPr>
            <w:tcW w:w="1135" w:type="pct"/>
            <w:shd w:val="clear" w:color="auto" w:fill="auto"/>
            <w:vAlign w:val="center"/>
          </w:tcPr>
          <w:p w14:paraId="29334B67" w14:textId="22597CE7" w:rsidR="009E2382" w:rsidRPr="00ED172B" w:rsidRDefault="009E2382" w:rsidP="00F4238C">
            <w:pPr>
              <w:jc w:val="center"/>
              <w:rPr>
                <w:color w:val="000000" w:themeColor="text1"/>
              </w:rPr>
            </w:pPr>
            <w:r w:rsidRPr="00ED172B">
              <w:rPr>
                <w:color w:val="000000" w:themeColor="text1"/>
              </w:rPr>
              <w:t>74.00%</w:t>
            </w:r>
          </w:p>
        </w:tc>
        <w:tc>
          <w:tcPr>
            <w:tcW w:w="833" w:type="pct"/>
            <w:vAlign w:val="center"/>
          </w:tcPr>
          <w:p w14:paraId="3F8DF653" w14:textId="20D6AB89" w:rsidR="009E2382" w:rsidRPr="00ED172B" w:rsidRDefault="009E2382" w:rsidP="00F4238C">
            <w:pPr>
              <w:jc w:val="center"/>
              <w:rPr>
                <w:color w:val="000000" w:themeColor="text1"/>
              </w:rPr>
            </w:pPr>
            <w:r w:rsidRPr="00ED172B">
              <w:rPr>
                <w:color w:val="000000" w:themeColor="text1"/>
              </w:rPr>
              <w:t>74.10%</w:t>
            </w:r>
          </w:p>
        </w:tc>
        <w:tc>
          <w:tcPr>
            <w:tcW w:w="833" w:type="pct"/>
            <w:vAlign w:val="center"/>
          </w:tcPr>
          <w:p w14:paraId="442F9928" w14:textId="667F5898" w:rsidR="009E2382" w:rsidRPr="00ED172B" w:rsidRDefault="009E2382" w:rsidP="00F4238C">
            <w:pPr>
              <w:jc w:val="center"/>
              <w:rPr>
                <w:color w:val="000000" w:themeColor="text1"/>
              </w:rPr>
            </w:pPr>
            <w:r w:rsidRPr="00ED172B">
              <w:rPr>
                <w:color w:val="000000" w:themeColor="text1"/>
              </w:rPr>
              <w:t>74.10%</w:t>
            </w:r>
          </w:p>
        </w:tc>
        <w:tc>
          <w:tcPr>
            <w:tcW w:w="833" w:type="pct"/>
            <w:vAlign w:val="center"/>
          </w:tcPr>
          <w:p w14:paraId="7113668D" w14:textId="3E76B767" w:rsidR="009E2382" w:rsidRPr="00ED172B" w:rsidRDefault="009E2382" w:rsidP="00F4238C">
            <w:pPr>
              <w:jc w:val="center"/>
              <w:rPr>
                <w:color w:val="000000" w:themeColor="text1"/>
              </w:rPr>
            </w:pPr>
            <w:r w:rsidRPr="00ED172B">
              <w:rPr>
                <w:color w:val="000000" w:themeColor="text1"/>
              </w:rPr>
              <w:t>74.20%</w:t>
            </w:r>
          </w:p>
        </w:tc>
        <w:tc>
          <w:tcPr>
            <w:tcW w:w="833" w:type="pct"/>
            <w:vAlign w:val="center"/>
          </w:tcPr>
          <w:p w14:paraId="105212F5" w14:textId="6B66D1BE" w:rsidR="009E2382" w:rsidRPr="00ED172B" w:rsidRDefault="009E2382" w:rsidP="00F4238C">
            <w:pPr>
              <w:jc w:val="center"/>
              <w:rPr>
                <w:color w:val="000000" w:themeColor="text1"/>
              </w:rPr>
            </w:pPr>
            <w:r w:rsidRPr="00ED172B">
              <w:rPr>
                <w:color w:val="000000" w:themeColor="text1"/>
              </w:rPr>
              <w:t>74.30%</w:t>
            </w:r>
          </w:p>
        </w:tc>
      </w:tr>
      <w:tr w:rsidR="009E2382" w:rsidRPr="00ED172B" w14:paraId="0315505E" w14:textId="63C28655" w:rsidTr="006B0ACA">
        <w:trPr>
          <w:trHeight w:val="357"/>
        </w:trPr>
        <w:tc>
          <w:tcPr>
            <w:tcW w:w="534" w:type="pct"/>
            <w:shd w:val="clear" w:color="auto" w:fill="auto"/>
            <w:vAlign w:val="center"/>
          </w:tcPr>
          <w:p w14:paraId="2EA196BF" w14:textId="5D9F7D90" w:rsidR="009E2382" w:rsidRPr="00ED172B" w:rsidRDefault="009E2382" w:rsidP="00F4238C">
            <w:pPr>
              <w:rPr>
                <w:color w:val="000000" w:themeColor="text1"/>
                <w:szCs w:val="16"/>
              </w:rPr>
            </w:pPr>
            <w:r w:rsidRPr="00ED172B">
              <w:rPr>
                <w:rFonts w:cs="Arial"/>
                <w:color w:val="000000" w:themeColor="text1"/>
                <w:szCs w:val="16"/>
              </w:rPr>
              <w:lastRenderedPageBreak/>
              <w:t>C2 AR</w:t>
            </w:r>
          </w:p>
        </w:tc>
        <w:tc>
          <w:tcPr>
            <w:tcW w:w="1135" w:type="pct"/>
            <w:shd w:val="clear" w:color="auto" w:fill="auto"/>
            <w:vAlign w:val="center"/>
          </w:tcPr>
          <w:p w14:paraId="0820F535" w14:textId="59506D62"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18ABAD92" w14:textId="4929D32A"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0D2E81AD" w14:textId="6496C520"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4C316FD6" w14:textId="071558C9" w:rsidR="009E2382" w:rsidRPr="00ED172B" w:rsidRDefault="009E2382" w:rsidP="00F4238C">
            <w:pPr>
              <w:jc w:val="center"/>
              <w:rPr>
                <w:color w:val="000000" w:themeColor="text1"/>
              </w:rPr>
            </w:pPr>
            <w:r w:rsidRPr="00ED172B">
              <w:rPr>
                <w:color w:val="000000" w:themeColor="text1"/>
              </w:rPr>
              <w:t/>
            </w:r>
          </w:p>
        </w:tc>
        <w:tc>
          <w:tcPr>
            <w:tcW w:w="833" w:type="pct"/>
            <w:vAlign w:val="center"/>
          </w:tcPr>
          <w:p w14:paraId="1F9C421B" w14:textId="58FBC9AB" w:rsidR="009E2382" w:rsidRPr="00ED172B" w:rsidRDefault="009E2382" w:rsidP="00F4238C">
            <w:pPr>
              <w:jc w:val="center"/>
              <w:rPr>
                <w:color w:val="000000" w:themeColor="text1"/>
              </w:rPr>
            </w:pPr>
            <w:r w:rsidRPr="00ED172B">
              <w:rPr>
                <w:color w:val="000000" w:themeColor="text1"/>
              </w:rPr>
              <w:t/>
            </w:r>
          </w:p>
        </w:tc>
      </w:tr>
      <w:bookmarkEnd w:id="15"/>
    </w:tbl>
    <w:p w14:paraId="2DD34F88" w14:textId="77777777" w:rsidR="00F32724" w:rsidRPr="00ED172B" w:rsidRDefault="00F32724" w:rsidP="00CD79C5">
      <w:pPr>
        <w:rPr>
          <w:rFonts w:cs="Arial"/>
          <w:color w:val="000000" w:themeColor="text1"/>
          <w:szCs w:val="16"/>
        </w:rPr>
      </w:pPr>
    </w:p>
    <w:p w14:paraId="2D920824" w14:textId="44633809" w:rsidR="0078252B" w:rsidRPr="00ED172B" w:rsidRDefault="00F22D09">
      <w:pPr>
        <w:rPr>
          <w:b/>
          <w:color w:val="000000" w:themeColor="text1"/>
        </w:rPr>
      </w:pPr>
      <w:r>
        <w:rPr>
          <w:b/>
          <w:color w:val="000000" w:themeColor="text1"/>
        </w:rPr>
        <w:t>FFY 2021 SPP/APR Data</w:t>
      </w:r>
    </w:p>
    <w:p w14:paraId="530FD965" w14:textId="6CA08394" w:rsidR="00283035" w:rsidRPr="00ED172B" w:rsidRDefault="00283035">
      <w:pPr>
        <w:rPr>
          <w:rFonts w:cs="Arial"/>
          <w:b/>
          <w:color w:val="000000" w:themeColor="text1"/>
          <w:szCs w:val="16"/>
        </w:rPr>
      </w:pPr>
      <w:r w:rsidRPr="00ED172B">
        <w:rPr>
          <w:rFonts w:cs="Arial"/>
          <w:b/>
          <w:color w:val="000000" w:themeColor="text1"/>
          <w:szCs w:val="16"/>
        </w:rPr>
        <w:t>Number of infants and toddlers with IFSPs assessed</w:t>
      </w:r>
    </w:p>
    <w:p w14:paraId="64E4AE7D" w14:textId="60EBCB4F" w:rsidR="00283035" w:rsidRPr="00ED172B" w:rsidRDefault="00283035">
      <w:pPr>
        <w:rPr>
          <w:b/>
          <w:color w:val="000000" w:themeColor="text1"/>
        </w:rPr>
      </w:pPr>
      <w:r w:rsidRPr="00ED172B">
        <w:rPr>
          <w:color w:val="000000" w:themeColor="text1"/>
          <w:szCs w:val="16"/>
        </w:rPr>
        <w:t>2,756</w:t>
      </w:r>
    </w:p>
    <w:p w14:paraId="0C67CDD2" w14:textId="47A9E69A" w:rsidR="005F4279" w:rsidRPr="00ED172B" w:rsidRDefault="005F4279">
      <w:pPr>
        <w:rPr>
          <w:b/>
          <w:color w:val="000000" w:themeColor="text1"/>
        </w:rPr>
      </w:pPr>
      <w:r w:rsidRPr="00ED172B">
        <w:rPr>
          <w:b/>
          <w:color w:val="000000" w:themeColor="text1"/>
        </w:rPr>
        <w:t>Outcome A: Positive social-emotional skills (including social relationships)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1"/>
      </w:tblPr>
      <w:tblGrid>
        <w:gridCol w:w="7093"/>
        <w:gridCol w:w="1684"/>
        <w:gridCol w:w="2013"/>
      </w:tblGrid>
      <w:tr w:rsidR="00ED172B" w:rsidRPr="00ED172B" w14:paraId="09C6C0DA" w14:textId="77777777" w:rsidTr="00986B99">
        <w:trPr>
          <w:trHeight w:val="287"/>
          <w:tblHeader/>
        </w:trPr>
        <w:tc>
          <w:tcPr>
            <w:tcW w:w="3406" w:type="pct"/>
            <w:shd w:val="clear" w:color="auto" w:fill="auto"/>
            <w:vAlign w:val="center"/>
          </w:tcPr>
          <w:p w14:paraId="054FB58D" w14:textId="0752B714" w:rsidR="003020A9" w:rsidRPr="00ED172B" w:rsidRDefault="0084029E" w:rsidP="007B5842">
            <w:pPr>
              <w:rPr>
                <w:rFonts w:cs="Arial"/>
                <w:b/>
                <w:color w:val="000000" w:themeColor="text1"/>
                <w:szCs w:val="16"/>
              </w:rPr>
            </w:pPr>
            <w:r w:rsidRPr="00ED172B">
              <w:rPr>
                <w:rFonts w:cs="Arial"/>
                <w:b/>
                <w:color w:val="000000" w:themeColor="text1"/>
                <w:szCs w:val="16"/>
              </w:rPr>
              <w:t>Not including at-risk infants and toddlers</w:t>
            </w:r>
          </w:p>
        </w:tc>
        <w:tc>
          <w:tcPr>
            <w:tcW w:w="797" w:type="pct"/>
            <w:shd w:val="clear" w:color="auto" w:fill="auto"/>
            <w:vAlign w:val="center"/>
          </w:tcPr>
          <w:p w14:paraId="5DF4A7E8" w14:textId="77777777" w:rsidR="003020A9" w:rsidRPr="00ED172B" w:rsidRDefault="003020A9" w:rsidP="003020A9">
            <w:pPr>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14:paraId="0DDA4647" w14:textId="77777777" w:rsidR="003020A9" w:rsidRPr="00ED172B" w:rsidRDefault="003020A9" w:rsidP="003020A9">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51087C42" w14:textId="77777777" w:rsidTr="00986B99">
        <w:trPr>
          <w:trHeight w:val="361"/>
        </w:trPr>
        <w:tc>
          <w:tcPr>
            <w:tcW w:w="3406" w:type="pct"/>
            <w:shd w:val="clear" w:color="auto" w:fill="auto"/>
            <w:vAlign w:val="center"/>
          </w:tcPr>
          <w:p w14:paraId="28E1215F" w14:textId="77777777" w:rsidR="00CD79C5" w:rsidRPr="00ED172B" w:rsidRDefault="00CD79C5" w:rsidP="00CD79C5">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14:paraId="5FC9F980" w14:textId="54BFB507" w:rsidR="00CD79C5" w:rsidRPr="00ED172B" w:rsidRDefault="00860830" w:rsidP="00CD79C5">
            <w:pPr>
              <w:jc w:val="center"/>
              <w:rPr>
                <w:rFonts w:cs="Arial"/>
                <w:color w:val="000000" w:themeColor="text1"/>
                <w:szCs w:val="16"/>
              </w:rPr>
            </w:pPr>
            <w:r w:rsidRPr="00ED172B">
              <w:rPr>
                <w:rFonts w:cs="Arial"/>
                <w:color w:val="000000" w:themeColor="text1"/>
                <w:szCs w:val="16"/>
              </w:rPr>
              <w:t>55</w:t>
            </w:r>
          </w:p>
        </w:tc>
        <w:tc>
          <w:tcPr>
            <w:tcW w:w="797" w:type="pct"/>
            <w:shd w:val="clear" w:color="auto" w:fill="auto"/>
            <w:vAlign w:val="center"/>
          </w:tcPr>
          <w:p w14:paraId="627581FC" w14:textId="1E947F37" w:rsidR="00CD79C5" w:rsidRPr="00ED172B" w:rsidRDefault="00860830" w:rsidP="00CD79C5">
            <w:pPr>
              <w:jc w:val="center"/>
              <w:rPr>
                <w:rFonts w:cs="Arial"/>
                <w:color w:val="000000" w:themeColor="text1"/>
                <w:szCs w:val="16"/>
              </w:rPr>
            </w:pPr>
            <w:r w:rsidRPr="00ED172B">
              <w:rPr>
                <w:rFonts w:cs="Arial"/>
                <w:color w:val="000000" w:themeColor="text1"/>
                <w:szCs w:val="16"/>
              </w:rPr>
              <w:t>2.00%</w:t>
            </w:r>
          </w:p>
        </w:tc>
      </w:tr>
      <w:tr w:rsidR="00ED172B" w:rsidRPr="00ED172B" w14:paraId="1D1316C0" w14:textId="77777777" w:rsidTr="00986B99">
        <w:trPr>
          <w:trHeight w:val="361"/>
        </w:trPr>
        <w:tc>
          <w:tcPr>
            <w:tcW w:w="3406" w:type="pct"/>
            <w:shd w:val="clear" w:color="auto" w:fill="auto"/>
            <w:vAlign w:val="center"/>
          </w:tcPr>
          <w:p w14:paraId="4D93D667" w14:textId="77777777" w:rsidR="00CD79C5" w:rsidRPr="00ED172B" w:rsidRDefault="00CD79C5" w:rsidP="00CD79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14:paraId="3B9512DF" w14:textId="7777183B" w:rsidR="00CD79C5" w:rsidRPr="00ED172B" w:rsidRDefault="00860830" w:rsidP="00CD79C5">
            <w:pPr>
              <w:jc w:val="center"/>
              <w:rPr>
                <w:rFonts w:cs="Arial"/>
                <w:color w:val="000000" w:themeColor="text1"/>
                <w:szCs w:val="16"/>
              </w:rPr>
            </w:pPr>
            <w:r w:rsidRPr="00ED172B">
              <w:rPr>
                <w:rFonts w:cs="Arial"/>
                <w:color w:val="000000" w:themeColor="text1"/>
                <w:szCs w:val="16"/>
              </w:rPr>
              <w:t>801</w:t>
            </w:r>
          </w:p>
        </w:tc>
        <w:tc>
          <w:tcPr>
            <w:tcW w:w="797" w:type="pct"/>
            <w:shd w:val="clear" w:color="auto" w:fill="auto"/>
            <w:vAlign w:val="center"/>
          </w:tcPr>
          <w:p w14:paraId="6101CC9A" w14:textId="46DBFC4D" w:rsidR="00CD79C5" w:rsidRPr="00ED172B" w:rsidRDefault="00860830" w:rsidP="00CD79C5">
            <w:pPr>
              <w:jc w:val="center"/>
              <w:rPr>
                <w:rFonts w:cs="Arial"/>
                <w:color w:val="000000" w:themeColor="text1"/>
                <w:szCs w:val="16"/>
              </w:rPr>
            </w:pPr>
            <w:r w:rsidRPr="00ED172B">
              <w:rPr>
                <w:rFonts w:cs="Arial"/>
                <w:color w:val="000000" w:themeColor="text1"/>
                <w:szCs w:val="16"/>
              </w:rPr>
              <w:t>29.06%</w:t>
            </w:r>
          </w:p>
        </w:tc>
      </w:tr>
      <w:tr w:rsidR="00ED172B" w:rsidRPr="00ED172B" w14:paraId="7620C417" w14:textId="77777777" w:rsidTr="00986B99">
        <w:trPr>
          <w:trHeight w:val="361"/>
        </w:trPr>
        <w:tc>
          <w:tcPr>
            <w:tcW w:w="3406" w:type="pct"/>
            <w:shd w:val="clear" w:color="auto" w:fill="auto"/>
            <w:vAlign w:val="center"/>
          </w:tcPr>
          <w:p w14:paraId="005C7F52" w14:textId="77777777" w:rsidR="00CD79C5" w:rsidRPr="00ED172B" w:rsidRDefault="00CD79C5" w:rsidP="00CD79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14:paraId="778D2FC6" w14:textId="2EE97470" w:rsidR="00CD79C5" w:rsidRPr="00ED172B" w:rsidRDefault="00860830" w:rsidP="00CD79C5">
            <w:pPr>
              <w:jc w:val="center"/>
              <w:rPr>
                <w:rFonts w:cs="Arial"/>
                <w:color w:val="000000" w:themeColor="text1"/>
                <w:szCs w:val="16"/>
              </w:rPr>
            </w:pPr>
            <w:r w:rsidRPr="00ED172B">
              <w:rPr>
                <w:rFonts w:cs="Arial"/>
                <w:color w:val="000000" w:themeColor="text1"/>
                <w:szCs w:val="16"/>
              </w:rPr>
              <w:t>217</w:t>
            </w:r>
          </w:p>
        </w:tc>
        <w:tc>
          <w:tcPr>
            <w:tcW w:w="797" w:type="pct"/>
            <w:shd w:val="clear" w:color="auto" w:fill="auto"/>
            <w:vAlign w:val="center"/>
          </w:tcPr>
          <w:p w14:paraId="7E6EA79A" w14:textId="006ADDC2" w:rsidR="00CD79C5" w:rsidRPr="00ED172B" w:rsidRDefault="00860830" w:rsidP="00CD79C5">
            <w:pPr>
              <w:jc w:val="center"/>
              <w:rPr>
                <w:rFonts w:cs="Arial"/>
                <w:color w:val="000000" w:themeColor="text1"/>
                <w:szCs w:val="16"/>
              </w:rPr>
            </w:pPr>
            <w:r w:rsidRPr="00ED172B">
              <w:rPr>
                <w:rFonts w:cs="Arial"/>
                <w:color w:val="000000" w:themeColor="text1"/>
                <w:szCs w:val="16"/>
              </w:rPr>
              <w:t>7.87%</w:t>
            </w:r>
          </w:p>
        </w:tc>
      </w:tr>
      <w:tr w:rsidR="00ED172B" w:rsidRPr="00ED172B" w14:paraId="6CC2E72A" w14:textId="77777777" w:rsidTr="00986B99">
        <w:trPr>
          <w:trHeight w:val="361"/>
        </w:trPr>
        <w:tc>
          <w:tcPr>
            <w:tcW w:w="3406" w:type="pct"/>
            <w:shd w:val="clear" w:color="auto" w:fill="auto"/>
            <w:vAlign w:val="center"/>
          </w:tcPr>
          <w:p w14:paraId="620F9E04" w14:textId="77777777" w:rsidR="00CD79C5" w:rsidRPr="00ED172B" w:rsidRDefault="00CD79C5" w:rsidP="00CD79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14:paraId="0C2DDC71" w14:textId="4D24C0D5" w:rsidR="00CD79C5" w:rsidRPr="00ED172B" w:rsidRDefault="00860830" w:rsidP="00CD79C5">
            <w:pPr>
              <w:jc w:val="center"/>
              <w:rPr>
                <w:rFonts w:cs="Arial"/>
                <w:color w:val="000000" w:themeColor="text1"/>
                <w:szCs w:val="16"/>
              </w:rPr>
            </w:pPr>
            <w:r w:rsidRPr="00ED172B">
              <w:rPr>
                <w:rFonts w:cs="Arial"/>
                <w:color w:val="000000" w:themeColor="text1"/>
                <w:szCs w:val="16"/>
              </w:rPr>
              <w:t>641</w:t>
            </w:r>
          </w:p>
        </w:tc>
        <w:tc>
          <w:tcPr>
            <w:tcW w:w="797" w:type="pct"/>
            <w:shd w:val="clear" w:color="auto" w:fill="auto"/>
            <w:vAlign w:val="center"/>
          </w:tcPr>
          <w:p w14:paraId="566E9E7C" w14:textId="1ECA0F67" w:rsidR="00CD79C5" w:rsidRPr="00ED172B" w:rsidRDefault="00860830" w:rsidP="00CD79C5">
            <w:pPr>
              <w:jc w:val="center"/>
              <w:rPr>
                <w:rFonts w:cs="Arial"/>
                <w:color w:val="000000" w:themeColor="text1"/>
                <w:szCs w:val="16"/>
              </w:rPr>
            </w:pPr>
            <w:r w:rsidRPr="00ED172B">
              <w:rPr>
                <w:rFonts w:cs="Arial"/>
                <w:color w:val="000000" w:themeColor="text1"/>
                <w:szCs w:val="16"/>
              </w:rPr>
              <w:t>23.26%</w:t>
            </w:r>
          </w:p>
        </w:tc>
      </w:tr>
      <w:tr w:rsidR="00ED172B" w:rsidRPr="00ED172B" w14:paraId="52C58AFD" w14:textId="77777777" w:rsidTr="00986B99">
        <w:trPr>
          <w:trHeight w:val="361"/>
        </w:trPr>
        <w:tc>
          <w:tcPr>
            <w:tcW w:w="3406" w:type="pct"/>
            <w:shd w:val="clear" w:color="auto" w:fill="auto"/>
            <w:vAlign w:val="center"/>
          </w:tcPr>
          <w:p w14:paraId="0C2B3A96" w14:textId="77777777" w:rsidR="00CD79C5" w:rsidRPr="00ED172B" w:rsidRDefault="00CD79C5" w:rsidP="00CD79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14:paraId="71733793" w14:textId="1606848C" w:rsidR="00CD79C5" w:rsidRPr="00ED172B" w:rsidRDefault="00860830" w:rsidP="00CD79C5">
            <w:pPr>
              <w:jc w:val="center"/>
              <w:rPr>
                <w:rFonts w:cs="Arial"/>
                <w:color w:val="000000" w:themeColor="text1"/>
                <w:szCs w:val="16"/>
              </w:rPr>
            </w:pPr>
            <w:r w:rsidRPr="00ED172B">
              <w:rPr>
                <w:rFonts w:cs="Arial"/>
                <w:color w:val="000000" w:themeColor="text1"/>
                <w:szCs w:val="16"/>
              </w:rPr>
              <w:t>1,042</w:t>
            </w:r>
          </w:p>
        </w:tc>
        <w:tc>
          <w:tcPr>
            <w:tcW w:w="797" w:type="pct"/>
            <w:shd w:val="clear" w:color="auto" w:fill="auto"/>
            <w:vAlign w:val="center"/>
          </w:tcPr>
          <w:p w14:paraId="6C27ED3F" w14:textId="48BDB78A" w:rsidR="00CD79C5" w:rsidRPr="00ED172B" w:rsidRDefault="00860830" w:rsidP="00CD79C5">
            <w:pPr>
              <w:jc w:val="center"/>
              <w:rPr>
                <w:rFonts w:cs="Arial"/>
                <w:color w:val="000000" w:themeColor="text1"/>
                <w:szCs w:val="16"/>
              </w:rPr>
            </w:pPr>
            <w:r w:rsidRPr="00ED172B">
              <w:rPr>
                <w:rFonts w:cs="Arial"/>
                <w:color w:val="000000" w:themeColor="text1"/>
                <w:szCs w:val="16"/>
              </w:rPr>
              <w:t>37.81%</w:t>
            </w:r>
          </w:p>
        </w:tc>
      </w:tr>
    </w:tbl>
    <w:p w14:paraId="7F71E48C" w14:textId="2753AFF4" w:rsidR="005F4279" w:rsidRPr="00ED172B" w:rsidRDefault="005F4279" w:rsidP="005F4279">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2"/>
      </w:tblPr>
      <w:tblGrid>
        <w:gridCol w:w="6453"/>
        <w:gridCol w:w="2004"/>
        <w:gridCol w:w="2333"/>
      </w:tblGrid>
      <w:tr w:rsidR="00ED172B" w:rsidRPr="00ED172B" w14:paraId="34148246" w14:textId="77777777" w:rsidTr="00986B99">
        <w:trPr>
          <w:trHeight w:val="287"/>
          <w:tblHeader/>
        </w:trPr>
        <w:tc>
          <w:tcPr>
            <w:tcW w:w="3406" w:type="pct"/>
            <w:shd w:val="clear" w:color="auto" w:fill="auto"/>
            <w:vAlign w:val="center"/>
          </w:tcPr>
          <w:p w14:paraId="1150BED2" w14:textId="0152D710" w:rsidR="0084029E" w:rsidRPr="00ED172B" w:rsidRDefault="0084029E" w:rsidP="004D140B">
            <w:pPr>
              <w:rPr>
                <w:rFonts w:cs="Arial"/>
                <w:b/>
                <w:color w:val="000000" w:themeColor="text1"/>
                <w:szCs w:val="16"/>
              </w:rPr>
            </w:pPr>
            <w:r w:rsidRPr="00ED172B">
              <w:rPr>
                <w:rFonts w:cs="Arial"/>
                <w:b/>
                <w:color w:val="000000" w:themeColor="text1"/>
                <w:szCs w:val="16"/>
              </w:rPr>
              <w:t>Just at-risk infants and toddlers/All infants and toddlers</w:t>
            </w:r>
          </w:p>
        </w:tc>
        <w:tc>
          <w:tcPr>
            <w:tcW w:w="797" w:type="pct"/>
            <w:shd w:val="clear" w:color="auto" w:fill="auto"/>
            <w:vAlign w:val="center"/>
          </w:tcPr>
          <w:p w14:paraId="61B53DC0" w14:textId="77777777" w:rsidR="0084029E" w:rsidRPr="00ED172B" w:rsidRDefault="0084029E" w:rsidP="004D140B">
            <w:pPr>
              <w:jc w:val="center"/>
              <w:rPr>
                <w:rFonts w:cs="Arial"/>
                <w:b/>
                <w:color w:val="000000" w:themeColor="text1"/>
                <w:szCs w:val="16"/>
              </w:rPr>
            </w:pPr>
            <w:r w:rsidRPr="00ED172B">
              <w:rPr>
                <w:rFonts w:cs="Arial"/>
                <w:b/>
                <w:color w:val="000000" w:themeColor="text1"/>
                <w:szCs w:val="16"/>
              </w:rPr>
              <w:t>Number of children</w:t>
            </w:r>
          </w:p>
        </w:tc>
        <w:tc>
          <w:tcPr>
            <w:tcW w:w="797" w:type="pct"/>
            <w:shd w:val="clear" w:color="auto" w:fill="auto"/>
          </w:tcPr>
          <w:p w14:paraId="010EE930" w14:textId="77777777" w:rsidR="0084029E" w:rsidRPr="00ED172B" w:rsidRDefault="0084029E" w:rsidP="004D140B">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05F8BB5C" w14:textId="77777777" w:rsidTr="00986B99">
        <w:trPr>
          <w:trHeight w:val="361"/>
        </w:trPr>
        <w:tc>
          <w:tcPr>
            <w:tcW w:w="3406" w:type="pct"/>
            <w:shd w:val="clear" w:color="auto" w:fill="auto"/>
            <w:vAlign w:val="center"/>
          </w:tcPr>
          <w:p w14:paraId="11D674E0" w14:textId="77777777" w:rsidR="00CD79C5" w:rsidRPr="00ED172B" w:rsidRDefault="00CD79C5" w:rsidP="00CD79C5">
            <w:pPr>
              <w:rPr>
                <w:rFonts w:cs="Arial"/>
                <w:color w:val="000000" w:themeColor="text1"/>
                <w:szCs w:val="16"/>
              </w:rPr>
            </w:pPr>
            <w:r w:rsidRPr="00ED172B">
              <w:rPr>
                <w:rFonts w:cs="Arial"/>
                <w:color w:val="000000" w:themeColor="text1"/>
                <w:szCs w:val="16"/>
              </w:rPr>
              <w:t>a. Infants and toddlers who did not improve functioning</w:t>
            </w:r>
          </w:p>
        </w:tc>
        <w:tc>
          <w:tcPr>
            <w:tcW w:w="797" w:type="pct"/>
            <w:shd w:val="clear" w:color="auto" w:fill="auto"/>
            <w:vAlign w:val="center"/>
          </w:tcPr>
          <w:p w14:paraId="6B4E7240" w14:textId="0FE442B7" w:rsidR="00CD79C5" w:rsidRPr="00ED172B" w:rsidRDefault="00860830" w:rsidP="00CD79C5">
            <w:pPr>
              <w:jc w:val="center"/>
              <w:rPr>
                <w:rFonts w:cs="Arial"/>
                <w:color w:val="000000" w:themeColor="text1"/>
                <w:szCs w:val="16"/>
              </w:rPr>
            </w:pPr>
            <w:r w:rsidRPr="00ED172B">
              <w:rPr>
                <w:rFonts w:cs="Arial"/>
                <w:color w:val="000000" w:themeColor="text1"/>
                <w:szCs w:val="16"/>
              </w:rPr>
              <w:t>0</w:t>
            </w:r>
          </w:p>
        </w:tc>
        <w:tc>
          <w:tcPr>
            <w:tcW w:w="797" w:type="pct"/>
            <w:shd w:val="clear" w:color="auto" w:fill="auto"/>
            <w:vAlign w:val="center"/>
          </w:tcPr>
          <w:p w14:paraId="3B8204A3" w14:textId="2B928F31" w:rsidR="00CD79C5" w:rsidRPr="00ED172B" w:rsidRDefault="00860830" w:rsidP="00CD79C5">
            <w:pPr>
              <w:jc w:val="center"/>
              <w:rPr>
                <w:rFonts w:cs="Arial"/>
                <w:color w:val="000000" w:themeColor="text1"/>
                <w:szCs w:val="16"/>
              </w:rPr>
            </w:pPr>
            <w:r w:rsidRPr="00ED172B">
              <w:rPr>
                <w:rFonts w:cs="Arial"/>
                <w:color w:val="000000" w:themeColor="text1"/>
                <w:szCs w:val="16"/>
              </w:rPr>
              <w:t>0.00%</w:t>
            </w:r>
          </w:p>
        </w:tc>
      </w:tr>
      <w:tr w:rsidR="00ED172B" w:rsidRPr="00ED172B" w14:paraId="66EB049A" w14:textId="77777777" w:rsidTr="00986B99">
        <w:trPr>
          <w:trHeight w:val="361"/>
        </w:trPr>
        <w:tc>
          <w:tcPr>
            <w:tcW w:w="3406" w:type="pct"/>
            <w:shd w:val="clear" w:color="auto" w:fill="auto"/>
            <w:vAlign w:val="center"/>
          </w:tcPr>
          <w:p w14:paraId="3238593E" w14:textId="77777777" w:rsidR="00CD79C5" w:rsidRPr="00ED172B" w:rsidRDefault="00CD79C5" w:rsidP="00CD79C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797" w:type="pct"/>
            <w:shd w:val="clear" w:color="auto" w:fill="auto"/>
            <w:vAlign w:val="center"/>
          </w:tcPr>
          <w:p w14:paraId="36C4686E" w14:textId="0D9BC4D4" w:rsidR="00CD79C5" w:rsidRPr="00ED172B" w:rsidRDefault="00860830" w:rsidP="00CD79C5">
            <w:pPr>
              <w:jc w:val="center"/>
              <w:rPr>
                <w:rFonts w:cs="Arial"/>
                <w:color w:val="000000" w:themeColor="text1"/>
                <w:szCs w:val="16"/>
              </w:rPr>
            </w:pPr>
            <w:r w:rsidRPr="00ED172B">
              <w:rPr>
                <w:rFonts w:cs="Arial"/>
                <w:color w:val="000000" w:themeColor="text1"/>
                <w:szCs w:val="16"/>
              </w:rPr>
              <w:t>1</w:t>
            </w:r>
          </w:p>
        </w:tc>
        <w:tc>
          <w:tcPr>
            <w:tcW w:w="797" w:type="pct"/>
            <w:shd w:val="clear" w:color="auto" w:fill="auto"/>
            <w:vAlign w:val="center"/>
          </w:tcPr>
          <w:p w14:paraId="27E713B0" w14:textId="3136F54C" w:rsidR="00CD79C5" w:rsidRPr="00ED172B" w:rsidRDefault="00860830" w:rsidP="00CD79C5">
            <w:pPr>
              <w:jc w:val="center"/>
              <w:rPr>
                <w:rFonts w:cs="Arial"/>
                <w:color w:val="000000" w:themeColor="text1"/>
                <w:szCs w:val="16"/>
              </w:rPr>
            </w:pPr>
            <w:r w:rsidRPr="00ED172B">
              <w:rPr>
                <w:rFonts w:cs="Arial"/>
                <w:color w:val="000000" w:themeColor="text1"/>
                <w:szCs w:val="16"/>
              </w:rPr>
              <w:t>2.17%</w:t>
            </w:r>
          </w:p>
        </w:tc>
      </w:tr>
      <w:tr w:rsidR="00ED172B" w:rsidRPr="00ED172B" w14:paraId="289DCF6C" w14:textId="77777777" w:rsidTr="00986B99">
        <w:trPr>
          <w:trHeight w:val="361"/>
        </w:trPr>
        <w:tc>
          <w:tcPr>
            <w:tcW w:w="3406" w:type="pct"/>
            <w:shd w:val="clear" w:color="auto" w:fill="auto"/>
            <w:vAlign w:val="center"/>
          </w:tcPr>
          <w:p w14:paraId="611C7497" w14:textId="77777777" w:rsidR="00CD79C5" w:rsidRPr="00ED172B" w:rsidRDefault="00CD79C5" w:rsidP="00CD79C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797" w:type="pct"/>
            <w:shd w:val="clear" w:color="auto" w:fill="auto"/>
            <w:vAlign w:val="center"/>
          </w:tcPr>
          <w:p w14:paraId="1BB1AD3C" w14:textId="0299071A" w:rsidR="00CD79C5" w:rsidRPr="00ED172B" w:rsidRDefault="00860830" w:rsidP="00CD79C5">
            <w:pPr>
              <w:jc w:val="center"/>
              <w:rPr>
                <w:rFonts w:cs="Arial"/>
                <w:color w:val="000000" w:themeColor="text1"/>
                <w:szCs w:val="16"/>
              </w:rPr>
            </w:pPr>
            <w:r w:rsidRPr="00ED172B">
              <w:rPr>
                <w:rFonts w:cs="Arial"/>
                <w:color w:val="000000" w:themeColor="text1"/>
                <w:szCs w:val="16"/>
              </w:rPr>
              <w:t>0</w:t>
            </w:r>
          </w:p>
        </w:tc>
        <w:tc>
          <w:tcPr>
            <w:tcW w:w="797" w:type="pct"/>
            <w:shd w:val="clear" w:color="auto" w:fill="auto"/>
            <w:vAlign w:val="center"/>
          </w:tcPr>
          <w:p w14:paraId="0A4F8B40" w14:textId="246D43C5" w:rsidR="00CD79C5" w:rsidRPr="00ED172B" w:rsidRDefault="00860830" w:rsidP="00CD79C5">
            <w:pPr>
              <w:jc w:val="center"/>
              <w:rPr>
                <w:rFonts w:cs="Arial"/>
                <w:color w:val="000000" w:themeColor="text1"/>
                <w:szCs w:val="16"/>
              </w:rPr>
            </w:pPr>
            <w:r w:rsidRPr="00ED172B">
              <w:rPr>
                <w:rFonts w:cs="Arial"/>
                <w:color w:val="000000" w:themeColor="text1"/>
                <w:szCs w:val="16"/>
              </w:rPr>
              <w:t>0.00%</w:t>
            </w:r>
          </w:p>
        </w:tc>
      </w:tr>
      <w:tr w:rsidR="00ED172B" w:rsidRPr="00ED172B" w14:paraId="414FC598" w14:textId="77777777" w:rsidTr="00986B99">
        <w:trPr>
          <w:trHeight w:val="361"/>
        </w:trPr>
        <w:tc>
          <w:tcPr>
            <w:tcW w:w="3406" w:type="pct"/>
            <w:shd w:val="clear" w:color="auto" w:fill="auto"/>
            <w:vAlign w:val="center"/>
          </w:tcPr>
          <w:p w14:paraId="492B2C6A" w14:textId="77777777" w:rsidR="00CD79C5" w:rsidRPr="00ED172B" w:rsidRDefault="00CD79C5" w:rsidP="00CD79C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797" w:type="pct"/>
            <w:shd w:val="clear" w:color="auto" w:fill="auto"/>
            <w:vAlign w:val="center"/>
          </w:tcPr>
          <w:p w14:paraId="1853B19B" w14:textId="2110C954" w:rsidR="00CD79C5" w:rsidRPr="00ED172B" w:rsidRDefault="00860830" w:rsidP="00CD79C5">
            <w:pPr>
              <w:jc w:val="center"/>
              <w:rPr>
                <w:rFonts w:cs="Arial"/>
                <w:color w:val="000000" w:themeColor="text1"/>
                <w:szCs w:val="16"/>
              </w:rPr>
            </w:pPr>
            <w:r w:rsidRPr="00ED172B">
              <w:rPr>
                <w:rFonts w:cs="Arial"/>
                <w:color w:val="000000" w:themeColor="text1"/>
                <w:szCs w:val="16"/>
              </w:rPr>
              <w:t>19</w:t>
            </w:r>
          </w:p>
        </w:tc>
        <w:tc>
          <w:tcPr>
            <w:tcW w:w="797" w:type="pct"/>
            <w:shd w:val="clear" w:color="auto" w:fill="auto"/>
            <w:vAlign w:val="center"/>
          </w:tcPr>
          <w:p w14:paraId="5DD14BA4" w14:textId="0ECDAA45" w:rsidR="00CD79C5" w:rsidRPr="00ED172B" w:rsidRDefault="00860830" w:rsidP="00CD79C5">
            <w:pPr>
              <w:jc w:val="center"/>
              <w:rPr>
                <w:rFonts w:cs="Arial"/>
                <w:color w:val="000000" w:themeColor="text1"/>
                <w:szCs w:val="16"/>
              </w:rPr>
            </w:pPr>
            <w:r w:rsidRPr="00ED172B">
              <w:rPr>
                <w:rFonts w:cs="Arial"/>
                <w:color w:val="000000" w:themeColor="text1"/>
                <w:szCs w:val="16"/>
              </w:rPr>
              <w:t>41.30%</w:t>
            </w:r>
          </w:p>
        </w:tc>
      </w:tr>
      <w:tr w:rsidR="00ED172B" w:rsidRPr="00ED172B" w14:paraId="7EB9CB08" w14:textId="77777777" w:rsidTr="00986B99">
        <w:trPr>
          <w:trHeight w:val="361"/>
        </w:trPr>
        <w:tc>
          <w:tcPr>
            <w:tcW w:w="3406" w:type="pct"/>
            <w:shd w:val="clear" w:color="auto" w:fill="auto"/>
            <w:vAlign w:val="center"/>
          </w:tcPr>
          <w:p w14:paraId="2C5C2B17" w14:textId="77777777" w:rsidR="00CD79C5" w:rsidRPr="00ED172B" w:rsidRDefault="00CD79C5" w:rsidP="00CD79C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797" w:type="pct"/>
            <w:shd w:val="clear" w:color="auto" w:fill="auto"/>
            <w:vAlign w:val="center"/>
          </w:tcPr>
          <w:p w14:paraId="66EDE725" w14:textId="093230C3" w:rsidR="00CD79C5" w:rsidRPr="00ED172B" w:rsidRDefault="00860830" w:rsidP="00CD79C5">
            <w:pPr>
              <w:jc w:val="center"/>
              <w:rPr>
                <w:rFonts w:cs="Arial"/>
                <w:color w:val="000000" w:themeColor="text1"/>
                <w:szCs w:val="16"/>
              </w:rPr>
            </w:pPr>
            <w:r w:rsidRPr="00ED172B">
              <w:rPr>
                <w:rFonts w:cs="Arial"/>
                <w:color w:val="000000" w:themeColor="text1"/>
                <w:szCs w:val="16"/>
              </w:rPr>
              <w:t>26</w:t>
            </w:r>
          </w:p>
        </w:tc>
        <w:tc>
          <w:tcPr>
            <w:tcW w:w="797" w:type="pct"/>
            <w:shd w:val="clear" w:color="auto" w:fill="auto"/>
            <w:vAlign w:val="center"/>
          </w:tcPr>
          <w:p w14:paraId="4FC975D2" w14:textId="0309DA68" w:rsidR="00CD79C5" w:rsidRPr="00ED172B" w:rsidRDefault="00860830" w:rsidP="00CD79C5">
            <w:pPr>
              <w:jc w:val="center"/>
              <w:rPr>
                <w:rFonts w:cs="Arial"/>
                <w:color w:val="000000" w:themeColor="text1"/>
                <w:szCs w:val="16"/>
              </w:rPr>
            </w:pPr>
            <w:r w:rsidRPr="00ED172B">
              <w:rPr>
                <w:rFonts w:cs="Arial"/>
                <w:color w:val="000000" w:themeColor="text1"/>
                <w:szCs w:val="16"/>
              </w:rPr>
              <w:t>56.52%</w:t>
            </w:r>
          </w:p>
        </w:tc>
      </w:tr>
    </w:tbl>
    <w:p w14:paraId="66912606" w14:textId="77777777" w:rsidR="0084029E" w:rsidRPr="00ED172B" w:rsidRDefault="0084029E" w:rsidP="0084029E">
      <w:pPr>
        <w:rPr>
          <w:rFonts w:cs="Arial"/>
          <w:b/>
          <w:color w:val="000000" w:themeColor="text1"/>
          <w:szCs w:val="16"/>
        </w:rPr>
      </w:pPr>
      <w:bookmarkStart w:id="16" w:name="_Hlk4941197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3"/>
      </w:tblPr>
      <w:tblGrid>
        <w:gridCol w:w="2515"/>
        <w:gridCol w:w="1260"/>
        <w:gridCol w:w="1349"/>
        <w:gridCol w:w="1351"/>
        <w:gridCol w:w="1170"/>
        <w:gridCol w:w="1170"/>
        <w:gridCol w:w="1079"/>
        <w:gridCol w:w="896"/>
      </w:tblGrid>
      <w:tr w:rsidR="00ED172B" w:rsidRPr="00ED172B" w14:paraId="10E59B1C" w14:textId="77777777" w:rsidTr="00986B99">
        <w:trPr>
          <w:trHeight w:val="354"/>
          <w:tblHeader/>
        </w:trPr>
        <w:tc>
          <w:tcPr>
            <w:tcW w:w="1165" w:type="pct"/>
            <w:shd w:val="clear" w:color="auto" w:fill="auto"/>
            <w:vAlign w:val="bottom"/>
          </w:tcPr>
          <w:p w14:paraId="696CA76B" w14:textId="3BCE6C04" w:rsidR="00743466" w:rsidRPr="00ED172B" w:rsidRDefault="00743466" w:rsidP="00743466">
            <w:pPr>
              <w:jc w:val="center"/>
              <w:rPr>
                <w:rFonts w:cs="Arial"/>
                <w:color w:val="000000" w:themeColor="text1"/>
                <w:szCs w:val="16"/>
              </w:rPr>
            </w:pPr>
            <w:r w:rsidRPr="00ED172B">
              <w:rPr>
                <w:rFonts w:cs="Arial"/>
                <w:b/>
                <w:color w:val="000000" w:themeColor="text1"/>
                <w:szCs w:val="16"/>
              </w:rPr>
              <w:t>Not including at-risk infants and toddlers</w:t>
            </w:r>
          </w:p>
        </w:tc>
        <w:tc>
          <w:tcPr>
            <w:tcW w:w="584" w:type="pct"/>
            <w:shd w:val="clear" w:color="auto" w:fill="auto"/>
            <w:vAlign w:val="bottom"/>
          </w:tcPr>
          <w:p w14:paraId="085F9BA7"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14:paraId="56E2F8BC"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14:paraId="5C6D1E6F" w14:textId="2D6981E5" w:rsidR="00743466" w:rsidRPr="00ED172B" w:rsidRDefault="00CD74B5" w:rsidP="00743466">
            <w:pPr>
              <w:jc w:val="center"/>
              <w:rPr>
                <w:rFonts w:cs="Arial"/>
                <w:b/>
                <w:color w:val="000000" w:themeColor="text1"/>
                <w:szCs w:val="16"/>
              </w:rPr>
            </w:pPr>
            <w:r>
              <w:rPr>
                <w:rFonts w:cs="Arial"/>
                <w:b/>
                <w:color w:val="000000" w:themeColor="text1"/>
                <w:szCs w:val="16"/>
              </w:rPr>
              <w:t>FFY 2020 Data</w:t>
            </w:r>
          </w:p>
        </w:tc>
        <w:tc>
          <w:tcPr>
            <w:tcW w:w="542" w:type="pct"/>
            <w:shd w:val="clear" w:color="auto" w:fill="auto"/>
            <w:vAlign w:val="bottom"/>
          </w:tcPr>
          <w:p w14:paraId="613575DE" w14:textId="43A8F2C0" w:rsidR="00743466" w:rsidRPr="00ED172B" w:rsidRDefault="00F22D09" w:rsidP="00743466">
            <w:pPr>
              <w:jc w:val="center"/>
              <w:rPr>
                <w:rFonts w:cs="Arial"/>
                <w:b/>
                <w:color w:val="000000" w:themeColor="text1"/>
                <w:szCs w:val="16"/>
              </w:rPr>
            </w:pPr>
            <w:r>
              <w:rPr>
                <w:rFonts w:cs="Arial"/>
                <w:b/>
                <w:color w:val="000000" w:themeColor="text1"/>
                <w:szCs w:val="16"/>
              </w:rPr>
              <w:t>FFY 2021 Target</w:t>
            </w:r>
          </w:p>
        </w:tc>
        <w:tc>
          <w:tcPr>
            <w:tcW w:w="542" w:type="pct"/>
            <w:shd w:val="clear" w:color="auto" w:fill="auto"/>
            <w:vAlign w:val="bottom"/>
          </w:tcPr>
          <w:p w14:paraId="5AF7B4EA" w14:textId="4375914F" w:rsidR="00743466" w:rsidRPr="00ED172B" w:rsidRDefault="00F22D09" w:rsidP="00743466">
            <w:pPr>
              <w:jc w:val="center"/>
              <w:rPr>
                <w:rFonts w:cs="Arial"/>
                <w:b/>
                <w:color w:val="000000" w:themeColor="text1"/>
                <w:szCs w:val="16"/>
              </w:rPr>
            </w:pPr>
            <w:r>
              <w:rPr>
                <w:rFonts w:cs="Arial"/>
                <w:b/>
                <w:color w:val="000000" w:themeColor="text1"/>
                <w:szCs w:val="16"/>
              </w:rPr>
              <w:t>FFY 2021 Data</w:t>
            </w:r>
          </w:p>
        </w:tc>
        <w:tc>
          <w:tcPr>
            <w:tcW w:w="500" w:type="pct"/>
            <w:shd w:val="clear" w:color="auto" w:fill="auto"/>
            <w:vAlign w:val="bottom"/>
          </w:tcPr>
          <w:p w14:paraId="6BE46B18"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Status</w:t>
            </w:r>
          </w:p>
        </w:tc>
        <w:tc>
          <w:tcPr>
            <w:tcW w:w="415" w:type="pct"/>
            <w:shd w:val="clear" w:color="auto" w:fill="auto"/>
            <w:vAlign w:val="bottom"/>
          </w:tcPr>
          <w:p w14:paraId="34ED5BC0"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Slippage</w:t>
            </w:r>
          </w:p>
        </w:tc>
      </w:tr>
      <w:tr w:rsidR="00ED172B" w:rsidRPr="00ED172B" w14:paraId="736F90CC" w14:textId="77777777" w:rsidTr="00986B99">
        <w:trPr>
          <w:trHeight w:val="361"/>
        </w:trPr>
        <w:tc>
          <w:tcPr>
            <w:tcW w:w="1165" w:type="pct"/>
            <w:shd w:val="clear" w:color="auto" w:fill="auto"/>
          </w:tcPr>
          <w:p w14:paraId="537C4A27" w14:textId="77777777" w:rsidR="00A01E85" w:rsidRPr="00ED172B" w:rsidRDefault="00A01E85" w:rsidP="00A01E85">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shd w:val="clear" w:color="auto" w:fill="auto"/>
            <w:vAlign w:val="center"/>
          </w:tcPr>
          <w:p w14:paraId="623590DC" w14:textId="2C92321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858</w:t>
            </w:r>
          </w:p>
        </w:tc>
        <w:tc>
          <w:tcPr>
            <w:tcW w:w="625" w:type="pct"/>
            <w:shd w:val="clear" w:color="auto" w:fill="auto"/>
            <w:vAlign w:val="center"/>
          </w:tcPr>
          <w:p w14:paraId="3C0327D5" w14:textId="0399CD0E"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1,714</w:t>
            </w:r>
          </w:p>
        </w:tc>
        <w:tc>
          <w:tcPr>
            <w:tcW w:w="626" w:type="pct"/>
            <w:shd w:val="clear" w:color="auto" w:fill="auto"/>
            <w:vAlign w:val="center"/>
          </w:tcPr>
          <w:p w14:paraId="601BDD09" w14:textId="772FDC99" w:rsidR="00A01E85" w:rsidRPr="00ED172B" w:rsidRDefault="00860830" w:rsidP="00A01E85">
            <w:pPr>
              <w:jc w:val="center"/>
              <w:rPr>
                <w:rFonts w:cs="Arial"/>
                <w:color w:val="000000" w:themeColor="text1"/>
                <w:szCs w:val="16"/>
              </w:rPr>
            </w:pPr>
            <w:r w:rsidRPr="00ED172B">
              <w:rPr>
                <w:rFonts w:cs="Arial"/>
                <w:color w:val="000000" w:themeColor="text1"/>
                <w:szCs w:val="16"/>
              </w:rPr>
              <w:t>49.31%</w:t>
            </w:r>
          </w:p>
        </w:tc>
        <w:tc>
          <w:tcPr>
            <w:tcW w:w="542" w:type="pct"/>
            <w:shd w:val="clear" w:color="auto" w:fill="auto"/>
            <w:vAlign w:val="center"/>
          </w:tcPr>
          <w:p w14:paraId="27FB8720" w14:textId="6037FBE4" w:rsidR="00A01E85" w:rsidRPr="00ED172B" w:rsidRDefault="001E39E3" w:rsidP="001E39E3">
            <w:pPr>
              <w:jc w:val="center"/>
              <w:rPr>
                <w:color w:val="000000" w:themeColor="text1"/>
              </w:rPr>
            </w:pPr>
            <w:r w:rsidRPr="00ED172B">
              <w:rPr>
                <w:color w:val="000000" w:themeColor="text1"/>
              </w:rPr>
              <w:t>57.00%</w:t>
            </w:r>
          </w:p>
        </w:tc>
        <w:tc>
          <w:tcPr>
            <w:tcW w:w="542" w:type="pct"/>
            <w:shd w:val="clear" w:color="auto" w:fill="auto"/>
            <w:vAlign w:val="center"/>
          </w:tcPr>
          <w:p w14:paraId="777B9CD4" w14:textId="5381ED20" w:rsidR="00A01E85" w:rsidRPr="00ED172B" w:rsidRDefault="00860830" w:rsidP="00A01E85">
            <w:pPr>
              <w:jc w:val="center"/>
              <w:rPr>
                <w:rFonts w:cs="Arial"/>
                <w:color w:val="000000" w:themeColor="text1"/>
                <w:szCs w:val="16"/>
              </w:rPr>
            </w:pPr>
            <w:r w:rsidRPr="00ED172B">
              <w:rPr>
                <w:rFonts w:cs="Arial"/>
                <w:color w:val="000000" w:themeColor="text1"/>
                <w:szCs w:val="16"/>
              </w:rPr>
              <w:t>50.06%</w:t>
            </w:r>
          </w:p>
        </w:tc>
        <w:tc>
          <w:tcPr>
            <w:tcW w:w="500" w:type="pct"/>
            <w:shd w:val="clear" w:color="auto" w:fill="auto"/>
            <w:vAlign w:val="center"/>
          </w:tcPr>
          <w:p w14:paraId="5C3C78C9" w14:textId="5E8EB213"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15" w:type="pct"/>
            <w:shd w:val="clear" w:color="auto" w:fill="auto"/>
            <w:vAlign w:val="center"/>
          </w:tcPr>
          <w:p w14:paraId="16F295F5" w14:textId="2B6063D1"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r w:rsidR="00ED172B" w:rsidRPr="00ED172B" w14:paraId="00F4DA6A" w14:textId="77777777" w:rsidTr="00986B99">
        <w:trPr>
          <w:trHeight w:val="361"/>
        </w:trPr>
        <w:tc>
          <w:tcPr>
            <w:tcW w:w="1165" w:type="pct"/>
            <w:shd w:val="clear" w:color="auto" w:fill="auto"/>
          </w:tcPr>
          <w:p w14:paraId="1A12D62D" w14:textId="256BED32" w:rsidR="00A01E85" w:rsidRPr="00ED172B" w:rsidRDefault="00A01E85" w:rsidP="00A01E8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84" w:type="pct"/>
            <w:shd w:val="clear" w:color="auto" w:fill="auto"/>
            <w:vAlign w:val="center"/>
          </w:tcPr>
          <w:p w14:paraId="5FAF3DC2" w14:textId="195D38E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1,683</w:t>
            </w:r>
          </w:p>
        </w:tc>
        <w:tc>
          <w:tcPr>
            <w:tcW w:w="625" w:type="pct"/>
            <w:shd w:val="clear" w:color="auto" w:fill="auto"/>
            <w:vAlign w:val="center"/>
          </w:tcPr>
          <w:p w14:paraId="60E12B45" w14:textId="1E2D813F"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2,756</w:t>
            </w:r>
          </w:p>
        </w:tc>
        <w:tc>
          <w:tcPr>
            <w:tcW w:w="626" w:type="pct"/>
            <w:shd w:val="clear" w:color="auto" w:fill="auto"/>
            <w:vAlign w:val="center"/>
          </w:tcPr>
          <w:p w14:paraId="3945D035" w14:textId="464109C4" w:rsidR="00A01E85" w:rsidRPr="00ED172B" w:rsidRDefault="00860830" w:rsidP="00A01E85">
            <w:pPr>
              <w:jc w:val="center"/>
              <w:rPr>
                <w:rFonts w:cs="Arial"/>
                <w:color w:val="000000" w:themeColor="text1"/>
                <w:szCs w:val="16"/>
              </w:rPr>
            </w:pPr>
            <w:r w:rsidRPr="00ED172B">
              <w:rPr>
                <w:rFonts w:cs="Arial"/>
                <w:color w:val="000000" w:themeColor="text1"/>
                <w:szCs w:val="16"/>
              </w:rPr>
              <w:t>64.37%</w:t>
            </w:r>
          </w:p>
        </w:tc>
        <w:tc>
          <w:tcPr>
            <w:tcW w:w="542" w:type="pct"/>
            <w:shd w:val="clear" w:color="auto" w:fill="auto"/>
            <w:vAlign w:val="center"/>
          </w:tcPr>
          <w:p w14:paraId="46514870" w14:textId="68521881" w:rsidR="00A01E85" w:rsidRPr="00ED172B" w:rsidRDefault="001E39E3" w:rsidP="001E39E3">
            <w:pPr>
              <w:jc w:val="center"/>
              <w:rPr>
                <w:color w:val="000000" w:themeColor="text1"/>
              </w:rPr>
            </w:pPr>
            <w:r w:rsidRPr="00ED172B">
              <w:rPr>
                <w:color w:val="000000" w:themeColor="text1"/>
              </w:rPr>
              <w:t>71.20%</w:t>
            </w:r>
          </w:p>
        </w:tc>
        <w:tc>
          <w:tcPr>
            <w:tcW w:w="542" w:type="pct"/>
            <w:shd w:val="clear" w:color="auto" w:fill="auto"/>
            <w:vAlign w:val="center"/>
          </w:tcPr>
          <w:p w14:paraId="3754B998" w14:textId="37F15522" w:rsidR="00A01E85" w:rsidRPr="00ED172B" w:rsidRDefault="00860830" w:rsidP="00A01E85">
            <w:pPr>
              <w:jc w:val="center"/>
              <w:rPr>
                <w:rFonts w:cs="Arial"/>
                <w:color w:val="000000" w:themeColor="text1"/>
                <w:szCs w:val="16"/>
              </w:rPr>
            </w:pPr>
            <w:r w:rsidRPr="00ED172B">
              <w:rPr>
                <w:rFonts w:cs="Arial"/>
                <w:color w:val="000000" w:themeColor="text1"/>
                <w:szCs w:val="16"/>
              </w:rPr>
              <w:t>61.07%</w:t>
            </w:r>
          </w:p>
        </w:tc>
        <w:tc>
          <w:tcPr>
            <w:tcW w:w="500" w:type="pct"/>
            <w:shd w:val="clear" w:color="auto" w:fill="auto"/>
            <w:vAlign w:val="center"/>
          </w:tcPr>
          <w:p w14:paraId="4860CBF1" w14:textId="1DBC10BC"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15" w:type="pct"/>
            <w:shd w:val="clear" w:color="auto" w:fill="auto"/>
            <w:vAlign w:val="center"/>
          </w:tcPr>
          <w:p w14:paraId="447CC095" w14:textId="2BC10327" w:rsidR="00A01E85" w:rsidRPr="00ED172B" w:rsidRDefault="00860830" w:rsidP="00A01E85">
            <w:pPr>
              <w:jc w:val="center"/>
              <w:rPr>
                <w:rFonts w:cs="Arial"/>
                <w:color w:val="000000" w:themeColor="text1"/>
                <w:szCs w:val="16"/>
              </w:rPr>
            </w:pPr>
            <w:r w:rsidRPr="00ED172B">
              <w:rPr>
                <w:rFonts w:cs="Arial"/>
                <w:color w:val="000000" w:themeColor="text1"/>
                <w:szCs w:val="16"/>
              </w:rPr>
              <w:t>Slippage</w:t>
            </w:r>
          </w:p>
        </w:tc>
      </w:tr>
    </w:tbl>
    <w:p w14:paraId="49DFE088" w14:textId="5A342A73" w:rsidR="00A01E85" w:rsidRPr="00ED172B" w:rsidRDefault="00A01E85" w:rsidP="00A01E85">
      <w:pPr>
        <w:rPr>
          <w:rFonts w:cs="Arial"/>
          <w:b/>
          <w:i/>
          <w:color w:val="000000" w:themeColor="text1"/>
          <w:szCs w:val="16"/>
        </w:rPr>
      </w:pPr>
      <w:r w:rsidRPr="00ED172B">
        <w:rPr>
          <w:b/>
          <w:color w:val="000000" w:themeColor="text1"/>
        </w:rPr>
        <w:t>Provide reasons for A2 slippage, if applicable</w:t>
      </w:r>
      <w:r w:rsidRPr="00ED172B">
        <w:rPr>
          <w:rFonts w:cs="Arial"/>
          <w:b/>
          <w:color w:val="000000" w:themeColor="text1"/>
          <w:szCs w:val="16"/>
        </w:rPr>
        <w:t xml:space="preserve"> </w:t>
      </w:r>
    </w:p>
    <w:p w14:paraId="2CB5A177" w14:textId="130EED60" w:rsidR="00A01E85" w:rsidRDefault="001E39E3" w:rsidP="001E39E3">
      <w:pPr>
        <w:rPr>
          <w:color w:val="000000" w:themeColor="text1"/>
        </w:rPr>
      </w:pPr>
      <w:r w:rsidRPr="00ED172B">
        <w:rPr>
          <w:color w:val="000000" w:themeColor="text1"/>
        </w:rPr>
        <w:t>MA-C observed slippage in two outcome areas: Child Outcome A: Summery Statement 2, Child Outcome B: Summary Statement 1. MA-C analyzed data using the meaningful difference calculator (template available at https://ectacenter.org/eco/pages/childoutcomes-calc.asp) and sought out anecdotal data to identify the cause of slippage. Through the course of the analysis, it became apparent that COVID had a large impact on MA-C's system, including child outcomes. The prevalence of the COVID-19 Omicron variant in Massachusetts during FFY21 combined with the lack of a pediatric vaccine for infants and toddlers under the age of three, contributed to a higher degree of services being delivered via telehealth, which is not an approved mode for BDI-2 administration.</w:t>
      </w:r>
    </w:p>
    <w:p w14:paraId="45C8DA50" w14:textId="77777777" w:rsidR="000D7858" w:rsidRPr="00ED172B" w:rsidRDefault="000D7858" w:rsidP="001E39E3">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4"/>
      </w:tblPr>
      <w:tblGrid>
        <w:gridCol w:w="2245"/>
        <w:gridCol w:w="1261"/>
        <w:gridCol w:w="1260"/>
        <w:gridCol w:w="1439"/>
        <w:gridCol w:w="1351"/>
        <w:gridCol w:w="1262"/>
        <w:gridCol w:w="1081"/>
        <w:gridCol w:w="891"/>
      </w:tblGrid>
      <w:tr w:rsidR="00ED172B" w:rsidRPr="00ED172B" w14:paraId="34DB5841" w14:textId="77777777" w:rsidTr="00986B99">
        <w:trPr>
          <w:trHeight w:val="354"/>
          <w:tblHeader/>
        </w:trPr>
        <w:tc>
          <w:tcPr>
            <w:tcW w:w="1040" w:type="pct"/>
            <w:shd w:val="clear" w:color="auto" w:fill="auto"/>
            <w:vAlign w:val="bottom"/>
          </w:tcPr>
          <w:p w14:paraId="3E838E12" w14:textId="0441CDCD" w:rsidR="00743466" w:rsidRPr="00ED172B" w:rsidRDefault="00743466" w:rsidP="00743466">
            <w:pPr>
              <w:jc w:val="center"/>
              <w:rPr>
                <w:rFonts w:cs="Arial"/>
                <w:color w:val="000000" w:themeColor="text1"/>
                <w:szCs w:val="16"/>
              </w:rPr>
            </w:pPr>
            <w:r w:rsidRPr="00ED172B">
              <w:rPr>
                <w:rFonts w:cs="Arial"/>
                <w:b/>
                <w:color w:val="000000" w:themeColor="text1"/>
                <w:szCs w:val="16"/>
              </w:rPr>
              <w:lastRenderedPageBreak/>
              <w:t>Just at-risk infants and toddlers/All infants and toddlers</w:t>
            </w:r>
          </w:p>
        </w:tc>
        <w:tc>
          <w:tcPr>
            <w:tcW w:w="584" w:type="pct"/>
            <w:shd w:val="clear" w:color="auto" w:fill="auto"/>
            <w:vAlign w:val="bottom"/>
          </w:tcPr>
          <w:p w14:paraId="57EE2260"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65A9B4E8"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Denominator</w:t>
            </w:r>
          </w:p>
        </w:tc>
        <w:tc>
          <w:tcPr>
            <w:tcW w:w="667" w:type="pct"/>
            <w:shd w:val="clear" w:color="auto" w:fill="auto"/>
            <w:vAlign w:val="bottom"/>
          </w:tcPr>
          <w:p w14:paraId="3A8E2809" w14:textId="10544A36" w:rsidR="00743466" w:rsidRPr="00ED172B" w:rsidRDefault="00CD74B5" w:rsidP="00743466">
            <w:pPr>
              <w:jc w:val="center"/>
              <w:rPr>
                <w:rFonts w:cs="Arial"/>
                <w:b/>
                <w:color w:val="000000" w:themeColor="text1"/>
                <w:szCs w:val="16"/>
              </w:rPr>
            </w:pPr>
            <w:r>
              <w:rPr>
                <w:rFonts w:cs="Arial"/>
                <w:b/>
                <w:color w:val="000000" w:themeColor="text1"/>
                <w:szCs w:val="16"/>
              </w:rPr>
              <w:t>FFY 2020 Data</w:t>
            </w:r>
          </w:p>
        </w:tc>
        <w:tc>
          <w:tcPr>
            <w:tcW w:w="626" w:type="pct"/>
            <w:shd w:val="clear" w:color="auto" w:fill="auto"/>
            <w:vAlign w:val="bottom"/>
          </w:tcPr>
          <w:p w14:paraId="7AA2AF7E" w14:textId="0CAFAA2D" w:rsidR="00743466" w:rsidRPr="00ED172B" w:rsidRDefault="00F22D09" w:rsidP="00743466">
            <w:pPr>
              <w:jc w:val="center"/>
              <w:rPr>
                <w:rFonts w:cs="Arial"/>
                <w:b/>
                <w:color w:val="000000" w:themeColor="text1"/>
                <w:szCs w:val="16"/>
              </w:rPr>
            </w:pPr>
            <w:r>
              <w:rPr>
                <w:rFonts w:cs="Arial"/>
                <w:b/>
                <w:color w:val="000000" w:themeColor="text1"/>
                <w:szCs w:val="16"/>
              </w:rPr>
              <w:t>FFY 2021 Target</w:t>
            </w:r>
          </w:p>
        </w:tc>
        <w:tc>
          <w:tcPr>
            <w:tcW w:w="585" w:type="pct"/>
            <w:shd w:val="clear" w:color="auto" w:fill="auto"/>
            <w:vAlign w:val="bottom"/>
          </w:tcPr>
          <w:p w14:paraId="4E3366E4" w14:textId="4A20286F" w:rsidR="00743466" w:rsidRPr="00ED172B" w:rsidRDefault="00F22D09" w:rsidP="00743466">
            <w:pPr>
              <w:jc w:val="center"/>
              <w:rPr>
                <w:rFonts w:cs="Arial"/>
                <w:b/>
                <w:color w:val="000000" w:themeColor="text1"/>
                <w:szCs w:val="16"/>
              </w:rPr>
            </w:pPr>
            <w:r>
              <w:rPr>
                <w:rFonts w:cs="Arial"/>
                <w:b/>
                <w:color w:val="000000" w:themeColor="text1"/>
                <w:szCs w:val="16"/>
              </w:rPr>
              <w:t>FFY 2021 Data</w:t>
            </w:r>
          </w:p>
        </w:tc>
        <w:tc>
          <w:tcPr>
            <w:tcW w:w="501" w:type="pct"/>
            <w:shd w:val="clear" w:color="auto" w:fill="auto"/>
            <w:vAlign w:val="bottom"/>
          </w:tcPr>
          <w:p w14:paraId="24FF04E2"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Status</w:t>
            </w:r>
          </w:p>
        </w:tc>
        <w:tc>
          <w:tcPr>
            <w:tcW w:w="413" w:type="pct"/>
            <w:shd w:val="clear" w:color="auto" w:fill="auto"/>
            <w:vAlign w:val="bottom"/>
          </w:tcPr>
          <w:p w14:paraId="666B1396" w14:textId="77777777" w:rsidR="00743466" w:rsidRPr="00ED172B" w:rsidRDefault="00743466" w:rsidP="00743466">
            <w:pPr>
              <w:jc w:val="center"/>
              <w:rPr>
                <w:rFonts w:cs="Arial"/>
                <w:b/>
                <w:color w:val="000000" w:themeColor="text1"/>
                <w:szCs w:val="16"/>
              </w:rPr>
            </w:pPr>
            <w:r w:rsidRPr="00ED172B">
              <w:rPr>
                <w:rFonts w:cs="Arial"/>
                <w:b/>
                <w:color w:val="000000" w:themeColor="text1"/>
                <w:szCs w:val="16"/>
              </w:rPr>
              <w:t>Slippage</w:t>
            </w:r>
          </w:p>
        </w:tc>
      </w:tr>
      <w:tr w:rsidR="00ED172B" w:rsidRPr="00ED172B" w14:paraId="249B60C3" w14:textId="77777777" w:rsidTr="00986B99">
        <w:trPr>
          <w:trHeight w:val="361"/>
        </w:trPr>
        <w:tc>
          <w:tcPr>
            <w:tcW w:w="1040" w:type="pct"/>
            <w:shd w:val="clear" w:color="auto" w:fill="auto"/>
          </w:tcPr>
          <w:p w14:paraId="5DD58BA1" w14:textId="77777777" w:rsidR="00A01E85" w:rsidRPr="00ED172B" w:rsidRDefault="00A01E85" w:rsidP="00A01E85">
            <w:pPr>
              <w:rPr>
                <w:rFonts w:cs="Arial"/>
                <w:color w:val="000000" w:themeColor="text1"/>
                <w:szCs w:val="16"/>
              </w:rPr>
            </w:pPr>
            <w:r w:rsidRPr="00ED172B">
              <w:rPr>
                <w:rFonts w:cs="Arial"/>
                <w:color w:val="000000" w:themeColor="text1"/>
                <w:szCs w:val="16"/>
              </w:rPr>
              <w:t>A1. Of those children who entered or exited the program below age expectations in Outcome A, the percent who substantially increased their rate of growth by the time they turned 3 years of age or exited the program</w:t>
            </w:r>
          </w:p>
        </w:tc>
        <w:tc>
          <w:tcPr>
            <w:tcW w:w="584" w:type="pct"/>
            <w:shd w:val="clear" w:color="auto" w:fill="auto"/>
            <w:vAlign w:val="center"/>
          </w:tcPr>
          <w:p w14:paraId="645A8D68" w14:textId="73658AD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19</w:t>
            </w:r>
          </w:p>
        </w:tc>
        <w:tc>
          <w:tcPr>
            <w:tcW w:w="584" w:type="pct"/>
            <w:shd w:val="clear" w:color="auto" w:fill="auto"/>
            <w:vAlign w:val="center"/>
          </w:tcPr>
          <w:p w14:paraId="00EFBA88" w14:textId="105B682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20</w:t>
            </w:r>
          </w:p>
        </w:tc>
        <w:tc>
          <w:tcPr>
            <w:tcW w:w="667" w:type="pct"/>
            <w:shd w:val="clear" w:color="auto" w:fill="auto"/>
            <w:vAlign w:val="center"/>
          </w:tcPr>
          <w:p w14:paraId="07D3AE87" w14:textId="0FA5AD29"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626" w:type="pct"/>
            <w:shd w:val="clear" w:color="auto" w:fill="auto"/>
            <w:vAlign w:val="center"/>
          </w:tcPr>
          <w:p w14:paraId="5EDB3095" w14:textId="626E7118" w:rsidR="00A01E85" w:rsidRPr="00ED172B" w:rsidRDefault="002F5A9E" w:rsidP="00027F39">
            <w:pPr>
              <w:jc w:val="center"/>
              <w:rPr>
                <w:color w:val="000000" w:themeColor="text1"/>
              </w:rPr>
            </w:pPr>
            <w:r w:rsidRPr="00ED172B">
              <w:rPr>
                <w:color w:val="000000" w:themeColor="text1"/>
              </w:rPr>
              <w:t/>
            </w:r>
          </w:p>
        </w:tc>
        <w:tc>
          <w:tcPr>
            <w:tcW w:w="585" w:type="pct"/>
            <w:shd w:val="clear" w:color="auto" w:fill="auto"/>
            <w:vAlign w:val="center"/>
          </w:tcPr>
          <w:p w14:paraId="19E3AAAC" w14:textId="4B4D3F90" w:rsidR="00A01E85" w:rsidRPr="00ED172B" w:rsidRDefault="00860830" w:rsidP="00A01E85">
            <w:pPr>
              <w:jc w:val="center"/>
              <w:rPr>
                <w:rFonts w:cs="Arial"/>
                <w:color w:val="000000" w:themeColor="text1"/>
                <w:szCs w:val="16"/>
              </w:rPr>
            </w:pPr>
            <w:r w:rsidRPr="00ED172B">
              <w:rPr>
                <w:rFonts w:cs="Arial"/>
                <w:color w:val="000000" w:themeColor="text1"/>
                <w:szCs w:val="16"/>
              </w:rPr>
              <w:t>95.00%</w:t>
            </w:r>
          </w:p>
        </w:tc>
        <w:tc>
          <w:tcPr>
            <w:tcW w:w="501" w:type="pct"/>
            <w:shd w:val="clear" w:color="auto" w:fill="auto"/>
            <w:vAlign w:val="center"/>
          </w:tcPr>
          <w:p w14:paraId="4E173EE2" w14:textId="3A20A1B4"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13" w:type="pct"/>
            <w:shd w:val="clear" w:color="auto" w:fill="auto"/>
            <w:vAlign w:val="center"/>
          </w:tcPr>
          <w:p w14:paraId="6CD438FE" w14:textId="3B71B812"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6CC2B253" w14:textId="77777777" w:rsidTr="00986B99">
        <w:trPr>
          <w:trHeight w:val="361"/>
        </w:trPr>
        <w:tc>
          <w:tcPr>
            <w:tcW w:w="1040" w:type="pct"/>
            <w:shd w:val="clear" w:color="auto" w:fill="auto"/>
          </w:tcPr>
          <w:p w14:paraId="77DBCF4F" w14:textId="44EBF36E" w:rsidR="00A01E85" w:rsidRPr="00ED172B" w:rsidRDefault="00A01E85" w:rsidP="00A01E85">
            <w:pPr>
              <w:rPr>
                <w:rFonts w:cs="Arial"/>
                <w:color w:val="000000" w:themeColor="text1"/>
                <w:szCs w:val="16"/>
              </w:rPr>
            </w:pPr>
            <w:r w:rsidRPr="00ED172B">
              <w:rPr>
                <w:rFonts w:cs="Arial"/>
                <w:color w:val="000000" w:themeColor="text1"/>
                <w:szCs w:val="16"/>
              </w:rPr>
              <w:t>A2. The percent of infants and toddlers who were functioning within age expectations in Outcome A by the time they turned 3 years of age or exited the program</w:t>
            </w:r>
          </w:p>
        </w:tc>
        <w:tc>
          <w:tcPr>
            <w:tcW w:w="584" w:type="pct"/>
            <w:shd w:val="clear" w:color="auto" w:fill="auto"/>
            <w:vAlign w:val="center"/>
          </w:tcPr>
          <w:p w14:paraId="46AD0BED" w14:textId="2868666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45</w:t>
            </w:r>
          </w:p>
        </w:tc>
        <w:tc>
          <w:tcPr>
            <w:tcW w:w="584" w:type="pct"/>
            <w:shd w:val="clear" w:color="auto" w:fill="auto"/>
            <w:vAlign w:val="center"/>
          </w:tcPr>
          <w:p w14:paraId="77AF513F" w14:textId="65A5A6E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46</w:t>
            </w:r>
          </w:p>
        </w:tc>
        <w:tc>
          <w:tcPr>
            <w:tcW w:w="667" w:type="pct"/>
            <w:shd w:val="clear" w:color="auto" w:fill="auto"/>
            <w:vAlign w:val="center"/>
          </w:tcPr>
          <w:p w14:paraId="1BCCC909" w14:textId="56BE5EA1"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626" w:type="pct"/>
            <w:shd w:val="clear" w:color="auto" w:fill="auto"/>
            <w:vAlign w:val="center"/>
          </w:tcPr>
          <w:p w14:paraId="1A492E85" w14:textId="387140FC" w:rsidR="00A01E85" w:rsidRPr="00ED172B" w:rsidRDefault="002332D6">
            <w:pPr>
              <w:jc w:val="center"/>
              <w:rPr>
                <w:color w:val="000000" w:themeColor="text1"/>
              </w:rPr>
            </w:pPr>
            <w:r w:rsidRPr="00ED172B">
              <w:rPr>
                <w:color w:val="000000" w:themeColor="text1"/>
              </w:rPr>
              <w:t/>
            </w:r>
          </w:p>
        </w:tc>
        <w:tc>
          <w:tcPr>
            <w:tcW w:w="585" w:type="pct"/>
            <w:shd w:val="clear" w:color="auto" w:fill="auto"/>
            <w:vAlign w:val="center"/>
          </w:tcPr>
          <w:p w14:paraId="048A6C67" w14:textId="5BF1A76A" w:rsidR="00A01E85" w:rsidRPr="00ED172B" w:rsidRDefault="00860830" w:rsidP="00A01E85">
            <w:pPr>
              <w:jc w:val="center"/>
              <w:rPr>
                <w:rFonts w:cs="Arial"/>
                <w:color w:val="000000" w:themeColor="text1"/>
                <w:szCs w:val="16"/>
              </w:rPr>
            </w:pPr>
            <w:r w:rsidRPr="00ED172B">
              <w:rPr>
                <w:rFonts w:cs="Arial"/>
                <w:color w:val="000000" w:themeColor="text1"/>
                <w:szCs w:val="16"/>
              </w:rPr>
              <w:t>97.83%</w:t>
            </w:r>
          </w:p>
        </w:tc>
        <w:tc>
          <w:tcPr>
            <w:tcW w:w="501" w:type="pct"/>
            <w:shd w:val="clear" w:color="auto" w:fill="auto"/>
            <w:vAlign w:val="center"/>
          </w:tcPr>
          <w:p w14:paraId="4D6D54DA" w14:textId="6D92EF4F"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13" w:type="pct"/>
            <w:shd w:val="clear" w:color="auto" w:fill="auto"/>
            <w:vAlign w:val="center"/>
          </w:tcPr>
          <w:p w14:paraId="765D1A31" w14:textId="72FE4060"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628040B7" w14:textId="77777777" w:rsidR="0084029E" w:rsidRPr="00ED172B" w:rsidRDefault="0084029E">
      <w:pPr>
        <w:rPr>
          <w:b/>
          <w:color w:val="000000" w:themeColor="text1"/>
        </w:rPr>
      </w:pPr>
      <w:r w:rsidRPr="00ED172B">
        <w:rPr>
          <w:b/>
          <w:color w:val="000000" w:themeColor="text1"/>
        </w:rPr>
        <w:t>Outcome B: Acquisition and use of knowledge and skills (including early language/communication)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5"/>
      </w:tblPr>
      <w:tblGrid>
        <w:gridCol w:w="7093"/>
        <w:gridCol w:w="1684"/>
        <w:gridCol w:w="2013"/>
      </w:tblGrid>
      <w:tr w:rsidR="00ED172B" w:rsidRPr="00ED172B" w14:paraId="5A5005B5" w14:textId="77777777" w:rsidTr="00986B99">
        <w:trPr>
          <w:trHeight w:val="361"/>
          <w:tblHeader/>
        </w:trPr>
        <w:tc>
          <w:tcPr>
            <w:tcW w:w="3349" w:type="pct"/>
            <w:shd w:val="clear" w:color="auto" w:fill="auto"/>
            <w:vAlign w:val="center"/>
          </w:tcPr>
          <w:p w14:paraId="6D3F9035" w14:textId="7E06B650" w:rsidR="0084029E" w:rsidRPr="00ED172B" w:rsidRDefault="0084029E" w:rsidP="0084029E">
            <w:pPr>
              <w:rPr>
                <w:rFonts w:cs="Arial"/>
                <w:color w:val="000000" w:themeColor="text1"/>
                <w:szCs w:val="16"/>
              </w:rPr>
            </w:pPr>
            <w:r w:rsidRPr="00ED172B">
              <w:rPr>
                <w:rFonts w:cs="Arial"/>
                <w:b/>
                <w:color w:val="000000" w:themeColor="text1"/>
                <w:szCs w:val="16"/>
              </w:rPr>
              <w:t>Not including at-risk infants and toddlers</w:t>
            </w:r>
          </w:p>
        </w:tc>
        <w:tc>
          <w:tcPr>
            <w:tcW w:w="826" w:type="pct"/>
            <w:shd w:val="clear" w:color="auto" w:fill="auto"/>
            <w:vAlign w:val="center"/>
          </w:tcPr>
          <w:p w14:paraId="3A8C3864"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14:paraId="305C26FA"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7A7B2FCB" w14:textId="77777777" w:rsidTr="00986B99">
        <w:trPr>
          <w:trHeight w:val="361"/>
        </w:trPr>
        <w:tc>
          <w:tcPr>
            <w:tcW w:w="3349" w:type="pct"/>
            <w:shd w:val="clear" w:color="auto" w:fill="auto"/>
            <w:vAlign w:val="center"/>
          </w:tcPr>
          <w:p w14:paraId="4AF7D622"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14:paraId="20DEA6FA" w14:textId="0A3DD681" w:rsidR="00A01E85" w:rsidRPr="00ED172B" w:rsidRDefault="00860830" w:rsidP="00186420">
            <w:pPr>
              <w:jc w:val="center"/>
              <w:rPr>
                <w:rFonts w:cs="Arial"/>
                <w:color w:val="000000" w:themeColor="text1"/>
                <w:szCs w:val="16"/>
              </w:rPr>
            </w:pPr>
            <w:r w:rsidRPr="00ED172B">
              <w:rPr>
                <w:rFonts w:cs="Arial"/>
                <w:color w:val="000000" w:themeColor="text1"/>
                <w:szCs w:val="16"/>
              </w:rPr>
              <w:t>34</w:t>
            </w:r>
          </w:p>
        </w:tc>
        <w:tc>
          <w:tcPr>
            <w:tcW w:w="825" w:type="pct"/>
            <w:shd w:val="clear" w:color="auto" w:fill="auto"/>
            <w:vAlign w:val="center"/>
          </w:tcPr>
          <w:p w14:paraId="18B88962" w14:textId="134F5F95" w:rsidR="00A01E85" w:rsidRPr="00ED172B" w:rsidRDefault="00860830" w:rsidP="00186420">
            <w:pPr>
              <w:jc w:val="center"/>
              <w:rPr>
                <w:rFonts w:cs="Arial"/>
                <w:color w:val="000000" w:themeColor="text1"/>
                <w:szCs w:val="16"/>
              </w:rPr>
            </w:pPr>
            <w:r w:rsidRPr="00ED172B">
              <w:rPr>
                <w:rFonts w:cs="Arial"/>
                <w:color w:val="000000" w:themeColor="text1"/>
                <w:szCs w:val="16"/>
              </w:rPr>
              <w:t>1.23%</w:t>
            </w:r>
          </w:p>
        </w:tc>
      </w:tr>
      <w:tr w:rsidR="00ED172B" w:rsidRPr="00ED172B" w14:paraId="317D23ED" w14:textId="77777777" w:rsidTr="00986B99">
        <w:trPr>
          <w:trHeight w:val="361"/>
        </w:trPr>
        <w:tc>
          <w:tcPr>
            <w:tcW w:w="3349" w:type="pct"/>
            <w:shd w:val="clear" w:color="auto" w:fill="auto"/>
            <w:vAlign w:val="center"/>
          </w:tcPr>
          <w:p w14:paraId="62E56B9D"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165E6365" w14:textId="5D845E73" w:rsidR="00A01E85" w:rsidRPr="00ED172B" w:rsidRDefault="00860830" w:rsidP="00186420">
            <w:pPr>
              <w:jc w:val="center"/>
              <w:rPr>
                <w:rFonts w:cs="Arial"/>
                <w:color w:val="000000" w:themeColor="text1"/>
                <w:szCs w:val="16"/>
              </w:rPr>
            </w:pPr>
            <w:r w:rsidRPr="00ED172B">
              <w:rPr>
                <w:rFonts w:cs="Arial"/>
                <w:color w:val="000000" w:themeColor="text1"/>
                <w:szCs w:val="16"/>
              </w:rPr>
              <w:t>592</w:t>
            </w:r>
          </w:p>
        </w:tc>
        <w:tc>
          <w:tcPr>
            <w:tcW w:w="825" w:type="pct"/>
            <w:shd w:val="clear" w:color="auto" w:fill="auto"/>
            <w:vAlign w:val="center"/>
          </w:tcPr>
          <w:p w14:paraId="3E17C8BF" w14:textId="617A2F45" w:rsidR="00A01E85" w:rsidRPr="00ED172B" w:rsidRDefault="00860830" w:rsidP="00186420">
            <w:pPr>
              <w:jc w:val="center"/>
              <w:rPr>
                <w:rFonts w:cs="Arial"/>
                <w:color w:val="000000" w:themeColor="text1"/>
                <w:szCs w:val="16"/>
              </w:rPr>
            </w:pPr>
            <w:r w:rsidRPr="00ED172B">
              <w:rPr>
                <w:rFonts w:cs="Arial"/>
                <w:color w:val="000000" w:themeColor="text1"/>
                <w:szCs w:val="16"/>
              </w:rPr>
              <w:t>21.48%</w:t>
            </w:r>
          </w:p>
        </w:tc>
      </w:tr>
      <w:tr w:rsidR="00ED172B" w:rsidRPr="00ED172B" w14:paraId="02B90E57" w14:textId="77777777" w:rsidTr="00986B99">
        <w:trPr>
          <w:trHeight w:val="361"/>
        </w:trPr>
        <w:tc>
          <w:tcPr>
            <w:tcW w:w="3349" w:type="pct"/>
            <w:shd w:val="clear" w:color="auto" w:fill="auto"/>
            <w:vAlign w:val="center"/>
          </w:tcPr>
          <w:p w14:paraId="28D7FB17"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14:paraId="00C8597B" w14:textId="3A2842CF" w:rsidR="00A01E85" w:rsidRPr="00ED172B" w:rsidRDefault="00860830" w:rsidP="00186420">
            <w:pPr>
              <w:jc w:val="center"/>
              <w:rPr>
                <w:rFonts w:cs="Arial"/>
                <w:color w:val="000000" w:themeColor="text1"/>
                <w:szCs w:val="16"/>
              </w:rPr>
            </w:pPr>
            <w:r w:rsidRPr="00ED172B">
              <w:rPr>
                <w:rFonts w:cs="Arial"/>
                <w:color w:val="000000" w:themeColor="text1"/>
                <w:szCs w:val="16"/>
              </w:rPr>
              <w:t>1,269</w:t>
            </w:r>
          </w:p>
        </w:tc>
        <w:tc>
          <w:tcPr>
            <w:tcW w:w="825" w:type="pct"/>
            <w:shd w:val="clear" w:color="auto" w:fill="auto"/>
            <w:vAlign w:val="center"/>
          </w:tcPr>
          <w:p w14:paraId="211D7909" w14:textId="277445B5" w:rsidR="00A01E85" w:rsidRPr="00ED172B" w:rsidRDefault="00860830" w:rsidP="00186420">
            <w:pPr>
              <w:jc w:val="center"/>
              <w:rPr>
                <w:rFonts w:cs="Arial"/>
                <w:color w:val="000000" w:themeColor="text1"/>
                <w:szCs w:val="16"/>
              </w:rPr>
            </w:pPr>
            <w:r w:rsidRPr="00ED172B">
              <w:rPr>
                <w:rFonts w:cs="Arial"/>
                <w:color w:val="000000" w:themeColor="text1"/>
                <w:szCs w:val="16"/>
              </w:rPr>
              <w:t>46.04%</w:t>
            </w:r>
          </w:p>
        </w:tc>
      </w:tr>
      <w:tr w:rsidR="00ED172B" w:rsidRPr="00ED172B" w14:paraId="5FB47A28" w14:textId="77777777" w:rsidTr="00986B99">
        <w:trPr>
          <w:trHeight w:val="361"/>
        </w:trPr>
        <w:tc>
          <w:tcPr>
            <w:tcW w:w="3349" w:type="pct"/>
            <w:shd w:val="clear" w:color="auto" w:fill="auto"/>
            <w:vAlign w:val="center"/>
          </w:tcPr>
          <w:p w14:paraId="1067C3D6"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77D0A89E" w14:textId="3597E1A8" w:rsidR="00A01E85" w:rsidRPr="00ED172B" w:rsidRDefault="00860830" w:rsidP="00186420">
            <w:pPr>
              <w:jc w:val="center"/>
              <w:rPr>
                <w:rFonts w:cs="Arial"/>
                <w:color w:val="000000" w:themeColor="text1"/>
                <w:szCs w:val="16"/>
              </w:rPr>
            </w:pPr>
            <w:r w:rsidRPr="00ED172B">
              <w:rPr>
                <w:rFonts w:cs="Arial"/>
                <w:color w:val="000000" w:themeColor="text1"/>
                <w:szCs w:val="16"/>
              </w:rPr>
              <w:t>641</w:t>
            </w:r>
          </w:p>
        </w:tc>
        <w:tc>
          <w:tcPr>
            <w:tcW w:w="825" w:type="pct"/>
            <w:shd w:val="clear" w:color="auto" w:fill="auto"/>
            <w:vAlign w:val="center"/>
          </w:tcPr>
          <w:p w14:paraId="1AE1B39E" w14:textId="32A2E9DA" w:rsidR="00A01E85" w:rsidRPr="00ED172B" w:rsidRDefault="00860830" w:rsidP="00186420">
            <w:pPr>
              <w:jc w:val="center"/>
              <w:rPr>
                <w:rFonts w:cs="Arial"/>
                <w:color w:val="000000" w:themeColor="text1"/>
                <w:szCs w:val="16"/>
              </w:rPr>
            </w:pPr>
            <w:r w:rsidRPr="00ED172B">
              <w:rPr>
                <w:rFonts w:cs="Arial"/>
                <w:color w:val="000000" w:themeColor="text1"/>
                <w:szCs w:val="16"/>
              </w:rPr>
              <w:t>23.26%</w:t>
            </w:r>
          </w:p>
        </w:tc>
      </w:tr>
      <w:tr w:rsidR="00ED172B" w:rsidRPr="00ED172B" w14:paraId="15B5829C" w14:textId="77777777" w:rsidTr="00986B99">
        <w:trPr>
          <w:trHeight w:val="361"/>
        </w:trPr>
        <w:tc>
          <w:tcPr>
            <w:tcW w:w="3349" w:type="pct"/>
            <w:shd w:val="clear" w:color="auto" w:fill="auto"/>
            <w:vAlign w:val="center"/>
          </w:tcPr>
          <w:p w14:paraId="29BF2E7E"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26676913" w14:textId="1EB8B76F" w:rsidR="00A01E85" w:rsidRPr="00ED172B" w:rsidRDefault="00860830" w:rsidP="00186420">
            <w:pPr>
              <w:jc w:val="center"/>
              <w:rPr>
                <w:rFonts w:cs="Arial"/>
                <w:color w:val="000000" w:themeColor="text1"/>
                <w:szCs w:val="16"/>
              </w:rPr>
            </w:pPr>
            <w:r w:rsidRPr="00ED172B">
              <w:rPr>
                <w:rFonts w:cs="Arial"/>
                <w:color w:val="000000" w:themeColor="text1"/>
                <w:szCs w:val="16"/>
              </w:rPr>
              <w:t>220</w:t>
            </w:r>
          </w:p>
        </w:tc>
        <w:tc>
          <w:tcPr>
            <w:tcW w:w="825" w:type="pct"/>
            <w:shd w:val="clear" w:color="auto" w:fill="auto"/>
            <w:vAlign w:val="center"/>
          </w:tcPr>
          <w:p w14:paraId="6836B473" w14:textId="2EF21368" w:rsidR="00A01E85" w:rsidRPr="00ED172B" w:rsidRDefault="00860830" w:rsidP="00186420">
            <w:pPr>
              <w:jc w:val="center"/>
              <w:rPr>
                <w:rFonts w:cs="Arial"/>
                <w:color w:val="000000" w:themeColor="text1"/>
                <w:szCs w:val="16"/>
              </w:rPr>
            </w:pPr>
            <w:r w:rsidRPr="00ED172B">
              <w:rPr>
                <w:rFonts w:cs="Arial"/>
                <w:color w:val="000000" w:themeColor="text1"/>
                <w:szCs w:val="16"/>
              </w:rPr>
              <w:t>7.98%</w:t>
            </w:r>
          </w:p>
        </w:tc>
      </w:tr>
    </w:tbl>
    <w:p w14:paraId="6F60648C" w14:textId="098B2134" w:rsidR="0084029E" w:rsidRPr="00ED172B" w:rsidRDefault="0084029E" w:rsidP="0084029E">
      <w:pPr>
        <w:rPr>
          <w:rFonts w:cs="Arial"/>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6"/>
      </w:tblPr>
      <w:tblGrid>
        <w:gridCol w:w="7015"/>
        <w:gridCol w:w="1800"/>
        <w:gridCol w:w="1975"/>
      </w:tblGrid>
      <w:tr w:rsidR="00ED172B" w:rsidRPr="00ED172B" w14:paraId="55E19B8F" w14:textId="77777777" w:rsidTr="00986B99">
        <w:trPr>
          <w:trHeight w:val="361"/>
          <w:tblHeader/>
        </w:trPr>
        <w:tc>
          <w:tcPr>
            <w:tcW w:w="3251" w:type="pct"/>
            <w:shd w:val="clear" w:color="auto" w:fill="auto"/>
            <w:vAlign w:val="center"/>
          </w:tcPr>
          <w:p w14:paraId="41A5A3CA" w14:textId="145A6157" w:rsidR="0084029E" w:rsidRPr="00ED172B" w:rsidRDefault="0084029E" w:rsidP="0084029E">
            <w:pPr>
              <w:rPr>
                <w:rFonts w:cs="Arial"/>
                <w:color w:val="000000" w:themeColor="text1"/>
                <w:szCs w:val="16"/>
              </w:rPr>
            </w:pPr>
            <w:r w:rsidRPr="00ED172B">
              <w:rPr>
                <w:rFonts w:cs="Arial"/>
                <w:b/>
                <w:color w:val="000000" w:themeColor="text1"/>
                <w:szCs w:val="16"/>
              </w:rPr>
              <w:t>Just at-risk infants and toddlers/All infants and toddlers</w:t>
            </w:r>
          </w:p>
        </w:tc>
        <w:tc>
          <w:tcPr>
            <w:tcW w:w="834" w:type="pct"/>
            <w:shd w:val="clear" w:color="auto" w:fill="auto"/>
            <w:vAlign w:val="center"/>
          </w:tcPr>
          <w:p w14:paraId="0A896609"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Number of Children</w:t>
            </w:r>
          </w:p>
        </w:tc>
        <w:tc>
          <w:tcPr>
            <w:tcW w:w="915" w:type="pct"/>
            <w:shd w:val="clear" w:color="auto" w:fill="auto"/>
            <w:vAlign w:val="center"/>
          </w:tcPr>
          <w:p w14:paraId="541C1F17" w14:textId="77777777" w:rsidR="0084029E" w:rsidRPr="00ED172B" w:rsidRDefault="0084029E" w:rsidP="00186420">
            <w:pPr>
              <w:jc w:val="center"/>
              <w:rPr>
                <w:rFonts w:cs="Arial"/>
                <w:b/>
                <w:color w:val="000000" w:themeColor="text1"/>
                <w:szCs w:val="16"/>
              </w:rPr>
            </w:pPr>
            <w:r w:rsidRPr="00ED172B">
              <w:rPr>
                <w:rFonts w:cs="Arial"/>
                <w:b/>
                <w:color w:val="000000" w:themeColor="text1"/>
                <w:szCs w:val="16"/>
              </w:rPr>
              <w:t>Percentage of Total</w:t>
            </w:r>
          </w:p>
        </w:tc>
      </w:tr>
      <w:tr w:rsidR="00ED172B" w:rsidRPr="00ED172B" w14:paraId="73022466" w14:textId="77777777" w:rsidTr="00986B99">
        <w:trPr>
          <w:trHeight w:val="361"/>
        </w:trPr>
        <w:tc>
          <w:tcPr>
            <w:tcW w:w="3251" w:type="pct"/>
            <w:shd w:val="clear" w:color="auto" w:fill="auto"/>
            <w:vAlign w:val="center"/>
          </w:tcPr>
          <w:p w14:paraId="4B198D7F"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34" w:type="pct"/>
            <w:shd w:val="clear" w:color="auto" w:fill="auto"/>
            <w:vAlign w:val="center"/>
          </w:tcPr>
          <w:p w14:paraId="2E562518" w14:textId="37B0C190" w:rsidR="00A01E85"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915" w:type="pct"/>
            <w:shd w:val="clear" w:color="auto" w:fill="auto"/>
            <w:vAlign w:val="center"/>
          </w:tcPr>
          <w:p w14:paraId="39D9C909" w14:textId="47A0A632" w:rsidR="00A01E85" w:rsidRPr="00ED172B" w:rsidRDefault="00860830" w:rsidP="00186420">
            <w:pPr>
              <w:jc w:val="center"/>
              <w:rPr>
                <w:rFonts w:cs="Arial"/>
                <w:color w:val="000000" w:themeColor="text1"/>
                <w:szCs w:val="16"/>
              </w:rPr>
            </w:pPr>
            <w:r w:rsidRPr="00ED172B">
              <w:rPr>
                <w:rFonts w:cs="Arial"/>
                <w:color w:val="000000" w:themeColor="text1"/>
                <w:szCs w:val="16"/>
              </w:rPr>
              <w:t>0.00%</w:t>
            </w:r>
          </w:p>
        </w:tc>
      </w:tr>
      <w:tr w:rsidR="00ED172B" w:rsidRPr="00ED172B" w14:paraId="3A408967" w14:textId="77777777" w:rsidTr="00986B99">
        <w:trPr>
          <w:trHeight w:val="361"/>
        </w:trPr>
        <w:tc>
          <w:tcPr>
            <w:tcW w:w="3251" w:type="pct"/>
            <w:shd w:val="clear" w:color="auto" w:fill="auto"/>
            <w:vAlign w:val="center"/>
          </w:tcPr>
          <w:p w14:paraId="343B5DDC"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34" w:type="pct"/>
            <w:shd w:val="clear" w:color="auto" w:fill="auto"/>
            <w:vAlign w:val="center"/>
          </w:tcPr>
          <w:p w14:paraId="648C7DB0" w14:textId="2F61E927" w:rsidR="00A01E85"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915" w:type="pct"/>
            <w:shd w:val="clear" w:color="auto" w:fill="auto"/>
            <w:vAlign w:val="center"/>
          </w:tcPr>
          <w:p w14:paraId="7CBEAEB0" w14:textId="305F9843" w:rsidR="00A01E85" w:rsidRPr="00ED172B" w:rsidRDefault="00860830" w:rsidP="00186420">
            <w:pPr>
              <w:jc w:val="center"/>
              <w:rPr>
                <w:rFonts w:cs="Arial"/>
                <w:color w:val="000000" w:themeColor="text1"/>
                <w:szCs w:val="16"/>
              </w:rPr>
            </w:pPr>
            <w:r w:rsidRPr="00ED172B">
              <w:rPr>
                <w:rFonts w:cs="Arial"/>
                <w:color w:val="000000" w:themeColor="text1"/>
                <w:szCs w:val="16"/>
              </w:rPr>
              <w:t>0.00%</w:t>
            </w:r>
          </w:p>
        </w:tc>
      </w:tr>
      <w:tr w:rsidR="00ED172B" w:rsidRPr="00ED172B" w14:paraId="7E74A98F" w14:textId="77777777" w:rsidTr="00986B99">
        <w:trPr>
          <w:trHeight w:val="361"/>
        </w:trPr>
        <w:tc>
          <w:tcPr>
            <w:tcW w:w="3251" w:type="pct"/>
            <w:shd w:val="clear" w:color="auto" w:fill="auto"/>
            <w:vAlign w:val="center"/>
          </w:tcPr>
          <w:p w14:paraId="58E40ACF"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34" w:type="pct"/>
            <w:shd w:val="clear" w:color="auto" w:fill="auto"/>
            <w:vAlign w:val="center"/>
          </w:tcPr>
          <w:p w14:paraId="3F7F9199" w14:textId="5A3A501D" w:rsidR="00A01E85" w:rsidRPr="00ED172B" w:rsidRDefault="00860830" w:rsidP="00186420">
            <w:pPr>
              <w:jc w:val="center"/>
              <w:rPr>
                <w:rFonts w:cs="Arial"/>
                <w:color w:val="000000" w:themeColor="text1"/>
                <w:szCs w:val="16"/>
              </w:rPr>
            </w:pPr>
            <w:r w:rsidRPr="00ED172B">
              <w:rPr>
                <w:rFonts w:cs="Arial"/>
                <w:color w:val="000000" w:themeColor="text1"/>
                <w:szCs w:val="16"/>
              </w:rPr>
              <w:t>3</w:t>
            </w:r>
          </w:p>
        </w:tc>
        <w:tc>
          <w:tcPr>
            <w:tcW w:w="915" w:type="pct"/>
            <w:shd w:val="clear" w:color="auto" w:fill="auto"/>
            <w:vAlign w:val="center"/>
          </w:tcPr>
          <w:p w14:paraId="1C0171BA" w14:textId="5E6108C5" w:rsidR="00A01E85" w:rsidRPr="00ED172B" w:rsidRDefault="00860830" w:rsidP="00186420">
            <w:pPr>
              <w:jc w:val="center"/>
              <w:rPr>
                <w:rFonts w:cs="Arial"/>
                <w:color w:val="000000" w:themeColor="text1"/>
                <w:szCs w:val="16"/>
              </w:rPr>
            </w:pPr>
            <w:r w:rsidRPr="00ED172B">
              <w:rPr>
                <w:rFonts w:cs="Arial"/>
                <w:color w:val="000000" w:themeColor="text1"/>
                <w:szCs w:val="16"/>
              </w:rPr>
              <w:t>6.52%</w:t>
            </w:r>
          </w:p>
        </w:tc>
      </w:tr>
      <w:tr w:rsidR="00ED172B" w:rsidRPr="00ED172B" w14:paraId="29810E40" w14:textId="77777777" w:rsidTr="00986B99">
        <w:trPr>
          <w:trHeight w:val="361"/>
        </w:trPr>
        <w:tc>
          <w:tcPr>
            <w:tcW w:w="3251" w:type="pct"/>
            <w:shd w:val="clear" w:color="auto" w:fill="auto"/>
            <w:vAlign w:val="center"/>
          </w:tcPr>
          <w:p w14:paraId="5C99CD9B"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34" w:type="pct"/>
            <w:shd w:val="clear" w:color="auto" w:fill="auto"/>
            <w:vAlign w:val="center"/>
          </w:tcPr>
          <w:p w14:paraId="13719A7D" w14:textId="0A20454D" w:rsidR="00A01E85" w:rsidRPr="00ED172B" w:rsidRDefault="00860830" w:rsidP="00186420">
            <w:pPr>
              <w:jc w:val="center"/>
              <w:rPr>
                <w:rFonts w:cs="Arial"/>
                <w:color w:val="000000" w:themeColor="text1"/>
                <w:szCs w:val="16"/>
              </w:rPr>
            </w:pPr>
            <w:r w:rsidRPr="00ED172B">
              <w:rPr>
                <w:rFonts w:cs="Arial"/>
                <w:color w:val="000000" w:themeColor="text1"/>
                <w:szCs w:val="16"/>
              </w:rPr>
              <w:t>36</w:t>
            </w:r>
          </w:p>
        </w:tc>
        <w:tc>
          <w:tcPr>
            <w:tcW w:w="915" w:type="pct"/>
            <w:shd w:val="clear" w:color="auto" w:fill="auto"/>
            <w:vAlign w:val="center"/>
          </w:tcPr>
          <w:p w14:paraId="08406576" w14:textId="4B9A63E1" w:rsidR="00A01E85" w:rsidRPr="00ED172B" w:rsidRDefault="00860830" w:rsidP="00186420">
            <w:pPr>
              <w:jc w:val="center"/>
              <w:rPr>
                <w:rFonts w:cs="Arial"/>
                <w:color w:val="000000" w:themeColor="text1"/>
                <w:szCs w:val="16"/>
              </w:rPr>
            </w:pPr>
            <w:r w:rsidRPr="00ED172B">
              <w:rPr>
                <w:rFonts w:cs="Arial"/>
                <w:color w:val="000000" w:themeColor="text1"/>
                <w:szCs w:val="16"/>
              </w:rPr>
              <w:t>78.26%</w:t>
            </w:r>
          </w:p>
        </w:tc>
      </w:tr>
      <w:tr w:rsidR="00ED172B" w:rsidRPr="00ED172B" w14:paraId="05C44C74" w14:textId="77777777" w:rsidTr="00986B99">
        <w:trPr>
          <w:trHeight w:val="361"/>
        </w:trPr>
        <w:tc>
          <w:tcPr>
            <w:tcW w:w="3251" w:type="pct"/>
            <w:shd w:val="clear" w:color="auto" w:fill="auto"/>
            <w:vAlign w:val="center"/>
          </w:tcPr>
          <w:p w14:paraId="570C716F"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34" w:type="pct"/>
            <w:shd w:val="clear" w:color="auto" w:fill="auto"/>
            <w:vAlign w:val="center"/>
          </w:tcPr>
          <w:p w14:paraId="13689468" w14:textId="130F4982" w:rsidR="00A01E85" w:rsidRPr="00ED172B" w:rsidRDefault="00860830" w:rsidP="00186420">
            <w:pPr>
              <w:jc w:val="center"/>
              <w:rPr>
                <w:rFonts w:cs="Arial"/>
                <w:color w:val="000000" w:themeColor="text1"/>
                <w:szCs w:val="16"/>
              </w:rPr>
            </w:pPr>
            <w:r w:rsidRPr="00ED172B">
              <w:rPr>
                <w:rFonts w:cs="Arial"/>
                <w:color w:val="000000" w:themeColor="text1"/>
                <w:szCs w:val="16"/>
              </w:rPr>
              <w:t>7</w:t>
            </w:r>
          </w:p>
        </w:tc>
        <w:tc>
          <w:tcPr>
            <w:tcW w:w="915" w:type="pct"/>
            <w:shd w:val="clear" w:color="auto" w:fill="auto"/>
            <w:vAlign w:val="center"/>
          </w:tcPr>
          <w:p w14:paraId="2E120E88" w14:textId="7CF6814E" w:rsidR="00A01E85" w:rsidRPr="00ED172B" w:rsidRDefault="00860830" w:rsidP="00186420">
            <w:pPr>
              <w:jc w:val="center"/>
              <w:rPr>
                <w:rFonts w:cs="Arial"/>
                <w:color w:val="000000" w:themeColor="text1"/>
                <w:szCs w:val="16"/>
              </w:rPr>
            </w:pPr>
            <w:r w:rsidRPr="00ED172B">
              <w:rPr>
                <w:rFonts w:cs="Arial"/>
                <w:color w:val="000000" w:themeColor="text1"/>
                <w:szCs w:val="16"/>
              </w:rPr>
              <w:t>15.22%</w:t>
            </w:r>
          </w:p>
        </w:tc>
      </w:tr>
    </w:tbl>
    <w:p w14:paraId="12903749" w14:textId="77777777" w:rsidR="0084029E" w:rsidRPr="00ED172B" w:rsidRDefault="0084029E" w:rsidP="0084029E">
      <w:pPr>
        <w:rPr>
          <w:rFonts w:cs="Arial"/>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7"/>
      </w:tblPr>
      <w:tblGrid>
        <w:gridCol w:w="2335"/>
        <w:gridCol w:w="1260"/>
        <w:gridCol w:w="1260"/>
        <w:gridCol w:w="1349"/>
        <w:gridCol w:w="1351"/>
        <w:gridCol w:w="1079"/>
        <w:gridCol w:w="1172"/>
        <w:gridCol w:w="984"/>
      </w:tblGrid>
      <w:tr w:rsidR="00ED172B" w:rsidRPr="00ED172B" w14:paraId="59748C4D" w14:textId="77777777" w:rsidTr="00986B99">
        <w:trPr>
          <w:tblHeader/>
        </w:trPr>
        <w:tc>
          <w:tcPr>
            <w:tcW w:w="1082" w:type="pct"/>
            <w:shd w:val="clear" w:color="auto" w:fill="auto"/>
            <w:vAlign w:val="bottom"/>
          </w:tcPr>
          <w:p w14:paraId="5FFE52CE" w14:textId="14F5EA8C" w:rsidR="00743466" w:rsidRPr="00ED172B" w:rsidRDefault="00743466" w:rsidP="00B83404">
            <w:pPr>
              <w:rPr>
                <w:b/>
                <w:color w:val="000000" w:themeColor="text1"/>
              </w:rPr>
            </w:pPr>
            <w:r w:rsidRPr="00ED172B">
              <w:rPr>
                <w:b/>
                <w:color w:val="000000" w:themeColor="text1"/>
              </w:rPr>
              <w:t>Not including at-risk infants and toddlers</w:t>
            </w:r>
          </w:p>
        </w:tc>
        <w:tc>
          <w:tcPr>
            <w:tcW w:w="584" w:type="pct"/>
            <w:shd w:val="clear" w:color="auto" w:fill="auto"/>
            <w:vAlign w:val="bottom"/>
          </w:tcPr>
          <w:p w14:paraId="3ABBA418"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4B92FED7"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5" w:type="pct"/>
            <w:shd w:val="clear" w:color="auto" w:fill="auto"/>
            <w:vAlign w:val="bottom"/>
          </w:tcPr>
          <w:p w14:paraId="61475AF1" w14:textId="4EBC0AFB" w:rsidR="00743466" w:rsidRPr="00ED172B" w:rsidRDefault="00CD74B5" w:rsidP="00743466">
            <w:pPr>
              <w:keepNext/>
              <w:jc w:val="center"/>
              <w:rPr>
                <w:rFonts w:cs="Arial"/>
                <w:b/>
                <w:color w:val="000000" w:themeColor="text1"/>
                <w:szCs w:val="16"/>
              </w:rPr>
            </w:pPr>
            <w:r>
              <w:rPr>
                <w:rFonts w:cs="Arial"/>
                <w:b/>
                <w:color w:val="000000" w:themeColor="text1"/>
                <w:szCs w:val="16"/>
              </w:rPr>
              <w:t>FFY 2020 Data</w:t>
            </w:r>
          </w:p>
        </w:tc>
        <w:tc>
          <w:tcPr>
            <w:tcW w:w="626" w:type="pct"/>
            <w:shd w:val="clear" w:color="auto" w:fill="auto"/>
            <w:vAlign w:val="bottom"/>
          </w:tcPr>
          <w:p w14:paraId="0978AB6B" w14:textId="1EFE252A" w:rsidR="00743466" w:rsidRPr="00ED172B" w:rsidRDefault="00F22D09" w:rsidP="00743466">
            <w:pPr>
              <w:keepNext/>
              <w:jc w:val="center"/>
              <w:rPr>
                <w:rFonts w:cs="Arial"/>
                <w:b/>
                <w:color w:val="000000" w:themeColor="text1"/>
                <w:szCs w:val="16"/>
              </w:rPr>
            </w:pPr>
            <w:r>
              <w:rPr>
                <w:rFonts w:cs="Arial"/>
                <w:b/>
                <w:color w:val="000000" w:themeColor="text1"/>
                <w:szCs w:val="16"/>
              </w:rPr>
              <w:t>FFY 2021 Target</w:t>
            </w:r>
          </w:p>
        </w:tc>
        <w:tc>
          <w:tcPr>
            <w:tcW w:w="500" w:type="pct"/>
            <w:shd w:val="clear" w:color="auto" w:fill="auto"/>
            <w:vAlign w:val="bottom"/>
          </w:tcPr>
          <w:p w14:paraId="7554CF81" w14:textId="16E477E7" w:rsidR="00743466" w:rsidRPr="00ED172B" w:rsidRDefault="00F22D09" w:rsidP="00743466">
            <w:pPr>
              <w:keepNext/>
              <w:jc w:val="center"/>
              <w:rPr>
                <w:rFonts w:cs="Arial"/>
                <w:b/>
                <w:color w:val="000000" w:themeColor="text1"/>
                <w:szCs w:val="16"/>
              </w:rPr>
            </w:pPr>
            <w:r>
              <w:rPr>
                <w:rFonts w:cs="Arial"/>
                <w:b/>
                <w:color w:val="000000" w:themeColor="text1"/>
                <w:szCs w:val="16"/>
              </w:rPr>
              <w:t>FFY 2021 Data</w:t>
            </w:r>
          </w:p>
        </w:tc>
        <w:tc>
          <w:tcPr>
            <w:tcW w:w="543" w:type="pct"/>
            <w:shd w:val="clear" w:color="auto" w:fill="auto"/>
            <w:vAlign w:val="bottom"/>
          </w:tcPr>
          <w:p w14:paraId="51A98B70"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6" w:type="pct"/>
            <w:shd w:val="clear" w:color="auto" w:fill="auto"/>
            <w:vAlign w:val="bottom"/>
          </w:tcPr>
          <w:p w14:paraId="70572006"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2F1207AF" w14:textId="77777777" w:rsidTr="00986B99">
        <w:tc>
          <w:tcPr>
            <w:tcW w:w="1082" w:type="pct"/>
            <w:shd w:val="clear" w:color="auto" w:fill="auto"/>
          </w:tcPr>
          <w:p w14:paraId="67374534" w14:textId="6D5947C9" w:rsidR="00A01E85" w:rsidRPr="00ED172B" w:rsidRDefault="00A01E85" w:rsidP="00A01E85">
            <w:pPr>
              <w:rPr>
                <w:rFonts w:cs="Arial"/>
                <w:color w:val="000000" w:themeColor="text1"/>
                <w:szCs w:val="16"/>
              </w:rPr>
            </w:pPr>
            <w:r w:rsidRPr="00ED172B">
              <w:rPr>
                <w:rFonts w:cs="Arial"/>
                <w:color w:val="000000" w:themeColor="text1"/>
                <w:szCs w:val="16"/>
              </w:rPr>
              <w:t xml:space="preserve">B1. Of those children who entered or exited the program below age expectations in Outcome B, the percent who substantially increased their rate of growth by the time </w:t>
            </w:r>
            <w:r w:rsidRPr="00ED172B">
              <w:rPr>
                <w:rFonts w:cs="Arial"/>
                <w:color w:val="000000" w:themeColor="text1"/>
                <w:szCs w:val="16"/>
              </w:rPr>
              <w:lastRenderedPageBreak/>
              <w:t>they turned 3 years of age or exited the program</w:t>
            </w:r>
          </w:p>
        </w:tc>
        <w:tc>
          <w:tcPr>
            <w:tcW w:w="584" w:type="pct"/>
            <w:shd w:val="clear" w:color="auto" w:fill="auto"/>
            <w:vAlign w:val="center"/>
          </w:tcPr>
          <w:p w14:paraId="4E66D6EC" w14:textId="17ADD3FC"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lastRenderedPageBreak/>
              <w:t>1,910</w:t>
            </w:r>
          </w:p>
        </w:tc>
        <w:tc>
          <w:tcPr>
            <w:tcW w:w="584" w:type="pct"/>
            <w:shd w:val="clear" w:color="auto" w:fill="auto"/>
            <w:vAlign w:val="center"/>
          </w:tcPr>
          <w:p w14:paraId="5A4FFF50" w14:textId="54850FE2"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2,536</w:t>
            </w:r>
          </w:p>
        </w:tc>
        <w:tc>
          <w:tcPr>
            <w:tcW w:w="625" w:type="pct"/>
            <w:shd w:val="clear" w:color="auto" w:fill="auto"/>
            <w:vAlign w:val="center"/>
          </w:tcPr>
          <w:p w14:paraId="4A028943" w14:textId="36186E9F" w:rsidR="00A01E85" w:rsidRPr="00ED172B" w:rsidRDefault="00860830" w:rsidP="00A01E85">
            <w:pPr>
              <w:jc w:val="center"/>
              <w:rPr>
                <w:rFonts w:cs="Arial"/>
                <w:color w:val="000000" w:themeColor="text1"/>
                <w:szCs w:val="16"/>
              </w:rPr>
            </w:pPr>
            <w:r w:rsidRPr="00ED172B">
              <w:rPr>
                <w:rFonts w:cs="Arial"/>
                <w:color w:val="000000" w:themeColor="text1"/>
                <w:szCs w:val="16"/>
              </w:rPr>
              <w:t>77.63%</w:t>
            </w:r>
          </w:p>
        </w:tc>
        <w:tc>
          <w:tcPr>
            <w:tcW w:w="626" w:type="pct"/>
            <w:shd w:val="clear" w:color="auto" w:fill="auto"/>
            <w:vAlign w:val="center"/>
          </w:tcPr>
          <w:p w14:paraId="5E58AA14" w14:textId="2A0678D1" w:rsidR="00A01E85" w:rsidRPr="00ED172B" w:rsidRDefault="001E39E3" w:rsidP="001E39E3">
            <w:pPr>
              <w:jc w:val="center"/>
              <w:rPr>
                <w:color w:val="000000" w:themeColor="text1"/>
              </w:rPr>
            </w:pPr>
            <w:r w:rsidRPr="00ED172B">
              <w:rPr>
                <w:color w:val="000000" w:themeColor="text1"/>
              </w:rPr>
              <w:t>88.10%</w:t>
            </w:r>
          </w:p>
        </w:tc>
        <w:tc>
          <w:tcPr>
            <w:tcW w:w="500" w:type="pct"/>
            <w:shd w:val="clear" w:color="auto" w:fill="auto"/>
            <w:vAlign w:val="center"/>
          </w:tcPr>
          <w:p w14:paraId="0A8199D6" w14:textId="27A7B7E0" w:rsidR="00A01E85" w:rsidRPr="00ED172B" w:rsidRDefault="00860830" w:rsidP="00A01E85">
            <w:pPr>
              <w:jc w:val="center"/>
              <w:rPr>
                <w:rFonts w:cs="Arial"/>
                <w:color w:val="000000" w:themeColor="text1"/>
                <w:szCs w:val="16"/>
              </w:rPr>
            </w:pPr>
            <w:r w:rsidRPr="00ED172B">
              <w:rPr>
                <w:rFonts w:cs="Arial"/>
                <w:color w:val="000000" w:themeColor="text1"/>
                <w:szCs w:val="16"/>
              </w:rPr>
              <w:t>75.32%</w:t>
            </w:r>
          </w:p>
        </w:tc>
        <w:tc>
          <w:tcPr>
            <w:tcW w:w="543" w:type="pct"/>
            <w:shd w:val="clear" w:color="auto" w:fill="auto"/>
            <w:vAlign w:val="center"/>
          </w:tcPr>
          <w:p w14:paraId="28F74EAE" w14:textId="5C61405E"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14:paraId="32923BEF" w14:textId="09781E6B" w:rsidR="00A01E85" w:rsidRPr="00ED172B" w:rsidRDefault="00860830" w:rsidP="00A01E85">
            <w:pPr>
              <w:jc w:val="center"/>
              <w:rPr>
                <w:rFonts w:cs="Arial"/>
                <w:color w:val="000000" w:themeColor="text1"/>
                <w:szCs w:val="16"/>
              </w:rPr>
            </w:pPr>
            <w:r w:rsidRPr="00ED172B">
              <w:rPr>
                <w:rFonts w:cs="Arial"/>
                <w:color w:val="000000" w:themeColor="text1"/>
                <w:szCs w:val="16"/>
              </w:rPr>
              <w:t>Slippage</w:t>
            </w:r>
          </w:p>
        </w:tc>
      </w:tr>
      <w:tr w:rsidR="00ED172B" w:rsidRPr="00ED172B" w14:paraId="621DC5E2" w14:textId="77777777" w:rsidTr="00986B99">
        <w:tc>
          <w:tcPr>
            <w:tcW w:w="1082" w:type="pct"/>
            <w:shd w:val="clear" w:color="auto" w:fill="auto"/>
          </w:tcPr>
          <w:p w14:paraId="61BD7F77" w14:textId="078E2F06" w:rsidR="00A01E85" w:rsidRPr="00ED172B" w:rsidRDefault="00A01E85" w:rsidP="00A01E85">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shd w:val="clear" w:color="auto" w:fill="auto"/>
            <w:vAlign w:val="center"/>
          </w:tcPr>
          <w:p w14:paraId="3DCFEF97" w14:textId="3B20FCE3"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861</w:t>
            </w:r>
          </w:p>
        </w:tc>
        <w:tc>
          <w:tcPr>
            <w:tcW w:w="584" w:type="pct"/>
            <w:shd w:val="clear" w:color="auto" w:fill="auto"/>
            <w:vAlign w:val="center"/>
          </w:tcPr>
          <w:p w14:paraId="6D275B41" w14:textId="3BEDD988"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2,756</w:t>
            </w:r>
          </w:p>
        </w:tc>
        <w:tc>
          <w:tcPr>
            <w:tcW w:w="625" w:type="pct"/>
            <w:shd w:val="clear" w:color="auto" w:fill="auto"/>
            <w:vAlign w:val="center"/>
          </w:tcPr>
          <w:p w14:paraId="19E4BFEE" w14:textId="74887F6A" w:rsidR="00A01E85" w:rsidRPr="00ED172B" w:rsidRDefault="00860830" w:rsidP="00A01E85">
            <w:pPr>
              <w:jc w:val="center"/>
              <w:rPr>
                <w:rFonts w:cs="Arial"/>
                <w:color w:val="000000" w:themeColor="text1"/>
                <w:szCs w:val="16"/>
              </w:rPr>
            </w:pPr>
            <w:r w:rsidRPr="00ED172B">
              <w:rPr>
                <w:rFonts w:cs="Arial"/>
                <w:color w:val="000000" w:themeColor="text1"/>
                <w:szCs w:val="16"/>
              </w:rPr>
              <w:t>19.89%</w:t>
            </w:r>
          </w:p>
        </w:tc>
        <w:tc>
          <w:tcPr>
            <w:tcW w:w="626" w:type="pct"/>
            <w:shd w:val="clear" w:color="auto" w:fill="auto"/>
            <w:vAlign w:val="center"/>
          </w:tcPr>
          <w:p w14:paraId="77A3D5EA" w14:textId="2D2C411D" w:rsidR="00A01E85" w:rsidRPr="00ED172B" w:rsidRDefault="001E39E3" w:rsidP="001E39E3">
            <w:pPr>
              <w:jc w:val="center"/>
              <w:rPr>
                <w:color w:val="000000" w:themeColor="text1"/>
              </w:rPr>
            </w:pPr>
            <w:r w:rsidRPr="00ED172B">
              <w:rPr>
                <w:color w:val="000000" w:themeColor="text1"/>
              </w:rPr>
              <w:t>52.00%</w:t>
            </w:r>
          </w:p>
        </w:tc>
        <w:tc>
          <w:tcPr>
            <w:tcW w:w="500" w:type="pct"/>
            <w:shd w:val="clear" w:color="auto" w:fill="auto"/>
            <w:vAlign w:val="center"/>
          </w:tcPr>
          <w:p w14:paraId="635264A5" w14:textId="47635B5F" w:rsidR="00A01E85" w:rsidRPr="00ED172B" w:rsidRDefault="00860830" w:rsidP="00A01E85">
            <w:pPr>
              <w:jc w:val="center"/>
              <w:rPr>
                <w:rFonts w:cs="Arial"/>
                <w:color w:val="000000" w:themeColor="text1"/>
                <w:szCs w:val="16"/>
              </w:rPr>
            </w:pPr>
            <w:r w:rsidRPr="00ED172B">
              <w:rPr>
                <w:rFonts w:cs="Arial"/>
                <w:color w:val="000000" w:themeColor="text1"/>
                <w:szCs w:val="16"/>
              </w:rPr>
              <w:t>31.24%</w:t>
            </w:r>
          </w:p>
        </w:tc>
        <w:tc>
          <w:tcPr>
            <w:tcW w:w="543" w:type="pct"/>
            <w:shd w:val="clear" w:color="auto" w:fill="auto"/>
            <w:vAlign w:val="center"/>
          </w:tcPr>
          <w:p w14:paraId="6AEC0AD8" w14:textId="47D0C390"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14:paraId="7C68F8CD" w14:textId="122AA1F5"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bl>
    <w:p w14:paraId="20A5E901" w14:textId="53AFAA99" w:rsidR="00A01E85" w:rsidRPr="00ED172B" w:rsidRDefault="00A01E85" w:rsidP="00A01E85">
      <w:pPr>
        <w:rPr>
          <w:rFonts w:cs="Arial"/>
          <w:b/>
          <w:i/>
          <w:color w:val="000000" w:themeColor="text1"/>
          <w:szCs w:val="16"/>
        </w:rPr>
      </w:pPr>
      <w:r w:rsidRPr="00ED172B">
        <w:rPr>
          <w:b/>
          <w:color w:val="000000" w:themeColor="text1"/>
        </w:rPr>
        <w:t>Provide reasons for B1 slippage, if applicable</w:t>
      </w:r>
      <w:r w:rsidRPr="00ED172B">
        <w:rPr>
          <w:rFonts w:cs="Arial"/>
          <w:b/>
          <w:color w:val="000000" w:themeColor="text1"/>
          <w:szCs w:val="16"/>
        </w:rPr>
        <w:t xml:space="preserve"> </w:t>
      </w:r>
    </w:p>
    <w:p w14:paraId="17E8971E" w14:textId="636BADDC" w:rsidR="00A01E85" w:rsidRDefault="001E39E3" w:rsidP="001E39E3">
      <w:pPr>
        <w:rPr>
          <w:color w:val="000000" w:themeColor="text1"/>
        </w:rPr>
      </w:pPr>
      <w:r w:rsidRPr="00ED172B">
        <w:rPr>
          <w:color w:val="000000" w:themeColor="text1"/>
        </w:rPr>
        <w:t>MA-C observed slippage in two outcome areas: Child Outcome A: Summery Statement 2, Child Outcome B: Summary Statement 1. MA-C analyzed data using the meaningful difference calculator (template available at https://ectacenter.org/eco/pages/childoutcomes-calc.asp) and sought out anecdotal data to identify the cause of slippage. Through the course of the analysis, it became apparent that COVID had a large impact on MA-C's system, including child outcomes. The prevalence of the COVID-19 Omicron variant in Massachusetts during FFY21 combined with the lack of a pediatric vaccine for infants and toddlers under the age of three, contributed to a higher degree of services being delivered via telehealth, which is not an approved mode for BDI-2 administration.</w:t>
      </w:r>
    </w:p>
    <w:p w14:paraId="5ED89657" w14:textId="77777777" w:rsidR="000D7858" w:rsidRPr="00ED172B" w:rsidRDefault="000D7858" w:rsidP="001E39E3">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8"/>
      </w:tblPr>
      <w:tblGrid>
        <w:gridCol w:w="2425"/>
        <w:gridCol w:w="1260"/>
        <w:gridCol w:w="1349"/>
        <w:gridCol w:w="1351"/>
        <w:gridCol w:w="1170"/>
        <w:gridCol w:w="1172"/>
        <w:gridCol w:w="1081"/>
        <w:gridCol w:w="982"/>
      </w:tblGrid>
      <w:tr w:rsidR="00ED172B" w:rsidRPr="00ED172B" w14:paraId="28BF044D" w14:textId="77777777" w:rsidTr="00986B99">
        <w:trPr>
          <w:tblHeader/>
        </w:trPr>
        <w:tc>
          <w:tcPr>
            <w:tcW w:w="1124" w:type="pct"/>
            <w:shd w:val="clear" w:color="auto" w:fill="auto"/>
            <w:vAlign w:val="bottom"/>
          </w:tcPr>
          <w:p w14:paraId="48004B61" w14:textId="0787F6A1" w:rsidR="00743466" w:rsidRPr="00ED172B" w:rsidRDefault="00743466" w:rsidP="00B83404">
            <w:pPr>
              <w:rPr>
                <w:b/>
                <w:color w:val="000000" w:themeColor="text1"/>
              </w:rPr>
            </w:pPr>
            <w:r w:rsidRPr="00ED172B">
              <w:rPr>
                <w:b/>
                <w:color w:val="000000" w:themeColor="text1"/>
              </w:rPr>
              <w:t>Just at-risk infants and toddlers/All infants and toddlers</w:t>
            </w:r>
          </w:p>
        </w:tc>
        <w:tc>
          <w:tcPr>
            <w:tcW w:w="584" w:type="pct"/>
            <w:shd w:val="clear" w:color="auto" w:fill="auto"/>
            <w:vAlign w:val="bottom"/>
          </w:tcPr>
          <w:p w14:paraId="4E589DCE"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14:paraId="38AAD24F"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14:paraId="0C52FED0" w14:textId="55D8A2DF" w:rsidR="00743466" w:rsidRPr="00ED172B" w:rsidRDefault="00CD74B5" w:rsidP="00743466">
            <w:pPr>
              <w:keepNext/>
              <w:jc w:val="center"/>
              <w:rPr>
                <w:rFonts w:cs="Arial"/>
                <w:b/>
                <w:color w:val="000000" w:themeColor="text1"/>
                <w:szCs w:val="16"/>
              </w:rPr>
            </w:pPr>
            <w:r>
              <w:rPr>
                <w:rFonts w:cs="Arial"/>
                <w:b/>
                <w:color w:val="000000" w:themeColor="text1"/>
                <w:szCs w:val="16"/>
              </w:rPr>
              <w:t>FFY 2020 Data</w:t>
            </w:r>
          </w:p>
        </w:tc>
        <w:tc>
          <w:tcPr>
            <w:tcW w:w="542" w:type="pct"/>
            <w:shd w:val="clear" w:color="auto" w:fill="auto"/>
            <w:vAlign w:val="bottom"/>
          </w:tcPr>
          <w:p w14:paraId="67062A6E" w14:textId="72ED2990" w:rsidR="00743466" w:rsidRPr="00ED172B" w:rsidRDefault="00F22D09" w:rsidP="00743466">
            <w:pPr>
              <w:keepNext/>
              <w:jc w:val="center"/>
              <w:rPr>
                <w:rFonts w:cs="Arial"/>
                <w:b/>
                <w:color w:val="000000" w:themeColor="text1"/>
                <w:szCs w:val="16"/>
              </w:rPr>
            </w:pPr>
            <w:r>
              <w:rPr>
                <w:rFonts w:cs="Arial"/>
                <w:b/>
                <w:color w:val="000000" w:themeColor="text1"/>
                <w:szCs w:val="16"/>
              </w:rPr>
              <w:t>FFY 2021 Target</w:t>
            </w:r>
          </w:p>
        </w:tc>
        <w:tc>
          <w:tcPr>
            <w:tcW w:w="543" w:type="pct"/>
            <w:shd w:val="clear" w:color="auto" w:fill="auto"/>
            <w:vAlign w:val="bottom"/>
          </w:tcPr>
          <w:p w14:paraId="7296B8FE" w14:textId="0F607060" w:rsidR="00743466" w:rsidRPr="00ED172B" w:rsidRDefault="00F22D09" w:rsidP="00743466">
            <w:pPr>
              <w:keepNext/>
              <w:jc w:val="center"/>
              <w:rPr>
                <w:rFonts w:cs="Arial"/>
                <w:b/>
                <w:color w:val="000000" w:themeColor="text1"/>
                <w:szCs w:val="16"/>
              </w:rPr>
            </w:pPr>
            <w:r>
              <w:rPr>
                <w:rFonts w:cs="Arial"/>
                <w:b/>
                <w:color w:val="000000" w:themeColor="text1"/>
                <w:szCs w:val="16"/>
              </w:rPr>
              <w:t>FFY 2021 Data</w:t>
            </w:r>
          </w:p>
        </w:tc>
        <w:tc>
          <w:tcPr>
            <w:tcW w:w="501" w:type="pct"/>
            <w:shd w:val="clear" w:color="auto" w:fill="auto"/>
            <w:vAlign w:val="bottom"/>
          </w:tcPr>
          <w:p w14:paraId="1B43CBDB"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14:paraId="12F05379"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116D5CCC" w14:textId="77777777" w:rsidTr="00986B99">
        <w:tc>
          <w:tcPr>
            <w:tcW w:w="1124" w:type="pct"/>
            <w:shd w:val="clear" w:color="auto" w:fill="auto"/>
          </w:tcPr>
          <w:p w14:paraId="4314D26B" w14:textId="6C3F3968" w:rsidR="00A01E85" w:rsidRPr="00ED172B" w:rsidRDefault="00A01E85" w:rsidP="00A01E85">
            <w:pPr>
              <w:rPr>
                <w:rFonts w:cs="Arial"/>
                <w:color w:val="000000" w:themeColor="text1"/>
                <w:szCs w:val="16"/>
              </w:rPr>
            </w:pPr>
            <w:r w:rsidRPr="00ED172B">
              <w:rPr>
                <w:rFonts w:cs="Arial"/>
                <w:color w:val="000000" w:themeColor="text1"/>
                <w:szCs w:val="16"/>
              </w:rPr>
              <w:t>B1. Of those children who entered or exited the program below age expectations in Outcome B, the percent who substantially increased their rate of growth by the time they turned 3 years of age or exited the program</w:t>
            </w:r>
          </w:p>
        </w:tc>
        <w:tc>
          <w:tcPr>
            <w:tcW w:w="584" w:type="pct"/>
            <w:shd w:val="clear" w:color="auto" w:fill="auto"/>
            <w:vAlign w:val="center"/>
          </w:tcPr>
          <w:p w14:paraId="10D9218D" w14:textId="6AFBF7FD"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39</w:t>
            </w:r>
          </w:p>
        </w:tc>
        <w:tc>
          <w:tcPr>
            <w:tcW w:w="625" w:type="pct"/>
            <w:shd w:val="clear" w:color="auto" w:fill="auto"/>
            <w:vAlign w:val="center"/>
          </w:tcPr>
          <w:p w14:paraId="74E8C70E" w14:textId="571D967E"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39</w:t>
            </w:r>
          </w:p>
        </w:tc>
        <w:tc>
          <w:tcPr>
            <w:tcW w:w="626" w:type="pct"/>
            <w:shd w:val="clear" w:color="auto" w:fill="auto"/>
            <w:vAlign w:val="center"/>
          </w:tcPr>
          <w:p w14:paraId="21296411" w14:textId="57290262"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vAlign w:val="center"/>
          </w:tcPr>
          <w:p w14:paraId="4BF09CF1" w14:textId="205C17B0" w:rsidR="00A01E85" w:rsidRPr="00ED172B" w:rsidRDefault="001E39E3" w:rsidP="001E39E3">
            <w:pPr>
              <w:jc w:val="center"/>
              <w:rPr>
                <w:color w:val="000000" w:themeColor="text1"/>
              </w:rPr>
            </w:pPr>
            <w:r w:rsidRPr="00ED172B">
              <w:rPr>
                <w:color w:val="000000" w:themeColor="text1"/>
              </w:rPr>
              <w:t/>
            </w:r>
          </w:p>
        </w:tc>
        <w:tc>
          <w:tcPr>
            <w:tcW w:w="543" w:type="pct"/>
            <w:shd w:val="clear" w:color="auto" w:fill="auto"/>
            <w:vAlign w:val="center"/>
          </w:tcPr>
          <w:p w14:paraId="68C1AF4D" w14:textId="60CF2502"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01" w:type="pct"/>
            <w:shd w:val="clear" w:color="auto" w:fill="auto"/>
            <w:vAlign w:val="center"/>
          </w:tcPr>
          <w:p w14:paraId="696F106F" w14:textId="719EA386"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64D66F01" w14:textId="4BA641BF"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160911FF" w14:textId="77777777" w:rsidTr="00986B99">
        <w:tc>
          <w:tcPr>
            <w:tcW w:w="1124" w:type="pct"/>
            <w:shd w:val="clear" w:color="auto" w:fill="auto"/>
          </w:tcPr>
          <w:p w14:paraId="2B8DB303" w14:textId="15B2256B" w:rsidR="00A01E85" w:rsidRPr="00ED172B" w:rsidRDefault="00A01E85" w:rsidP="00A01E85">
            <w:pPr>
              <w:rPr>
                <w:rFonts w:cs="Arial"/>
                <w:color w:val="000000" w:themeColor="text1"/>
                <w:szCs w:val="16"/>
              </w:rPr>
            </w:pPr>
            <w:r w:rsidRPr="00ED172B">
              <w:rPr>
                <w:rFonts w:cs="Arial"/>
                <w:color w:val="000000" w:themeColor="text1"/>
                <w:szCs w:val="16"/>
              </w:rPr>
              <w:t>B2. The percent of infants and toddlers who were functioning within age expectations in Outcome B by the time they turned 3 years of age or exited the program</w:t>
            </w:r>
          </w:p>
        </w:tc>
        <w:tc>
          <w:tcPr>
            <w:tcW w:w="584" w:type="pct"/>
            <w:shd w:val="clear" w:color="auto" w:fill="auto"/>
            <w:vAlign w:val="center"/>
          </w:tcPr>
          <w:p w14:paraId="761936B4" w14:textId="46E9DAF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43</w:t>
            </w:r>
          </w:p>
        </w:tc>
        <w:tc>
          <w:tcPr>
            <w:tcW w:w="625" w:type="pct"/>
            <w:shd w:val="clear" w:color="auto" w:fill="auto"/>
            <w:vAlign w:val="center"/>
          </w:tcPr>
          <w:p w14:paraId="40549592" w14:textId="716D75F0"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46</w:t>
            </w:r>
          </w:p>
        </w:tc>
        <w:tc>
          <w:tcPr>
            <w:tcW w:w="626" w:type="pct"/>
            <w:shd w:val="clear" w:color="auto" w:fill="auto"/>
            <w:vAlign w:val="center"/>
          </w:tcPr>
          <w:p w14:paraId="07FAD763" w14:textId="68E47174" w:rsidR="00A01E85" w:rsidRPr="00ED172B" w:rsidRDefault="00860830" w:rsidP="00A01E85">
            <w:pPr>
              <w:jc w:val="center"/>
              <w:rPr>
                <w:rFonts w:cs="Arial"/>
                <w:color w:val="000000" w:themeColor="text1"/>
                <w:szCs w:val="16"/>
              </w:rPr>
            </w:pPr>
            <w:r w:rsidRPr="00ED172B">
              <w:rPr>
                <w:rFonts w:cs="Arial"/>
                <w:color w:val="000000" w:themeColor="text1"/>
                <w:szCs w:val="16"/>
              </w:rPr>
              <w:t>86.89%</w:t>
            </w:r>
          </w:p>
        </w:tc>
        <w:tc>
          <w:tcPr>
            <w:tcW w:w="542" w:type="pct"/>
            <w:shd w:val="clear" w:color="auto" w:fill="auto"/>
            <w:vAlign w:val="center"/>
          </w:tcPr>
          <w:p w14:paraId="3D25A02C" w14:textId="2B3D448E" w:rsidR="00A01E85" w:rsidRPr="00ED172B" w:rsidRDefault="002332D6">
            <w:pPr>
              <w:jc w:val="center"/>
              <w:rPr>
                <w:color w:val="000000" w:themeColor="text1"/>
              </w:rPr>
            </w:pPr>
            <w:r w:rsidRPr="00ED172B">
              <w:rPr>
                <w:color w:val="000000" w:themeColor="text1"/>
              </w:rPr>
              <w:t/>
            </w:r>
          </w:p>
        </w:tc>
        <w:tc>
          <w:tcPr>
            <w:tcW w:w="543" w:type="pct"/>
            <w:shd w:val="clear" w:color="auto" w:fill="auto"/>
            <w:vAlign w:val="center"/>
          </w:tcPr>
          <w:p w14:paraId="677E7C18" w14:textId="7890B12F" w:rsidR="00A01E85" w:rsidRPr="00ED172B" w:rsidRDefault="00860830" w:rsidP="00A01E85">
            <w:pPr>
              <w:jc w:val="center"/>
              <w:rPr>
                <w:rFonts w:cs="Arial"/>
                <w:color w:val="000000" w:themeColor="text1"/>
                <w:szCs w:val="16"/>
              </w:rPr>
            </w:pPr>
            <w:r w:rsidRPr="00ED172B">
              <w:rPr>
                <w:rFonts w:cs="Arial"/>
                <w:color w:val="000000" w:themeColor="text1"/>
                <w:szCs w:val="16"/>
              </w:rPr>
              <w:t>93.48%</w:t>
            </w:r>
          </w:p>
        </w:tc>
        <w:tc>
          <w:tcPr>
            <w:tcW w:w="501" w:type="pct"/>
            <w:shd w:val="clear" w:color="auto" w:fill="auto"/>
            <w:vAlign w:val="center"/>
          </w:tcPr>
          <w:p w14:paraId="7A6B82D3" w14:textId="728C38AD"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0986DE41" w14:textId="7D85ED65"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6AD77A06" w14:textId="40821E3C" w:rsidR="0084029E" w:rsidRPr="00ED172B" w:rsidRDefault="0084029E">
      <w:pPr>
        <w:rPr>
          <w:b/>
          <w:color w:val="000000" w:themeColor="text1"/>
        </w:rPr>
      </w:pPr>
      <w:r w:rsidRPr="00ED172B">
        <w:rPr>
          <w:b/>
          <w:color w:val="000000" w:themeColor="text1"/>
        </w:rPr>
        <w:t>Outcome C: Use of appropriate behaviors to meet their needs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9"/>
      </w:tblPr>
      <w:tblGrid>
        <w:gridCol w:w="7075"/>
        <w:gridCol w:w="1693"/>
        <w:gridCol w:w="2022"/>
      </w:tblGrid>
      <w:tr w:rsidR="00ED172B" w:rsidRPr="00ED172B" w14:paraId="316DB57D" w14:textId="77777777" w:rsidTr="00986B99">
        <w:trPr>
          <w:trHeight w:val="361"/>
          <w:tblHeader/>
        </w:trPr>
        <w:tc>
          <w:tcPr>
            <w:tcW w:w="3349" w:type="pct"/>
            <w:shd w:val="clear" w:color="auto" w:fill="auto"/>
            <w:vAlign w:val="center"/>
          </w:tcPr>
          <w:p w14:paraId="67713AA1" w14:textId="0483A79B" w:rsidR="0084029E" w:rsidRPr="00ED172B" w:rsidRDefault="0084029E" w:rsidP="0084029E">
            <w:pPr>
              <w:rPr>
                <w:rFonts w:cs="Arial"/>
                <w:color w:val="000000" w:themeColor="text1"/>
                <w:szCs w:val="16"/>
              </w:rPr>
            </w:pPr>
            <w:r w:rsidRPr="00ED172B">
              <w:rPr>
                <w:rFonts w:cs="Arial"/>
                <w:b/>
                <w:color w:val="000000" w:themeColor="text1"/>
                <w:szCs w:val="16"/>
              </w:rPr>
              <w:t>Not including at-risk infants and toddlers</w:t>
            </w:r>
          </w:p>
        </w:tc>
        <w:tc>
          <w:tcPr>
            <w:tcW w:w="826" w:type="pct"/>
            <w:shd w:val="clear" w:color="auto" w:fill="auto"/>
            <w:vAlign w:val="center"/>
          </w:tcPr>
          <w:p w14:paraId="7DE31577" w14:textId="77777777" w:rsidR="0084029E" w:rsidRPr="00ED172B" w:rsidRDefault="0084029E" w:rsidP="0084029E">
            <w:pP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14:paraId="0BBB746A" w14:textId="77777777" w:rsidR="0084029E" w:rsidRPr="00ED172B" w:rsidRDefault="0084029E" w:rsidP="0084029E">
            <w:pPr>
              <w:rPr>
                <w:rFonts w:cs="Arial"/>
                <w:b/>
                <w:color w:val="000000" w:themeColor="text1"/>
                <w:szCs w:val="16"/>
              </w:rPr>
            </w:pPr>
            <w:r w:rsidRPr="00ED172B">
              <w:rPr>
                <w:rFonts w:cs="Arial"/>
                <w:b/>
                <w:color w:val="000000" w:themeColor="text1"/>
                <w:szCs w:val="16"/>
              </w:rPr>
              <w:t>Percentage of Total</w:t>
            </w:r>
          </w:p>
        </w:tc>
      </w:tr>
      <w:tr w:rsidR="00ED172B" w:rsidRPr="00ED172B" w14:paraId="708B0F4A" w14:textId="77777777" w:rsidTr="00986B99">
        <w:trPr>
          <w:trHeight w:val="361"/>
        </w:trPr>
        <w:tc>
          <w:tcPr>
            <w:tcW w:w="3349" w:type="pct"/>
            <w:shd w:val="clear" w:color="auto" w:fill="auto"/>
            <w:vAlign w:val="center"/>
          </w:tcPr>
          <w:p w14:paraId="58D851FA"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14:paraId="7DCDCE4A" w14:textId="007E97AE" w:rsidR="00A01E85" w:rsidRPr="00ED172B" w:rsidRDefault="00860830" w:rsidP="002E64AF">
            <w:pPr>
              <w:jc w:val="center"/>
              <w:rPr>
                <w:rFonts w:cs="Arial"/>
                <w:color w:val="000000" w:themeColor="text1"/>
                <w:szCs w:val="16"/>
              </w:rPr>
            </w:pPr>
            <w:r w:rsidRPr="00ED172B">
              <w:rPr>
                <w:rFonts w:cs="Arial"/>
                <w:color w:val="000000" w:themeColor="text1"/>
                <w:szCs w:val="16"/>
              </w:rPr>
              <w:t>27</w:t>
            </w:r>
          </w:p>
        </w:tc>
        <w:tc>
          <w:tcPr>
            <w:tcW w:w="825" w:type="pct"/>
            <w:shd w:val="clear" w:color="auto" w:fill="auto"/>
            <w:vAlign w:val="center"/>
          </w:tcPr>
          <w:p w14:paraId="5B6FF15B" w14:textId="39D478E0" w:rsidR="00A01E85" w:rsidRPr="00ED172B" w:rsidRDefault="00860830" w:rsidP="002E64AF">
            <w:pPr>
              <w:jc w:val="center"/>
              <w:rPr>
                <w:rFonts w:cs="Arial"/>
                <w:color w:val="000000" w:themeColor="text1"/>
                <w:szCs w:val="16"/>
              </w:rPr>
            </w:pPr>
            <w:r w:rsidRPr="00ED172B">
              <w:rPr>
                <w:rFonts w:cs="Arial"/>
                <w:color w:val="000000" w:themeColor="text1"/>
                <w:szCs w:val="16"/>
              </w:rPr>
              <w:t>0.98%</w:t>
            </w:r>
          </w:p>
        </w:tc>
      </w:tr>
      <w:tr w:rsidR="00ED172B" w:rsidRPr="00ED172B" w14:paraId="6C5C53D1" w14:textId="77777777" w:rsidTr="00986B99">
        <w:trPr>
          <w:trHeight w:val="361"/>
        </w:trPr>
        <w:tc>
          <w:tcPr>
            <w:tcW w:w="3349" w:type="pct"/>
            <w:shd w:val="clear" w:color="auto" w:fill="auto"/>
            <w:vAlign w:val="center"/>
          </w:tcPr>
          <w:p w14:paraId="21D684EB" w14:textId="77777777" w:rsidR="00A01E85" w:rsidRPr="00ED172B" w:rsidRDefault="00A01E85" w:rsidP="00A01E85">
            <w:pPr>
              <w:rPr>
                <w:rFonts w:cs="Arial"/>
                <w:color w:val="000000" w:themeColor="text1"/>
                <w:szCs w:val="16"/>
              </w:rPr>
            </w:pPr>
            <w:r w:rsidRPr="00ED172B">
              <w:rPr>
                <w:rFonts w:cs="Arial"/>
                <w:color w:val="000000" w:themeColor="text1"/>
                <w:szCs w:val="16"/>
              </w:rPr>
              <w:t>b. Infants and toddlers who improved functioning but not sufficient to move nearer to functioning comparable to same-aged peers</w:t>
            </w:r>
          </w:p>
        </w:tc>
        <w:tc>
          <w:tcPr>
            <w:tcW w:w="826" w:type="pct"/>
            <w:shd w:val="clear" w:color="auto" w:fill="auto"/>
            <w:vAlign w:val="center"/>
          </w:tcPr>
          <w:p w14:paraId="3DB5E8BD" w14:textId="0C728BFA" w:rsidR="00A01E85" w:rsidRPr="00ED172B" w:rsidRDefault="00860830" w:rsidP="002E64AF">
            <w:pPr>
              <w:jc w:val="center"/>
              <w:rPr>
                <w:rFonts w:cs="Arial"/>
                <w:color w:val="000000" w:themeColor="text1"/>
                <w:szCs w:val="16"/>
              </w:rPr>
            </w:pPr>
            <w:r w:rsidRPr="00ED172B">
              <w:rPr>
                <w:rFonts w:cs="Arial"/>
                <w:color w:val="000000" w:themeColor="text1"/>
                <w:szCs w:val="16"/>
              </w:rPr>
              <w:t>282</w:t>
            </w:r>
          </w:p>
        </w:tc>
        <w:tc>
          <w:tcPr>
            <w:tcW w:w="825" w:type="pct"/>
            <w:shd w:val="clear" w:color="auto" w:fill="auto"/>
            <w:vAlign w:val="center"/>
          </w:tcPr>
          <w:p w14:paraId="06AE6B70" w14:textId="7BD9DD7B" w:rsidR="00A01E85" w:rsidRPr="00ED172B" w:rsidRDefault="00860830" w:rsidP="002E64AF">
            <w:pPr>
              <w:jc w:val="center"/>
              <w:rPr>
                <w:rFonts w:cs="Arial"/>
                <w:color w:val="000000" w:themeColor="text1"/>
                <w:szCs w:val="16"/>
              </w:rPr>
            </w:pPr>
            <w:r w:rsidRPr="00ED172B">
              <w:rPr>
                <w:rFonts w:cs="Arial"/>
                <w:color w:val="000000" w:themeColor="text1"/>
                <w:szCs w:val="16"/>
              </w:rPr>
              <w:t>10.23%</w:t>
            </w:r>
          </w:p>
        </w:tc>
      </w:tr>
      <w:tr w:rsidR="00ED172B" w:rsidRPr="00ED172B" w14:paraId="21162FD4" w14:textId="77777777" w:rsidTr="00986B99">
        <w:trPr>
          <w:trHeight w:val="395"/>
        </w:trPr>
        <w:tc>
          <w:tcPr>
            <w:tcW w:w="3349" w:type="pct"/>
            <w:shd w:val="clear" w:color="auto" w:fill="auto"/>
            <w:vAlign w:val="center"/>
          </w:tcPr>
          <w:p w14:paraId="2D08789B"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14:paraId="39079991" w14:textId="2170A481" w:rsidR="00A01E85" w:rsidRPr="00ED172B" w:rsidRDefault="00860830" w:rsidP="002E64AF">
            <w:pPr>
              <w:jc w:val="center"/>
              <w:rPr>
                <w:rFonts w:cs="Arial"/>
                <w:color w:val="000000" w:themeColor="text1"/>
                <w:szCs w:val="16"/>
              </w:rPr>
            </w:pPr>
            <w:r w:rsidRPr="00ED172B">
              <w:rPr>
                <w:rFonts w:cs="Arial"/>
                <w:color w:val="000000" w:themeColor="text1"/>
                <w:szCs w:val="16"/>
              </w:rPr>
              <w:t>1,088</w:t>
            </w:r>
          </w:p>
        </w:tc>
        <w:tc>
          <w:tcPr>
            <w:tcW w:w="825" w:type="pct"/>
            <w:shd w:val="clear" w:color="auto" w:fill="auto"/>
            <w:vAlign w:val="center"/>
          </w:tcPr>
          <w:p w14:paraId="739B1F8C" w14:textId="7012C479" w:rsidR="00A01E85" w:rsidRPr="00ED172B" w:rsidRDefault="00860830" w:rsidP="002E64AF">
            <w:pPr>
              <w:jc w:val="center"/>
              <w:rPr>
                <w:rFonts w:cs="Arial"/>
                <w:color w:val="000000" w:themeColor="text1"/>
                <w:szCs w:val="16"/>
              </w:rPr>
            </w:pPr>
            <w:r w:rsidRPr="00ED172B">
              <w:rPr>
                <w:rFonts w:cs="Arial"/>
                <w:color w:val="000000" w:themeColor="text1"/>
                <w:szCs w:val="16"/>
              </w:rPr>
              <w:t>39.48%</w:t>
            </w:r>
          </w:p>
        </w:tc>
      </w:tr>
      <w:tr w:rsidR="00ED172B" w:rsidRPr="00ED172B" w14:paraId="7861E1DA" w14:textId="77777777" w:rsidTr="00986B99">
        <w:trPr>
          <w:trHeight w:val="361"/>
        </w:trPr>
        <w:tc>
          <w:tcPr>
            <w:tcW w:w="3349" w:type="pct"/>
            <w:shd w:val="clear" w:color="auto" w:fill="auto"/>
            <w:vAlign w:val="center"/>
          </w:tcPr>
          <w:p w14:paraId="6B359621"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01CD6016" w14:textId="7963A28E" w:rsidR="00A01E85" w:rsidRPr="00ED172B" w:rsidRDefault="00860830" w:rsidP="002E64AF">
            <w:pPr>
              <w:jc w:val="center"/>
              <w:rPr>
                <w:rFonts w:cs="Arial"/>
                <w:color w:val="000000" w:themeColor="text1"/>
                <w:szCs w:val="16"/>
              </w:rPr>
            </w:pPr>
            <w:r w:rsidRPr="00ED172B">
              <w:rPr>
                <w:rFonts w:cs="Arial"/>
                <w:color w:val="000000" w:themeColor="text1"/>
                <w:szCs w:val="16"/>
              </w:rPr>
              <w:t>867</w:t>
            </w:r>
          </w:p>
        </w:tc>
        <w:tc>
          <w:tcPr>
            <w:tcW w:w="825" w:type="pct"/>
            <w:shd w:val="clear" w:color="auto" w:fill="auto"/>
            <w:vAlign w:val="center"/>
          </w:tcPr>
          <w:p w14:paraId="3EEBD547" w14:textId="006FF315" w:rsidR="00A01E85" w:rsidRPr="00ED172B" w:rsidRDefault="00860830" w:rsidP="002E64AF">
            <w:pPr>
              <w:jc w:val="center"/>
              <w:rPr>
                <w:rFonts w:cs="Arial"/>
                <w:color w:val="000000" w:themeColor="text1"/>
                <w:szCs w:val="16"/>
              </w:rPr>
            </w:pPr>
            <w:r w:rsidRPr="00ED172B">
              <w:rPr>
                <w:rFonts w:cs="Arial"/>
                <w:color w:val="000000" w:themeColor="text1"/>
                <w:szCs w:val="16"/>
              </w:rPr>
              <w:t>31.46%</w:t>
            </w:r>
          </w:p>
        </w:tc>
      </w:tr>
      <w:tr w:rsidR="00ED172B" w:rsidRPr="00ED172B" w14:paraId="2F969A13" w14:textId="77777777" w:rsidTr="00986B99">
        <w:trPr>
          <w:trHeight w:val="361"/>
        </w:trPr>
        <w:tc>
          <w:tcPr>
            <w:tcW w:w="3349" w:type="pct"/>
            <w:shd w:val="clear" w:color="auto" w:fill="auto"/>
            <w:vAlign w:val="center"/>
          </w:tcPr>
          <w:p w14:paraId="5E226FF7"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6A2E35AA" w14:textId="7E601C8A" w:rsidR="00A01E85" w:rsidRPr="00ED172B" w:rsidRDefault="00860830" w:rsidP="002E64AF">
            <w:pPr>
              <w:jc w:val="center"/>
              <w:rPr>
                <w:rFonts w:cs="Arial"/>
                <w:color w:val="000000" w:themeColor="text1"/>
                <w:szCs w:val="16"/>
              </w:rPr>
            </w:pPr>
            <w:r w:rsidRPr="00ED172B">
              <w:rPr>
                <w:rFonts w:cs="Arial"/>
                <w:color w:val="000000" w:themeColor="text1"/>
                <w:szCs w:val="16"/>
              </w:rPr>
              <w:t>492</w:t>
            </w:r>
          </w:p>
        </w:tc>
        <w:tc>
          <w:tcPr>
            <w:tcW w:w="825" w:type="pct"/>
            <w:shd w:val="clear" w:color="auto" w:fill="auto"/>
            <w:vAlign w:val="center"/>
          </w:tcPr>
          <w:p w14:paraId="09CD99EC" w14:textId="5C560EF0" w:rsidR="00A01E85" w:rsidRPr="00ED172B" w:rsidRDefault="00860830" w:rsidP="002E64AF">
            <w:pPr>
              <w:jc w:val="center"/>
              <w:rPr>
                <w:rFonts w:cs="Arial"/>
                <w:color w:val="000000" w:themeColor="text1"/>
                <w:szCs w:val="16"/>
              </w:rPr>
            </w:pPr>
            <w:r w:rsidRPr="00ED172B">
              <w:rPr>
                <w:rFonts w:cs="Arial"/>
                <w:color w:val="000000" w:themeColor="text1"/>
                <w:szCs w:val="16"/>
              </w:rPr>
              <w:t>17.85%</w:t>
            </w:r>
          </w:p>
        </w:tc>
      </w:tr>
    </w:tbl>
    <w:p w14:paraId="3FA18C3D" w14:textId="4E718CDC" w:rsidR="0084029E" w:rsidRPr="00ED172B" w:rsidRDefault="0084029E" w:rsidP="0084029E">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3CFFYAPRDATAOPT210"/>
      </w:tblPr>
      <w:tblGrid>
        <w:gridCol w:w="6435"/>
        <w:gridCol w:w="2013"/>
        <w:gridCol w:w="2342"/>
      </w:tblGrid>
      <w:tr w:rsidR="00ED172B" w:rsidRPr="00ED172B" w14:paraId="06461661" w14:textId="77777777" w:rsidTr="00986B99">
        <w:trPr>
          <w:trHeight w:val="361"/>
          <w:tblHeader/>
        </w:trPr>
        <w:tc>
          <w:tcPr>
            <w:tcW w:w="3349" w:type="pct"/>
            <w:shd w:val="clear" w:color="auto" w:fill="auto"/>
            <w:vAlign w:val="center"/>
          </w:tcPr>
          <w:p w14:paraId="33072CCC" w14:textId="49874604" w:rsidR="0084029E" w:rsidRPr="00ED172B" w:rsidRDefault="0084029E" w:rsidP="0084029E">
            <w:pPr>
              <w:rPr>
                <w:rFonts w:cs="Arial"/>
                <w:color w:val="000000" w:themeColor="text1"/>
                <w:szCs w:val="16"/>
              </w:rPr>
            </w:pPr>
            <w:r w:rsidRPr="00ED172B">
              <w:rPr>
                <w:rFonts w:cs="Arial"/>
                <w:b/>
                <w:color w:val="000000" w:themeColor="text1"/>
                <w:szCs w:val="16"/>
              </w:rPr>
              <w:t>Just at-risk infants and toddlers/All infants and toddlers</w:t>
            </w:r>
          </w:p>
        </w:tc>
        <w:tc>
          <w:tcPr>
            <w:tcW w:w="826" w:type="pct"/>
            <w:shd w:val="clear" w:color="auto" w:fill="auto"/>
            <w:vAlign w:val="center"/>
          </w:tcPr>
          <w:p w14:paraId="354E5704" w14:textId="77777777" w:rsidR="0084029E" w:rsidRPr="00ED172B" w:rsidRDefault="0084029E" w:rsidP="0084029E">
            <w:pPr>
              <w:rPr>
                <w:rFonts w:cs="Arial"/>
                <w:b/>
                <w:color w:val="000000" w:themeColor="text1"/>
                <w:szCs w:val="16"/>
              </w:rPr>
            </w:pPr>
            <w:r w:rsidRPr="00ED172B">
              <w:rPr>
                <w:rFonts w:cs="Arial"/>
                <w:b/>
                <w:color w:val="000000" w:themeColor="text1"/>
                <w:szCs w:val="16"/>
              </w:rPr>
              <w:t>Number of Children</w:t>
            </w:r>
          </w:p>
        </w:tc>
        <w:tc>
          <w:tcPr>
            <w:tcW w:w="825" w:type="pct"/>
            <w:shd w:val="clear" w:color="auto" w:fill="auto"/>
            <w:vAlign w:val="center"/>
          </w:tcPr>
          <w:p w14:paraId="196D042E" w14:textId="77777777" w:rsidR="0084029E" w:rsidRPr="00ED172B" w:rsidRDefault="0084029E" w:rsidP="0084029E">
            <w:pPr>
              <w:rPr>
                <w:rFonts w:cs="Arial"/>
                <w:b/>
                <w:color w:val="000000" w:themeColor="text1"/>
                <w:szCs w:val="16"/>
              </w:rPr>
            </w:pPr>
            <w:r w:rsidRPr="00ED172B">
              <w:rPr>
                <w:rFonts w:cs="Arial"/>
                <w:b/>
                <w:color w:val="000000" w:themeColor="text1"/>
                <w:szCs w:val="16"/>
              </w:rPr>
              <w:t>Percentage of Total</w:t>
            </w:r>
          </w:p>
        </w:tc>
      </w:tr>
      <w:tr w:rsidR="00ED172B" w:rsidRPr="00ED172B" w14:paraId="11DDFC12" w14:textId="77777777" w:rsidTr="00986B99">
        <w:trPr>
          <w:trHeight w:val="361"/>
        </w:trPr>
        <w:tc>
          <w:tcPr>
            <w:tcW w:w="3349" w:type="pct"/>
            <w:shd w:val="clear" w:color="auto" w:fill="auto"/>
            <w:vAlign w:val="center"/>
          </w:tcPr>
          <w:p w14:paraId="49D54D85" w14:textId="77777777" w:rsidR="00A01E85" w:rsidRPr="00ED172B" w:rsidRDefault="00A01E85" w:rsidP="00A01E85">
            <w:pPr>
              <w:rPr>
                <w:rFonts w:cs="Arial"/>
                <w:color w:val="000000" w:themeColor="text1"/>
                <w:szCs w:val="16"/>
              </w:rPr>
            </w:pPr>
            <w:r w:rsidRPr="00ED172B">
              <w:rPr>
                <w:rFonts w:cs="Arial"/>
                <w:color w:val="000000" w:themeColor="text1"/>
                <w:szCs w:val="16"/>
              </w:rPr>
              <w:t>a. Infants and toddlers who did not improve functioning</w:t>
            </w:r>
          </w:p>
        </w:tc>
        <w:tc>
          <w:tcPr>
            <w:tcW w:w="826" w:type="pct"/>
            <w:shd w:val="clear" w:color="auto" w:fill="auto"/>
            <w:vAlign w:val="center"/>
          </w:tcPr>
          <w:p w14:paraId="170BCFB2" w14:textId="22EBF81A" w:rsidR="00A01E85" w:rsidRPr="00ED172B" w:rsidRDefault="00860830" w:rsidP="00312EB5">
            <w:pPr>
              <w:jc w:val="center"/>
              <w:rPr>
                <w:rFonts w:cs="Arial"/>
                <w:color w:val="000000" w:themeColor="text1"/>
                <w:szCs w:val="16"/>
              </w:rPr>
            </w:pPr>
            <w:r w:rsidRPr="00ED172B">
              <w:rPr>
                <w:rFonts w:cs="Arial"/>
                <w:color w:val="000000" w:themeColor="text1"/>
                <w:szCs w:val="16"/>
              </w:rPr>
              <w:t>0</w:t>
            </w:r>
          </w:p>
        </w:tc>
        <w:tc>
          <w:tcPr>
            <w:tcW w:w="825" w:type="pct"/>
            <w:shd w:val="clear" w:color="auto" w:fill="auto"/>
            <w:vAlign w:val="center"/>
          </w:tcPr>
          <w:p w14:paraId="3B2B941D" w14:textId="109AFA1B" w:rsidR="00A01E85" w:rsidRPr="00ED172B" w:rsidRDefault="00860830" w:rsidP="00312EB5">
            <w:pPr>
              <w:jc w:val="center"/>
              <w:rPr>
                <w:rFonts w:cs="Arial"/>
                <w:color w:val="000000" w:themeColor="text1"/>
                <w:szCs w:val="16"/>
              </w:rPr>
            </w:pPr>
            <w:r w:rsidRPr="00ED172B">
              <w:rPr>
                <w:rFonts w:cs="Arial"/>
                <w:color w:val="000000" w:themeColor="text1"/>
                <w:szCs w:val="16"/>
              </w:rPr>
              <w:t>0.00%</w:t>
            </w:r>
          </w:p>
        </w:tc>
      </w:tr>
      <w:tr w:rsidR="00ED172B" w:rsidRPr="00ED172B" w14:paraId="786B031D" w14:textId="77777777" w:rsidTr="00986B99">
        <w:trPr>
          <w:trHeight w:val="361"/>
        </w:trPr>
        <w:tc>
          <w:tcPr>
            <w:tcW w:w="3349" w:type="pct"/>
            <w:shd w:val="clear" w:color="auto" w:fill="auto"/>
            <w:vAlign w:val="center"/>
          </w:tcPr>
          <w:p w14:paraId="0C1C08B9" w14:textId="77777777" w:rsidR="00A01E85" w:rsidRPr="00ED172B" w:rsidRDefault="00A01E85" w:rsidP="00A01E85">
            <w:pPr>
              <w:rPr>
                <w:rFonts w:cs="Arial"/>
                <w:color w:val="000000" w:themeColor="text1"/>
                <w:szCs w:val="16"/>
              </w:rPr>
            </w:pPr>
            <w:r w:rsidRPr="00ED172B">
              <w:rPr>
                <w:rFonts w:cs="Arial"/>
                <w:color w:val="000000" w:themeColor="text1"/>
                <w:szCs w:val="16"/>
              </w:rPr>
              <w:lastRenderedPageBreak/>
              <w:t>b. Infants and toddlers who improved functioning but not sufficient to move nearer to functioning comparable to same-aged peers</w:t>
            </w:r>
          </w:p>
        </w:tc>
        <w:tc>
          <w:tcPr>
            <w:tcW w:w="826" w:type="pct"/>
            <w:shd w:val="clear" w:color="auto" w:fill="auto"/>
            <w:vAlign w:val="center"/>
          </w:tcPr>
          <w:p w14:paraId="2A874DF1" w14:textId="4833DD2F" w:rsidR="00A01E85" w:rsidRPr="00ED172B" w:rsidRDefault="00860830" w:rsidP="00312EB5">
            <w:pPr>
              <w:jc w:val="center"/>
              <w:rPr>
                <w:rFonts w:cs="Arial"/>
                <w:color w:val="000000" w:themeColor="text1"/>
                <w:szCs w:val="16"/>
              </w:rPr>
            </w:pPr>
            <w:r w:rsidRPr="00ED172B">
              <w:rPr>
                <w:rFonts w:cs="Arial"/>
                <w:color w:val="000000" w:themeColor="text1"/>
                <w:szCs w:val="16"/>
              </w:rPr>
              <w:t>0</w:t>
            </w:r>
          </w:p>
        </w:tc>
        <w:tc>
          <w:tcPr>
            <w:tcW w:w="825" w:type="pct"/>
            <w:shd w:val="clear" w:color="auto" w:fill="auto"/>
            <w:vAlign w:val="center"/>
          </w:tcPr>
          <w:p w14:paraId="23C5DAE3" w14:textId="5490A4ED" w:rsidR="00A01E85" w:rsidRPr="00ED172B" w:rsidRDefault="00860830" w:rsidP="00312EB5">
            <w:pPr>
              <w:jc w:val="center"/>
              <w:rPr>
                <w:rFonts w:cs="Arial"/>
                <w:color w:val="000000" w:themeColor="text1"/>
                <w:szCs w:val="16"/>
              </w:rPr>
            </w:pPr>
            <w:r w:rsidRPr="00ED172B">
              <w:rPr>
                <w:rFonts w:cs="Arial"/>
                <w:color w:val="000000" w:themeColor="text1"/>
                <w:szCs w:val="16"/>
              </w:rPr>
              <w:t>0.00%</w:t>
            </w:r>
          </w:p>
        </w:tc>
      </w:tr>
      <w:tr w:rsidR="00ED172B" w:rsidRPr="00ED172B" w14:paraId="5204C337" w14:textId="77777777" w:rsidTr="00986B99">
        <w:trPr>
          <w:trHeight w:val="395"/>
        </w:trPr>
        <w:tc>
          <w:tcPr>
            <w:tcW w:w="3349" w:type="pct"/>
            <w:shd w:val="clear" w:color="auto" w:fill="auto"/>
            <w:vAlign w:val="center"/>
          </w:tcPr>
          <w:p w14:paraId="3C6368C5" w14:textId="77777777" w:rsidR="00A01E85" w:rsidRPr="00ED172B" w:rsidRDefault="00A01E85" w:rsidP="00A01E85">
            <w:pPr>
              <w:rPr>
                <w:rFonts w:cs="Arial"/>
                <w:color w:val="000000" w:themeColor="text1"/>
                <w:szCs w:val="16"/>
              </w:rPr>
            </w:pPr>
            <w:r w:rsidRPr="00ED172B">
              <w:rPr>
                <w:rFonts w:cs="Arial"/>
                <w:color w:val="000000" w:themeColor="text1"/>
                <w:szCs w:val="16"/>
              </w:rPr>
              <w:t>c. Infants and toddlers who improved functioning to a level nearer to same-aged peers but did not reach it</w:t>
            </w:r>
          </w:p>
        </w:tc>
        <w:tc>
          <w:tcPr>
            <w:tcW w:w="826" w:type="pct"/>
            <w:shd w:val="clear" w:color="auto" w:fill="auto"/>
            <w:vAlign w:val="center"/>
          </w:tcPr>
          <w:p w14:paraId="4CB72382" w14:textId="08B92214" w:rsidR="00A01E85" w:rsidRPr="00ED172B" w:rsidRDefault="00860830" w:rsidP="00312EB5">
            <w:pPr>
              <w:jc w:val="center"/>
              <w:rPr>
                <w:rFonts w:cs="Arial"/>
                <w:color w:val="000000" w:themeColor="text1"/>
                <w:szCs w:val="16"/>
              </w:rPr>
            </w:pPr>
            <w:r w:rsidRPr="00ED172B">
              <w:rPr>
                <w:rFonts w:cs="Arial"/>
                <w:color w:val="000000" w:themeColor="text1"/>
                <w:szCs w:val="16"/>
              </w:rPr>
              <w:t>3</w:t>
            </w:r>
          </w:p>
        </w:tc>
        <w:tc>
          <w:tcPr>
            <w:tcW w:w="825" w:type="pct"/>
            <w:shd w:val="clear" w:color="auto" w:fill="auto"/>
            <w:vAlign w:val="center"/>
          </w:tcPr>
          <w:p w14:paraId="28DA192E" w14:textId="4C13EE91" w:rsidR="00A01E85" w:rsidRPr="00ED172B" w:rsidRDefault="00860830" w:rsidP="00312EB5">
            <w:pPr>
              <w:jc w:val="center"/>
              <w:rPr>
                <w:rFonts w:cs="Arial"/>
                <w:color w:val="000000" w:themeColor="text1"/>
                <w:szCs w:val="16"/>
              </w:rPr>
            </w:pPr>
            <w:r w:rsidRPr="00ED172B">
              <w:rPr>
                <w:rFonts w:cs="Arial"/>
                <w:color w:val="000000" w:themeColor="text1"/>
                <w:szCs w:val="16"/>
              </w:rPr>
              <w:t>6.52%</w:t>
            </w:r>
          </w:p>
        </w:tc>
      </w:tr>
      <w:tr w:rsidR="00ED172B" w:rsidRPr="00ED172B" w14:paraId="528B5985" w14:textId="77777777" w:rsidTr="00986B99">
        <w:trPr>
          <w:trHeight w:val="361"/>
        </w:trPr>
        <w:tc>
          <w:tcPr>
            <w:tcW w:w="3349" w:type="pct"/>
            <w:shd w:val="clear" w:color="auto" w:fill="auto"/>
            <w:vAlign w:val="center"/>
          </w:tcPr>
          <w:p w14:paraId="1BC1F617" w14:textId="77777777" w:rsidR="00A01E85" w:rsidRPr="00ED172B" w:rsidRDefault="00A01E85" w:rsidP="00A01E85">
            <w:pPr>
              <w:rPr>
                <w:rFonts w:cs="Arial"/>
                <w:color w:val="000000" w:themeColor="text1"/>
                <w:szCs w:val="16"/>
              </w:rPr>
            </w:pPr>
            <w:r w:rsidRPr="00ED172B">
              <w:rPr>
                <w:rFonts w:cs="Arial"/>
                <w:color w:val="000000" w:themeColor="text1"/>
                <w:szCs w:val="16"/>
              </w:rPr>
              <w:t>d. Infants and toddlers who improved functioning to reach a level comparable to same-aged peers</w:t>
            </w:r>
          </w:p>
        </w:tc>
        <w:tc>
          <w:tcPr>
            <w:tcW w:w="826" w:type="pct"/>
            <w:shd w:val="clear" w:color="auto" w:fill="auto"/>
            <w:vAlign w:val="center"/>
          </w:tcPr>
          <w:p w14:paraId="7B0A936A" w14:textId="415D101D" w:rsidR="00A01E85" w:rsidRPr="00ED172B" w:rsidRDefault="00860830" w:rsidP="00312EB5">
            <w:pPr>
              <w:jc w:val="center"/>
              <w:rPr>
                <w:rFonts w:cs="Arial"/>
                <w:color w:val="000000" w:themeColor="text1"/>
                <w:szCs w:val="16"/>
              </w:rPr>
            </w:pPr>
            <w:r w:rsidRPr="00ED172B">
              <w:rPr>
                <w:rFonts w:cs="Arial"/>
                <w:color w:val="000000" w:themeColor="text1"/>
                <w:szCs w:val="16"/>
              </w:rPr>
              <w:t>30</w:t>
            </w:r>
          </w:p>
        </w:tc>
        <w:tc>
          <w:tcPr>
            <w:tcW w:w="825" w:type="pct"/>
            <w:shd w:val="clear" w:color="auto" w:fill="auto"/>
            <w:vAlign w:val="center"/>
          </w:tcPr>
          <w:p w14:paraId="5FC63926" w14:textId="33B3FBAE" w:rsidR="00A01E85" w:rsidRPr="00ED172B" w:rsidRDefault="00860830" w:rsidP="00312EB5">
            <w:pPr>
              <w:jc w:val="center"/>
              <w:rPr>
                <w:rFonts w:cs="Arial"/>
                <w:color w:val="000000" w:themeColor="text1"/>
                <w:szCs w:val="16"/>
              </w:rPr>
            </w:pPr>
            <w:r w:rsidRPr="00ED172B">
              <w:rPr>
                <w:rFonts w:cs="Arial"/>
                <w:color w:val="000000" w:themeColor="text1"/>
                <w:szCs w:val="16"/>
              </w:rPr>
              <w:t>65.22%</w:t>
            </w:r>
          </w:p>
        </w:tc>
      </w:tr>
      <w:tr w:rsidR="00ED172B" w:rsidRPr="00ED172B" w14:paraId="02BDC6EA" w14:textId="77777777" w:rsidTr="00986B99">
        <w:trPr>
          <w:trHeight w:val="361"/>
        </w:trPr>
        <w:tc>
          <w:tcPr>
            <w:tcW w:w="3349" w:type="pct"/>
            <w:shd w:val="clear" w:color="auto" w:fill="auto"/>
            <w:vAlign w:val="center"/>
          </w:tcPr>
          <w:p w14:paraId="46F620AD" w14:textId="77777777" w:rsidR="00A01E85" w:rsidRPr="00ED172B" w:rsidRDefault="00A01E85" w:rsidP="00A01E85">
            <w:pPr>
              <w:rPr>
                <w:rFonts w:cs="Arial"/>
                <w:color w:val="000000" w:themeColor="text1"/>
                <w:szCs w:val="16"/>
              </w:rPr>
            </w:pPr>
            <w:r w:rsidRPr="00ED172B">
              <w:rPr>
                <w:rFonts w:cs="Arial"/>
                <w:color w:val="000000" w:themeColor="text1"/>
                <w:szCs w:val="16"/>
              </w:rPr>
              <w:t>e. Infants and toddlers who maintained functioning at a level comparable to same-aged peers</w:t>
            </w:r>
          </w:p>
        </w:tc>
        <w:tc>
          <w:tcPr>
            <w:tcW w:w="826" w:type="pct"/>
            <w:shd w:val="clear" w:color="auto" w:fill="auto"/>
            <w:vAlign w:val="center"/>
          </w:tcPr>
          <w:p w14:paraId="6B50731F" w14:textId="2A4000E1" w:rsidR="00A01E85" w:rsidRPr="00ED172B" w:rsidRDefault="00860830" w:rsidP="00312EB5">
            <w:pPr>
              <w:jc w:val="center"/>
              <w:rPr>
                <w:rFonts w:cs="Arial"/>
                <w:color w:val="000000" w:themeColor="text1"/>
                <w:szCs w:val="16"/>
              </w:rPr>
            </w:pPr>
            <w:r w:rsidRPr="00ED172B">
              <w:rPr>
                <w:rFonts w:cs="Arial"/>
                <w:color w:val="000000" w:themeColor="text1"/>
                <w:szCs w:val="16"/>
              </w:rPr>
              <w:t>13</w:t>
            </w:r>
          </w:p>
        </w:tc>
        <w:tc>
          <w:tcPr>
            <w:tcW w:w="825" w:type="pct"/>
            <w:shd w:val="clear" w:color="auto" w:fill="auto"/>
            <w:vAlign w:val="center"/>
          </w:tcPr>
          <w:p w14:paraId="085D6A25" w14:textId="1ACB153C" w:rsidR="00A01E85" w:rsidRPr="00ED172B" w:rsidRDefault="00860830" w:rsidP="00312EB5">
            <w:pPr>
              <w:jc w:val="center"/>
              <w:rPr>
                <w:rFonts w:cs="Arial"/>
                <w:color w:val="000000" w:themeColor="text1"/>
                <w:szCs w:val="16"/>
              </w:rPr>
            </w:pPr>
            <w:r w:rsidRPr="00ED172B">
              <w:rPr>
                <w:rFonts w:cs="Arial"/>
                <w:color w:val="000000" w:themeColor="text1"/>
                <w:szCs w:val="16"/>
              </w:rPr>
              <w:t>28.26%</w:t>
            </w:r>
          </w:p>
        </w:tc>
      </w:tr>
    </w:tbl>
    <w:p w14:paraId="5258C840" w14:textId="77777777" w:rsidR="0084029E" w:rsidRPr="00ED172B" w:rsidRDefault="0084029E" w:rsidP="0084029E">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11"/>
      </w:tblPr>
      <w:tblGrid>
        <w:gridCol w:w="2425"/>
        <w:gridCol w:w="1260"/>
        <w:gridCol w:w="1349"/>
        <w:gridCol w:w="1351"/>
        <w:gridCol w:w="1260"/>
        <w:gridCol w:w="1170"/>
        <w:gridCol w:w="991"/>
        <w:gridCol w:w="984"/>
      </w:tblGrid>
      <w:tr w:rsidR="00ED172B" w:rsidRPr="00ED172B" w14:paraId="601675EF" w14:textId="77777777" w:rsidTr="00986B99">
        <w:trPr>
          <w:tblHeader/>
        </w:trPr>
        <w:tc>
          <w:tcPr>
            <w:tcW w:w="1124" w:type="pct"/>
            <w:shd w:val="clear" w:color="auto" w:fill="auto"/>
            <w:vAlign w:val="bottom"/>
          </w:tcPr>
          <w:p w14:paraId="338DE8FC" w14:textId="49C19B2F" w:rsidR="00743466" w:rsidRPr="00ED172B" w:rsidRDefault="00743466" w:rsidP="00B83404">
            <w:pPr>
              <w:rPr>
                <w:b/>
                <w:color w:val="000000" w:themeColor="text1"/>
              </w:rPr>
            </w:pPr>
            <w:r w:rsidRPr="00ED172B">
              <w:rPr>
                <w:b/>
                <w:color w:val="000000" w:themeColor="text1"/>
              </w:rPr>
              <w:t>Not including at-risk infants and toddlers</w:t>
            </w:r>
          </w:p>
        </w:tc>
        <w:tc>
          <w:tcPr>
            <w:tcW w:w="584" w:type="pct"/>
            <w:shd w:val="clear" w:color="auto" w:fill="auto"/>
            <w:vAlign w:val="bottom"/>
          </w:tcPr>
          <w:p w14:paraId="662FE9CE"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625" w:type="pct"/>
            <w:shd w:val="clear" w:color="auto" w:fill="auto"/>
            <w:vAlign w:val="bottom"/>
          </w:tcPr>
          <w:p w14:paraId="5729710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26" w:type="pct"/>
            <w:shd w:val="clear" w:color="auto" w:fill="auto"/>
            <w:vAlign w:val="bottom"/>
          </w:tcPr>
          <w:p w14:paraId="6BE12627" w14:textId="01C3DE7B" w:rsidR="00743466" w:rsidRPr="00ED172B" w:rsidRDefault="00CD74B5" w:rsidP="00743466">
            <w:pPr>
              <w:keepNext/>
              <w:jc w:val="center"/>
              <w:rPr>
                <w:rFonts w:cs="Arial"/>
                <w:b/>
                <w:color w:val="000000" w:themeColor="text1"/>
                <w:szCs w:val="16"/>
              </w:rPr>
            </w:pPr>
            <w:r>
              <w:rPr>
                <w:rFonts w:cs="Arial"/>
                <w:b/>
                <w:color w:val="000000" w:themeColor="text1"/>
                <w:szCs w:val="16"/>
              </w:rPr>
              <w:t>FFY 2020 Data</w:t>
            </w:r>
          </w:p>
        </w:tc>
        <w:tc>
          <w:tcPr>
            <w:tcW w:w="584" w:type="pct"/>
            <w:shd w:val="clear" w:color="auto" w:fill="auto"/>
            <w:vAlign w:val="bottom"/>
          </w:tcPr>
          <w:p w14:paraId="37818A7F" w14:textId="523AD2B9" w:rsidR="00743466" w:rsidRPr="00ED172B" w:rsidRDefault="00F22D09" w:rsidP="00743466">
            <w:pPr>
              <w:keepNext/>
              <w:jc w:val="center"/>
              <w:rPr>
                <w:rFonts w:cs="Arial"/>
                <w:b/>
                <w:color w:val="000000" w:themeColor="text1"/>
                <w:szCs w:val="16"/>
              </w:rPr>
            </w:pPr>
            <w:r>
              <w:rPr>
                <w:rFonts w:cs="Arial"/>
                <w:b/>
                <w:color w:val="000000" w:themeColor="text1"/>
                <w:szCs w:val="16"/>
              </w:rPr>
              <w:t>FFY 2021 Target</w:t>
            </w:r>
          </w:p>
        </w:tc>
        <w:tc>
          <w:tcPr>
            <w:tcW w:w="542" w:type="pct"/>
            <w:shd w:val="clear" w:color="auto" w:fill="auto"/>
            <w:vAlign w:val="bottom"/>
          </w:tcPr>
          <w:p w14:paraId="7FAB0C5D" w14:textId="35B2EC56" w:rsidR="00743466" w:rsidRPr="00ED172B" w:rsidRDefault="00F22D09" w:rsidP="00743466">
            <w:pPr>
              <w:keepNext/>
              <w:jc w:val="center"/>
              <w:rPr>
                <w:rFonts w:cs="Arial"/>
                <w:b/>
                <w:color w:val="000000" w:themeColor="text1"/>
                <w:szCs w:val="16"/>
              </w:rPr>
            </w:pPr>
            <w:r>
              <w:rPr>
                <w:rFonts w:cs="Arial"/>
                <w:b/>
                <w:color w:val="000000" w:themeColor="text1"/>
                <w:szCs w:val="16"/>
              </w:rPr>
              <w:t>FFY 2021 Data</w:t>
            </w:r>
          </w:p>
        </w:tc>
        <w:tc>
          <w:tcPr>
            <w:tcW w:w="459" w:type="pct"/>
            <w:shd w:val="clear" w:color="auto" w:fill="auto"/>
            <w:vAlign w:val="bottom"/>
          </w:tcPr>
          <w:p w14:paraId="60065102"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6" w:type="pct"/>
            <w:shd w:val="clear" w:color="auto" w:fill="auto"/>
            <w:vAlign w:val="bottom"/>
          </w:tcPr>
          <w:p w14:paraId="6D5E921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644F4BC8" w14:textId="77777777" w:rsidTr="00986B99">
        <w:tc>
          <w:tcPr>
            <w:tcW w:w="1124" w:type="pct"/>
            <w:shd w:val="clear" w:color="auto" w:fill="auto"/>
          </w:tcPr>
          <w:p w14:paraId="58B7310F" w14:textId="628E3666" w:rsidR="00A01E85" w:rsidRPr="00ED172B" w:rsidRDefault="00A01E85" w:rsidP="00A01E85">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shd w:val="clear" w:color="auto" w:fill="auto"/>
            <w:vAlign w:val="center"/>
          </w:tcPr>
          <w:p w14:paraId="06E1E11F" w14:textId="10D6FAC4"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1,955</w:t>
            </w:r>
          </w:p>
        </w:tc>
        <w:tc>
          <w:tcPr>
            <w:tcW w:w="625" w:type="pct"/>
            <w:shd w:val="clear" w:color="auto" w:fill="auto"/>
            <w:vAlign w:val="center"/>
          </w:tcPr>
          <w:p w14:paraId="22861F7B" w14:textId="2C1348EC"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2,264</w:t>
            </w:r>
          </w:p>
        </w:tc>
        <w:tc>
          <w:tcPr>
            <w:tcW w:w="626" w:type="pct"/>
            <w:shd w:val="clear" w:color="auto" w:fill="auto"/>
            <w:vAlign w:val="center"/>
          </w:tcPr>
          <w:p w14:paraId="0E727486" w14:textId="2F22C9DB" w:rsidR="00A01E85" w:rsidRPr="00ED172B" w:rsidRDefault="00860830" w:rsidP="00A01E85">
            <w:pPr>
              <w:jc w:val="center"/>
              <w:rPr>
                <w:rFonts w:cs="Arial"/>
                <w:color w:val="000000" w:themeColor="text1"/>
                <w:szCs w:val="16"/>
              </w:rPr>
            </w:pPr>
            <w:r w:rsidRPr="00ED172B">
              <w:rPr>
                <w:rFonts w:cs="Arial"/>
                <w:color w:val="000000" w:themeColor="text1"/>
                <w:szCs w:val="16"/>
              </w:rPr>
              <w:t>84.04%</w:t>
            </w:r>
          </w:p>
        </w:tc>
        <w:tc>
          <w:tcPr>
            <w:tcW w:w="584" w:type="pct"/>
            <w:shd w:val="clear" w:color="auto" w:fill="auto"/>
            <w:vAlign w:val="center"/>
          </w:tcPr>
          <w:p w14:paraId="57ECED0E" w14:textId="7733C966" w:rsidR="00A01E85" w:rsidRPr="00ED172B" w:rsidRDefault="002332D6">
            <w:pPr>
              <w:jc w:val="center"/>
              <w:rPr>
                <w:color w:val="000000" w:themeColor="text1"/>
              </w:rPr>
            </w:pPr>
            <w:r w:rsidRPr="00ED172B">
              <w:rPr>
                <w:color w:val="000000" w:themeColor="text1"/>
              </w:rPr>
              <w:t>95.10%</w:t>
            </w:r>
          </w:p>
        </w:tc>
        <w:tc>
          <w:tcPr>
            <w:tcW w:w="542" w:type="pct"/>
            <w:shd w:val="clear" w:color="auto" w:fill="auto"/>
            <w:vAlign w:val="center"/>
          </w:tcPr>
          <w:p w14:paraId="374F0AA7" w14:textId="4DB2DF37" w:rsidR="00A01E85" w:rsidRPr="00ED172B" w:rsidRDefault="00860830" w:rsidP="00A01E85">
            <w:pPr>
              <w:jc w:val="center"/>
              <w:rPr>
                <w:rFonts w:cs="Arial"/>
                <w:color w:val="000000" w:themeColor="text1"/>
                <w:szCs w:val="16"/>
              </w:rPr>
            </w:pPr>
            <w:r w:rsidRPr="00ED172B">
              <w:rPr>
                <w:rFonts w:cs="Arial"/>
                <w:color w:val="000000" w:themeColor="text1"/>
                <w:szCs w:val="16"/>
              </w:rPr>
              <w:t>86.35%</w:t>
            </w:r>
          </w:p>
        </w:tc>
        <w:tc>
          <w:tcPr>
            <w:tcW w:w="459" w:type="pct"/>
            <w:shd w:val="clear" w:color="auto" w:fill="auto"/>
            <w:vAlign w:val="center"/>
          </w:tcPr>
          <w:p w14:paraId="6E5876F7" w14:textId="03BE42B1"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14:paraId="52D8DAD0" w14:textId="6D898728"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r w:rsidR="00ED172B" w:rsidRPr="00ED172B" w14:paraId="28E7CB5B" w14:textId="77777777" w:rsidTr="00986B99">
        <w:tc>
          <w:tcPr>
            <w:tcW w:w="1124" w:type="pct"/>
            <w:shd w:val="clear" w:color="auto" w:fill="auto"/>
          </w:tcPr>
          <w:p w14:paraId="511B18EA" w14:textId="10CF1F9E" w:rsidR="00A01E85" w:rsidRPr="00ED172B" w:rsidRDefault="00A01E85" w:rsidP="00A01E85">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shd w:val="clear" w:color="auto" w:fill="auto"/>
            <w:vAlign w:val="center"/>
          </w:tcPr>
          <w:p w14:paraId="17979A02" w14:textId="01FF6A5D"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1,359</w:t>
            </w:r>
          </w:p>
        </w:tc>
        <w:tc>
          <w:tcPr>
            <w:tcW w:w="625" w:type="pct"/>
            <w:shd w:val="clear" w:color="auto" w:fill="auto"/>
            <w:vAlign w:val="center"/>
          </w:tcPr>
          <w:p w14:paraId="2DFBFFC4" w14:textId="1FC27887"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2,756</w:t>
            </w:r>
          </w:p>
        </w:tc>
        <w:tc>
          <w:tcPr>
            <w:tcW w:w="626" w:type="pct"/>
            <w:shd w:val="clear" w:color="auto" w:fill="auto"/>
            <w:vAlign w:val="center"/>
          </w:tcPr>
          <w:p w14:paraId="378FCF28" w14:textId="648DE428" w:rsidR="00A01E85" w:rsidRPr="00ED172B" w:rsidRDefault="00860830" w:rsidP="00A01E85">
            <w:pPr>
              <w:jc w:val="center"/>
              <w:rPr>
                <w:rFonts w:cs="Arial"/>
                <w:color w:val="000000" w:themeColor="text1"/>
                <w:szCs w:val="16"/>
              </w:rPr>
            </w:pPr>
            <w:r w:rsidRPr="00ED172B">
              <w:rPr>
                <w:rFonts w:cs="Arial"/>
                <w:color w:val="000000" w:themeColor="text1"/>
                <w:szCs w:val="16"/>
              </w:rPr>
              <w:t>41.97%</w:t>
            </w:r>
          </w:p>
        </w:tc>
        <w:tc>
          <w:tcPr>
            <w:tcW w:w="584" w:type="pct"/>
            <w:shd w:val="clear" w:color="auto" w:fill="auto"/>
            <w:vAlign w:val="center"/>
          </w:tcPr>
          <w:p w14:paraId="230AF9EA" w14:textId="1E938C8E" w:rsidR="00A01E85" w:rsidRPr="00ED172B" w:rsidRDefault="005C14C2" w:rsidP="005C14C2">
            <w:pPr>
              <w:jc w:val="center"/>
              <w:rPr>
                <w:color w:val="000000" w:themeColor="text1"/>
              </w:rPr>
            </w:pPr>
            <w:r w:rsidRPr="00ED172B">
              <w:rPr>
                <w:color w:val="000000" w:themeColor="text1"/>
              </w:rPr>
              <w:t>74.00%</w:t>
            </w:r>
          </w:p>
        </w:tc>
        <w:tc>
          <w:tcPr>
            <w:tcW w:w="542" w:type="pct"/>
            <w:shd w:val="clear" w:color="auto" w:fill="auto"/>
            <w:vAlign w:val="center"/>
          </w:tcPr>
          <w:p w14:paraId="77224B50" w14:textId="3DB30375" w:rsidR="00A01E85" w:rsidRPr="00ED172B" w:rsidRDefault="00860830" w:rsidP="00A01E85">
            <w:pPr>
              <w:jc w:val="center"/>
              <w:rPr>
                <w:rFonts w:cs="Arial"/>
                <w:color w:val="000000" w:themeColor="text1"/>
                <w:szCs w:val="16"/>
              </w:rPr>
            </w:pPr>
            <w:r w:rsidRPr="00ED172B">
              <w:rPr>
                <w:rFonts w:cs="Arial"/>
                <w:color w:val="000000" w:themeColor="text1"/>
                <w:szCs w:val="16"/>
              </w:rPr>
              <w:t>49.31%</w:t>
            </w:r>
          </w:p>
        </w:tc>
        <w:tc>
          <w:tcPr>
            <w:tcW w:w="459" w:type="pct"/>
            <w:shd w:val="clear" w:color="auto" w:fill="auto"/>
            <w:vAlign w:val="center"/>
          </w:tcPr>
          <w:p w14:paraId="79B03CF0" w14:textId="4ED5DDC1" w:rsidR="00A01E85" w:rsidRPr="00ED172B" w:rsidRDefault="00860830" w:rsidP="00A01E85">
            <w:pPr>
              <w:jc w:val="center"/>
              <w:rPr>
                <w:rFonts w:cs="Arial"/>
                <w:color w:val="000000" w:themeColor="text1"/>
                <w:szCs w:val="16"/>
              </w:rPr>
            </w:pPr>
            <w:r w:rsidRPr="00ED172B">
              <w:rPr>
                <w:rFonts w:cs="Arial"/>
                <w:color w:val="000000" w:themeColor="text1"/>
                <w:szCs w:val="16"/>
              </w:rPr>
              <w:t>Did not meet target</w:t>
            </w:r>
          </w:p>
        </w:tc>
        <w:tc>
          <w:tcPr>
            <w:tcW w:w="456" w:type="pct"/>
            <w:shd w:val="clear" w:color="auto" w:fill="auto"/>
            <w:vAlign w:val="center"/>
          </w:tcPr>
          <w:p w14:paraId="791EAD35" w14:textId="59171F2A" w:rsidR="00A01E85" w:rsidRPr="00ED172B" w:rsidRDefault="00860830" w:rsidP="00A01E85">
            <w:pPr>
              <w:jc w:val="center"/>
              <w:rPr>
                <w:rFonts w:cs="Arial"/>
                <w:color w:val="000000" w:themeColor="text1"/>
                <w:szCs w:val="16"/>
              </w:rPr>
            </w:pPr>
            <w:r w:rsidRPr="00ED172B">
              <w:rPr>
                <w:rFonts w:cs="Arial"/>
                <w:color w:val="000000" w:themeColor="text1"/>
                <w:szCs w:val="16"/>
              </w:rPr>
              <w:t>No Slippage</w:t>
            </w:r>
          </w:p>
        </w:tc>
      </w:tr>
    </w:tbl>
    <w:p w14:paraId="1E17E341" w14:textId="77777777" w:rsidR="000D7858" w:rsidRPr="00ED172B" w:rsidRDefault="000D7858" w:rsidP="005C14C2">
      <w:pPr>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3CFFYAPRDATAOPT212"/>
      </w:tblPr>
      <w:tblGrid>
        <w:gridCol w:w="2515"/>
        <w:gridCol w:w="1261"/>
        <w:gridCol w:w="1260"/>
        <w:gridCol w:w="1439"/>
        <w:gridCol w:w="1170"/>
        <w:gridCol w:w="1172"/>
        <w:gridCol w:w="991"/>
        <w:gridCol w:w="982"/>
      </w:tblGrid>
      <w:tr w:rsidR="00ED172B" w:rsidRPr="00ED172B" w14:paraId="3885778E" w14:textId="77777777" w:rsidTr="00986B99">
        <w:trPr>
          <w:tblHeader/>
        </w:trPr>
        <w:tc>
          <w:tcPr>
            <w:tcW w:w="1165" w:type="pct"/>
            <w:shd w:val="clear" w:color="auto" w:fill="auto"/>
            <w:vAlign w:val="bottom"/>
          </w:tcPr>
          <w:p w14:paraId="7C1CB569" w14:textId="6595D59A" w:rsidR="00743466" w:rsidRPr="00ED172B" w:rsidRDefault="00743466" w:rsidP="00B83404">
            <w:pPr>
              <w:rPr>
                <w:b/>
                <w:color w:val="000000" w:themeColor="text1"/>
              </w:rPr>
            </w:pPr>
            <w:r w:rsidRPr="00ED172B">
              <w:rPr>
                <w:b/>
                <w:color w:val="000000" w:themeColor="text1"/>
              </w:rPr>
              <w:t>Just at-risk infants and toddlers/All infants and toddlers</w:t>
            </w:r>
          </w:p>
        </w:tc>
        <w:tc>
          <w:tcPr>
            <w:tcW w:w="584" w:type="pct"/>
            <w:shd w:val="clear" w:color="auto" w:fill="auto"/>
            <w:vAlign w:val="bottom"/>
          </w:tcPr>
          <w:p w14:paraId="74686E5C"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Numerator</w:t>
            </w:r>
          </w:p>
        </w:tc>
        <w:tc>
          <w:tcPr>
            <w:tcW w:w="584" w:type="pct"/>
            <w:shd w:val="clear" w:color="auto" w:fill="auto"/>
            <w:vAlign w:val="bottom"/>
          </w:tcPr>
          <w:p w14:paraId="655EAAF1"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Denominator</w:t>
            </w:r>
          </w:p>
        </w:tc>
        <w:tc>
          <w:tcPr>
            <w:tcW w:w="667" w:type="pct"/>
            <w:shd w:val="clear" w:color="auto" w:fill="auto"/>
            <w:vAlign w:val="bottom"/>
          </w:tcPr>
          <w:p w14:paraId="7BD0D290" w14:textId="2C2163A7" w:rsidR="00743466" w:rsidRPr="00ED172B" w:rsidRDefault="00CD74B5" w:rsidP="00743466">
            <w:pPr>
              <w:keepNext/>
              <w:jc w:val="center"/>
              <w:rPr>
                <w:rFonts w:cs="Arial"/>
                <w:b/>
                <w:color w:val="000000" w:themeColor="text1"/>
                <w:szCs w:val="16"/>
              </w:rPr>
            </w:pPr>
            <w:r>
              <w:rPr>
                <w:rFonts w:cs="Arial"/>
                <w:b/>
                <w:color w:val="000000" w:themeColor="text1"/>
                <w:szCs w:val="16"/>
              </w:rPr>
              <w:t>FFY 2020 Data</w:t>
            </w:r>
          </w:p>
        </w:tc>
        <w:tc>
          <w:tcPr>
            <w:tcW w:w="542" w:type="pct"/>
            <w:shd w:val="clear" w:color="auto" w:fill="auto"/>
            <w:vAlign w:val="bottom"/>
          </w:tcPr>
          <w:p w14:paraId="152AD78D" w14:textId="17F8D14A" w:rsidR="00743466" w:rsidRPr="00ED172B" w:rsidRDefault="00F22D09" w:rsidP="00743466">
            <w:pPr>
              <w:keepNext/>
              <w:jc w:val="center"/>
              <w:rPr>
                <w:rFonts w:cs="Arial"/>
                <w:b/>
                <w:color w:val="000000" w:themeColor="text1"/>
                <w:szCs w:val="16"/>
              </w:rPr>
            </w:pPr>
            <w:r>
              <w:rPr>
                <w:rFonts w:cs="Arial"/>
                <w:b/>
                <w:color w:val="000000" w:themeColor="text1"/>
                <w:szCs w:val="16"/>
              </w:rPr>
              <w:t>FFY 2021 Target</w:t>
            </w:r>
          </w:p>
        </w:tc>
        <w:tc>
          <w:tcPr>
            <w:tcW w:w="543" w:type="pct"/>
            <w:shd w:val="clear" w:color="auto" w:fill="auto"/>
            <w:vAlign w:val="bottom"/>
          </w:tcPr>
          <w:p w14:paraId="279BEBCE" w14:textId="3F81D2A2" w:rsidR="00743466" w:rsidRPr="00ED172B" w:rsidRDefault="00F22D09" w:rsidP="00743466">
            <w:pPr>
              <w:keepNext/>
              <w:jc w:val="center"/>
              <w:rPr>
                <w:rFonts w:cs="Arial"/>
                <w:b/>
                <w:color w:val="000000" w:themeColor="text1"/>
                <w:szCs w:val="16"/>
              </w:rPr>
            </w:pPr>
            <w:r>
              <w:rPr>
                <w:rFonts w:cs="Arial"/>
                <w:b/>
                <w:color w:val="000000" w:themeColor="text1"/>
                <w:szCs w:val="16"/>
              </w:rPr>
              <w:t>FFY 2021 Data</w:t>
            </w:r>
          </w:p>
        </w:tc>
        <w:tc>
          <w:tcPr>
            <w:tcW w:w="459" w:type="pct"/>
            <w:shd w:val="clear" w:color="auto" w:fill="auto"/>
            <w:vAlign w:val="bottom"/>
          </w:tcPr>
          <w:p w14:paraId="23B1FE6D"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Status</w:t>
            </w:r>
          </w:p>
        </w:tc>
        <w:tc>
          <w:tcPr>
            <w:tcW w:w="455" w:type="pct"/>
            <w:shd w:val="clear" w:color="auto" w:fill="auto"/>
            <w:vAlign w:val="bottom"/>
          </w:tcPr>
          <w:p w14:paraId="7E7A6519" w14:textId="77777777" w:rsidR="00743466" w:rsidRPr="00ED172B" w:rsidRDefault="00743466" w:rsidP="00743466">
            <w:pPr>
              <w:keepNext/>
              <w:jc w:val="center"/>
              <w:rPr>
                <w:rFonts w:cs="Arial"/>
                <w:b/>
                <w:color w:val="000000" w:themeColor="text1"/>
                <w:szCs w:val="16"/>
              </w:rPr>
            </w:pPr>
            <w:r w:rsidRPr="00ED172B">
              <w:rPr>
                <w:rFonts w:cs="Arial"/>
                <w:b/>
                <w:color w:val="000000" w:themeColor="text1"/>
                <w:szCs w:val="16"/>
              </w:rPr>
              <w:t>Slippage</w:t>
            </w:r>
          </w:p>
        </w:tc>
      </w:tr>
      <w:tr w:rsidR="00ED172B" w:rsidRPr="00ED172B" w14:paraId="5C92CB05" w14:textId="77777777" w:rsidTr="00986B99">
        <w:tc>
          <w:tcPr>
            <w:tcW w:w="1165" w:type="pct"/>
            <w:shd w:val="clear" w:color="auto" w:fill="auto"/>
          </w:tcPr>
          <w:p w14:paraId="734845A5" w14:textId="1E94529B" w:rsidR="00A01E85" w:rsidRPr="00ED172B" w:rsidRDefault="00A01E85" w:rsidP="00A01E85">
            <w:pPr>
              <w:rPr>
                <w:rFonts w:cs="Arial"/>
                <w:color w:val="000000" w:themeColor="text1"/>
                <w:szCs w:val="16"/>
              </w:rPr>
            </w:pPr>
            <w:r w:rsidRPr="00ED172B">
              <w:rPr>
                <w:rFonts w:cs="Arial"/>
                <w:color w:val="000000" w:themeColor="text1"/>
                <w:szCs w:val="16"/>
              </w:rPr>
              <w:t>C1. Of those children who entered or exited the program below age expectations in Outcome C, the percent who substantially increased their rate of growth by the time they turned 3 years of age or exited the program</w:t>
            </w:r>
          </w:p>
        </w:tc>
        <w:tc>
          <w:tcPr>
            <w:tcW w:w="584" w:type="pct"/>
            <w:shd w:val="clear" w:color="auto" w:fill="auto"/>
            <w:vAlign w:val="center"/>
          </w:tcPr>
          <w:p w14:paraId="36A4BA96" w14:textId="7C591CFB"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33</w:t>
            </w:r>
          </w:p>
        </w:tc>
        <w:tc>
          <w:tcPr>
            <w:tcW w:w="584" w:type="pct"/>
            <w:shd w:val="clear" w:color="auto" w:fill="auto"/>
            <w:vAlign w:val="center"/>
          </w:tcPr>
          <w:p w14:paraId="6896D8D8" w14:textId="50CE5CEF"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33</w:t>
            </w:r>
          </w:p>
        </w:tc>
        <w:tc>
          <w:tcPr>
            <w:tcW w:w="667" w:type="pct"/>
            <w:shd w:val="clear" w:color="auto" w:fill="auto"/>
            <w:vAlign w:val="center"/>
          </w:tcPr>
          <w:p w14:paraId="7E09B3D3" w14:textId="25613C2B"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542" w:type="pct"/>
            <w:shd w:val="clear" w:color="auto" w:fill="auto"/>
            <w:vAlign w:val="center"/>
          </w:tcPr>
          <w:p w14:paraId="5544B24B" w14:textId="22535594" w:rsidR="00A01E85" w:rsidRPr="00ED172B" w:rsidRDefault="005C14C2" w:rsidP="005C14C2">
            <w:pPr>
              <w:jc w:val="center"/>
              <w:rPr>
                <w:color w:val="000000" w:themeColor="text1"/>
              </w:rPr>
            </w:pPr>
            <w:r w:rsidRPr="00ED172B">
              <w:rPr>
                <w:color w:val="000000" w:themeColor="text1"/>
              </w:rPr>
              <w:t/>
            </w:r>
          </w:p>
        </w:tc>
        <w:tc>
          <w:tcPr>
            <w:tcW w:w="543" w:type="pct"/>
            <w:shd w:val="clear" w:color="auto" w:fill="auto"/>
            <w:vAlign w:val="center"/>
          </w:tcPr>
          <w:p w14:paraId="4778BED6" w14:textId="1342AE96" w:rsidR="00A01E85" w:rsidRPr="00ED172B" w:rsidRDefault="00860830" w:rsidP="00A01E85">
            <w:pPr>
              <w:jc w:val="center"/>
              <w:rPr>
                <w:rFonts w:cs="Arial"/>
                <w:color w:val="000000" w:themeColor="text1"/>
                <w:szCs w:val="16"/>
              </w:rPr>
            </w:pPr>
            <w:r w:rsidRPr="00ED172B">
              <w:rPr>
                <w:rFonts w:cs="Arial"/>
                <w:color w:val="000000" w:themeColor="text1"/>
                <w:szCs w:val="16"/>
              </w:rPr>
              <w:t>100.00%</w:t>
            </w:r>
          </w:p>
        </w:tc>
        <w:tc>
          <w:tcPr>
            <w:tcW w:w="459" w:type="pct"/>
            <w:shd w:val="clear" w:color="auto" w:fill="auto"/>
            <w:vAlign w:val="center"/>
          </w:tcPr>
          <w:p w14:paraId="7E3DFE8A" w14:textId="5AE8393B"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2B5AFC6E" w14:textId="05B953B2"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r w:rsidR="00ED172B" w:rsidRPr="00ED172B" w14:paraId="23BAE724" w14:textId="77777777" w:rsidTr="00986B99">
        <w:tc>
          <w:tcPr>
            <w:tcW w:w="1165" w:type="pct"/>
            <w:shd w:val="clear" w:color="auto" w:fill="auto"/>
          </w:tcPr>
          <w:p w14:paraId="06836E77" w14:textId="086C3A03" w:rsidR="00A01E85" w:rsidRPr="00ED172B" w:rsidRDefault="00A01E85" w:rsidP="00A01E85">
            <w:pPr>
              <w:rPr>
                <w:rFonts w:cs="Arial"/>
                <w:color w:val="000000" w:themeColor="text1"/>
                <w:szCs w:val="16"/>
              </w:rPr>
            </w:pPr>
            <w:r w:rsidRPr="00ED172B">
              <w:rPr>
                <w:rFonts w:cs="Arial"/>
                <w:color w:val="000000" w:themeColor="text1"/>
                <w:szCs w:val="16"/>
              </w:rPr>
              <w:t>C2. The percent of infants and toddlers who were functioning within age expectations in Outcome C by the time they turned 3 years of age or exited the program</w:t>
            </w:r>
          </w:p>
        </w:tc>
        <w:tc>
          <w:tcPr>
            <w:tcW w:w="584" w:type="pct"/>
            <w:shd w:val="clear" w:color="auto" w:fill="auto"/>
            <w:vAlign w:val="center"/>
          </w:tcPr>
          <w:p w14:paraId="7B317111" w14:textId="0EF8FB49"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43</w:t>
            </w:r>
          </w:p>
        </w:tc>
        <w:tc>
          <w:tcPr>
            <w:tcW w:w="584" w:type="pct"/>
            <w:shd w:val="clear" w:color="auto" w:fill="auto"/>
            <w:vAlign w:val="center"/>
          </w:tcPr>
          <w:p w14:paraId="32CB8EF7" w14:textId="5053A971" w:rsidR="00A01E85" w:rsidRPr="00ED172B" w:rsidRDefault="00860830" w:rsidP="00A01E85">
            <w:pPr>
              <w:pStyle w:val="Explain"/>
              <w:jc w:val="center"/>
              <w:rPr>
                <w:rFonts w:cs="Arial"/>
                <w:color w:val="000000" w:themeColor="text1"/>
                <w:szCs w:val="16"/>
              </w:rPr>
            </w:pPr>
            <w:r w:rsidRPr="00ED172B">
              <w:rPr>
                <w:rFonts w:cs="Arial"/>
                <w:color w:val="000000" w:themeColor="text1"/>
                <w:szCs w:val="16"/>
              </w:rPr>
              <w:t>46</w:t>
            </w:r>
          </w:p>
        </w:tc>
        <w:tc>
          <w:tcPr>
            <w:tcW w:w="667" w:type="pct"/>
            <w:shd w:val="clear" w:color="auto" w:fill="auto"/>
            <w:vAlign w:val="center"/>
          </w:tcPr>
          <w:p w14:paraId="463861E3" w14:textId="4D649E1E" w:rsidR="00A01E85" w:rsidRPr="00ED172B" w:rsidRDefault="00860830" w:rsidP="00A01E85">
            <w:pPr>
              <w:jc w:val="center"/>
              <w:rPr>
                <w:rFonts w:cs="Arial"/>
                <w:color w:val="000000" w:themeColor="text1"/>
                <w:szCs w:val="16"/>
              </w:rPr>
            </w:pPr>
            <w:r w:rsidRPr="00ED172B">
              <w:rPr>
                <w:rFonts w:cs="Arial"/>
                <w:color w:val="000000" w:themeColor="text1"/>
                <w:szCs w:val="16"/>
              </w:rPr>
              <w:t>95.08%</w:t>
            </w:r>
          </w:p>
        </w:tc>
        <w:tc>
          <w:tcPr>
            <w:tcW w:w="542" w:type="pct"/>
            <w:shd w:val="clear" w:color="auto" w:fill="auto"/>
            <w:vAlign w:val="center"/>
          </w:tcPr>
          <w:p w14:paraId="7C10183A" w14:textId="6E242F63" w:rsidR="00A01E85" w:rsidRPr="00ED172B" w:rsidRDefault="002332D6">
            <w:pPr>
              <w:jc w:val="center"/>
              <w:rPr>
                <w:color w:val="000000" w:themeColor="text1"/>
              </w:rPr>
            </w:pPr>
            <w:r w:rsidRPr="00ED172B">
              <w:rPr>
                <w:color w:val="000000" w:themeColor="text1"/>
              </w:rPr>
              <w:t/>
            </w:r>
          </w:p>
        </w:tc>
        <w:tc>
          <w:tcPr>
            <w:tcW w:w="543" w:type="pct"/>
            <w:shd w:val="clear" w:color="auto" w:fill="auto"/>
            <w:vAlign w:val="center"/>
          </w:tcPr>
          <w:p w14:paraId="107E7650" w14:textId="13D458A2" w:rsidR="00A01E85" w:rsidRPr="00ED172B" w:rsidRDefault="00860830" w:rsidP="00A01E85">
            <w:pPr>
              <w:jc w:val="center"/>
              <w:rPr>
                <w:rFonts w:cs="Arial"/>
                <w:color w:val="000000" w:themeColor="text1"/>
                <w:szCs w:val="16"/>
              </w:rPr>
            </w:pPr>
            <w:r w:rsidRPr="00ED172B">
              <w:rPr>
                <w:rFonts w:cs="Arial"/>
                <w:color w:val="000000" w:themeColor="text1"/>
                <w:szCs w:val="16"/>
              </w:rPr>
              <w:t>93.48%</w:t>
            </w:r>
          </w:p>
        </w:tc>
        <w:tc>
          <w:tcPr>
            <w:tcW w:w="459" w:type="pct"/>
            <w:shd w:val="clear" w:color="auto" w:fill="auto"/>
            <w:vAlign w:val="center"/>
          </w:tcPr>
          <w:p w14:paraId="5E8D9DAC" w14:textId="75E1D4D4"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c>
          <w:tcPr>
            <w:tcW w:w="455" w:type="pct"/>
            <w:shd w:val="clear" w:color="auto" w:fill="auto"/>
            <w:vAlign w:val="center"/>
          </w:tcPr>
          <w:p w14:paraId="79E6BBAD" w14:textId="1122B546" w:rsidR="00A01E85" w:rsidRPr="00ED172B" w:rsidRDefault="00860830" w:rsidP="00A01E85">
            <w:pPr>
              <w:jc w:val="center"/>
              <w:rPr>
                <w:rFonts w:cs="Arial"/>
                <w:color w:val="000000" w:themeColor="text1"/>
                <w:szCs w:val="16"/>
              </w:rPr>
            </w:pPr>
            <w:r w:rsidRPr="00ED172B">
              <w:rPr>
                <w:rFonts w:cs="Arial"/>
                <w:color w:val="000000" w:themeColor="text1"/>
                <w:szCs w:val="16"/>
              </w:rPr>
              <w:t>N/A</w:t>
            </w:r>
          </w:p>
        </w:tc>
      </w:tr>
    </w:tbl>
    <w:p w14:paraId="5EA65F7A" w14:textId="40306018" w:rsidR="001A171A" w:rsidRPr="00ED172B" w:rsidRDefault="001A171A" w:rsidP="0084029E">
      <w:pPr>
        <w:rPr>
          <w:rFonts w:cs="Arial"/>
          <w:color w:val="000000" w:themeColor="text1"/>
          <w:szCs w:val="16"/>
        </w:rPr>
      </w:pPr>
      <w:r w:rsidRPr="00ED172B">
        <w:rPr>
          <w:rFonts w:cs="Arial"/>
          <w:b/>
          <w:color w:val="000000" w:themeColor="text1"/>
          <w:szCs w:val="16"/>
        </w:rPr>
        <w:lastRenderedPageBreak/>
        <w:t>The number of infants and toddlers who did not receive early intervention services for at least six months before exiting the Part C program</w:t>
      </w:r>
      <w:r w:rsidRPr="00ED172B">
        <w:rPr>
          <w:rFonts w:cs="Arial"/>
          <w:color w:val="000000" w:themeColor="text1"/>
          <w:szCs w:val="16"/>
        </w:rPr>
        <w:t>.</w:t>
      </w:r>
    </w:p>
    <w:tbl>
      <w:tblPr>
        <w:tblStyle w:val="TableGrid"/>
        <w:tblW w:w="0" w:type="auto"/>
        <w:tblLook w:val="04A0" w:firstRow="1" w:lastRow="0" w:firstColumn="1" w:lastColumn="0" w:noHBand="0" w:noVBand="1"/>
        <w:tblCaption w:val="C03INTDDIDNOT"/>
      </w:tblPr>
      <w:tblGrid>
        <w:gridCol w:w="8928"/>
        <w:gridCol w:w="1862"/>
      </w:tblGrid>
      <w:tr w:rsidR="003B14F4" w:rsidRPr="00ED172B" w14:paraId="53BC3106" w14:textId="77777777" w:rsidTr="00A40EE1">
        <w:trPr>
          <w:tblHeader/>
        </w:trPr>
        <w:tc>
          <w:tcPr>
            <w:tcW w:w="9175" w:type="dxa"/>
          </w:tcPr>
          <w:p w14:paraId="04387DA6" w14:textId="73FEC390" w:rsidR="003B14F4" w:rsidRPr="00A40EE1" w:rsidRDefault="003B14F4" w:rsidP="00014550">
            <w:pPr>
              <w:rPr>
                <w:rFonts w:cs="Arial"/>
                <w:b/>
                <w:bCs/>
                <w:color w:val="000000" w:themeColor="text1"/>
                <w:szCs w:val="16"/>
              </w:rPr>
            </w:pPr>
            <w:r>
              <w:rPr>
                <w:rFonts w:cs="Arial"/>
                <w:b/>
                <w:bCs/>
                <w:color w:val="000000" w:themeColor="text1"/>
                <w:szCs w:val="16"/>
              </w:rPr>
              <w:t>Question</w:t>
            </w:r>
          </w:p>
        </w:tc>
        <w:tc>
          <w:tcPr>
            <w:tcW w:w="1615" w:type="dxa"/>
            <w:shd w:val="clear" w:color="auto" w:fill="auto"/>
          </w:tcPr>
          <w:p w14:paraId="0638FFDB" w14:textId="676DA3DC" w:rsidR="003B14F4" w:rsidRPr="00A40EE1" w:rsidRDefault="003B14F4" w:rsidP="00A40EE1">
            <w:pPr>
              <w:jc w:val="center"/>
              <w:rPr>
                <w:rFonts w:cs="Arial"/>
                <w:b/>
                <w:bCs/>
                <w:color w:val="000000" w:themeColor="text1"/>
                <w:szCs w:val="16"/>
              </w:rPr>
            </w:pPr>
            <w:r w:rsidRPr="00A40EE1">
              <w:rPr>
                <w:rFonts w:cs="Arial"/>
                <w:b/>
                <w:bCs/>
                <w:color w:val="000000" w:themeColor="text1"/>
                <w:szCs w:val="16"/>
              </w:rPr>
              <w:t>Number</w:t>
            </w:r>
          </w:p>
        </w:tc>
      </w:tr>
      <w:tr w:rsidR="00ED172B" w:rsidRPr="00ED172B" w14:paraId="7FB3B498" w14:textId="77777777" w:rsidTr="0084029E">
        <w:tc>
          <w:tcPr>
            <w:tcW w:w="9175" w:type="dxa"/>
          </w:tcPr>
          <w:p w14:paraId="2FA9A41D" w14:textId="6AC0C0CA" w:rsidR="001A171A" w:rsidRPr="00ED172B" w:rsidRDefault="001A171A" w:rsidP="00014550">
            <w:pPr>
              <w:rPr>
                <w:rFonts w:cs="Arial"/>
                <w:color w:val="000000" w:themeColor="text1"/>
                <w:szCs w:val="16"/>
              </w:rPr>
            </w:pPr>
            <w:r w:rsidRPr="00ED172B">
              <w:rPr>
                <w:rFonts w:cs="Arial"/>
                <w:color w:val="000000" w:themeColor="text1"/>
                <w:szCs w:val="16"/>
              </w:rPr>
              <w:t>The number of infants and toddlers who exited the Part C program during the reporting period, as reported in the State’s Part C exiting 618 data</w:t>
            </w:r>
          </w:p>
        </w:tc>
        <w:tc>
          <w:tcPr>
            <w:tcW w:w="1615" w:type="dxa"/>
            <w:shd w:val="clear" w:color="auto" w:fill="auto"/>
          </w:tcPr>
          <w:p w14:paraId="1A09A961" w14:textId="26A8F71C" w:rsidR="001A171A" w:rsidRPr="00ED172B" w:rsidRDefault="00860830" w:rsidP="00014550">
            <w:pPr>
              <w:rPr>
                <w:rFonts w:cs="Arial"/>
                <w:color w:val="000000" w:themeColor="text1"/>
                <w:szCs w:val="16"/>
              </w:rPr>
            </w:pPr>
            <w:r w:rsidRPr="00ED172B">
              <w:rPr>
                <w:rFonts w:cs="Arial"/>
                <w:color w:val="000000" w:themeColor="text1"/>
                <w:szCs w:val="16"/>
              </w:rPr>
              <w:t>19,063</w:t>
            </w:r>
          </w:p>
        </w:tc>
      </w:tr>
      <w:tr w:rsidR="00BC2EF9" w:rsidRPr="00ED172B" w14:paraId="48000F03" w14:textId="77777777" w:rsidTr="00014550">
        <w:tc>
          <w:tcPr>
            <w:tcW w:w="9175" w:type="dxa"/>
          </w:tcPr>
          <w:p w14:paraId="2C241A90" w14:textId="77777777" w:rsidR="00BC2EF9" w:rsidRPr="00ED172B" w:rsidRDefault="00BC2EF9" w:rsidP="00BC2EF9">
            <w:pPr>
              <w:rPr>
                <w:rFonts w:cs="Arial"/>
                <w:color w:val="000000" w:themeColor="text1"/>
                <w:szCs w:val="16"/>
              </w:rPr>
            </w:pPr>
            <w:r w:rsidRPr="00ED172B">
              <w:rPr>
                <w:rFonts w:cs="Arial"/>
                <w:color w:val="000000" w:themeColor="text1"/>
                <w:szCs w:val="16"/>
              </w:rPr>
              <w:t>The number of those infants and toddlers who did not receive early intervention services for at least six months before exiting the Part C program.</w:t>
            </w:r>
          </w:p>
        </w:tc>
        <w:tc>
          <w:tcPr>
            <w:tcW w:w="1615" w:type="dxa"/>
          </w:tcPr>
          <w:p w14:paraId="001BDD29" w14:textId="574E2F51" w:rsidR="00BC2EF9" w:rsidRPr="00ED172B" w:rsidRDefault="00860830" w:rsidP="00BC2EF9">
            <w:pPr>
              <w:rPr>
                <w:rFonts w:cs="Arial"/>
                <w:color w:val="000000" w:themeColor="text1"/>
                <w:szCs w:val="16"/>
              </w:rPr>
            </w:pPr>
            <w:r w:rsidRPr="00ED172B">
              <w:rPr>
                <w:rFonts w:cs="Arial"/>
                <w:color w:val="000000" w:themeColor="text1"/>
                <w:szCs w:val="16"/>
              </w:rPr>
              <w:t>9,515</w:t>
            </w:r>
          </w:p>
        </w:tc>
      </w:tr>
      <w:bookmarkEnd w:id="16"/>
    </w:tbl>
    <w:p w14:paraId="72E78A43" w14:textId="658DEFD0" w:rsidR="001A171A" w:rsidRDefault="001A171A" w:rsidP="005F4279">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3SAMPLEUSED"/>
      </w:tblPr>
      <w:tblGrid>
        <w:gridCol w:w="8310"/>
        <w:gridCol w:w="2480"/>
      </w:tblGrid>
      <w:tr w:rsidR="00ED172B" w:rsidRPr="00ED172B" w14:paraId="5CDC992D" w14:textId="77777777" w:rsidTr="00A40EE1">
        <w:trPr>
          <w:tblHeader/>
        </w:trPr>
        <w:tc>
          <w:tcPr>
            <w:tcW w:w="3851" w:type="pct"/>
            <w:tcBorders>
              <w:top w:val="single" w:sz="4" w:space="0" w:color="auto"/>
              <w:left w:val="single" w:sz="4" w:space="0" w:color="auto"/>
            </w:tcBorders>
          </w:tcPr>
          <w:p w14:paraId="50D8D3CA" w14:textId="2FF2BABA" w:rsidR="00F20E73"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149" w:type="pct"/>
            <w:tcBorders>
              <w:top w:val="single" w:sz="4" w:space="0" w:color="auto"/>
            </w:tcBorders>
          </w:tcPr>
          <w:p w14:paraId="2941D030" w14:textId="77777777" w:rsidR="00F20E73" w:rsidRPr="00ED172B" w:rsidRDefault="00F20E73"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72F7F64E" w14:textId="77777777" w:rsidTr="000D7858">
        <w:tc>
          <w:tcPr>
            <w:tcW w:w="3851" w:type="pct"/>
          </w:tcPr>
          <w:p w14:paraId="15ED4817" w14:textId="77777777" w:rsidR="00F20E73" w:rsidRPr="00ED172B" w:rsidRDefault="00F20E73" w:rsidP="00781A26">
            <w:pPr>
              <w:rPr>
                <w:rFonts w:cs="Arial"/>
                <w:color w:val="000000" w:themeColor="text1"/>
                <w:szCs w:val="16"/>
              </w:rPr>
            </w:pPr>
            <w:r w:rsidRPr="00ED172B">
              <w:rPr>
                <w:rFonts w:cs="Arial"/>
                <w:color w:val="000000" w:themeColor="text1"/>
                <w:szCs w:val="16"/>
              </w:rPr>
              <w:t xml:space="preserve">Was sampling used? </w:t>
            </w:r>
          </w:p>
        </w:tc>
        <w:tc>
          <w:tcPr>
            <w:tcW w:w="1149" w:type="pct"/>
          </w:tcPr>
          <w:p w14:paraId="4AF34DAE" w14:textId="4C1FA1B9" w:rsidR="00F20E73" w:rsidRPr="00ED172B" w:rsidRDefault="00860830" w:rsidP="00781A26">
            <w:pPr>
              <w:rPr>
                <w:rFonts w:cs="Arial"/>
                <w:color w:val="000000" w:themeColor="text1"/>
                <w:szCs w:val="16"/>
              </w:rPr>
            </w:pPr>
            <w:r w:rsidRPr="00ED172B">
              <w:rPr>
                <w:rFonts w:cs="Arial"/>
                <w:color w:val="000000" w:themeColor="text1"/>
                <w:szCs w:val="16"/>
              </w:rPr>
              <w:t>NO</w:t>
            </w:r>
          </w:p>
        </w:tc>
      </w:tr>
    </w:tbl>
    <w:p w14:paraId="047486DE" w14:textId="1911396D" w:rsidR="002451A6" w:rsidRPr="00ED172B" w:rsidRDefault="002451A6" w:rsidP="00F20E73">
      <w:pPr>
        <w:rPr>
          <w:rFonts w:cs="Arial"/>
          <w:b/>
          <w:color w:val="000000" w:themeColor="text1"/>
          <w:szCs w:val="16"/>
        </w:rPr>
      </w:pPr>
      <w:r w:rsidRPr="00ED172B">
        <w:rPr>
          <w:rFonts w:cs="Arial"/>
          <w:b/>
          <w:color w:val="000000" w:themeColor="text1"/>
          <w:szCs w:val="16"/>
        </w:rPr>
        <w:t>Did you use the Early Childhood Outcomes Center (ECO) Child Outcomes Summary Form (COS) process? (yes/no)</w:t>
      </w:r>
    </w:p>
    <w:p w14:paraId="44D4D8D3" w14:textId="4AE06461" w:rsidR="002451A6" w:rsidRDefault="005C14C2" w:rsidP="005C14C2">
      <w:pPr>
        <w:rPr>
          <w:color w:val="000000" w:themeColor="text1"/>
        </w:rPr>
      </w:pPr>
      <w:r w:rsidRPr="00ED172B">
        <w:rPr>
          <w:color w:val="000000" w:themeColor="text1"/>
        </w:rPr>
        <w:t>NO</w:t>
      </w:r>
    </w:p>
    <w:p w14:paraId="5721B8E5" w14:textId="796E7895" w:rsidR="00F20E73" w:rsidRPr="00ED172B" w:rsidRDefault="00F20E73" w:rsidP="00F20E73">
      <w:pPr>
        <w:rPr>
          <w:rFonts w:cs="Arial"/>
          <w:b/>
          <w:color w:val="000000" w:themeColor="text1"/>
          <w:szCs w:val="16"/>
        </w:rPr>
      </w:pPr>
      <w:r w:rsidRPr="00ED172B">
        <w:rPr>
          <w:b/>
          <w:color w:val="000000" w:themeColor="text1"/>
        </w:rPr>
        <w:t>Provide the criteria for defining “comparable to same-aged peers.”</w:t>
      </w:r>
    </w:p>
    <w:p w14:paraId="43BEFADD" w14:textId="7C17EB70" w:rsidR="00F20E73" w:rsidRDefault="00860830" w:rsidP="00F20E73">
      <w:pPr>
        <w:rPr>
          <w:rFonts w:cs="Arial"/>
          <w:color w:val="000000" w:themeColor="text1"/>
          <w:szCs w:val="16"/>
        </w:rPr>
      </w:pPr>
      <w:r w:rsidRPr="00ED172B">
        <w:rPr>
          <w:rFonts w:cs="Arial"/>
          <w:color w:val="000000" w:themeColor="text1"/>
          <w:szCs w:val="16"/>
        </w:rPr>
        <w:t>The criteria for defining “comparable to same-aged peers” is a developmental quotient (DQ) of greater or equal to the 80 and one or more exit raw subdomain scores are greater than the entry raw subdomain score on the Battelle Developmental Inventory (2nd ed.)</w:t>
      </w:r>
    </w:p>
    <w:p w14:paraId="10AAC9AE" w14:textId="77777777" w:rsidR="00F20E73" w:rsidRPr="00ED172B" w:rsidRDefault="00F20E73" w:rsidP="00F20E73">
      <w:pPr>
        <w:rPr>
          <w:rFonts w:cs="Arial"/>
          <w:b/>
          <w:color w:val="000000" w:themeColor="text1"/>
          <w:szCs w:val="16"/>
        </w:rPr>
      </w:pPr>
      <w:r w:rsidRPr="00ED172B">
        <w:rPr>
          <w:rFonts w:cs="Arial"/>
          <w:b/>
          <w:color w:val="000000" w:themeColor="text1"/>
          <w:szCs w:val="16"/>
        </w:rPr>
        <w:t>List the instruments and procedures used to gather data for this indicator.</w:t>
      </w:r>
    </w:p>
    <w:p w14:paraId="0307C014" w14:textId="58F2A742" w:rsidR="00F20E73" w:rsidRPr="00ED172B" w:rsidRDefault="00860830" w:rsidP="00F20E73">
      <w:pPr>
        <w:rPr>
          <w:rFonts w:cs="Arial"/>
          <w:color w:val="000000" w:themeColor="text1"/>
          <w:szCs w:val="16"/>
        </w:rPr>
      </w:pPr>
      <w:r w:rsidRPr="00ED172B">
        <w:rPr>
          <w:rFonts w:cs="Arial"/>
          <w:color w:val="000000" w:themeColor="text1"/>
          <w:szCs w:val="16"/>
        </w:rPr>
        <w:t xml:space="preserve">The Lead Agency (MA-C) has selected the Battelle Development Inventory (Newborg, 2005) as its instrument to gather data for this indicator. The assessment is completed during synchronous, in-person interactions with at least two examiners, the child, and their caregiver(s). </w:t>
        <w:br/>
        <w:t/>
        <w:br/>
        <w:t>The examiners follow the BDI-2 manual to complete the assessment in five developmental domains (i.e., adaptive, personal-social, communication, motor, and cognitive). The child's chronological age in months is calculated.</w:t>
        <w:br/>
        <w:t/>
        <w:br/>
        <w:t xml:space="preserve">To begin a subdomain, the examiner finds the basal by beginning at the designated starting point (per BDI-2 manual). A basal is established when the child has scored three consecutive 2s. The examiner may need to assess tasks before the designated starting point to find a basal score.  For each assessment task, the examiner identifies how the information was obtained (i.e., S = structured activities for direct assessment; O = observation of activities in the child's natural environment; I = interviews with the child's caregiver).  The examiner scores assessment items using the criteria in the BDI-2 manual (i.e., 2 = the child's response meets the specified criteria listed in the manual; 1 = skill may be emerging and is not yet mastered; 0 = child did not attempt or response was insufficient to receive partial credit). The examiner stops administering tasks after establishing a ceiling, or three consecutive 0s. </w:t>
        <w:br/>
        <w:t/>
        <w:br/>
        <w:t>The examiner then calculates raw scores using the scoring form on the front of the protocol booklet. The raw scores are used to calculate scaled scores, percentiles, and age equivalents for the subdomains.</w:t>
        <w:br/>
        <w:t/>
        <w:br/>
        <w:t>Newborg, J. (2005). Battelle developmental inventory (2nd ed.). Itasca, IL: Riverside Publishing.</w:t>
      </w:r>
    </w:p>
    <w:p w14:paraId="7C7F4032" w14:textId="3B8DC8B2" w:rsidR="003A3693" w:rsidRPr="00ED172B" w:rsidRDefault="003A3693" w:rsidP="006935F4">
      <w:pPr>
        <w:rPr>
          <w:b/>
          <w:color w:val="000000" w:themeColor="text1"/>
        </w:rPr>
      </w:pPr>
      <w:bookmarkStart w:id="17" w:name="_Toc382082362"/>
      <w:bookmarkStart w:id="18" w:name="_Toc392159270"/>
      <w:r w:rsidRPr="00ED172B">
        <w:rPr>
          <w:b/>
          <w:color w:val="000000" w:themeColor="text1"/>
        </w:rPr>
        <w:t>Provide additional information about this indicator (optional).</w:t>
      </w:r>
    </w:p>
    <w:p w14:paraId="38CEA5CA" w14:textId="6B633C85" w:rsidR="003A3693" w:rsidRPr="00ED172B" w:rsidRDefault="00860830" w:rsidP="003A3693">
      <w:pPr>
        <w:rPr>
          <w:rFonts w:cs="Arial"/>
          <w:color w:val="000000" w:themeColor="text1"/>
          <w:szCs w:val="16"/>
        </w:rPr>
      </w:pPr>
      <w:r w:rsidRPr="00ED172B">
        <w:rPr>
          <w:rFonts w:cs="Arial"/>
          <w:color w:val="000000" w:themeColor="text1"/>
          <w:szCs w:val="16"/>
        </w:rPr>
        <w:t xml:space="preserve">The Lead Agency (MA-C) had 19,063 children exit the Part C system during FFY21. 9,515 received less than six months of early intervention services prior to exit and were excluded from the Indicator 3 analyses. 6,791 children had only a single evaluation (i.e., either entry or exit) or had an incomplete evaluation and could not be included in these analyses. Because the BDI-2 does not permit for administration via telehealth and MA-C's EIS programs continued to provide services predominantly via telehealth, this discrepancy is not unexpected. </w:t>
        <w:br/>
        <w:t/>
        <w:br/>
        <w:t xml:space="preserve">MA-C used the Meaningful Differences calculated developed by ECTA to better understand its outcome data (template available at https://ectacenter.org/eco/pages/childoutcomes-calc.asp). This calculator compares state data from FFY20 to FFY21 and compares EIS program-level data to the state data for FFY21. The calculator uses a test of proportional difference to determine if the difference between the two percentages is statistically significant based on the confidence levels of each indicator. </w:t>
        <w:br/>
        <w:t/>
        <w:br/>
        <w:t>When comparing the state data from FFY20 to state data from FFY21, MA-C observed statistically significant improvements across all three outcomes for both Summary Statement 1 and Summary Statement 2.</w:t>
        <w:br/>
        <w:t/>
        <w:br/>
        <w:t>When comparing FFY21 EIS program-level data to FFY21 state data, MA-C observed the following:</w:t>
        <w:br/>
        <w:t>21/59 EIS Programs demonstrated statistically significant improvements in Outcome 3A, Summary Statement 1.</w:t>
        <w:br/>
        <w:t>23/59 EIS Programs demonstrated statistically significant improvements in Outcome 3A, Summary Statement 2.</w:t>
        <w:br/>
        <w:t>17/59 EIS Programs demonstrated statistically significant improvements in Outcome 3B, Summary Statement 1.</w:t>
        <w:br/>
        <w:t>7/59 EIS Programs demonstrated statistically significant improvements in Outcome 3B, Summary Statement 2.</w:t>
        <w:br/>
        <w:t>16/59 EIS Programs demonstrated statistically significant improvements in Outcome 3C, Summary Statement 1.</w:t>
        <w:br/>
        <w:t>14/59 EIS Programs demonstrated statistically significant improvements in Outcome 3C, Summary Statement 2.</w:t>
        <w:br/>
        <w:t>27/59 EIS Programs did not demonstrate statistically significant improvements in any of the Child Outcomes for Summary Statement 1.</w:t>
        <w:br/>
        <w:t>25/59 EIS Programs did not demonstrate statistically significant improvements in any of the Child Outcomes for Summary Statement 2.</w:t>
        <w:br/>
        <w:t/>
        <w:br/>
        <w:t>Programs who did not demonstrate statistically significant improvements in any of the Child Outcomes for either Summary Statement have been identified for targeted technical assistance.</w:t>
      </w:r>
    </w:p>
    <w:p w14:paraId="2F0F2ABA" w14:textId="15FC50CD" w:rsidR="00DC0682" w:rsidRPr="00A40EE1" w:rsidRDefault="000D0117" w:rsidP="005C3FFD">
      <w:pPr>
        <w:pStyle w:val="Heading2"/>
      </w:pPr>
      <w:r w:rsidRPr="00A40EE1">
        <w:t xml:space="preserve">3 - </w:t>
      </w:r>
      <w:r w:rsidR="00DC0682" w:rsidRPr="00A40EE1">
        <w:t>Prior FFY Required Actions</w:t>
      </w:r>
    </w:p>
    <w:p w14:paraId="21A4A58D" w14:textId="7734B581" w:rsidR="004C1CEE" w:rsidRPr="00ED172B" w:rsidRDefault="00291EA9" w:rsidP="00291EA9">
      <w:pPr>
        <w:rPr>
          <w:color w:val="000000" w:themeColor="text1"/>
        </w:rPr>
      </w:pPr>
      <w:r w:rsidRPr="00ED172B">
        <w:rPr>
          <w:color w:val="000000" w:themeColor="text1"/>
        </w:rPr>
        <w:t>None</w:t>
      </w:r>
    </w:p>
    <w:p w14:paraId="043E739C" w14:textId="77777777" w:rsidR="004C1CEE" w:rsidRPr="00ED172B" w:rsidRDefault="004C1CEE" w:rsidP="00DC0682">
      <w:pPr>
        <w:rPr>
          <w:rFonts w:cs="Arial"/>
          <w:color w:val="000000" w:themeColor="text1"/>
          <w:szCs w:val="16"/>
        </w:rPr>
      </w:pPr>
    </w:p>
    <w:p w14:paraId="0981E26C" w14:textId="77777777" w:rsidR="004C1CEE" w:rsidRPr="00ED172B" w:rsidRDefault="004C1CEE" w:rsidP="00DC0682">
      <w:pPr>
        <w:rPr>
          <w:rFonts w:cs="Arial"/>
          <w:color w:val="000000" w:themeColor="text1"/>
          <w:szCs w:val="16"/>
        </w:rPr>
      </w:pPr>
    </w:p>
    <w:p w14:paraId="49B20761" w14:textId="442F28BB" w:rsidR="00DC0682" w:rsidRPr="00A40EE1" w:rsidRDefault="000D0117" w:rsidP="005C3FFD">
      <w:pPr>
        <w:pStyle w:val="Heading2"/>
      </w:pPr>
      <w:r w:rsidRPr="00A40EE1">
        <w:t xml:space="preserve">3 - </w:t>
      </w:r>
      <w:r w:rsidR="00DC0682" w:rsidRPr="00A40EE1">
        <w:t>OSEP Response</w:t>
      </w:r>
    </w:p>
    <w:p w14:paraId="4DD1F618" w14:textId="23270F7D" w:rsidR="00DC0682" w:rsidRPr="00ED172B" w:rsidRDefault="005C14C2" w:rsidP="005C14C2">
      <w:pPr>
        <w:rPr>
          <w:color w:val="000000" w:themeColor="text1"/>
        </w:rPr>
      </w:pPr>
      <w:r w:rsidRPr="00ED172B">
        <w:rPr>
          <w:color w:val="000000" w:themeColor="text1"/>
        </w:rPr>
        <w:t>
</w:t>
      </w:r>
    </w:p>
    <w:p w14:paraId="0ADAD91A" w14:textId="60D27E93" w:rsidR="00DC0682" w:rsidRPr="00A40EE1" w:rsidRDefault="000D0117" w:rsidP="005C3FFD">
      <w:pPr>
        <w:pStyle w:val="Heading2"/>
      </w:pPr>
      <w:r w:rsidRPr="00A40EE1">
        <w:t xml:space="preserve">3 - </w:t>
      </w:r>
      <w:r w:rsidR="00DC0682" w:rsidRPr="00A40EE1">
        <w:t>Required Actions</w:t>
      </w:r>
    </w:p>
    <w:p w14:paraId="08C780E2" w14:textId="562AD34F" w:rsidR="00DC0682" w:rsidRPr="00ED172B" w:rsidRDefault="005C14C2" w:rsidP="005C14C2">
      <w:pPr>
        <w:rPr>
          <w:color w:val="000000" w:themeColor="text1"/>
        </w:rPr>
      </w:pPr>
      <w:r w:rsidRPr="00ED172B">
        <w:rPr>
          <w:color w:val="000000" w:themeColor="text1"/>
        </w:rPr>
        <w:t/>
      </w:r>
    </w:p>
    <w:p w14:paraId="7E16CF72" w14:textId="77777777" w:rsidR="006935F4" w:rsidRPr="00ED172B" w:rsidRDefault="006935F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08D67223" w14:textId="06797F57" w:rsidR="009D378C" w:rsidRPr="00ED172B" w:rsidRDefault="009D378C" w:rsidP="0077063D">
      <w:pPr>
        <w:pStyle w:val="Heading1"/>
        <w:rPr>
          <w:color w:val="000000" w:themeColor="text1"/>
        </w:rPr>
      </w:pPr>
      <w:r w:rsidRPr="00ED172B">
        <w:rPr>
          <w:color w:val="000000" w:themeColor="text1"/>
        </w:rPr>
        <w:lastRenderedPageBreak/>
        <w:t xml:space="preserve">Indicator </w:t>
      </w:r>
      <w:bookmarkEnd w:id="17"/>
      <w:bookmarkEnd w:id="18"/>
      <w:r w:rsidR="001F545F" w:rsidRPr="00ED172B">
        <w:rPr>
          <w:color w:val="000000" w:themeColor="text1"/>
        </w:rPr>
        <w:t>4: Family Involvement</w:t>
      </w:r>
    </w:p>
    <w:p w14:paraId="569B227F" w14:textId="77777777" w:rsidR="000C5918" w:rsidRPr="00ED172B" w:rsidRDefault="000C5918" w:rsidP="00186420">
      <w:pPr>
        <w:rPr>
          <w:color w:val="000000" w:themeColor="text1"/>
          <w:szCs w:val="20"/>
        </w:rPr>
      </w:pPr>
      <w:bookmarkStart w:id="19" w:name="_Toc392159271"/>
      <w:r w:rsidRPr="00ED172B">
        <w:rPr>
          <w:b/>
          <w:color w:val="000000" w:themeColor="text1"/>
          <w:sz w:val="20"/>
          <w:szCs w:val="20"/>
        </w:rPr>
        <w:t>Instructions and Measurement</w:t>
      </w:r>
    </w:p>
    <w:p w14:paraId="25E565A2" w14:textId="77777777" w:rsidR="001F545F" w:rsidRPr="00ED172B" w:rsidRDefault="001F545F">
      <w:pPr>
        <w:rPr>
          <w:b/>
          <w:color w:val="000000" w:themeColor="text1"/>
        </w:rPr>
      </w:pPr>
      <w:r w:rsidRPr="00ED172B">
        <w:rPr>
          <w:b/>
          <w:color w:val="000000" w:themeColor="text1"/>
        </w:rPr>
        <w:t xml:space="preserve">Monitoring Priority: </w:t>
      </w:r>
      <w:r w:rsidRPr="00ED172B">
        <w:rPr>
          <w:color w:val="000000" w:themeColor="text1"/>
        </w:rPr>
        <w:t>Early Intervention Services In Natural Environments</w:t>
      </w:r>
    </w:p>
    <w:p w14:paraId="6C78C52D" w14:textId="77777777" w:rsidR="001F545F" w:rsidRPr="00ED172B" w:rsidRDefault="001F545F" w:rsidP="001F545F">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families participating in Part C who report that early intervention services have helped the family:</w:t>
      </w:r>
    </w:p>
    <w:p w14:paraId="70313A91" w14:textId="1354A97B" w:rsidR="001F545F" w:rsidRPr="00ED172B" w:rsidRDefault="007F55E8" w:rsidP="00ED172B">
      <w:pPr>
        <w:ind w:firstLine="360"/>
        <w:rPr>
          <w:color w:val="000000" w:themeColor="text1"/>
          <w:szCs w:val="16"/>
        </w:rPr>
      </w:pPr>
      <w:r w:rsidRPr="00ED172B">
        <w:rPr>
          <w:color w:val="000000" w:themeColor="text1"/>
          <w:szCs w:val="16"/>
        </w:rPr>
        <w:t>A. Know their rights;</w:t>
      </w:r>
    </w:p>
    <w:p w14:paraId="2BA0CA2F" w14:textId="5F98EB64" w:rsidR="001F545F" w:rsidRPr="00ED172B" w:rsidRDefault="007F55E8" w:rsidP="00ED172B">
      <w:pPr>
        <w:ind w:firstLine="360"/>
        <w:rPr>
          <w:color w:val="000000" w:themeColor="text1"/>
          <w:szCs w:val="16"/>
        </w:rPr>
      </w:pPr>
      <w:r w:rsidRPr="00ED172B">
        <w:rPr>
          <w:color w:val="000000" w:themeColor="text1"/>
          <w:szCs w:val="16"/>
        </w:rPr>
        <w:t>B. Effectively communicate their children's needs; and</w:t>
      </w:r>
    </w:p>
    <w:p w14:paraId="52792A24" w14:textId="3C691166" w:rsidR="001F545F" w:rsidRPr="00ED172B" w:rsidRDefault="007F55E8" w:rsidP="00ED172B">
      <w:pPr>
        <w:ind w:firstLine="360"/>
        <w:rPr>
          <w:color w:val="000000" w:themeColor="text1"/>
          <w:szCs w:val="16"/>
        </w:rPr>
      </w:pPr>
      <w:r w:rsidRPr="00ED172B">
        <w:rPr>
          <w:color w:val="000000" w:themeColor="text1"/>
          <w:szCs w:val="16"/>
        </w:rPr>
        <w:t>C. Help their children develop and learn.</w:t>
      </w:r>
    </w:p>
    <w:p w14:paraId="0D528258" w14:textId="77777777" w:rsidR="001F545F" w:rsidRPr="00ED172B" w:rsidRDefault="001F545F" w:rsidP="001F545F">
      <w:pPr>
        <w:rPr>
          <w:color w:val="000000" w:themeColor="text1"/>
          <w:szCs w:val="16"/>
        </w:rPr>
      </w:pPr>
      <w:r w:rsidRPr="00ED172B">
        <w:rPr>
          <w:color w:val="000000" w:themeColor="text1"/>
          <w:szCs w:val="16"/>
        </w:rPr>
        <w:t>(20 U.S.C. 1416(a)(3)(A) and 1442)</w:t>
      </w:r>
    </w:p>
    <w:p w14:paraId="5D9AB3DB" w14:textId="77777777" w:rsidR="00A9742C" w:rsidRPr="00ED172B" w:rsidRDefault="00A9742C">
      <w:pPr>
        <w:rPr>
          <w:b/>
          <w:color w:val="000000" w:themeColor="text1"/>
        </w:rPr>
      </w:pPr>
      <w:bookmarkStart w:id="20" w:name="_Toc392159272"/>
      <w:bookmarkEnd w:id="19"/>
      <w:r w:rsidRPr="00ED172B">
        <w:rPr>
          <w:b/>
          <w:color w:val="000000" w:themeColor="text1"/>
        </w:rPr>
        <w:t>Data Source</w:t>
      </w:r>
    </w:p>
    <w:p w14:paraId="12F2BF23" w14:textId="4B91A41A" w:rsidR="00A9742C" w:rsidRPr="00ED172B" w:rsidRDefault="00A9742C" w:rsidP="004D140B">
      <w:pPr>
        <w:rPr>
          <w:color w:val="000000" w:themeColor="text1"/>
          <w:szCs w:val="16"/>
        </w:rPr>
      </w:pPr>
      <w:r w:rsidRPr="00ED172B">
        <w:rPr>
          <w:color w:val="000000" w:themeColor="text1"/>
          <w:szCs w:val="16"/>
        </w:rPr>
        <w:t xml:space="preserve">State </w:t>
      </w:r>
      <w:r w:rsidRPr="00ED172B">
        <w:rPr>
          <w:color w:val="000000" w:themeColor="text1"/>
          <w:szCs w:val="16"/>
          <w:shd w:val="clear" w:color="auto" w:fill="FFFFFF"/>
        </w:rPr>
        <w:t>selected data source. State must describe the data source in the SPP/APR.</w:t>
      </w:r>
    </w:p>
    <w:p w14:paraId="059B6EBF" w14:textId="77777777" w:rsidR="00A9742C" w:rsidRPr="00ED172B" w:rsidRDefault="00A9742C">
      <w:pPr>
        <w:rPr>
          <w:b/>
          <w:color w:val="000000" w:themeColor="text1"/>
        </w:rPr>
      </w:pPr>
      <w:r w:rsidRPr="00ED172B">
        <w:rPr>
          <w:b/>
          <w:color w:val="000000" w:themeColor="text1"/>
        </w:rPr>
        <w:t>Measurement</w:t>
      </w:r>
    </w:p>
    <w:p w14:paraId="36F43E60" w14:textId="3A283807" w:rsidR="00A9742C" w:rsidRPr="00ED172B" w:rsidRDefault="007F55E8" w:rsidP="00ED172B">
      <w:pPr>
        <w:ind w:left="360"/>
        <w:rPr>
          <w:color w:val="000000" w:themeColor="text1"/>
          <w:szCs w:val="16"/>
        </w:rPr>
      </w:pPr>
      <w:r w:rsidRPr="00ED172B">
        <w:rPr>
          <w:color w:val="000000" w:themeColor="text1"/>
          <w:szCs w:val="16"/>
        </w:rPr>
        <w:t>A. Percent = [(# of respondent families participating in Part C who report that early intervention services have helped the family know their rights) divided by the (# of respondent families participating in Part C)] times 100.</w:t>
      </w:r>
    </w:p>
    <w:p w14:paraId="5309AA10" w14:textId="0C64B7DB" w:rsidR="00A9742C" w:rsidRPr="00ED172B" w:rsidRDefault="007F55E8" w:rsidP="00ED172B">
      <w:pPr>
        <w:ind w:left="360"/>
        <w:rPr>
          <w:color w:val="000000" w:themeColor="text1"/>
          <w:szCs w:val="16"/>
        </w:rPr>
      </w:pPr>
      <w:r w:rsidRPr="00ED172B">
        <w:rPr>
          <w:color w:val="000000" w:themeColor="text1"/>
          <w:szCs w:val="16"/>
        </w:rPr>
        <w:t>B. Percent = [(# of respondent families participating in Part C who report that early intervention services have helped the family effectively communicate their children’s needs) divided by the (# of respondent families participating in Part C)] times 100.</w:t>
      </w:r>
    </w:p>
    <w:p w14:paraId="726B1C20" w14:textId="4EE8BBFF" w:rsidR="00A9742C" w:rsidRPr="00ED172B" w:rsidRDefault="007F55E8" w:rsidP="00ED172B">
      <w:pPr>
        <w:ind w:left="360"/>
        <w:rPr>
          <w:color w:val="000000" w:themeColor="text1"/>
          <w:szCs w:val="16"/>
        </w:rPr>
      </w:pPr>
      <w:r w:rsidRPr="00ED172B">
        <w:rPr>
          <w:color w:val="000000" w:themeColor="text1"/>
          <w:szCs w:val="16"/>
        </w:rPr>
        <w:t>C. Percent = [(# of respondent families participating in Part C who report that early intervention services have helped the family help their children develop and learn) divided by the (# of respondent families participating in Part C)] times 100.</w:t>
      </w:r>
    </w:p>
    <w:p w14:paraId="5E4A7387" w14:textId="13FBB6E1" w:rsidR="00A9742C" w:rsidRPr="00ED172B" w:rsidRDefault="00A9742C">
      <w:pPr>
        <w:rPr>
          <w:b/>
          <w:color w:val="000000" w:themeColor="text1"/>
        </w:rPr>
      </w:pPr>
      <w:r w:rsidRPr="00ED172B">
        <w:rPr>
          <w:b/>
          <w:color w:val="000000" w:themeColor="text1"/>
        </w:rPr>
        <w:t>Instructions</w:t>
      </w:r>
    </w:p>
    <w:p w14:paraId="34B66C9E" w14:textId="77777777" w:rsidR="00A9742C" w:rsidRPr="00ED172B" w:rsidRDefault="00A9742C" w:rsidP="004D140B">
      <w:pPr>
        <w:rPr>
          <w:color w:val="000000" w:themeColor="text1"/>
          <w:szCs w:val="16"/>
        </w:rPr>
      </w:pPr>
      <w:r w:rsidRPr="00D974E1">
        <w:rPr>
          <w:i/>
          <w:iCs/>
          <w:color w:val="000000" w:themeColor="text1"/>
          <w:szCs w:val="16"/>
        </w:rPr>
        <w:t>Sampling of </w:t>
      </w:r>
      <w:r w:rsidRPr="00D974E1">
        <w:rPr>
          <w:b/>
          <w:bCs/>
          <w:i/>
          <w:iCs/>
          <w:color w:val="000000" w:themeColor="text1"/>
          <w:szCs w:val="16"/>
        </w:rPr>
        <w:t>families participating in Part C</w:t>
      </w:r>
      <w:r w:rsidRPr="00D974E1">
        <w:rPr>
          <w:i/>
          <w:iCs/>
          <w:color w:val="000000" w:themeColor="text1"/>
          <w:szCs w:val="16"/>
        </w:rPr>
        <w:t> is allowed.</w:t>
      </w:r>
      <w:r w:rsidRPr="00ED172B">
        <w:rPr>
          <w:color w:val="000000" w:themeColor="text1"/>
          <w:szCs w:val="16"/>
        </w:rPr>
        <w:t xml:space="preserve"> </w:t>
      </w:r>
      <w:r w:rsidRPr="00D974E1">
        <w:rPr>
          <w:i/>
          <w:iCs/>
          <w:color w:val="000000" w:themeColor="text1"/>
          <w:szCs w:val="16"/>
        </w:rPr>
        <w:t>When sampling is used, submit a description of the sampling methodology outlining how the design will yield valid and reliable estimates. (See </w:t>
      </w:r>
      <w:r w:rsidRPr="00D974E1">
        <w:rPr>
          <w:i/>
          <w:iCs/>
          <w:color w:val="000000" w:themeColor="text1"/>
          <w:szCs w:val="16"/>
          <w:u w:val="single"/>
        </w:rPr>
        <w:t>General Instructions</w:t>
      </w:r>
      <w:r w:rsidRPr="00D974E1">
        <w:rPr>
          <w:i/>
          <w:iCs/>
          <w:color w:val="000000" w:themeColor="text1"/>
          <w:szCs w:val="16"/>
        </w:rPr>
        <w:t> page 2 for additional instructions on sampling.)</w:t>
      </w:r>
    </w:p>
    <w:p w14:paraId="5571A7F6" w14:textId="77777777" w:rsidR="00A9742C" w:rsidRPr="00ED172B" w:rsidRDefault="00A9742C" w:rsidP="004D140B">
      <w:pPr>
        <w:rPr>
          <w:color w:val="000000" w:themeColor="text1"/>
          <w:szCs w:val="16"/>
        </w:rPr>
      </w:pPr>
      <w:r w:rsidRPr="00ED172B">
        <w:rPr>
          <w:color w:val="000000" w:themeColor="text1"/>
          <w:szCs w:val="16"/>
        </w:rPr>
        <w:t>Provide the actual numbers used in the calculation.</w:t>
      </w:r>
    </w:p>
    <w:p w14:paraId="04457BE9" w14:textId="77777777" w:rsidR="00A9742C" w:rsidRPr="00ED172B" w:rsidRDefault="00A9742C" w:rsidP="004D140B">
      <w:pPr>
        <w:rPr>
          <w:color w:val="000000" w:themeColor="text1"/>
          <w:szCs w:val="16"/>
        </w:rPr>
      </w:pPr>
      <w:r w:rsidRPr="00ED172B">
        <w:rPr>
          <w:color w:val="000000" w:themeColor="text1"/>
          <w:szCs w:val="16"/>
        </w:rPr>
        <w:t>Describe the results of the calculations and compare the results to the target.</w:t>
      </w:r>
    </w:p>
    <w:p w14:paraId="78AF5090" w14:textId="77777777" w:rsidR="00A9742C" w:rsidRPr="00ED172B" w:rsidRDefault="00A9742C" w:rsidP="004D140B">
      <w:pPr>
        <w:rPr>
          <w:color w:val="000000" w:themeColor="text1"/>
          <w:szCs w:val="16"/>
        </w:rPr>
      </w:pPr>
      <w:r w:rsidRPr="00ED172B">
        <w:rPr>
          <w:color w:val="000000" w:themeColor="text1"/>
          <w:szCs w:val="16"/>
        </w:rPr>
        <w:t>While a survey is not required for this indicator, a State using a survey must submit a copy of any new or revised survey with its SPP/APR.</w:t>
      </w:r>
    </w:p>
    <w:p w14:paraId="1964A814" w14:textId="77777777" w:rsidR="00AD10DA" w:rsidRDefault="00A9742C" w:rsidP="00AD10DA">
      <w:pPr>
        <w:rPr>
          <w:szCs w:val="16"/>
        </w:rPr>
      </w:pPr>
      <w:r w:rsidRPr="00ED172B">
        <w:rPr>
          <w:color w:val="000000" w:themeColor="text1"/>
          <w:szCs w:val="16"/>
        </w:rPr>
        <w:t xml:space="preserve">Report the number of families to whom the surveys were distributed </w:t>
      </w:r>
      <w:r w:rsidR="00AD10DA" w:rsidRPr="003D3ED1">
        <w:t xml:space="preserve">and the </w:t>
      </w:r>
      <w:r w:rsidR="00AD10DA" w:rsidRPr="00007285">
        <w:t xml:space="preserve">number of respondent families participating in Part C. </w:t>
      </w:r>
      <w:r w:rsidR="00AD10DA" w:rsidRPr="00D974E1">
        <w:t>The survey response rate is auto calculated using the submitted data.</w:t>
      </w:r>
    </w:p>
    <w:p w14:paraId="4590CA07" w14:textId="77777777" w:rsidR="00AD10DA" w:rsidRPr="003D3ED1" w:rsidRDefault="00AD10DA" w:rsidP="00AD10DA">
      <w:pPr>
        <w:pStyle w:val="Subhed"/>
        <w:rPr>
          <w:rFonts w:cstheme="minorBidi"/>
          <w:b w:val="0"/>
        </w:rPr>
      </w:pPr>
      <w:r w:rsidRPr="003D3ED1">
        <w:rPr>
          <w:rFonts w:cstheme="minorBidi"/>
          <w:b w:val="0"/>
        </w:rPr>
        <w:t xml:space="preserve">States will be required to </w:t>
      </w:r>
      <w:bookmarkStart w:id="21" w:name="_Hlk78829878"/>
      <w:r w:rsidRPr="003D3ED1">
        <w:rPr>
          <w:rFonts w:cstheme="minorBidi"/>
          <w:b w:val="0"/>
        </w:rPr>
        <w:t>compare the current year’s response rate to the previous year(s) response rate(s), and describe strategies that will be implemented which are expected to increase the response rate year over year, particularly for those groups that are underrepresented</w:t>
      </w:r>
      <w:bookmarkEnd w:id="21"/>
      <w:r w:rsidRPr="003D3ED1">
        <w:rPr>
          <w:rFonts w:cstheme="minorBidi"/>
          <w:b w:val="0"/>
        </w:rPr>
        <w:t>.</w:t>
      </w:r>
    </w:p>
    <w:p w14:paraId="78B2A9FB" w14:textId="42D47853" w:rsidR="00A9742C" w:rsidRPr="00D974E1" w:rsidRDefault="00AD10DA" w:rsidP="00D974E1">
      <w:pPr>
        <w:pStyle w:val="Subhed"/>
      </w:pPr>
      <w:r w:rsidRPr="003D3ED1">
        <w:rPr>
          <w:rFonts w:cstheme="minorBidi"/>
          <w:b w:val="0"/>
        </w:rPr>
        <w:t>The State must also analyze the response rate to identify potential nonresponse bias and take steps to reduce any identified bias and promote response from a broad cross section of families that received Part C services.</w:t>
      </w:r>
    </w:p>
    <w:p w14:paraId="7930042E" w14:textId="119D756E" w:rsidR="00A9742C" w:rsidRPr="00ED172B" w:rsidRDefault="00A9742C" w:rsidP="004D140B">
      <w:pPr>
        <w:rPr>
          <w:color w:val="000000" w:themeColor="text1"/>
          <w:szCs w:val="16"/>
        </w:rPr>
      </w:pPr>
      <w:r w:rsidRPr="00ED172B">
        <w:rPr>
          <w:color w:val="000000" w:themeColor="text1"/>
          <w:szCs w:val="16"/>
        </w:rPr>
        <w:t xml:space="preserve">Include the State’s analysis of the extent to which the demographics of the </w:t>
      </w:r>
      <w:bookmarkStart w:id="22" w:name="_Hlk80187466"/>
      <w:r w:rsidR="00D45F98" w:rsidRPr="003D3ED1">
        <w:t>infants or toddlers for whom</w:t>
      </w:r>
      <w:bookmarkEnd w:id="22"/>
      <w:r w:rsidR="00D45F98">
        <w:t xml:space="preserve"> </w:t>
      </w:r>
      <w:r w:rsidR="003C2961">
        <w:t xml:space="preserve">families </w:t>
      </w:r>
      <w:r w:rsidR="00D45F98">
        <w:t>responded</w:t>
      </w:r>
      <w:r w:rsidRPr="00ED172B">
        <w:rPr>
          <w:color w:val="000000" w:themeColor="text1"/>
          <w:szCs w:val="16"/>
        </w:rPr>
        <w:t xml:space="preserve"> are representative of the demographics of infants and toddlers </w:t>
      </w:r>
      <w:bookmarkStart w:id="23" w:name="_Hlk80187529"/>
      <w:r w:rsidR="00D45F98" w:rsidRPr="003D3ED1">
        <w:t>receiving services</w:t>
      </w:r>
      <w:bookmarkEnd w:id="23"/>
      <w:r w:rsidRPr="00ED172B">
        <w:rPr>
          <w:color w:val="000000" w:themeColor="text1"/>
          <w:szCs w:val="16"/>
        </w:rPr>
        <w:t xml:space="preserve"> in the Part C program. </w:t>
      </w:r>
      <w:r w:rsidR="00D57298">
        <w:t xml:space="preserve">States should consider categories such as race/ethnicity, age of infant or toddler, and geographic location in the State. </w:t>
      </w:r>
    </w:p>
    <w:p w14:paraId="0E673AC0" w14:textId="3FA5EAA2" w:rsidR="00DB61F6" w:rsidRDefault="00DB61F6" w:rsidP="004D140B">
      <w:pPr>
        <w:rPr>
          <w:color w:val="000000" w:themeColor="text1"/>
          <w:szCs w:val="16"/>
        </w:rPr>
      </w:pPr>
      <w:r w:rsidRPr="003D3ED1">
        <w:t>States must describe the metric used to determine representativeness (e.g., +/- 3% discrepancy</w:t>
      </w:r>
      <w:r w:rsidRPr="00524F62">
        <w:rPr>
          <w:szCs w:val="16"/>
        </w:rPr>
        <w:t xml:space="preserve"> in the</w:t>
      </w:r>
      <w:r>
        <w:rPr>
          <w:szCs w:val="16"/>
        </w:rPr>
        <w:t xml:space="preserve"> </w:t>
      </w:r>
      <w:r w:rsidRPr="003D3ED1">
        <w:t>proportion of responders compared to target group)</w:t>
      </w:r>
    </w:p>
    <w:p w14:paraId="421D5E9C" w14:textId="02970881" w:rsidR="00A9742C" w:rsidRPr="00ED172B" w:rsidRDefault="00A9742C" w:rsidP="004D140B">
      <w:pPr>
        <w:rPr>
          <w:color w:val="000000" w:themeColor="text1"/>
          <w:szCs w:val="16"/>
        </w:rPr>
      </w:pPr>
      <w:r w:rsidRPr="00ED172B">
        <w:rPr>
          <w:color w:val="000000" w:themeColor="text1"/>
          <w:szCs w:val="16"/>
        </w:rPr>
        <w:t xml:space="preserve">If the analysis shows that the demographics of the </w:t>
      </w:r>
      <w:bookmarkStart w:id="24" w:name="_Hlk80196581"/>
      <w:r w:rsidR="00D57F7D" w:rsidRPr="003D3ED1">
        <w:t>infants or toddlers for whom</w:t>
      </w:r>
      <w:bookmarkEnd w:id="24"/>
      <w:r w:rsidRPr="00ED172B">
        <w:rPr>
          <w:color w:val="000000" w:themeColor="text1"/>
          <w:szCs w:val="16"/>
        </w:rPr>
        <w:t xml:space="preserve"> families responded are not representative of the demographics of infants and toddlers </w:t>
      </w:r>
      <w:r w:rsidR="00D57F7D">
        <w:rPr>
          <w:szCs w:val="16"/>
        </w:rPr>
        <w:t>receiving services</w:t>
      </w:r>
      <w:r w:rsidR="00D57F7D" w:rsidRPr="003D3ED1" w:rsidDel="00D57F7D">
        <w:t xml:space="preserve"> </w:t>
      </w:r>
      <w:r w:rsidRPr="00ED172B">
        <w:rPr>
          <w:color w:val="000000" w:themeColor="text1"/>
          <w:szCs w:val="16"/>
        </w:rPr>
        <w:t>in the Part C program, describe the strategies that the State will use to ensure that in the future the response data are representative of those demographics. In identifying such strategies, the State should consider factors such as how the State distributed the survey to families (e.g., by mail, by e-mail, on-line, by telephone, in-person), if a survey was used, and how responses were collected.</w:t>
      </w:r>
    </w:p>
    <w:p w14:paraId="0049F622" w14:textId="77777777" w:rsidR="00DB61F6" w:rsidRPr="00E6031E" w:rsidRDefault="00DB61F6" w:rsidP="00DB61F6">
      <w:pPr>
        <w:pStyle w:val="Subhed"/>
        <w:rPr>
          <w:rFonts w:cstheme="minorBidi"/>
          <w:b w:val="0"/>
        </w:rPr>
      </w:pPr>
      <w:r w:rsidRPr="004720EA">
        <w:rPr>
          <w:rFonts w:cstheme="minorBidi"/>
          <w:bCs/>
        </w:rPr>
        <w:t>Beginning with the FFY 2022 SPP/APR, due February 1, 2024</w:t>
      </w:r>
      <w:r w:rsidRPr="003D3ED1">
        <w:rPr>
          <w:rFonts w:cstheme="minorBidi"/>
          <w:b w:val="0"/>
        </w:rPr>
        <w:t>, when reporting the extent to which the demographics of the infants or toddlers for whom families responded are representative of the demographics of infants and toddlers enrolled in the Part C program, States must include race and ethnicity in its analysis. In addition, the State’s analysis must also include at least one of the following demographics: socioeconomic status, parents or guardians whose primary language is other than English and who have limited English proficiency, maternal education, geographic location, and/or another demographic category approved through the stakeholder input process.</w:t>
      </w:r>
    </w:p>
    <w:p w14:paraId="7BC350EC" w14:textId="1993A77F" w:rsidR="00A9742C" w:rsidRPr="00ED172B" w:rsidRDefault="00A9742C" w:rsidP="004D140B">
      <w:pPr>
        <w:rPr>
          <w:color w:val="000000" w:themeColor="text1"/>
          <w:szCs w:val="16"/>
        </w:rPr>
      </w:pPr>
      <w:r w:rsidRPr="00ED172B">
        <w:rPr>
          <w:color w:val="000000" w:themeColor="text1"/>
          <w:szCs w:val="16"/>
        </w:rPr>
        <w:t>States are encouraged to work in collaboration with their OSEP-funded parent centers in collecting data.</w:t>
      </w:r>
    </w:p>
    <w:bookmarkEnd w:id="20"/>
    <w:p w14:paraId="2A58204F" w14:textId="77EA3B41" w:rsidR="00ED272C" w:rsidRPr="00A40EE1" w:rsidRDefault="000D0117" w:rsidP="005C3FFD">
      <w:pPr>
        <w:pStyle w:val="Heading2"/>
      </w:pPr>
      <w:r w:rsidRPr="00A40EE1">
        <w:t xml:space="preserve">4 - </w:t>
      </w:r>
      <w:r w:rsidR="004D140B" w:rsidRPr="00A40EE1">
        <w:t>Indicator Data</w:t>
      </w:r>
    </w:p>
    <w:p w14:paraId="11DC4C0C" w14:textId="77777777" w:rsidR="001F545F" w:rsidRPr="00ED172B" w:rsidRDefault="001F545F">
      <w:pPr>
        <w:rPr>
          <w:b/>
          <w:color w:val="000000" w:themeColor="text1"/>
        </w:rPr>
      </w:pPr>
      <w:bookmarkStart w:id="25" w:name="_Toc392159273"/>
      <w:r w:rsidRPr="00ED172B">
        <w:rPr>
          <w:b/>
          <w:color w:val="000000" w:themeColor="text1"/>
        </w:rPr>
        <w:t>Historical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C04HISTDATA"/>
      </w:tblPr>
      <w:tblGrid>
        <w:gridCol w:w="895"/>
        <w:gridCol w:w="716"/>
        <w:gridCol w:w="807"/>
        <w:gridCol w:w="1675"/>
        <w:gridCol w:w="1675"/>
        <w:gridCol w:w="1675"/>
        <w:gridCol w:w="1675"/>
        <w:gridCol w:w="1672"/>
      </w:tblGrid>
      <w:tr w:rsidR="00ED172B" w:rsidRPr="00ED172B" w14:paraId="01D32715" w14:textId="48A04098" w:rsidTr="00A40EE1">
        <w:trPr>
          <w:trHeight w:val="350"/>
        </w:trPr>
        <w:tc>
          <w:tcPr>
            <w:tcW w:w="415" w:type="pct"/>
            <w:tcBorders>
              <w:top w:val="single" w:sz="4" w:space="0" w:color="auto"/>
              <w:left w:val="single" w:sz="4" w:space="0" w:color="auto"/>
              <w:bottom w:val="single" w:sz="4" w:space="0" w:color="auto"/>
              <w:right w:val="single" w:sz="4" w:space="0" w:color="auto"/>
            </w:tcBorders>
            <w:shd w:val="clear" w:color="auto" w:fill="auto"/>
            <w:vAlign w:val="bottom"/>
          </w:tcPr>
          <w:p w14:paraId="2101ED61" w14:textId="05381D06" w:rsidR="00013004" w:rsidRPr="00ED172B" w:rsidRDefault="00164FFE" w:rsidP="00013004">
            <w:pPr>
              <w:jc w:val="center"/>
              <w:rPr>
                <w:rFonts w:cs="Arial"/>
                <w:b/>
                <w:color w:val="000000" w:themeColor="text1"/>
                <w:szCs w:val="16"/>
              </w:rPr>
            </w:pPr>
            <w:r>
              <w:rPr>
                <w:rFonts w:cs="Arial"/>
                <w:b/>
                <w:color w:val="000000" w:themeColor="text1"/>
                <w:szCs w:val="16"/>
              </w:rPr>
              <w:t>Measure</w:t>
            </w:r>
          </w:p>
        </w:tc>
        <w:tc>
          <w:tcPr>
            <w:tcW w:w="332" w:type="pct"/>
            <w:tcBorders>
              <w:top w:val="single" w:sz="4" w:space="0" w:color="auto"/>
              <w:left w:val="single" w:sz="4" w:space="0" w:color="auto"/>
              <w:bottom w:val="single" w:sz="4" w:space="0" w:color="auto"/>
              <w:right w:val="single" w:sz="4" w:space="0" w:color="auto"/>
            </w:tcBorders>
            <w:shd w:val="clear" w:color="auto" w:fill="auto"/>
            <w:vAlign w:val="bottom"/>
          </w:tcPr>
          <w:p w14:paraId="73BAD9C8" w14:textId="392ADEA2" w:rsidR="00013004" w:rsidRPr="00ED172B" w:rsidRDefault="00013004" w:rsidP="00013004">
            <w:pPr>
              <w:jc w:val="center"/>
              <w:rPr>
                <w:rFonts w:cs="Arial"/>
                <w:b/>
                <w:color w:val="000000" w:themeColor="text1"/>
                <w:szCs w:val="16"/>
              </w:rPr>
            </w:pPr>
            <w:r w:rsidRPr="00ED172B">
              <w:rPr>
                <w:rFonts w:cs="Arial"/>
                <w:b/>
                <w:color w:val="000000" w:themeColor="text1"/>
                <w:szCs w:val="16"/>
              </w:rPr>
              <w:t xml:space="preserve">Baseline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14:paraId="6241D221" w14:textId="253742DF" w:rsidR="00013004" w:rsidRPr="00ED172B" w:rsidRDefault="00013004" w:rsidP="00013004">
            <w:pPr>
              <w:jc w:val="center"/>
              <w:rPr>
                <w:rFonts w:cs="Arial"/>
                <w:b/>
                <w:color w:val="000000" w:themeColor="text1"/>
                <w:szCs w:val="16"/>
              </w:rPr>
            </w:pPr>
            <w:r w:rsidRPr="00ED172B">
              <w:rPr>
                <w:rFonts w:cs="Arial"/>
                <w:b/>
                <w:color w:val="000000" w:themeColor="text1"/>
                <w:szCs w:val="16"/>
              </w:rPr>
              <w:t>FFY</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E356793" w14:textId="44775E23" w:rsidR="00013004" w:rsidRPr="00ED172B" w:rsidRDefault="002163F2" w:rsidP="00013004">
            <w:pPr>
              <w:jc w:val="center"/>
              <w:rPr>
                <w:rFonts w:cs="Arial"/>
                <w:b/>
                <w:color w:val="000000" w:themeColor="text1"/>
                <w:szCs w:val="16"/>
              </w:rPr>
            </w:pPr>
            <w:r w:rsidRPr="00ED172B">
              <w:rPr>
                <w:rFonts w:cs="Arial"/>
                <w:b/>
                <w:color w:val="000000" w:themeColor="text1"/>
                <w:szCs w:val="16"/>
              </w:rPr>
              <w:t>2016</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C082B81" w14:textId="46A4EA50" w:rsidR="00013004" w:rsidRPr="00ED172B" w:rsidRDefault="002163F2" w:rsidP="00013004">
            <w:pPr>
              <w:jc w:val="center"/>
              <w:rPr>
                <w:rFonts w:cs="Arial"/>
                <w:b/>
                <w:color w:val="000000" w:themeColor="text1"/>
                <w:szCs w:val="16"/>
              </w:rPr>
            </w:pPr>
            <w:r w:rsidRPr="00ED172B">
              <w:rPr>
                <w:rFonts w:cs="Arial"/>
                <w:b/>
                <w:color w:val="000000" w:themeColor="text1"/>
                <w:szCs w:val="16"/>
              </w:rPr>
              <w:t>2017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FD5D2C2" w14:textId="0835E9F5" w:rsidR="00013004" w:rsidRPr="00ED172B" w:rsidRDefault="002163F2" w:rsidP="00013004">
            <w:pPr>
              <w:jc w:val="center"/>
              <w:rPr>
                <w:rFonts w:cs="Arial"/>
                <w:b/>
                <w:color w:val="000000" w:themeColor="text1"/>
                <w:szCs w:val="16"/>
              </w:rPr>
            </w:pPr>
            <w:r w:rsidRPr="00ED172B">
              <w:rPr>
                <w:rFonts w:cs="Arial"/>
                <w:b/>
                <w:color w:val="000000" w:themeColor="text1"/>
                <w:szCs w:val="16"/>
              </w:rPr>
              <w:t>2018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BFF5ACF" w14:textId="6368BFE5" w:rsidR="00013004" w:rsidRPr="00ED172B" w:rsidRDefault="002163F2" w:rsidP="00013004">
            <w:pPr>
              <w:jc w:val="center"/>
              <w:rPr>
                <w:rFonts w:cs="Arial"/>
                <w:b/>
                <w:color w:val="000000" w:themeColor="text1"/>
                <w:szCs w:val="16"/>
              </w:rPr>
            </w:pPr>
            <w:r w:rsidRPr="00ED172B">
              <w:rPr>
                <w:rFonts w:cs="Arial"/>
                <w:b/>
                <w:color w:val="000000" w:themeColor="text1"/>
                <w:szCs w:val="16"/>
              </w:rPr>
              <w:t>2019</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46DAE1E2" w14:textId="496BE430" w:rsidR="00013004" w:rsidRPr="00ED172B" w:rsidRDefault="006D43D3" w:rsidP="00013004">
            <w:pPr>
              <w:jc w:val="center"/>
              <w:rPr>
                <w:rFonts w:cs="Arial"/>
                <w:b/>
                <w:color w:val="000000" w:themeColor="text1"/>
                <w:szCs w:val="16"/>
              </w:rPr>
            </w:pPr>
            <w:r w:rsidRPr="00ED172B">
              <w:rPr>
                <w:rFonts w:cs="Arial"/>
                <w:b/>
                <w:color w:val="000000" w:themeColor="text1"/>
                <w:szCs w:val="16"/>
              </w:rPr>
              <w:t>2020</w:t>
            </w:r>
          </w:p>
        </w:tc>
      </w:tr>
      <w:tr w:rsidR="00ED172B" w:rsidRPr="00ED172B" w14:paraId="52661D1F" w14:textId="56186CB3" w:rsidTr="00A40EE1">
        <w:trPr>
          <w:trHeight w:val="70"/>
        </w:trPr>
        <w:tc>
          <w:tcPr>
            <w:tcW w:w="415" w:type="pct"/>
            <w:tcBorders>
              <w:top w:val="single" w:sz="4" w:space="0" w:color="auto"/>
              <w:left w:val="single" w:sz="4" w:space="0" w:color="auto"/>
              <w:right w:val="single" w:sz="4" w:space="0" w:color="auto"/>
            </w:tcBorders>
            <w:shd w:val="clear" w:color="auto" w:fill="auto"/>
            <w:vAlign w:val="center"/>
          </w:tcPr>
          <w:p w14:paraId="1C8EF858" w14:textId="77777777" w:rsidR="00013004" w:rsidRPr="00ED172B" w:rsidRDefault="00013004" w:rsidP="00013004">
            <w:pPr>
              <w:rPr>
                <w:rFonts w:cs="Arial"/>
                <w:color w:val="000000" w:themeColor="text1"/>
                <w:szCs w:val="16"/>
              </w:rPr>
            </w:pPr>
            <w:r w:rsidRPr="00ED172B">
              <w:rPr>
                <w:rFonts w:cs="Arial"/>
                <w:color w:val="000000" w:themeColor="text1"/>
                <w:szCs w:val="16"/>
              </w:rPr>
              <w:t>A</w:t>
            </w:r>
          </w:p>
        </w:tc>
        <w:tc>
          <w:tcPr>
            <w:tcW w:w="332" w:type="pct"/>
            <w:tcBorders>
              <w:top w:val="single" w:sz="4" w:space="0" w:color="auto"/>
              <w:left w:val="single" w:sz="4" w:space="0" w:color="auto"/>
              <w:right w:val="single" w:sz="4" w:space="0" w:color="auto"/>
            </w:tcBorders>
            <w:shd w:val="clear" w:color="auto" w:fill="auto"/>
          </w:tcPr>
          <w:p w14:paraId="33DA05CA" w14:textId="47A2DCDE"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4E1CDB3E" w14:textId="4B1DF262" w:rsidR="00013004" w:rsidRPr="00ED172B" w:rsidRDefault="00013004" w:rsidP="00013004">
            <w:pP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282E3B2" w14:textId="56E8777C" w:rsidR="00013004" w:rsidRPr="00ED172B" w:rsidRDefault="00860830" w:rsidP="00ED172B">
            <w:pPr>
              <w:jc w:val="center"/>
              <w:rPr>
                <w:rFonts w:cs="Arial"/>
                <w:color w:val="000000" w:themeColor="text1"/>
                <w:szCs w:val="16"/>
              </w:rPr>
            </w:pPr>
            <w:r w:rsidRPr="00ED172B">
              <w:rPr>
                <w:rFonts w:cs="Arial"/>
                <w:color w:val="000000" w:themeColor="text1"/>
                <w:szCs w:val="16"/>
              </w:rPr>
              <w:t>80.20%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156D8CD" w14:textId="2F3CC0BE" w:rsidR="00013004" w:rsidRPr="00ED172B" w:rsidRDefault="00860830" w:rsidP="00ED172B">
            <w:pPr>
              <w:jc w:val="center"/>
              <w:rPr>
                <w:rFonts w:cs="Arial"/>
                <w:color w:val="000000" w:themeColor="text1"/>
                <w:szCs w:val="16"/>
              </w:rPr>
            </w:pPr>
            <w:r w:rsidRPr="00ED172B">
              <w:rPr>
                <w:rFonts w:cs="Arial"/>
                <w:color w:val="000000" w:themeColor="text1"/>
                <w:szCs w:val="16"/>
              </w:rPr>
              <w:t>80.30%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7F550C8" w14:textId="48BAF3B1" w:rsidR="00013004" w:rsidRPr="00ED172B" w:rsidRDefault="00860830" w:rsidP="00ED172B">
            <w:pPr>
              <w:jc w:val="center"/>
              <w:rPr>
                <w:rFonts w:cs="Arial"/>
                <w:color w:val="000000" w:themeColor="text1"/>
                <w:szCs w:val="16"/>
              </w:rPr>
            </w:pPr>
            <w:r w:rsidRPr="00ED172B">
              <w:rPr>
                <w:rFonts w:cs="Arial"/>
                <w:color w:val="000000" w:themeColor="text1"/>
                <w:szCs w:val="16"/>
              </w:rPr>
              <w:t>80.50%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63E44D3" w14:textId="4723AFC2" w:rsidR="00013004" w:rsidRPr="00ED172B" w:rsidRDefault="00860830" w:rsidP="00ED172B">
            <w:pPr>
              <w:jc w:val="center"/>
              <w:rPr>
                <w:rFonts w:cs="Arial"/>
                <w:color w:val="000000" w:themeColor="text1"/>
                <w:szCs w:val="16"/>
              </w:rPr>
            </w:pPr>
            <w:r w:rsidRPr="00ED172B">
              <w:rPr>
                <w:rFonts w:cs="Arial"/>
                <w:color w:val="000000" w:themeColor="text1"/>
                <w:szCs w:val="16"/>
              </w:rPr>
              <w:t>85.00%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20EE174" w14:textId="3F1A72E1"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r>
      <w:tr w:rsidR="00ED172B" w:rsidRPr="00ED172B" w14:paraId="5726E534" w14:textId="0FEBCB20" w:rsidTr="00A40EE1">
        <w:trPr>
          <w:trHeight w:val="85"/>
        </w:trPr>
        <w:tc>
          <w:tcPr>
            <w:tcW w:w="415" w:type="pct"/>
            <w:tcBorders>
              <w:left w:val="single" w:sz="4" w:space="0" w:color="auto"/>
              <w:right w:val="single" w:sz="4" w:space="0" w:color="auto"/>
            </w:tcBorders>
            <w:shd w:val="clear" w:color="auto" w:fill="auto"/>
            <w:vAlign w:val="center"/>
          </w:tcPr>
          <w:p w14:paraId="327818F6" w14:textId="7DE1C4D2" w:rsidR="00013004" w:rsidRPr="00ED172B" w:rsidRDefault="004B755C" w:rsidP="00013004">
            <w:pPr>
              <w:rPr>
                <w:rFonts w:cs="Arial"/>
                <w:color w:val="000000" w:themeColor="text1"/>
                <w:szCs w:val="16"/>
              </w:rPr>
            </w:pPr>
            <w:r w:rsidRPr="00ED172B">
              <w:rPr>
                <w:rFonts w:cs="Arial"/>
                <w:color w:val="000000" w:themeColor="text1"/>
                <w:szCs w:val="16"/>
              </w:rPr>
              <w:t>A</w:t>
            </w:r>
          </w:p>
        </w:tc>
        <w:tc>
          <w:tcPr>
            <w:tcW w:w="332" w:type="pct"/>
            <w:tcBorders>
              <w:left w:val="single" w:sz="4" w:space="0" w:color="auto"/>
              <w:right w:val="single" w:sz="4" w:space="0" w:color="auto"/>
            </w:tcBorders>
            <w:shd w:val="clear" w:color="auto" w:fill="auto"/>
          </w:tcPr>
          <w:p w14:paraId="44626205" w14:textId="5FE5D1F3" w:rsidR="00013004" w:rsidRPr="00ED172B" w:rsidRDefault="00291EA9" w:rsidP="00ED172B">
            <w:pPr>
              <w:jc w:val="center"/>
              <w:rPr>
                <w:color w:val="000000" w:themeColor="text1"/>
              </w:rPr>
            </w:pPr>
            <w:r w:rsidRPr="00ED172B">
              <w:rPr>
                <w:color w:val="000000" w:themeColor="text1"/>
              </w:rPr>
              <w:t>74.90%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D572CB1" w14:textId="457533E8" w:rsidR="00013004" w:rsidRPr="00ED172B" w:rsidRDefault="00013004" w:rsidP="00013004">
            <w:pP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503A03B" w14:textId="25800DDF" w:rsidR="00013004" w:rsidRPr="00ED172B" w:rsidRDefault="00860830" w:rsidP="00ED172B">
            <w:pPr>
              <w:jc w:val="center"/>
              <w:rPr>
                <w:rFonts w:cs="Arial"/>
                <w:color w:val="000000" w:themeColor="text1"/>
                <w:szCs w:val="16"/>
              </w:rPr>
            </w:pPr>
            <w:r w:rsidRPr="00ED172B">
              <w:rPr>
                <w:rFonts w:cs="Arial"/>
                <w:color w:val="000000" w:themeColor="text1"/>
                <w:szCs w:val="16"/>
              </w:rPr>
              <w:t>86.73%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05DEB05" w14:textId="040FAA36" w:rsidR="00013004" w:rsidRPr="00ED172B" w:rsidRDefault="00860830" w:rsidP="00ED172B">
            <w:pPr>
              <w:jc w:val="center"/>
              <w:rPr>
                <w:rFonts w:cs="Arial"/>
                <w:color w:val="000000" w:themeColor="text1"/>
                <w:szCs w:val="16"/>
              </w:rPr>
            </w:pPr>
            <w:r w:rsidRPr="00ED172B">
              <w:rPr>
                <w:rFonts w:cs="Arial"/>
                <w:color w:val="000000" w:themeColor="text1"/>
                <w:szCs w:val="16"/>
              </w:rPr>
              <w:t>86.80%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3ADA9B6" w14:textId="1F8E77E2" w:rsidR="00013004" w:rsidRPr="00ED172B" w:rsidRDefault="00860830" w:rsidP="00ED172B">
            <w:pPr>
              <w:jc w:val="center"/>
              <w:rPr>
                <w:rFonts w:cs="Arial"/>
                <w:color w:val="000000" w:themeColor="text1"/>
                <w:szCs w:val="16"/>
              </w:rPr>
            </w:pPr>
            <w:r w:rsidRPr="00ED172B">
              <w:rPr>
                <w:rFonts w:cs="Arial"/>
                <w:color w:val="000000" w:themeColor="text1"/>
                <w:szCs w:val="16"/>
              </w:rPr>
              <w:t>87.39%</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3F1789D" w14:textId="24BF9F1E" w:rsidR="00013004" w:rsidRPr="00ED172B" w:rsidRDefault="00860830" w:rsidP="00ED172B">
            <w:pPr>
              <w:jc w:val="center"/>
              <w:rPr>
                <w:rFonts w:cs="Arial"/>
                <w:color w:val="000000" w:themeColor="text1"/>
                <w:szCs w:val="16"/>
              </w:rPr>
            </w:pPr>
            <w:r w:rsidRPr="00ED172B">
              <w:rPr>
                <w:rFonts w:cs="Arial"/>
                <w:color w:val="000000" w:themeColor="text1"/>
                <w:szCs w:val="16"/>
              </w:rPr>
              <w:t>87.08%</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63DC5601" w14:textId="744676E5" w:rsidR="00013004" w:rsidRPr="00ED172B" w:rsidRDefault="00860830" w:rsidP="00ED172B">
            <w:pPr>
              <w:jc w:val="center"/>
              <w:rPr>
                <w:rFonts w:cs="Arial"/>
                <w:color w:val="000000" w:themeColor="text1"/>
                <w:szCs w:val="16"/>
              </w:rPr>
            </w:pPr>
            <w:r w:rsidRPr="00ED172B">
              <w:rPr>
                <w:rFonts w:cs="Arial"/>
                <w:color w:val="000000" w:themeColor="text1"/>
                <w:szCs w:val="16"/>
              </w:rPr>
              <w:t>82.75%</w:t>
            </w:r>
          </w:p>
        </w:tc>
      </w:tr>
      <w:tr w:rsidR="00ED172B" w:rsidRPr="00ED172B" w14:paraId="34C86E67" w14:textId="16DC4ADE"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A33D9B4" w14:textId="77777777" w:rsidR="00013004" w:rsidRPr="00ED172B" w:rsidRDefault="00013004" w:rsidP="00013004">
            <w:pP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023391C1" w14:textId="31C75DD5"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0F6B57E8" w14:textId="74B5ED90" w:rsidR="00013004" w:rsidRPr="00ED172B" w:rsidRDefault="00013004" w:rsidP="00013004">
            <w:pP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DFE6DD5" w14:textId="0267A6A0" w:rsidR="00013004" w:rsidRPr="00ED172B" w:rsidRDefault="00860830" w:rsidP="00ED172B">
            <w:pPr>
              <w:jc w:val="center"/>
              <w:rPr>
                <w:rFonts w:cs="Arial"/>
                <w:color w:val="000000" w:themeColor="text1"/>
                <w:szCs w:val="16"/>
              </w:rPr>
            </w:pPr>
            <w:r w:rsidRPr="00ED172B">
              <w:rPr>
                <w:rFonts w:cs="Arial"/>
                <w:color w:val="000000" w:themeColor="text1"/>
                <w:szCs w:val="16"/>
              </w:rPr>
              <w:t>78.30%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4C5FDD98" w14:textId="5D6FFE99" w:rsidR="00013004" w:rsidRPr="00ED172B" w:rsidRDefault="00860830" w:rsidP="00ED172B">
            <w:pPr>
              <w:jc w:val="center"/>
              <w:rPr>
                <w:rFonts w:cs="Arial"/>
                <w:color w:val="000000" w:themeColor="text1"/>
                <w:szCs w:val="16"/>
              </w:rPr>
            </w:pPr>
            <w:r w:rsidRPr="00ED172B">
              <w:rPr>
                <w:rFonts w:cs="Arial"/>
                <w:color w:val="000000" w:themeColor="text1"/>
                <w:szCs w:val="16"/>
              </w:rPr>
              <w:t>78.40%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2EE51451" w14:textId="2C870F73" w:rsidR="00013004" w:rsidRPr="00ED172B" w:rsidRDefault="00860830" w:rsidP="00ED172B">
            <w:pPr>
              <w:jc w:val="center"/>
              <w:rPr>
                <w:rFonts w:cs="Arial"/>
                <w:color w:val="000000" w:themeColor="text1"/>
                <w:szCs w:val="16"/>
              </w:rPr>
            </w:pPr>
            <w:r w:rsidRPr="00ED172B">
              <w:rPr>
                <w:rFonts w:cs="Arial"/>
                <w:color w:val="000000" w:themeColor="text1"/>
                <w:szCs w:val="16"/>
              </w:rPr>
              <w:t>78.50%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0A41FC6" w14:textId="54686D6B" w:rsidR="00013004" w:rsidRPr="00ED172B" w:rsidRDefault="00860830" w:rsidP="00ED172B">
            <w:pPr>
              <w:jc w:val="center"/>
              <w:rPr>
                <w:rFonts w:cs="Arial"/>
                <w:color w:val="000000" w:themeColor="text1"/>
                <w:szCs w:val="16"/>
              </w:rPr>
            </w:pPr>
            <w:r w:rsidRPr="00ED172B">
              <w:rPr>
                <w:rFonts w:cs="Arial"/>
                <w:color w:val="000000" w:themeColor="text1"/>
                <w:szCs w:val="16"/>
              </w:rPr>
              <w:t>80.00%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1C30ECB5" w14:textId="453A7604" w:rsidR="00013004" w:rsidRPr="00ED172B" w:rsidRDefault="00860830" w:rsidP="00ED172B">
            <w:pPr>
              <w:jc w:val="center"/>
              <w:rPr>
                <w:rFonts w:cs="Arial"/>
                <w:color w:val="000000" w:themeColor="text1"/>
                <w:szCs w:val="16"/>
              </w:rPr>
            </w:pPr>
            <w:r w:rsidRPr="00ED172B">
              <w:rPr>
                <w:rFonts w:cs="Arial"/>
                <w:color w:val="000000" w:themeColor="text1"/>
                <w:szCs w:val="16"/>
              </w:rPr>
              <w:t>85.00%</w:t>
            </w:r>
          </w:p>
        </w:tc>
      </w:tr>
      <w:tr w:rsidR="00ED172B" w:rsidRPr="00ED172B" w14:paraId="48448318" w14:textId="1BF5AF3A" w:rsidTr="00A40EE1">
        <w:trPr>
          <w:trHeight w:val="85"/>
        </w:trPr>
        <w:tc>
          <w:tcPr>
            <w:tcW w:w="415" w:type="pct"/>
            <w:tcBorders>
              <w:left w:val="single" w:sz="4" w:space="0" w:color="auto"/>
              <w:right w:val="single" w:sz="4" w:space="0" w:color="auto"/>
            </w:tcBorders>
            <w:shd w:val="clear" w:color="auto" w:fill="auto"/>
            <w:vAlign w:val="center"/>
          </w:tcPr>
          <w:p w14:paraId="08404016" w14:textId="59489EEE" w:rsidR="00013004" w:rsidRPr="00ED172B" w:rsidRDefault="004B755C" w:rsidP="00013004">
            <w:pPr>
              <w:rPr>
                <w:rFonts w:cs="Arial"/>
                <w:color w:val="000000" w:themeColor="text1"/>
                <w:szCs w:val="16"/>
              </w:rPr>
            </w:pPr>
            <w:r w:rsidRPr="00ED172B">
              <w:rPr>
                <w:rFonts w:cs="Arial"/>
                <w:color w:val="000000" w:themeColor="text1"/>
                <w:szCs w:val="16"/>
              </w:rPr>
              <w:t>B</w:t>
            </w:r>
          </w:p>
        </w:tc>
        <w:tc>
          <w:tcPr>
            <w:tcW w:w="332" w:type="pct"/>
            <w:tcBorders>
              <w:left w:val="single" w:sz="4" w:space="0" w:color="auto"/>
              <w:right w:val="single" w:sz="4" w:space="0" w:color="auto"/>
            </w:tcBorders>
            <w:shd w:val="clear" w:color="auto" w:fill="auto"/>
          </w:tcPr>
          <w:p w14:paraId="23E7373A" w14:textId="433300C8" w:rsidR="00013004" w:rsidRPr="00ED172B" w:rsidRDefault="00291EA9" w:rsidP="00ED172B">
            <w:pPr>
              <w:jc w:val="center"/>
              <w:rPr>
                <w:color w:val="000000" w:themeColor="text1"/>
              </w:rPr>
            </w:pPr>
            <w:r w:rsidRPr="00ED172B">
              <w:rPr>
                <w:color w:val="000000" w:themeColor="text1"/>
              </w:rPr>
              <w:t>###C04BBA</w:t>
            </w:r>
            <w:r w:rsidRPr="00ED172B">
              <w:rPr>
                <w:color w:val="000000" w:themeColor="text1"/>
              </w:rPr>
              <w:lastRenderedPageBreak/>
              <w:t>SEDATA###</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783E7E7D" w14:textId="4EA3BF01" w:rsidR="00013004" w:rsidRPr="00ED172B" w:rsidRDefault="00013004" w:rsidP="00013004">
            <w:pPr>
              <w:rPr>
                <w:rFonts w:cs="Arial"/>
                <w:color w:val="000000" w:themeColor="text1"/>
                <w:szCs w:val="16"/>
              </w:rPr>
            </w:pPr>
            <w:r w:rsidRPr="00ED172B">
              <w:rPr>
                <w:rFonts w:cs="Arial"/>
                <w:color w:val="000000" w:themeColor="text1"/>
                <w:szCs w:val="16"/>
              </w:rPr>
              <w:lastRenderedPageBreak/>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83DDC99" w14:textId="1EDA8D8D" w:rsidR="00013004" w:rsidRPr="00ED172B" w:rsidRDefault="00860830" w:rsidP="00ED172B">
            <w:pPr>
              <w:jc w:val="center"/>
              <w:rPr>
                <w:rFonts w:cs="Arial"/>
                <w:color w:val="000000" w:themeColor="text1"/>
                <w:szCs w:val="16"/>
              </w:rPr>
            </w:pPr>
            <w:r w:rsidRPr="00ED172B">
              <w:rPr>
                <w:rFonts w:cs="Arial"/>
                <w:color w:val="000000" w:themeColor="text1"/>
                <w:szCs w:val="16"/>
              </w:rPr>
              <w:t>84.24%</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3AA296DF" w14:textId="44DA43D6" w:rsidR="00013004" w:rsidRPr="00ED172B" w:rsidRDefault="00860830" w:rsidP="00ED172B">
            <w:pPr>
              <w:jc w:val="center"/>
              <w:rPr>
                <w:rFonts w:cs="Arial"/>
                <w:color w:val="000000" w:themeColor="text1"/>
                <w:szCs w:val="16"/>
              </w:rPr>
            </w:pPr>
            <w:r w:rsidRPr="00ED172B">
              <w:rPr>
                <w:rFonts w:cs="Arial"/>
                <w:color w:val="000000" w:themeColor="text1"/>
                <w:szCs w:val="16"/>
              </w:rPr>
              <w:t>84.08%</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9F983E6" w14:textId="525200A6" w:rsidR="00013004" w:rsidRPr="00ED172B" w:rsidRDefault="00860830" w:rsidP="00ED172B">
            <w:pPr>
              <w:jc w:val="center"/>
              <w:rPr>
                <w:rFonts w:cs="Arial"/>
                <w:color w:val="000000" w:themeColor="text1"/>
                <w:szCs w:val="16"/>
              </w:rPr>
            </w:pPr>
            <w:r w:rsidRPr="00ED172B">
              <w:rPr>
                <w:rFonts w:cs="Arial"/>
                <w:color w:val="000000" w:themeColor="text1"/>
                <w:szCs w:val="16"/>
              </w:rPr>
              <w:t>84.93%</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8F41E63" w14:textId="3F575D02" w:rsidR="00013004" w:rsidRPr="00ED172B" w:rsidRDefault="00860830" w:rsidP="00ED172B">
            <w:pPr>
              <w:jc w:val="center"/>
              <w:rPr>
                <w:rFonts w:cs="Arial"/>
                <w:color w:val="000000" w:themeColor="text1"/>
                <w:szCs w:val="16"/>
              </w:rPr>
            </w:pPr>
            <w:r w:rsidRPr="00ED172B">
              <w:rPr>
                <w:rFonts w:cs="Arial"/>
                <w:color w:val="000000" w:themeColor="text1"/>
                <w:szCs w:val="16"/>
              </w:rPr>
              <w:t>84.53%</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3B5004E2" w14:textId="0083A2B7" w:rsidR="00013004" w:rsidRPr="00ED172B" w:rsidRDefault="00860830" w:rsidP="00ED172B">
            <w:pPr>
              <w:jc w:val="center"/>
              <w:rPr>
                <w:rFonts w:cs="Arial"/>
                <w:color w:val="000000" w:themeColor="text1"/>
                <w:szCs w:val="16"/>
              </w:rPr>
            </w:pPr>
            <w:r w:rsidRPr="00ED172B">
              <w:rPr>
                <w:rFonts w:cs="Arial"/>
                <w:color w:val="000000" w:themeColor="text1"/>
                <w:szCs w:val="16"/>
              </w:rPr>
              <w:t>78.48%</w:t>
            </w:r>
          </w:p>
        </w:tc>
      </w:tr>
      <w:tr w:rsidR="00ED172B" w:rsidRPr="00ED172B" w14:paraId="77FFCFE4" w14:textId="07D83084" w:rsidTr="00A40EE1">
        <w:trPr>
          <w:trHeight w:val="357"/>
        </w:trPr>
        <w:tc>
          <w:tcPr>
            <w:tcW w:w="415" w:type="pct"/>
            <w:tcBorders>
              <w:top w:val="single" w:sz="4" w:space="0" w:color="auto"/>
              <w:left w:val="single" w:sz="4" w:space="0" w:color="auto"/>
              <w:right w:val="single" w:sz="4" w:space="0" w:color="auto"/>
            </w:tcBorders>
            <w:shd w:val="clear" w:color="auto" w:fill="auto"/>
            <w:vAlign w:val="center"/>
          </w:tcPr>
          <w:p w14:paraId="07661252" w14:textId="77777777" w:rsidR="00013004" w:rsidRPr="00ED172B" w:rsidRDefault="00013004" w:rsidP="00013004">
            <w:pP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71D9797A" w14:textId="3DD6EFF7" w:rsidR="00013004" w:rsidRPr="00ED172B" w:rsidRDefault="00291EA9" w:rsidP="00ED172B">
            <w:pPr>
              <w:jc w:val="center"/>
              <w:rPr>
                <w:color w:val="000000" w:themeColor="text1"/>
              </w:rPr>
            </w:pPr>
            <w:r w:rsidRPr="00ED172B">
              <w:rPr>
                <w:color w:val="000000" w:themeColor="text1"/>
              </w:rPr>
              <w:t>2006</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3F16252C" w14:textId="6ECE509E" w:rsidR="00013004" w:rsidRPr="00ED172B" w:rsidRDefault="00013004" w:rsidP="00013004">
            <w:pPr>
              <w:rPr>
                <w:rFonts w:cs="Arial"/>
                <w:color w:val="000000" w:themeColor="text1"/>
                <w:szCs w:val="16"/>
              </w:rPr>
            </w:pPr>
            <w:r w:rsidRPr="00ED172B">
              <w:rPr>
                <w:rFonts w:cs="Arial"/>
                <w:color w:val="000000" w:themeColor="text1"/>
                <w:szCs w:val="16"/>
              </w:rPr>
              <w:t>Target&gt;=</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C86BCA5" w14:textId="7BF79D14" w:rsidR="00013004" w:rsidRPr="00ED172B" w:rsidRDefault="00860830" w:rsidP="00ED172B">
            <w:pPr>
              <w:jc w:val="center"/>
              <w:rPr>
                <w:rFonts w:cs="Arial"/>
                <w:color w:val="000000" w:themeColor="text1"/>
                <w:szCs w:val="16"/>
              </w:rPr>
            </w:pPr>
            <w:r w:rsidRPr="00ED172B">
              <w:rPr>
                <w:rFonts w:cs="Arial"/>
                <w:color w:val="000000" w:themeColor="text1"/>
                <w:szCs w:val="16"/>
              </w:rPr>
              <w:t>89.30%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6473A866" w14:textId="655206D1" w:rsidR="00013004" w:rsidRPr="00ED172B" w:rsidRDefault="00860830" w:rsidP="00ED172B">
            <w:pPr>
              <w:jc w:val="center"/>
              <w:rPr>
                <w:rFonts w:cs="Arial"/>
                <w:color w:val="000000" w:themeColor="text1"/>
                <w:szCs w:val="16"/>
              </w:rPr>
            </w:pPr>
            <w:r w:rsidRPr="00ED172B">
              <w:rPr>
                <w:rFonts w:cs="Arial"/>
                <w:color w:val="000000" w:themeColor="text1"/>
                <w:szCs w:val="16"/>
              </w:rPr>
              <w:t>89.40%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E7C7EA4" w14:textId="16DC7830" w:rsidR="00013004" w:rsidRPr="00ED172B" w:rsidRDefault="00860830" w:rsidP="00ED172B">
            <w:pPr>
              <w:jc w:val="center"/>
              <w:rPr>
                <w:rFonts w:cs="Arial"/>
                <w:color w:val="000000" w:themeColor="text1"/>
                <w:szCs w:val="16"/>
              </w:rPr>
            </w:pPr>
            <w:r w:rsidRPr="00ED172B">
              <w:rPr>
                <w:rFonts w:cs="Arial"/>
                <w:color w:val="000000" w:themeColor="text1"/>
                <w:szCs w:val="16"/>
              </w:rPr>
              <w:t>89.50%</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10A2F4" w14:textId="22FB915F" w:rsidR="00013004" w:rsidRPr="00ED172B" w:rsidRDefault="00860830" w:rsidP="00ED172B">
            <w:pPr>
              <w:jc w:val="center"/>
              <w:rPr>
                <w:rFonts w:cs="Arial"/>
                <w:color w:val="000000" w:themeColor="text1"/>
                <w:szCs w:val="16"/>
              </w:rPr>
            </w:pPr>
            <w:r w:rsidRPr="00ED172B">
              <w:rPr>
                <w:rFonts w:cs="Arial"/>
                <w:color w:val="000000" w:themeColor="text1"/>
                <w:szCs w:val="16"/>
              </w:rPr>
              <w:t>90.00%</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0BC9E656" w14:textId="2804AB60" w:rsidR="00013004" w:rsidRPr="00ED172B" w:rsidRDefault="00860830" w:rsidP="00ED172B">
            <w:pPr>
              <w:jc w:val="center"/>
              <w:rPr>
                <w:rFonts w:cs="Arial"/>
                <w:color w:val="000000" w:themeColor="text1"/>
                <w:szCs w:val="16"/>
              </w:rPr>
            </w:pPr>
            <w:r w:rsidRPr="00ED172B">
              <w:rPr>
                <w:rFonts w:cs="Arial"/>
                <w:color w:val="000000" w:themeColor="text1"/>
                <w:szCs w:val="16"/>
              </w:rPr>
              <w:t>93.00%</w:t>
            </w:r>
          </w:p>
        </w:tc>
      </w:tr>
      <w:tr w:rsidR="00ED172B" w:rsidRPr="00ED172B" w14:paraId="1584FE47" w14:textId="5B96356D" w:rsidTr="00A40EE1">
        <w:trPr>
          <w:trHeight w:val="85"/>
        </w:trPr>
        <w:tc>
          <w:tcPr>
            <w:tcW w:w="415" w:type="pct"/>
            <w:tcBorders>
              <w:left w:val="single" w:sz="4" w:space="0" w:color="auto"/>
              <w:right w:val="single" w:sz="4" w:space="0" w:color="auto"/>
            </w:tcBorders>
            <w:shd w:val="clear" w:color="auto" w:fill="auto"/>
            <w:vAlign w:val="center"/>
          </w:tcPr>
          <w:p w14:paraId="2BD768BF" w14:textId="5205E701" w:rsidR="00013004" w:rsidRPr="00ED172B" w:rsidRDefault="004B755C" w:rsidP="00013004">
            <w:pPr>
              <w:rPr>
                <w:rFonts w:cs="Arial"/>
                <w:color w:val="000000" w:themeColor="text1"/>
                <w:szCs w:val="16"/>
              </w:rPr>
            </w:pPr>
            <w:r w:rsidRPr="00ED172B">
              <w:rPr>
                <w:rFonts w:cs="Arial"/>
                <w:color w:val="000000" w:themeColor="text1"/>
                <w:szCs w:val="16"/>
              </w:rPr>
              <w:t>C</w:t>
            </w:r>
          </w:p>
        </w:tc>
        <w:tc>
          <w:tcPr>
            <w:tcW w:w="332" w:type="pct"/>
            <w:tcBorders>
              <w:left w:val="single" w:sz="4" w:space="0" w:color="auto"/>
              <w:right w:val="single" w:sz="4" w:space="0" w:color="auto"/>
            </w:tcBorders>
            <w:shd w:val="clear" w:color="auto" w:fill="auto"/>
          </w:tcPr>
          <w:p w14:paraId="01DA383D" w14:textId="70C11D05" w:rsidR="00013004" w:rsidRPr="00ED172B" w:rsidRDefault="00291EA9" w:rsidP="00ED172B">
            <w:pPr>
              <w:jc w:val="center"/>
              <w:rPr>
                <w:color w:val="000000" w:themeColor="text1"/>
              </w:rPr>
            </w:pPr>
            <w:r w:rsidRPr="00ED172B">
              <w:rPr>
                <w:color w:val="000000" w:themeColor="text1"/>
              </w:rPr>
              <w:t>85.90%</w:t>
            </w:r>
          </w:p>
        </w:tc>
        <w:tc>
          <w:tcPr>
            <w:tcW w:w="374" w:type="pct"/>
            <w:tcBorders>
              <w:top w:val="single" w:sz="4" w:space="0" w:color="auto"/>
              <w:left w:val="single" w:sz="4" w:space="0" w:color="auto"/>
              <w:bottom w:val="single" w:sz="4" w:space="0" w:color="auto"/>
              <w:right w:val="single" w:sz="4" w:space="0" w:color="auto"/>
            </w:tcBorders>
            <w:shd w:val="clear" w:color="auto" w:fill="auto"/>
            <w:hideMark/>
          </w:tcPr>
          <w:p w14:paraId="2BAC2F43" w14:textId="4BB05AAA" w:rsidR="00013004" w:rsidRPr="00ED172B" w:rsidRDefault="00013004" w:rsidP="00013004">
            <w:pPr>
              <w:rPr>
                <w:rFonts w:cs="Arial"/>
                <w:color w:val="000000" w:themeColor="text1"/>
                <w:szCs w:val="16"/>
              </w:rPr>
            </w:pPr>
            <w:r w:rsidRPr="00ED172B">
              <w:rPr>
                <w:rFonts w:cs="Arial"/>
                <w:color w:val="000000" w:themeColor="text1"/>
                <w:szCs w:val="16"/>
              </w:rPr>
              <w:t>Data</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78A96497" w14:textId="2E678B5B" w:rsidR="00013004" w:rsidRPr="00ED172B" w:rsidRDefault="00860830" w:rsidP="00ED172B">
            <w:pPr>
              <w:jc w:val="center"/>
              <w:rPr>
                <w:rFonts w:cs="Arial"/>
                <w:color w:val="000000" w:themeColor="text1"/>
                <w:szCs w:val="16"/>
              </w:rPr>
            </w:pPr>
            <w:r w:rsidRPr="00ED172B">
              <w:rPr>
                <w:rFonts w:cs="Arial"/>
                <w:color w:val="000000" w:themeColor="text1"/>
                <w:szCs w:val="16"/>
              </w:rPr>
              <w:t>93.55%</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06B0FAFB" w14:textId="773E6271" w:rsidR="00013004" w:rsidRPr="00ED172B" w:rsidRDefault="00860830" w:rsidP="00ED172B">
            <w:pPr>
              <w:jc w:val="center"/>
              <w:rPr>
                <w:rFonts w:cs="Arial"/>
                <w:color w:val="000000" w:themeColor="text1"/>
                <w:szCs w:val="16"/>
              </w:rPr>
            </w:pPr>
            <w:r w:rsidRPr="00ED172B">
              <w:rPr>
                <w:rFonts w:cs="Arial"/>
                <w:color w:val="000000" w:themeColor="text1"/>
                <w:szCs w:val="16"/>
              </w:rPr>
              <w:t>93.07%</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18FB49FA" w14:textId="2FC0173A" w:rsidR="00013004" w:rsidRPr="00ED172B" w:rsidRDefault="00860830" w:rsidP="00ED172B">
            <w:pPr>
              <w:jc w:val="center"/>
              <w:rPr>
                <w:rFonts w:cs="Arial"/>
                <w:color w:val="000000" w:themeColor="text1"/>
                <w:szCs w:val="16"/>
              </w:rPr>
            </w:pPr>
            <w:r w:rsidRPr="00ED172B">
              <w:rPr>
                <w:rFonts w:cs="Arial"/>
                <w:color w:val="000000" w:themeColor="text1"/>
                <w:szCs w:val="16"/>
              </w:rPr>
              <w:t>93.92%</w:t>
            </w:r>
          </w:p>
        </w:tc>
        <w:tc>
          <w:tcPr>
            <w:tcW w:w="776" w:type="pct"/>
            <w:tcBorders>
              <w:top w:val="single" w:sz="4" w:space="0" w:color="auto"/>
              <w:left w:val="single" w:sz="4" w:space="0" w:color="auto"/>
              <w:bottom w:val="single" w:sz="4" w:space="0" w:color="auto"/>
              <w:right w:val="single" w:sz="4" w:space="0" w:color="auto"/>
            </w:tcBorders>
            <w:shd w:val="clear" w:color="auto" w:fill="auto"/>
            <w:vAlign w:val="center"/>
          </w:tcPr>
          <w:p w14:paraId="588FA15C" w14:textId="17F93F1C" w:rsidR="00013004" w:rsidRPr="00ED172B" w:rsidRDefault="00860830" w:rsidP="00ED172B">
            <w:pPr>
              <w:jc w:val="center"/>
              <w:rPr>
                <w:rFonts w:cs="Arial"/>
                <w:color w:val="000000" w:themeColor="text1"/>
                <w:szCs w:val="16"/>
              </w:rPr>
            </w:pPr>
            <w:r w:rsidRPr="00ED172B">
              <w:rPr>
                <w:rFonts w:cs="Arial"/>
                <w:color w:val="000000" w:themeColor="text1"/>
                <w:szCs w:val="16"/>
              </w:rPr>
              <w:t>93.91%</w:t>
            </w:r>
          </w:p>
        </w:tc>
        <w:tc>
          <w:tcPr>
            <w:tcW w:w="775" w:type="pct"/>
            <w:tcBorders>
              <w:top w:val="single" w:sz="4" w:space="0" w:color="auto"/>
              <w:left w:val="single" w:sz="4" w:space="0" w:color="auto"/>
              <w:bottom w:val="single" w:sz="4" w:space="0" w:color="auto"/>
              <w:right w:val="single" w:sz="4" w:space="0" w:color="auto"/>
            </w:tcBorders>
            <w:shd w:val="clear" w:color="auto" w:fill="auto"/>
            <w:vAlign w:val="center"/>
          </w:tcPr>
          <w:p w14:paraId="2C8C7BAD" w14:textId="4B7C02F5" w:rsidR="00013004" w:rsidRPr="00ED172B" w:rsidRDefault="00860830" w:rsidP="00ED172B">
            <w:pPr>
              <w:jc w:val="center"/>
              <w:rPr>
                <w:rFonts w:cs="Arial"/>
                <w:color w:val="000000" w:themeColor="text1"/>
                <w:szCs w:val="16"/>
              </w:rPr>
            </w:pPr>
            <w:r w:rsidRPr="00ED172B">
              <w:rPr>
                <w:rFonts w:cs="Arial"/>
                <w:color w:val="000000" w:themeColor="text1"/>
                <w:szCs w:val="16"/>
              </w:rPr>
              <w:t>90.81%</w:t>
            </w:r>
          </w:p>
        </w:tc>
      </w:tr>
    </w:tbl>
    <w:p w14:paraId="2A1BA25E" w14:textId="124175C6" w:rsidR="001F545F" w:rsidRPr="00ED172B" w:rsidRDefault="005918D1">
      <w:pPr>
        <w:rPr>
          <w:b/>
          <w:color w:val="000000" w:themeColor="text1"/>
        </w:rPr>
      </w:pPr>
      <w:r w:rsidRPr="00ED172B">
        <w:rPr>
          <w:b/>
          <w:color w:val="000000" w:themeColor="text1"/>
        </w:rPr>
        <w:t>Targets</w:t>
      </w:r>
    </w:p>
    <w:tbl>
      <w:tblPr>
        <w:tblW w:w="4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TARGETS"/>
      </w:tblPr>
      <w:tblGrid>
        <w:gridCol w:w="726"/>
        <w:gridCol w:w="1681"/>
        <w:gridCol w:w="1677"/>
        <w:gridCol w:w="1677"/>
        <w:gridCol w:w="1677"/>
        <w:gridCol w:w="1677"/>
      </w:tblGrid>
      <w:tr w:rsidR="009E2382" w:rsidRPr="00ED172B" w14:paraId="6C023CDC" w14:textId="05C08FAC" w:rsidTr="006B0ACA">
        <w:trPr>
          <w:trHeight w:val="350"/>
        </w:trPr>
        <w:tc>
          <w:tcPr>
            <w:tcW w:w="398" w:type="pct"/>
            <w:tcBorders>
              <w:bottom w:val="single" w:sz="4" w:space="0" w:color="auto"/>
            </w:tcBorders>
            <w:shd w:val="clear" w:color="auto" w:fill="auto"/>
            <w:vAlign w:val="bottom"/>
          </w:tcPr>
          <w:p w14:paraId="0130A8F3" w14:textId="77777777" w:rsidR="009E2382" w:rsidRPr="00ED172B" w:rsidRDefault="009E2382" w:rsidP="008654C9">
            <w:pPr>
              <w:jc w:val="center"/>
              <w:rPr>
                <w:rFonts w:cs="Arial"/>
                <w:b/>
                <w:color w:val="000000" w:themeColor="text1"/>
                <w:szCs w:val="16"/>
              </w:rPr>
            </w:pPr>
            <w:r w:rsidRPr="00ED172B">
              <w:rPr>
                <w:rFonts w:cs="Arial"/>
                <w:b/>
                <w:color w:val="000000" w:themeColor="text1"/>
                <w:szCs w:val="16"/>
              </w:rPr>
              <w:t>FFY</w:t>
            </w:r>
          </w:p>
        </w:tc>
        <w:tc>
          <w:tcPr>
            <w:tcW w:w="922" w:type="pct"/>
            <w:shd w:val="clear" w:color="auto" w:fill="auto"/>
            <w:vAlign w:val="center"/>
          </w:tcPr>
          <w:p w14:paraId="4732CBBC" w14:textId="72AD1B78" w:rsidR="009E2382" w:rsidRPr="00ED172B" w:rsidRDefault="009E2382" w:rsidP="008654C9">
            <w:pPr>
              <w:jc w:val="center"/>
              <w:rPr>
                <w:rFonts w:cs="Arial"/>
                <w:b/>
                <w:color w:val="000000" w:themeColor="text1"/>
                <w:szCs w:val="16"/>
              </w:rPr>
            </w:pPr>
            <w:r w:rsidRPr="00ED172B">
              <w:rPr>
                <w:rFonts w:cs="Arial"/>
                <w:b/>
                <w:color w:val="000000" w:themeColor="text1"/>
                <w:szCs w:val="16"/>
              </w:rPr>
              <w:t>2021</w:t>
            </w:r>
          </w:p>
        </w:tc>
        <w:tc>
          <w:tcPr>
            <w:tcW w:w="920" w:type="pct"/>
          </w:tcPr>
          <w:p w14:paraId="4A6AC503" w14:textId="202CF51F" w:rsidR="009E2382" w:rsidRPr="00ED172B" w:rsidRDefault="009E2382" w:rsidP="008654C9">
            <w:pPr>
              <w:jc w:val="center"/>
              <w:rPr>
                <w:rFonts w:cs="Arial"/>
                <w:b/>
                <w:color w:val="000000" w:themeColor="text1"/>
                <w:szCs w:val="16"/>
              </w:rPr>
            </w:pPr>
            <w:r>
              <w:rPr>
                <w:rFonts w:cs="Arial"/>
                <w:b/>
                <w:color w:val="000000" w:themeColor="text1"/>
                <w:szCs w:val="16"/>
              </w:rPr>
              <w:t>2022</w:t>
            </w:r>
          </w:p>
        </w:tc>
        <w:tc>
          <w:tcPr>
            <w:tcW w:w="920" w:type="pct"/>
          </w:tcPr>
          <w:p w14:paraId="7D14D156" w14:textId="77C45ED4" w:rsidR="009E2382" w:rsidRPr="00ED172B" w:rsidRDefault="009E2382" w:rsidP="008654C9">
            <w:pPr>
              <w:jc w:val="center"/>
              <w:rPr>
                <w:rFonts w:cs="Arial"/>
                <w:b/>
                <w:color w:val="000000" w:themeColor="text1"/>
                <w:szCs w:val="16"/>
              </w:rPr>
            </w:pPr>
            <w:r w:rsidRPr="005A1B4F">
              <w:rPr>
                <w:rFonts w:cs="Arial"/>
                <w:b/>
                <w:color w:val="000000" w:themeColor="text1"/>
                <w:szCs w:val="16"/>
              </w:rPr>
              <w:t>2023</w:t>
            </w:r>
          </w:p>
        </w:tc>
        <w:tc>
          <w:tcPr>
            <w:tcW w:w="920" w:type="pct"/>
          </w:tcPr>
          <w:p w14:paraId="54C6D3CA" w14:textId="4376F08A" w:rsidR="009E2382" w:rsidRPr="00ED172B" w:rsidRDefault="009E2382" w:rsidP="008654C9">
            <w:pPr>
              <w:jc w:val="center"/>
              <w:rPr>
                <w:rFonts w:cs="Arial"/>
                <w:b/>
                <w:color w:val="000000" w:themeColor="text1"/>
                <w:szCs w:val="16"/>
              </w:rPr>
            </w:pPr>
            <w:r w:rsidRPr="005A1B4F">
              <w:rPr>
                <w:rFonts w:cs="Arial"/>
                <w:b/>
                <w:color w:val="000000" w:themeColor="text1"/>
                <w:szCs w:val="16"/>
              </w:rPr>
              <w:t>2024</w:t>
            </w:r>
          </w:p>
        </w:tc>
        <w:tc>
          <w:tcPr>
            <w:tcW w:w="920" w:type="pct"/>
          </w:tcPr>
          <w:p w14:paraId="6AB7C10D" w14:textId="44F6ABFC" w:rsidR="009E2382" w:rsidRPr="00ED172B" w:rsidRDefault="009E2382" w:rsidP="008654C9">
            <w:pPr>
              <w:jc w:val="center"/>
              <w:rPr>
                <w:rFonts w:cs="Arial"/>
                <w:b/>
                <w:color w:val="000000" w:themeColor="text1"/>
                <w:szCs w:val="16"/>
              </w:rPr>
            </w:pPr>
            <w:r w:rsidRPr="005A1B4F">
              <w:rPr>
                <w:rFonts w:cs="Arial"/>
                <w:b/>
                <w:color w:val="000000" w:themeColor="text1"/>
                <w:szCs w:val="16"/>
              </w:rPr>
              <w:t>2025</w:t>
            </w:r>
          </w:p>
        </w:tc>
      </w:tr>
      <w:tr w:rsidR="009E2382" w:rsidRPr="00ED172B" w14:paraId="737B1FB1" w14:textId="0E9417A5" w:rsidTr="006B0ACA">
        <w:trPr>
          <w:trHeight w:val="357"/>
        </w:trPr>
        <w:tc>
          <w:tcPr>
            <w:tcW w:w="398" w:type="pct"/>
            <w:shd w:val="clear" w:color="auto" w:fill="auto"/>
          </w:tcPr>
          <w:p w14:paraId="2CE5A688" w14:textId="4C4E1C28" w:rsidR="009E2382" w:rsidRPr="00ED172B" w:rsidRDefault="009E2382" w:rsidP="002F2336">
            <w:pPr>
              <w:rPr>
                <w:rFonts w:cs="Arial"/>
                <w:color w:val="000000" w:themeColor="text1"/>
                <w:szCs w:val="16"/>
              </w:rPr>
            </w:pPr>
            <w:r w:rsidRPr="00ED172B">
              <w:rPr>
                <w:rFonts w:cs="Arial"/>
                <w:color w:val="000000" w:themeColor="text1"/>
                <w:szCs w:val="16"/>
              </w:rPr>
              <w:t>Target A&gt;=</w:t>
            </w:r>
          </w:p>
        </w:tc>
        <w:tc>
          <w:tcPr>
            <w:tcW w:w="922" w:type="pct"/>
            <w:shd w:val="clear" w:color="auto" w:fill="auto"/>
            <w:vAlign w:val="center"/>
          </w:tcPr>
          <w:p w14:paraId="0B768807" w14:textId="2DC3CAE1" w:rsidR="009E2382" w:rsidRPr="00ED172B" w:rsidRDefault="009E2382" w:rsidP="002F2336">
            <w:pPr>
              <w:jc w:val="center"/>
              <w:rPr>
                <w:color w:val="000000" w:themeColor="text1"/>
              </w:rPr>
            </w:pPr>
            <w:r w:rsidRPr="00ED172B">
              <w:rPr>
                <w:color w:val="000000" w:themeColor="text1"/>
              </w:rPr>
              <w:t>90.00%</w:t>
            </w:r>
          </w:p>
        </w:tc>
        <w:tc>
          <w:tcPr>
            <w:tcW w:w="920" w:type="pct"/>
            <w:vAlign w:val="center"/>
          </w:tcPr>
          <w:p w14:paraId="4F6C0542" w14:textId="15CB8941" w:rsidR="009E2382" w:rsidRPr="00794BA1" w:rsidRDefault="009E2382" w:rsidP="002F2336">
            <w:pPr>
              <w:jc w:val="center"/>
              <w:rPr>
                <w:color w:val="000000" w:themeColor="text1"/>
              </w:rPr>
            </w:pPr>
            <w:r w:rsidRPr="00794BA1">
              <w:rPr>
                <w:color w:val="000000" w:themeColor="text1"/>
              </w:rPr>
              <w:t>90.00%</w:t>
            </w:r>
          </w:p>
        </w:tc>
        <w:tc>
          <w:tcPr>
            <w:tcW w:w="920" w:type="pct"/>
            <w:vAlign w:val="center"/>
          </w:tcPr>
          <w:p w14:paraId="7E129EEC" w14:textId="3C5D3830" w:rsidR="009E2382" w:rsidRPr="00794BA1" w:rsidRDefault="009E2382" w:rsidP="002F2336">
            <w:pPr>
              <w:jc w:val="center"/>
              <w:rPr>
                <w:color w:val="000000" w:themeColor="text1"/>
              </w:rPr>
            </w:pPr>
            <w:r w:rsidRPr="00794BA1">
              <w:rPr>
                <w:color w:val="000000" w:themeColor="text1"/>
              </w:rPr>
              <w:t>90.00%</w:t>
            </w:r>
          </w:p>
        </w:tc>
        <w:tc>
          <w:tcPr>
            <w:tcW w:w="920" w:type="pct"/>
            <w:vAlign w:val="center"/>
          </w:tcPr>
          <w:p w14:paraId="1603BA2D" w14:textId="5F415E68" w:rsidR="009E2382" w:rsidRPr="00794BA1" w:rsidRDefault="009E2382" w:rsidP="002F2336">
            <w:pPr>
              <w:jc w:val="center"/>
              <w:rPr>
                <w:color w:val="000000" w:themeColor="text1"/>
              </w:rPr>
            </w:pPr>
            <w:r w:rsidRPr="00794BA1">
              <w:rPr>
                <w:color w:val="000000" w:themeColor="text1"/>
              </w:rPr>
              <w:t>90.00%</w:t>
            </w:r>
          </w:p>
        </w:tc>
        <w:tc>
          <w:tcPr>
            <w:tcW w:w="920" w:type="pct"/>
            <w:vAlign w:val="center"/>
          </w:tcPr>
          <w:p w14:paraId="280A04B9" w14:textId="69CF94DE" w:rsidR="009E2382" w:rsidRPr="00794BA1" w:rsidRDefault="009E2382" w:rsidP="002F2336">
            <w:pPr>
              <w:jc w:val="center"/>
              <w:rPr>
                <w:color w:val="000000" w:themeColor="text1"/>
              </w:rPr>
            </w:pPr>
            <w:r w:rsidRPr="00794BA1">
              <w:rPr>
                <w:color w:val="000000" w:themeColor="text1"/>
              </w:rPr>
              <w:t>90.00%</w:t>
            </w:r>
          </w:p>
        </w:tc>
      </w:tr>
      <w:tr w:rsidR="009E2382" w:rsidRPr="00ED172B" w14:paraId="710D542D" w14:textId="756C8AD1" w:rsidTr="006B0ACA">
        <w:trPr>
          <w:trHeight w:val="357"/>
        </w:trPr>
        <w:tc>
          <w:tcPr>
            <w:tcW w:w="398" w:type="pct"/>
            <w:shd w:val="clear" w:color="auto" w:fill="auto"/>
          </w:tcPr>
          <w:p w14:paraId="557BCF0C" w14:textId="6B9B0AD0" w:rsidR="009E2382" w:rsidRPr="00ED172B" w:rsidRDefault="009E2382" w:rsidP="002F2336">
            <w:pPr>
              <w:rPr>
                <w:rFonts w:cs="Arial"/>
                <w:color w:val="000000" w:themeColor="text1"/>
                <w:szCs w:val="16"/>
              </w:rPr>
            </w:pPr>
            <w:r w:rsidRPr="00ED172B">
              <w:rPr>
                <w:rFonts w:cs="Arial"/>
                <w:color w:val="000000" w:themeColor="text1"/>
                <w:szCs w:val="16"/>
              </w:rPr>
              <w:t>Target B&gt;=</w:t>
            </w:r>
          </w:p>
        </w:tc>
        <w:tc>
          <w:tcPr>
            <w:tcW w:w="922" w:type="pct"/>
            <w:shd w:val="clear" w:color="auto" w:fill="auto"/>
            <w:vAlign w:val="center"/>
          </w:tcPr>
          <w:p w14:paraId="2EE14986" w14:textId="19D08E1A" w:rsidR="009E2382" w:rsidRPr="00ED172B" w:rsidRDefault="009E2382" w:rsidP="002F2336">
            <w:pPr>
              <w:jc w:val="center"/>
              <w:rPr>
                <w:color w:val="000000" w:themeColor="text1"/>
              </w:rPr>
            </w:pPr>
            <w:r w:rsidRPr="00ED172B">
              <w:rPr>
                <w:color w:val="000000" w:themeColor="text1"/>
              </w:rPr>
              <w:t>85.00%</w:t>
            </w:r>
          </w:p>
        </w:tc>
        <w:tc>
          <w:tcPr>
            <w:tcW w:w="920" w:type="pct"/>
            <w:vAlign w:val="center"/>
          </w:tcPr>
          <w:p w14:paraId="45E8EA8A" w14:textId="192846CF" w:rsidR="009E2382" w:rsidRPr="00794BA1" w:rsidRDefault="009E2382" w:rsidP="002F2336">
            <w:pPr>
              <w:jc w:val="center"/>
              <w:rPr>
                <w:color w:val="000000" w:themeColor="text1"/>
              </w:rPr>
            </w:pPr>
            <w:r w:rsidRPr="00794BA1">
              <w:rPr>
                <w:color w:val="000000" w:themeColor="text1"/>
              </w:rPr>
              <w:t>85.00%</w:t>
            </w:r>
          </w:p>
        </w:tc>
        <w:tc>
          <w:tcPr>
            <w:tcW w:w="920" w:type="pct"/>
            <w:vAlign w:val="center"/>
          </w:tcPr>
          <w:p w14:paraId="137A8927" w14:textId="39313DAE" w:rsidR="009E2382" w:rsidRPr="00794BA1" w:rsidRDefault="009E2382" w:rsidP="002F2336">
            <w:pPr>
              <w:jc w:val="center"/>
              <w:rPr>
                <w:color w:val="000000" w:themeColor="text1"/>
              </w:rPr>
            </w:pPr>
            <w:r w:rsidRPr="00794BA1">
              <w:rPr>
                <w:color w:val="000000" w:themeColor="text1"/>
              </w:rPr>
              <w:t>85.50%</w:t>
            </w:r>
          </w:p>
        </w:tc>
        <w:tc>
          <w:tcPr>
            <w:tcW w:w="920" w:type="pct"/>
            <w:vAlign w:val="center"/>
          </w:tcPr>
          <w:p w14:paraId="4F3E4B3B" w14:textId="311804D1" w:rsidR="009E2382" w:rsidRPr="00794BA1" w:rsidRDefault="009E2382" w:rsidP="002F2336">
            <w:pPr>
              <w:jc w:val="center"/>
              <w:rPr>
                <w:color w:val="000000" w:themeColor="text1"/>
              </w:rPr>
            </w:pPr>
            <w:r w:rsidRPr="00794BA1">
              <w:rPr>
                <w:color w:val="000000" w:themeColor="text1"/>
              </w:rPr>
              <w:t>85.50%</w:t>
            </w:r>
          </w:p>
        </w:tc>
        <w:tc>
          <w:tcPr>
            <w:tcW w:w="920" w:type="pct"/>
            <w:vAlign w:val="center"/>
          </w:tcPr>
          <w:p w14:paraId="23D8E928" w14:textId="017DA025" w:rsidR="009E2382" w:rsidRPr="00794BA1" w:rsidRDefault="009E2382" w:rsidP="002F2336">
            <w:pPr>
              <w:jc w:val="center"/>
              <w:rPr>
                <w:color w:val="000000" w:themeColor="text1"/>
              </w:rPr>
            </w:pPr>
            <w:r w:rsidRPr="00794BA1">
              <w:rPr>
                <w:color w:val="000000" w:themeColor="text1"/>
              </w:rPr>
              <w:t>85.50%</w:t>
            </w:r>
          </w:p>
        </w:tc>
      </w:tr>
      <w:tr w:rsidR="009E2382" w:rsidRPr="00ED172B" w14:paraId="6BF95698" w14:textId="57A8B0C9" w:rsidTr="006B0ACA">
        <w:trPr>
          <w:trHeight w:val="357"/>
        </w:trPr>
        <w:tc>
          <w:tcPr>
            <w:tcW w:w="398" w:type="pct"/>
            <w:shd w:val="clear" w:color="auto" w:fill="auto"/>
          </w:tcPr>
          <w:p w14:paraId="27634074" w14:textId="35FAB710" w:rsidR="009E2382" w:rsidRPr="00ED172B" w:rsidRDefault="009E2382" w:rsidP="002F2336">
            <w:pPr>
              <w:rPr>
                <w:rFonts w:cs="Arial"/>
                <w:color w:val="000000" w:themeColor="text1"/>
                <w:szCs w:val="16"/>
              </w:rPr>
            </w:pPr>
            <w:r w:rsidRPr="00ED172B">
              <w:rPr>
                <w:rFonts w:cs="Arial"/>
                <w:color w:val="000000" w:themeColor="text1"/>
                <w:szCs w:val="16"/>
              </w:rPr>
              <w:t>Target C&gt;=</w:t>
            </w:r>
          </w:p>
        </w:tc>
        <w:tc>
          <w:tcPr>
            <w:tcW w:w="922" w:type="pct"/>
            <w:shd w:val="clear" w:color="auto" w:fill="auto"/>
            <w:vAlign w:val="center"/>
          </w:tcPr>
          <w:p w14:paraId="51F920AE" w14:textId="186AEDBE" w:rsidR="009E2382" w:rsidRPr="00ED172B" w:rsidRDefault="009E2382" w:rsidP="002F2336">
            <w:pPr>
              <w:jc w:val="center"/>
              <w:rPr>
                <w:color w:val="000000" w:themeColor="text1"/>
              </w:rPr>
            </w:pPr>
            <w:r w:rsidRPr="00ED172B">
              <w:rPr>
                <w:color w:val="000000" w:themeColor="text1"/>
              </w:rPr>
              <w:t>93.00%</w:t>
            </w:r>
          </w:p>
        </w:tc>
        <w:tc>
          <w:tcPr>
            <w:tcW w:w="920" w:type="pct"/>
            <w:vAlign w:val="center"/>
          </w:tcPr>
          <w:p w14:paraId="29A82995" w14:textId="6F06C337" w:rsidR="009E2382" w:rsidRPr="00794BA1" w:rsidRDefault="009E2382" w:rsidP="002F2336">
            <w:pPr>
              <w:jc w:val="center"/>
              <w:rPr>
                <w:color w:val="000000" w:themeColor="text1"/>
              </w:rPr>
            </w:pPr>
            <w:r w:rsidRPr="00794BA1">
              <w:rPr>
                <w:color w:val="000000" w:themeColor="text1"/>
              </w:rPr>
              <w:t>93.50%</w:t>
            </w:r>
          </w:p>
        </w:tc>
        <w:tc>
          <w:tcPr>
            <w:tcW w:w="920" w:type="pct"/>
            <w:vAlign w:val="center"/>
          </w:tcPr>
          <w:p w14:paraId="3350033C" w14:textId="717C16E7" w:rsidR="009E2382" w:rsidRPr="00794BA1" w:rsidRDefault="009E2382" w:rsidP="002F2336">
            <w:pPr>
              <w:jc w:val="center"/>
              <w:rPr>
                <w:color w:val="000000" w:themeColor="text1"/>
              </w:rPr>
            </w:pPr>
            <w:r w:rsidRPr="00794BA1">
              <w:rPr>
                <w:color w:val="000000" w:themeColor="text1"/>
              </w:rPr>
              <w:t>93.50%</w:t>
            </w:r>
          </w:p>
        </w:tc>
        <w:tc>
          <w:tcPr>
            <w:tcW w:w="920" w:type="pct"/>
            <w:vAlign w:val="center"/>
          </w:tcPr>
          <w:p w14:paraId="5AA59638" w14:textId="40879AEC" w:rsidR="009E2382" w:rsidRPr="00794BA1" w:rsidRDefault="009E2382" w:rsidP="002F2336">
            <w:pPr>
              <w:jc w:val="center"/>
              <w:rPr>
                <w:color w:val="000000" w:themeColor="text1"/>
              </w:rPr>
            </w:pPr>
            <w:r w:rsidRPr="00794BA1">
              <w:rPr>
                <w:color w:val="000000" w:themeColor="text1"/>
              </w:rPr>
              <w:t>94.00%</w:t>
            </w:r>
          </w:p>
        </w:tc>
        <w:tc>
          <w:tcPr>
            <w:tcW w:w="920" w:type="pct"/>
            <w:vAlign w:val="center"/>
          </w:tcPr>
          <w:p w14:paraId="1D80D9B5" w14:textId="2D4F2514" w:rsidR="009E2382" w:rsidRPr="00794BA1" w:rsidRDefault="009E2382" w:rsidP="002F2336">
            <w:pPr>
              <w:jc w:val="center"/>
              <w:rPr>
                <w:color w:val="000000" w:themeColor="text1"/>
              </w:rPr>
            </w:pPr>
            <w:r w:rsidRPr="00794BA1">
              <w:rPr>
                <w:color w:val="000000" w:themeColor="text1"/>
              </w:rPr>
              <w:t>94.00%</w:t>
            </w:r>
          </w:p>
        </w:tc>
      </w:tr>
    </w:tbl>
    <w:bookmarkEnd w:id="25"/>
    <w:p w14:paraId="270AB339" w14:textId="11E04D22" w:rsidR="00F80C9C" w:rsidRDefault="00F80C9C" w:rsidP="00B83404">
      <w:pPr>
        <w:rPr>
          <w:b/>
          <w:color w:val="000000" w:themeColor="text1"/>
        </w:rPr>
      </w:pPr>
      <w:r w:rsidRPr="00ED172B">
        <w:rPr>
          <w:b/>
          <w:color w:val="000000" w:themeColor="text1"/>
        </w:rPr>
        <w:t xml:space="preserve">Targets: Description of Stakeholder Input </w:t>
      </w:r>
    </w:p>
    <w:p w14:paraId="778B16FF" w14:textId="110BF975" w:rsidR="00C57F17" w:rsidRDefault="00CF03E0" w:rsidP="00CF03E0">
      <w:pPr>
        <w:rPr>
          <w:color w:val="000000" w:themeColor="text1"/>
        </w:rPr>
      </w:pPr>
      <w:r w:rsidRPr="00ED172B">
        <w:rPr>
          <w:color w:val="000000" w:themeColor="text1"/>
        </w:rPr>
        <w:t>MA-C collaborates closely with other State agencies on a variety of issues related to the early childhood system of care and the Part C system, including the Department of Elementary and Secondary Education (DESE), Purchase of Services Office (POS), the Office of Health Equity (OHE), the Division of Medical Assistance (MassHealth), the Department of Early Education and Care (EEC), the Office for the Child Advocate (OCA), the Division of Insurance (DOI), the Massachusetts Maternal, Infant, and Early Childhood Home Visiting team (MassMIECHV), the Early Intervention Parenting Partnerships (EIPP), the Massachusetts Autism Commission (MAC), Massachusetts Child Psychiatry Access Project (MCPAP), and the and the Department of Mental Health (DMH). Most of these agencies are represented on the State Interagency Coordinating Council (ICC).</w:t>
        <w:br/>
        <w:t/>
        <w:br/>
        <w:t>This Annual Performance Report (APR) was developed with broad stakeholder input. At a State Interagency Coordinating Council (ICC) meeting in January 2023, the members reviewed results from FFY21 (7/1/21-6/30/22) for each indicator. Drafts were also shared with staff from the Early Childhood Technical Assistance Center (ECTA), who reviewed and provided initial feedback and guidance. On January 24, 2023, the ICC co-chairs adopted the APR as in lieu of submitting its own report, fulfilling the State Interagency Coordinating Council's obligations to report to the U.S. Department of Education for FFY21.</w:t>
      </w:r>
    </w:p>
    <w:p w14:paraId="7519933C" w14:textId="63B27792" w:rsidR="006902F0" w:rsidRPr="00ED172B" w:rsidRDefault="006902F0" w:rsidP="00B83404">
      <w:pPr>
        <w:rPr>
          <w:color w:val="000000" w:themeColor="text1"/>
        </w:rPr>
      </w:pPr>
      <w:r w:rsidRPr="00ED172B">
        <w:rPr>
          <w:rFonts w:cs="Arial"/>
          <w:color w:val="000000" w:themeColor="text1"/>
          <w:szCs w:val="16"/>
        </w:rPr>
        <w:t xml:space="preserve">FFY21-FFY25 Targets were established during an ICC meeting in FFY20.</w:t>
        <w:br/>
        <w:t/>
        <w:br/>
        <w:t xml:space="preserve">MA-C has partnered with the Parent Information and Training Center, the Federation for Children with Special Needs, and its State Interagency Coordinating Council (ICC) to target recruitment efforts towards individuals from under-represented communities including those who speak more than one language and those who identify as African American or Black families. </w:t>
      </w:r>
    </w:p>
    <w:p w14:paraId="3FB4EB9B" w14:textId="77777777" w:rsidR="007011EC" w:rsidRPr="00ED172B" w:rsidRDefault="007011EC" w:rsidP="00F80C9C">
      <w:pPr>
        <w:rPr>
          <w:rFonts w:cs="Arial"/>
          <w:color w:val="000000" w:themeColor="text1"/>
          <w:szCs w:val="16"/>
        </w:rPr>
      </w:pPr>
    </w:p>
    <w:p w14:paraId="03DEBF84" w14:textId="5CCF004F" w:rsidR="004D140B" w:rsidRPr="00ED172B" w:rsidRDefault="00F22D09">
      <w:pPr>
        <w:rPr>
          <w:b/>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4FFYAPRDATA"/>
      </w:tblPr>
      <w:tblGrid>
        <w:gridCol w:w="8146"/>
        <w:gridCol w:w="2644"/>
      </w:tblGrid>
      <w:tr w:rsidR="00ED172B" w:rsidRPr="00ED172B" w14:paraId="7CF5FFDA" w14:textId="77777777" w:rsidTr="00186420">
        <w:trPr>
          <w:trHeight w:val="20"/>
        </w:trPr>
        <w:tc>
          <w:tcPr>
            <w:tcW w:w="4335" w:type="pct"/>
            <w:vAlign w:val="center"/>
          </w:tcPr>
          <w:p w14:paraId="50E8DD0E" w14:textId="73F06C36" w:rsidR="00FB7AE9" w:rsidRPr="00ED172B" w:rsidRDefault="004E1A9D" w:rsidP="00FB7AE9">
            <w:pPr>
              <w:rPr>
                <w:rFonts w:cs="Arial"/>
                <w:color w:val="000000" w:themeColor="text1"/>
                <w:szCs w:val="16"/>
              </w:rPr>
            </w:pPr>
            <w:bookmarkStart w:id="26" w:name="_Toc392159275"/>
            <w:bookmarkStart w:id="27" w:name="_Toc382082367"/>
            <w:bookmarkStart w:id="28" w:name="_Toc392159276"/>
            <w:r w:rsidRPr="00ED172B">
              <w:rPr>
                <w:rFonts w:cs="Arial"/>
                <w:color w:val="000000" w:themeColor="text1"/>
                <w:szCs w:val="16"/>
              </w:rPr>
              <w:t>The number of families to whom surveys were distributed</w:t>
            </w:r>
          </w:p>
        </w:tc>
        <w:tc>
          <w:tcPr>
            <w:tcW w:w="665" w:type="pct"/>
            <w:shd w:val="clear" w:color="auto" w:fill="auto"/>
            <w:vAlign w:val="center"/>
          </w:tcPr>
          <w:p w14:paraId="10753EC7" w14:textId="6340230F" w:rsidR="00FB7AE9" w:rsidRPr="00ED172B" w:rsidRDefault="00860830" w:rsidP="00FB7AE9">
            <w:pPr>
              <w:jc w:val="center"/>
              <w:rPr>
                <w:rFonts w:cs="Arial"/>
                <w:color w:val="000000" w:themeColor="text1"/>
                <w:szCs w:val="16"/>
              </w:rPr>
            </w:pPr>
            <w:r w:rsidRPr="00ED172B">
              <w:rPr>
                <w:rFonts w:cs="Arial"/>
                <w:color w:val="000000" w:themeColor="text1"/>
                <w:szCs w:val="16"/>
              </w:rPr>
              <w:t>6,074</w:t>
            </w:r>
          </w:p>
        </w:tc>
      </w:tr>
      <w:tr w:rsidR="00ED172B" w:rsidRPr="00ED172B" w14:paraId="7D7B5A24" w14:textId="77777777" w:rsidTr="00186420">
        <w:trPr>
          <w:trHeight w:val="20"/>
        </w:trPr>
        <w:tc>
          <w:tcPr>
            <w:tcW w:w="4335" w:type="pct"/>
            <w:vAlign w:val="center"/>
          </w:tcPr>
          <w:p w14:paraId="6757BA20" w14:textId="250306C2" w:rsidR="004E1A9D" w:rsidRPr="00ED172B" w:rsidRDefault="004E1A9D" w:rsidP="00014550">
            <w:pPr>
              <w:rPr>
                <w:rFonts w:cs="Arial"/>
                <w:color w:val="000000" w:themeColor="text1"/>
                <w:szCs w:val="16"/>
              </w:rPr>
            </w:pPr>
            <w:r w:rsidRPr="00ED172B">
              <w:rPr>
                <w:rFonts w:cs="Arial"/>
                <w:color w:val="000000" w:themeColor="text1"/>
                <w:szCs w:val="16"/>
              </w:rPr>
              <w:t xml:space="preserve">Number of respondent families participating in Part C </w:t>
            </w:r>
          </w:p>
        </w:tc>
        <w:tc>
          <w:tcPr>
            <w:tcW w:w="665" w:type="pct"/>
            <w:shd w:val="clear" w:color="auto" w:fill="auto"/>
            <w:vAlign w:val="center"/>
          </w:tcPr>
          <w:p w14:paraId="41A54CAD" w14:textId="13D81D66" w:rsidR="004E1A9D" w:rsidRPr="00ED172B" w:rsidRDefault="00860830" w:rsidP="00014550">
            <w:pPr>
              <w:jc w:val="center"/>
              <w:rPr>
                <w:rFonts w:cs="Arial"/>
                <w:color w:val="000000" w:themeColor="text1"/>
                <w:szCs w:val="16"/>
              </w:rPr>
            </w:pPr>
            <w:r w:rsidRPr="00ED172B">
              <w:rPr>
                <w:rFonts w:cs="Arial"/>
                <w:color w:val="000000" w:themeColor="text1"/>
                <w:szCs w:val="16"/>
              </w:rPr>
              <w:t>2,804</w:t>
            </w:r>
          </w:p>
        </w:tc>
      </w:tr>
      <w:tr w:rsidR="001B1139" w:rsidRPr="00ED172B" w14:paraId="69355969" w14:textId="77777777" w:rsidTr="00186420">
        <w:trPr>
          <w:trHeight w:val="20"/>
        </w:trPr>
        <w:tc>
          <w:tcPr>
            <w:tcW w:w="4335" w:type="pct"/>
            <w:vAlign w:val="center"/>
          </w:tcPr>
          <w:p w14:paraId="658CA13E" w14:textId="32786A97" w:rsidR="001B1139" w:rsidRPr="00ED172B" w:rsidRDefault="001B1139">
            <w:pPr>
              <w:rPr>
                <w:rFonts w:cs="Arial"/>
                <w:color w:val="000000" w:themeColor="text1"/>
                <w:szCs w:val="16"/>
              </w:rPr>
            </w:pPr>
            <w:r>
              <w:rPr>
                <w:rFonts w:cs="Arial"/>
                <w:color w:val="000000" w:themeColor="text1"/>
                <w:szCs w:val="16"/>
              </w:rPr>
              <w:t>Survey Response Rate</w:t>
            </w:r>
          </w:p>
        </w:tc>
        <w:tc>
          <w:tcPr>
            <w:tcW w:w="665" w:type="pct"/>
            <w:shd w:val="clear" w:color="auto" w:fill="auto"/>
            <w:vAlign w:val="center"/>
          </w:tcPr>
          <w:p w14:paraId="5F12A448" w14:textId="772DE88B" w:rsidR="001B1139" w:rsidRPr="00ED172B" w:rsidRDefault="001B1139">
            <w:pPr>
              <w:jc w:val="center"/>
              <w:rPr>
                <w:rFonts w:cs="Arial"/>
                <w:color w:val="000000" w:themeColor="text1"/>
                <w:szCs w:val="16"/>
              </w:rPr>
            </w:pPr>
            <w:r w:rsidRPr="00ED172B">
              <w:rPr>
                <w:rFonts w:cs="Arial"/>
                <w:color w:val="000000" w:themeColor="text1"/>
                <w:szCs w:val="16"/>
              </w:rPr>
              <w:t>46.16%</w:t>
            </w:r>
          </w:p>
        </w:tc>
      </w:tr>
      <w:tr w:rsidR="00ED172B" w:rsidRPr="00ED172B" w14:paraId="63296E14" w14:textId="77777777" w:rsidTr="00186420">
        <w:trPr>
          <w:trHeight w:val="20"/>
        </w:trPr>
        <w:tc>
          <w:tcPr>
            <w:tcW w:w="4335" w:type="pct"/>
            <w:vAlign w:val="center"/>
          </w:tcPr>
          <w:p w14:paraId="04654ACE" w14:textId="77777777" w:rsidR="003020A9" w:rsidRPr="00ED172B" w:rsidRDefault="003020A9">
            <w:pPr>
              <w:rPr>
                <w:rFonts w:cs="Arial"/>
                <w:color w:val="000000" w:themeColor="text1"/>
                <w:szCs w:val="16"/>
              </w:rPr>
            </w:pPr>
            <w:r w:rsidRPr="00ED172B">
              <w:rPr>
                <w:rFonts w:cs="Arial"/>
                <w:color w:val="000000" w:themeColor="text1"/>
                <w:szCs w:val="16"/>
              </w:rPr>
              <w:t>A1. Number of respondent families participating in Part C who report that early intervention services have helped the family know their rights</w:t>
            </w:r>
          </w:p>
        </w:tc>
        <w:tc>
          <w:tcPr>
            <w:tcW w:w="665" w:type="pct"/>
            <w:shd w:val="clear" w:color="auto" w:fill="auto"/>
            <w:vAlign w:val="center"/>
          </w:tcPr>
          <w:p w14:paraId="3CF37702" w14:textId="6343E7A0" w:rsidR="003020A9" w:rsidRPr="00ED172B" w:rsidRDefault="00860830">
            <w:pPr>
              <w:jc w:val="center"/>
              <w:rPr>
                <w:rFonts w:cs="Arial"/>
                <w:color w:val="000000" w:themeColor="text1"/>
                <w:szCs w:val="16"/>
              </w:rPr>
            </w:pPr>
            <w:r w:rsidRPr="00ED172B">
              <w:rPr>
                <w:rFonts w:cs="Arial"/>
                <w:color w:val="000000" w:themeColor="text1"/>
                <w:szCs w:val="16"/>
              </w:rPr>
              <w:t>2,342</w:t>
            </w:r>
          </w:p>
        </w:tc>
      </w:tr>
      <w:tr w:rsidR="00ED172B" w:rsidRPr="00ED172B" w14:paraId="7780BD4B" w14:textId="77777777" w:rsidTr="00186420">
        <w:trPr>
          <w:trHeight w:val="20"/>
        </w:trPr>
        <w:tc>
          <w:tcPr>
            <w:tcW w:w="4335" w:type="pct"/>
            <w:vAlign w:val="center"/>
          </w:tcPr>
          <w:p w14:paraId="4770D3C0" w14:textId="77777777" w:rsidR="003020A9" w:rsidRPr="00ED172B" w:rsidRDefault="003020A9">
            <w:pPr>
              <w:rPr>
                <w:rFonts w:cs="Arial"/>
                <w:color w:val="000000" w:themeColor="text1"/>
                <w:szCs w:val="16"/>
              </w:rPr>
            </w:pPr>
            <w:r w:rsidRPr="00ED172B">
              <w:rPr>
                <w:rFonts w:cs="Arial"/>
                <w:color w:val="000000" w:themeColor="text1"/>
                <w:szCs w:val="16"/>
              </w:rPr>
              <w:t>A2. Number of responses to the question of whether early intervention services have helped the family know their rights</w:t>
            </w:r>
          </w:p>
        </w:tc>
        <w:tc>
          <w:tcPr>
            <w:tcW w:w="665" w:type="pct"/>
            <w:shd w:val="clear" w:color="auto" w:fill="auto"/>
            <w:vAlign w:val="center"/>
          </w:tcPr>
          <w:p w14:paraId="4E784876" w14:textId="5BCB03DD" w:rsidR="003020A9" w:rsidRPr="00ED172B" w:rsidRDefault="00860830">
            <w:pPr>
              <w:jc w:val="center"/>
              <w:rPr>
                <w:rFonts w:cs="Arial"/>
                <w:color w:val="000000" w:themeColor="text1"/>
                <w:szCs w:val="16"/>
              </w:rPr>
            </w:pPr>
            <w:r w:rsidRPr="00ED172B">
              <w:rPr>
                <w:rFonts w:cs="Arial"/>
                <w:color w:val="000000" w:themeColor="text1"/>
                <w:szCs w:val="16"/>
              </w:rPr>
              <w:t>2,804</w:t>
            </w:r>
          </w:p>
        </w:tc>
      </w:tr>
      <w:tr w:rsidR="00ED172B" w:rsidRPr="00ED172B" w14:paraId="010778F2" w14:textId="77777777" w:rsidTr="00186420">
        <w:trPr>
          <w:trHeight w:val="20"/>
        </w:trPr>
        <w:tc>
          <w:tcPr>
            <w:tcW w:w="4335" w:type="pct"/>
            <w:vAlign w:val="center"/>
          </w:tcPr>
          <w:p w14:paraId="20EACBB4" w14:textId="77777777" w:rsidR="003020A9" w:rsidRPr="00ED172B" w:rsidRDefault="003020A9">
            <w:pPr>
              <w:rPr>
                <w:rFonts w:cs="Arial"/>
                <w:color w:val="000000" w:themeColor="text1"/>
                <w:szCs w:val="16"/>
              </w:rPr>
            </w:pPr>
            <w:r w:rsidRPr="00ED172B">
              <w:rPr>
                <w:rFonts w:cs="Arial"/>
                <w:color w:val="000000" w:themeColor="text1"/>
                <w:szCs w:val="16"/>
              </w:rPr>
              <w:t>B1. Number of respondent families participating in Part C who report that early intervention services have helped the family effectively communicate their children's needs</w:t>
            </w:r>
          </w:p>
        </w:tc>
        <w:tc>
          <w:tcPr>
            <w:tcW w:w="665" w:type="pct"/>
            <w:shd w:val="clear" w:color="auto" w:fill="auto"/>
            <w:vAlign w:val="center"/>
          </w:tcPr>
          <w:p w14:paraId="6A9569C4" w14:textId="00B4F355" w:rsidR="003020A9" w:rsidRPr="00ED172B" w:rsidRDefault="00860830">
            <w:pPr>
              <w:jc w:val="center"/>
              <w:rPr>
                <w:rFonts w:cs="Arial"/>
                <w:color w:val="000000" w:themeColor="text1"/>
                <w:szCs w:val="16"/>
              </w:rPr>
            </w:pPr>
            <w:r w:rsidRPr="00ED172B">
              <w:rPr>
                <w:rFonts w:cs="Arial"/>
                <w:color w:val="000000" w:themeColor="text1"/>
                <w:szCs w:val="16"/>
              </w:rPr>
              <w:t>2,243</w:t>
            </w:r>
          </w:p>
        </w:tc>
      </w:tr>
      <w:tr w:rsidR="00ED172B" w:rsidRPr="00ED172B" w14:paraId="43E02E1C" w14:textId="77777777" w:rsidTr="00186420">
        <w:trPr>
          <w:trHeight w:val="20"/>
        </w:trPr>
        <w:tc>
          <w:tcPr>
            <w:tcW w:w="4335" w:type="pct"/>
            <w:vAlign w:val="center"/>
          </w:tcPr>
          <w:p w14:paraId="16B78F3E" w14:textId="77777777" w:rsidR="003020A9" w:rsidRPr="00ED172B" w:rsidRDefault="003020A9">
            <w:pPr>
              <w:rPr>
                <w:rFonts w:cs="Arial"/>
                <w:color w:val="000000" w:themeColor="text1"/>
                <w:szCs w:val="16"/>
              </w:rPr>
            </w:pPr>
            <w:r w:rsidRPr="00ED172B">
              <w:rPr>
                <w:rFonts w:cs="Arial"/>
                <w:color w:val="000000" w:themeColor="text1"/>
                <w:szCs w:val="16"/>
              </w:rPr>
              <w:t>B2. Number of responses to the question of whether early intervention services have helped the family effectively communicate their children's needs</w:t>
            </w:r>
          </w:p>
        </w:tc>
        <w:tc>
          <w:tcPr>
            <w:tcW w:w="665" w:type="pct"/>
            <w:shd w:val="clear" w:color="auto" w:fill="auto"/>
            <w:vAlign w:val="center"/>
          </w:tcPr>
          <w:p w14:paraId="1AFF0143" w14:textId="2C04B4A6" w:rsidR="003020A9" w:rsidRPr="00ED172B" w:rsidRDefault="00860830">
            <w:pPr>
              <w:jc w:val="center"/>
              <w:rPr>
                <w:rFonts w:cs="Arial"/>
                <w:color w:val="000000" w:themeColor="text1"/>
                <w:szCs w:val="16"/>
              </w:rPr>
            </w:pPr>
            <w:r w:rsidRPr="00ED172B">
              <w:rPr>
                <w:rFonts w:cs="Arial"/>
                <w:color w:val="000000" w:themeColor="text1"/>
                <w:szCs w:val="16"/>
              </w:rPr>
              <w:t>2,804</w:t>
            </w:r>
          </w:p>
        </w:tc>
      </w:tr>
      <w:tr w:rsidR="00ED172B" w:rsidRPr="00ED172B" w14:paraId="360545F6" w14:textId="77777777" w:rsidTr="00186420">
        <w:trPr>
          <w:trHeight w:val="20"/>
        </w:trPr>
        <w:tc>
          <w:tcPr>
            <w:tcW w:w="4335" w:type="pct"/>
            <w:vAlign w:val="center"/>
          </w:tcPr>
          <w:p w14:paraId="0A55C44D" w14:textId="77777777" w:rsidR="003020A9" w:rsidRPr="00ED172B" w:rsidRDefault="003020A9">
            <w:pPr>
              <w:rPr>
                <w:rFonts w:cs="Arial"/>
                <w:color w:val="000000" w:themeColor="text1"/>
                <w:szCs w:val="16"/>
              </w:rPr>
            </w:pPr>
            <w:r w:rsidRPr="00ED172B">
              <w:rPr>
                <w:rFonts w:cs="Arial"/>
                <w:color w:val="000000" w:themeColor="text1"/>
                <w:szCs w:val="16"/>
              </w:rPr>
              <w:t>C1. Number of respondent families participating in Part C who report that early intervention services have helped the family help their children develop and learn</w:t>
            </w:r>
          </w:p>
        </w:tc>
        <w:tc>
          <w:tcPr>
            <w:tcW w:w="665" w:type="pct"/>
            <w:shd w:val="clear" w:color="auto" w:fill="auto"/>
            <w:vAlign w:val="center"/>
          </w:tcPr>
          <w:p w14:paraId="17586AC8" w14:textId="6257CCE2" w:rsidR="003020A9" w:rsidRPr="00ED172B" w:rsidRDefault="00860830">
            <w:pPr>
              <w:jc w:val="center"/>
              <w:rPr>
                <w:rFonts w:cs="Arial"/>
                <w:color w:val="000000" w:themeColor="text1"/>
                <w:szCs w:val="16"/>
              </w:rPr>
            </w:pPr>
            <w:r w:rsidRPr="00ED172B">
              <w:rPr>
                <w:rFonts w:cs="Arial"/>
                <w:color w:val="000000" w:themeColor="text1"/>
                <w:szCs w:val="16"/>
              </w:rPr>
              <w:t>2,563</w:t>
            </w:r>
          </w:p>
        </w:tc>
      </w:tr>
      <w:tr w:rsidR="003020A9" w:rsidRPr="00ED172B" w14:paraId="272352BF" w14:textId="77777777" w:rsidTr="00186420">
        <w:trPr>
          <w:trHeight w:val="20"/>
        </w:trPr>
        <w:tc>
          <w:tcPr>
            <w:tcW w:w="4335" w:type="pct"/>
            <w:vAlign w:val="center"/>
          </w:tcPr>
          <w:p w14:paraId="0359B6E7" w14:textId="77777777" w:rsidR="003020A9" w:rsidRPr="00ED172B" w:rsidRDefault="003020A9">
            <w:pPr>
              <w:rPr>
                <w:rFonts w:cs="Arial"/>
                <w:color w:val="000000" w:themeColor="text1"/>
                <w:szCs w:val="16"/>
              </w:rPr>
            </w:pPr>
            <w:r w:rsidRPr="00ED172B">
              <w:rPr>
                <w:rFonts w:cs="Arial"/>
                <w:color w:val="000000" w:themeColor="text1"/>
                <w:szCs w:val="16"/>
              </w:rPr>
              <w:t>C2. Number of responses to the question of whether early intervention services have helped the family help their children develop and learn</w:t>
            </w:r>
          </w:p>
        </w:tc>
        <w:tc>
          <w:tcPr>
            <w:tcW w:w="665" w:type="pct"/>
            <w:shd w:val="clear" w:color="auto" w:fill="auto"/>
            <w:vAlign w:val="center"/>
          </w:tcPr>
          <w:p w14:paraId="23CA68CD" w14:textId="2ACF88D5" w:rsidR="003020A9" w:rsidRPr="00ED172B" w:rsidRDefault="00860830">
            <w:pPr>
              <w:jc w:val="center"/>
              <w:rPr>
                <w:rFonts w:cs="Arial"/>
                <w:color w:val="000000" w:themeColor="text1"/>
                <w:szCs w:val="16"/>
              </w:rPr>
            </w:pPr>
            <w:r w:rsidRPr="00ED172B">
              <w:rPr>
                <w:rFonts w:cs="Arial"/>
                <w:color w:val="000000" w:themeColor="text1"/>
                <w:szCs w:val="16"/>
              </w:rPr>
              <w:t>2,804</w:t>
            </w:r>
          </w:p>
        </w:tc>
      </w:tr>
    </w:tbl>
    <w:p w14:paraId="112A2DCD" w14:textId="77777777" w:rsidR="00FB7AE9" w:rsidRPr="00ED172B" w:rsidRDefault="00FB7AE9" w:rsidP="00FB7AE9">
      <w:pPr>
        <w:pStyle w:val="Header"/>
        <w:tabs>
          <w:tab w:val="clear" w:pos="4320"/>
          <w:tab w:val="clear" w:pos="8640"/>
        </w:tabs>
        <w:spacing w:before="0"/>
        <w:rPr>
          <w:rFonts w:ascii="Arial" w:hAnsi="Arial" w:cs="Arial"/>
          <w:b/>
          <w:color w:val="000000" w:themeColor="text1"/>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FFYAPRDATA1"/>
      </w:tblPr>
      <w:tblGrid>
        <w:gridCol w:w="4404"/>
        <w:gridCol w:w="1351"/>
        <w:gridCol w:w="1351"/>
        <w:gridCol w:w="1439"/>
        <w:gridCol w:w="1170"/>
        <w:gridCol w:w="1075"/>
      </w:tblGrid>
      <w:tr w:rsidR="00ED172B" w:rsidRPr="00ED172B" w14:paraId="221241BE" w14:textId="35E47FC2" w:rsidTr="00986B99">
        <w:trPr>
          <w:trHeight w:val="354"/>
          <w:tblHeader/>
        </w:trPr>
        <w:tc>
          <w:tcPr>
            <w:tcW w:w="2041" w:type="pct"/>
            <w:shd w:val="clear" w:color="auto" w:fill="auto"/>
            <w:vAlign w:val="bottom"/>
          </w:tcPr>
          <w:p w14:paraId="1A2BBEBB" w14:textId="10BECCDD" w:rsidR="004B755C" w:rsidRPr="004B3BC6" w:rsidRDefault="00164FFE" w:rsidP="00A40EE1">
            <w:pPr>
              <w:rPr>
                <w:rFonts w:cs="Arial"/>
                <w:b/>
                <w:bCs/>
                <w:color w:val="000000" w:themeColor="text1"/>
                <w:szCs w:val="16"/>
              </w:rPr>
            </w:pPr>
            <w:r w:rsidRPr="004B3BC6">
              <w:rPr>
                <w:rFonts w:cs="Arial"/>
                <w:b/>
                <w:bCs/>
                <w:color w:val="000000" w:themeColor="text1"/>
                <w:szCs w:val="16"/>
              </w:rPr>
              <w:t>Measure</w:t>
            </w:r>
          </w:p>
        </w:tc>
        <w:tc>
          <w:tcPr>
            <w:tcW w:w="626" w:type="pct"/>
            <w:shd w:val="clear" w:color="auto" w:fill="auto"/>
            <w:vAlign w:val="bottom"/>
          </w:tcPr>
          <w:p w14:paraId="1B40DAB0" w14:textId="0C4BBA48" w:rsidR="004B755C" w:rsidRPr="00ED172B" w:rsidRDefault="00CD74B5" w:rsidP="004B755C">
            <w:pPr>
              <w:jc w:val="center"/>
              <w:rPr>
                <w:rFonts w:cs="Arial"/>
                <w:b/>
                <w:color w:val="000000" w:themeColor="text1"/>
                <w:szCs w:val="16"/>
              </w:rPr>
            </w:pPr>
            <w:r>
              <w:rPr>
                <w:rFonts w:cs="Arial"/>
                <w:b/>
                <w:color w:val="000000" w:themeColor="text1"/>
                <w:szCs w:val="16"/>
              </w:rPr>
              <w:t>FFY 2020 Data</w:t>
            </w:r>
          </w:p>
        </w:tc>
        <w:tc>
          <w:tcPr>
            <w:tcW w:w="626" w:type="pct"/>
            <w:shd w:val="clear" w:color="auto" w:fill="auto"/>
            <w:vAlign w:val="bottom"/>
          </w:tcPr>
          <w:p w14:paraId="68283261" w14:textId="50361EFE" w:rsidR="004B755C" w:rsidRPr="00ED172B" w:rsidRDefault="00F22D09" w:rsidP="004B755C">
            <w:pPr>
              <w:jc w:val="center"/>
              <w:rPr>
                <w:rFonts w:cs="Arial"/>
                <w:b/>
                <w:color w:val="000000" w:themeColor="text1"/>
                <w:szCs w:val="16"/>
              </w:rPr>
            </w:pPr>
            <w:r>
              <w:rPr>
                <w:rFonts w:cs="Arial"/>
                <w:b/>
                <w:color w:val="000000" w:themeColor="text1"/>
                <w:szCs w:val="16"/>
              </w:rPr>
              <w:t>FFY 2021 Target</w:t>
            </w:r>
          </w:p>
        </w:tc>
        <w:tc>
          <w:tcPr>
            <w:tcW w:w="667" w:type="pct"/>
            <w:shd w:val="clear" w:color="auto" w:fill="auto"/>
            <w:vAlign w:val="bottom"/>
          </w:tcPr>
          <w:p w14:paraId="7105063D" w14:textId="474FD103" w:rsidR="004B755C" w:rsidRPr="00ED172B" w:rsidRDefault="00F22D09" w:rsidP="004B755C">
            <w:pPr>
              <w:jc w:val="center"/>
              <w:rPr>
                <w:rFonts w:cs="Arial"/>
                <w:b/>
                <w:color w:val="000000" w:themeColor="text1"/>
                <w:szCs w:val="16"/>
              </w:rPr>
            </w:pPr>
            <w:r>
              <w:rPr>
                <w:rFonts w:cs="Arial"/>
                <w:b/>
                <w:color w:val="000000" w:themeColor="text1"/>
                <w:szCs w:val="16"/>
              </w:rPr>
              <w:t>FFY 2021 Data</w:t>
            </w:r>
          </w:p>
        </w:tc>
        <w:tc>
          <w:tcPr>
            <w:tcW w:w="542" w:type="pct"/>
            <w:shd w:val="clear" w:color="auto" w:fill="auto"/>
            <w:vAlign w:val="bottom"/>
          </w:tcPr>
          <w:p w14:paraId="2138E26E" w14:textId="0BC58DF1" w:rsidR="004B755C" w:rsidRPr="00ED172B" w:rsidRDefault="004B755C" w:rsidP="004B755C">
            <w:pPr>
              <w:jc w:val="center"/>
              <w:rPr>
                <w:rFonts w:cs="Arial"/>
                <w:b/>
                <w:color w:val="000000" w:themeColor="text1"/>
                <w:szCs w:val="16"/>
              </w:rPr>
            </w:pPr>
            <w:r w:rsidRPr="00ED172B">
              <w:rPr>
                <w:rFonts w:cs="Arial"/>
                <w:b/>
                <w:color w:val="000000" w:themeColor="text1"/>
                <w:szCs w:val="16"/>
              </w:rPr>
              <w:t>Status</w:t>
            </w:r>
          </w:p>
        </w:tc>
        <w:tc>
          <w:tcPr>
            <w:tcW w:w="498" w:type="pct"/>
            <w:shd w:val="clear" w:color="auto" w:fill="auto"/>
            <w:vAlign w:val="bottom"/>
          </w:tcPr>
          <w:p w14:paraId="1A05F8D7" w14:textId="0EA325C7" w:rsidR="004B755C" w:rsidRPr="00ED172B" w:rsidRDefault="004B755C" w:rsidP="004B755C">
            <w:pPr>
              <w:jc w:val="center"/>
              <w:rPr>
                <w:rFonts w:cs="Arial"/>
                <w:b/>
                <w:color w:val="000000" w:themeColor="text1"/>
                <w:szCs w:val="16"/>
              </w:rPr>
            </w:pPr>
            <w:r w:rsidRPr="00ED172B">
              <w:rPr>
                <w:rFonts w:cs="Arial"/>
                <w:b/>
                <w:color w:val="000000" w:themeColor="text1"/>
                <w:szCs w:val="16"/>
              </w:rPr>
              <w:t>Slippage</w:t>
            </w:r>
          </w:p>
        </w:tc>
      </w:tr>
      <w:tr w:rsidR="00ED172B" w:rsidRPr="00ED172B" w14:paraId="58A36728" w14:textId="72280EE5" w:rsidTr="00986B99">
        <w:trPr>
          <w:trHeight w:val="361"/>
        </w:trPr>
        <w:tc>
          <w:tcPr>
            <w:tcW w:w="2041" w:type="pct"/>
            <w:shd w:val="clear" w:color="auto" w:fill="auto"/>
            <w:vAlign w:val="center"/>
          </w:tcPr>
          <w:p w14:paraId="54080A75" w14:textId="7A21D0D2" w:rsidR="00D20529" w:rsidRPr="00ED172B" w:rsidRDefault="00D20529" w:rsidP="00186420">
            <w:pPr>
              <w:rPr>
                <w:rFonts w:cs="Arial"/>
                <w:color w:val="000000" w:themeColor="text1"/>
                <w:szCs w:val="16"/>
              </w:rPr>
            </w:pPr>
            <w:r w:rsidRPr="00ED172B">
              <w:rPr>
                <w:rFonts w:cs="Arial"/>
                <w:color w:val="000000" w:themeColor="text1"/>
                <w:szCs w:val="16"/>
              </w:rPr>
              <w:t>A. Percent of families participating in Part C who report that early intervention services have helped the family know their rights (A1 divided by A2)</w:t>
            </w:r>
          </w:p>
        </w:tc>
        <w:tc>
          <w:tcPr>
            <w:tcW w:w="626" w:type="pct"/>
            <w:shd w:val="clear" w:color="auto" w:fill="auto"/>
            <w:vAlign w:val="center"/>
          </w:tcPr>
          <w:p w14:paraId="53860CBC" w14:textId="67D19E7A" w:rsidR="00D20529" w:rsidRPr="00ED172B" w:rsidRDefault="00860830" w:rsidP="00D20529">
            <w:pPr>
              <w:jc w:val="center"/>
              <w:rPr>
                <w:rFonts w:cs="Arial"/>
                <w:color w:val="000000" w:themeColor="text1"/>
                <w:szCs w:val="16"/>
              </w:rPr>
            </w:pPr>
            <w:r w:rsidRPr="00ED172B">
              <w:rPr>
                <w:rFonts w:cs="Arial"/>
                <w:color w:val="000000" w:themeColor="text1"/>
                <w:szCs w:val="16"/>
              </w:rPr>
              <w:t>82.75%</w:t>
            </w:r>
          </w:p>
        </w:tc>
        <w:tc>
          <w:tcPr>
            <w:tcW w:w="626" w:type="pct"/>
            <w:shd w:val="clear" w:color="auto" w:fill="auto"/>
            <w:vAlign w:val="center"/>
          </w:tcPr>
          <w:p w14:paraId="4A24E7CC" w14:textId="4BA3C3ED" w:rsidR="00D20529" w:rsidRPr="00ED172B" w:rsidRDefault="00291EA9" w:rsidP="00291EA9">
            <w:pPr>
              <w:jc w:val="center"/>
              <w:rPr>
                <w:color w:val="000000" w:themeColor="text1"/>
              </w:rPr>
            </w:pPr>
            <w:r w:rsidRPr="00ED172B">
              <w:rPr>
                <w:color w:val="000000" w:themeColor="text1"/>
              </w:rPr>
              <w:t>90.00%</w:t>
            </w:r>
          </w:p>
        </w:tc>
        <w:tc>
          <w:tcPr>
            <w:tcW w:w="667" w:type="pct"/>
            <w:shd w:val="clear" w:color="auto" w:fill="auto"/>
            <w:vAlign w:val="center"/>
          </w:tcPr>
          <w:p w14:paraId="246273A0" w14:textId="58301721" w:rsidR="00D20529" w:rsidRPr="00ED172B" w:rsidRDefault="00860830" w:rsidP="00D20529">
            <w:pPr>
              <w:jc w:val="center"/>
              <w:rPr>
                <w:rFonts w:cs="Arial"/>
                <w:color w:val="000000" w:themeColor="text1"/>
                <w:szCs w:val="16"/>
              </w:rPr>
            </w:pPr>
            <w:r w:rsidRPr="00ED172B">
              <w:rPr>
                <w:rFonts w:cs="Arial"/>
                <w:color w:val="000000" w:themeColor="text1"/>
                <w:szCs w:val="16"/>
              </w:rPr>
              <w:t>83.52%</w:t>
            </w:r>
          </w:p>
        </w:tc>
        <w:tc>
          <w:tcPr>
            <w:tcW w:w="542" w:type="pct"/>
            <w:shd w:val="clear" w:color="auto" w:fill="auto"/>
            <w:vAlign w:val="center"/>
          </w:tcPr>
          <w:p w14:paraId="00FDA845" w14:textId="7C432787"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05D04947" w14:textId="2474B95B"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142BDFFF" w14:textId="2297D36E" w:rsidTr="00986B99">
        <w:trPr>
          <w:trHeight w:val="361"/>
        </w:trPr>
        <w:tc>
          <w:tcPr>
            <w:tcW w:w="2041" w:type="pct"/>
            <w:shd w:val="clear" w:color="auto" w:fill="auto"/>
            <w:vAlign w:val="center"/>
          </w:tcPr>
          <w:p w14:paraId="511B2807" w14:textId="76AC785B" w:rsidR="00D20529" w:rsidRPr="00ED172B" w:rsidRDefault="00D20529" w:rsidP="00186420">
            <w:pPr>
              <w:rPr>
                <w:rFonts w:cs="Arial"/>
                <w:color w:val="000000" w:themeColor="text1"/>
                <w:szCs w:val="16"/>
              </w:rPr>
            </w:pPr>
            <w:r w:rsidRPr="00ED172B">
              <w:rPr>
                <w:rFonts w:cs="Arial"/>
                <w:color w:val="000000" w:themeColor="text1"/>
                <w:szCs w:val="16"/>
              </w:rPr>
              <w:t>B. Percent of families participating in Part C who report that early intervention services have helped the family effectively communicate their children's needs (B1 divided by B2)</w:t>
            </w:r>
          </w:p>
        </w:tc>
        <w:tc>
          <w:tcPr>
            <w:tcW w:w="626" w:type="pct"/>
            <w:shd w:val="clear" w:color="auto" w:fill="auto"/>
            <w:vAlign w:val="center"/>
          </w:tcPr>
          <w:p w14:paraId="19DB7BDF" w14:textId="347C4138" w:rsidR="00D20529" w:rsidRPr="00ED172B" w:rsidRDefault="00860830" w:rsidP="00D20529">
            <w:pPr>
              <w:jc w:val="center"/>
              <w:rPr>
                <w:rFonts w:cs="Arial"/>
                <w:color w:val="000000" w:themeColor="text1"/>
                <w:szCs w:val="16"/>
              </w:rPr>
            </w:pPr>
            <w:r w:rsidRPr="00ED172B">
              <w:rPr>
                <w:rFonts w:cs="Arial"/>
                <w:color w:val="000000" w:themeColor="text1"/>
                <w:szCs w:val="16"/>
              </w:rPr>
              <w:t>78.48%</w:t>
            </w:r>
          </w:p>
        </w:tc>
        <w:tc>
          <w:tcPr>
            <w:tcW w:w="626" w:type="pct"/>
            <w:shd w:val="clear" w:color="auto" w:fill="auto"/>
            <w:vAlign w:val="center"/>
          </w:tcPr>
          <w:p w14:paraId="383B5286" w14:textId="71CDE4D7" w:rsidR="00D20529" w:rsidRPr="00ED172B" w:rsidRDefault="00291EA9" w:rsidP="00291EA9">
            <w:pPr>
              <w:jc w:val="center"/>
              <w:rPr>
                <w:color w:val="000000" w:themeColor="text1"/>
              </w:rPr>
            </w:pPr>
            <w:r w:rsidRPr="00ED172B">
              <w:rPr>
                <w:color w:val="000000" w:themeColor="text1"/>
              </w:rPr>
              <w:t>85.00%</w:t>
            </w:r>
          </w:p>
        </w:tc>
        <w:tc>
          <w:tcPr>
            <w:tcW w:w="667" w:type="pct"/>
            <w:shd w:val="clear" w:color="auto" w:fill="auto"/>
            <w:vAlign w:val="center"/>
          </w:tcPr>
          <w:p w14:paraId="790CCA72" w14:textId="2BB057E3" w:rsidR="00D20529" w:rsidRPr="00ED172B" w:rsidRDefault="00860830" w:rsidP="00D20529">
            <w:pPr>
              <w:jc w:val="center"/>
              <w:rPr>
                <w:rFonts w:cs="Arial"/>
                <w:color w:val="000000" w:themeColor="text1"/>
                <w:szCs w:val="16"/>
              </w:rPr>
            </w:pPr>
            <w:r w:rsidRPr="00ED172B">
              <w:rPr>
                <w:rFonts w:cs="Arial"/>
                <w:color w:val="000000" w:themeColor="text1"/>
                <w:szCs w:val="16"/>
              </w:rPr>
              <w:t>79.99%</w:t>
            </w:r>
          </w:p>
        </w:tc>
        <w:tc>
          <w:tcPr>
            <w:tcW w:w="542" w:type="pct"/>
            <w:shd w:val="clear" w:color="auto" w:fill="auto"/>
            <w:vAlign w:val="center"/>
          </w:tcPr>
          <w:p w14:paraId="437AA12B" w14:textId="56F354CF"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3596E400" w14:textId="1417DD93"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r w:rsidR="00ED172B" w:rsidRPr="00ED172B" w14:paraId="431428E4" w14:textId="78B5A0F3" w:rsidTr="00986B99">
        <w:trPr>
          <w:trHeight w:val="361"/>
        </w:trPr>
        <w:tc>
          <w:tcPr>
            <w:tcW w:w="2041" w:type="pct"/>
            <w:shd w:val="clear" w:color="auto" w:fill="auto"/>
            <w:vAlign w:val="center"/>
          </w:tcPr>
          <w:p w14:paraId="2A215804" w14:textId="2429D2CD" w:rsidR="00D20529" w:rsidRPr="00ED172B" w:rsidRDefault="00D20529" w:rsidP="00186420">
            <w:pPr>
              <w:rPr>
                <w:rFonts w:cs="Arial"/>
                <w:color w:val="000000" w:themeColor="text1"/>
                <w:szCs w:val="16"/>
              </w:rPr>
            </w:pPr>
            <w:r w:rsidRPr="00ED172B">
              <w:rPr>
                <w:rFonts w:cs="Arial"/>
                <w:color w:val="000000" w:themeColor="text1"/>
                <w:szCs w:val="16"/>
              </w:rPr>
              <w:t>C. Percent of families participating in Part C who report that early intervention services have helped the family help their children develop and learn (C1 divided by C2)</w:t>
            </w:r>
          </w:p>
        </w:tc>
        <w:tc>
          <w:tcPr>
            <w:tcW w:w="626" w:type="pct"/>
            <w:shd w:val="clear" w:color="auto" w:fill="auto"/>
            <w:vAlign w:val="center"/>
          </w:tcPr>
          <w:p w14:paraId="5C3A4920" w14:textId="66B7FB9F" w:rsidR="00D20529" w:rsidRPr="00ED172B" w:rsidRDefault="00860830" w:rsidP="00D20529">
            <w:pPr>
              <w:jc w:val="center"/>
              <w:rPr>
                <w:rFonts w:cs="Arial"/>
                <w:color w:val="000000" w:themeColor="text1"/>
                <w:szCs w:val="16"/>
              </w:rPr>
            </w:pPr>
            <w:r w:rsidRPr="00ED172B">
              <w:rPr>
                <w:rFonts w:cs="Arial"/>
                <w:color w:val="000000" w:themeColor="text1"/>
                <w:szCs w:val="16"/>
              </w:rPr>
              <w:t>90.81%</w:t>
            </w:r>
          </w:p>
        </w:tc>
        <w:tc>
          <w:tcPr>
            <w:tcW w:w="626" w:type="pct"/>
            <w:shd w:val="clear" w:color="auto" w:fill="auto"/>
            <w:vAlign w:val="center"/>
          </w:tcPr>
          <w:p w14:paraId="76133FD1" w14:textId="24F530F0" w:rsidR="00D20529" w:rsidRPr="00ED172B" w:rsidRDefault="00291EA9" w:rsidP="00291EA9">
            <w:pPr>
              <w:jc w:val="center"/>
              <w:rPr>
                <w:color w:val="000000" w:themeColor="text1"/>
              </w:rPr>
            </w:pPr>
            <w:r w:rsidRPr="00ED172B">
              <w:rPr>
                <w:color w:val="000000" w:themeColor="text1"/>
              </w:rPr>
              <w:t>93.00%</w:t>
            </w:r>
          </w:p>
        </w:tc>
        <w:tc>
          <w:tcPr>
            <w:tcW w:w="667" w:type="pct"/>
            <w:shd w:val="clear" w:color="auto" w:fill="auto"/>
            <w:vAlign w:val="center"/>
          </w:tcPr>
          <w:p w14:paraId="1EF2336C" w14:textId="48A6C40C" w:rsidR="00D20529" w:rsidRPr="00ED172B" w:rsidRDefault="00860830" w:rsidP="00D20529">
            <w:pPr>
              <w:jc w:val="center"/>
              <w:rPr>
                <w:rFonts w:cs="Arial"/>
                <w:color w:val="000000" w:themeColor="text1"/>
                <w:szCs w:val="16"/>
              </w:rPr>
            </w:pPr>
            <w:r w:rsidRPr="00ED172B">
              <w:rPr>
                <w:rFonts w:cs="Arial"/>
                <w:color w:val="000000" w:themeColor="text1"/>
                <w:szCs w:val="16"/>
              </w:rPr>
              <w:t>91.41%</w:t>
            </w:r>
          </w:p>
        </w:tc>
        <w:tc>
          <w:tcPr>
            <w:tcW w:w="542" w:type="pct"/>
            <w:shd w:val="clear" w:color="auto" w:fill="auto"/>
            <w:vAlign w:val="center"/>
          </w:tcPr>
          <w:p w14:paraId="7069C405" w14:textId="01192EEE" w:rsidR="00D20529" w:rsidRPr="00ED172B" w:rsidRDefault="00860830" w:rsidP="00D20529">
            <w:pPr>
              <w:jc w:val="center"/>
              <w:rPr>
                <w:rFonts w:cs="Arial"/>
                <w:color w:val="000000" w:themeColor="text1"/>
                <w:szCs w:val="16"/>
              </w:rPr>
            </w:pPr>
            <w:r w:rsidRPr="00ED172B">
              <w:rPr>
                <w:rFonts w:cs="Arial"/>
                <w:color w:val="000000" w:themeColor="text1"/>
                <w:szCs w:val="16"/>
              </w:rPr>
              <w:t>Did not meet target</w:t>
            </w:r>
          </w:p>
        </w:tc>
        <w:tc>
          <w:tcPr>
            <w:tcW w:w="498" w:type="pct"/>
            <w:shd w:val="clear" w:color="auto" w:fill="auto"/>
            <w:vAlign w:val="center"/>
          </w:tcPr>
          <w:p w14:paraId="6AEC7905" w14:textId="6CD90C0D" w:rsidR="00D20529" w:rsidRPr="00ED172B" w:rsidRDefault="00860830" w:rsidP="00D20529">
            <w:pPr>
              <w:jc w:val="center"/>
              <w:rPr>
                <w:rFonts w:cs="Arial"/>
                <w:color w:val="000000" w:themeColor="text1"/>
                <w:szCs w:val="16"/>
              </w:rPr>
            </w:pPr>
            <w:r w:rsidRPr="00ED172B">
              <w:rPr>
                <w:rFonts w:cs="Arial"/>
                <w:color w:val="000000" w:themeColor="text1"/>
                <w:szCs w:val="16"/>
              </w:rPr>
              <w:t>No Slippage</w:t>
            </w:r>
          </w:p>
        </w:tc>
      </w:tr>
    </w:tbl>
    <w:p w14:paraId="13393E53" w14:textId="1618BFA9" w:rsidR="00470774" w:rsidRDefault="00470774" w:rsidP="00291EA9">
      <w:pPr>
        <w:rPr>
          <w:color w:val="000000" w:themeColor="text1"/>
        </w:rPr>
      </w:pPr>
    </w:p>
    <w:tbl>
      <w:tblPr>
        <w:tblStyle w:val="TableGrid"/>
        <w:tblW w:w="5000" w:type="pct"/>
        <w:tblLayout w:type="fixed"/>
        <w:tblCellMar>
          <w:left w:w="115" w:type="dxa"/>
          <w:right w:w="115" w:type="dxa"/>
        </w:tblCellMar>
        <w:tblLook w:val="04A0" w:firstRow="1" w:lastRow="0" w:firstColumn="1" w:lastColumn="0" w:noHBand="0" w:noVBand="1"/>
        <w:tblCaption w:val="C04SAMPLEUSED"/>
      </w:tblPr>
      <w:tblGrid>
        <w:gridCol w:w="8546"/>
        <w:gridCol w:w="2244"/>
      </w:tblGrid>
      <w:tr w:rsidR="00ED172B" w:rsidRPr="00ED172B" w14:paraId="3AF576FA" w14:textId="77777777" w:rsidTr="00A40EE1">
        <w:trPr>
          <w:tblHeader/>
        </w:trPr>
        <w:tc>
          <w:tcPr>
            <w:tcW w:w="3960" w:type="pct"/>
            <w:tcBorders>
              <w:top w:val="single" w:sz="4" w:space="0" w:color="auto"/>
              <w:left w:val="single" w:sz="4" w:space="0" w:color="auto"/>
            </w:tcBorders>
          </w:tcPr>
          <w:p w14:paraId="6B578191" w14:textId="350EDC3C" w:rsidR="00013004" w:rsidRPr="00A40EE1" w:rsidRDefault="00164FFE" w:rsidP="00781A26">
            <w:pPr>
              <w:rPr>
                <w:rFonts w:cs="Arial"/>
                <w:b/>
                <w:bCs/>
                <w:color w:val="000000" w:themeColor="text1"/>
                <w:szCs w:val="16"/>
              </w:rPr>
            </w:pPr>
            <w:r>
              <w:rPr>
                <w:rFonts w:cs="Arial"/>
                <w:b/>
                <w:bCs/>
                <w:color w:val="000000" w:themeColor="text1"/>
                <w:szCs w:val="16"/>
              </w:rPr>
              <w:t>Sampling Question</w:t>
            </w:r>
          </w:p>
        </w:tc>
        <w:tc>
          <w:tcPr>
            <w:tcW w:w="1040" w:type="pct"/>
            <w:tcBorders>
              <w:top w:val="single" w:sz="4" w:space="0" w:color="auto"/>
            </w:tcBorders>
          </w:tcPr>
          <w:p w14:paraId="17127A9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5694E330" w14:textId="77777777" w:rsidTr="00186420">
        <w:tc>
          <w:tcPr>
            <w:tcW w:w="3960" w:type="pct"/>
          </w:tcPr>
          <w:p w14:paraId="75E22E48" w14:textId="77777777" w:rsidR="00013004" w:rsidRPr="00ED172B" w:rsidRDefault="00013004" w:rsidP="00781A26">
            <w:pPr>
              <w:rPr>
                <w:rFonts w:cs="Arial"/>
                <w:color w:val="000000" w:themeColor="text1"/>
                <w:szCs w:val="16"/>
              </w:rPr>
            </w:pPr>
            <w:r w:rsidRPr="00ED172B">
              <w:rPr>
                <w:rFonts w:cs="Arial"/>
                <w:color w:val="000000" w:themeColor="text1"/>
                <w:szCs w:val="16"/>
              </w:rPr>
              <w:t xml:space="preserve">Was sampling used? </w:t>
            </w:r>
          </w:p>
        </w:tc>
        <w:tc>
          <w:tcPr>
            <w:tcW w:w="1040" w:type="pct"/>
          </w:tcPr>
          <w:p w14:paraId="01167BB8" w14:textId="1702CA76" w:rsidR="00013004" w:rsidRPr="00ED172B" w:rsidRDefault="00860830" w:rsidP="00781A26">
            <w:pPr>
              <w:rPr>
                <w:rFonts w:cs="Arial"/>
                <w:color w:val="000000" w:themeColor="text1"/>
                <w:szCs w:val="16"/>
              </w:rPr>
            </w:pPr>
            <w:r w:rsidRPr="00ED172B">
              <w:rPr>
                <w:rFonts w:cs="Arial"/>
                <w:color w:val="000000" w:themeColor="text1"/>
                <w:szCs w:val="16"/>
              </w:rPr>
              <w:t>YES</w:t>
            </w:r>
          </w:p>
        </w:tc>
      </w:tr>
      <w:tr w:rsidR="00ED172B" w:rsidRPr="00ED172B" w14:paraId="54E81158" w14:textId="77777777" w:rsidTr="00186420">
        <w:tc>
          <w:tcPr>
            <w:tcW w:w="3960" w:type="pct"/>
          </w:tcPr>
          <w:p w14:paraId="28DC7BC3" w14:textId="65D9E6DA" w:rsidR="00013004" w:rsidRPr="00ED172B" w:rsidRDefault="001C5219" w:rsidP="00781A26">
            <w:pPr>
              <w:rPr>
                <w:rFonts w:cs="Arial"/>
                <w:color w:val="000000" w:themeColor="text1"/>
                <w:szCs w:val="16"/>
              </w:rPr>
            </w:pPr>
            <w:r w:rsidRPr="00ED172B">
              <w:rPr>
                <w:rFonts w:cs="Arial"/>
                <w:color w:val="000000" w:themeColor="text1"/>
                <w:szCs w:val="16"/>
              </w:rPr>
              <w:t xml:space="preserve">If yes, has your previously approved sampling plan changed? </w:t>
            </w:r>
          </w:p>
        </w:tc>
        <w:tc>
          <w:tcPr>
            <w:tcW w:w="1040" w:type="pct"/>
          </w:tcPr>
          <w:p w14:paraId="2D84A62E" w14:textId="505AFA9C" w:rsidR="00013004" w:rsidRPr="00ED172B" w:rsidRDefault="00860830" w:rsidP="00781A26">
            <w:pPr>
              <w:rPr>
                <w:rFonts w:cs="Arial"/>
                <w:color w:val="000000" w:themeColor="text1"/>
                <w:szCs w:val="16"/>
              </w:rPr>
            </w:pPr>
            <w:r w:rsidRPr="00ED172B">
              <w:rPr>
                <w:rFonts w:cs="Arial"/>
                <w:color w:val="000000" w:themeColor="text1"/>
                <w:szCs w:val="16"/>
              </w:rPr>
              <w:t>NO</w:t>
            </w:r>
          </w:p>
        </w:tc>
      </w:tr>
    </w:tbl>
    <w:p w14:paraId="0729206F" w14:textId="40A2118D" w:rsidR="00013004" w:rsidRPr="00ED172B" w:rsidRDefault="00013004" w:rsidP="00013004">
      <w:pPr>
        <w:rPr>
          <w:rFonts w:cs="Arial"/>
          <w:b/>
          <w:color w:val="000000" w:themeColor="text1"/>
          <w:szCs w:val="16"/>
        </w:rPr>
      </w:pPr>
      <w:r w:rsidRPr="00ED172B">
        <w:rPr>
          <w:rFonts w:cs="Arial"/>
          <w:b/>
          <w:color w:val="000000" w:themeColor="text1"/>
          <w:szCs w:val="16"/>
        </w:rPr>
        <w:t xml:space="preserve">Describe the sampling methodology outlining how the design will yield valid and reliable estimates. </w:t>
      </w:r>
    </w:p>
    <w:p w14:paraId="4FCDE50E" w14:textId="4304FCDE" w:rsidR="00013004" w:rsidRDefault="00860830" w:rsidP="00013004">
      <w:pPr>
        <w:rPr>
          <w:rFonts w:cs="Arial"/>
          <w:color w:val="000000" w:themeColor="text1"/>
          <w:szCs w:val="16"/>
        </w:rPr>
      </w:pPr>
      <w:r w:rsidRPr="00ED172B">
        <w:rPr>
          <w:rFonts w:cs="Arial"/>
          <w:color w:val="000000" w:themeColor="text1"/>
          <w:szCs w:val="16"/>
        </w:rPr>
        <w:t xml:space="preserve">During FFY21, MA-C used the same sampling methodology from prior FFYs. The Part C Data Manager queried the state database to identify all children who were enrolled in early intervention for at least six months prior to the survey distribution date and initially included in the sample. Next, MA-C implemented its exclusion criteria: any child who's family had completed a survey in the prior reporting year were removed from the sample. MA-C identified 7,598 families eligible for the survey. EIS programs distributed the survey to only 6.074 families in the FFY21. Reported reasons for exclusion were losing contact with the family (e.g., family had exited program), difficulty contacting the family, and difficulty understanding how to distribute the electronic survey codes. </w:t>
        <w:br/>
        <w:t xml:space="preserve"> </w:t>
        <w:br/>
        <w:t>A contracted vendor compiled the survey data for MA-C and used tests of statistical significance to confirm the sample yielded valid and reliable estimates: "Sample mean is 703. Standard deviation of measures in 174. Standard error of the sample mean is 3.3, and there is a 95% confidence interval for the mean 696.8-709.6. This means that there is a 95% likelihood that the true value of the mean lies between these two values."</w:t>
      </w:r>
    </w:p>
    <w:p w14:paraId="629F5F4F" w14:textId="77777777" w:rsidR="00470774" w:rsidRPr="00470774" w:rsidRDefault="00470774" w:rsidP="00470774">
      <w:pPr>
        <w:rPr>
          <w:rFonts w:cs="Arial"/>
          <w:color w:val="000000" w:themeColor="text1"/>
          <w:szCs w:val="16"/>
        </w:rPr>
      </w:pPr>
    </w:p>
    <w:tbl>
      <w:tblPr>
        <w:tblStyle w:val="TableGrid"/>
        <w:tblW w:w="5000" w:type="pct"/>
        <w:tblCellMar>
          <w:left w:w="115" w:type="dxa"/>
          <w:right w:w="115" w:type="dxa"/>
        </w:tblCellMar>
        <w:tblLook w:val="04A0" w:firstRow="1" w:lastRow="0" w:firstColumn="1" w:lastColumn="0" w:noHBand="0" w:noVBand="1"/>
        <w:tblCaption w:val="C04COLLECTIONTOOLUSED"/>
      </w:tblPr>
      <w:tblGrid>
        <w:gridCol w:w="8523"/>
        <w:gridCol w:w="2267"/>
      </w:tblGrid>
      <w:tr w:rsidR="00ED172B" w:rsidRPr="00ED172B" w14:paraId="0407055E" w14:textId="77777777" w:rsidTr="00A40EE1">
        <w:trPr>
          <w:tblHeader/>
        </w:trPr>
        <w:tc>
          <w:tcPr>
            <w:tcW w:w="3950" w:type="pct"/>
            <w:tcBorders>
              <w:top w:val="single" w:sz="4" w:space="0" w:color="auto"/>
              <w:left w:val="single" w:sz="4" w:space="0" w:color="auto"/>
            </w:tcBorders>
          </w:tcPr>
          <w:p w14:paraId="0DF5722B" w14:textId="55461DDB" w:rsidR="00013004" w:rsidRPr="00A40EE1" w:rsidRDefault="00164FFE" w:rsidP="00781A26">
            <w:pPr>
              <w:rPr>
                <w:rFonts w:cs="Arial"/>
                <w:b/>
                <w:bCs/>
                <w:color w:val="000000" w:themeColor="text1"/>
                <w:szCs w:val="16"/>
              </w:rPr>
            </w:pPr>
            <w:r w:rsidRPr="00A40EE1">
              <w:rPr>
                <w:rFonts w:cs="Arial"/>
                <w:b/>
                <w:bCs/>
                <w:color w:val="000000" w:themeColor="text1"/>
                <w:szCs w:val="16"/>
              </w:rPr>
              <w:t>Question</w:t>
            </w:r>
          </w:p>
        </w:tc>
        <w:tc>
          <w:tcPr>
            <w:tcW w:w="1050" w:type="pct"/>
            <w:tcBorders>
              <w:top w:val="single" w:sz="4" w:space="0" w:color="auto"/>
            </w:tcBorders>
          </w:tcPr>
          <w:p w14:paraId="1C29A0B5" w14:textId="77777777" w:rsidR="00013004" w:rsidRPr="00ED172B" w:rsidRDefault="00013004" w:rsidP="00781A26">
            <w:pPr>
              <w:jc w:val="center"/>
              <w:rPr>
                <w:rFonts w:cs="Arial"/>
                <w:b/>
                <w:color w:val="000000" w:themeColor="text1"/>
                <w:szCs w:val="16"/>
              </w:rPr>
            </w:pPr>
            <w:r w:rsidRPr="00ED172B">
              <w:rPr>
                <w:rFonts w:cs="Arial"/>
                <w:b/>
                <w:color w:val="000000" w:themeColor="text1"/>
                <w:szCs w:val="16"/>
              </w:rPr>
              <w:t>Yes / No</w:t>
            </w:r>
          </w:p>
        </w:tc>
      </w:tr>
      <w:tr w:rsidR="00ED172B" w:rsidRPr="00ED172B" w14:paraId="341AE4D3" w14:textId="77777777" w:rsidTr="00470774">
        <w:tc>
          <w:tcPr>
            <w:tcW w:w="3950" w:type="pct"/>
          </w:tcPr>
          <w:p w14:paraId="1C6590D0" w14:textId="2D5007A0" w:rsidR="00013004" w:rsidRPr="00ED172B" w:rsidRDefault="00013004" w:rsidP="00781A26">
            <w:pPr>
              <w:rPr>
                <w:rFonts w:cs="Arial"/>
                <w:color w:val="000000" w:themeColor="text1"/>
                <w:szCs w:val="16"/>
              </w:rPr>
            </w:pPr>
            <w:r w:rsidRPr="00ED172B">
              <w:rPr>
                <w:rFonts w:cs="Arial"/>
                <w:color w:val="000000" w:themeColor="text1"/>
                <w:szCs w:val="16"/>
              </w:rPr>
              <w:t>Was a collection tool used?</w:t>
            </w:r>
          </w:p>
        </w:tc>
        <w:tc>
          <w:tcPr>
            <w:tcW w:w="1050" w:type="pct"/>
          </w:tcPr>
          <w:p w14:paraId="7F712EBC" w14:textId="0CC49D8E" w:rsidR="00013004" w:rsidRPr="00ED172B" w:rsidRDefault="00860830" w:rsidP="00781A26">
            <w:pPr>
              <w:rPr>
                <w:rFonts w:cs="Arial"/>
                <w:color w:val="000000" w:themeColor="text1"/>
                <w:szCs w:val="16"/>
              </w:rPr>
            </w:pPr>
            <w:r w:rsidRPr="00ED172B">
              <w:rPr>
                <w:rFonts w:cs="Arial"/>
                <w:color w:val="000000" w:themeColor="text1"/>
                <w:szCs w:val="16"/>
              </w:rPr>
              <w:t>YES</w:t>
            </w:r>
          </w:p>
        </w:tc>
      </w:tr>
      <w:tr w:rsidR="00ED172B" w:rsidRPr="00ED172B" w14:paraId="4DF2322B" w14:textId="77777777" w:rsidTr="00470774">
        <w:tc>
          <w:tcPr>
            <w:tcW w:w="3950" w:type="pct"/>
          </w:tcPr>
          <w:p w14:paraId="06C93651" w14:textId="7F869A0C" w:rsidR="00013004" w:rsidRPr="00ED172B" w:rsidRDefault="00013004" w:rsidP="00781A26">
            <w:pPr>
              <w:rPr>
                <w:rFonts w:cs="Arial"/>
                <w:color w:val="000000" w:themeColor="text1"/>
                <w:szCs w:val="16"/>
              </w:rPr>
            </w:pPr>
            <w:r w:rsidRPr="00ED172B">
              <w:rPr>
                <w:rFonts w:cs="Arial"/>
                <w:color w:val="000000" w:themeColor="text1"/>
                <w:szCs w:val="16"/>
              </w:rPr>
              <w:t xml:space="preserve">If yes, is it a new or revised collection tool? </w:t>
            </w:r>
          </w:p>
        </w:tc>
        <w:tc>
          <w:tcPr>
            <w:tcW w:w="1050" w:type="pct"/>
          </w:tcPr>
          <w:p w14:paraId="703575B9" w14:textId="567842E0" w:rsidR="00013004" w:rsidRPr="00ED172B" w:rsidRDefault="00860830" w:rsidP="00781A26">
            <w:pPr>
              <w:rPr>
                <w:rFonts w:cs="Arial"/>
                <w:color w:val="000000" w:themeColor="text1"/>
                <w:szCs w:val="16"/>
              </w:rPr>
            </w:pPr>
            <w:r w:rsidRPr="00ED172B">
              <w:rPr>
                <w:rFonts w:cs="Arial"/>
                <w:color w:val="000000" w:themeColor="text1"/>
                <w:szCs w:val="16"/>
              </w:rPr>
              <w:t>NO</w:t>
            </w:r>
          </w:p>
        </w:tc>
      </w:tr>
      <w:tr w:rsidR="00ED172B" w:rsidRPr="00ED172B" w14:paraId="30DE3B0A" w14:textId="77777777" w:rsidTr="00470774">
        <w:tc>
          <w:tcPr>
            <w:tcW w:w="3950" w:type="pct"/>
          </w:tcPr>
          <w:p w14:paraId="68829E9A" w14:textId="356D668A" w:rsidR="00013004" w:rsidRPr="00ED172B" w:rsidRDefault="00013004" w:rsidP="00781A26">
            <w:pPr>
              <w:rPr>
                <w:rFonts w:cs="Arial"/>
                <w:color w:val="000000" w:themeColor="text1"/>
                <w:szCs w:val="16"/>
              </w:rPr>
            </w:pPr>
            <w:r w:rsidRPr="00ED172B">
              <w:rPr>
                <w:rFonts w:cs="Arial"/>
                <w:color w:val="000000" w:themeColor="text1"/>
                <w:szCs w:val="16"/>
              </w:rPr>
              <w:t>The demographics of the infants or toddlers for whom families responded are representative of the demographics of infants and toddlers enrolled in the Part C program.</w:t>
            </w:r>
          </w:p>
        </w:tc>
        <w:tc>
          <w:tcPr>
            <w:tcW w:w="1050" w:type="pct"/>
          </w:tcPr>
          <w:p w14:paraId="760B76EC" w14:textId="02428872" w:rsidR="00013004" w:rsidRPr="00ED172B" w:rsidRDefault="00860830" w:rsidP="00781A26">
            <w:pPr>
              <w:rPr>
                <w:rFonts w:cs="Arial"/>
                <w:color w:val="000000" w:themeColor="text1"/>
                <w:szCs w:val="16"/>
              </w:rPr>
            </w:pPr>
            <w:r w:rsidRPr="00ED172B">
              <w:rPr>
                <w:rFonts w:cs="Arial"/>
                <w:color w:val="000000" w:themeColor="text1"/>
                <w:szCs w:val="16"/>
              </w:rPr>
              <w:t>NO</w:t>
            </w:r>
          </w:p>
        </w:tc>
      </w:tr>
    </w:tbl>
    <w:p w14:paraId="3C660309" w14:textId="17184E37" w:rsidR="00013004" w:rsidRPr="00ED172B" w:rsidRDefault="00B24CA0" w:rsidP="00013004">
      <w:pPr>
        <w:rPr>
          <w:rFonts w:cs="Arial"/>
          <w:b/>
          <w:color w:val="000000" w:themeColor="text1"/>
          <w:szCs w:val="16"/>
        </w:rPr>
      </w:pPr>
      <w:r w:rsidRPr="00ED172B">
        <w:rPr>
          <w:rFonts w:cs="Arial"/>
          <w:b/>
          <w:color w:val="000000" w:themeColor="text1"/>
          <w:szCs w:val="16"/>
        </w:rPr>
        <w:t xml:space="preserve">If not, describe the strategies that the State will use to ensure that in the future the response data are representative of those demographics. </w:t>
      </w:r>
    </w:p>
    <w:p w14:paraId="308F3BE0" w14:textId="77A07659" w:rsidR="00013004" w:rsidRDefault="00860830" w:rsidP="00013004">
      <w:pPr>
        <w:rPr>
          <w:rFonts w:cs="Arial"/>
          <w:color w:val="000000" w:themeColor="text1"/>
          <w:szCs w:val="16"/>
        </w:rPr>
      </w:pPr>
      <w:r w:rsidRPr="00ED172B">
        <w:rPr>
          <w:rFonts w:cs="Arial"/>
          <w:color w:val="000000" w:themeColor="text1"/>
          <w:szCs w:val="16"/>
        </w:rPr>
        <w:t>In FFY22, MA-C will implement a number of new initiatives designed to increase the response rate, particularly from communities of color who are historically underrepresented in the survey's respondents.</w:t>
        <w:br/>
        <w:t/>
        <w:br/>
        <w:t xml:space="preserve">MA-C has created additional funding opportunities for EIS programs specifically targeted at increasing response rates. All EIS programs are eligible for these targeted funds, which are distributed on a sliding scale to reinforce improvement across federal fiscal years, as well as consistent response rates above the statewide average. </w:t>
        <w:br/>
        <w:t/>
        <w:br/>
        <w:t xml:space="preserve">MA-C has offered multiple training opportunities for EIS programs to share information about the importance of the survey, response rate, and representativeness. The Part C Data Manager conducted a series of presentations to the State Interagency Coordinating Council in FFY21 to share our analyses and solicit feedback and potential solutions. </w:t>
        <w:br/>
        <w:t/>
        <w:br/>
        <w:t xml:space="preserve">Beginning in FFY22, MA-C will devote considerable resources to targeted technical assistance to EIS programs with response rates below the statewide average or those with stagnant rates across federal fiscal years. During regular meetings with its EIS programs, MA-C will review the program’s response rate compared to the previous year and to the expected number of families to ensure representativeness across programs and demographics. Beginning in FFY22, MA-C will create a real-time data dashboard for Lead Agency staff to review response rates by program, race, and geography and will train local programs to use a version of this dashboard to monitor their own response rates. </w:t>
        <w:br/>
        <w:t/>
        <w:br/>
        <w:t xml:space="preserve">Beginning in FFY22, and as a direct result of the conversations facilitated by the MA-C Data Manager in FFY21, the State Interagency Coordinating Council (ICC) established a charge for the Family Engagement Subcommittee to study the matter and offer specific recommendations for improving the response rates and representativeness. </w:t>
        <w:br/>
        <w:t/>
        <w:br/>
        <w:t xml:space="preserve">Beginning in FFY22, MA-C has contracted with a vendor who is a longtime community partner to assist in increasing the response rate and representativeness of these responses. This vendor was selected in part because of its deep ties to the Commonwealth's Parent Training and Information Center and particularly because of the diverse languages, geographic locations, and lived experiences its staff bring. </w:t>
        <w:br/>
        <w:t/>
        <w:br/>
        <w:t>Finally, two new questions will be added to the FFY22 survey: one to capture the geographic region in which the respondent resides and a second optional and open-ended question to collect narrative information about the extent to which the respondent believes their race, ethnicity, gender, or primary spoken language affects their early intervention services. Once available, these data will be analyzed and used to inform professional development and practice standards.</w:t>
      </w:r>
    </w:p>
    <w:p w14:paraId="5738AA7C" w14:textId="77777777" w:rsidR="00550FC1" w:rsidRDefault="00550FC1" w:rsidP="00DF2F4F">
      <w:pPr>
        <w:rPr>
          <w:rFonts w:cs="Arial"/>
          <w:b/>
          <w:bCs/>
          <w:szCs w:val="16"/>
        </w:rPr>
      </w:pPr>
    </w:p>
    <w:p w14:paraId="33F13682" w14:textId="77777777" w:rsidR="00550FC1" w:rsidRPr="00E310A4" w:rsidRDefault="00550FC1" w:rsidP="00550FC1">
      <w:pPr>
        <w:rPr>
          <w:rFonts w:cs="Arial"/>
          <w:b/>
          <w:bCs/>
          <w:szCs w:val="16"/>
        </w:rPr>
      </w:pPr>
      <w:r w:rsidRPr="00E310A4">
        <w:rPr>
          <w:rFonts w:cs="Arial"/>
          <w:b/>
          <w:bCs/>
          <w:szCs w:val="16"/>
        </w:rPr>
        <w:t>Survey Response Rate</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4CFFYSVYRESPRATE"/>
      </w:tblPr>
      <w:tblGrid>
        <w:gridCol w:w="1918"/>
        <w:gridCol w:w="4438"/>
        <w:gridCol w:w="4438"/>
      </w:tblGrid>
      <w:tr w:rsidR="00550FC1" w:rsidRPr="00ED172B" w14:paraId="4B7EC210" w14:textId="77777777" w:rsidTr="0055373D">
        <w:trPr>
          <w:trHeight w:val="350"/>
        </w:trPr>
        <w:tc>
          <w:tcPr>
            <w:tcW w:w="888" w:type="pct"/>
            <w:tcBorders>
              <w:bottom w:val="single" w:sz="4" w:space="0" w:color="auto"/>
            </w:tcBorders>
            <w:shd w:val="clear" w:color="auto" w:fill="auto"/>
            <w:vAlign w:val="bottom"/>
          </w:tcPr>
          <w:p w14:paraId="166627DF" w14:textId="77777777" w:rsidR="00550FC1" w:rsidRPr="00ED172B" w:rsidRDefault="00550FC1" w:rsidP="00B073DB">
            <w:pPr>
              <w:jc w:val="center"/>
              <w:rPr>
                <w:rFonts w:cs="Arial"/>
                <w:b/>
                <w:color w:val="000000" w:themeColor="text1"/>
                <w:szCs w:val="16"/>
              </w:rPr>
            </w:pPr>
            <w:r w:rsidRPr="00ED172B">
              <w:rPr>
                <w:rFonts w:cs="Arial"/>
                <w:b/>
                <w:color w:val="000000" w:themeColor="text1"/>
                <w:szCs w:val="16"/>
              </w:rPr>
              <w:t>FFY</w:t>
            </w:r>
          </w:p>
        </w:tc>
        <w:tc>
          <w:tcPr>
            <w:tcW w:w="2056" w:type="pct"/>
            <w:shd w:val="clear" w:color="auto" w:fill="auto"/>
            <w:vAlign w:val="center"/>
          </w:tcPr>
          <w:p w14:paraId="681441EB" w14:textId="1756F53D" w:rsidR="00550FC1" w:rsidRPr="00ED172B" w:rsidRDefault="00550FC1" w:rsidP="00B073DB">
            <w:pPr>
              <w:jc w:val="center"/>
              <w:rPr>
                <w:rFonts w:cs="Arial"/>
                <w:b/>
                <w:color w:val="000000" w:themeColor="text1"/>
                <w:szCs w:val="16"/>
              </w:rPr>
            </w:pPr>
            <w:r w:rsidRPr="00ED172B">
              <w:rPr>
                <w:rFonts w:cs="Arial"/>
                <w:b/>
                <w:color w:val="000000" w:themeColor="text1"/>
                <w:szCs w:val="16"/>
              </w:rPr>
              <w:t>2020</w:t>
            </w:r>
          </w:p>
        </w:tc>
        <w:tc>
          <w:tcPr>
            <w:tcW w:w="2056" w:type="pct"/>
          </w:tcPr>
          <w:p w14:paraId="6C31BF24" w14:textId="58D9F852" w:rsidR="00550FC1" w:rsidRPr="00ED172B" w:rsidRDefault="00550FC1" w:rsidP="00B073DB">
            <w:pPr>
              <w:jc w:val="center"/>
              <w:rPr>
                <w:rFonts w:cs="Arial"/>
                <w:b/>
                <w:color w:val="000000" w:themeColor="text1"/>
                <w:szCs w:val="16"/>
              </w:rPr>
            </w:pPr>
            <w:r>
              <w:rPr>
                <w:rFonts w:cs="Arial"/>
                <w:b/>
                <w:color w:val="000000" w:themeColor="text1"/>
                <w:szCs w:val="16"/>
              </w:rPr>
              <w:t>2021</w:t>
            </w:r>
          </w:p>
        </w:tc>
      </w:tr>
      <w:tr w:rsidR="00550FC1" w:rsidRPr="00794BA1" w14:paraId="0C44F5DB" w14:textId="77777777" w:rsidTr="0055373D">
        <w:trPr>
          <w:trHeight w:val="357"/>
        </w:trPr>
        <w:tc>
          <w:tcPr>
            <w:tcW w:w="888" w:type="pct"/>
            <w:shd w:val="clear" w:color="auto" w:fill="auto"/>
          </w:tcPr>
          <w:p w14:paraId="58E7AE90" w14:textId="63CAE467" w:rsidR="00550FC1" w:rsidRPr="00ED172B" w:rsidRDefault="00550FC1" w:rsidP="00B073DB">
            <w:pPr>
              <w:rPr>
                <w:rFonts w:cs="Arial"/>
                <w:color w:val="000000" w:themeColor="text1"/>
                <w:szCs w:val="16"/>
              </w:rPr>
            </w:pPr>
            <w:r>
              <w:rPr>
                <w:rFonts w:cs="Arial"/>
                <w:szCs w:val="16"/>
              </w:rPr>
              <w:t>Survey Response Rate</w:t>
            </w:r>
          </w:p>
        </w:tc>
        <w:tc>
          <w:tcPr>
            <w:tcW w:w="2056" w:type="pct"/>
            <w:shd w:val="clear" w:color="auto" w:fill="auto"/>
            <w:vAlign w:val="center"/>
          </w:tcPr>
          <w:p w14:paraId="4B20A07B" w14:textId="0AA48EA3" w:rsidR="00550FC1" w:rsidRPr="00ED172B" w:rsidRDefault="00550FC1" w:rsidP="00B073DB">
            <w:pPr>
              <w:jc w:val="center"/>
              <w:rPr>
                <w:color w:val="000000" w:themeColor="text1"/>
              </w:rPr>
            </w:pPr>
            <w:r w:rsidRPr="00ED172B">
              <w:rPr>
                <w:color w:val="000000" w:themeColor="text1"/>
              </w:rPr>
              <w:t>29.68%</w:t>
            </w:r>
          </w:p>
        </w:tc>
        <w:tc>
          <w:tcPr>
            <w:tcW w:w="2056" w:type="pct"/>
            <w:vAlign w:val="center"/>
          </w:tcPr>
          <w:p w14:paraId="3DB9642D" w14:textId="6600A861" w:rsidR="00550FC1" w:rsidRPr="00794BA1" w:rsidRDefault="00550FC1" w:rsidP="00B073DB">
            <w:pPr>
              <w:jc w:val="center"/>
              <w:rPr>
                <w:color w:val="000000" w:themeColor="text1"/>
              </w:rPr>
            </w:pPr>
            <w:r w:rsidRPr="00794BA1">
              <w:rPr>
                <w:color w:val="000000" w:themeColor="text1"/>
              </w:rPr>
              <w:t>46.16%</w:t>
            </w:r>
          </w:p>
        </w:tc>
      </w:tr>
    </w:tbl>
    <w:p w14:paraId="0C9DACE6" w14:textId="11DE96AB" w:rsidR="00DF2F4F" w:rsidRPr="00DF2F4F" w:rsidRDefault="00DF2F4F" w:rsidP="00DF2F4F">
      <w:pPr>
        <w:rPr>
          <w:rFonts w:cs="Arial"/>
          <w:b/>
          <w:bCs/>
          <w:color w:val="000000" w:themeColor="text1"/>
          <w:szCs w:val="16"/>
        </w:rPr>
      </w:pPr>
      <w:r w:rsidRPr="00DF2F4F">
        <w:rPr>
          <w:rFonts w:cs="Arial"/>
          <w:b/>
          <w:bCs/>
          <w:color w:val="000000" w:themeColor="text1"/>
          <w:szCs w:val="16"/>
        </w:rPr>
        <w:t>Describe strategies that will be implemented which are expected to increase the response rate year over year, particularly for those groups that are underrepresented.</w:t>
      </w:r>
    </w:p>
    <w:p w14:paraId="1BDBFDFD" w14:textId="162256F1" w:rsidR="00DF2F4F" w:rsidRDefault="00DF2F4F" w:rsidP="00DF2F4F">
      <w:pPr>
        <w:rPr>
          <w:rFonts w:cs="Arial"/>
          <w:b/>
          <w:color w:val="000000" w:themeColor="text1"/>
          <w:szCs w:val="16"/>
        </w:rPr>
      </w:pPr>
      <w:r w:rsidRPr="00ED172B">
        <w:rPr>
          <w:rFonts w:cs="Arial"/>
          <w:color w:val="000000" w:themeColor="text1"/>
          <w:szCs w:val="16"/>
        </w:rPr>
        <w:t>In FFY22, MA-C will implement a number of new initiatives designed to increase the response rate, particularly from communities of color who are historically underrepresented in the survey's respondents.</w:t>
        <w:br/>
        <w:t/>
        <w:br/>
        <w:t xml:space="preserve">MA-C has created additional funding opportunities for EIS programs specifically targeted at increasing response rates. All EIS programs are eligible for these targeted funds, which are distributed on a sliding scale to reinforce improvement across federal fiscal years, as well as consistent response rates above the statewide average. </w:t>
        <w:br/>
        <w:t/>
        <w:br/>
        <w:t xml:space="preserve">MA-C has offered multiple training opportunities for EIS programs to share information about the importance of the survey, response rate, and representativeness. The Part C Data Manager conducted a series of presentations to the State Interagency Coordinating Council in FFY21 to share our analyses and solicit feedback and potential solutions. </w:t>
        <w:br/>
        <w:t/>
        <w:br/>
        <w:t xml:space="preserve">Beginning in FFY22, MA-C will devote considerable resources to targeted technical assistance to EIS programs with response rates below the statewide average or those with stagnant rates across federal fiscal years. During regular meetings with its EIS programs, MA-C will review the program’s response rate compared to the previous year and to the expected number of families to ensure representativeness across programs and demographics. Beginning in FFY22, MA-C will create a real-time data dashboard for Lead Agency staff to review response rates by program, race, and geography and will train local programs to use a version of this dashboard to monitor their own response rates. </w:t>
        <w:br/>
        <w:t/>
        <w:br/>
        <w:t xml:space="preserve">Beginning in FFY22, and as a direct result of the conversations facilitated by the MA-C Data Manager in FFY21, the State Interagency Coordinating Council (ICC) established a charge for the Family Engagement Subcommittee to study the matter and offer specific recommendations for improving the response rates and representativeness. </w:t>
        <w:br/>
        <w:t/>
        <w:br/>
        <w:t xml:space="preserve">Beginning in FFY22, MA-C has contracted with a vendor who is a longtime community partner to assist in increasing the response rate and representativeness of these responses. This vendor was selected in part because of its deep ties to the Commonwealth's Parent Training and Information Center and particularly because of the diverse languages, geographic locations, and lived experiences its staff bring. </w:t>
        <w:br/>
        <w:t/>
        <w:br/>
        <w:t>Finally, two new questions will be added to the FFY22 survey: one to capture the geographic region in which the respondent resides and a second optional and open-ended question to collect narrative information about the extent to which the respondent believes their race, ethnicity, gender, or primary spoken language affects their early intervention services. Once available, these data will be analyzed and used to inform professional development and practice standards.</w:t>
      </w:r>
    </w:p>
    <w:p w14:paraId="26B1B986" w14:textId="0509FCCD" w:rsidR="003B21F7" w:rsidRPr="003B21F7" w:rsidRDefault="003B21F7" w:rsidP="003B21F7">
      <w:pPr>
        <w:rPr>
          <w:rFonts w:cs="Arial"/>
          <w:b/>
          <w:bCs/>
          <w:color w:val="000000" w:themeColor="text1"/>
          <w:szCs w:val="16"/>
        </w:rPr>
      </w:pPr>
      <w:r w:rsidRPr="003B21F7">
        <w:rPr>
          <w:rFonts w:cs="Arial"/>
          <w:b/>
          <w:bCs/>
          <w:color w:val="000000" w:themeColor="text1"/>
          <w:szCs w:val="16"/>
        </w:rPr>
        <w:t>Describe the analysis of the response rate including any nonresponse bias that was identified, and the steps taken to reduce any identified bias and promote response from a broad cross section of families that received Part C services.</w:t>
      </w:r>
    </w:p>
    <w:p w14:paraId="2121CE81" w14:textId="3486E3FC" w:rsidR="000F27DB" w:rsidRDefault="003B21F7" w:rsidP="000B4FD4">
      <w:pPr>
        <w:rPr>
          <w:rFonts w:cs="Arial"/>
          <w:b/>
          <w:color w:val="000000" w:themeColor="text1"/>
          <w:szCs w:val="16"/>
        </w:rPr>
      </w:pPr>
      <w:r w:rsidRPr="00ED172B">
        <w:rPr>
          <w:rFonts w:cs="Arial"/>
          <w:color w:val="000000" w:themeColor="text1"/>
          <w:szCs w:val="16"/>
        </w:rPr>
        <w:t xml:space="preserve">MA-C analyzed the response rate by race, ethnicity, and primary spoken language using a calculator developed by the Early Childhood Technical Assistance Center (ECTA). This Excel workbook uses tests of proportional difference to compare the differences between the target population and the number of responses received. MA-C's analysis suggests that response rates are comparable across race and ethnicity, though reduced response rates were observed among families identifying as African American or Black. </w:t>
        <w:br/>
        <w:t/>
        <w:br/>
        <w:t xml:space="preserve">MA-C has also analyzed the response rate by region in which the 59 comprehensive EIS programs operate. The Commonwealth of Massachusetts was divided into 10 regions and the response rate for each EIS program operating in that region was first summed and then divided by the total number of EIS programs operating in the region to yield an average region response rate. Five regions had average response rates higher than the statewide average of 46.16%: Central (60.58%, range 20-85%), Metro South (47.64%, range 23-74%), West/North (77.17%, range 75-78%), West/Northwest (60.95%, range 60-61%), and West/South (67.20%, range 40-85%), The remaining Five regions had average response rates below the statewide average of 46.16%: Metro North (45.63%, range 2-70%), Boston (34.08%, range 10.24-80.95%), Northeast (41.54%, range 12-63%), Southeast (34.98%, range 16-59%), and West/Southwest (36.40%, range 18-54%). </w:t>
        <w:br/>
        <w:t/>
        <w:br/>
        <w:t>In response to these findings, MA-C sought feedback from key representatives to identify the root causes of non-response and address the resulting non-response bias. One agency operating several EIS programs disclosed that they had discovered unused paper copies of the survey from FFY20 and distributed them to 34 additional families who met the inclusion criteria. Because these families were not originally included in MA-C selection, they may have altered the response rate. MA-C de-identifies responses from families and thus could not determined which families were included due to this program error. After seeking Technical Assistance from ECTA and feedback from key representatives across the Commonwealth, MA-C determined to include all responses received (i.e., including those distributed by the EIS program in error) because the perspective of every family matters.</w:t>
      </w:r>
    </w:p>
    <w:p w14:paraId="0932C3FE" w14:textId="038CE682" w:rsidR="00FB7AE9" w:rsidRPr="00ED172B" w:rsidRDefault="00C6758D" w:rsidP="000B4FD4">
      <w:pPr>
        <w:rPr>
          <w:rFonts w:cs="Arial"/>
          <w:b/>
          <w:color w:val="000000" w:themeColor="text1"/>
          <w:szCs w:val="16"/>
        </w:rPr>
      </w:pPr>
      <w:r w:rsidRPr="00ED172B">
        <w:rPr>
          <w:rFonts w:cs="Arial"/>
          <w:b/>
          <w:color w:val="000000" w:themeColor="text1"/>
          <w:szCs w:val="16"/>
        </w:rPr>
        <w:t>Include the State’s analysis of the extent to which the demographics of the infants or toddlers for whom families responded are representative of the demographics of infants and toddlers enrolled in the Part C program.</w:t>
      </w:r>
      <w:r w:rsidR="00421726" w:rsidRPr="00421726">
        <w:t xml:space="preserve"> </w:t>
      </w:r>
      <w:r w:rsidR="00D57298" w:rsidRPr="003B5256">
        <w:rPr>
          <w:rFonts w:cs="Arial"/>
          <w:b/>
          <w:szCs w:val="16"/>
        </w:rPr>
        <w:t>States should consider categories such as race/ethnicity, age of infant or toddler, and geographic location in the State.</w:t>
      </w:r>
    </w:p>
    <w:p w14:paraId="4772D9A6" w14:textId="552E1610" w:rsidR="00013004" w:rsidRPr="00ED172B" w:rsidRDefault="00860830" w:rsidP="00013004">
      <w:pPr>
        <w:rPr>
          <w:rFonts w:cs="Arial"/>
          <w:color w:val="000000" w:themeColor="text1"/>
          <w:szCs w:val="16"/>
        </w:rPr>
      </w:pPr>
      <w:r w:rsidRPr="00ED172B">
        <w:rPr>
          <w:rFonts w:cs="Arial"/>
          <w:color w:val="000000" w:themeColor="text1"/>
          <w:szCs w:val="16"/>
        </w:rPr>
        <w:t xml:space="preserve">MA-C analyzed the representativeness of responses received by race, ethnicity, and primary spoken language using a calculator developed by the Early Childhood Technical Assistance Center. This Excel workbook uses tests of proportional difference to compare the differences between the target population and the responses received. MA-C's analysis suggests that, although improved from FFY20, the responses are not yet representative of the infants and toddlers enrolled in the MA-C system because the responses underrepresented families who identify as African American or Black (13% of families enrolled/8% of response) and overrepresented families who identify as white (75% of families enrolled/83% of response). </w:t>
      </w:r>
    </w:p>
    <w:bookmarkEnd w:id="26"/>
    <w:p w14:paraId="7E05034D" w14:textId="77777777" w:rsidR="003B21F7" w:rsidRPr="003B21F7" w:rsidRDefault="003B21F7" w:rsidP="003B21F7">
      <w:pPr>
        <w:rPr>
          <w:rFonts w:cs="Arial"/>
          <w:b/>
          <w:color w:val="000000" w:themeColor="text1"/>
          <w:szCs w:val="16"/>
        </w:rPr>
      </w:pPr>
      <w:r w:rsidRPr="003B21F7">
        <w:rPr>
          <w:rFonts w:cs="Arial"/>
          <w:b/>
          <w:color w:val="000000" w:themeColor="text1"/>
          <w:szCs w:val="16"/>
        </w:rPr>
        <w:t>Describe the metric used to determine representativeness (e.g., +/- 3% discrepancy, age of the infant or toddler, and geographic location in the proportion of responders compared to target group).</w:t>
      </w:r>
    </w:p>
    <w:p w14:paraId="406DCC06" w14:textId="26305B92" w:rsidR="003B21F7" w:rsidRPr="00F85A5B" w:rsidRDefault="003B21F7" w:rsidP="003A3693">
      <w:pPr>
        <w:rPr>
          <w:rFonts w:cs="Arial"/>
          <w:color w:val="000000" w:themeColor="text1"/>
          <w:szCs w:val="16"/>
        </w:rPr>
      </w:pPr>
      <w:r w:rsidRPr="00ED172B">
        <w:rPr>
          <w:rFonts w:cs="Arial"/>
          <w:color w:val="000000" w:themeColor="text1"/>
          <w:szCs w:val="16"/>
        </w:rPr>
        <w:t>MA-C used tests of proportional difference to determine representativeness of the responses by race, ethnicity, and language. A template of the ECTA Response Rate and Representativeness Calculator used can be found at https://ectacenter.org/eco/pages/familyoutcomes-calc.asp</w:t>
      </w:r>
    </w:p>
    <w:p w14:paraId="38AE52A4" w14:textId="56F41423"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2A53339" w14:textId="06E1058A" w:rsidR="003A3693" w:rsidRPr="00ED172B" w:rsidRDefault="00860830" w:rsidP="003A3693">
      <w:pPr>
        <w:rPr>
          <w:rFonts w:cs="Arial"/>
          <w:color w:val="000000" w:themeColor="text1"/>
          <w:szCs w:val="16"/>
        </w:rPr>
      </w:pPr>
      <w:r w:rsidRPr="00ED172B">
        <w:rPr>
          <w:rFonts w:cs="Arial"/>
          <w:color w:val="000000" w:themeColor="text1"/>
          <w:szCs w:val="16"/>
        </w:rPr>
        <w:t xml:space="preserve">MA-C uses the survey developed by the National Center for Special Education Accountability and Monitoring (NCSEAM), which has been in continuous use since 2008. Although MA-C has expanded the languages in which this survey is offered and has transitioned from a paper survey to a web-based survey, there have not been other significant review or updates since 2012. Based on feedback received during FFY21 from key representatives at the State Interagency Coordinating Council (ICC), MA-C plans to review the survey, consider if additional changes are warranted, and include on a future ICC agenda for discussion with key representatives. </w:t>
      </w:r>
    </w:p>
    <w:p w14:paraId="1A02BAFD" w14:textId="4A2D5F8A" w:rsidR="00DC0682" w:rsidRPr="00A40EE1" w:rsidRDefault="000D0117" w:rsidP="005C3FFD">
      <w:pPr>
        <w:pStyle w:val="Heading2"/>
      </w:pPr>
      <w:r w:rsidRPr="00A40EE1">
        <w:lastRenderedPageBreak/>
        <w:t xml:space="preserve">4 - </w:t>
      </w:r>
      <w:r w:rsidR="00DC0682" w:rsidRPr="00A40EE1">
        <w:t>Prior FFY Required Actions</w:t>
      </w:r>
    </w:p>
    <w:p w14:paraId="5D9F9B9C" w14:textId="5185C7E0" w:rsidR="004C1CEE" w:rsidRPr="00ED172B" w:rsidRDefault="00291EA9" w:rsidP="00027F39">
      <w:pPr>
        <w:rPr>
          <w:color w:val="000000" w:themeColor="text1"/>
        </w:rPr>
      </w:pPr>
      <w:r w:rsidRPr="00ED172B">
        <w:rPr>
          <w:color w:val="000000" w:themeColor="text1"/>
        </w:rPr>
        <w:t>In the FFY 2021 SPP/APR, the State must report whether its FFY 2021 response data are representative of the demographics of infants, toddlers, and families enrolled in the Part C program , and, if not, the actions the State is taking to address this issue. The State must also include its analysis of the extent to which the demographics of the families responding are representative of the population.</w:t>
      </w:r>
    </w:p>
    <w:p w14:paraId="097370A1" w14:textId="77777777" w:rsidR="004C1CEE" w:rsidRPr="00ED172B" w:rsidRDefault="004C1CEE" w:rsidP="00DC0682">
      <w:pPr>
        <w:rPr>
          <w:rFonts w:cs="Arial"/>
          <w:color w:val="000000" w:themeColor="text1"/>
          <w:szCs w:val="16"/>
        </w:rPr>
      </w:pPr>
    </w:p>
    <w:p w14:paraId="36FD66B9" w14:textId="5C1238A7" w:rsidR="00DC0682" w:rsidRPr="00ED172B" w:rsidRDefault="00DC0682" w:rsidP="00B83404">
      <w:pPr>
        <w:rPr>
          <w:color w:val="000000" w:themeColor="text1"/>
        </w:rPr>
      </w:pPr>
      <w:r w:rsidRPr="00ED172B">
        <w:rPr>
          <w:b/>
          <w:color w:val="000000" w:themeColor="text1"/>
        </w:rPr>
        <w:t>Response to actions required in FFY 2020 SPP/APR</w:t>
      </w:r>
      <w:r w:rsidR="00950382" w:rsidRPr="00ED172B">
        <w:rPr>
          <w:color w:val="000000" w:themeColor="text1"/>
        </w:rPr>
        <w:t xml:space="preserve"> </w:t>
      </w:r>
    </w:p>
    <w:p w14:paraId="517638FD" w14:textId="11CB85A2" w:rsidR="004C1CEE" w:rsidRPr="00ED172B" w:rsidRDefault="00291EA9" w:rsidP="00027F39">
      <w:pPr>
        <w:rPr>
          <w:color w:val="000000" w:themeColor="text1"/>
        </w:rPr>
      </w:pPr>
      <w:r w:rsidRPr="00ED172B">
        <w:rPr>
          <w:color w:val="000000" w:themeColor="text1"/>
        </w:rPr>
        <w:t>The Lead Agency (MA-C) analyzed the response rate by race, ethnicity, and primary spoken language using a calculator developed by the Early Childhood Technical Assistance Center (ECTA). This Excel workbook uses tests of proportional difference to compare the differences between the target population and the number of responses received. MA-C's analysis suggests that response rates are comparable across race and ethnicity, though reduced response rates were observed among families identifying as African American or Black. Although MA-C does believe these responses are representative of the racial composition of children enrolled in the Commonwealth's Part C system, it has nonetheless sought feedback from key representatives and recruited assistance from its State Interagency Coordinating Council (ICC) to identify the root causes of non-response and address the resulting non-response bias in prior years. In direct response, the ICC has formed a subcommittee charged with suggesting additional steps MA-C should take to improve its response representativeness, including making recommendations for changing the survey used, which has not undergone substantive revisions since 2012.</w:t>
      </w:r>
    </w:p>
    <w:p w14:paraId="325A8BC5" w14:textId="5A7B90FE" w:rsidR="00DC0682" w:rsidRPr="00ED172B" w:rsidRDefault="00DC0682" w:rsidP="00DC0682">
      <w:pPr>
        <w:rPr>
          <w:rFonts w:cs="Arial"/>
          <w:color w:val="000000" w:themeColor="text1"/>
          <w:szCs w:val="16"/>
        </w:rPr>
      </w:pPr>
      <w:r w:rsidRPr="00ED172B">
        <w:rPr>
          <w:rFonts w:cs="Arial"/>
          <w:color w:val="000000" w:themeColor="text1"/>
          <w:szCs w:val="16"/>
        </w:rPr>
        <w:t xml:space="preserve"> </w:t>
      </w:r>
    </w:p>
    <w:p w14:paraId="56B0BFC2" w14:textId="317255FC" w:rsidR="00DC0682" w:rsidRPr="00A40EE1" w:rsidRDefault="000D0117" w:rsidP="005C3FFD">
      <w:pPr>
        <w:pStyle w:val="Heading2"/>
      </w:pPr>
      <w:r w:rsidRPr="00A40EE1">
        <w:t xml:space="preserve">4 - </w:t>
      </w:r>
      <w:r w:rsidR="00DC0682" w:rsidRPr="00A40EE1">
        <w:t>OSEP Response</w:t>
      </w:r>
    </w:p>
    <w:p w14:paraId="55B96259" w14:textId="37B92EE8" w:rsidR="00DC0682" w:rsidRPr="00ED172B" w:rsidRDefault="00291EA9" w:rsidP="00027F39">
      <w:pPr>
        <w:rPr>
          <w:color w:val="000000" w:themeColor="text1"/>
        </w:rPr>
      </w:pPr>
      <w:r w:rsidRPr="00ED172B">
        <w:rPr>
          <w:color w:val="000000" w:themeColor="text1"/>
        </w:rPr>
        <w:t xml:space="preserve">OSEP’s response to the State’s initial FFY 2021 SPP/APR submission required the State to submit a revised sampling plan for this indicator by June 1, 2023. The State reported that it is moving toward a census approach in FFY2024. </w:t>
      </w:r>
    </w:p>
    <w:p w14:paraId="43FEC740" w14:textId="22A7B19A" w:rsidR="00DC0682" w:rsidRPr="00A40EE1" w:rsidRDefault="000D0117" w:rsidP="005C3FFD">
      <w:pPr>
        <w:pStyle w:val="Heading2"/>
      </w:pPr>
      <w:r w:rsidRPr="00A40EE1">
        <w:t xml:space="preserve">4 - </w:t>
      </w:r>
      <w:r w:rsidR="00DC0682" w:rsidRPr="00A40EE1">
        <w:t>Required Actions</w:t>
      </w:r>
    </w:p>
    <w:p w14:paraId="202EB0B4" w14:textId="1EF7FA87" w:rsidR="00DC0682" w:rsidRPr="00ED172B" w:rsidRDefault="00291EA9" w:rsidP="00027F39">
      <w:pPr>
        <w:rPr>
          <w:color w:val="000000" w:themeColor="text1"/>
        </w:rPr>
      </w:pPr>
      <w:r w:rsidRPr="00ED172B">
        <w:rPr>
          <w:color w:val="000000" w:themeColor="text1"/>
        </w:rPr>
        <w:t>In the FFY 2022 SPP/APR, the State must report whether its FFY 2022 response data are representative of the demographics of infants, toddlers, and families enrolled in the Part C program, and, if not, the actions the State is taking to address this issue. The State must also include its analysis of the extent to which the demographics of the families responding are representative of the population.</w:t>
        <w:br/>
        <w:t/>
        <w:br/>
        <w:t xml:space="preserve">OSEP’s response to the State’s initial FFY 2021 SPP/APR submission required the State to submit a revised sampling plan for this indicator by June 1, 2023. The State reported that it is moving toward a census approach in FFY2024. The State must submit by September 1, 2023 its revised sampling plan that the State plans to use for its FFY 2022 – FFY2023 data collections and indicate how the revised plan addresses the concerns identified in OSEP’s evaluation. </w:t>
      </w:r>
    </w:p>
    <w:p w14:paraId="11D8B7F8" w14:textId="77777777" w:rsidR="003D02CD" w:rsidRPr="00ED172B" w:rsidRDefault="003D02CD" w:rsidP="008D619C">
      <w:pPr>
        <w:rPr>
          <w:color w:val="000000" w:themeColor="text1"/>
        </w:rPr>
        <w:sectPr w:rsidR="003D02CD" w:rsidRPr="00ED172B" w:rsidSect="00E22993">
          <w:pgSz w:w="12240" w:h="15840"/>
          <w:pgMar w:top="720" w:right="720" w:bottom="720" w:left="720" w:header="720" w:footer="720" w:gutter="0"/>
          <w:cols w:space="720"/>
          <w:docGrid w:linePitch="360"/>
        </w:sectPr>
      </w:pPr>
    </w:p>
    <w:p w14:paraId="4216587F" w14:textId="77777777" w:rsidR="00D03701" w:rsidRPr="00ED172B" w:rsidRDefault="00D03701" w:rsidP="0077063D">
      <w:pPr>
        <w:pStyle w:val="Heading1"/>
        <w:rPr>
          <w:color w:val="000000" w:themeColor="text1"/>
        </w:rPr>
      </w:pPr>
      <w:bookmarkStart w:id="29" w:name="_Toc384383330"/>
      <w:bookmarkStart w:id="30" w:name="_Toc392159282"/>
      <w:bookmarkStart w:id="31" w:name="_Toc382082372"/>
      <w:bookmarkEnd w:id="27"/>
      <w:bookmarkEnd w:id="28"/>
      <w:r w:rsidRPr="00ED172B">
        <w:rPr>
          <w:color w:val="000000" w:themeColor="text1"/>
        </w:rPr>
        <w:lastRenderedPageBreak/>
        <w:t xml:space="preserve">Indicator </w:t>
      </w:r>
      <w:bookmarkEnd w:id="29"/>
      <w:bookmarkEnd w:id="30"/>
      <w:r w:rsidR="00975A3C" w:rsidRPr="00ED172B">
        <w:rPr>
          <w:color w:val="000000" w:themeColor="text1"/>
        </w:rPr>
        <w:t>5: Child Find (Birth to One)</w:t>
      </w:r>
    </w:p>
    <w:p w14:paraId="18873DC7" w14:textId="77777777" w:rsidR="000C5918" w:rsidRPr="00ED172B" w:rsidRDefault="000C5918" w:rsidP="00186420">
      <w:pPr>
        <w:rPr>
          <w:color w:val="000000" w:themeColor="text1"/>
          <w:szCs w:val="20"/>
        </w:rPr>
      </w:pPr>
      <w:bookmarkStart w:id="32" w:name="_Toc384383331"/>
      <w:bookmarkStart w:id="33" w:name="_Toc392159283"/>
      <w:r w:rsidRPr="00ED172B">
        <w:rPr>
          <w:b/>
          <w:color w:val="000000" w:themeColor="text1"/>
          <w:sz w:val="20"/>
          <w:szCs w:val="20"/>
        </w:rPr>
        <w:t>Instructions and Measurement</w:t>
      </w:r>
    </w:p>
    <w:p w14:paraId="6E4DCAD6" w14:textId="77777777" w:rsidR="00975A3C" w:rsidRPr="00ED172B" w:rsidRDefault="00975A3C" w:rsidP="00815A6D">
      <w:pPr>
        <w:rPr>
          <w:rFonts w:cs="Arial"/>
          <w:b/>
          <w:color w:val="000000" w:themeColor="text1"/>
          <w:szCs w:val="16"/>
        </w:rPr>
      </w:pPr>
      <w:r w:rsidRPr="00ED172B">
        <w:rPr>
          <w:rFonts w:cs="Arial"/>
          <w:b/>
          <w:color w:val="000000" w:themeColor="text1"/>
          <w:szCs w:val="16"/>
        </w:rPr>
        <w:t xml:space="preserve">Monitoring Priority: </w:t>
      </w:r>
      <w:r w:rsidRPr="00ED172B">
        <w:rPr>
          <w:rFonts w:cs="Arial"/>
          <w:color w:val="000000" w:themeColor="text1"/>
          <w:szCs w:val="16"/>
        </w:rPr>
        <w:t>Effective General Supervision Part C / Child Find</w:t>
      </w:r>
    </w:p>
    <w:p w14:paraId="61FE9E49" w14:textId="4EDA5E34" w:rsidR="00E9116A" w:rsidRDefault="00975A3C" w:rsidP="00815A6D">
      <w:pPr>
        <w:rPr>
          <w:rFonts w:cs="Arial"/>
          <w:color w:val="000000" w:themeColor="text1"/>
          <w:szCs w:val="16"/>
        </w:rPr>
      </w:pPr>
      <w:r w:rsidRPr="00ED172B">
        <w:rPr>
          <w:rFonts w:cs="Arial"/>
          <w:b/>
          <w:color w:val="000000" w:themeColor="text1"/>
          <w:szCs w:val="16"/>
        </w:rPr>
        <w:t>Results indicator:</w:t>
      </w:r>
      <w:r w:rsidRPr="00ED172B">
        <w:rPr>
          <w:rFonts w:cs="Arial"/>
          <w:color w:val="000000" w:themeColor="text1"/>
          <w:szCs w:val="16"/>
        </w:rPr>
        <w:t xml:space="preserve"> Percent of infants and toddlers birth to 1 with IFSPs</w:t>
      </w:r>
      <w:r w:rsidR="00E9116A">
        <w:rPr>
          <w:rFonts w:cs="Arial"/>
          <w:color w:val="000000" w:themeColor="text1"/>
          <w:szCs w:val="16"/>
        </w:rPr>
        <w:t xml:space="preserve">. </w:t>
      </w:r>
    </w:p>
    <w:p w14:paraId="396B779E" w14:textId="7616C132" w:rsidR="00975A3C" w:rsidRPr="00ED172B" w:rsidRDefault="00975A3C" w:rsidP="00815A6D">
      <w:pPr>
        <w:rPr>
          <w:rFonts w:cs="Arial"/>
          <w:color w:val="000000" w:themeColor="text1"/>
          <w:szCs w:val="16"/>
        </w:rPr>
      </w:pPr>
      <w:r w:rsidRPr="00ED172B">
        <w:rPr>
          <w:rFonts w:cs="Arial"/>
          <w:color w:val="000000" w:themeColor="text1"/>
          <w:szCs w:val="16"/>
        </w:rPr>
        <w:t>(20 U.S.C. 1416(a)(3)(B) and 1442)</w:t>
      </w:r>
    </w:p>
    <w:p w14:paraId="6E08EE69" w14:textId="77777777" w:rsidR="005918D1" w:rsidRPr="00ED172B" w:rsidRDefault="005918D1">
      <w:pPr>
        <w:rPr>
          <w:b/>
          <w:color w:val="000000" w:themeColor="text1"/>
        </w:rPr>
      </w:pPr>
      <w:r w:rsidRPr="00ED172B">
        <w:rPr>
          <w:b/>
          <w:color w:val="000000" w:themeColor="text1"/>
        </w:rPr>
        <w:t>Data Source</w:t>
      </w:r>
    </w:p>
    <w:p w14:paraId="67AF22C2" w14:textId="26675CCD" w:rsidR="005918D1" w:rsidRPr="00ED172B" w:rsidRDefault="005918D1" w:rsidP="00815A6D">
      <w:pPr>
        <w:rPr>
          <w:rFonts w:cs="Arial"/>
          <w:color w:val="000000" w:themeColor="text1"/>
          <w:szCs w:val="16"/>
        </w:rPr>
      </w:pPr>
      <w:r w:rsidRPr="00ED172B">
        <w:rPr>
          <w:rFonts w:cs="Arial"/>
          <w:color w:val="000000" w:themeColor="text1"/>
          <w:szCs w:val="16"/>
        </w:rPr>
        <w:t>Data collected under section 618 of the IDEA (IDEA Part C Child Count and Settings data collection in the E</w:t>
      </w:r>
      <w:r w:rsidRPr="00F85A5B">
        <w:rPr>
          <w:rFonts w:cs="Arial"/>
          <w:i/>
          <w:color w:val="000000" w:themeColor="text1"/>
          <w:szCs w:val="16"/>
        </w:rPr>
        <w:t>DFacts</w:t>
      </w:r>
      <w:r w:rsidRPr="00ED172B">
        <w:rPr>
          <w:rFonts w:cs="Arial"/>
          <w:color w:val="000000" w:themeColor="text1"/>
          <w:szCs w:val="16"/>
        </w:rPr>
        <w:t xml:space="preserve"> Metadata and Process System (E</w:t>
      </w:r>
      <w:r w:rsidRPr="00ED172B">
        <w:rPr>
          <w:rFonts w:cs="Arial"/>
          <w:i/>
          <w:color w:val="000000" w:themeColor="text1"/>
          <w:szCs w:val="16"/>
        </w:rPr>
        <w:t>MAPS</w:t>
      </w:r>
      <w:r w:rsidRPr="00ED172B">
        <w:rPr>
          <w:rFonts w:cs="Arial"/>
          <w:color w:val="000000" w:themeColor="text1"/>
          <w:szCs w:val="16"/>
        </w:rPr>
        <w:t>)) and Census (for the denominator).</w:t>
      </w:r>
    </w:p>
    <w:p w14:paraId="44D56CFB" w14:textId="77777777" w:rsidR="005918D1" w:rsidRPr="00ED172B" w:rsidRDefault="005918D1">
      <w:pPr>
        <w:rPr>
          <w:b/>
          <w:color w:val="000000" w:themeColor="text1"/>
        </w:rPr>
      </w:pPr>
      <w:r w:rsidRPr="00ED172B">
        <w:rPr>
          <w:b/>
          <w:color w:val="000000" w:themeColor="text1"/>
        </w:rPr>
        <w:t>Measurement</w:t>
      </w:r>
    </w:p>
    <w:p w14:paraId="33DB8BD0" w14:textId="5C133B82" w:rsidR="005918D1" w:rsidRPr="00ED172B" w:rsidRDefault="005918D1" w:rsidP="00815A6D">
      <w:pPr>
        <w:rPr>
          <w:rFonts w:cs="Arial"/>
          <w:color w:val="000000" w:themeColor="text1"/>
          <w:szCs w:val="16"/>
        </w:rPr>
      </w:pPr>
      <w:r w:rsidRPr="00ED172B">
        <w:rPr>
          <w:rFonts w:cs="Arial"/>
          <w:color w:val="000000" w:themeColor="text1"/>
          <w:szCs w:val="16"/>
        </w:rPr>
        <w:t>Percent = [(# of infants and toddlers birth to 1 with IFSPs) divided by the (population of infants and toddlers birth to 1)] times 100.</w:t>
      </w:r>
    </w:p>
    <w:p w14:paraId="088F683B" w14:textId="77777777" w:rsidR="005918D1" w:rsidRPr="00ED172B" w:rsidRDefault="005918D1">
      <w:pPr>
        <w:rPr>
          <w:b/>
          <w:color w:val="000000" w:themeColor="text1"/>
        </w:rPr>
      </w:pPr>
      <w:r w:rsidRPr="00ED172B">
        <w:rPr>
          <w:b/>
          <w:color w:val="000000" w:themeColor="text1"/>
        </w:rPr>
        <w:t>Instructions</w:t>
      </w:r>
    </w:p>
    <w:p w14:paraId="269F88B6" w14:textId="77777777" w:rsidR="005918D1" w:rsidRPr="0055373D" w:rsidRDefault="005918D1" w:rsidP="00815A6D">
      <w:pPr>
        <w:rPr>
          <w:rFonts w:cs="Arial"/>
          <w:i/>
          <w:iCs/>
          <w:color w:val="000000" w:themeColor="text1"/>
          <w:szCs w:val="16"/>
        </w:rPr>
      </w:pPr>
      <w:r w:rsidRPr="0055373D">
        <w:rPr>
          <w:rFonts w:cs="Arial"/>
          <w:i/>
          <w:iCs/>
          <w:color w:val="000000" w:themeColor="text1"/>
          <w:szCs w:val="16"/>
        </w:rPr>
        <w:t>Sampling from the State’s 618 data is not allowed.</w:t>
      </w:r>
    </w:p>
    <w:p w14:paraId="3D3A7D60" w14:textId="46896635" w:rsidR="005918D1" w:rsidRPr="00ED172B" w:rsidRDefault="005918D1" w:rsidP="00815A6D">
      <w:pPr>
        <w:rPr>
          <w:rFonts w:cs="Arial"/>
          <w:color w:val="000000" w:themeColor="text1"/>
          <w:szCs w:val="16"/>
        </w:rPr>
      </w:pPr>
      <w:r w:rsidRPr="00ED172B">
        <w:rPr>
          <w:rFonts w:cs="Arial"/>
          <w:color w:val="000000" w:themeColor="text1"/>
          <w:szCs w:val="16"/>
        </w:rPr>
        <w:t>Describe the results of the calculations.The data reported in this indicator should be consistent with the State’s reported 618 data reported in Table 1. If not, explain why.</w:t>
      </w:r>
    </w:p>
    <w:bookmarkEnd w:id="32"/>
    <w:bookmarkEnd w:id="33"/>
    <w:p w14:paraId="16D48487" w14:textId="7FC7FF4B" w:rsidR="00D03701" w:rsidRPr="00A40EE1" w:rsidRDefault="000D0117" w:rsidP="005C3FFD">
      <w:pPr>
        <w:pStyle w:val="Heading2"/>
      </w:pPr>
      <w:r w:rsidRPr="00A40EE1">
        <w:t xml:space="preserve">5 - </w:t>
      </w:r>
      <w:r w:rsidR="00815A6D" w:rsidRPr="00A40EE1">
        <w:t>Indicator Data</w:t>
      </w:r>
    </w:p>
    <w:p w14:paraId="0D19EA3C" w14:textId="064CA1B1" w:rsidR="0085799B" w:rsidRDefault="0085799B">
      <w:pPr>
        <w:rPr>
          <w:b/>
          <w:color w:val="000000" w:themeColor="text1"/>
        </w:rPr>
      </w:pPr>
      <w:bookmarkStart w:id="34" w:name="_Toc384383332"/>
      <w:bookmarkStart w:id="35" w:name="_Toc392159284"/>
      <w:r w:rsidRPr="00ED172B">
        <w:rPr>
          <w:b/>
          <w:color w:val="000000" w:themeColor="text1"/>
        </w:rPr>
        <w:t>Historical Data</w:t>
      </w:r>
    </w:p>
    <w:p w14:paraId="44E3B19B" w14:textId="6E216AE3" w:rsidR="004A7446" w:rsidRDefault="004A7446">
      <w:pPr>
        <w:rPr>
          <w:b/>
          <w:color w:val="000000" w:themeColor="text1"/>
        </w:rPr>
      </w:pPr>
    </w:p>
    <w:tbl>
      <w:tblPr>
        <w:tblW w:w="18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BASELINEDATA"/>
      </w:tblPr>
      <w:tblGrid>
        <w:gridCol w:w="1978"/>
        <w:gridCol w:w="1978"/>
      </w:tblGrid>
      <w:tr w:rsidR="00E30D86" w:rsidRPr="00ED172B" w14:paraId="56A556F1" w14:textId="77777777" w:rsidTr="00A40EE1">
        <w:trPr>
          <w:trHeight w:val="170"/>
          <w:tblHeader/>
        </w:trPr>
        <w:tc>
          <w:tcPr>
            <w:tcW w:w="2500" w:type="pct"/>
            <w:tcBorders>
              <w:bottom w:val="single" w:sz="4" w:space="0" w:color="auto"/>
            </w:tcBorders>
            <w:shd w:val="clear" w:color="auto" w:fill="auto"/>
            <w:vAlign w:val="center"/>
          </w:tcPr>
          <w:p w14:paraId="7AD92A1B" w14:textId="33FED7A9" w:rsidR="00E30D86" w:rsidRPr="00A40EE1" w:rsidRDefault="00E30D86" w:rsidP="00C15786">
            <w:pPr>
              <w:jc w:val="center"/>
              <w:rPr>
                <w:b/>
                <w:bCs/>
                <w:color w:val="000000" w:themeColor="text1"/>
              </w:rPr>
            </w:pPr>
            <w:r w:rsidRPr="00A40EE1">
              <w:rPr>
                <w:b/>
                <w:bCs/>
                <w:color w:val="000000" w:themeColor="text1"/>
              </w:rPr>
              <w:t>Baseline Year</w:t>
            </w:r>
          </w:p>
        </w:tc>
        <w:tc>
          <w:tcPr>
            <w:tcW w:w="2500" w:type="pct"/>
            <w:tcBorders>
              <w:top w:val="single" w:sz="4" w:space="0" w:color="auto"/>
              <w:right w:val="single" w:sz="4" w:space="0" w:color="auto"/>
            </w:tcBorders>
            <w:shd w:val="clear" w:color="auto" w:fill="auto"/>
            <w:vAlign w:val="center"/>
          </w:tcPr>
          <w:p w14:paraId="78314817" w14:textId="75CAA5FC" w:rsidR="00E30D86" w:rsidRPr="00A40EE1" w:rsidRDefault="00E30D86" w:rsidP="00C15786">
            <w:pPr>
              <w:jc w:val="center"/>
              <w:rPr>
                <w:b/>
                <w:bCs/>
                <w:color w:val="000000" w:themeColor="text1"/>
              </w:rPr>
            </w:pPr>
            <w:r w:rsidRPr="00A40EE1">
              <w:rPr>
                <w:b/>
                <w:bCs/>
                <w:color w:val="000000" w:themeColor="text1"/>
              </w:rPr>
              <w:t>Baseline Data</w:t>
            </w:r>
          </w:p>
        </w:tc>
      </w:tr>
      <w:tr w:rsidR="00E30D86" w:rsidRPr="00ED172B" w14:paraId="475CC706" w14:textId="77777777" w:rsidTr="00A40EE1">
        <w:trPr>
          <w:trHeight w:val="170"/>
        </w:trPr>
        <w:tc>
          <w:tcPr>
            <w:tcW w:w="2500" w:type="pct"/>
            <w:tcBorders>
              <w:bottom w:val="single" w:sz="4" w:space="0" w:color="auto"/>
            </w:tcBorders>
            <w:shd w:val="clear" w:color="auto" w:fill="auto"/>
            <w:vAlign w:val="center"/>
          </w:tcPr>
          <w:p w14:paraId="2BDEA77F" w14:textId="77777777" w:rsidR="00E30D86" w:rsidRPr="00ED172B" w:rsidRDefault="00E30D86" w:rsidP="00C15786">
            <w:pPr>
              <w:jc w:val="center"/>
              <w:rPr>
                <w:b/>
                <w:color w:val="000000" w:themeColor="text1"/>
              </w:rPr>
            </w:pPr>
            <w:r w:rsidRPr="00ED172B">
              <w:rPr>
                <w:color w:val="000000" w:themeColor="text1"/>
              </w:rPr>
              <w:t>2009</w:t>
            </w:r>
          </w:p>
        </w:tc>
        <w:tc>
          <w:tcPr>
            <w:tcW w:w="2500" w:type="pct"/>
            <w:tcBorders>
              <w:top w:val="single" w:sz="4" w:space="0" w:color="auto"/>
              <w:right w:val="single" w:sz="4" w:space="0" w:color="auto"/>
            </w:tcBorders>
            <w:shd w:val="clear" w:color="auto" w:fill="auto"/>
            <w:vAlign w:val="center"/>
          </w:tcPr>
          <w:p w14:paraId="17CC8BB4" w14:textId="77777777" w:rsidR="00E30D86" w:rsidRPr="00ED172B" w:rsidRDefault="00E30D86" w:rsidP="00C15786">
            <w:pPr>
              <w:jc w:val="center"/>
              <w:rPr>
                <w:b/>
                <w:color w:val="000000" w:themeColor="text1"/>
              </w:rPr>
            </w:pPr>
            <w:r w:rsidRPr="00ED172B">
              <w:rPr>
                <w:color w:val="000000" w:themeColor="text1"/>
              </w:rPr>
              <w:t>2.45%</w:t>
            </w:r>
          </w:p>
        </w:tc>
      </w:tr>
    </w:tbl>
    <w:p w14:paraId="130E6FAB" w14:textId="77777777" w:rsidR="004A7446" w:rsidRPr="00ED172B" w:rsidRDefault="004A7446">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HISTDATA"/>
      </w:tblPr>
      <w:tblGrid>
        <w:gridCol w:w="895"/>
        <w:gridCol w:w="2070"/>
        <w:gridCol w:w="2214"/>
        <w:gridCol w:w="1871"/>
        <w:gridCol w:w="1871"/>
        <w:gridCol w:w="1869"/>
      </w:tblGrid>
      <w:tr w:rsidR="00ED172B" w:rsidRPr="00ED172B" w14:paraId="6AA3204D" w14:textId="77777777" w:rsidTr="00986B99">
        <w:trPr>
          <w:trHeight w:val="260"/>
        </w:trPr>
        <w:tc>
          <w:tcPr>
            <w:tcW w:w="415" w:type="pct"/>
            <w:tcBorders>
              <w:bottom w:val="single" w:sz="4" w:space="0" w:color="auto"/>
            </w:tcBorders>
            <w:shd w:val="clear" w:color="auto" w:fill="auto"/>
          </w:tcPr>
          <w:p w14:paraId="765D4B8A" w14:textId="77777777" w:rsidR="0085799B" w:rsidRPr="00ED172B" w:rsidRDefault="0085799B" w:rsidP="00186420">
            <w:pPr>
              <w:jc w:val="center"/>
              <w:rPr>
                <w:b/>
                <w:color w:val="000000" w:themeColor="text1"/>
                <w:szCs w:val="16"/>
              </w:rPr>
            </w:pPr>
            <w:r w:rsidRPr="00ED172B">
              <w:rPr>
                <w:b/>
                <w:color w:val="000000" w:themeColor="text1"/>
                <w:szCs w:val="16"/>
              </w:rPr>
              <w:t>FFY</w:t>
            </w:r>
          </w:p>
        </w:tc>
        <w:tc>
          <w:tcPr>
            <w:tcW w:w="959" w:type="pct"/>
            <w:shd w:val="clear" w:color="auto" w:fill="auto"/>
            <w:vAlign w:val="center"/>
          </w:tcPr>
          <w:p w14:paraId="7427E7A3" w14:textId="0F2057B6" w:rsidR="0085799B" w:rsidRPr="00ED172B" w:rsidRDefault="002163F2" w:rsidP="00CD79C5">
            <w:pPr>
              <w:jc w:val="center"/>
              <w:rPr>
                <w:b/>
                <w:color w:val="000000" w:themeColor="text1"/>
                <w:szCs w:val="16"/>
              </w:rPr>
            </w:pPr>
            <w:r w:rsidRPr="00ED172B">
              <w:rPr>
                <w:rFonts w:cs="Arial"/>
                <w:b/>
                <w:color w:val="000000" w:themeColor="text1"/>
                <w:szCs w:val="16"/>
              </w:rPr>
              <w:t>2016</w:t>
            </w:r>
          </w:p>
        </w:tc>
        <w:tc>
          <w:tcPr>
            <w:tcW w:w="1026" w:type="pct"/>
            <w:shd w:val="clear" w:color="auto" w:fill="auto"/>
            <w:vAlign w:val="center"/>
          </w:tcPr>
          <w:p w14:paraId="39EE57D2" w14:textId="6D1974D8" w:rsidR="0085799B" w:rsidRPr="00ED172B" w:rsidRDefault="002163F2" w:rsidP="00CD79C5">
            <w:pPr>
              <w:jc w:val="center"/>
              <w:rPr>
                <w:b/>
                <w:color w:val="000000" w:themeColor="text1"/>
                <w:szCs w:val="16"/>
              </w:rPr>
            </w:pPr>
            <w:r w:rsidRPr="00ED172B">
              <w:rPr>
                <w:rFonts w:cs="Arial"/>
                <w:b/>
                <w:color w:val="000000" w:themeColor="text1"/>
                <w:szCs w:val="16"/>
              </w:rPr>
              <w:t>2017</w:t>
            </w:r>
          </w:p>
        </w:tc>
        <w:tc>
          <w:tcPr>
            <w:tcW w:w="867" w:type="pct"/>
            <w:shd w:val="clear" w:color="auto" w:fill="auto"/>
            <w:vAlign w:val="center"/>
          </w:tcPr>
          <w:p w14:paraId="07ABD3A8" w14:textId="775D53FD" w:rsidR="0085799B" w:rsidRPr="00ED172B" w:rsidRDefault="002163F2" w:rsidP="00CD79C5">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65E388A1" w14:textId="63D1B2DC" w:rsidR="0085799B" w:rsidRPr="00ED172B" w:rsidRDefault="002163F2" w:rsidP="00CD79C5">
            <w:pPr>
              <w:jc w:val="center"/>
              <w:rPr>
                <w:b/>
                <w:color w:val="000000" w:themeColor="text1"/>
                <w:szCs w:val="16"/>
              </w:rPr>
            </w:pPr>
            <w:r w:rsidRPr="00ED172B">
              <w:rPr>
                <w:rFonts w:cs="Arial"/>
                <w:b/>
                <w:color w:val="000000" w:themeColor="text1"/>
                <w:szCs w:val="16"/>
              </w:rPr>
              <w:t>2019</w:t>
            </w:r>
          </w:p>
        </w:tc>
        <w:tc>
          <w:tcPr>
            <w:tcW w:w="866" w:type="pct"/>
            <w:shd w:val="clear" w:color="auto" w:fill="auto"/>
            <w:vAlign w:val="center"/>
          </w:tcPr>
          <w:p w14:paraId="64FD75F5" w14:textId="72D6F5D5" w:rsidR="0085799B" w:rsidRPr="00ED172B" w:rsidRDefault="006D43D3" w:rsidP="00CD79C5">
            <w:pPr>
              <w:jc w:val="center"/>
              <w:rPr>
                <w:b/>
                <w:color w:val="000000" w:themeColor="text1"/>
                <w:szCs w:val="16"/>
              </w:rPr>
            </w:pPr>
            <w:r w:rsidRPr="00ED172B">
              <w:rPr>
                <w:rFonts w:cs="Arial"/>
                <w:b/>
                <w:color w:val="000000" w:themeColor="text1"/>
                <w:szCs w:val="16"/>
              </w:rPr>
              <w:t>2020</w:t>
            </w:r>
          </w:p>
        </w:tc>
      </w:tr>
      <w:tr w:rsidR="00ED172B" w:rsidRPr="00ED172B" w14:paraId="06A3AA4A" w14:textId="77777777" w:rsidTr="00986B99">
        <w:trPr>
          <w:trHeight w:val="357"/>
        </w:trPr>
        <w:tc>
          <w:tcPr>
            <w:tcW w:w="415" w:type="pct"/>
            <w:shd w:val="clear" w:color="auto" w:fill="auto"/>
          </w:tcPr>
          <w:p w14:paraId="0F1B242F" w14:textId="0D1F307B" w:rsidR="0085799B" w:rsidRPr="00ED172B" w:rsidRDefault="0085799B" w:rsidP="00B83404">
            <w:pP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1F47DC5E" w14:textId="0093849A" w:rsidR="0085799B" w:rsidRPr="00ED172B" w:rsidRDefault="00860830" w:rsidP="00CD79C5">
            <w:pPr>
              <w:jc w:val="center"/>
              <w:rPr>
                <w:color w:val="000000" w:themeColor="text1"/>
                <w:szCs w:val="16"/>
              </w:rPr>
            </w:pPr>
            <w:r w:rsidRPr="00ED172B">
              <w:rPr>
                <w:rFonts w:cs="Arial"/>
                <w:color w:val="000000" w:themeColor="text1"/>
                <w:szCs w:val="16"/>
              </w:rPr>
              <w:t>2.78%</w:t>
            </w:r>
          </w:p>
        </w:tc>
        <w:tc>
          <w:tcPr>
            <w:tcW w:w="1026" w:type="pct"/>
            <w:shd w:val="clear" w:color="auto" w:fill="auto"/>
            <w:vAlign w:val="center"/>
          </w:tcPr>
          <w:p w14:paraId="22DDCBF4" w14:textId="3652B7FA" w:rsidR="0085799B" w:rsidRPr="00ED172B" w:rsidRDefault="00292265" w:rsidP="00CD79C5">
            <w:pPr>
              <w:jc w:val="center"/>
              <w:rPr>
                <w:color w:val="000000" w:themeColor="text1"/>
                <w:szCs w:val="16"/>
              </w:rPr>
            </w:pPr>
            <w:r w:rsidRPr="00ED172B">
              <w:rPr>
                <w:rFonts w:cs="Arial"/>
                <w:color w:val="000000" w:themeColor="text1"/>
                <w:szCs w:val="16"/>
              </w:rPr>
              <w:t>2.79%</w:t>
            </w:r>
          </w:p>
        </w:tc>
        <w:tc>
          <w:tcPr>
            <w:tcW w:w="867" w:type="pct"/>
            <w:shd w:val="clear" w:color="auto" w:fill="auto"/>
            <w:vAlign w:val="center"/>
          </w:tcPr>
          <w:p w14:paraId="31E62642" w14:textId="1E68B5DC" w:rsidR="0085799B" w:rsidRPr="00ED172B" w:rsidRDefault="00292265" w:rsidP="00CD79C5">
            <w:pPr>
              <w:jc w:val="center"/>
              <w:rPr>
                <w:color w:val="000000" w:themeColor="text1"/>
                <w:szCs w:val="16"/>
              </w:rPr>
            </w:pPr>
            <w:r w:rsidRPr="00ED172B">
              <w:rPr>
                <w:rFonts w:cs="Arial"/>
                <w:color w:val="000000" w:themeColor="text1"/>
                <w:szCs w:val="16"/>
              </w:rPr>
              <w:t>2.80%</w:t>
            </w:r>
          </w:p>
        </w:tc>
        <w:tc>
          <w:tcPr>
            <w:tcW w:w="867" w:type="pct"/>
            <w:shd w:val="clear" w:color="auto" w:fill="auto"/>
            <w:vAlign w:val="center"/>
          </w:tcPr>
          <w:p w14:paraId="65568AEA" w14:textId="3215752A" w:rsidR="0085799B" w:rsidRPr="00ED172B" w:rsidRDefault="00292265" w:rsidP="00CD79C5">
            <w:pPr>
              <w:jc w:val="center"/>
              <w:rPr>
                <w:color w:val="000000" w:themeColor="text1"/>
                <w:szCs w:val="16"/>
              </w:rPr>
            </w:pPr>
            <w:r w:rsidRPr="00ED172B">
              <w:rPr>
                <w:rFonts w:cs="Arial"/>
                <w:color w:val="000000" w:themeColor="text1"/>
                <w:szCs w:val="16"/>
              </w:rPr>
              <w:t>3.00%</w:t>
            </w:r>
          </w:p>
        </w:tc>
        <w:tc>
          <w:tcPr>
            <w:tcW w:w="866" w:type="pct"/>
            <w:shd w:val="clear" w:color="auto" w:fill="auto"/>
            <w:vAlign w:val="center"/>
          </w:tcPr>
          <w:p w14:paraId="441C2426" w14:textId="7C3CA798" w:rsidR="0085799B" w:rsidRPr="00ED172B" w:rsidRDefault="00292265" w:rsidP="00CD79C5">
            <w:pPr>
              <w:jc w:val="center"/>
              <w:rPr>
                <w:color w:val="000000" w:themeColor="text1"/>
                <w:szCs w:val="16"/>
              </w:rPr>
            </w:pPr>
            <w:r w:rsidRPr="00ED172B">
              <w:rPr>
                <w:rFonts w:cs="Arial"/>
                <w:color w:val="000000" w:themeColor="text1"/>
                <w:szCs w:val="16"/>
              </w:rPr>
              <w:t>3.00%</w:t>
            </w:r>
          </w:p>
        </w:tc>
      </w:tr>
      <w:tr w:rsidR="00ED172B" w:rsidRPr="00ED172B" w14:paraId="341885EA" w14:textId="77777777" w:rsidTr="00986B99">
        <w:trPr>
          <w:trHeight w:val="85"/>
        </w:trPr>
        <w:tc>
          <w:tcPr>
            <w:tcW w:w="415" w:type="pct"/>
            <w:shd w:val="clear" w:color="auto" w:fill="auto"/>
          </w:tcPr>
          <w:p w14:paraId="4FC87C40" w14:textId="77777777" w:rsidR="0085799B" w:rsidRPr="00ED172B" w:rsidRDefault="0085799B" w:rsidP="00B83404">
            <w:pPr>
              <w:rPr>
                <w:color w:val="000000" w:themeColor="text1"/>
                <w:szCs w:val="16"/>
              </w:rPr>
            </w:pPr>
            <w:r w:rsidRPr="00ED172B">
              <w:rPr>
                <w:color w:val="000000" w:themeColor="text1"/>
                <w:szCs w:val="16"/>
              </w:rPr>
              <w:t>Data</w:t>
            </w:r>
          </w:p>
        </w:tc>
        <w:tc>
          <w:tcPr>
            <w:tcW w:w="959" w:type="pct"/>
            <w:shd w:val="clear" w:color="auto" w:fill="auto"/>
            <w:vAlign w:val="center"/>
          </w:tcPr>
          <w:p w14:paraId="595372E6" w14:textId="645F6BA6" w:rsidR="0085799B" w:rsidRPr="00ED172B" w:rsidRDefault="00860830" w:rsidP="00CD79C5">
            <w:pPr>
              <w:jc w:val="center"/>
              <w:rPr>
                <w:color w:val="000000" w:themeColor="text1"/>
                <w:szCs w:val="16"/>
              </w:rPr>
            </w:pPr>
            <w:r w:rsidRPr="00ED172B">
              <w:rPr>
                <w:rFonts w:cs="Arial"/>
                <w:color w:val="000000" w:themeColor="text1"/>
                <w:szCs w:val="16"/>
              </w:rPr>
              <w:t>4.82%</w:t>
            </w:r>
          </w:p>
        </w:tc>
        <w:tc>
          <w:tcPr>
            <w:tcW w:w="1026" w:type="pct"/>
            <w:shd w:val="clear" w:color="auto" w:fill="auto"/>
            <w:vAlign w:val="center"/>
          </w:tcPr>
          <w:p w14:paraId="716BBE9D" w14:textId="282D2807" w:rsidR="0085799B" w:rsidRPr="00ED172B" w:rsidRDefault="00860830" w:rsidP="00CD79C5">
            <w:pPr>
              <w:jc w:val="center"/>
              <w:rPr>
                <w:color w:val="000000" w:themeColor="text1"/>
                <w:szCs w:val="16"/>
              </w:rPr>
            </w:pPr>
            <w:r w:rsidRPr="00ED172B">
              <w:rPr>
                <w:rFonts w:cs="Arial"/>
                <w:color w:val="000000" w:themeColor="text1"/>
                <w:szCs w:val="16"/>
              </w:rPr>
              <w:t>4.71%</w:t>
            </w:r>
          </w:p>
        </w:tc>
        <w:tc>
          <w:tcPr>
            <w:tcW w:w="867" w:type="pct"/>
            <w:tcBorders>
              <w:bottom w:val="single" w:sz="4" w:space="0" w:color="auto"/>
            </w:tcBorders>
            <w:shd w:val="clear" w:color="auto" w:fill="auto"/>
            <w:vAlign w:val="center"/>
          </w:tcPr>
          <w:p w14:paraId="4D7C7DCD" w14:textId="37099124" w:rsidR="0085799B" w:rsidRPr="00ED172B" w:rsidRDefault="00860830" w:rsidP="00CD79C5">
            <w:pPr>
              <w:jc w:val="center"/>
              <w:rPr>
                <w:color w:val="000000" w:themeColor="text1"/>
                <w:szCs w:val="16"/>
              </w:rPr>
            </w:pPr>
            <w:r w:rsidRPr="00ED172B">
              <w:rPr>
                <w:rFonts w:cs="Arial"/>
                <w:color w:val="000000" w:themeColor="text1"/>
                <w:szCs w:val="16"/>
              </w:rPr>
              <w:t>5.05%</w:t>
            </w:r>
          </w:p>
        </w:tc>
        <w:tc>
          <w:tcPr>
            <w:tcW w:w="867" w:type="pct"/>
            <w:tcBorders>
              <w:bottom w:val="single" w:sz="4" w:space="0" w:color="auto"/>
            </w:tcBorders>
            <w:shd w:val="clear" w:color="auto" w:fill="auto"/>
            <w:vAlign w:val="center"/>
          </w:tcPr>
          <w:p w14:paraId="3BF3098C" w14:textId="188C4AF7" w:rsidR="0085799B" w:rsidRPr="00ED172B" w:rsidRDefault="00860830" w:rsidP="00CD79C5">
            <w:pPr>
              <w:jc w:val="center"/>
              <w:rPr>
                <w:color w:val="000000" w:themeColor="text1"/>
                <w:szCs w:val="16"/>
              </w:rPr>
            </w:pPr>
            <w:r w:rsidRPr="00ED172B">
              <w:rPr>
                <w:rFonts w:cs="Arial"/>
                <w:color w:val="000000" w:themeColor="text1"/>
                <w:szCs w:val="16"/>
              </w:rPr>
              <w:t>4.97%</w:t>
            </w:r>
          </w:p>
        </w:tc>
        <w:tc>
          <w:tcPr>
            <w:tcW w:w="866" w:type="pct"/>
            <w:tcBorders>
              <w:bottom w:val="single" w:sz="4" w:space="0" w:color="auto"/>
            </w:tcBorders>
            <w:shd w:val="clear" w:color="auto" w:fill="auto"/>
            <w:vAlign w:val="center"/>
          </w:tcPr>
          <w:p w14:paraId="75C22529" w14:textId="6C0AD871" w:rsidR="0085799B" w:rsidRPr="00ED172B" w:rsidRDefault="00860830" w:rsidP="00CD79C5">
            <w:pPr>
              <w:jc w:val="center"/>
              <w:rPr>
                <w:color w:val="000000" w:themeColor="text1"/>
                <w:szCs w:val="16"/>
              </w:rPr>
            </w:pPr>
            <w:r w:rsidRPr="00ED172B">
              <w:rPr>
                <w:rFonts w:cs="Arial"/>
                <w:color w:val="000000" w:themeColor="text1"/>
                <w:szCs w:val="16"/>
              </w:rPr>
              <w:t>4.66%</w:t>
            </w:r>
          </w:p>
        </w:tc>
      </w:tr>
    </w:tbl>
    <w:p w14:paraId="2BD62AC4" w14:textId="77777777" w:rsidR="0085799B" w:rsidRPr="00ED172B" w:rsidRDefault="0085799B">
      <w:pPr>
        <w:rPr>
          <w:b/>
          <w:color w:val="000000" w:themeColor="text1"/>
        </w:rPr>
      </w:pPr>
      <w:r w:rsidRPr="00ED172B">
        <w:rPr>
          <w:b/>
          <w:color w:val="000000" w:themeColor="text1"/>
        </w:rPr>
        <w:t>Targets</w:t>
      </w:r>
    </w:p>
    <w:tbl>
      <w:tblPr>
        <w:tblW w:w="43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TARGETS"/>
      </w:tblPr>
      <w:tblGrid>
        <w:gridCol w:w="897"/>
        <w:gridCol w:w="2206"/>
        <w:gridCol w:w="1549"/>
        <w:gridCol w:w="1549"/>
        <w:gridCol w:w="1549"/>
        <w:gridCol w:w="1549"/>
      </w:tblGrid>
      <w:tr w:rsidR="009E2382" w:rsidRPr="00ED172B" w14:paraId="74AFA9B9" w14:textId="3E825C5D" w:rsidTr="006B0ACA">
        <w:trPr>
          <w:trHeight w:val="116"/>
        </w:trPr>
        <w:tc>
          <w:tcPr>
            <w:tcW w:w="482" w:type="pct"/>
            <w:tcBorders>
              <w:bottom w:val="single" w:sz="4" w:space="0" w:color="auto"/>
            </w:tcBorders>
            <w:shd w:val="clear" w:color="auto" w:fill="auto"/>
          </w:tcPr>
          <w:p w14:paraId="523362FD" w14:textId="77777777" w:rsidR="009E2382" w:rsidRPr="00ED172B" w:rsidRDefault="009E2382" w:rsidP="006B2FE9">
            <w:pPr>
              <w:jc w:val="center"/>
              <w:rPr>
                <w:b/>
                <w:color w:val="000000" w:themeColor="text1"/>
                <w:szCs w:val="16"/>
              </w:rPr>
            </w:pPr>
            <w:r w:rsidRPr="00ED172B">
              <w:rPr>
                <w:b/>
                <w:color w:val="000000" w:themeColor="text1"/>
                <w:szCs w:val="16"/>
              </w:rPr>
              <w:t>FFY</w:t>
            </w:r>
          </w:p>
        </w:tc>
        <w:tc>
          <w:tcPr>
            <w:tcW w:w="1186" w:type="pct"/>
            <w:shd w:val="clear" w:color="auto" w:fill="auto"/>
            <w:vAlign w:val="center"/>
          </w:tcPr>
          <w:p w14:paraId="1869702F" w14:textId="32C21C20" w:rsidR="009E2382" w:rsidRPr="00ED172B" w:rsidRDefault="009E2382" w:rsidP="006B2FE9">
            <w:pPr>
              <w:jc w:val="center"/>
              <w:rPr>
                <w:b/>
                <w:color w:val="000000" w:themeColor="text1"/>
                <w:szCs w:val="16"/>
              </w:rPr>
            </w:pPr>
            <w:r w:rsidRPr="00ED172B">
              <w:rPr>
                <w:rFonts w:cs="Arial"/>
                <w:b/>
                <w:color w:val="000000" w:themeColor="text1"/>
                <w:szCs w:val="16"/>
              </w:rPr>
              <w:t>2021</w:t>
            </w:r>
          </w:p>
        </w:tc>
        <w:tc>
          <w:tcPr>
            <w:tcW w:w="833" w:type="pct"/>
          </w:tcPr>
          <w:p w14:paraId="1E994EDB" w14:textId="1B6309A9" w:rsidR="009E2382" w:rsidRPr="00ED172B" w:rsidRDefault="009E2382" w:rsidP="006B2FE9">
            <w:pPr>
              <w:jc w:val="center"/>
              <w:rPr>
                <w:rFonts w:cs="Arial"/>
                <w:b/>
                <w:color w:val="000000" w:themeColor="text1"/>
                <w:szCs w:val="16"/>
              </w:rPr>
            </w:pPr>
            <w:r>
              <w:rPr>
                <w:rFonts w:cs="Arial"/>
                <w:b/>
                <w:color w:val="000000" w:themeColor="text1"/>
                <w:szCs w:val="16"/>
              </w:rPr>
              <w:t>2022</w:t>
            </w:r>
          </w:p>
        </w:tc>
        <w:tc>
          <w:tcPr>
            <w:tcW w:w="833" w:type="pct"/>
          </w:tcPr>
          <w:p w14:paraId="7A72E812" w14:textId="41764C05" w:rsidR="009E2382" w:rsidRPr="00ED172B" w:rsidRDefault="009E2382" w:rsidP="006B2FE9">
            <w:pPr>
              <w:jc w:val="center"/>
              <w:rPr>
                <w:rFonts w:cs="Arial"/>
                <w:b/>
                <w:color w:val="000000" w:themeColor="text1"/>
                <w:szCs w:val="16"/>
              </w:rPr>
            </w:pPr>
            <w:r w:rsidRPr="005A1B4F">
              <w:rPr>
                <w:rFonts w:cs="Arial"/>
                <w:b/>
                <w:color w:val="000000" w:themeColor="text1"/>
                <w:szCs w:val="16"/>
              </w:rPr>
              <w:t>2023</w:t>
            </w:r>
          </w:p>
        </w:tc>
        <w:tc>
          <w:tcPr>
            <w:tcW w:w="833" w:type="pct"/>
          </w:tcPr>
          <w:p w14:paraId="253DE371" w14:textId="724F3B6C" w:rsidR="009E2382" w:rsidRPr="00ED172B" w:rsidRDefault="009E2382" w:rsidP="006B2FE9">
            <w:pPr>
              <w:jc w:val="center"/>
              <w:rPr>
                <w:rFonts w:cs="Arial"/>
                <w:b/>
                <w:color w:val="000000" w:themeColor="text1"/>
                <w:szCs w:val="16"/>
              </w:rPr>
            </w:pPr>
            <w:r w:rsidRPr="005A1B4F">
              <w:rPr>
                <w:rFonts w:cs="Arial"/>
                <w:b/>
                <w:color w:val="000000" w:themeColor="text1"/>
                <w:szCs w:val="16"/>
              </w:rPr>
              <w:t>2024</w:t>
            </w:r>
          </w:p>
        </w:tc>
        <w:tc>
          <w:tcPr>
            <w:tcW w:w="833" w:type="pct"/>
          </w:tcPr>
          <w:p w14:paraId="524B24EA" w14:textId="64A795BE" w:rsidR="009E2382" w:rsidRPr="00ED172B" w:rsidRDefault="009E2382" w:rsidP="006B2FE9">
            <w:pPr>
              <w:jc w:val="center"/>
              <w:rPr>
                <w:rFonts w:cs="Arial"/>
                <w:b/>
                <w:color w:val="000000" w:themeColor="text1"/>
                <w:szCs w:val="16"/>
              </w:rPr>
            </w:pPr>
            <w:r w:rsidRPr="005A1B4F">
              <w:rPr>
                <w:rFonts w:cs="Arial"/>
                <w:b/>
                <w:color w:val="000000" w:themeColor="text1"/>
                <w:szCs w:val="16"/>
              </w:rPr>
              <w:t>2025</w:t>
            </w:r>
          </w:p>
        </w:tc>
      </w:tr>
      <w:tr w:rsidR="009E2382" w:rsidRPr="00ED172B" w14:paraId="0186A9C7" w14:textId="618C48DC" w:rsidTr="006B0ACA">
        <w:trPr>
          <w:trHeight w:val="47"/>
        </w:trPr>
        <w:tc>
          <w:tcPr>
            <w:tcW w:w="482" w:type="pct"/>
            <w:shd w:val="clear" w:color="auto" w:fill="auto"/>
          </w:tcPr>
          <w:p w14:paraId="120F223C" w14:textId="3DF65C2B" w:rsidR="009E2382" w:rsidRPr="00ED172B" w:rsidRDefault="009E2382" w:rsidP="006B2FE9">
            <w:pP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1186" w:type="pct"/>
            <w:shd w:val="clear" w:color="auto" w:fill="auto"/>
            <w:vAlign w:val="center"/>
          </w:tcPr>
          <w:p w14:paraId="69A10D5E" w14:textId="2F3AB178" w:rsidR="009E2382" w:rsidRPr="00ED172B" w:rsidRDefault="009E2382" w:rsidP="006B2FE9">
            <w:pPr>
              <w:jc w:val="center"/>
              <w:rPr>
                <w:color w:val="000000" w:themeColor="text1"/>
              </w:rPr>
            </w:pPr>
            <w:r w:rsidRPr="00ED172B">
              <w:rPr>
                <w:color w:val="000000" w:themeColor="text1"/>
              </w:rPr>
              <w:t>3.00%</w:t>
            </w:r>
          </w:p>
        </w:tc>
        <w:tc>
          <w:tcPr>
            <w:tcW w:w="833" w:type="pct"/>
          </w:tcPr>
          <w:p w14:paraId="712AD20E" w14:textId="70001C50" w:rsidR="009E2382" w:rsidRPr="00ED172B" w:rsidRDefault="009E2382" w:rsidP="006B2FE9">
            <w:pPr>
              <w:jc w:val="center"/>
              <w:rPr>
                <w:color w:val="000000" w:themeColor="text1"/>
              </w:rPr>
            </w:pPr>
            <w:r>
              <w:rPr>
                <w:rFonts w:cs="Arial"/>
                <w:color w:val="000000" w:themeColor="text1"/>
                <w:szCs w:val="16"/>
              </w:rPr>
              <w:t>3.00%</w:t>
            </w:r>
          </w:p>
        </w:tc>
        <w:tc>
          <w:tcPr>
            <w:tcW w:w="833" w:type="pct"/>
          </w:tcPr>
          <w:p w14:paraId="12C95701" w14:textId="02635F0F" w:rsidR="009E2382" w:rsidRPr="00ED172B" w:rsidRDefault="009E2382" w:rsidP="006B2FE9">
            <w:pPr>
              <w:jc w:val="center"/>
              <w:rPr>
                <w:color w:val="000000" w:themeColor="text1"/>
              </w:rPr>
            </w:pPr>
            <w:r w:rsidRPr="005F5F3C">
              <w:rPr>
                <w:rFonts w:cs="Arial"/>
                <w:color w:val="000000" w:themeColor="text1"/>
                <w:szCs w:val="16"/>
              </w:rPr>
              <w:t>3.00%</w:t>
            </w:r>
          </w:p>
        </w:tc>
        <w:tc>
          <w:tcPr>
            <w:tcW w:w="833" w:type="pct"/>
          </w:tcPr>
          <w:p w14:paraId="511B74D7" w14:textId="61EB56D0" w:rsidR="009E2382" w:rsidRPr="00ED172B" w:rsidRDefault="009E2382" w:rsidP="006B2FE9">
            <w:pPr>
              <w:jc w:val="center"/>
              <w:rPr>
                <w:color w:val="000000" w:themeColor="text1"/>
              </w:rPr>
            </w:pPr>
            <w:r w:rsidRPr="005F5F3C">
              <w:rPr>
                <w:rFonts w:cs="Arial"/>
                <w:color w:val="000000" w:themeColor="text1"/>
                <w:szCs w:val="16"/>
              </w:rPr>
              <w:t>3.00%</w:t>
            </w:r>
          </w:p>
        </w:tc>
        <w:tc>
          <w:tcPr>
            <w:tcW w:w="833" w:type="pct"/>
          </w:tcPr>
          <w:p w14:paraId="255E2DC7" w14:textId="373124BC" w:rsidR="009E2382" w:rsidRPr="00ED172B" w:rsidRDefault="009E2382" w:rsidP="006B2FE9">
            <w:pPr>
              <w:jc w:val="center"/>
              <w:rPr>
                <w:color w:val="000000" w:themeColor="text1"/>
              </w:rPr>
            </w:pPr>
            <w:r w:rsidRPr="005F5F3C">
              <w:rPr>
                <w:rFonts w:cs="Arial"/>
                <w:color w:val="000000" w:themeColor="text1"/>
                <w:szCs w:val="16"/>
              </w:rPr>
              <w:t>3.00%</w:t>
            </w:r>
          </w:p>
        </w:tc>
      </w:tr>
    </w:tbl>
    <w:bookmarkEnd w:id="34"/>
    <w:bookmarkEnd w:id="35"/>
    <w:p w14:paraId="6C92A891" w14:textId="13D24163" w:rsidR="00F80C9C" w:rsidRDefault="00F80C9C" w:rsidP="00F80C9C">
      <w:pPr>
        <w:pStyle w:val="Bold"/>
        <w:rPr>
          <w:color w:val="000000" w:themeColor="text1"/>
        </w:rPr>
      </w:pPr>
      <w:r w:rsidRPr="00ED172B">
        <w:rPr>
          <w:color w:val="000000" w:themeColor="text1"/>
        </w:rPr>
        <w:t xml:space="preserve">Targets: Description of Stakeholder Input </w:t>
      </w:r>
    </w:p>
    <w:p w14:paraId="564577F9" w14:textId="64F68B2E" w:rsidR="0053197E" w:rsidRDefault="00CF03E0" w:rsidP="00ED172B">
      <w:pPr>
        <w:rPr>
          <w:color w:val="000000" w:themeColor="text1"/>
        </w:rPr>
      </w:pPr>
      <w:r w:rsidRPr="00ED172B">
        <w:rPr>
          <w:color w:val="000000" w:themeColor="text1"/>
        </w:rPr>
        <w:t>MA-C collaborates closely with other State agencies on a variety of issues related to the early childhood system of care and the Part C system, including the Department of Elementary and Secondary Education (DESE), Purchase of Services Office (POS), the Office of Health Equity (OHE), the Division of Medical Assistance (MassHealth), the Department of Early Education and Care (EEC), the Office for the Child Advocate (OCA), the Division of Insurance (DOI), the Massachusetts Maternal, Infant, and Early Childhood Home Visiting team (MassMIECHV), the Early Intervention Parenting Partnerships (EIPP), the Massachusetts Autism Commission (MAC), Massachusetts Child Psychiatry Access Project (MCPAP), and the and the Department of Mental Health (DMH). Most of these agencies are represented on the State Interagency Coordinating Council (ICC).</w:t>
        <w:br/>
        <w:t/>
        <w:br/>
        <w:t>This Annual Performance Report (APR) was developed with broad stakeholder input. At a State Interagency Coordinating Council (ICC) meeting in January 2023, the members reviewed results from FFY21 (7/1/21-6/30/22) for each indicator. Drafts were also shared with staff from the Early Childhood Technical Assistance Center (ECTA), who reviewed and provided initial feedback and guidance. On January 24, 2023, the ICC co-chairs adopted the APR as in lieu of submitting its own report, fulfilling the State Interagency Coordinating Council's obligations to report to the U.S. Department of Education for FFY21.</w:t>
      </w:r>
    </w:p>
    <w:p w14:paraId="50D1A7E1" w14:textId="184B178A" w:rsidR="00A2772B" w:rsidRPr="00ED172B" w:rsidRDefault="00A2772B" w:rsidP="00F80C9C">
      <w:pPr>
        <w:pStyle w:val="Bold"/>
        <w:rPr>
          <w:b w:val="0"/>
          <w:color w:val="000000" w:themeColor="text1"/>
        </w:rPr>
      </w:pPr>
      <w:r w:rsidRPr="00ED172B">
        <w:rPr>
          <w:rFonts w:cs="Arial"/>
          <w:b w:val="0"/>
          <w:color w:val="000000" w:themeColor="text1"/>
          <w:szCs w:val="16"/>
        </w:rPr>
        <w:t/>
      </w:r>
    </w:p>
    <w:p w14:paraId="2C3700F9" w14:textId="77777777" w:rsidR="005918D1" w:rsidRPr="00ED172B" w:rsidRDefault="005918D1">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PREPOPDATA"/>
      </w:tblPr>
      <w:tblGrid>
        <w:gridCol w:w="2874"/>
        <w:gridCol w:w="3332"/>
        <w:gridCol w:w="2879"/>
        <w:gridCol w:w="1705"/>
      </w:tblGrid>
      <w:tr w:rsidR="00ED172B" w:rsidRPr="00ED172B" w14:paraId="0B010B04" w14:textId="77777777" w:rsidTr="00986B99">
        <w:trPr>
          <w:trHeight w:val="233"/>
          <w:tblHeader/>
        </w:trPr>
        <w:tc>
          <w:tcPr>
            <w:tcW w:w="1332" w:type="pct"/>
            <w:shd w:val="clear" w:color="auto" w:fill="auto"/>
          </w:tcPr>
          <w:p w14:paraId="552D1A8F"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Source</w:t>
            </w:r>
          </w:p>
        </w:tc>
        <w:tc>
          <w:tcPr>
            <w:tcW w:w="1544" w:type="pct"/>
            <w:shd w:val="clear" w:color="auto" w:fill="auto"/>
          </w:tcPr>
          <w:p w14:paraId="3E60D271"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Date</w:t>
            </w:r>
          </w:p>
        </w:tc>
        <w:tc>
          <w:tcPr>
            <w:tcW w:w="1334" w:type="pct"/>
            <w:shd w:val="clear" w:color="auto" w:fill="auto"/>
          </w:tcPr>
          <w:p w14:paraId="237601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0124A482" w14:textId="77777777" w:rsidR="00815A6D" w:rsidRPr="00ED172B" w:rsidRDefault="00815A6D" w:rsidP="00F90BF8">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671BDF4C" w14:textId="77777777" w:rsidTr="00986B99">
        <w:trPr>
          <w:trHeight w:val="380"/>
        </w:trPr>
        <w:tc>
          <w:tcPr>
            <w:tcW w:w="1332" w:type="pct"/>
            <w:shd w:val="clear" w:color="auto" w:fill="auto"/>
          </w:tcPr>
          <w:p w14:paraId="421054C5" w14:textId="1E915927" w:rsidR="000709B9" w:rsidRPr="00ED172B" w:rsidRDefault="00753E04" w:rsidP="000709B9">
            <w:pPr>
              <w:jc w:val="center"/>
              <w:rPr>
                <w:rFonts w:cs="Arial"/>
                <w:color w:val="000000" w:themeColor="text1"/>
                <w:szCs w:val="16"/>
              </w:rPr>
            </w:pPr>
            <w:r w:rsidRPr="00ED172B">
              <w:rPr>
                <w:rFonts w:cs="Arial"/>
                <w:color w:val="000000" w:themeColor="text1"/>
                <w:szCs w:val="16"/>
              </w:rPr>
              <w:t>SY 2021-22 EMAPS IDEA Part C Child Count and Settings Survey; Section A: Child Count and Settings by Age</w:t>
            </w:r>
          </w:p>
        </w:tc>
        <w:tc>
          <w:tcPr>
            <w:tcW w:w="1544" w:type="pct"/>
            <w:shd w:val="clear" w:color="auto" w:fill="auto"/>
          </w:tcPr>
          <w:p w14:paraId="0790EBE0" w14:textId="3F6DEC47" w:rsidR="000709B9" w:rsidRPr="00ED172B" w:rsidRDefault="00753E04" w:rsidP="000709B9">
            <w:pPr>
              <w:jc w:val="center"/>
              <w:rPr>
                <w:rFonts w:cs="Arial"/>
                <w:color w:val="000000" w:themeColor="text1"/>
                <w:szCs w:val="16"/>
              </w:rPr>
            </w:pPr>
            <w:r w:rsidRPr="00ED172B">
              <w:rPr>
                <w:rFonts w:cs="Arial"/>
                <w:color w:val="000000" w:themeColor="text1"/>
                <w:szCs w:val="16"/>
              </w:rPr>
              <w:t>07/06/2022</w:t>
            </w:r>
          </w:p>
        </w:tc>
        <w:tc>
          <w:tcPr>
            <w:tcW w:w="1334" w:type="pct"/>
            <w:shd w:val="clear" w:color="auto" w:fill="auto"/>
          </w:tcPr>
          <w:p w14:paraId="5DB5AFD6" w14:textId="50B3434B" w:rsidR="000709B9" w:rsidRPr="00ED172B" w:rsidRDefault="000709B9" w:rsidP="000709B9">
            <w:pPr>
              <w:jc w:val="center"/>
              <w:rPr>
                <w:rFonts w:cs="Arial"/>
                <w:color w:val="000000" w:themeColor="text1"/>
                <w:szCs w:val="16"/>
              </w:rPr>
            </w:pPr>
            <w:r w:rsidRPr="00ED172B">
              <w:rPr>
                <w:rFonts w:cs="Arial"/>
                <w:color w:val="000000" w:themeColor="text1"/>
                <w:szCs w:val="16"/>
              </w:rPr>
              <w:t>Number of infants and toddlers birth to 1 with IFSPs</w:t>
            </w:r>
          </w:p>
        </w:tc>
        <w:tc>
          <w:tcPr>
            <w:tcW w:w="791" w:type="pct"/>
            <w:shd w:val="clear" w:color="auto" w:fill="auto"/>
          </w:tcPr>
          <w:p w14:paraId="1E279F2D" w14:textId="0E5C0687" w:rsidR="000709B9" w:rsidRPr="00ED172B" w:rsidRDefault="00860830" w:rsidP="000709B9">
            <w:pPr>
              <w:jc w:val="center"/>
              <w:rPr>
                <w:rFonts w:cs="Arial"/>
                <w:color w:val="000000" w:themeColor="text1"/>
                <w:szCs w:val="16"/>
              </w:rPr>
            </w:pPr>
            <w:r w:rsidRPr="00ED172B">
              <w:rPr>
                <w:color w:val="000000" w:themeColor="text1"/>
                <w:szCs w:val="16"/>
              </w:rPr>
              <w:t>2,767</w:t>
            </w:r>
          </w:p>
        </w:tc>
      </w:tr>
      <w:tr w:rsidR="00ED172B" w:rsidRPr="00ED172B" w14:paraId="189CFC15" w14:textId="77777777" w:rsidTr="00986B99">
        <w:trPr>
          <w:trHeight w:val="380"/>
        </w:trPr>
        <w:tc>
          <w:tcPr>
            <w:tcW w:w="1332" w:type="pct"/>
            <w:shd w:val="clear" w:color="auto" w:fill="auto"/>
          </w:tcPr>
          <w:p w14:paraId="335264B7" w14:textId="790A9EE8"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2021</w:t>
            </w:r>
          </w:p>
        </w:tc>
        <w:tc>
          <w:tcPr>
            <w:tcW w:w="1544" w:type="pct"/>
            <w:shd w:val="clear" w:color="auto" w:fill="auto"/>
          </w:tcPr>
          <w:p w14:paraId="7AEE8EDA" w14:textId="424A4217" w:rsidR="000709B9" w:rsidRPr="00ED172B" w:rsidRDefault="00753E04" w:rsidP="000709B9">
            <w:pPr>
              <w:jc w:val="center"/>
              <w:rPr>
                <w:rFonts w:cs="Arial"/>
                <w:color w:val="000000" w:themeColor="text1"/>
                <w:szCs w:val="16"/>
              </w:rPr>
            </w:pPr>
            <w:r w:rsidRPr="00ED172B">
              <w:rPr>
                <w:rFonts w:cs="Arial"/>
                <w:color w:val="000000" w:themeColor="text1"/>
                <w:szCs w:val="16"/>
                <w:shd w:val="clear" w:color="auto" w:fill="FFFFFF"/>
              </w:rPr>
              <w:t>06/28/2022</w:t>
            </w:r>
          </w:p>
        </w:tc>
        <w:tc>
          <w:tcPr>
            <w:tcW w:w="1334" w:type="pct"/>
            <w:shd w:val="clear" w:color="auto" w:fill="auto"/>
          </w:tcPr>
          <w:p w14:paraId="2CEB4140" w14:textId="39C790A3" w:rsidR="000709B9" w:rsidRPr="00ED172B" w:rsidRDefault="000709B9" w:rsidP="000709B9">
            <w:pPr>
              <w:jc w:val="center"/>
              <w:rPr>
                <w:rFonts w:cs="Arial"/>
                <w:color w:val="000000" w:themeColor="text1"/>
                <w:szCs w:val="16"/>
              </w:rPr>
            </w:pPr>
            <w:r w:rsidRPr="00ED172B">
              <w:rPr>
                <w:rFonts w:cs="Arial"/>
                <w:color w:val="000000" w:themeColor="text1"/>
                <w:szCs w:val="16"/>
              </w:rPr>
              <w:t>Population of infants and toddlers birth to 1</w:t>
            </w:r>
          </w:p>
        </w:tc>
        <w:tc>
          <w:tcPr>
            <w:tcW w:w="791" w:type="pct"/>
            <w:shd w:val="clear" w:color="auto" w:fill="auto"/>
          </w:tcPr>
          <w:p w14:paraId="5832F80F" w14:textId="08624C1E" w:rsidR="000709B9" w:rsidRPr="00ED172B" w:rsidRDefault="00860830" w:rsidP="000709B9">
            <w:pPr>
              <w:jc w:val="center"/>
              <w:rPr>
                <w:rFonts w:cs="Arial"/>
                <w:color w:val="000000" w:themeColor="text1"/>
                <w:szCs w:val="16"/>
              </w:rPr>
            </w:pPr>
            <w:r w:rsidRPr="00ED172B">
              <w:rPr>
                <w:color w:val="000000" w:themeColor="text1"/>
                <w:szCs w:val="16"/>
              </w:rPr>
              <w:t>66,368</w:t>
            </w:r>
          </w:p>
        </w:tc>
      </w:tr>
    </w:tbl>
    <w:p w14:paraId="10606B16" w14:textId="42145355" w:rsidR="005918D1" w:rsidRPr="00ED172B" w:rsidRDefault="00F22D09">
      <w:pPr>
        <w:rPr>
          <w:b/>
          <w:color w:val="000000" w:themeColor="text1"/>
        </w:rPr>
      </w:pPr>
      <w:r>
        <w:rPr>
          <w:b/>
          <w:color w:val="000000" w:themeColor="text1"/>
        </w:rPr>
        <w:t>FFY 2021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5FFYAPRDATA"/>
      </w:tblPr>
      <w:tblGrid>
        <w:gridCol w:w="2610"/>
        <w:gridCol w:w="1982"/>
        <w:gridCol w:w="1442"/>
        <w:gridCol w:w="1349"/>
        <w:gridCol w:w="1170"/>
        <w:gridCol w:w="1170"/>
        <w:gridCol w:w="1071"/>
      </w:tblGrid>
      <w:tr w:rsidR="00ED172B" w:rsidRPr="00ED172B" w14:paraId="46554450" w14:textId="77777777" w:rsidTr="00986B99">
        <w:trPr>
          <w:trHeight w:val="359"/>
          <w:tblHeader/>
        </w:trPr>
        <w:tc>
          <w:tcPr>
            <w:tcW w:w="1209" w:type="pct"/>
            <w:shd w:val="clear" w:color="auto" w:fill="auto"/>
            <w:vAlign w:val="bottom"/>
          </w:tcPr>
          <w:p w14:paraId="5DF8D6E6" w14:textId="41F8047A"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1 with IFSPs</w:t>
            </w:r>
          </w:p>
        </w:tc>
        <w:tc>
          <w:tcPr>
            <w:tcW w:w="918" w:type="pct"/>
            <w:shd w:val="clear" w:color="auto" w:fill="auto"/>
            <w:vAlign w:val="bottom"/>
          </w:tcPr>
          <w:p w14:paraId="2C3A0A23" w14:textId="3E5E0C91"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1</w:t>
            </w:r>
          </w:p>
        </w:tc>
        <w:tc>
          <w:tcPr>
            <w:tcW w:w="668" w:type="pct"/>
            <w:shd w:val="clear" w:color="auto" w:fill="auto"/>
            <w:vAlign w:val="bottom"/>
          </w:tcPr>
          <w:p w14:paraId="49A3AF77" w14:textId="20CDB69A" w:rsidR="00967D30" w:rsidRPr="00ED172B" w:rsidRDefault="00CD74B5" w:rsidP="00967D30">
            <w:pPr>
              <w:jc w:val="center"/>
              <w:rPr>
                <w:rFonts w:cs="Arial"/>
                <w:b/>
                <w:color w:val="000000" w:themeColor="text1"/>
                <w:szCs w:val="16"/>
              </w:rPr>
            </w:pPr>
            <w:r>
              <w:rPr>
                <w:rFonts w:cs="Arial"/>
                <w:b/>
                <w:color w:val="000000" w:themeColor="text1"/>
                <w:szCs w:val="16"/>
              </w:rPr>
              <w:t>FFY 2020 Data</w:t>
            </w:r>
          </w:p>
        </w:tc>
        <w:tc>
          <w:tcPr>
            <w:tcW w:w="625" w:type="pct"/>
            <w:shd w:val="clear" w:color="auto" w:fill="auto"/>
            <w:vAlign w:val="bottom"/>
          </w:tcPr>
          <w:p w14:paraId="278F3E66" w14:textId="0EE2F9CE" w:rsidR="00967D30" w:rsidRPr="00ED172B" w:rsidRDefault="00F22D09" w:rsidP="00967D30">
            <w:pPr>
              <w:jc w:val="center"/>
              <w:rPr>
                <w:rFonts w:cs="Arial"/>
                <w:b/>
                <w:color w:val="000000" w:themeColor="text1"/>
                <w:szCs w:val="16"/>
              </w:rPr>
            </w:pPr>
            <w:r>
              <w:rPr>
                <w:rFonts w:cs="Arial"/>
                <w:b/>
                <w:color w:val="000000" w:themeColor="text1"/>
                <w:szCs w:val="16"/>
              </w:rPr>
              <w:t>FFY 2021 Target</w:t>
            </w:r>
          </w:p>
        </w:tc>
        <w:tc>
          <w:tcPr>
            <w:tcW w:w="542" w:type="pct"/>
            <w:shd w:val="clear" w:color="auto" w:fill="auto"/>
            <w:vAlign w:val="bottom"/>
          </w:tcPr>
          <w:p w14:paraId="3D59A48C" w14:textId="34960EBB" w:rsidR="00967D30" w:rsidRPr="00ED172B" w:rsidRDefault="00F22D09" w:rsidP="00967D30">
            <w:pPr>
              <w:jc w:val="center"/>
              <w:rPr>
                <w:rFonts w:cs="Arial"/>
                <w:b/>
                <w:color w:val="000000" w:themeColor="text1"/>
                <w:szCs w:val="16"/>
              </w:rPr>
            </w:pPr>
            <w:r>
              <w:rPr>
                <w:rFonts w:cs="Arial"/>
                <w:b/>
                <w:color w:val="000000" w:themeColor="text1"/>
                <w:szCs w:val="16"/>
              </w:rPr>
              <w:t>FFY 2021 Data</w:t>
            </w:r>
          </w:p>
        </w:tc>
        <w:tc>
          <w:tcPr>
            <w:tcW w:w="542" w:type="pct"/>
            <w:shd w:val="clear" w:color="auto" w:fill="auto"/>
            <w:vAlign w:val="bottom"/>
          </w:tcPr>
          <w:p w14:paraId="330A725E"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496" w:type="pct"/>
            <w:shd w:val="clear" w:color="auto" w:fill="auto"/>
            <w:vAlign w:val="bottom"/>
          </w:tcPr>
          <w:p w14:paraId="32D23C04"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0D71FF0D" w14:textId="77777777" w:rsidTr="00986B99">
        <w:trPr>
          <w:trHeight w:val="366"/>
        </w:trPr>
        <w:tc>
          <w:tcPr>
            <w:tcW w:w="1209" w:type="pct"/>
            <w:shd w:val="clear" w:color="auto" w:fill="auto"/>
            <w:vAlign w:val="center"/>
          </w:tcPr>
          <w:p w14:paraId="502A8941" w14:textId="17070B3F" w:rsidR="00D3555C" w:rsidRPr="00ED172B" w:rsidRDefault="00860830" w:rsidP="00D3555C">
            <w:pPr>
              <w:jc w:val="center"/>
              <w:rPr>
                <w:rFonts w:cs="Arial"/>
                <w:color w:val="000000" w:themeColor="text1"/>
                <w:szCs w:val="16"/>
              </w:rPr>
            </w:pPr>
            <w:r w:rsidRPr="00ED172B">
              <w:rPr>
                <w:color w:val="000000" w:themeColor="text1"/>
                <w:szCs w:val="16"/>
              </w:rPr>
              <w:t>2,767</w:t>
            </w:r>
          </w:p>
        </w:tc>
        <w:tc>
          <w:tcPr>
            <w:tcW w:w="918" w:type="pct"/>
            <w:shd w:val="clear" w:color="auto" w:fill="auto"/>
            <w:vAlign w:val="center"/>
          </w:tcPr>
          <w:p w14:paraId="0AE05470" w14:textId="30D6181E" w:rsidR="00D3555C" w:rsidRPr="00ED172B" w:rsidRDefault="00860830" w:rsidP="00D3555C">
            <w:pPr>
              <w:jc w:val="center"/>
              <w:rPr>
                <w:rFonts w:cs="Arial"/>
                <w:color w:val="000000" w:themeColor="text1"/>
                <w:szCs w:val="16"/>
              </w:rPr>
            </w:pPr>
            <w:r w:rsidRPr="00ED172B">
              <w:rPr>
                <w:color w:val="000000" w:themeColor="text1"/>
                <w:szCs w:val="16"/>
              </w:rPr>
              <w:t>66,368</w:t>
            </w:r>
          </w:p>
        </w:tc>
        <w:tc>
          <w:tcPr>
            <w:tcW w:w="668" w:type="pct"/>
            <w:shd w:val="clear" w:color="auto" w:fill="auto"/>
            <w:vAlign w:val="center"/>
          </w:tcPr>
          <w:p w14:paraId="5B140DA6" w14:textId="54F7435B" w:rsidR="00D3555C" w:rsidRPr="00ED172B" w:rsidRDefault="00860830" w:rsidP="00D3555C">
            <w:pPr>
              <w:jc w:val="center"/>
              <w:rPr>
                <w:rFonts w:cs="Arial"/>
                <w:color w:val="000000" w:themeColor="text1"/>
                <w:szCs w:val="16"/>
              </w:rPr>
            </w:pPr>
            <w:r w:rsidRPr="00ED172B">
              <w:rPr>
                <w:rFonts w:cs="Arial"/>
                <w:color w:val="000000" w:themeColor="text1"/>
                <w:szCs w:val="16"/>
              </w:rPr>
              <w:t>4.66%</w:t>
            </w:r>
          </w:p>
        </w:tc>
        <w:tc>
          <w:tcPr>
            <w:tcW w:w="625" w:type="pct"/>
            <w:shd w:val="clear" w:color="auto" w:fill="auto"/>
            <w:vAlign w:val="center"/>
          </w:tcPr>
          <w:p w14:paraId="2B5C85A7" w14:textId="7D699F44" w:rsidR="00D3555C" w:rsidRPr="00ED172B" w:rsidRDefault="00632DF6" w:rsidP="00632DF6">
            <w:pPr>
              <w:jc w:val="center"/>
              <w:rPr>
                <w:color w:val="000000" w:themeColor="text1"/>
              </w:rPr>
            </w:pPr>
            <w:r w:rsidRPr="00ED172B">
              <w:rPr>
                <w:color w:val="000000" w:themeColor="text1"/>
              </w:rPr>
              <w:t>3.00%</w:t>
            </w:r>
          </w:p>
        </w:tc>
        <w:tc>
          <w:tcPr>
            <w:tcW w:w="542" w:type="pct"/>
            <w:shd w:val="clear" w:color="auto" w:fill="auto"/>
            <w:vAlign w:val="center"/>
          </w:tcPr>
          <w:p w14:paraId="1780242C" w14:textId="08023FB0" w:rsidR="00D3555C" w:rsidRPr="00ED172B" w:rsidRDefault="00860830" w:rsidP="00D3555C">
            <w:pPr>
              <w:jc w:val="center"/>
              <w:rPr>
                <w:rFonts w:cs="Arial"/>
                <w:color w:val="000000" w:themeColor="text1"/>
                <w:szCs w:val="16"/>
              </w:rPr>
            </w:pPr>
            <w:r w:rsidRPr="00ED172B">
              <w:rPr>
                <w:rFonts w:cs="Arial"/>
                <w:color w:val="000000" w:themeColor="text1"/>
                <w:szCs w:val="16"/>
              </w:rPr>
              <w:t>4.17%</w:t>
            </w:r>
          </w:p>
        </w:tc>
        <w:tc>
          <w:tcPr>
            <w:tcW w:w="542" w:type="pct"/>
            <w:shd w:val="clear" w:color="auto" w:fill="auto"/>
            <w:vAlign w:val="center"/>
          </w:tcPr>
          <w:p w14:paraId="29F870EC" w14:textId="610FD0F7" w:rsidR="00D3555C" w:rsidRPr="00ED172B" w:rsidRDefault="00632DF6" w:rsidP="00632DF6">
            <w:pPr>
              <w:jc w:val="center"/>
              <w:rPr>
                <w:color w:val="000000" w:themeColor="text1"/>
              </w:rPr>
            </w:pPr>
            <w:r w:rsidRPr="00ED172B">
              <w:rPr>
                <w:color w:val="000000" w:themeColor="text1"/>
              </w:rPr>
              <w:t>Met target</w:t>
            </w:r>
          </w:p>
        </w:tc>
        <w:tc>
          <w:tcPr>
            <w:tcW w:w="496" w:type="pct"/>
            <w:shd w:val="clear" w:color="auto" w:fill="auto"/>
            <w:vAlign w:val="center"/>
          </w:tcPr>
          <w:p w14:paraId="3B10C568" w14:textId="17A3466F" w:rsidR="00D3555C" w:rsidRPr="00ED172B" w:rsidRDefault="00632DF6" w:rsidP="00632DF6">
            <w:pPr>
              <w:jc w:val="center"/>
              <w:rPr>
                <w:color w:val="000000" w:themeColor="text1"/>
              </w:rPr>
            </w:pPr>
            <w:r w:rsidRPr="00ED172B">
              <w:rPr>
                <w:color w:val="000000" w:themeColor="text1"/>
              </w:rPr>
              <w:t>No Slippage</w:t>
            </w:r>
          </w:p>
        </w:tc>
      </w:tr>
    </w:tbl>
    <w:p w14:paraId="3CBC9B31" w14:textId="2AC53FB7"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2A9A6EA9" w14:textId="71C8D759" w:rsidR="003A3693" w:rsidRPr="00ED172B" w:rsidRDefault="00860830" w:rsidP="00632DF6">
      <w:pPr>
        <w:rPr>
          <w:color w:val="000000" w:themeColor="text1"/>
        </w:rPr>
      </w:pPr>
      <w:r w:rsidRPr="00ED172B">
        <w:rPr>
          <w:color w:val="000000" w:themeColor="text1"/>
        </w:rPr>
        <w:t xml:space="preserve">MA-C's annual child count occurred on October 1, 2021 and is reflective of pandemic levels with a decrease in the number of infants (birth to age one) made eligible for IDEA, Part C.</w:t>
        <w:br/>
        <w:t/>
        <w:br/>
        <w:t>The number of children referred to Part C is a leading measurement correlating with Child Find activities. When referrals increase, the number of children found eligible also goes up proportionally. When referrals decrease, the number of children found eligible goes down proportionally. With the fluctuation in referral trends, EIS providers have expressed concern and uncertainty about the effects of COVID-19 on Child Find activities as the pandemic moves into an endemic phase. Key representatives have also noted potential adverse impacts to the social-emotional development of infants and toddlers due to difficulties with social distancing and reading facial expressions when adults are wearing masks, as was observed again in fall 2021 and winter 2022 when Massachusetts experienced a significant surge in COVID-19 cases due to the Omicron variant. Fewer opportunities for new activities and an increase in adult caregivers with new medical and mental health issues may ultimately impact the development of the children. These impacts could see an increase in Child Find activities later as families adjust to the ongoing impacts of the COVID-19 pandemic in their everyday life.</w:t>
        <w:br/>
        <w:t/>
        <w:br/>
        <w:t>MA-C monitors referral, evaluation, and child count data on a monthly basis to guide data-based decision-making in education or outreach of referral sources. MA-C also collaborates with epidemiologists within Division of Maternal and Child Health Research and Analysis to understand how the most recent census data and birth rate impact the total population of children birth to age one in Massachusetts.</w:t>
        <w:br/>
        <w:t/>
        <w:br/>
        <w:t xml:space="preserve">The Infant and Toddler Coordinators Association collects information on each state’s eligibility criteria and groups states with similar eligibility criteria in the Child Count Data Charts found at https://www.ideainfanttoddler.org/association-reports.php. Category A includes states with the broadest eligibility definitions; Category C includes the strictest definitions, and Category B falls in between the two. Category C includes eligibility criteria ranging from a 33 percent delay in two or more areas to a 40 or 50 percent delay in one or more areas. MA-C's eligibility criteria fit within Category B, and the state continues to lead the nation in serving infants and toddlers under the age of 3. </w:t>
      </w:r>
    </w:p>
    <w:p w14:paraId="570F9CF2" w14:textId="73DF43E4" w:rsidR="00DC0682" w:rsidRPr="00A40EE1" w:rsidRDefault="000D0117" w:rsidP="005C3FFD">
      <w:pPr>
        <w:pStyle w:val="Heading2"/>
      </w:pPr>
      <w:r w:rsidRPr="00A40EE1">
        <w:t xml:space="preserve">5 - </w:t>
      </w:r>
      <w:r w:rsidR="00DC0682" w:rsidRPr="00A40EE1">
        <w:t>Prior FFY Required Actions</w:t>
      </w:r>
    </w:p>
    <w:p w14:paraId="0D04CBEE" w14:textId="76942275" w:rsidR="00DC0682" w:rsidRPr="00ED172B" w:rsidRDefault="00632DF6" w:rsidP="00027F39">
      <w:pPr>
        <w:rPr>
          <w:color w:val="000000" w:themeColor="text1"/>
        </w:rPr>
      </w:pPr>
      <w:r w:rsidRPr="00ED172B">
        <w:rPr>
          <w:color w:val="000000" w:themeColor="text1"/>
        </w:rPr>
        <w:t>None</w:t>
      </w:r>
    </w:p>
    <w:p w14:paraId="72B15385" w14:textId="38429387" w:rsidR="00DC0682" w:rsidRPr="00A40EE1" w:rsidRDefault="000D0117" w:rsidP="005C3FFD">
      <w:pPr>
        <w:pStyle w:val="Heading2"/>
      </w:pPr>
      <w:r w:rsidRPr="00A40EE1">
        <w:t xml:space="preserve">5 - </w:t>
      </w:r>
      <w:r w:rsidR="00DC0682" w:rsidRPr="00A40EE1">
        <w:t>OSEP Response</w:t>
      </w:r>
    </w:p>
    <w:p w14:paraId="17DE00FE" w14:textId="160BC2C5" w:rsidR="00DC0682" w:rsidRPr="00ED172B" w:rsidRDefault="00632DF6" w:rsidP="00027F39">
      <w:pPr>
        <w:rPr>
          <w:color w:val="000000" w:themeColor="text1"/>
        </w:rPr>
      </w:pPr>
      <w:r w:rsidRPr="00ED172B">
        <w:rPr>
          <w:color w:val="000000" w:themeColor="text1"/>
        </w:rPr>
        <w:t/>
      </w:r>
    </w:p>
    <w:p w14:paraId="3AD8C480" w14:textId="43A7321C" w:rsidR="00DC0682" w:rsidRPr="00A40EE1" w:rsidRDefault="000D0117" w:rsidP="005C3FFD">
      <w:pPr>
        <w:pStyle w:val="Heading2"/>
      </w:pPr>
      <w:r w:rsidRPr="00A40EE1">
        <w:t xml:space="preserve">5 - </w:t>
      </w:r>
      <w:r w:rsidR="00DC0682" w:rsidRPr="00A40EE1">
        <w:t>Required Actions</w:t>
      </w:r>
    </w:p>
    <w:p w14:paraId="28F72D21" w14:textId="482322D8" w:rsidR="00DC0682" w:rsidRPr="00ED172B" w:rsidRDefault="00632DF6" w:rsidP="00027F39">
      <w:pPr>
        <w:rPr>
          <w:color w:val="000000" w:themeColor="text1"/>
        </w:rPr>
      </w:pPr>
      <w:r w:rsidRPr="00ED172B">
        <w:rPr>
          <w:color w:val="000000" w:themeColor="text1"/>
        </w:rPr>
        <w:t/>
      </w:r>
    </w:p>
    <w:p w14:paraId="4FD273CC" w14:textId="77777777" w:rsidR="00447F6D" w:rsidRPr="00ED172B" w:rsidRDefault="00447F6D" w:rsidP="00B83404">
      <w:pPr>
        <w:rPr>
          <w:color w:val="000000" w:themeColor="text1"/>
        </w:rPr>
        <w:sectPr w:rsidR="00447F6D" w:rsidRPr="00ED172B" w:rsidSect="00540D34">
          <w:pgSz w:w="12240" w:h="15840"/>
          <w:pgMar w:top="720" w:right="720" w:bottom="720" w:left="720" w:header="576" w:footer="720" w:gutter="0"/>
          <w:cols w:space="720"/>
          <w:docGrid w:linePitch="360"/>
        </w:sectPr>
      </w:pPr>
    </w:p>
    <w:p w14:paraId="57B13665" w14:textId="77777777" w:rsidR="000C6015" w:rsidRPr="00ED172B" w:rsidRDefault="00D03701" w:rsidP="0077063D">
      <w:pPr>
        <w:pStyle w:val="Heading1"/>
        <w:rPr>
          <w:color w:val="000000" w:themeColor="text1"/>
        </w:rPr>
      </w:pPr>
      <w:bookmarkStart w:id="36" w:name="_Toc381956335"/>
      <w:bookmarkStart w:id="37" w:name="_Toc384383336"/>
      <w:bookmarkStart w:id="38" w:name="_Toc392159288"/>
      <w:r w:rsidRPr="00ED172B">
        <w:rPr>
          <w:color w:val="000000" w:themeColor="text1"/>
        </w:rPr>
        <w:lastRenderedPageBreak/>
        <w:t xml:space="preserve">Indicator </w:t>
      </w:r>
      <w:bookmarkEnd w:id="36"/>
      <w:bookmarkEnd w:id="37"/>
      <w:bookmarkEnd w:id="38"/>
      <w:r w:rsidR="000C6015" w:rsidRPr="00ED172B">
        <w:rPr>
          <w:color w:val="000000" w:themeColor="text1"/>
        </w:rPr>
        <w:t>6: Child Find (Birth to Three)</w:t>
      </w:r>
    </w:p>
    <w:p w14:paraId="1759B464" w14:textId="77777777" w:rsidR="000C5918" w:rsidRPr="00ED172B" w:rsidRDefault="000C5918" w:rsidP="00186420">
      <w:pPr>
        <w:rPr>
          <w:color w:val="000000" w:themeColor="text1"/>
          <w:szCs w:val="20"/>
        </w:rPr>
      </w:pPr>
      <w:r w:rsidRPr="00ED172B">
        <w:rPr>
          <w:b/>
          <w:color w:val="000000" w:themeColor="text1"/>
          <w:sz w:val="20"/>
          <w:szCs w:val="20"/>
        </w:rPr>
        <w:t>Instructions and Measurement</w:t>
      </w:r>
    </w:p>
    <w:p w14:paraId="4480A000" w14:textId="77777777" w:rsidR="000C6015" w:rsidRPr="00ED172B" w:rsidRDefault="000C6015"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6BF01D65" w14:textId="77777777" w:rsidR="00A863D5" w:rsidRDefault="000C6015" w:rsidP="00B609A4">
      <w:pPr>
        <w:rPr>
          <w:color w:val="000000" w:themeColor="text1"/>
          <w:szCs w:val="16"/>
        </w:rPr>
      </w:pPr>
      <w:r w:rsidRPr="00ED172B">
        <w:rPr>
          <w:b/>
          <w:color w:val="000000" w:themeColor="text1"/>
          <w:szCs w:val="16"/>
        </w:rPr>
        <w:t>Results indicator:</w:t>
      </w:r>
      <w:r w:rsidRPr="00ED172B">
        <w:rPr>
          <w:color w:val="000000" w:themeColor="text1"/>
          <w:szCs w:val="16"/>
        </w:rPr>
        <w:t xml:space="preserve"> Percent of infants and toddlers birth to 3 with IFSPs</w:t>
      </w:r>
      <w:r w:rsidR="00A863D5">
        <w:rPr>
          <w:color w:val="000000" w:themeColor="text1"/>
          <w:szCs w:val="16"/>
        </w:rPr>
        <w:t>.</w:t>
      </w:r>
    </w:p>
    <w:p w14:paraId="1586FBA4" w14:textId="28ED3B8C" w:rsidR="000C6015" w:rsidRPr="00ED172B" w:rsidRDefault="000C6015" w:rsidP="00B609A4">
      <w:pPr>
        <w:rPr>
          <w:color w:val="000000" w:themeColor="text1"/>
          <w:szCs w:val="16"/>
        </w:rPr>
      </w:pPr>
      <w:r w:rsidRPr="00ED172B">
        <w:rPr>
          <w:color w:val="000000" w:themeColor="text1"/>
          <w:szCs w:val="16"/>
        </w:rPr>
        <w:t>(20 U.S.C. 1416(a)(3)(B) and 1442)</w:t>
      </w:r>
    </w:p>
    <w:p w14:paraId="189B5017" w14:textId="77777777" w:rsidR="005918D1" w:rsidRPr="00ED172B" w:rsidRDefault="005918D1">
      <w:pPr>
        <w:rPr>
          <w:b/>
          <w:color w:val="000000" w:themeColor="text1"/>
        </w:rPr>
      </w:pPr>
      <w:r w:rsidRPr="00ED172B">
        <w:rPr>
          <w:b/>
          <w:color w:val="000000" w:themeColor="text1"/>
        </w:rPr>
        <w:t>Data Source</w:t>
      </w:r>
    </w:p>
    <w:p w14:paraId="195C42B9" w14:textId="72C89367" w:rsidR="005918D1" w:rsidRPr="00ED172B" w:rsidRDefault="005918D1" w:rsidP="00B609A4">
      <w:pPr>
        <w:rPr>
          <w:color w:val="000000" w:themeColor="text1"/>
          <w:szCs w:val="16"/>
        </w:rPr>
      </w:pPr>
      <w:r w:rsidRPr="00ED172B">
        <w:rPr>
          <w:color w:val="000000" w:themeColor="text1"/>
          <w:szCs w:val="16"/>
        </w:rPr>
        <w:t>Data collected under IDEA section 618 of the IDEA (IDEA Part C Child Count and Settings data collection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 and Census (for the denominator).</w:t>
      </w:r>
    </w:p>
    <w:p w14:paraId="037867D0" w14:textId="77777777" w:rsidR="005918D1" w:rsidRPr="00ED172B" w:rsidRDefault="005918D1">
      <w:pPr>
        <w:rPr>
          <w:b/>
          <w:color w:val="000000" w:themeColor="text1"/>
        </w:rPr>
      </w:pPr>
      <w:r w:rsidRPr="00ED172B">
        <w:rPr>
          <w:b/>
          <w:color w:val="000000" w:themeColor="text1"/>
        </w:rPr>
        <w:t>Measurement</w:t>
      </w:r>
    </w:p>
    <w:p w14:paraId="70DD93A2" w14:textId="778FC194" w:rsidR="005918D1" w:rsidRPr="00ED172B" w:rsidRDefault="005918D1" w:rsidP="00B609A4">
      <w:pPr>
        <w:rPr>
          <w:color w:val="000000" w:themeColor="text1"/>
          <w:szCs w:val="16"/>
        </w:rPr>
      </w:pPr>
      <w:r w:rsidRPr="00ED172B">
        <w:rPr>
          <w:color w:val="000000" w:themeColor="text1"/>
          <w:szCs w:val="16"/>
        </w:rPr>
        <w:t>Percent = [(# of infants and toddlers birth to 3 with IFSPs) divided by the (population of infants and toddlers birth to 3)] times 100.</w:t>
      </w:r>
    </w:p>
    <w:p w14:paraId="7F75A80E" w14:textId="77777777" w:rsidR="005918D1" w:rsidRPr="00ED172B" w:rsidRDefault="005918D1">
      <w:pPr>
        <w:rPr>
          <w:b/>
          <w:color w:val="000000" w:themeColor="text1"/>
        </w:rPr>
      </w:pPr>
      <w:r w:rsidRPr="00ED172B">
        <w:rPr>
          <w:b/>
          <w:color w:val="000000" w:themeColor="text1"/>
        </w:rPr>
        <w:t>Instructions</w:t>
      </w:r>
    </w:p>
    <w:p w14:paraId="464FFC3E" w14:textId="77777777" w:rsidR="001C3D0E" w:rsidRPr="0055373D" w:rsidRDefault="001C3D0E" w:rsidP="00B609A4">
      <w:pPr>
        <w:rPr>
          <w:i/>
          <w:iCs/>
          <w:color w:val="000000" w:themeColor="text1"/>
          <w:szCs w:val="16"/>
        </w:rPr>
      </w:pPr>
      <w:r w:rsidRPr="0055373D">
        <w:rPr>
          <w:i/>
          <w:iCs/>
          <w:color w:val="000000" w:themeColor="text1"/>
          <w:szCs w:val="16"/>
        </w:rPr>
        <w:t>Sampling from the State’s 618 data is not allowed.</w:t>
      </w:r>
    </w:p>
    <w:p w14:paraId="058CBEAD" w14:textId="3012401A" w:rsidR="001C3D0E" w:rsidRPr="00ED172B" w:rsidRDefault="001C3D0E" w:rsidP="00B609A4">
      <w:pPr>
        <w:rPr>
          <w:color w:val="000000" w:themeColor="text1"/>
          <w:szCs w:val="16"/>
        </w:rPr>
      </w:pPr>
      <w:r w:rsidRPr="00ED172B">
        <w:rPr>
          <w:color w:val="000000" w:themeColor="text1"/>
          <w:szCs w:val="16"/>
        </w:rPr>
        <w:t>Describe the results of the calculations . The data reported in this indicator should be consistent with the State’s reported 618 data reported in Table 1. If not, explain why.</w:t>
      </w:r>
    </w:p>
    <w:p w14:paraId="54455F0F" w14:textId="1A3E5AE7" w:rsidR="000C6015" w:rsidRPr="00A40EE1" w:rsidRDefault="000D0117" w:rsidP="005C3FFD">
      <w:pPr>
        <w:pStyle w:val="Heading2"/>
      </w:pPr>
      <w:r w:rsidRPr="00A40EE1">
        <w:t xml:space="preserve">6 - </w:t>
      </w:r>
      <w:r w:rsidR="00B609A4" w:rsidRPr="00A40EE1">
        <w:t>Indicator Data</w:t>
      </w:r>
    </w:p>
    <w:p w14:paraId="6532087D" w14:textId="4B7C8292" w:rsidR="00C779B5" w:rsidRDefault="00C779B5" w:rsidP="00C779B5"/>
    <w:tbl>
      <w:tblPr>
        <w:tblW w:w="1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BASELINEDATA"/>
      </w:tblPr>
      <w:tblGrid>
        <w:gridCol w:w="2067"/>
        <w:gridCol w:w="2068"/>
      </w:tblGrid>
      <w:tr w:rsidR="00CA65C9" w:rsidRPr="00ED172B" w14:paraId="0C3C38FE" w14:textId="77777777" w:rsidTr="00A40EE1">
        <w:trPr>
          <w:trHeight w:val="350"/>
          <w:tblHeader/>
        </w:trPr>
        <w:tc>
          <w:tcPr>
            <w:tcW w:w="2499" w:type="pct"/>
            <w:tcBorders>
              <w:bottom w:val="single" w:sz="4" w:space="0" w:color="auto"/>
            </w:tcBorders>
            <w:shd w:val="clear" w:color="auto" w:fill="auto"/>
            <w:vAlign w:val="center"/>
          </w:tcPr>
          <w:p w14:paraId="6EBB6A21" w14:textId="79F53899" w:rsidR="00CA65C9" w:rsidRPr="00A40EE1" w:rsidRDefault="00CA65C9" w:rsidP="00C15786">
            <w:pPr>
              <w:jc w:val="center"/>
              <w:rPr>
                <w:b/>
                <w:bCs/>
                <w:color w:val="000000" w:themeColor="text1"/>
              </w:rPr>
            </w:pPr>
            <w:r>
              <w:rPr>
                <w:b/>
                <w:bCs/>
                <w:color w:val="000000" w:themeColor="text1"/>
              </w:rPr>
              <w:t>Baseline Year</w:t>
            </w:r>
          </w:p>
        </w:tc>
        <w:tc>
          <w:tcPr>
            <w:tcW w:w="2501" w:type="pct"/>
            <w:tcBorders>
              <w:top w:val="single" w:sz="4" w:space="0" w:color="auto"/>
              <w:right w:val="single" w:sz="4" w:space="0" w:color="auto"/>
            </w:tcBorders>
            <w:shd w:val="clear" w:color="auto" w:fill="auto"/>
            <w:vAlign w:val="center"/>
          </w:tcPr>
          <w:p w14:paraId="26E377DD" w14:textId="65BDC4EC" w:rsidR="00CA65C9" w:rsidRPr="00A40EE1" w:rsidRDefault="00CA65C9" w:rsidP="00C15786">
            <w:pPr>
              <w:jc w:val="center"/>
              <w:rPr>
                <w:b/>
                <w:bCs/>
                <w:color w:val="000000" w:themeColor="text1"/>
              </w:rPr>
            </w:pPr>
            <w:r>
              <w:rPr>
                <w:b/>
                <w:bCs/>
                <w:color w:val="000000" w:themeColor="text1"/>
              </w:rPr>
              <w:t>Baseline Data</w:t>
            </w:r>
          </w:p>
        </w:tc>
      </w:tr>
      <w:tr w:rsidR="00CA65C9" w:rsidRPr="00ED172B" w14:paraId="24332C59" w14:textId="77777777" w:rsidTr="00A40EE1">
        <w:trPr>
          <w:trHeight w:val="350"/>
        </w:trPr>
        <w:tc>
          <w:tcPr>
            <w:tcW w:w="2499" w:type="pct"/>
            <w:tcBorders>
              <w:bottom w:val="single" w:sz="4" w:space="0" w:color="auto"/>
            </w:tcBorders>
            <w:shd w:val="clear" w:color="auto" w:fill="auto"/>
            <w:vAlign w:val="center"/>
          </w:tcPr>
          <w:p w14:paraId="2D2F048E" w14:textId="77777777" w:rsidR="00CA65C9" w:rsidRPr="00ED172B" w:rsidRDefault="00CA65C9" w:rsidP="00C15786">
            <w:pPr>
              <w:jc w:val="center"/>
              <w:rPr>
                <w:b/>
                <w:color w:val="000000" w:themeColor="text1"/>
              </w:rPr>
            </w:pPr>
            <w:r w:rsidRPr="00ED172B">
              <w:rPr>
                <w:color w:val="000000" w:themeColor="text1"/>
              </w:rPr>
              <w:t>2005</w:t>
            </w:r>
          </w:p>
        </w:tc>
        <w:tc>
          <w:tcPr>
            <w:tcW w:w="2501" w:type="pct"/>
            <w:tcBorders>
              <w:top w:val="single" w:sz="4" w:space="0" w:color="auto"/>
              <w:right w:val="single" w:sz="4" w:space="0" w:color="auto"/>
            </w:tcBorders>
            <w:shd w:val="clear" w:color="auto" w:fill="auto"/>
            <w:vAlign w:val="center"/>
          </w:tcPr>
          <w:p w14:paraId="7FCE749A" w14:textId="77777777" w:rsidR="00CA65C9" w:rsidRPr="00ED172B" w:rsidRDefault="00CA65C9" w:rsidP="00C15786">
            <w:pPr>
              <w:jc w:val="center"/>
              <w:rPr>
                <w:b/>
                <w:color w:val="000000" w:themeColor="text1"/>
              </w:rPr>
            </w:pPr>
            <w:r w:rsidRPr="00ED172B">
              <w:rPr>
                <w:color w:val="000000" w:themeColor="text1"/>
              </w:rPr>
              <w:t>5.90%</w:t>
            </w:r>
          </w:p>
        </w:tc>
      </w:tr>
    </w:tbl>
    <w:p w14:paraId="02A9E8BE" w14:textId="5A3915EB" w:rsidR="00C779B5" w:rsidRPr="00A40EE1" w:rsidRDefault="00C779B5" w:rsidP="00A40EE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HISTDATA"/>
      </w:tblPr>
      <w:tblGrid>
        <w:gridCol w:w="895"/>
        <w:gridCol w:w="2070"/>
        <w:gridCol w:w="2214"/>
        <w:gridCol w:w="1871"/>
        <w:gridCol w:w="1871"/>
        <w:gridCol w:w="1869"/>
      </w:tblGrid>
      <w:tr w:rsidR="00ED172B" w:rsidRPr="00ED172B" w14:paraId="69340626" w14:textId="77777777" w:rsidTr="00986B99">
        <w:trPr>
          <w:trHeight w:val="350"/>
        </w:trPr>
        <w:tc>
          <w:tcPr>
            <w:tcW w:w="415" w:type="pct"/>
            <w:tcBorders>
              <w:bottom w:val="single" w:sz="4" w:space="0" w:color="auto"/>
            </w:tcBorders>
            <w:shd w:val="clear" w:color="auto" w:fill="auto"/>
          </w:tcPr>
          <w:p w14:paraId="5CA2C8B5" w14:textId="77777777" w:rsidR="00EF4A30" w:rsidRPr="00ED172B" w:rsidRDefault="00EF4A30" w:rsidP="00186420">
            <w:pPr>
              <w:jc w:val="center"/>
              <w:rPr>
                <w:b/>
                <w:color w:val="000000" w:themeColor="text1"/>
                <w:szCs w:val="16"/>
              </w:rPr>
            </w:pPr>
            <w:bookmarkStart w:id="39" w:name="_Toc392159294"/>
            <w:r w:rsidRPr="00ED172B">
              <w:rPr>
                <w:b/>
                <w:color w:val="000000" w:themeColor="text1"/>
                <w:szCs w:val="16"/>
              </w:rPr>
              <w:t>FFY</w:t>
            </w:r>
          </w:p>
        </w:tc>
        <w:tc>
          <w:tcPr>
            <w:tcW w:w="959" w:type="pct"/>
            <w:shd w:val="clear" w:color="auto" w:fill="auto"/>
            <w:vAlign w:val="center"/>
          </w:tcPr>
          <w:p w14:paraId="6BFA9D3F" w14:textId="277F6CE8" w:rsidR="00EF4A30" w:rsidRPr="00ED172B" w:rsidRDefault="002163F2" w:rsidP="00CD79C5">
            <w:pPr>
              <w:jc w:val="center"/>
              <w:rPr>
                <w:b/>
                <w:color w:val="000000" w:themeColor="text1"/>
                <w:szCs w:val="16"/>
              </w:rPr>
            </w:pPr>
            <w:r w:rsidRPr="00ED172B">
              <w:rPr>
                <w:rFonts w:cs="Arial"/>
                <w:b/>
                <w:color w:val="000000" w:themeColor="text1"/>
                <w:szCs w:val="16"/>
              </w:rPr>
              <w:t>2016</w:t>
            </w:r>
          </w:p>
        </w:tc>
        <w:tc>
          <w:tcPr>
            <w:tcW w:w="1026" w:type="pct"/>
            <w:shd w:val="clear" w:color="auto" w:fill="auto"/>
            <w:vAlign w:val="center"/>
          </w:tcPr>
          <w:p w14:paraId="086F5D65" w14:textId="091D460A" w:rsidR="00EF4A30" w:rsidRPr="00ED172B" w:rsidRDefault="002163F2" w:rsidP="00CD79C5">
            <w:pPr>
              <w:jc w:val="center"/>
              <w:rPr>
                <w:b/>
                <w:color w:val="000000" w:themeColor="text1"/>
                <w:szCs w:val="16"/>
              </w:rPr>
            </w:pPr>
            <w:r w:rsidRPr="00ED172B">
              <w:rPr>
                <w:rFonts w:cs="Arial"/>
                <w:b/>
                <w:color w:val="000000" w:themeColor="text1"/>
                <w:szCs w:val="16"/>
              </w:rPr>
              <w:t>2017</w:t>
            </w:r>
          </w:p>
        </w:tc>
        <w:tc>
          <w:tcPr>
            <w:tcW w:w="867" w:type="pct"/>
            <w:shd w:val="clear" w:color="auto" w:fill="auto"/>
            <w:vAlign w:val="center"/>
          </w:tcPr>
          <w:p w14:paraId="335EA78F" w14:textId="3EB70DF4" w:rsidR="00EF4A30" w:rsidRPr="00ED172B" w:rsidRDefault="002163F2" w:rsidP="00CD79C5">
            <w:pPr>
              <w:jc w:val="center"/>
              <w:rPr>
                <w:b/>
                <w:color w:val="000000" w:themeColor="text1"/>
                <w:szCs w:val="16"/>
              </w:rPr>
            </w:pPr>
            <w:r w:rsidRPr="00ED172B">
              <w:rPr>
                <w:rFonts w:cs="Arial"/>
                <w:b/>
                <w:color w:val="000000" w:themeColor="text1"/>
                <w:szCs w:val="16"/>
              </w:rPr>
              <w:t>2018</w:t>
            </w:r>
          </w:p>
        </w:tc>
        <w:tc>
          <w:tcPr>
            <w:tcW w:w="867" w:type="pct"/>
            <w:shd w:val="clear" w:color="auto" w:fill="auto"/>
            <w:vAlign w:val="center"/>
          </w:tcPr>
          <w:p w14:paraId="514EF7CF" w14:textId="005FC8E1" w:rsidR="00EF4A30" w:rsidRPr="00ED172B" w:rsidRDefault="002163F2" w:rsidP="00CD79C5">
            <w:pPr>
              <w:jc w:val="center"/>
              <w:rPr>
                <w:b/>
                <w:color w:val="000000" w:themeColor="text1"/>
                <w:szCs w:val="16"/>
              </w:rPr>
            </w:pPr>
            <w:r w:rsidRPr="00ED172B">
              <w:rPr>
                <w:rFonts w:cs="Arial"/>
                <w:b/>
                <w:color w:val="000000" w:themeColor="text1"/>
                <w:szCs w:val="16"/>
              </w:rPr>
              <w:t>2019</w:t>
            </w:r>
          </w:p>
        </w:tc>
        <w:tc>
          <w:tcPr>
            <w:tcW w:w="866" w:type="pct"/>
            <w:shd w:val="clear" w:color="auto" w:fill="auto"/>
            <w:vAlign w:val="center"/>
          </w:tcPr>
          <w:p w14:paraId="5D859863" w14:textId="10483E82" w:rsidR="00EF4A30" w:rsidRPr="00ED172B" w:rsidRDefault="006D43D3" w:rsidP="00CD79C5">
            <w:pPr>
              <w:jc w:val="center"/>
              <w:rPr>
                <w:b/>
                <w:color w:val="000000" w:themeColor="text1"/>
                <w:szCs w:val="16"/>
              </w:rPr>
            </w:pPr>
            <w:r w:rsidRPr="00ED172B">
              <w:rPr>
                <w:rFonts w:cs="Arial"/>
                <w:b/>
                <w:color w:val="000000" w:themeColor="text1"/>
                <w:szCs w:val="16"/>
              </w:rPr>
              <w:t>2020</w:t>
            </w:r>
          </w:p>
        </w:tc>
      </w:tr>
      <w:tr w:rsidR="00ED172B" w:rsidRPr="00ED172B" w14:paraId="2487552A" w14:textId="77777777" w:rsidTr="00986B99">
        <w:trPr>
          <w:trHeight w:val="357"/>
        </w:trPr>
        <w:tc>
          <w:tcPr>
            <w:tcW w:w="415" w:type="pct"/>
            <w:shd w:val="clear" w:color="auto" w:fill="auto"/>
          </w:tcPr>
          <w:p w14:paraId="0BDCC722" w14:textId="2BFAD67F" w:rsidR="00EF4A30" w:rsidRPr="00ED172B" w:rsidRDefault="00EF4A30" w:rsidP="00B83404">
            <w:pPr>
              <w:rPr>
                <w:color w:val="000000" w:themeColor="text1"/>
                <w:szCs w:val="16"/>
              </w:rPr>
            </w:pPr>
            <w:r w:rsidRPr="00ED172B">
              <w:rPr>
                <w:color w:val="000000" w:themeColor="text1"/>
                <w:szCs w:val="16"/>
              </w:rPr>
              <w:t xml:space="preserve">Target </w:t>
            </w:r>
            <w:r w:rsidR="00E03916" w:rsidRPr="00ED172B">
              <w:rPr>
                <w:rFonts w:cs="Arial"/>
                <w:color w:val="000000" w:themeColor="text1"/>
                <w:szCs w:val="16"/>
              </w:rPr>
              <w:t>&gt;</w:t>
            </w:r>
            <w:r w:rsidR="007C364C" w:rsidRPr="00ED172B">
              <w:rPr>
                <w:rFonts w:cs="Arial"/>
                <w:color w:val="000000" w:themeColor="text1"/>
                <w:szCs w:val="16"/>
              </w:rPr>
              <w:t>=</w:t>
            </w:r>
          </w:p>
        </w:tc>
        <w:tc>
          <w:tcPr>
            <w:tcW w:w="959" w:type="pct"/>
            <w:shd w:val="clear" w:color="auto" w:fill="auto"/>
            <w:vAlign w:val="center"/>
          </w:tcPr>
          <w:p w14:paraId="2FD02956" w14:textId="51038081" w:rsidR="00EF4A30" w:rsidRPr="00ED172B" w:rsidRDefault="00860830" w:rsidP="00CD79C5">
            <w:pPr>
              <w:jc w:val="center"/>
              <w:rPr>
                <w:color w:val="000000" w:themeColor="text1"/>
                <w:szCs w:val="16"/>
              </w:rPr>
            </w:pPr>
            <w:r w:rsidRPr="00ED172B">
              <w:rPr>
                <w:rFonts w:cs="Arial"/>
                <w:color w:val="000000" w:themeColor="text1"/>
                <w:szCs w:val="16"/>
              </w:rPr>
              <w:t>5.89%</w:t>
            </w:r>
          </w:p>
        </w:tc>
        <w:tc>
          <w:tcPr>
            <w:tcW w:w="1026" w:type="pct"/>
            <w:shd w:val="clear" w:color="auto" w:fill="auto"/>
            <w:vAlign w:val="center"/>
          </w:tcPr>
          <w:p w14:paraId="5FCE94BE" w14:textId="0E65C1D0" w:rsidR="00EF4A30" w:rsidRPr="00ED172B" w:rsidRDefault="00860830" w:rsidP="00CD79C5">
            <w:pPr>
              <w:jc w:val="center"/>
              <w:rPr>
                <w:color w:val="000000" w:themeColor="text1"/>
                <w:szCs w:val="16"/>
              </w:rPr>
            </w:pPr>
            <w:r w:rsidRPr="00ED172B">
              <w:rPr>
                <w:rFonts w:cs="Arial"/>
                <w:color w:val="000000" w:themeColor="text1"/>
                <w:szCs w:val="16"/>
              </w:rPr>
              <w:t>5.90%</w:t>
            </w:r>
          </w:p>
        </w:tc>
        <w:tc>
          <w:tcPr>
            <w:tcW w:w="867" w:type="pct"/>
            <w:shd w:val="clear" w:color="auto" w:fill="auto"/>
            <w:vAlign w:val="center"/>
          </w:tcPr>
          <w:p w14:paraId="132D2853" w14:textId="70C90015" w:rsidR="00EF4A30" w:rsidRPr="00ED172B" w:rsidRDefault="00860830" w:rsidP="00CD79C5">
            <w:pPr>
              <w:jc w:val="center"/>
              <w:rPr>
                <w:color w:val="000000" w:themeColor="text1"/>
                <w:szCs w:val="16"/>
              </w:rPr>
            </w:pPr>
            <w:r w:rsidRPr="00ED172B">
              <w:rPr>
                <w:rFonts w:cs="Arial"/>
                <w:color w:val="000000" w:themeColor="text1"/>
                <w:szCs w:val="16"/>
              </w:rPr>
              <w:t>5.90%</w:t>
            </w:r>
          </w:p>
        </w:tc>
        <w:tc>
          <w:tcPr>
            <w:tcW w:w="867" w:type="pct"/>
            <w:shd w:val="clear" w:color="auto" w:fill="auto"/>
            <w:vAlign w:val="center"/>
          </w:tcPr>
          <w:p w14:paraId="4670AFD3" w14:textId="6A151652" w:rsidR="00EF4A30" w:rsidRPr="00ED172B" w:rsidRDefault="00860830" w:rsidP="00CD79C5">
            <w:pPr>
              <w:jc w:val="center"/>
              <w:rPr>
                <w:color w:val="000000" w:themeColor="text1"/>
                <w:szCs w:val="16"/>
              </w:rPr>
            </w:pPr>
            <w:r w:rsidRPr="00ED172B">
              <w:rPr>
                <w:rFonts w:cs="Arial"/>
                <w:color w:val="000000" w:themeColor="text1"/>
                <w:szCs w:val="16"/>
              </w:rPr>
              <w:t>6.00%</w:t>
            </w:r>
          </w:p>
        </w:tc>
        <w:tc>
          <w:tcPr>
            <w:tcW w:w="866" w:type="pct"/>
            <w:shd w:val="clear" w:color="auto" w:fill="auto"/>
            <w:vAlign w:val="center"/>
          </w:tcPr>
          <w:p w14:paraId="6C1609EA" w14:textId="460628D2" w:rsidR="00EF4A30" w:rsidRPr="00ED172B" w:rsidRDefault="00860830" w:rsidP="00CD79C5">
            <w:pPr>
              <w:jc w:val="center"/>
              <w:rPr>
                <w:color w:val="000000" w:themeColor="text1"/>
                <w:szCs w:val="16"/>
              </w:rPr>
            </w:pPr>
            <w:r w:rsidRPr="00ED172B">
              <w:rPr>
                <w:rFonts w:cs="Arial"/>
                <w:color w:val="000000" w:themeColor="text1"/>
                <w:szCs w:val="16"/>
              </w:rPr>
              <w:t>6.00%</w:t>
            </w:r>
          </w:p>
        </w:tc>
      </w:tr>
      <w:tr w:rsidR="00ED172B" w:rsidRPr="00ED172B" w14:paraId="3DE11503" w14:textId="77777777" w:rsidTr="00986B99">
        <w:trPr>
          <w:trHeight w:val="85"/>
        </w:trPr>
        <w:tc>
          <w:tcPr>
            <w:tcW w:w="415" w:type="pct"/>
            <w:shd w:val="clear" w:color="auto" w:fill="auto"/>
          </w:tcPr>
          <w:p w14:paraId="76DAE92C" w14:textId="77777777" w:rsidR="00EF4A30" w:rsidRPr="00ED172B" w:rsidRDefault="00EF4A30" w:rsidP="00B83404">
            <w:pPr>
              <w:rPr>
                <w:color w:val="000000" w:themeColor="text1"/>
                <w:szCs w:val="16"/>
              </w:rPr>
            </w:pPr>
            <w:r w:rsidRPr="00ED172B">
              <w:rPr>
                <w:color w:val="000000" w:themeColor="text1"/>
                <w:szCs w:val="16"/>
              </w:rPr>
              <w:t>Data</w:t>
            </w:r>
          </w:p>
        </w:tc>
        <w:tc>
          <w:tcPr>
            <w:tcW w:w="959" w:type="pct"/>
            <w:shd w:val="clear" w:color="auto" w:fill="auto"/>
            <w:vAlign w:val="center"/>
          </w:tcPr>
          <w:p w14:paraId="473030AC" w14:textId="609BBA18" w:rsidR="00EF4A30" w:rsidRPr="00ED172B" w:rsidRDefault="00860830" w:rsidP="00CD79C5">
            <w:pPr>
              <w:jc w:val="center"/>
              <w:rPr>
                <w:color w:val="000000" w:themeColor="text1"/>
                <w:szCs w:val="16"/>
              </w:rPr>
            </w:pPr>
            <w:r w:rsidRPr="00ED172B">
              <w:rPr>
                <w:rFonts w:cs="Arial"/>
                <w:color w:val="000000" w:themeColor="text1"/>
                <w:szCs w:val="16"/>
              </w:rPr>
              <w:t>9.44%</w:t>
            </w:r>
          </w:p>
        </w:tc>
        <w:tc>
          <w:tcPr>
            <w:tcW w:w="1026" w:type="pct"/>
            <w:shd w:val="clear" w:color="auto" w:fill="auto"/>
            <w:vAlign w:val="center"/>
          </w:tcPr>
          <w:p w14:paraId="1EC821B6" w14:textId="7EB4D908" w:rsidR="00EF4A30" w:rsidRPr="00ED172B" w:rsidRDefault="00860830" w:rsidP="00CD79C5">
            <w:pPr>
              <w:jc w:val="center"/>
              <w:rPr>
                <w:color w:val="000000" w:themeColor="text1"/>
                <w:szCs w:val="16"/>
              </w:rPr>
            </w:pPr>
            <w:r w:rsidRPr="00ED172B">
              <w:rPr>
                <w:rFonts w:cs="Arial"/>
                <w:color w:val="000000" w:themeColor="text1"/>
                <w:szCs w:val="16"/>
              </w:rPr>
              <w:t>9.54%</w:t>
            </w:r>
          </w:p>
        </w:tc>
        <w:tc>
          <w:tcPr>
            <w:tcW w:w="867" w:type="pct"/>
            <w:tcBorders>
              <w:bottom w:val="single" w:sz="4" w:space="0" w:color="auto"/>
            </w:tcBorders>
            <w:shd w:val="clear" w:color="auto" w:fill="auto"/>
            <w:vAlign w:val="center"/>
          </w:tcPr>
          <w:p w14:paraId="7EC1F3D1" w14:textId="73DEF665" w:rsidR="00EF4A30" w:rsidRPr="00ED172B" w:rsidRDefault="00860830" w:rsidP="00CD79C5">
            <w:pPr>
              <w:jc w:val="center"/>
              <w:rPr>
                <w:color w:val="000000" w:themeColor="text1"/>
                <w:szCs w:val="16"/>
              </w:rPr>
            </w:pPr>
            <w:r w:rsidRPr="00ED172B">
              <w:rPr>
                <w:rFonts w:cs="Arial"/>
                <w:color w:val="000000" w:themeColor="text1"/>
                <w:szCs w:val="16"/>
              </w:rPr>
              <w:t>10.05%</w:t>
            </w:r>
          </w:p>
        </w:tc>
        <w:tc>
          <w:tcPr>
            <w:tcW w:w="867" w:type="pct"/>
            <w:tcBorders>
              <w:bottom w:val="single" w:sz="4" w:space="0" w:color="auto"/>
            </w:tcBorders>
            <w:shd w:val="clear" w:color="auto" w:fill="auto"/>
            <w:vAlign w:val="center"/>
          </w:tcPr>
          <w:p w14:paraId="71B39BAC" w14:textId="3DC249BD" w:rsidR="00EF4A30" w:rsidRPr="00ED172B" w:rsidRDefault="00860830" w:rsidP="00CD79C5">
            <w:pPr>
              <w:jc w:val="center"/>
              <w:rPr>
                <w:color w:val="000000" w:themeColor="text1"/>
                <w:szCs w:val="16"/>
              </w:rPr>
            </w:pPr>
            <w:r w:rsidRPr="00ED172B">
              <w:rPr>
                <w:rFonts w:cs="Arial"/>
                <w:color w:val="000000" w:themeColor="text1"/>
                <w:szCs w:val="16"/>
              </w:rPr>
              <w:t>10.59%</w:t>
            </w:r>
          </w:p>
        </w:tc>
        <w:tc>
          <w:tcPr>
            <w:tcW w:w="866" w:type="pct"/>
            <w:tcBorders>
              <w:bottom w:val="single" w:sz="4" w:space="0" w:color="auto"/>
            </w:tcBorders>
            <w:shd w:val="clear" w:color="auto" w:fill="auto"/>
            <w:vAlign w:val="center"/>
          </w:tcPr>
          <w:p w14:paraId="12681457" w14:textId="76951521" w:rsidR="00EF4A30" w:rsidRPr="00ED172B" w:rsidRDefault="00860830" w:rsidP="00CD79C5">
            <w:pPr>
              <w:jc w:val="center"/>
              <w:rPr>
                <w:color w:val="000000" w:themeColor="text1"/>
                <w:szCs w:val="16"/>
              </w:rPr>
            </w:pPr>
            <w:r w:rsidRPr="00ED172B">
              <w:rPr>
                <w:rFonts w:cs="Arial"/>
                <w:color w:val="000000" w:themeColor="text1"/>
                <w:szCs w:val="16"/>
              </w:rPr>
              <w:t>10.45%</w:t>
            </w:r>
          </w:p>
        </w:tc>
      </w:tr>
    </w:tbl>
    <w:p w14:paraId="7EEFF1E6" w14:textId="77777777" w:rsidR="00EF4A30" w:rsidRPr="00ED172B" w:rsidRDefault="00EF4A30">
      <w:pPr>
        <w:rPr>
          <w:b/>
          <w:color w:val="000000" w:themeColor="text1"/>
        </w:rPr>
      </w:pPr>
      <w:r w:rsidRPr="00ED172B">
        <w:rPr>
          <w:b/>
          <w:color w:val="000000" w:themeColor="text1"/>
        </w:rPr>
        <w:t>Targets</w:t>
      </w:r>
    </w:p>
    <w:tbl>
      <w:tblPr>
        <w:tblW w:w="42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TARGETS"/>
      </w:tblPr>
      <w:tblGrid>
        <w:gridCol w:w="1540"/>
        <w:gridCol w:w="1541"/>
        <w:gridCol w:w="1543"/>
        <w:gridCol w:w="1541"/>
        <w:gridCol w:w="1543"/>
        <w:gridCol w:w="1541"/>
      </w:tblGrid>
      <w:tr w:rsidR="009E2382" w:rsidRPr="00ED172B" w14:paraId="1D435074" w14:textId="5FE636B7" w:rsidTr="006B0ACA">
        <w:trPr>
          <w:trHeight w:val="277"/>
        </w:trPr>
        <w:tc>
          <w:tcPr>
            <w:tcW w:w="833" w:type="pct"/>
            <w:tcBorders>
              <w:bottom w:val="single" w:sz="4" w:space="0" w:color="auto"/>
            </w:tcBorders>
            <w:shd w:val="clear" w:color="auto" w:fill="auto"/>
          </w:tcPr>
          <w:p w14:paraId="561FEE47" w14:textId="77777777" w:rsidR="009E2382" w:rsidRPr="00ED172B" w:rsidRDefault="009E2382" w:rsidP="006B2FE9">
            <w:pPr>
              <w:jc w:val="center"/>
              <w:rPr>
                <w:b/>
                <w:color w:val="000000" w:themeColor="text1"/>
                <w:szCs w:val="16"/>
              </w:rPr>
            </w:pPr>
            <w:r w:rsidRPr="00ED172B">
              <w:rPr>
                <w:b/>
                <w:color w:val="000000" w:themeColor="text1"/>
                <w:szCs w:val="16"/>
              </w:rPr>
              <w:t>FFY</w:t>
            </w:r>
          </w:p>
        </w:tc>
        <w:tc>
          <w:tcPr>
            <w:tcW w:w="833" w:type="pct"/>
            <w:shd w:val="clear" w:color="auto" w:fill="auto"/>
            <w:vAlign w:val="center"/>
          </w:tcPr>
          <w:p w14:paraId="2204FF06" w14:textId="1616FAAA" w:rsidR="009E2382" w:rsidRPr="00ED172B" w:rsidRDefault="009E2382" w:rsidP="006B2FE9">
            <w:pPr>
              <w:jc w:val="center"/>
              <w:rPr>
                <w:b/>
                <w:color w:val="000000" w:themeColor="text1"/>
                <w:szCs w:val="16"/>
              </w:rPr>
            </w:pPr>
            <w:r w:rsidRPr="00ED172B">
              <w:rPr>
                <w:rFonts w:cs="Arial"/>
                <w:b/>
                <w:color w:val="000000" w:themeColor="text1"/>
                <w:szCs w:val="16"/>
              </w:rPr>
              <w:t>2021</w:t>
            </w:r>
          </w:p>
        </w:tc>
        <w:tc>
          <w:tcPr>
            <w:tcW w:w="834" w:type="pct"/>
          </w:tcPr>
          <w:p w14:paraId="1DCDE632" w14:textId="0D933CB4" w:rsidR="009E2382" w:rsidRPr="00ED172B" w:rsidRDefault="009E2382" w:rsidP="006B2FE9">
            <w:pPr>
              <w:jc w:val="center"/>
              <w:rPr>
                <w:rFonts w:cs="Arial"/>
                <w:b/>
                <w:color w:val="000000" w:themeColor="text1"/>
                <w:szCs w:val="16"/>
              </w:rPr>
            </w:pPr>
            <w:r>
              <w:rPr>
                <w:rFonts w:cs="Arial"/>
                <w:b/>
                <w:color w:val="000000" w:themeColor="text1"/>
                <w:szCs w:val="16"/>
              </w:rPr>
              <w:t>2022</w:t>
            </w:r>
          </w:p>
        </w:tc>
        <w:tc>
          <w:tcPr>
            <w:tcW w:w="833" w:type="pct"/>
          </w:tcPr>
          <w:p w14:paraId="7F04CC39" w14:textId="648C9051" w:rsidR="009E2382" w:rsidRPr="00ED172B" w:rsidRDefault="009E2382" w:rsidP="006B2FE9">
            <w:pPr>
              <w:jc w:val="center"/>
              <w:rPr>
                <w:rFonts w:cs="Arial"/>
                <w:b/>
                <w:color w:val="000000" w:themeColor="text1"/>
                <w:szCs w:val="16"/>
              </w:rPr>
            </w:pPr>
            <w:r w:rsidRPr="005A1B4F">
              <w:rPr>
                <w:rFonts w:cs="Arial"/>
                <w:b/>
                <w:color w:val="000000" w:themeColor="text1"/>
                <w:szCs w:val="16"/>
              </w:rPr>
              <w:t>2023</w:t>
            </w:r>
          </w:p>
        </w:tc>
        <w:tc>
          <w:tcPr>
            <w:tcW w:w="834" w:type="pct"/>
          </w:tcPr>
          <w:p w14:paraId="761BB285" w14:textId="7F8965D6" w:rsidR="009E2382" w:rsidRPr="00ED172B" w:rsidRDefault="009E2382" w:rsidP="006B2FE9">
            <w:pPr>
              <w:jc w:val="center"/>
              <w:rPr>
                <w:rFonts w:cs="Arial"/>
                <w:b/>
                <w:color w:val="000000" w:themeColor="text1"/>
                <w:szCs w:val="16"/>
              </w:rPr>
            </w:pPr>
            <w:r w:rsidRPr="005A1B4F">
              <w:rPr>
                <w:rFonts w:cs="Arial"/>
                <w:b/>
                <w:color w:val="000000" w:themeColor="text1"/>
                <w:szCs w:val="16"/>
              </w:rPr>
              <w:t>2024</w:t>
            </w:r>
          </w:p>
        </w:tc>
        <w:tc>
          <w:tcPr>
            <w:tcW w:w="833" w:type="pct"/>
          </w:tcPr>
          <w:p w14:paraId="1F9C966C" w14:textId="5514D0F5" w:rsidR="009E2382" w:rsidRPr="00ED172B" w:rsidRDefault="009E2382" w:rsidP="006B2FE9">
            <w:pPr>
              <w:jc w:val="center"/>
              <w:rPr>
                <w:rFonts w:cs="Arial"/>
                <w:b/>
                <w:color w:val="000000" w:themeColor="text1"/>
                <w:szCs w:val="16"/>
              </w:rPr>
            </w:pPr>
            <w:r w:rsidRPr="005A1B4F">
              <w:rPr>
                <w:rFonts w:cs="Arial"/>
                <w:b/>
                <w:color w:val="000000" w:themeColor="text1"/>
                <w:szCs w:val="16"/>
              </w:rPr>
              <w:t>2025</w:t>
            </w:r>
          </w:p>
        </w:tc>
      </w:tr>
      <w:tr w:rsidR="009E2382" w:rsidRPr="00ED172B" w14:paraId="43BE8A8B" w14:textId="18ECC93C" w:rsidTr="006B0ACA">
        <w:trPr>
          <w:trHeight w:val="283"/>
        </w:trPr>
        <w:tc>
          <w:tcPr>
            <w:tcW w:w="833" w:type="pct"/>
            <w:shd w:val="clear" w:color="auto" w:fill="auto"/>
          </w:tcPr>
          <w:p w14:paraId="3A722C96" w14:textId="7558E2BE" w:rsidR="009E2382" w:rsidRPr="00ED172B" w:rsidRDefault="009E2382" w:rsidP="006B2FE9">
            <w:pPr>
              <w:rPr>
                <w:color w:val="000000" w:themeColor="text1"/>
                <w:szCs w:val="16"/>
              </w:rPr>
            </w:pPr>
            <w:r w:rsidRPr="00ED172B">
              <w:rPr>
                <w:color w:val="000000" w:themeColor="text1"/>
                <w:szCs w:val="16"/>
              </w:rPr>
              <w:t xml:space="preserve">Target </w:t>
            </w:r>
            <w:r w:rsidRPr="00ED172B">
              <w:rPr>
                <w:rFonts w:cs="Arial"/>
                <w:color w:val="000000" w:themeColor="text1"/>
                <w:szCs w:val="16"/>
              </w:rPr>
              <w:t>&gt;=</w:t>
            </w:r>
          </w:p>
        </w:tc>
        <w:tc>
          <w:tcPr>
            <w:tcW w:w="833" w:type="pct"/>
            <w:shd w:val="clear" w:color="auto" w:fill="auto"/>
            <w:vAlign w:val="center"/>
          </w:tcPr>
          <w:p w14:paraId="4925440B" w14:textId="6DFF86C9" w:rsidR="009E2382" w:rsidRPr="00ED172B" w:rsidRDefault="009E2382" w:rsidP="006B2FE9">
            <w:pPr>
              <w:jc w:val="center"/>
              <w:rPr>
                <w:color w:val="000000" w:themeColor="text1"/>
              </w:rPr>
            </w:pPr>
            <w:r w:rsidRPr="00ED172B">
              <w:rPr>
                <w:color w:val="000000" w:themeColor="text1"/>
              </w:rPr>
              <w:t>6.00%</w:t>
            </w:r>
          </w:p>
        </w:tc>
        <w:tc>
          <w:tcPr>
            <w:tcW w:w="834" w:type="pct"/>
          </w:tcPr>
          <w:p w14:paraId="4EF0C269" w14:textId="5AFCA64F" w:rsidR="009E2382" w:rsidRPr="00ED172B" w:rsidRDefault="009E2382" w:rsidP="006B2FE9">
            <w:pPr>
              <w:jc w:val="center"/>
              <w:rPr>
                <w:color w:val="000000" w:themeColor="text1"/>
              </w:rPr>
            </w:pPr>
            <w:r>
              <w:rPr>
                <w:rFonts w:cs="Arial"/>
                <w:color w:val="000000" w:themeColor="text1"/>
                <w:szCs w:val="16"/>
              </w:rPr>
              <w:t>6.00%</w:t>
            </w:r>
          </w:p>
        </w:tc>
        <w:tc>
          <w:tcPr>
            <w:tcW w:w="833" w:type="pct"/>
          </w:tcPr>
          <w:p w14:paraId="055F1828" w14:textId="4AEDF7E7" w:rsidR="009E2382" w:rsidRPr="00ED172B" w:rsidRDefault="009E2382" w:rsidP="006B2FE9">
            <w:pPr>
              <w:jc w:val="center"/>
              <w:rPr>
                <w:color w:val="000000" w:themeColor="text1"/>
              </w:rPr>
            </w:pPr>
            <w:r w:rsidRPr="005F5F3C">
              <w:rPr>
                <w:rFonts w:cs="Arial"/>
                <w:color w:val="000000" w:themeColor="text1"/>
                <w:szCs w:val="16"/>
              </w:rPr>
              <w:t>6.00%</w:t>
            </w:r>
          </w:p>
        </w:tc>
        <w:tc>
          <w:tcPr>
            <w:tcW w:w="834" w:type="pct"/>
          </w:tcPr>
          <w:p w14:paraId="2C2E5A20" w14:textId="44D7F271" w:rsidR="009E2382" w:rsidRPr="00ED172B" w:rsidRDefault="009E2382" w:rsidP="006B2FE9">
            <w:pPr>
              <w:jc w:val="center"/>
              <w:rPr>
                <w:color w:val="000000" w:themeColor="text1"/>
              </w:rPr>
            </w:pPr>
            <w:r w:rsidRPr="005F5F3C">
              <w:rPr>
                <w:rFonts w:cs="Arial"/>
                <w:color w:val="000000" w:themeColor="text1"/>
                <w:szCs w:val="16"/>
              </w:rPr>
              <w:t>6.00%</w:t>
            </w:r>
          </w:p>
        </w:tc>
        <w:tc>
          <w:tcPr>
            <w:tcW w:w="833" w:type="pct"/>
          </w:tcPr>
          <w:p w14:paraId="09443BD2" w14:textId="6771814B" w:rsidR="009E2382" w:rsidRPr="00ED172B" w:rsidRDefault="009E2382" w:rsidP="006B2FE9">
            <w:pPr>
              <w:jc w:val="center"/>
              <w:rPr>
                <w:color w:val="000000" w:themeColor="text1"/>
              </w:rPr>
            </w:pPr>
            <w:r w:rsidRPr="005F5F3C">
              <w:rPr>
                <w:rFonts w:cs="Arial"/>
                <w:color w:val="000000" w:themeColor="text1"/>
                <w:szCs w:val="16"/>
              </w:rPr>
              <w:t>6.00%</w:t>
            </w:r>
          </w:p>
        </w:tc>
      </w:tr>
    </w:tbl>
    <w:p w14:paraId="31708672" w14:textId="7691570D" w:rsidR="00F80C9C" w:rsidRDefault="00F80C9C" w:rsidP="00F80C9C">
      <w:pPr>
        <w:pStyle w:val="Bold"/>
        <w:rPr>
          <w:color w:val="000000" w:themeColor="text1"/>
        </w:rPr>
      </w:pPr>
      <w:r w:rsidRPr="00ED172B">
        <w:rPr>
          <w:color w:val="000000" w:themeColor="text1"/>
        </w:rPr>
        <w:t xml:space="preserve">Targets: Description of Stakeholder Input </w:t>
      </w:r>
    </w:p>
    <w:p w14:paraId="21FFEE67" w14:textId="4F5F7951" w:rsidR="00B91988" w:rsidRDefault="00CF03E0" w:rsidP="00ED172B">
      <w:pPr>
        <w:rPr>
          <w:color w:val="000000" w:themeColor="text1"/>
        </w:rPr>
      </w:pPr>
      <w:r w:rsidRPr="00ED172B">
        <w:rPr>
          <w:color w:val="000000" w:themeColor="text1"/>
        </w:rPr>
        <w:t>MA-C collaborates closely with other State agencies on a variety of issues related to the early childhood system of care and the Part C system, including the Department of Elementary and Secondary Education (DESE), Purchase of Services Office (POS), the Office of Health Equity (OHE), the Division of Medical Assistance (MassHealth), the Department of Early Education and Care (EEC), the Office for the Child Advocate (OCA), the Division of Insurance (DOI), the Massachusetts Maternal, Infant, and Early Childhood Home Visiting team (MassMIECHV), the Early Intervention Parenting Partnerships (EIPP), the Massachusetts Autism Commission (MAC), Massachusetts Child Psychiatry Access Project (MCPAP), and the and the Department of Mental Health (DMH). Most of these agencies are represented on the State Interagency Coordinating Council (ICC).</w:t>
        <w:br/>
        <w:t/>
        <w:br/>
        <w:t>This Annual Performance Report (APR) was developed with broad stakeholder input. At a State Interagency Coordinating Council (ICC) meeting in January 2023, the members reviewed results from FFY21 (7/1/21-6/30/22) for each indicator. Drafts were also shared with staff from the Early Childhood Technical Assistance Center (ECTA), who reviewed and provided initial feedback and guidance. On January 24, 2023, the ICC co-chairs adopted the APR as in lieu of submitting its own report, fulfilling the State Interagency Coordinating Council's obligations to report to the U.S. Department of Education for FFY21.</w:t>
      </w:r>
    </w:p>
    <w:p w14:paraId="712D4B5A" w14:textId="60F10C46" w:rsidR="004A1179" w:rsidRPr="00ED172B" w:rsidRDefault="004A1179" w:rsidP="00F80C9C">
      <w:pPr>
        <w:pStyle w:val="Bold"/>
        <w:rPr>
          <w:b w:val="0"/>
          <w:color w:val="000000" w:themeColor="text1"/>
        </w:rPr>
      </w:pPr>
      <w:r w:rsidRPr="00ED172B">
        <w:rPr>
          <w:rFonts w:cs="Arial"/>
          <w:b w:val="0"/>
          <w:color w:val="000000" w:themeColor="text1"/>
          <w:szCs w:val="16"/>
        </w:rPr>
        <w:t/>
      </w:r>
    </w:p>
    <w:p w14:paraId="06114D28" w14:textId="77777777" w:rsidR="00B609A4" w:rsidRPr="00ED172B" w:rsidRDefault="00B609A4">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PREPOPDATA"/>
      </w:tblPr>
      <w:tblGrid>
        <w:gridCol w:w="3145"/>
        <w:gridCol w:w="3420"/>
        <w:gridCol w:w="2518"/>
        <w:gridCol w:w="1707"/>
      </w:tblGrid>
      <w:tr w:rsidR="00ED172B" w:rsidRPr="00ED172B" w14:paraId="174D843E" w14:textId="77777777" w:rsidTr="00986B99">
        <w:trPr>
          <w:trHeight w:val="372"/>
          <w:tblHeader/>
        </w:trPr>
        <w:tc>
          <w:tcPr>
            <w:tcW w:w="1457" w:type="pct"/>
            <w:shd w:val="clear" w:color="auto" w:fill="auto"/>
          </w:tcPr>
          <w:p w14:paraId="60C9A5E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Source</w:t>
            </w:r>
          </w:p>
        </w:tc>
        <w:tc>
          <w:tcPr>
            <w:tcW w:w="1585" w:type="pct"/>
            <w:shd w:val="clear" w:color="auto" w:fill="auto"/>
          </w:tcPr>
          <w:p w14:paraId="32EEC63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Date</w:t>
            </w:r>
          </w:p>
        </w:tc>
        <w:tc>
          <w:tcPr>
            <w:tcW w:w="1167" w:type="pct"/>
            <w:shd w:val="clear" w:color="auto" w:fill="auto"/>
          </w:tcPr>
          <w:p w14:paraId="0D362AE2"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Description</w:t>
            </w:r>
          </w:p>
        </w:tc>
        <w:tc>
          <w:tcPr>
            <w:tcW w:w="791" w:type="pct"/>
            <w:shd w:val="clear" w:color="auto" w:fill="auto"/>
          </w:tcPr>
          <w:p w14:paraId="7217D4D9" w14:textId="77777777" w:rsidR="00B609A4" w:rsidRPr="00ED172B" w:rsidRDefault="00B609A4" w:rsidP="00715B7C">
            <w:pPr>
              <w:spacing w:after="0"/>
              <w:jc w:val="center"/>
              <w:rPr>
                <w:rFonts w:cs="Arial"/>
                <w:b/>
                <w:color w:val="000000" w:themeColor="text1"/>
                <w:szCs w:val="16"/>
              </w:rPr>
            </w:pPr>
            <w:r w:rsidRPr="00ED172B">
              <w:rPr>
                <w:rFonts w:cs="Arial"/>
                <w:b/>
                <w:color w:val="000000" w:themeColor="text1"/>
                <w:szCs w:val="16"/>
              </w:rPr>
              <w:t>Data</w:t>
            </w:r>
          </w:p>
        </w:tc>
      </w:tr>
      <w:tr w:rsidR="00ED172B" w:rsidRPr="00ED172B" w14:paraId="3AF48BB2" w14:textId="77777777" w:rsidTr="00986B99">
        <w:trPr>
          <w:trHeight w:val="380"/>
        </w:trPr>
        <w:tc>
          <w:tcPr>
            <w:tcW w:w="1457" w:type="pct"/>
            <w:shd w:val="clear" w:color="auto" w:fill="auto"/>
            <w:vAlign w:val="center"/>
          </w:tcPr>
          <w:p w14:paraId="13D6F84C" w14:textId="3A0EB7E5" w:rsidR="00B609A4" w:rsidRPr="00ED172B" w:rsidRDefault="00753E04" w:rsidP="00715B7C">
            <w:pPr>
              <w:jc w:val="center"/>
              <w:rPr>
                <w:rFonts w:cs="Arial"/>
                <w:color w:val="000000" w:themeColor="text1"/>
                <w:szCs w:val="16"/>
              </w:rPr>
            </w:pPr>
            <w:r w:rsidRPr="00ED172B">
              <w:rPr>
                <w:rFonts w:cs="Arial"/>
                <w:color w:val="000000" w:themeColor="text1"/>
                <w:szCs w:val="16"/>
              </w:rPr>
              <w:t>SY 2021-22 EMAPS IDEA Part C Child Count and Settings Survey; Section A: Child Count and Settings by Age</w:t>
            </w:r>
          </w:p>
        </w:tc>
        <w:tc>
          <w:tcPr>
            <w:tcW w:w="1585" w:type="pct"/>
            <w:shd w:val="clear" w:color="auto" w:fill="auto"/>
            <w:vAlign w:val="center"/>
          </w:tcPr>
          <w:p w14:paraId="390030CF" w14:textId="7871DF66" w:rsidR="00B609A4" w:rsidRPr="00ED172B" w:rsidRDefault="00753E04" w:rsidP="00715B7C">
            <w:pPr>
              <w:jc w:val="center"/>
              <w:rPr>
                <w:rFonts w:cs="Arial"/>
                <w:color w:val="000000" w:themeColor="text1"/>
                <w:szCs w:val="16"/>
              </w:rPr>
            </w:pPr>
            <w:r w:rsidRPr="00ED172B">
              <w:rPr>
                <w:rFonts w:cs="Arial"/>
                <w:color w:val="000000" w:themeColor="text1"/>
                <w:szCs w:val="16"/>
              </w:rPr>
              <w:t>07/06/2022</w:t>
            </w:r>
          </w:p>
        </w:tc>
        <w:tc>
          <w:tcPr>
            <w:tcW w:w="1167" w:type="pct"/>
            <w:shd w:val="clear" w:color="auto" w:fill="auto"/>
            <w:vAlign w:val="center"/>
          </w:tcPr>
          <w:p w14:paraId="575D4DB0" w14:textId="05264684" w:rsidR="00B609A4" w:rsidRPr="00ED172B" w:rsidRDefault="00B609A4" w:rsidP="00715B7C">
            <w:pPr>
              <w:jc w:val="center"/>
              <w:rPr>
                <w:rFonts w:cs="Arial"/>
                <w:color w:val="000000" w:themeColor="text1"/>
                <w:szCs w:val="16"/>
              </w:rPr>
            </w:pPr>
            <w:r w:rsidRPr="00ED172B">
              <w:rPr>
                <w:rFonts w:cs="Arial"/>
                <w:color w:val="000000" w:themeColor="text1"/>
                <w:szCs w:val="16"/>
              </w:rPr>
              <w:t>Number of infants and toddlers birth to 3 with IFSPs</w:t>
            </w:r>
          </w:p>
        </w:tc>
        <w:tc>
          <w:tcPr>
            <w:tcW w:w="791" w:type="pct"/>
            <w:shd w:val="clear" w:color="auto" w:fill="auto"/>
            <w:vAlign w:val="center"/>
          </w:tcPr>
          <w:p w14:paraId="317A46A2" w14:textId="2FD810F0" w:rsidR="00B609A4" w:rsidRPr="00ED172B" w:rsidRDefault="00860830" w:rsidP="00715B7C">
            <w:pPr>
              <w:jc w:val="center"/>
              <w:rPr>
                <w:rFonts w:cs="Arial"/>
                <w:color w:val="000000" w:themeColor="text1"/>
                <w:szCs w:val="16"/>
              </w:rPr>
            </w:pPr>
            <w:r w:rsidRPr="00ED172B">
              <w:rPr>
                <w:color w:val="000000" w:themeColor="text1"/>
                <w:szCs w:val="16"/>
              </w:rPr>
              <w:t>20,316</w:t>
            </w:r>
          </w:p>
        </w:tc>
      </w:tr>
      <w:tr w:rsidR="00ED172B" w:rsidRPr="00ED172B" w14:paraId="27E196B0" w14:textId="77777777" w:rsidTr="00986B99">
        <w:trPr>
          <w:trHeight w:val="380"/>
        </w:trPr>
        <w:tc>
          <w:tcPr>
            <w:tcW w:w="1457" w:type="pct"/>
            <w:shd w:val="clear" w:color="auto" w:fill="auto"/>
            <w:vAlign w:val="center"/>
          </w:tcPr>
          <w:p w14:paraId="529FF325" w14:textId="43943F85"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Annual State Resident Population Estimates for 6 Race Groups (5 Race Alone Groups and Two or More Races) by Age, Sex, and Hispanic Origin: April 1, 2020 to July 1, 2021</w:t>
            </w:r>
          </w:p>
        </w:tc>
        <w:tc>
          <w:tcPr>
            <w:tcW w:w="1585" w:type="pct"/>
            <w:shd w:val="clear" w:color="auto" w:fill="auto"/>
            <w:vAlign w:val="center"/>
          </w:tcPr>
          <w:p w14:paraId="5D3FB738" w14:textId="5F3B6F61" w:rsidR="00B609A4" w:rsidRPr="00ED172B" w:rsidRDefault="00753E04" w:rsidP="00715B7C">
            <w:pPr>
              <w:jc w:val="center"/>
              <w:rPr>
                <w:rFonts w:cs="Arial"/>
                <w:color w:val="000000" w:themeColor="text1"/>
                <w:szCs w:val="16"/>
              </w:rPr>
            </w:pPr>
            <w:r w:rsidRPr="00ED172B">
              <w:rPr>
                <w:rFonts w:cs="Arial"/>
                <w:color w:val="000000" w:themeColor="text1"/>
                <w:szCs w:val="16"/>
                <w:shd w:val="clear" w:color="auto" w:fill="FFFFFF"/>
              </w:rPr>
              <w:t>06/28/2022</w:t>
            </w:r>
          </w:p>
        </w:tc>
        <w:tc>
          <w:tcPr>
            <w:tcW w:w="1167" w:type="pct"/>
            <w:shd w:val="clear" w:color="auto" w:fill="auto"/>
            <w:vAlign w:val="center"/>
          </w:tcPr>
          <w:p w14:paraId="7064C4F2" w14:textId="51035A52" w:rsidR="00B609A4" w:rsidRPr="00ED172B" w:rsidRDefault="00B609A4" w:rsidP="00715B7C">
            <w:pPr>
              <w:jc w:val="center"/>
              <w:rPr>
                <w:rFonts w:cs="Arial"/>
                <w:color w:val="000000" w:themeColor="text1"/>
                <w:szCs w:val="16"/>
              </w:rPr>
            </w:pPr>
            <w:r w:rsidRPr="00ED172B">
              <w:rPr>
                <w:rFonts w:cs="Arial"/>
                <w:color w:val="000000" w:themeColor="text1"/>
                <w:szCs w:val="16"/>
              </w:rPr>
              <w:t>Population of infants and toddlers birth to 3</w:t>
            </w:r>
          </w:p>
        </w:tc>
        <w:tc>
          <w:tcPr>
            <w:tcW w:w="791" w:type="pct"/>
            <w:shd w:val="clear" w:color="auto" w:fill="auto"/>
            <w:vAlign w:val="center"/>
          </w:tcPr>
          <w:p w14:paraId="64E45D71" w14:textId="721F6F55" w:rsidR="00B609A4" w:rsidRPr="00ED172B" w:rsidRDefault="00860830" w:rsidP="00715B7C">
            <w:pPr>
              <w:jc w:val="center"/>
              <w:rPr>
                <w:rFonts w:cs="Arial"/>
                <w:color w:val="000000" w:themeColor="text1"/>
                <w:szCs w:val="16"/>
              </w:rPr>
            </w:pPr>
            <w:r w:rsidRPr="00ED172B">
              <w:rPr>
                <w:color w:val="000000" w:themeColor="text1"/>
                <w:szCs w:val="16"/>
              </w:rPr>
              <w:t>204,232</w:t>
            </w:r>
          </w:p>
        </w:tc>
      </w:tr>
    </w:tbl>
    <w:p w14:paraId="145EA13A" w14:textId="0CF14DDE" w:rsidR="00B609A4" w:rsidRPr="00ED172B" w:rsidRDefault="00F22D09">
      <w:pPr>
        <w:rPr>
          <w:b/>
          <w:color w:val="000000" w:themeColor="text1"/>
        </w:rPr>
      </w:pPr>
      <w:r>
        <w:rPr>
          <w:b/>
          <w:color w:val="000000" w:themeColor="text1"/>
        </w:rPr>
        <w:t>FFY 2021 SPP/APR Data</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6FFYAPRDATA"/>
      </w:tblPr>
      <w:tblGrid>
        <w:gridCol w:w="2430"/>
        <w:gridCol w:w="2070"/>
        <w:gridCol w:w="1349"/>
        <w:gridCol w:w="1261"/>
        <w:gridCol w:w="1259"/>
        <w:gridCol w:w="1261"/>
        <w:gridCol w:w="1164"/>
      </w:tblGrid>
      <w:tr w:rsidR="00ED172B" w:rsidRPr="00ED172B" w14:paraId="00A10F82" w14:textId="77777777" w:rsidTr="00986B99">
        <w:trPr>
          <w:trHeight w:val="359"/>
          <w:tblHeader/>
        </w:trPr>
        <w:tc>
          <w:tcPr>
            <w:tcW w:w="1126" w:type="pct"/>
            <w:shd w:val="clear" w:color="auto" w:fill="auto"/>
            <w:vAlign w:val="bottom"/>
          </w:tcPr>
          <w:p w14:paraId="0D5BE5E5" w14:textId="685BA0DE" w:rsidR="00967D30" w:rsidRPr="00ED172B" w:rsidRDefault="00967D30" w:rsidP="00967D30">
            <w:pPr>
              <w:jc w:val="center"/>
              <w:rPr>
                <w:rFonts w:cs="Arial"/>
                <w:b/>
                <w:color w:val="000000" w:themeColor="text1"/>
                <w:szCs w:val="16"/>
              </w:rPr>
            </w:pPr>
            <w:r w:rsidRPr="00ED172B">
              <w:rPr>
                <w:rFonts w:cs="Arial"/>
                <w:b/>
                <w:color w:val="000000" w:themeColor="text1"/>
                <w:szCs w:val="16"/>
              </w:rPr>
              <w:t>Number of infants and toddlers birth to 3 with IFSPs</w:t>
            </w:r>
          </w:p>
        </w:tc>
        <w:tc>
          <w:tcPr>
            <w:tcW w:w="959" w:type="pct"/>
            <w:shd w:val="clear" w:color="auto" w:fill="auto"/>
            <w:vAlign w:val="bottom"/>
          </w:tcPr>
          <w:p w14:paraId="198F4208" w14:textId="4A8CFA40" w:rsidR="00967D30" w:rsidRPr="00ED172B" w:rsidRDefault="00967D30" w:rsidP="00967D30">
            <w:pPr>
              <w:jc w:val="center"/>
              <w:rPr>
                <w:rFonts w:cs="Arial"/>
                <w:color w:val="000000" w:themeColor="text1"/>
                <w:szCs w:val="16"/>
              </w:rPr>
            </w:pPr>
            <w:r w:rsidRPr="00ED172B">
              <w:rPr>
                <w:rFonts w:cs="Arial"/>
                <w:b/>
                <w:color w:val="000000" w:themeColor="text1"/>
                <w:szCs w:val="16"/>
              </w:rPr>
              <w:t>Population of infants and toddlers birth to 3</w:t>
            </w:r>
          </w:p>
        </w:tc>
        <w:tc>
          <w:tcPr>
            <w:tcW w:w="625" w:type="pct"/>
            <w:shd w:val="clear" w:color="auto" w:fill="auto"/>
            <w:vAlign w:val="bottom"/>
          </w:tcPr>
          <w:p w14:paraId="27E4FD75" w14:textId="1A063414" w:rsidR="00967D30" w:rsidRPr="00ED172B" w:rsidRDefault="00CD74B5" w:rsidP="00967D30">
            <w:pPr>
              <w:jc w:val="center"/>
              <w:rPr>
                <w:rFonts w:cs="Arial"/>
                <w:b/>
                <w:color w:val="000000" w:themeColor="text1"/>
                <w:szCs w:val="16"/>
              </w:rPr>
            </w:pPr>
            <w:r>
              <w:rPr>
                <w:rFonts w:cs="Arial"/>
                <w:b/>
                <w:color w:val="000000" w:themeColor="text1"/>
                <w:szCs w:val="16"/>
              </w:rPr>
              <w:t>FFY 2020 Data</w:t>
            </w:r>
          </w:p>
        </w:tc>
        <w:tc>
          <w:tcPr>
            <w:tcW w:w="584" w:type="pct"/>
            <w:shd w:val="clear" w:color="auto" w:fill="auto"/>
            <w:vAlign w:val="bottom"/>
          </w:tcPr>
          <w:p w14:paraId="16DC2F19" w14:textId="7B08A1FA" w:rsidR="00967D30" w:rsidRPr="00ED172B" w:rsidRDefault="00F22D09" w:rsidP="00967D30">
            <w:pPr>
              <w:jc w:val="center"/>
              <w:rPr>
                <w:rFonts w:cs="Arial"/>
                <w:b/>
                <w:color w:val="000000" w:themeColor="text1"/>
                <w:szCs w:val="16"/>
              </w:rPr>
            </w:pPr>
            <w:r>
              <w:rPr>
                <w:rFonts w:cs="Arial"/>
                <w:b/>
                <w:color w:val="000000" w:themeColor="text1"/>
                <w:szCs w:val="16"/>
              </w:rPr>
              <w:t>FFY 2021 Target</w:t>
            </w:r>
          </w:p>
        </w:tc>
        <w:tc>
          <w:tcPr>
            <w:tcW w:w="583" w:type="pct"/>
            <w:shd w:val="clear" w:color="auto" w:fill="auto"/>
            <w:vAlign w:val="bottom"/>
          </w:tcPr>
          <w:p w14:paraId="18079166" w14:textId="153AF54D" w:rsidR="00967D30" w:rsidRPr="00ED172B" w:rsidRDefault="00F22D09" w:rsidP="00967D30">
            <w:pPr>
              <w:jc w:val="center"/>
              <w:rPr>
                <w:rFonts w:cs="Arial"/>
                <w:b/>
                <w:color w:val="000000" w:themeColor="text1"/>
                <w:szCs w:val="16"/>
              </w:rPr>
            </w:pPr>
            <w:r>
              <w:rPr>
                <w:rFonts w:cs="Arial"/>
                <w:b/>
                <w:color w:val="000000" w:themeColor="text1"/>
                <w:szCs w:val="16"/>
              </w:rPr>
              <w:t>FFY 2021 Data</w:t>
            </w:r>
          </w:p>
        </w:tc>
        <w:tc>
          <w:tcPr>
            <w:tcW w:w="584" w:type="pct"/>
            <w:shd w:val="clear" w:color="auto" w:fill="auto"/>
            <w:vAlign w:val="bottom"/>
          </w:tcPr>
          <w:p w14:paraId="7561BC2F"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Status</w:t>
            </w:r>
          </w:p>
        </w:tc>
        <w:tc>
          <w:tcPr>
            <w:tcW w:w="539" w:type="pct"/>
            <w:shd w:val="clear" w:color="auto" w:fill="auto"/>
            <w:vAlign w:val="bottom"/>
          </w:tcPr>
          <w:p w14:paraId="417D57E0" w14:textId="77777777" w:rsidR="00967D30" w:rsidRPr="00ED172B" w:rsidRDefault="00967D30" w:rsidP="00967D30">
            <w:pPr>
              <w:jc w:val="center"/>
              <w:rPr>
                <w:rFonts w:cs="Arial"/>
                <w:b/>
                <w:color w:val="000000" w:themeColor="text1"/>
                <w:szCs w:val="16"/>
              </w:rPr>
            </w:pPr>
            <w:r w:rsidRPr="00ED172B">
              <w:rPr>
                <w:rFonts w:cs="Arial"/>
                <w:b/>
                <w:color w:val="000000" w:themeColor="text1"/>
                <w:szCs w:val="16"/>
              </w:rPr>
              <w:t>Slippage</w:t>
            </w:r>
          </w:p>
        </w:tc>
      </w:tr>
      <w:tr w:rsidR="00ED172B" w:rsidRPr="00ED172B" w14:paraId="14CA60A2" w14:textId="77777777" w:rsidTr="00986B99">
        <w:trPr>
          <w:trHeight w:val="366"/>
        </w:trPr>
        <w:tc>
          <w:tcPr>
            <w:tcW w:w="1126" w:type="pct"/>
            <w:shd w:val="clear" w:color="auto" w:fill="auto"/>
            <w:vAlign w:val="center"/>
          </w:tcPr>
          <w:p w14:paraId="3DDCAD9E" w14:textId="0620885E" w:rsidR="00897554" w:rsidRPr="00ED172B" w:rsidRDefault="00860830" w:rsidP="00897554">
            <w:pPr>
              <w:jc w:val="center"/>
              <w:rPr>
                <w:rFonts w:cs="Arial"/>
                <w:color w:val="000000" w:themeColor="text1"/>
                <w:szCs w:val="16"/>
              </w:rPr>
            </w:pPr>
            <w:r w:rsidRPr="00ED172B">
              <w:rPr>
                <w:color w:val="000000" w:themeColor="text1"/>
                <w:szCs w:val="16"/>
              </w:rPr>
              <w:t>20,316</w:t>
            </w:r>
          </w:p>
        </w:tc>
        <w:tc>
          <w:tcPr>
            <w:tcW w:w="959" w:type="pct"/>
            <w:shd w:val="clear" w:color="auto" w:fill="auto"/>
            <w:vAlign w:val="center"/>
          </w:tcPr>
          <w:p w14:paraId="55FD5380" w14:textId="291C2FAE" w:rsidR="00897554" w:rsidRPr="00ED172B" w:rsidRDefault="00860830" w:rsidP="00897554">
            <w:pPr>
              <w:jc w:val="center"/>
              <w:rPr>
                <w:rFonts w:cs="Arial"/>
                <w:color w:val="000000" w:themeColor="text1"/>
                <w:szCs w:val="16"/>
              </w:rPr>
            </w:pPr>
            <w:r w:rsidRPr="00ED172B">
              <w:rPr>
                <w:color w:val="000000" w:themeColor="text1"/>
                <w:szCs w:val="16"/>
              </w:rPr>
              <w:t>204,232</w:t>
            </w:r>
          </w:p>
        </w:tc>
        <w:tc>
          <w:tcPr>
            <w:tcW w:w="625" w:type="pct"/>
            <w:shd w:val="clear" w:color="auto" w:fill="auto"/>
            <w:vAlign w:val="center"/>
          </w:tcPr>
          <w:p w14:paraId="72793747" w14:textId="493DD05D" w:rsidR="00897554" w:rsidRPr="00ED172B" w:rsidRDefault="00860830" w:rsidP="00897554">
            <w:pPr>
              <w:jc w:val="center"/>
              <w:rPr>
                <w:rFonts w:cs="Arial"/>
                <w:color w:val="000000" w:themeColor="text1"/>
                <w:szCs w:val="16"/>
              </w:rPr>
            </w:pPr>
            <w:r w:rsidRPr="00ED172B">
              <w:rPr>
                <w:rFonts w:cs="Arial"/>
                <w:color w:val="000000" w:themeColor="text1"/>
                <w:szCs w:val="16"/>
              </w:rPr>
              <w:t>10.45%</w:t>
            </w:r>
          </w:p>
        </w:tc>
        <w:tc>
          <w:tcPr>
            <w:tcW w:w="584" w:type="pct"/>
            <w:shd w:val="clear" w:color="auto" w:fill="auto"/>
            <w:vAlign w:val="center"/>
          </w:tcPr>
          <w:p w14:paraId="2F4AA092" w14:textId="5BD12D82" w:rsidR="00897554" w:rsidRPr="00ED172B" w:rsidRDefault="00632DF6" w:rsidP="00632DF6">
            <w:pPr>
              <w:jc w:val="center"/>
              <w:rPr>
                <w:color w:val="000000" w:themeColor="text1"/>
              </w:rPr>
            </w:pPr>
            <w:r w:rsidRPr="00ED172B">
              <w:rPr>
                <w:color w:val="000000" w:themeColor="text1"/>
              </w:rPr>
              <w:t>6.00%</w:t>
            </w:r>
          </w:p>
        </w:tc>
        <w:tc>
          <w:tcPr>
            <w:tcW w:w="583" w:type="pct"/>
            <w:shd w:val="clear" w:color="auto" w:fill="auto"/>
            <w:vAlign w:val="center"/>
          </w:tcPr>
          <w:p w14:paraId="5CFECB97" w14:textId="261FA373" w:rsidR="00897554" w:rsidRPr="00ED172B" w:rsidRDefault="00860830" w:rsidP="00897554">
            <w:pPr>
              <w:jc w:val="center"/>
              <w:rPr>
                <w:rFonts w:cs="Arial"/>
                <w:color w:val="000000" w:themeColor="text1"/>
                <w:szCs w:val="16"/>
              </w:rPr>
            </w:pPr>
            <w:r w:rsidRPr="00ED172B">
              <w:rPr>
                <w:rFonts w:cs="Arial"/>
                <w:color w:val="000000" w:themeColor="text1"/>
                <w:szCs w:val="16"/>
              </w:rPr>
              <w:t>9.95%</w:t>
            </w:r>
          </w:p>
        </w:tc>
        <w:tc>
          <w:tcPr>
            <w:tcW w:w="584" w:type="pct"/>
            <w:shd w:val="clear" w:color="auto" w:fill="auto"/>
            <w:vAlign w:val="center"/>
          </w:tcPr>
          <w:p w14:paraId="35D555CB" w14:textId="444115B7" w:rsidR="00897554" w:rsidRPr="00ED172B" w:rsidRDefault="00E3423F" w:rsidP="00027F39">
            <w:pPr>
              <w:jc w:val="center"/>
              <w:rPr>
                <w:color w:val="000000" w:themeColor="text1"/>
              </w:rPr>
            </w:pPr>
            <w:r w:rsidRPr="00ED172B">
              <w:rPr>
                <w:color w:val="000000" w:themeColor="text1"/>
              </w:rPr>
              <w:t>Met target</w:t>
            </w:r>
          </w:p>
        </w:tc>
        <w:tc>
          <w:tcPr>
            <w:tcW w:w="539" w:type="pct"/>
            <w:shd w:val="clear" w:color="auto" w:fill="auto"/>
            <w:vAlign w:val="center"/>
          </w:tcPr>
          <w:p w14:paraId="544922D6" w14:textId="58EF666E" w:rsidR="00897554" w:rsidRPr="00ED172B" w:rsidRDefault="00E3423F" w:rsidP="00027F39">
            <w:pPr>
              <w:jc w:val="center"/>
              <w:rPr>
                <w:color w:val="000000" w:themeColor="text1"/>
              </w:rPr>
            </w:pPr>
            <w:r w:rsidRPr="00ED172B">
              <w:rPr>
                <w:color w:val="000000" w:themeColor="text1"/>
              </w:rPr>
              <w:t>No Slippage</w:t>
            </w:r>
          </w:p>
        </w:tc>
      </w:tr>
    </w:tbl>
    <w:p w14:paraId="6FBC07A0" w14:textId="1DA65C5E" w:rsidR="003A3693" w:rsidRPr="00ED172B" w:rsidRDefault="003A3693" w:rsidP="003A3693">
      <w:pPr>
        <w:rPr>
          <w:rFonts w:cs="Arial"/>
          <w:b/>
          <w:color w:val="000000" w:themeColor="text1"/>
          <w:szCs w:val="16"/>
        </w:rPr>
      </w:pPr>
      <w:r w:rsidRPr="00ED172B">
        <w:rPr>
          <w:rFonts w:cs="Arial"/>
          <w:b/>
          <w:color w:val="000000" w:themeColor="text1"/>
          <w:szCs w:val="16"/>
        </w:rPr>
        <w:t>Provide additional information about this indicator (optional).</w:t>
      </w:r>
    </w:p>
    <w:p w14:paraId="1B7D851B" w14:textId="10D0339D" w:rsidR="003A3693" w:rsidRPr="00ED172B" w:rsidRDefault="00860830" w:rsidP="003A3693">
      <w:pPr>
        <w:rPr>
          <w:rFonts w:cs="Arial"/>
          <w:color w:val="000000" w:themeColor="text1"/>
          <w:szCs w:val="16"/>
        </w:rPr>
      </w:pPr>
      <w:r w:rsidRPr="00ED172B">
        <w:rPr>
          <w:rFonts w:cs="Arial"/>
          <w:color w:val="000000" w:themeColor="text1"/>
          <w:szCs w:val="16"/>
        </w:rPr>
        <w:t>MA-C's annual child count occurred on October 1, 2021 and is reflective of pandemic levels with a decrease in the number of infants and toddlers (birth to age three) made eligible for IDEA, Part C.</w:t>
        <w:br/>
        <w:t/>
        <w:br/>
        <w:t>The number of children referred to Part C is a leading measurement correlating with Child Find activities. When referrals increase, the number of children found eligible also goes up proportionally. When referrals decrease, the number of children found eligible goes down proportionally. With the fluctuation in referral trends, EIS providers have expressed concern and uncertainty about the effects of COVID-19 on Child Find activities as the pandemic moves into an endemic phase. Key representatives have also noted potential adverse impacts to the social-emotional development of infants and toddlers due to difficulties with social distancing and reading facial expressions when adults are wearing masks, as was observed again in fall 2021 and winter 2022 when Massachusetts experienced a significant surge in COVID-19 cases due to the Omicron variant. Fewer opportunities for new activities and an increase in adult caregivers with new medical and mental health issues may ultimately impact the development of the children. These impacts could see an increase in Child Find activities later as families adjust to the ongoing impacts of the COVID-19 pandemic in their everyday life.</w:t>
        <w:br/>
        <w:t/>
        <w:br/>
        <w:t>MA-C monitors referral, evaluation, and child count data on a monthly basis to guide data-based decision-making in education or outreach of referral sources. MA-C also collaborates with epidemiologists within Division of Maternal and Child Health Research and Analysis to understand how the most recent census data and birth rate impact the total population of children birth to age one in Massachusetts.</w:t>
        <w:br/>
        <w:t/>
        <w:br/>
        <w:t>The Infant and Toddler Coordinators Association collects information on each state’s eligibility criteria and groups states with similar eligibility criteria in the Child Count Data Charts found at https://www.ideainfanttoddler.org/association-reports.php. Category A includes states with the broadest eligibility definitions; Category C includes the strictest definitions, and Category B falls in between the two. Category C includes eligibility criteria ranging from a 33 percent delay in two or more areas to a 40 or 50 percent delay in one or more areas. MA-C's eligibility criteria fit within Category B, and the state continues to lead the nation in serving infants and toddlers under the age of 3.</w:t>
      </w:r>
    </w:p>
    <w:p w14:paraId="38A791C3" w14:textId="149CEBCF" w:rsidR="00DC0682" w:rsidRPr="00A40EE1" w:rsidRDefault="000D0117" w:rsidP="005C3FFD">
      <w:pPr>
        <w:pStyle w:val="Heading2"/>
      </w:pPr>
      <w:r w:rsidRPr="00A40EE1">
        <w:t xml:space="preserve">6 - </w:t>
      </w:r>
      <w:r w:rsidR="00DC0682" w:rsidRPr="00A40EE1">
        <w:t>Prior FFY Required Actions</w:t>
      </w:r>
    </w:p>
    <w:p w14:paraId="6DAAC622" w14:textId="42A580CC" w:rsidR="004C1CEE" w:rsidRPr="00ED172B" w:rsidRDefault="00632DF6" w:rsidP="00DC0682">
      <w:pPr>
        <w:rPr>
          <w:rFonts w:cs="Arial"/>
          <w:color w:val="000000" w:themeColor="text1"/>
          <w:szCs w:val="16"/>
        </w:rPr>
      </w:pPr>
      <w:r w:rsidRPr="00ED172B">
        <w:rPr>
          <w:color w:val="000000" w:themeColor="text1"/>
        </w:rPr>
        <w:t>None</w:t>
      </w:r>
    </w:p>
    <w:p w14:paraId="039C789A" w14:textId="6EADCD13" w:rsidR="00DC0682" w:rsidRPr="00A40EE1" w:rsidRDefault="000D0117" w:rsidP="005C3FFD">
      <w:pPr>
        <w:pStyle w:val="Heading2"/>
      </w:pPr>
      <w:r w:rsidRPr="00A40EE1">
        <w:t xml:space="preserve">6 - </w:t>
      </w:r>
      <w:r w:rsidR="00DC0682" w:rsidRPr="00A40EE1">
        <w:t>OSEP Response</w:t>
      </w:r>
    </w:p>
    <w:p w14:paraId="24CB6052" w14:textId="494BF2EE" w:rsidR="00DC0682" w:rsidRPr="00ED172B" w:rsidRDefault="00632DF6" w:rsidP="00632DF6">
      <w:pPr>
        <w:rPr>
          <w:color w:val="000000" w:themeColor="text1"/>
        </w:rPr>
      </w:pPr>
      <w:r w:rsidRPr="00ED172B">
        <w:rPr>
          <w:color w:val="000000" w:themeColor="text1"/>
        </w:rPr>
        <w:t/>
      </w:r>
    </w:p>
    <w:p w14:paraId="293B025B" w14:textId="7FB02442" w:rsidR="00DC0682" w:rsidRPr="00A40EE1" w:rsidRDefault="000D0117" w:rsidP="005C3FFD">
      <w:pPr>
        <w:pStyle w:val="Heading2"/>
      </w:pPr>
      <w:r w:rsidRPr="00A40EE1">
        <w:t xml:space="preserve">6 - </w:t>
      </w:r>
      <w:r w:rsidR="00DC0682" w:rsidRPr="00A40EE1">
        <w:t>Required Actions</w:t>
      </w:r>
    </w:p>
    <w:p w14:paraId="4869EFE4" w14:textId="3CB6DC17" w:rsidR="00DC0682" w:rsidRPr="00ED172B" w:rsidRDefault="00632DF6" w:rsidP="00027F39">
      <w:pPr>
        <w:rPr>
          <w:rFonts w:eastAsiaTheme="majorEastAsia" w:cstheme="majorBidi"/>
          <w:b/>
          <w:bCs/>
          <w:color w:val="000000" w:themeColor="text1"/>
          <w:sz w:val="22"/>
          <w:szCs w:val="28"/>
        </w:rPr>
      </w:pPr>
      <w:r w:rsidRPr="00ED172B">
        <w:rPr>
          <w:color w:val="000000" w:themeColor="text1"/>
        </w:rPr>
        <w:t/>
      </w:r>
      <w:r w:rsidR="00DC0682" w:rsidRPr="00ED172B">
        <w:rPr>
          <w:color w:val="000000" w:themeColor="text1"/>
        </w:rPr>
        <w:br w:type="page"/>
      </w:r>
    </w:p>
    <w:p w14:paraId="42561B8C" w14:textId="77777777" w:rsidR="00D21EAA" w:rsidRPr="00ED172B" w:rsidRDefault="00D21EAA" w:rsidP="0077063D">
      <w:pPr>
        <w:pStyle w:val="Heading1"/>
        <w:rPr>
          <w:color w:val="000000" w:themeColor="text1"/>
        </w:rPr>
      </w:pPr>
      <w:r w:rsidRPr="00ED172B">
        <w:rPr>
          <w:color w:val="000000" w:themeColor="text1"/>
        </w:rPr>
        <w:lastRenderedPageBreak/>
        <w:t xml:space="preserve">Indicator </w:t>
      </w:r>
      <w:bookmarkEnd w:id="13"/>
      <w:bookmarkEnd w:id="31"/>
      <w:bookmarkEnd w:id="39"/>
      <w:r w:rsidR="00523FAA" w:rsidRPr="00ED172B">
        <w:rPr>
          <w:color w:val="000000" w:themeColor="text1"/>
        </w:rPr>
        <w:t>7: 45-</w:t>
      </w:r>
      <w:r w:rsidR="002E5124" w:rsidRPr="00ED172B">
        <w:rPr>
          <w:color w:val="000000" w:themeColor="text1"/>
        </w:rPr>
        <w:t>Day</w:t>
      </w:r>
      <w:r w:rsidR="00B40046" w:rsidRPr="00ED172B">
        <w:rPr>
          <w:color w:val="000000" w:themeColor="text1"/>
        </w:rPr>
        <w:t xml:space="preserve"> </w:t>
      </w:r>
      <w:r w:rsidR="002E5124" w:rsidRPr="00ED172B">
        <w:rPr>
          <w:color w:val="000000" w:themeColor="text1"/>
        </w:rPr>
        <w:t>T</w:t>
      </w:r>
      <w:r w:rsidR="00523FAA" w:rsidRPr="00ED172B">
        <w:rPr>
          <w:color w:val="000000" w:themeColor="text1"/>
        </w:rPr>
        <w:t>imeline</w:t>
      </w:r>
    </w:p>
    <w:p w14:paraId="676A2389" w14:textId="77777777" w:rsidR="000C5918" w:rsidRPr="00ED172B" w:rsidRDefault="000C5918" w:rsidP="00186420">
      <w:pPr>
        <w:rPr>
          <w:color w:val="000000" w:themeColor="text1"/>
          <w:szCs w:val="20"/>
        </w:rPr>
      </w:pPr>
      <w:bookmarkStart w:id="40" w:name="_Toc392159295"/>
      <w:r w:rsidRPr="00ED172B">
        <w:rPr>
          <w:b/>
          <w:color w:val="000000" w:themeColor="text1"/>
          <w:sz w:val="20"/>
          <w:szCs w:val="20"/>
        </w:rPr>
        <w:t>Instructions and Measurement</w:t>
      </w:r>
    </w:p>
    <w:p w14:paraId="7C6B9A07" w14:textId="77777777" w:rsidR="00523FAA" w:rsidRPr="00ED172B" w:rsidRDefault="00523FAA" w:rsidP="00B609A4">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Child Find</w:t>
      </w:r>
    </w:p>
    <w:p w14:paraId="47010C62" w14:textId="77777777" w:rsidR="00523FAA" w:rsidRPr="00ED172B" w:rsidRDefault="00523FAA" w:rsidP="00B609A4">
      <w:pPr>
        <w:rPr>
          <w:color w:val="000000" w:themeColor="text1"/>
          <w:szCs w:val="16"/>
        </w:rPr>
      </w:pPr>
      <w:r w:rsidRPr="00ED172B">
        <w:rPr>
          <w:b/>
          <w:color w:val="000000" w:themeColor="text1"/>
          <w:szCs w:val="16"/>
        </w:rPr>
        <w:t>Compliance indicator:</w:t>
      </w:r>
      <w:r w:rsidRPr="00ED172B">
        <w:rPr>
          <w:color w:val="000000" w:themeColor="text1"/>
          <w:szCs w:val="16"/>
        </w:rPr>
        <w:t xml:space="preserve"> Percent of eligible infants and toddlers with IFSPs for whom an initial evaluation and initial assessment and an initial IFSP meeting were conducted within Part C’s 45-day timeline.</w:t>
      </w:r>
      <w:r w:rsidR="007243C1" w:rsidRPr="00ED172B">
        <w:rPr>
          <w:color w:val="000000" w:themeColor="text1"/>
          <w:szCs w:val="16"/>
        </w:rPr>
        <w:t xml:space="preserve"> </w:t>
      </w:r>
      <w:r w:rsidRPr="00ED172B">
        <w:rPr>
          <w:color w:val="000000" w:themeColor="text1"/>
          <w:szCs w:val="16"/>
        </w:rPr>
        <w:t>(20 U.S.C. 1416(a)(3)(B) and 1442)</w:t>
      </w:r>
    </w:p>
    <w:p w14:paraId="7645D0C8" w14:textId="77777777" w:rsidR="001C3D0E" w:rsidRPr="00ED172B" w:rsidRDefault="001C3D0E">
      <w:pPr>
        <w:rPr>
          <w:b/>
          <w:color w:val="000000" w:themeColor="text1"/>
        </w:rPr>
      </w:pPr>
      <w:r w:rsidRPr="00ED172B">
        <w:rPr>
          <w:b/>
          <w:color w:val="000000" w:themeColor="text1"/>
        </w:rPr>
        <w:t>Data Source</w:t>
      </w:r>
    </w:p>
    <w:p w14:paraId="6F677680" w14:textId="5F84202A" w:rsidR="001C3D0E" w:rsidRPr="00ED172B" w:rsidRDefault="001C3D0E" w:rsidP="00B609A4">
      <w:pPr>
        <w:rPr>
          <w:color w:val="000000" w:themeColor="text1"/>
          <w:szCs w:val="16"/>
        </w:rPr>
      </w:pPr>
      <w:r w:rsidRPr="00ED172B">
        <w:rPr>
          <w:color w:val="000000" w:themeColor="text1"/>
          <w:szCs w:val="16"/>
        </w:rPr>
        <w:t>Data to be taken from monitoring or State data system and must address the timeline from point of referral to initial IFSP meeting based on actual, not an average, number of days.</w:t>
      </w:r>
    </w:p>
    <w:p w14:paraId="6F39F16D" w14:textId="77777777" w:rsidR="001C3D0E" w:rsidRPr="00ED172B" w:rsidRDefault="001C3D0E">
      <w:pPr>
        <w:rPr>
          <w:b/>
          <w:color w:val="000000" w:themeColor="text1"/>
        </w:rPr>
      </w:pPr>
      <w:r w:rsidRPr="00ED172B">
        <w:rPr>
          <w:b/>
          <w:color w:val="000000" w:themeColor="text1"/>
        </w:rPr>
        <w:t>Measurement</w:t>
      </w:r>
    </w:p>
    <w:p w14:paraId="2E800B40" w14:textId="77777777" w:rsidR="001C3D0E" w:rsidRPr="00ED172B" w:rsidRDefault="001C3D0E" w:rsidP="00B609A4">
      <w:pPr>
        <w:rPr>
          <w:color w:val="000000" w:themeColor="text1"/>
          <w:szCs w:val="16"/>
        </w:rPr>
      </w:pPr>
      <w:r w:rsidRPr="00ED172B">
        <w:rPr>
          <w:color w:val="000000" w:themeColor="text1"/>
          <w:szCs w:val="16"/>
        </w:rPr>
        <w:t>Percent = [(# of eligible infants and toddlers with IFSPs for whom an initial evaluation and initial assessment and an initial IFSP meeting were conducted within Part C’s 45-day timeline) divided by the (# of eligible infants and toddlers evaluated and assessed for whom an initial IFSP meeting was required to be conducted)] times 100.</w:t>
      </w:r>
    </w:p>
    <w:p w14:paraId="37F9B9F2" w14:textId="71197BE2" w:rsidR="001C3D0E" w:rsidRPr="00ED172B" w:rsidRDefault="001C3D0E" w:rsidP="00B609A4">
      <w:pPr>
        <w:rPr>
          <w:color w:val="000000" w:themeColor="text1"/>
          <w:szCs w:val="16"/>
        </w:rPr>
      </w:pPr>
      <w:r w:rsidRPr="00ED172B">
        <w:rPr>
          <w:color w:val="000000" w:themeColor="text1"/>
          <w:szCs w:val="16"/>
        </w:rPr>
        <w:t>Account for untimely evaluations, assessments, and initial IFSP meetings, including the reasons for delays.</w:t>
      </w:r>
    </w:p>
    <w:p w14:paraId="025F5B13" w14:textId="77777777" w:rsidR="001C3D0E" w:rsidRPr="00ED172B" w:rsidRDefault="001C3D0E">
      <w:pPr>
        <w:rPr>
          <w:b/>
          <w:color w:val="000000" w:themeColor="text1"/>
        </w:rPr>
      </w:pPr>
      <w:r w:rsidRPr="00ED172B">
        <w:rPr>
          <w:b/>
          <w:color w:val="000000" w:themeColor="text1"/>
        </w:rPr>
        <w:t>Instructions</w:t>
      </w:r>
    </w:p>
    <w:p w14:paraId="079B9C13" w14:textId="77777777" w:rsidR="001C3D0E" w:rsidRPr="0055373D" w:rsidRDefault="001C3D0E" w:rsidP="00B609A4">
      <w:pPr>
        <w:rPr>
          <w:i/>
          <w:iCs/>
          <w:color w:val="000000" w:themeColor="text1"/>
          <w:szCs w:val="16"/>
        </w:rPr>
      </w:pPr>
      <w:r w:rsidRPr="0055373D">
        <w:rPr>
          <w:i/>
          <w:iCs/>
          <w:color w:val="000000" w:themeColor="text1"/>
          <w:szCs w:val="16"/>
        </w:rPr>
        <w:t>If data are from State monitoring,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7BF3454" w14:textId="77777777" w:rsidR="001C3D0E" w:rsidRPr="00ED172B" w:rsidRDefault="001C3D0E" w:rsidP="00B609A4">
      <w:pPr>
        <w:rPr>
          <w:color w:val="000000" w:themeColor="text1"/>
          <w:szCs w:val="16"/>
        </w:rPr>
      </w:pPr>
      <w:r w:rsidRPr="00ED172B">
        <w:rPr>
          <w:color w:val="000000" w:themeColor="text1"/>
          <w:szCs w:val="16"/>
        </w:rPr>
        <w:t>Targets must be 100%.</w:t>
      </w:r>
    </w:p>
    <w:p w14:paraId="7D4779E4" w14:textId="77777777" w:rsidR="001C3D0E" w:rsidRPr="00ED172B" w:rsidRDefault="001C3D0E" w:rsidP="00B609A4">
      <w:pPr>
        <w:rPr>
          <w:color w:val="000000" w:themeColor="text1"/>
          <w:szCs w:val="16"/>
        </w:rPr>
      </w:pPr>
      <w:r w:rsidRPr="00ED172B">
        <w:rPr>
          <w:color w:val="000000" w:themeColor="text1"/>
          <w:szCs w:val="16"/>
        </w:rPr>
        <w:t>Describe the results of the calculations and compare the results to the target. Describe the method used to collect these data and if data are from the State’s monitoring, describe the procedures used to collect these data. Provide actual numbers used in the calculation.</w:t>
      </w:r>
    </w:p>
    <w:p w14:paraId="3A1C17F0" w14:textId="77777777" w:rsidR="001C3D0E" w:rsidRPr="00ED172B" w:rsidRDefault="001C3D0E" w:rsidP="00B609A4">
      <w:pPr>
        <w:rPr>
          <w:color w:val="000000" w:themeColor="text1"/>
          <w:szCs w:val="16"/>
        </w:rPr>
      </w:pPr>
      <w:r w:rsidRPr="00ED172B">
        <w:rPr>
          <w:color w:val="000000" w:themeColor="text1"/>
          <w:szCs w:val="16"/>
        </w:rPr>
        <w:t>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62CF329E" w14:textId="77777777" w:rsidR="001C3D0E" w:rsidRPr="00ED172B" w:rsidRDefault="001C3D0E" w:rsidP="00B609A4">
      <w:pPr>
        <w:rPr>
          <w:color w:val="000000" w:themeColor="text1"/>
          <w:szCs w:val="16"/>
        </w:rPr>
      </w:pPr>
      <w:r w:rsidRPr="00ED172B">
        <w:rPr>
          <w:color w:val="000000" w:themeColor="text1"/>
          <w:szCs w:val="16"/>
        </w:rPr>
        <w:t>Provide detailed information about the timely correction of noncompliance as noted in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9DA7EE2" w14:textId="48538F3D" w:rsidR="001C3D0E" w:rsidRPr="00ED172B" w:rsidRDefault="001C3D0E" w:rsidP="00B609A4">
      <w:pPr>
        <w:rPr>
          <w:color w:val="000000" w:themeColor="text1"/>
          <w:szCs w:val="16"/>
        </w:rPr>
      </w:pPr>
      <w:r w:rsidRPr="00ED172B">
        <w:rPr>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bookmarkEnd w:id="40"/>
    <w:p w14:paraId="0342BBD0" w14:textId="463E7B71" w:rsidR="00805DD3" w:rsidRPr="00A40EE1" w:rsidRDefault="000D0117" w:rsidP="005C3FFD">
      <w:pPr>
        <w:pStyle w:val="Heading2"/>
      </w:pPr>
      <w:r w:rsidRPr="00A40EE1">
        <w:t xml:space="preserve">7 - </w:t>
      </w:r>
      <w:r w:rsidR="00B609A4" w:rsidRPr="00A40EE1">
        <w:t>Indicator Data</w:t>
      </w:r>
    </w:p>
    <w:p w14:paraId="6BBDBDB8" w14:textId="0A8E794E" w:rsidR="00DC0682" w:rsidRDefault="00DC0682">
      <w:pPr>
        <w:rPr>
          <w:b/>
          <w:color w:val="000000" w:themeColor="text1"/>
        </w:rPr>
      </w:pPr>
      <w:bookmarkStart w:id="41" w:name="_Toc382082375"/>
      <w:bookmarkStart w:id="42" w:name="_Toc392159298"/>
      <w:r w:rsidRPr="00ED172B">
        <w:rPr>
          <w:b/>
          <w:color w:val="000000" w:themeColor="text1"/>
        </w:rPr>
        <w:t>Historical Data</w:t>
      </w:r>
    </w:p>
    <w:p w14:paraId="16D06960" w14:textId="59F2B479" w:rsidR="00C25621" w:rsidRDefault="00C25621">
      <w:pPr>
        <w:rPr>
          <w:b/>
          <w:color w:val="000000" w:themeColor="text1"/>
        </w:rPr>
      </w:pP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BASELINEDATA"/>
      </w:tblPr>
      <w:tblGrid>
        <w:gridCol w:w="1876"/>
        <w:gridCol w:w="1898"/>
      </w:tblGrid>
      <w:tr w:rsidR="00C25621" w:rsidRPr="00ED172B" w14:paraId="416D2651" w14:textId="77777777" w:rsidTr="00A40EE1">
        <w:trPr>
          <w:trHeight w:val="350"/>
          <w:tblHeader/>
        </w:trPr>
        <w:tc>
          <w:tcPr>
            <w:tcW w:w="4285" w:type="pct"/>
            <w:tcBorders>
              <w:bottom w:val="single" w:sz="4" w:space="0" w:color="auto"/>
            </w:tcBorders>
            <w:shd w:val="clear" w:color="auto" w:fill="auto"/>
            <w:vAlign w:val="center"/>
          </w:tcPr>
          <w:p w14:paraId="21C6D109" w14:textId="37AD76B1" w:rsidR="00C25621" w:rsidRPr="00A40EE1"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634DF998" w14:textId="76BC088D" w:rsidR="00C25621" w:rsidRPr="00A40EE1" w:rsidRDefault="00C25621" w:rsidP="00C15786">
            <w:pPr>
              <w:jc w:val="center"/>
              <w:rPr>
                <w:b/>
                <w:bCs/>
                <w:color w:val="000000" w:themeColor="text1"/>
              </w:rPr>
            </w:pPr>
            <w:r w:rsidRPr="00A40EE1">
              <w:rPr>
                <w:b/>
                <w:bCs/>
                <w:color w:val="000000" w:themeColor="text1"/>
              </w:rPr>
              <w:t>Baseline Data</w:t>
            </w:r>
          </w:p>
        </w:tc>
      </w:tr>
      <w:tr w:rsidR="00C25621" w:rsidRPr="00ED172B" w14:paraId="08F7EE7A" w14:textId="77777777" w:rsidTr="00A40EE1">
        <w:trPr>
          <w:trHeight w:val="350"/>
        </w:trPr>
        <w:tc>
          <w:tcPr>
            <w:tcW w:w="4285" w:type="pct"/>
            <w:tcBorders>
              <w:bottom w:val="single" w:sz="4" w:space="0" w:color="auto"/>
            </w:tcBorders>
            <w:shd w:val="clear" w:color="auto" w:fill="auto"/>
            <w:vAlign w:val="center"/>
          </w:tcPr>
          <w:p w14:paraId="2B1EAFE4" w14:textId="77777777" w:rsidR="00C25621" w:rsidRPr="00ED172B" w:rsidRDefault="00C25621" w:rsidP="00C15786">
            <w:pPr>
              <w:jc w:val="center"/>
              <w:rPr>
                <w:b/>
                <w:color w:val="000000" w:themeColor="text1"/>
              </w:rPr>
            </w:pPr>
            <w:r w:rsidRPr="00ED172B">
              <w:rPr>
                <w:color w:val="000000" w:themeColor="text1"/>
              </w:rPr>
              <w:t>2005</w:t>
            </w:r>
          </w:p>
        </w:tc>
        <w:tc>
          <w:tcPr>
            <w:tcW w:w="715" w:type="pct"/>
            <w:shd w:val="clear" w:color="auto" w:fill="auto"/>
            <w:vAlign w:val="center"/>
          </w:tcPr>
          <w:p w14:paraId="534E96B1" w14:textId="77777777" w:rsidR="00C25621" w:rsidRPr="00ED172B" w:rsidRDefault="00C25621" w:rsidP="00C15786">
            <w:pPr>
              <w:jc w:val="center"/>
              <w:rPr>
                <w:color w:val="000000" w:themeColor="text1"/>
              </w:rPr>
            </w:pPr>
            <w:r w:rsidRPr="00ED172B">
              <w:rPr>
                <w:color w:val="000000" w:themeColor="text1"/>
              </w:rPr>
              <w:t>93.30%</w:t>
            </w:r>
          </w:p>
        </w:tc>
      </w:tr>
    </w:tbl>
    <w:p w14:paraId="4F026D0F"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HISTDATA"/>
      </w:tblPr>
      <w:tblGrid>
        <w:gridCol w:w="565"/>
        <w:gridCol w:w="2045"/>
        <w:gridCol w:w="2045"/>
        <w:gridCol w:w="2045"/>
        <w:gridCol w:w="2045"/>
        <w:gridCol w:w="2045"/>
      </w:tblGrid>
      <w:tr w:rsidR="00ED172B" w:rsidRPr="00ED172B" w14:paraId="410B72DC" w14:textId="77777777" w:rsidTr="00A40EE1">
        <w:trPr>
          <w:trHeight w:val="350"/>
        </w:trPr>
        <w:tc>
          <w:tcPr>
            <w:tcW w:w="327" w:type="pct"/>
            <w:tcBorders>
              <w:bottom w:val="single" w:sz="4" w:space="0" w:color="auto"/>
            </w:tcBorders>
            <w:shd w:val="clear" w:color="auto" w:fill="auto"/>
          </w:tcPr>
          <w:p w14:paraId="0C21EAD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5" w:type="pct"/>
            <w:shd w:val="clear" w:color="auto" w:fill="auto"/>
            <w:vAlign w:val="center"/>
          </w:tcPr>
          <w:p w14:paraId="0C3B5E94" w14:textId="797FA3D9" w:rsidR="00DC0682" w:rsidRPr="00ED172B" w:rsidRDefault="002163F2" w:rsidP="00CD79C5">
            <w:pPr>
              <w:jc w:val="center"/>
              <w:rPr>
                <w:b/>
                <w:color w:val="000000" w:themeColor="text1"/>
                <w:szCs w:val="16"/>
              </w:rPr>
            </w:pPr>
            <w:r w:rsidRPr="00ED172B">
              <w:rPr>
                <w:rFonts w:cs="Arial"/>
                <w:b/>
                <w:color w:val="000000" w:themeColor="text1"/>
                <w:szCs w:val="16"/>
              </w:rPr>
              <w:t>2016</w:t>
            </w:r>
          </w:p>
        </w:tc>
        <w:tc>
          <w:tcPr>
            <w:tcW w:w="935" w:type="pct"/>
            <w:shd w:val="clear" w:color="auto" w:fill="auto"/>
            <w:vAlign w:val="center"/>
          </w:tcPr>
          <w:p w14:paraId="5CA7FBC7" w14:textId="6BB3A0A2"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5" w:type="pct"/>
            <w:shd w:val="clear" w:color="auto" w:fill="auto"/>
            <w:vAlign w:val="center"/>
          </w:tcPr>
          <w:p w14:paraId="3372DAFC" w14:textId="50E7EDF9"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5" w:type="pct"/>
            <w:shd w:val="clear" w:color="auto" w:fill="auto"/>
            <w:vAlign w:val="center"/>
          </w:tcPr>
          <w:p w14:paraId="5847B948" w14:textId="5C4D08C6"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5" w:type="pct"/>
            <w:shd w:val="clear" w:color="auto" w:fill="auto"/>
            <w:vAlign w:val="center"/>
          </w:tcPr>
          <w:p w14:paraId="529BE0C9" w14:textId="54C22E9C" w:rsidR="00DC0682" w:rsidRPr="00ED172B" w:rsidRDefault="006D43D3" w:rsidP="00CD79C5">
            <w:pPr>
              <w:jc w:val="center"/>
              <w:rPr>
                <w:b/>
                <w:color w:val="000000" w:themeColor="text1"/>
                <w:szCs w:val="16"/>
              </w:rPr>
            </w:pPr>
            <w:r w:rsidRPr="00ED172B">
              <w:rPr>
                <w:rFonts w:cs="Arial"/>
                <w:b/>
                <w:color w:val="000000" w:themeColor="text1"/>
                <w:szCs w:val="16"/>
              </w:rPr>
              <w:t>2020</w:t>
            </w:r>
          </w:p>
        </w:tc>
      </w:tr>
      <w:tr w:rsidR="00ED172B" w:rsidRPr="00ED172B" w14:paraId="7519736B" w14:textId="77777777" w:rsidTr="00A40EE1">
        <w:trPr>
          <w:trHeight w:val="357"/>
        </w:trPr>
        <w:tc>
          <w:tcPr>
            <w:tcW w:w="327" w:type="pct"/>
            <w:shd w:val="clear" w:color="auto" w:fill="auto"/>
          </w:tcPr>
          <w:p w14:paraId="6F4234B7" w14:textId="77777777" w:rsidR="00DC0682" w:rsidRPr="00ED172B" w:rsidRDefault="00DC0682" w:rsidP="00B83404">
            <w:pPr>
              <w:rPr>
                <w:color w:val="000000" w:themeColor="text1"/>
                <w:szCs w:val="16"/>
              </w:rPr>
            </w:pPr>
            <w:r w:rsidRPr="00ED172B">
              <w:rPr>
                <w:color w:val="000000" w:themeColor="text1"/>
                <w:szCs w:val="16"/>
              </w:rPr>
              <w:t xml:space="preserve">Target </w:t>
            </w:r>
          </w:p>
        </w:tc>
        <w:tc>
          <w:tcPr>
            <w:tcW w:w="935" w:type="pct"/>
            <w:shd w:val="clear" w:color="auto" w:fill="auto"/>
          </w:tcPr>
          <w:p w14:paraId="59ED45AB" w14:textId="38830BC9"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E968E41" w14:textId="1667F431"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70DC4B59" w14:textId="2D0FAAEF"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4E43795C" w14:textId="4D1D4FF7" w:rsidR="00DC0682" w:rsidRPr="00ED172B" w:rsidRDefault="00E87790" w:rsidP="00CD79C5">
            <w:pPr>
              <w:jc w:val="center"/>
              <w:rPr>
                <w:color w:val="000000" w:themeColor="text1"/>
                <w:szCs w:val="16"/>
              </w:rPr>
            </w:pPr>
            <w:r w:rsidRPr="00ED172B">
              <w:rPr>
                <w:color w:val="000000" w:themeColor="text1"/>
                <w:szCs w:val="16"/>
              </w:rPr>
              <w:t>100%</w:t>
            </w:r>
          </w:p>
        </w:tc>
        <w:tc>
          <w:tcPr>
            <w:tcW w:w="935" w:type="pct"/>
            <w:shd w:val="clear" w:color="auto" w:fill="auto"/>
          </w:tcPr>
          <w:p w14:paraId="0D93AB25" w14:textId="789198F5" w:rsidR="00DC0682" w:rsidRPr="00ED172B" w:rsidRDefault="00E87790" w:rsidP="00CD79C5">
            <w:pPr>
              <w:jc w:val="center"/>
              <w:rPr>
                <w:color w:val="000000" w:themeColor="text1"/>
                <w:szCs w:val="16"/>
              </w:rPr>
            </w:pPr>
            <w:r w:rsidRPr="00ED172B">
              <w:rPr>
                <w:color w:val="000000" w:themeColor="text1"/>
                <w:szCs w:val="16"/>
              </w:rPr>
              <w:t>100%</w:t>
            </w:r>
          </w:p>
        </w:tc>
      </w:tr>
      <w:tr w:rsidR="00ED172B" w:rsidRPr="00ED172B" w14:paraId="571A5DE3" w14:textId="77777777" w:rsidTr="00A40EE1">
        <w:trPr>
          <w:trHeight w:val="85"/>
        </w:trPr>
        <w:tc>
          <w:tcPr>
            <w:tcW w:w="327" w:type="pct"/>
            <w:shd w:val="clear" w:color="auto" w:fill="auto"/>
          </w:tcPr>
          <w:p w14:paraId="6C6DCCED" w14:textId="77777777" w:rsidR="00DC0682" w:rsidRPr="00ED172B" w:rsidRDefault="00DC0682" w:rsidP="00B83404">
            <w:pPr>
              <w:rPr>
                <w:color w:val="000000" w:themeColor="text1"/>
                <w:szCs w:val="16"/>
              </w:rPr>
            </w:pPr>
            <w:r w:rsidRPr="00ED172B">
              <w:rPr>
                <w:color w:val="000000" w:themeColor="text1"/>
                <w:szCs w:val="16"/>
              </w:rPr>
              <w:t>Data</w:t>
            </w:r>
          </w:p>
        </w:tc>
        <w:tc>
          <w:tcPr>
            <w:tcW w:w="935" w:type="pct"/>
            <w:shd w:val="clear" w:color="auto" w:fill="auto"/>
            <w:vAlign w:val="center"/>
          </w:tcPr>
          <w:p w14:paraId="4B5B8015" w14:textId="29B8758A" w:rsidR="00DC0682" w:rsidRPr="00ED172B" w:rsidRDefault="00860830" w:rsidP="00CD79C5">
            <w:pPr>
              <w:jc w:val="center"/>
              <w:rPr>
                <w:color w:val="000000" w:themeColor="text1"/>
                <w:szCs w:val="16"/>
              </w:rPr>
            </w:pPr>
            <w:r w:rsidRPr="00ED172B">
              <w:rPr>
                <w:rFonts w:cs="Arial"/>
                <w:color w:val="000000" w:themeColor="text1"/>
                <w:szCs w:val="16"/>
              </w:rPr>
              <w:t>99.68%</w:t>
            </w:r>
          </w:p>
        </w:tc>
        <w:tc>
          <w:tcPr>
            <w:tcW w:w="935" w:type="pct"/>
            <w:tcBorders>
              <w:bottom w:val="single" w:sz="4" w:space="0" w:color="auto"/>
            </w:tcBorders>
            <w:shd w:val="clear" w:color="auto" w:fill="auto"/>
            <w:vAlign w:val="center"/>
          </w:tcPr>
          <w:p w14:paraId="104D7355" w14:textId="2754FB88" w:rsidR="00DC0682" w:rsidRPr="00ED172B" w:rsidRDefault="00860830" w:rsidP="00CD79C5">
            <w:pPr>
              <w:jc w:val="center"/>
              <w:rPr>
                <w:color w:val="000000" w:themeColor="text1"/>
                <w:szCs w:val="16"/>
              </w:rPr>
            </w:pPr>
            <w:r w:rsidRPr="00ED172B">
              <w:rPr>
                <w:rFonts w:cs="Arial"/>
                <w:color w:val="000000" w:themeColor="text1"/>
                <w:szCs w:val="16"/>
              </w:rPr>
              <w:t>99.72%</w:t>
            </w:r>
          </w:p>
        </w:tc>
        <w:tc>
          <w:tcPr>
            <w:tcW w:w="935" w:type="pct"/>
            <w:tcBorders>
              <w:bottom w:val="single" w:sz="4" w:space="0" w:color="auto"/>
            </w:tcBorders>
            <w:shd w:val="clear" w:color="auto" w:fill="auto"/>
            <w:vAlign w:val="center"/>
          </w:tcPr>
          <w:p w14:paraId="064E4538" w14:textId="49154302" w:rsidR="00DC0682" w:rsidRPr="00ED172B" w:rsidRDefault="00860830" w:rsidP="00CD79C5">
            <w:pPr>
              <w:jc w:val="center"/>
              <w:rPr>
                <w:color w:val="000000" w:themeColor="text1"/>
                <w:szCs w:val="16"/>
              </w:rPr>
            </w:pPr>
            <w:r w:rsidRPr="00ED172B">
              <w:rPr>
                <w:rFonts w:cs="Arial"/>
                <w:color w:val="000000" w:themeColor="text1"/>
                <w:szCs w:val="16"/>
              </w:rPr>
              <w:t>99.74%</w:t>
            </w:r>
          </w:p>
        </w:tc>
        <w:tc>
          <w:tcPr>
            <w:tcW w:w="935" w:type="pct"/>
            <w:tcBorders>
              <w:bottom w:val="single" w:sz="4" w:space="0" w:color="auto"/>
            </w:tcBorders>
            <w:shd w:val="clear" w:color="auto" w:fill="auto"/>
            <w:vAlign w:val="center"/>
          </w:tcPr>
          <w:p w14:paraId="03C237CF" w14:textId="71FB6044" w:rsidR="00DC0682" w:rsidRPr="00ED172B" w:rsidRDefault="00860830" w:rsidP="00CD79C5">
            <w:pPr>
              <w:jc w:val="center"/>
              <w:rPr>
                <w:color w:val="000000" w:themeColor="text1"/>
                <w:szCs w:val="16"/>
              </w:rPr>
            </w:pPr>
            <w:r w:rsidRPr="00ED172B">
              <w:rPr>
                <w:rFonts w:cs="Arial"/>
                <w:color w:val="000000" w:themeColor="text1"/>
                <w:szCs w:val="16"/>
              </w:rPr>
              <w:t>99.68%</w:t>
            </w:r>
          </w:p>
        </w:tc>
        <w:tc>
          <w:tcPr>
            <w:tcW w:w="935" w:type="pct"/>
            <w:tcBorders>
              <w:bottom w:val="single" w:sz="4" w:space="0" w:color="auto"/>
            </w:tcBorders>
            <w:shd w:val="clear" w:color="auto" w:fill="auto"/>
            <w:vAlign w:val="center"/>
          </w:tcPr>
          <w:p w14:paraId="4CE3B818" w14:textId="13ECB4CB" w:rsidR="00DC0682" w:rsidRPr="00ED172B" w:rsidRDefault="00860830" w:rsidP="00CD79C5">
            <w:pPr>
              <w:jc w:val="center"/>
              <w:rPr>
                <w:color w:val="000000" w:themeColor="text1"/>
                <w:szCs w:val="16"/>
              </w:rPr>
            </w:pPr>
            <w:r w:rsidRPr="00ED172B">
              <w:rPr>
                <w:rFonts w:cs="Arial"/>
                <w:color w:val="000000" w:themeColor="text1"/>
                <w:szCs w:val="16"/>
              </w:rPr>
              <w:t>99.86%</w:t>
            </w:r>
          </w:p>
        </w:tc>
      </w:tr>
    </w:tbl>
    <w:p w14:paraId="2990C042" w14:textId="77777777" w:rsidR="00DC0682" w:rsidRPr="00ED172B" w:rsidRDefault="00DC0682">
      <w:pPr>
        <w:rPr>
          <w:b/>
          <w:color w:val="000000" w:themeColor="text1"/>
        </w:rPr>
      </w:pPr>
      <w:r w:rsidRPr="00ED172B">
        <w:rPr>
          <w:b/>
          <w:color w:val="000000" w:themeColor="text1"/>
        </w:rPr>
        <w:t>Targets</w:t>
      </w:r>
    </w:p>
    <w:tbl>
      <w:tblPr>
        <w:tblW w:w="4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7TARGETS"/>
      </w:tblPr>
      <w:tblGrid>
        <w:gridCol w:w="570"/>
        <w:gridCol w:w="1936"/>
        <w:gridCol w:w="2071"/>
        <w:gridCol w:w="2071"/>
        <w:gridCol w:w="2071"/>
        <w:gridCol w:w="2071"/>
      </w:tblGrid>
      <w:tr w:rsidR="009E2382" w:rsidRPr="00ED172B" w14:paraId="42B56D41" w14:textId="5E4E59B3" w:rsidTr="006B0ACA">
        <w:trPr>
          <w:trHeight w:val="290"/>
        </w:trPr>
        <w:tc>
          <w:tcPr>
            <w:tcW w:w="278" w:type="pct"/>
            <w:tcBorders>
              <w:bottom w:val="single" w:sz="4" w:space="0" w:color="auto"/>
            </w:tcBorders>
            <w:shd w:val="clear" w:color="auto" w:fill="auto"/>
          </w:tcPr>
          <w:p w14:paraId="312C61F2" w14:textId="77777777" w:rsidR="009E2382" w:rsidRPr="00ED172B" w:rsidRDefault="009E2382" w:rsidP="006B2FE9">
            <w:pPr>
              <w:jc w:val="center"/>
              <w:rPr>
                <w:b/>
                <w:color w:val="000000" w:themeColor="text1"/>
                <w:szCs w:val="16"/>
              </w:rPr>
            </w:pPr>
            <w:r w:rsidRPr="00ED172B">
              <w:rPr>
                <w:b/>
                <w:color w:val="000000" w:themeColor="text1"/>
                <w:szCs w:val="16"/>
              </w:rPr>
              <w:t>FFY</w:t>
            </w:r>
          </w:p>
        </w:tc>
        <w:tc>
          <w:tcPr>
            <w:tcW w:w="895" w:type="pct"/>
            <w:shd w:val="clear" w:color="auto" w:fill="auto"/>
            <w:vAlign w:val="center"/>
          </w:tcPr>
          <w:p w14:paraId="0EB63CB6" w14:textId="5BB5F4E7" w:rsidR="009E2382" w:rsidRPr="00ED172B" w:rsidRDefault="009E2382" w:rsidP="006B2FE9">
            <w:pPr>
              <w:jc w:val="center"/>
              <w:rPr>
                <w:b/>
                <w:color w:val="000000" w:themeColor="text1"/>
                <w:szCs w:val="16"/>
              </w:rPr>
            </w:pPr>
            <w:r w:rsidRPr="00ED172B">
              <w:rPr>
                <w:rFonts w:cs="Arial"/>
                <w:b/>
                <w:color w:val="000000" w:themeColor="text1"/>
                <w:szCs w:val="16"/>
              </w:rPr>
              <w:t>2021</w:t>
            </w:r>
          </w:p>
        </w:tc>
        <w:tc>
          <w:tcPr>
            <w:tcW w:w="957" w:type="pct"/>
          </w:tcPr>
          <w:p w14:paraId="7ED41A5E" w14:textId="7318A542" w:rsidR="009E2382" w:rsidRPr="00ED172B" w:rsidRDefault="009E2382" w:rsidP="006B2FE9">
            <w:pPr>
              <w:jc w:val="center"/>
              <w:rPr>
                <w:rFonts w:cs="Arial"/>
                <w:b/>
                <w:color w:val="000000" w:themeColor="text1"/>
                <w:szCs w:val="16"/>
              </w:rPr>
            </w:pPr>
            <w:r>
              <w:rPr>
                <w:rFonts w:cs="Arial"/>
                <w:b/>
                <w:color w:val="000000" w:themeColor="text1"/>
                <w:szCs w:val="16"/>
              </w:rPr>
              <w:t>2022</w:t>
            </w:r>
          </w:p>
        </w:tc>
        <w:tc>
          <w:tcPr>
            <w:tcW w:w="957" w:type="pct"/>
          </w:tcPr>
          <w:p w14:paraId="2A04747F" w14:textId="1388C632" w:rsidR="009E2382" w:rsidRPr="00ED172B" w:rsidRDefault="009E2382" w:rsidP="006B2FE9">
            <w:pPr>
              <w:jc w:val="center"/>
              <w:rPr>
                <w:rFonts w:cs="Arial"/>
                <w:b/>
                <w:color w:val="000000" w:themeColor="text1"/>
                <w:szCs w:val="16"/>
              </w:rPr>
            </w:pPr>
            <w:r w:rsidRPr="005A1B4F">
              <w:rPr>
                <w:rFonts w:cs="Arial"/>
                <w:b/>
                <w:color w:val="000000" w:themeColor="text1"/>
                <w:szCs w:val="16"/>
              </w:rPr>
              <w:t>2023</w:t>
            </w:r>
          </w:p>
        </w:tc>
        <w:tc>
          <w:tcPr>
            <w:tcW w:w="957" w:type="pct"/>
          </w:tcPr>
          <w:p w14:paraId="07F5F8CB" w14:textId="01283154" w:rsidR="009E2382" w:rsidRPr="00ED172B" w:rsidRDefault="009E2382" w:rsidP="006B2FE9">
            <w:pPr>
              <w:jc w:val="center"/>
              <w:rPr>
                <w:rFonts w:cs="Arial"/>
                <w:b/>
                <w:color w:val="000000" w:themeColor="text1"/>
                <w:szCs w:val="16"/>
              </w:rPr>
            </w:pPr>
            <w:r w:rsidRPr="005A1B4F">
              <w:rPr>
                <w:rFonts w:cs="Arial"/>
                <w:b/>
                <w:color w:val="000000" w:themeColor="text1"/>
                <w:szCs w:val="16"/>
              </w:rPr>
              <w:t>2024</w:t>
            </w:r>
          </w:p>
        </w:tc>
        <w:tc>
          <w:tcPr>
            <w:tcW w:w="957" w:type="pct"/>
          </w:tcPr>
          <w:p w14:paraId="02563042" w14:textId="7DF909BA" w:rsidR="009E2382" w:rsidRPr="00ED172B" w:rsidRDefault="009E2382" w:rsidP="006B2FE9">
            <w:pPr>
              <w:jc w:val="center"/>
              <w:rPr>
                <w:rFonts w:cs="Arial"/>
                <w:b/>
                <w:color w:val="000000" w:themeColor="text1"/>
                <w:szCs w:val="16"/>
              </w:rPr>
            </w:pPr>
            <w:r w:rsidRPr="005A1B4F">
              <w:rPr>
                <w:rFonts w:cs="Arial"/>
                <w:b/>
                <w:color w:val="000000" w:themeColor="text1"/>
                <w:szCs w:val="16"/>
              </w:rPr>
              <w:t>2025</w:t>
            </w:r>
          </w:p>
        </w:tc>
      </w:tr>
      <w:tr w:rsidR="009E2382" w:rsidRPr="00ED172B" w14:paraId="20F2223E" w14:textId="133D85CD" w:rsidTr="006B0ACA">
        <w:trPr>
          <w:trHeight w:val="296"/>
        </w:trPr>
        <w:tc>
          <w:tcPr>
            <w:tcW w:w="278" w:type="pct"/>
            <w:shd w:val="clear" w:color="auto" w:fill="auto"/>
          </w:tcPr>
          <w:p w14:paraId="452D2810" w14:textId="77777777" w:rsidR="009E2382" w:rsidRPr="00ED172B" w:rsidRDefault="009E2382" w:rsidP="006B2FE9">
            <w:pPr>
              <w:rPr>
                <w:color w:val="000000" w:themeColor="text1"/>
                <w:szCs w:val="16"/>
              </w:rPr>
            </w:pPr>
            <w:r w:rsidRPr="00ED172B">
              <w:rPr>
                <w:color w:val="000000" w:themeColor="text1"/>
                <w:szCs w:val="16"/>
              </w:rPr>
              <w:t>Target</w:t>
            </w:r>
          </w:p>
        </w:tc>
        <w:tc>
          <w:tcPr>
            <w:tcW w:w="895" w:type="pct"/>
            <w:shd w:val="clear" w:color="auto" w:fill="auto"/>
          </w:tcPr>
          <w:p w14:paraId="7066C0AE" w14:textId="42C4A4CE" w:rsidR="009E2382" w:rsidRPr="00ED172B" w:rsidRDefault="009E2382" w:rsidP="006B2FE9">
            <w:pPr>
              <w:jc w:val="center"/>
              <w:rPr>
                <w:color w:val="000000" w:themeColor="text1"/>
              </w:rPr>
            </w:pPr>
            <w:r w:rsidRPr="00ED172B">
              <w:rPr>
                <w:color w:val="000000" w:themeColor="text1"/>
              </w:rPr>
              <w:t>100%</w:t>
            </w:r>
          </w:p>
        </w:tc>
        <w:tc>
          <w:tcPr>
            <w:tcW w:w="957" w:type="pct"/>
          </w:tcPr>
          <w:p w14:paraId="3A42CBDC" w14:textId="4C7BA2D0" w:rsidR="009E2382" w:rsidRPr="00ED172B" w:rsidRDefault="009E2382" w:rsidP="006B2FE9">
            <w:pPr>
              <w:jc w:val="center"/>
              <w:rPr>
                <w:color w:val="000000" w:themeColor="text1"/>
              </w:rPr>
            </w:pPr>
            <w:r>
              <w:rPr>
                <w:rFonts w:cs="Arial"/>
                <w:color w:val="000000" w:themeColor="text1"/>
                <w:szCs w:val="16"/>
              </w:rPr>
              <w:t>100%</w:t>
            </w:r>
          </w:p>
        </w:tc>
        <w:tc>
          <w:tcPr>
            <w:tcW w:w="957" w:type="pct"/>
          </w:tcPr>
          <w:p w14:paraId="2F938E37" w14:textId="464506A5" w:rsidR="009E2382" w:rsidRPr="00ED172B" w:rsidRDefault="009E2382" w:rsidP="006B2FE9">
            <w:pPr>
              <w:jc w:val="center"/>
              <w:rPr>
                <w:color w:val="000000" w:themeColor="text1"/>
              </w:rPr>
            </w:pPr>
            <w:r w:rsidRPr="005F5F3C">
              <w:rPr>
                <w:rFonts w:cs="Arial"/>
                <w:color w:val="000000" w:themeColor="text1"/>
                <w:szCs w:val="16"/>
              </w:rPr>
              <w:t>100%</w:t>
            </w:r>
          </w:p>
        </w:tc>
        <w:tc>
          <w:tcPr>
            <w:tcW w:w="957" w:type="pct"/>
          </w:tcPr>
          <w:p w14:paraId="4AC39EE9" w14:textId="73F47232" w:rsidR="009E2382" w:rsidRPr="00ED172B" w:rsidRDefault="009E2382" w:rsidP="006B2FE9">
            <w:pPr>
              <w:jc w:val="center"/>
              <w:rPr>
                <w:color w:val="000000" w:themeColor="text1"/>
              </w:rPr>
            </w:pPr>
            <w:r w:rsidRPr="005F5F3C">
              <w:rPr>
                <w:rFonts w:cs="Arial"/>
                <w:color w:val="000000" w:themeColor="text1"/>
                <w:szCs w:val="16"/>
              </w:rPr>
              <w:t>100%</w:t>
            </w:r>
          </w:p>
        </w:tc>
        <w:tc>
          <w:tcPr>
            <w:tcW w:w="957" w:type="pct"/>
          </w:tcPr>
          <w:p w14:paraId="4DB41CB2" w14:textId="580BD2F7" w:rsidR="009E2382" w:rsidRPr="00ED172B" w:rsidRDefault="009E2382" w:rsidP="006B2FE9">
            <w:pPr>
              <w:jc w:val="center"/>
              <w:rPr>
                <w:color w:val="000000" w:themeColor="text1"/>
              </w:rPr>
            </w:pPr>
            <w:r w:rsidRPr="005F5F3C">
              <w:rPr>
                <w:rFonts w:cs="Arial"/>
                <w:color w:val="000000" w:themeColor="text1"/>
                <w:szCs w:val="16"/>
              </w:rPr>
              <w:t>100%</w:t>
            </w:r>
          </w:p>
        </w:tc>
      </w:tr>
    </w:tbl>
    <w:p w14:paraId="61F72181" w14:textId="2C18B070" w:rsidR="001C3D0E" w:rsidRPr="00ED172B" w:rsidRDefault="00F22D09">
      <w:pPr>
        <w:rPr>
          <w:b/>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7FFYAPRDATA"/>
      </w:tblPr>
      <w:tblGrid>
        <w:gridCol w:w="2515"/>
        <w:gridCol w:w="1890"/>
        <w:gridCol w:w="1439"/>
        <w:gridCol w:w="1351"/>
        <w:gridCol w:w="1260"/>
        <w:gridCol w:w="1260"/>
        <w:gridCol w:w="1075"/>
      </w:tblGrid>
      <w:tr w:rsidR="00ED172B" w:rsidRPr="00ED172B" w14:paraId="3BBFCFAE" w14:textId="2CBBD8D9" w:rsidTr="00986B99">
        <w:trPr>
          <w:trHeight w:val="354"/>
          <w:tblHeader/>
        </w:trPr>
        <w:tc>
          <w:tcPr>
            <w:tcW w:w="1165" w:type="pct"/>
            <w:shd w:val="clear" w:color="auto" w:fill="auto"/>
            <w:vAlign w:val="bottom"/>
          </w:tcPr>
          <w:p w14:paraId="3A35828E"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with IFSPs for whom an initial evaluation and assessment and an initial IFSP meeting was conducted within Part C’s 45-day timeline</w:t>
            </w:r>
          </w:p>
        </w:tc>
        <w:tc>
          <w:tcPr>
            <w:tcW w:w="876" w:type="pct"/>
            <w:shd w:val="clear" w:color="auto" w:fill="auto"/>
            <w:vAlign w:val="bottom"/>
          </w:tcPr>
          <w:p w14:paraId="31DE48C5" w14:textId="77777777" w:rsidR="008872E7" w:rsidRPr="00ED172B" w:rsidRDefault="008872E7" w:rsidP="008872E7">
            <w:pPr>
              <w:jc w:val="center"/>
              <w:rPr>
                <w:b/>
                <w:color w:val="000000" w:themeColor="text1"/>
                <w:szCs w:val="16"/>
              </w:rPr>
            </w:pPr>
            <w:r w:rsidRPr="00ED172B">
              <w:rPr>
                <w:b/>
                <w:color w:val="000000" w:themeColor="text1"/>
                <w:szCs w:val="16"/>
              </w:rPr>
              <w:t>Number of eligible infants and toddlers evaluated and assessed for whom an initial IFSP meeting was required to be conducted</w:t>
            </w:r>
          </w:p>
        </w:tc>
        <w:tc>
          <w:tcPr>
            <w:tcW w:w="667" w:type="pct"/>
            <w:shd w:val="clear" w:color="auto" w:fill="auto"/>
            <w:vAlign w:val="bottom"/>
          </w:tcPr>
          <w:p w14:paraId="07D96066" w14:textId="4A35850A" w:rsidR="008872E7" w:rsidRPr="00ED172B" w:rsidRDefault="00CD74B5" w:rsidP="008872E7">
            <w:pPr>
              <w:jc w:val="center"/>
              <w:rPr>
                <w:b/>
                <w:color w:val="000000" w:themeColor="text1"/>
                <w:szCs w:val="16"/>
              </w:rPr>
            </w:pPr>
            <w:r>
              <w:rPr>
                <w:rFonts w:cs="Arial"/>
                <w:b/>
                <w:color w:val="000000" w:themeColor="text1"/>
                <w:szCs w:val="16"/>
              </w:rPr>
              <w:t>FFY 2020 Data</w:t>
            </w:r>
          </w:p>
        </w:tc>
        <w:tc>
          <w:tcPr>
            <w:tcW w:w="626" w:type="pct"/>
            <w:shd w:val="clear" w:color="auto" w:fill="auto"/>
            <w:vAlign w:val="bottom"/>
          </w:tcPr>
          <w:p w14:paraId="02F56F6D" w14:textId="023DADFF" w:rsidR="008872E7" w:rsidRPr="00ED172B" w:rsidRDefault="00F22D09" w:rsidP="008872E7">
            <w:pPr>
              <w:jc w:val="center"/>
              <w:rPr>
                <w:b/>
                <w:color w:val="000000" w:themeColor="text1"/>
                <w:szCs w:val="16"/>
              </w:rPr>
            </w:pPr>
            <w:r>
              <w:rPr>
                <w:rFonts w:cs="Arial"/>
                <w:b/>
                <w:color w:val="000000" w:themeColor="text1"/>
                <w:szCs w:val="16"/>
              </w:rPr>
              <w:t>FFY 2021 Target</w:t>
            </w:r>
          </w:p>
        </w:tc>
        <w:tc>
          <w:tcPr>
            <w:tcW w:w="584" w:type="pct"/>
            <w:shd w:val="clear" w:color="auto" w:fill="auto"/>
            <w:vAlign w:val="bottom"/>
          </w:tcPr>
          <w:p w14:paraId="43BEDF85" w14:textId="1348CF8E" w:rsidR="008872E7" w:rsidRPr="00ED172B" w:rsidRDefault="00F22D09" w:rsidP="008872E7">
            <w:pPr>
              <w:jc w:val="center"/>
              <w:rPr>
                <w:b/>
                <w:color w:val="000000" w:themeColor="text1"/>
                <w:szCs w:val="16"/>
              </w:rPr>
            </w:pPr>
            <w:r>
              <w:rPr>
                <w:rFonts w:cs="Arial"/>
                <w:b/>
                <w:color w:val="000000" w:themeColor="text1"/>
                <w:szCs w:val="16"/>
              </w:rPr>
              <w:t>FFY 2021 Data</w:t>
            </w:r>
          </w:p>
        </w:tc>
        <w:tc>
          <w:tcPr>
            <w:tcW w:w="584" w:type="pct"/>
            <w:shd w:val="clear" w:color="auto" w:fill="auto"/>
            <w:vAlign w:val="bottom"/>
          </w:tcPr>
          <w:p w14:paraId="7828F710" w14:textId="2C18054F" w:rsidR="008872E7" w:rsidRPr="00ED172B" w:rsidRDefault="008872E7" w:rsidP="008872E7">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14:paraId="3D7AD0D4" w14:textId="2E990CEA" w:rsidR="008872E7" w:rsidRPr="00ED172B" w:rsidRDefault="008872E7" w:rsidP="008872E7">
            <w:pPr>
              <w:jc w:val="center"/>
              <w:rPr>
                <w:b/>
                <w:color w:val="000000" w:themeColor="text1"/>
                <w:szCs w:val="16"/>
              </w:rPr>
            </w:pPr>
            <w:r w:rsidRPr="00ED172B">
              <w:rPr>
                <w:b/>
                <w:color w:val="000000" w:themeColor="text1"/>
                <w:szCs w:val="16"/>
              </w:rPr>
              <w:t>Slippage</w:t>
            </w:r>
          </w:p>
        </w:tc>
      </w:tr>
      <w:tr w:rsidR="00ED172B" w:rsidRPr="00ED172B" w14:paraId="59449F6E" w14:textId="2BAA203F" w:rsidTr="00986B99">
        <w:trPr>
          <w:trHeight w:val="287"/>
        </w:trPr>
        <w:tc>
          <w:tcPr>
            <w:tcW w:w="1165" w:type="pct"/>
            <w:shd w:val="clear" w:color="auto" w:fill="auto"/>
            <w:vAlign w:val="center"/>
          </w:tcPr>
          <w:p w14:paraId="488F2A3D" w14:textId="41AB40C1" w:rsidR="008872E7" w:rsidRPr="00ED172B" w:rsidRDefault="00860830" w:rsidP="008872E7">
            <w:pPr>
              <w:jc w:val="center"/>
              <w:rPr>
                <w:color w:val="000000" w:themeColor="text1"/>
                <w:szCs w:val="16"/>
              </w:rPr>
            </w:pPr>
            <w:r w:rsidRPr="00ED172B">
              <w:rPr>
                <w:color w:val="000000" w:themeColor="text1"/>
                <w:szCs w:val="16"/>
              </w:rPr>
              <w:t>3,528</w:t>
            </w:r>
          </w:p>
        </w:tc>
        <w:tc>
          <w:tcPr>
            <w:tcW w:w="876" w:type="pct"/>
            <w:shd w:val="clear" w:color="auto" w:fill="auto"/>
            <w:vAlign w:val="center"/>
          </w:tcPr>
          <w:p w14:paraId="375452CF" w14:textId="61DFFCF6" w:rsidR="008872E7" w:rsidRPr="00ED172B" w:rsidRDefault="00860830" w:rsidP="008872E7">
            <w:pPr>
              <w:jc w:val="center"/>
              <w:rPr>
                <w:color w:val="000000" w:themeColor="text1"/>
                <w:szCs w:val="16"/>
              </w:rPr>
            </w:pPr>
            <w:r w:rsidRPr="00ED172B">
              <w:rPr>
                <w:color w:val="000000" w:themeColor="text1"/>
                <w:szCs w:val="16"/>
              </w:rPr>
              <w:t>5,906</w:t>
            </w:r>
          </w:p>
        </w:tc>
        <w:tc>
          <w:tcPr>
            <w:tcW w:w="667" w:type="pct"/>
            <w:shd w:val="clear" w:color="auto" w:fill="auto"/>
          </w:tcPr>
          <w:p w14:paraId="6436FCEF" w14:textId="7552BB51" w:rsidR="008872E7" w:rsidRPr="00ED172B" w:rsidRDefault="00860830" w:rsidP="008872E7">
            <w:pPr>
              <w:jc w:val="center"/>
              <w:rPr>
                <w:color w:val="000000" w:themeColor="text1"/>
                <w:szCs w:val="16"/>
              </w:rPr>
            </w:pPr>
            <w:r w:rsidRPr="00ED172B">
              <w:rPr>
                <w:rFonts w:cs="Arial"/>
                <w:color w:val="000000" w:themeColor="text1"/>
                <w:szCs w:val="16"/>
              </w:rPr>
              <w:t>99.86%</w:t>
            </w:r>
          </w:p>
        </w:tc>
        <w:tc>
          <w:tcPr>
            <w:tcW w:w="626" w:type="pct"/>
            <w:shd w:val="clear" w:color="auto" w:fill="auto"/>
          </w:tcPr>
          <w:p w14:paraId="18FB2934" w14:textId="00EB9169" w:rsidR="008872E7" w:rsidRPr="00ED172B" w:rsidRDefault="00E87790" w:rsidP="008872E7">
            <w:pPr>
              <w:jc w:val="center"/>
              <w:rPr>
                <w:color w:val="000000" w:themeColor="text1"/>
                <w:szCs w:val="16"/>
              </w:rPr>
            </w:pPr>
            <w:r w:rsidRPr="00ED172B">
              <w:rPr>
                <w:color w:val="000000" w:themeColor="text1"/>
                <w:szCs w:val="16"/>
              </w:rPr>
              <w:t>100%</w:t>
            </w:r>
          </w:p>
        </w:tc>
        <w:tc>
          <w:tcPr>
            <w:tcW w:w="584" w:type="pct"/>
            <w:shd w:val="clear" w:color="auto" w:fill="auto"/>
          </w:tcPr>
          <w:p w14:paraId="4D572FCB" w14:textId="45E9B10C" w:rsidR="008872E7" w:rsidRPr="00ED172B" w:rsidRDefault="00860830" w:rsidP="008872E7">
            <w:pPr>
              <w:jc w:val="center"/>
              <w:rPr>
                <w:color w:val="000000" w:themeColor="text1"/>
                <w:szCs w:val="16"/>
              </w:rPr>
            </w:pPr>
            <w:r w:rsidRPr="00ED172B">
              <w:rPr>
                <w:rFonts w:cs="Arial"/>
                <w:color w:val="000000" w:themeColor="text1"/>
                <w:szCs w:val="16"/>
              </w:rPr>
              <w:t>98.44%</w:t>
            </w:r>
          </w:p>
        </w:tc>
        <w:tc>
          <w:tcPr>
            <w:tcW w:w="584" w:type="pct"/>
            <w:shd w:val="clear" w:color="auto" w:fill="auto"/>
          </w:tcPr>
          <w:p w14:paraId="1648FF7B" w14:textId="4177CD65" w:rsidR="008872E7" w:rsidRPr="00ED172B" w:rsidRDefault="00027F39" w:rsidP="00027F39">
            <w:pPr>
              <w:jc w:val="center"/>
              <w:rPr>
                <w:color w:val="000000" w:themeColor="text1"/>
              </w:rPr>
            </w:pPr>
            <w:r w:rsidRPr="00ED172B">
              <w:rPr>
                <w:color w:val="000000" w:themeColor="text1"/>
              </w:rPr>
              <w:t>Did not meet target</w:t>
            </w:r>
          </w:p>
        </w:tc>
        <w:tc>
          <w:tcPr>
            <w:tcW w:w="498" w:type="pct"/>
            <w:shd w:val="clear" w:color="auto" w:fill="auto"/>
          </w:tcPr>
          <w:p w14:paraId="38A3D273" w14:textId="3D8308F3" w:rsidR="008872E7" w:rsidRPr="00ED172B" w:rsidRDefault="00632DF6" w:rsidP="00027F39">
            <w:pPr>
              <w:jc w:val="center"/>
              <w:rPr>
                <w:color w:val="000000" w:themeColor="text1"/>
              </w:rPr>
            </w:pPr>
            <w:r w:rsidRPr="00ED172B">
              <w:rPr>
                <w:color w:val="000000" w:themeColor="text1"/>
              </w:rPr>
              <w:t>Slippage</w:t>
            </w:r>
          </w:p>
        </w:tc>
      </w:tr>
    </w:tbl>
    <w:p w14:paraId="771364E0" w14:textId="01412A72" w:rsidR="005A1CA1" w:rsidRPr="00ED172B" w:rsidRDefault="00F77D8B" w:rsidP="005A1CA1">
      <w:pPr>
        <w:rPr>
          <w:rFonts w:cs="Arial"/>
          <w:b/>
          <w:i/>
          <w:color w:val="000000" w:themeColor="text1"/>
          <w:szCs w:val="16"/>
        </w:rPr>
      </w:pPr>
      <w:r w:rsidRPr="00ED172B">
        <w:rPr>
          <w:rFonts w:cs="Arial"/>
          <w:b/>
          <w:color w:val="000000" w:themeColor="text1"/>
          <w:szCs w:val="16"/>
        </w:rPr>
        <w:t xml:space="preserve">Provide reasons for slippage, if applicable. </w:t>
      </w:r>
    </w:p>
    <w:p w14:paraId="3E11E248" w14:textId="5735AD58" w:rsidR="005A1CA1" w:rsidRDefault="00632DF6" w:rsidP="00632DF6">
      <w:pPr>
        <w:rPr>
          <w:color w:val="000000" w:themeColor="text1"/>
        </w:rPr>
      </w:pPr>
      <w:r w:rsidRPr="00ED172B">
        <w:rPr>
          <w:color w:val="000000" w:themeColor="text1"/>
        </w:rPr>
        <w:t>Massachusetts experienced an increased number of COVID-19 cases during the reporting year, reaching highs of more than 36,000 confirmed cases on a single date. The concomitant effects of these cases included required quarantine and isolation for workers, reducing the number of EIS providers available to an already strained and reduced workforce, still struggling to recover from the effects of the outset of the COVID-19 pandemic. The COVID-19 pediatric vaccine was not available until June 2022, which further suppressed families interest in in-home services. Taken together, these reasons account for the slippage observed in Indicator 7 from FFY20 to FFY21.</w:t>
      </w:r>
    </w:p>
    <w:p w14:paraId="23726145" w14:textId="77777777" w:rsidR="00293B59" w:rsidRPr="00ED172B" w:rsidRDefault="00293B59" w:rsidP="00293B59">
      <w:pPr>
        <w:rPr>
          <w:color w:val="000000" w:themeColor="text1"/>
          <w:szCs w:val="16"/>
        </w:rPr>
      </w:pPr>
      <w:r w:rsidRPr="00ED172B">
        <w:rPr>
          <w:b/>
          <w:color w:val="000000" w:themeColor="text1"/>
          <w:szCs w:val="16"/>
        </w:rPr>
        <w:t>Number of documented delays attributable to exceptional family circumstances</w:t>
      </w:r>
    </w:p>
    <w:p w14:paraId="6108A36C" w14:textId="5D3CC1AC" w:rsidR="00293B59" w:rsidRPr="00ED172B" w:rsidRDefault="00293B59" w:rsidP="00293B59">
      <w:pPr>
        <w:rPr>
          <w:b/>
          <w:color w:val="000000" w:themeColor="text1"/>
          <w:szCs w:val="16"/>
        </w:rPr>
      </w:pPr>
      <w:r w:rsidRPr="00ED172B">
        <w:rPr>
          <w:b/>
          <w:color w:val="000000" w:themeColor="text1"/>
          <w:szCs w:val="16"/>
        </w:rPr>
        <w:t>This number will be added to the "Number of eligible infants and toddlers with IFSPs for whom an initial evaluation and assessment and an initial IFSP meeting was conducted within Part C's 45-day timeline" field above to calculate the numerator for this indicator.</w:t>
      </w:r>
    </w:p>
    <w:p w14:paraId="7EDEC3EA" w14:textId="6715968D" w:rsidR="00293B59" w:rsidRDefault="00293B59" w:rsidP="00293B59">
      <w:pPr>
        <w:rPr>
          <w:color w:val="000000" w:themeColor="text1"/>
          <w:szCs w:val="16"/>
        </w:rPr>
      </w:pPr>
      <w:r w:rsidRPr="00ED172B">
        <w:rPr>
          <w:color w:val="000000" w:themeColor="text1"/>
          <w:szCs w:val="16"/>
        </w:rPr>
        <w:t>2,286</w:t>
      </w:r>
    </w:p>
    <w:p w14:paraId="4CC17C51" w14:textId="77777777" w:rsidR="003739C5" w:rsidRDefault="003739C5" w:rsidP="003739C5">
      <w:pPr>
        <w:rPr>
          <w:rFonts w:cs="Arial"/>
          <w:b/>
          <w:color w:val="000000" w:themeColor="text1"/>
          <w:szCs w:val="16"/>
        </w:rPr>
      </w:pPr>
      <w:r w:rsidRPr="003739C5">
        <w:rPr>
          <w:rFonts w:cs="Arial"/>
          <w:b/>
          <w:color w:val="000000" w:themeColor="text1"/>
          <w:szCs w:val="16"/>
        </w:rPr>
        <w:t>Provide reasons for delay, if applicable.</w:t>
      </w:r>
    </w:p>
    <w:p w14:paraId="35CB1EC5" w14:textId="07FB7420" w:rsidR="003739C5" w:rsidRPr="00ED172B" w:rsidRDefault="003739C5" w:rsidP="003739C5">
      <w:pPr>
        <w:rPr>
          <w:rFonts w:cs="Arial"/>
          <w:color w:val="000000" w:themeColor="text1"/>
          <w:szCs w:val="16"/>
        </w:rPr>
      </w:pPr>
      <w:r w:rsidRPr="00ED172B">
        <w:rPr>
          <w:color w:val="000000" w:themeColor="text1"/>
          <w:szCs w:val="16"/>
        </w:rPr>
        <w:t>MA-C's state database (EICS) captures the reasons for delay reviewed all the delay reasons for the children with their initial IFSP meetings delayed for circumstances, including those related to the COVID-19 pandemic.</w:t>
        <w:br/>
        <w:t/>
        <w:br/>
        <w:t>Delays attributable to exceptional family circumstances include difficulty scheduling with a family, family unavailability due to illness or COVID-19 isolation protocols, and extreme weather. As advised by OSEP, delays in service provision caused by the public health response to the COVID-19 pandemic can meet the definition of exceptional family circumstances, as defined under 34 C.F.R. § 303.310(b), when the child and family are effectively unavailable.</w:t>
        <w:br/>
        <w:t/>
        <w:br/>
        <w:t>There were 92 children with delayed IFSPs that were not attributable to an exceptional family circumstance. In these cases, the delay was due to a program error or staffing issue at the EIS program. In these cases, all 92 children received an IFSP, although late.</w:t>
      </w:r>
    </w:p>
    <w:p w14:paraId="36270560" w14:textId="77777777" w:rsidR="00293B59"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36EA61F7" w14:textId="049D1D3B" w:rsidR="000709B9" w:rsidRDefault="00860830" w:rsidP="00B83404">
      <w:pPr>
        <w:rPr>
          <w:color w:val="000000" w:themeColor="text1"/>
        </w:rPr>
      </w:pPr>
      <w:r w:rsidRPr="00ED172B">
        <w:rPr>
          <w:color w:val="000000" w:themeColor="text1"/>
        </w:rPr>
        <w:t>State database</w:t>
      </w:r>
    </w:p>
    <w:p w14:paraId="0535AD27" w14:textId="352FAEAA" w:rsidR="00423BCE"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EEFB1FE" w14:textId="545986D5" w:rsidR="000709B9" w:rsidRPr="00ED172B" w:rsidRDefault="00860830" w:rsidP="000709B9">
      <w:pPr>
        <w:rPr>
          <w:color w:val="000000" w:themeColor="text1"/>
        </w:rPr>
      </w:pPr>
      <w:r w:rsidRPr="00ED172B">
        <w:rPr>
          <w:color w:val="000000" w:themeColor="text1"/>
        </w:rPr>
        <w:t>FFY21 Fourth Quarter (i.e., April 1, 2022-June 30, 2022)</w:t>
      </w:r>
    </w:p>
    <w:p w14:paraId="3464F3BB" w14:textId="014C8734"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3163EA0C" w14:textId="3A5ADAE9" w:rsidR="000709B9" w:rsidRDefault="00860830" w:rsidP="000709B9">
      <w:pPr>
        <w:rPr>
          <w:rFonts w:cs="Arial"/>
          <w:color w:val="000000" w:themeColor="text1"/>
          <w:szCs w:val="16"/>
        </w:rPr>
      </w:pPr>
      <w:r w:rsidRPr="00ED172B">
        <w:rPr>
          <w:rFonts w:cs="Arial"/>
          <w:color w:val="000000" w:themeColor="text1"/>
          <w:szCs w:val="16"/>
        </w:rPr>
        <w:t>As allowed by the measurement table, MA-C is reporting data for a selection of the full reporting year. The number of infants and toddlers who were evaluated and assessed for whom an initial IFSP meeting was required was consistent for each quarter of the reporting year, so the fourth quarter (April 1, 2022 to June 30, 2022) was selected for the calculation of the indicator. There were 5,906 infants and toddlers who were evaluated and assessed for whom an initial IFSP meeting was required between April 1, 2022 and June 30, 2022.</w:t>
      </w:r>
    </w:p>
    <w:p w14:paraId="239AE944" w14:textId="7F02781E" w:rsidR="003A3693" w:rsidRPr="00ED172B" w:rsidRDefault="003A3693" w:rsidP="003A3693">
      <w:pPr>
        <w:rPr>
          <w:rFonts w:cs="Arial"/>
          <w:b/>
          <w:color w:val="000000" w:themeColor="text1"/>
          <w:szCs w:val="16"/>
        </w:rPr>
      </w:pPr>
      <w:bookmarkStart w:id="43" w:name="_Toc386209666"/>
      <w:bookmarkStart w:id="44" w:name="_Toc392159299"/>
      <w:bookmarkEnd w:id="41"/>
      <w:bookmarkEnd w:id="42"/>
      <w:r w:rsidRPr="00ED172B">
        <w:rPr>
          <w:rFonts w:cs="Arial"/>
          <w:b/>
          <w:color w:val="000000" w:themeColor="text1"/>
          <w:szCs w:val="16"/>
        </w:rPr>
        <w:t>Provide additional information about this indicator (optional).</w:t>
      </w:r>
    </w:p>
    <w:p w14:paraId="08F3AB46" w14:textId="3AE7E453" w:rsidR="003A3693" w:rsidRPr="00ED172B" w:rsidRDefault="00860830" w:rsidP="003A3693">
      <w:pPr>
        <w:rPr>
          <w:rFonts w:cs="Arial"/>
          <w:color w:val="000000" w:themeColor="text1"/>
          <w:szCs w:val="16"/>
        </w:rPr>
      </w:pPr>
      <w:r w:rsidRPr="00ED172B">
        <w:rPr>
          <w:rFonts w:cs="Arial"/>
          <w:color w:val="000000" w:themeColor="text1"/>
          <w:szCs w:val="16"/>
        </w:rPr>
        <w:t>As advised by OSEP, delays in service provision caused by the public health response to the COVID-19 pandemic can meet the definition of exceptional family circumstances, as defined under 34 C.F.R. § 303.310(b), when the child and family are effectively unavailable. There were 2,286 children with their initial IFSP meetings delayed by the COVID-19 pandemic and other reasons attributable to exceptional family circumstances included in the numerator and denominator, as allowed by OSEP.</w:t>
      </w:r>
    </w:p>
    <w:p w14:paraId="78CA7AEE" w14:textId="6B4F2BBD" w:rsidR="008203B4" w:rsidRPr="00ED172B" w:rsidRDefault="008203B4" w:rsidP="00B83404">
      <w:pPr>
        <w:rPr>
          <w:color w:val="000000" w:themeColor="text1"/>
        </w:rPr>
      </w:pPr>
      <w:r w:rsidRPr="00ED172B">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C07PFFYNCFINDINGS"/>
      </w:tblPr>
      <w:tblGrid>
        <w:gridCol w:w="2647"/>
        <w:gridCol w:w="2776"/>
        <w:gridCol w:w="2652"/>
        <w:gridCol w:w="2715"/>
      </w:tblGrid>
      <w:tr w:rsidR="00ED172B" w:rsidRPr="00ED172B" w14:paraId="662BE12F" w14:textId="77777777" w:rsidTr="00986B99">
        <w:trPr>
          <w:trHeight w:val="389"/>
          <w:tblHeader/>
        </w:trPr>
        <w:tc>
          <w:tcPr>
            <w:tcW w:w="1226" w:type="pct"/>
            <w:shd w:val="clear" w:color="auto" w:fill="auto"/>
            <w:vAlign w:val="bottom"/>
          </w:tcPr>
          <w:p w14:paraId="0ADB00C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86" w:type="pct"/>
            <w:shd w:val="clear" w:color="auto" w:fill="auto"/>
            <w:vAlign w:val="bottom"/>
          </w:tcPr>
          <w:p w14:paraId="0EB9F07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29" w:type="pct"/>
            <w:shd w:val="clear" w:color="auto" w:fill="auto"/>
            <w:vAlign w:val="bottom"/>
          </w:tcPr>
          <w:p w14:paraId="0E4AF01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258" w:type="pct"/>
            <w:shd w:val="clear" w:color="auto" w:fill="auto"/>
            <w:vAlign w:val="bottom"/>
          </w:tcPr>
          <w:p w14:paraId="6BE909DA"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AD15D6E" w14:textId="77777777" w:rsidTr="00986B99">
        <w:tc>
          <w:tcPr>
            <w:tcW w:w="1226" w:type="pct"/>
            <w:shd w:val="clear" w:color="auto" w:fill="auto"/>
          </w:tcPr>
          <w:p w14:paraId="3C6AC4FB" w14:textId="4FB8B8DC"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86" w:type="pct"/>
            <w:shd w:val="clear" w:color="auto" w:fill="auto"/>
          </w:tcPr>
          <w:p w14:paraId="6713A327" w14:textId="087EB1ED"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29" w:type="pct"/>
            <w:shd w:val="clear" w:color="auto" w:fill="auto"/>
          </w:tcPr>
          <w:p w14:paraId="7767046D" w14:textId="6877FBBE"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c>
          <w:tcPr>
            <w:tcW w:w="1258" w:type="pct"/>
            <w:shd w:val="clear" w:color="auto" w:fill="auto"/>
          </w:tcPr>
          <w:p w14:paraId="4621D411" w14:textId="7E49A5A3" w:rsidR="008203B4" w:rsidRPr="00ED172B" w:rsidRDefault="00860830" w:rsidP="00186420">
            <w:pPr>
              <w:jc w:val="center"/>
              <w:rPr>
                <w:rFonts w:cs="Arial"/>
                <w:color w:val="000000" w:themeColor="text1"/>
                <w:szCs w:val="16"/>
              </w:rPr>
            </w:pPr>
            <w:r w:rsidRPr="00ED172B">
              <w:rPr>
                <w:rFonts w:cs="Arial"/>
                <w:color w:val="000000" w:themeColor="text1"/>
                <w:szCs w:val="16"/>
              </w:rPr>
              <w:t>0</w:t>
            </w:r>
          </w:p>
        </w:tc>
      </w:tr>
    </w:tbl>
    <w:p w14:paraId="32FC1C4C" w14:textId="5A1EA7CD" w:rsidR="008203B4" w:rsidRPr="00ED172B" w:rsidRDefault="008203B4" w:rsidP="00B83404">
      <w:pPr>
        <w:rPr>
          <w:color w:val="000000" w:themeColor="text1"/>
        </w:rPr>
      </w:pPr>
      <w:r w:rsidRPr="00ED172B">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C07PPFFYNCFINDINGS"/>
      </w:tblPr>
      <w:tblGrid>
        <w:gridCol w:w="1941"/>
        <w:gridCol w:w="3020"/>
        <w:gridCol w:w="3008"/>
        <w:gridCol w:w="2821"/>
      </w:tblGrid>
      <w:tr w:rsidR="00ED172B" w:rsidRPr="00ED172B" w14:paraId="4E93AE14" w14:textId="77777777" w:rsidTr="00986B99">
        <w:trPr>
          <w:tblHeader/>
        </w:trPr>
        <w:tc>
          <w:tcPr>
            <w:tcW w:w="899" w:type="pct"/>
            <w:shd w:val="clear" w:color="auto" w:fill="auto"/>
            <w:vAlign w:val="bottom"/>
          </w:tcPr>
          <w:p w14:paraId="0CD65E9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99" w:type="pct"/>
            <w:shd w:val="clear" w:color="auto" w:fill="auto"/>
            <w:vAlign w:val="bottom"/>
          </w:tcPr>
          <w:p w14:paraId="16F76534" w14:textId="6518475A"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2020 APR</w:t>
            </w:r>
          </w:p>
        </w:tc>
        <w:tc>
          <w:tcPr>
            <w:tcW w:w="1394" w:type="pct"/>
            <w:shd w:val="clear" w:color="auto" w:fill="auto"/>
            <w:vAlign w:val="bottom"/>
          </w:tcPr>
          <w:p w14:paraId="2BF2450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7" w:type="pct"/>
            <w:shd w:val="clear" w:color="auto" w:fill="auto"/>
            <w:vAlign w:val="bottom"/>
          </w:tcPr>
          <w:p w14:paraId="084EB573"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2B1E48E5" w14:textId="77777777" w:rsidTr="00986B99">
        <w:tc>
          <w:tcPr>
            <w:tcW w:w="899" w:type="pct"/>
            <w:shd w:val="clear" w:color="auto" w:fill="auto"/>
          </w:tcPr>
          <w:p w14:paraId="128A230A" w14:textId="50E2AC27" w:rsidR="008203B4" w:rsidRPr="00ED172B" w:rsidRDefault="00860830" w:rsidP="00CD79C5">
            <w:pPr>
              <w:rPr>
                <w:rFonts w:cs="Arial"/>
                <w:color w:val="000000" w:themeColor="text1"/>
                <w:szCs w:val="16"/>
              </w:rPr>
            </w:pPr>
            <w:r w:rsidRPr="00ED172B">
              <w:rPr>
                <w:rFonts w:cs="Arial"/>
                <w:color w:val="000000" w:themeColor="text1"/>
                <w:szCs w:val="16"/>
              </w:rPr>
              <w:t/>
            </w:r>
          </w:p>
        </w:tc>
        <w:tc>
          <w:tcPr>
            <w:tcW w:w="1399" w:type="pct"/>
            <w:shd w:val="clear" w:color="auto" w:fill="auto"/>
          </w:tcPr>
          <w:p w14:paraId="586EEE14" w14:textId="68B417D1"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14:paraId="32B05EFE" w14:textId="5D65EE73"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14:paraId="3338F511" w14:textId="15EAC72F"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744B3351" w14:textId="77777777" w:rsidTr="00986B99">
        <w:tc>
          <w:tcPr>
            <w:tcW w:w="899" w:type="pct"/>
            <w:shd w:val="clear" w:color="auto" w:fill="auto"/>
          </w:tcPr>
          <w:p w14:paraId="43DF4A1D" w14:textId="629DD993" w:rsidR="008203B4" w:rsidRPr="00ED172B" w:rsidRDefault="00860830" w:rsidP="00CD79C5">
            <w:pPr>
              <w:rPr>
                <w:rFonts w:cs="Arial"/>
                <w:color w:val="000000" w:themeColor="text1"/>
                <w:szCs w:val="16"/>
              </w:rPr>
            </w:pPr>
            <w:r w:rsidRPr="00ED172B">
              <w:rPr>
                <w:rFonts w:cs="Arial"/>
                <w:color w:val="000000" w:themeColor="text1"/>
                <w:szCs w:val="16"/>
              </w:rPr>
              <w:t/>
            </w:r>
          </w:p>
        </w:tc>
        <w:tc>
          <w:tcPr>
            <w:tcW w:w="1399" w:type="pct"/>
            <w:shd w:val="clear" w:color="auto" w:fill="auto"/>
          </w:tcPr>
          <w:p w14:paraId="682B1AF7" w14:textId="04856098"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14:paraId="58B66D2A" w14:textId="5E2142F5"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14:paraId="6986D2A0" w14:textId="0E05F3E2"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62EEE336" w14:textId="77777777" w:rsidTr="00986B99">
        <w:tc>
          <w:tcPr>
            <w:tcW w:w="899" w:type="pct"/>
            <w:shd w:val="clear" w:color="auto" w:fill="auto"/>
          </w:tcPr>
          <w:p w14:paraId="03FC998C" w14:textId="17CC0145" w:rsidR="008203B4" w:rsidRPr="00ED172B" w:rsidRDefault="00860830" w:rsidP="00CD79C5">
            <w:pPr>
              <w:rPr>
                <w:rFonts w:cs="Arial"/>
                <w:color w:val="000000" w:themeColor="text1"/>
                <w:szCs w:val="16"/>
              </w:rPr>
            </w:pPr>
            <w:r w:rsidRPr="00ED172B">
              <w:rPr>
                <w:rFonts w:cs="Arial"/>
                <w:color w:val="000000" w:themeColor="text1"/>
                <w:szCs w:val="16"/>
              </w:rPr>
              <w:t/>
            </w:r>
          </w:p>
        </w:tc>
        <w:tc>
          <w:tcPr>
            <w:tcW w:w="1399" w:type="pct"/>
            <w:shd w:val="clear" w:color="auto" w:fill="auto"/>
          </w:tcPr>
          <w:p w14:paraId="0C9B51BA" w14:textId="69C64714"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94" w:type="pct"/>
            <w:shd w:val="clear" w:color="auto" w:fill="auto"/>
          </w:tcPr>
          <w:p w14:paraId="3D9AF315" w14:textId="35A24922"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7" w:type="pct"/>
            <w:shd w:val="clear" w:color="auto" w:fill="auto"/>
          </w:tcPr>
          <w:p w14:paraId="7C6C5467" w14:textId="7AD30721"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bl>
    <w:p w14:paraId="009A31E4" w14:textId="2D49F173" w:rsidR="008203B4" w:rsidRPr="00A40EE1" w:rsidRDefault="000D0117" w:rsidP="005C3FFD">
      <w:pPr>
        <w:pStyle w:val="Heading2"/>
      </w:pPr>
      <w:r w:rsidRPr="00A40EE1">
        <w:t xml:space="preserve">7 - </w:t>
      </w:r>
      <w:r w:rsidR="008203B4" w:rsidRPr="00A40EE1">
        <w:t>Prior FFY Required Actions</w:t>
      </w:r>
    </w:p>
    <w:p w14:paraId="19C31DCF" w14:textId="2A828330" w:rsidR="004C1CEE" w:rsidRPr="00ED172B" w:rsidRDefault="00320806" w:rsidP="003977D8">
      <w:pPr>
        <w:rPr>
          <w:rFonts w:cs="Arial"/>
          <w:i/>
          <w:color w:val="000000" w:themeColor="text1"/>
          <w:szCs w:val="16"/>
        </w:rPr>
      </w:pPr>
      <w:r w:rsidRPr="00ED172B">
        <w:rPr>
          <w:color w:val="000000" w:themeColor="text1"/>
        </w:rPr>
        <w:t xml:space="preserve">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EIS program or provider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2021 SPP/APR, the State must describe the specific actions that were taken to verify the correction. </w:t>
        <w:br/>
        <w:t/>
        <w:br/>
        <w:t>If the State did not identify any findings of noncompliance in FFY 2020, although its FFY 2020 data reflect less than 100% compliance, provide an explanation of why the State did not identify any findings of noncompliance in FFY 2020.</w:t>
      </w:r>
    </w:p>
    <w:p w14:paraId="4F1F97B2" w14:textId="6F762667" w:rsidR="008203B4" w:rsidRPr="00ED172B" w:rsidRDefault="008203B4" w:rsidP="00B83404">
      <w:pPr>
        <w:rPr>
          <w:color w:val="000000" w:themeColor="text1"/>
        </w:rPr>
      </w:pPr>
      <w:r w:rsidRPr="00ED172B">
        <w:rPr>
          <w:b/>
          <w:color w:val="000000" w:themeColor="text1"/>
        </w:rPr>
        <w:t>Response to actions required in FFY 2020 SPP/APR</w:t>
      </w:r>
    </w:p>
    <w:p w14:paraId="6341AF1F" w14:textId="0B05114A" w:rsidR="004C1CEE" w:rsidRPr="00ED172B" w:rsidRDefault="00027F39" w:rsidP="00027F39">
      <w:pPr>
        <w:rPr>
          <w:color w:val="000000" w:themeColor="text1"/>
        </w:rPr>
      </w:pPr>
      <w:r w:rsidRPr="00ED172B">
        <w:rPr>
          <w:color w:val="000000" w:themeColor="text1"/>
        </w:rPr>
        <w:t xml:space="preserve">During FFY20 (July 1, 2020-June 30, 2021), the Lead Agency (MA-C) did not report 100% compliance for Indicator 7, the percentage of infants and toddlers with for whom an initial evaluation, assessment, and IFSP were completed within 45 days. MA-C reviewed its state </w:t>
        <w:br/>
        <w:t xml:space="preserve">database and discovered 33 records across 14 EIS programs that suggested an initial evaluation, assessment, and IFSP were not completed within 45 days. </w:t>
        <w:br/>
        <w:t/>
        <w:br/>
        <w:t xml:space="preserve">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Using data entered by EIS programs into EICS, the Part C Data Manager determined that nine children left the jurisdiction before an IFSP could be developed; she also determined that the remaining 24 children had an initial evaluation, assessment, and IFSP developed, although late, as demonstrated by service-level data entered by the EIS programs into EICS. </w:t>
        <w:br/>
        <w:t/>
        <w:br/>
        <w:t>Next, the Part C Data Manager queried the EICS for the 14 EIS programs with compliance rates below 100%. For each EIS program, she sampled 10 child records at random using subsequent service-level data entered by the EIS programs and determined 100% compliance had been demonstrated.</w:t>
        <w:br/>
        <w:t/>
        <w:br/>
        <w:t xml:space="preserve">Consistent with MA-C general supervision practices, no written findings of noncompliance were made. Instead, MA-C emailed the 14 EIS programs who had reported untimely evaluation, assessment, and initial IFSP to remind them of the regulatory requirement and offer training and technical assistance to sustain compliance. </w:t>
      </w:r>
    </w:p>
    <w:p w14:paraId="74D5DEEF" w14:textId="33CC54A6" w:rsidR="008203B4" w:rsidRPr="00A40EE1" w:rsidRDefault="000D0117" w:rsidP="005C3FFD">
      <w:pPr>
        <w:pStyle w:val="Heading2"/>
      </w:pPr>
      <w:r w:rsidRPr="00A40EE1">
        <w:t xml:space="preserve">7 - </w:t>
      </w:r>
      <w:r w:rsidR="008203B4" w:rsidRPr="00A40EE1">
        <w:t>OSEP Response</w:t>
      </w:r>
    </w:p>
    <w:p w14:paraId="4BD66737" w14:textId="31855B94" w:rsidR="008203B4" w:rsidRPr="00ED172B" w:rsidRDefault="00320806" w:rsidP="00320806">
      <w:pPr>
        <w:rPr>
          <w:color w:val="000000" w:themeColor="text1"/>
        </w:rPr>
      </w:pPr>
      <w:r w:rsidRPr="00ED172B">
        <w:rPr>
          <w:color w:val="000000" w:themeColor="text1"/>
        </w:rPr>
        <w:t>The State reported that it used data from a State database to report on this indicator. The State further reported that it did not use data for the full reporting period (July 1, 2021- June 30, 2022). The State described how the time period in which the data were collected accurately reflects data for infants and toddlers with IFSPs for the full reporting period.</w:t>
      </w:r>
    </w:p>
    <w:p w14:paraId="7B429480" w14:textId="6D8920D4" w:rsidR="008203B4" w:rsidRPr="00A40EE1" w:rsidRDefault="000D0117" w:rsidP="005C3FFD">
      <w:pPr>
        <w:pStyle w:val="Heading2"/>
      </w:pPr>
      <w:r w:rsidRPr="00A40EE1">
        <w:t xml:space="preserve">7 - </w:t>
      </w:r>
      <w:r w:rsidR="008203B4" w:rsidRPr="00A40EE1">
        <w:t>Required Actions</w:t>
      </w:r>
    </w:p>
    <w:p w14:paraId="4447E571" w14:textId="48263EDF" w:rsidR="008203B4" w:rsidRPr="00ED172B" w:rsidRDefault="00320806" w:rsidP="00320806">
      <w:pPr>
        <w:rPr>
          <w:color w:val="000000" w:themeColor="text1"/>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14:paraId="6A23894B"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2F86C696" w14:textId="1539EC1B" w:rsidR="00260ED7" w:rsidRPr="00ED172B" w:rsidRDefault="00260ED7" w:rsidP="0077063D">
      <w:pPr>
        <w:pStyle w:val="Heading1"/>
        <w:rPr>
          <w:color w:val="000000" w:themeColor="text1"/>
        </w:rPr>
      </w:pPr>
      <w:r w:rsidRPr="00ED172B">
        <w:rPr>
          <w:color w:val="000000" w:themeColor="text1"/>
        </w:rPr>
        <w:lastRenderedPageBreak/>
        <w:t>Indicator 8A: Early Childhood Transition</w:t>
      </w:r>
      <w:bookmarkEnd w:id="43"/>
    </w:p>
    <w:p w14:paraId="530F89E6" w14:textId="77777777" w:rsidR="00F51610" w:rsidRPr="00ED172B" w:rsidRDefault="00F51610" w:rsidP="00186420">
      <w:pPr>
        <w:rPr>
          <w:color w:val="000000" w:themeColor="text1"/>
          <w:szCs w:val="20"/>
        </w:rPr>
      </w:pPr>
      <w:bookmarkStart w:id="45" w:name="_Toc386209667"/>
      <w:r w:rsidRPr="00ED172B">
        <w:rPr>
          <w:b/>
          <w:color w:val="000000" w:themeColor="text1"/>
          <w:sz w:val="20"/>
          <w:szCs w:val="20"/>
        </w:rPr>
        <w:t>Instructions and Measurement</w:t>
      </w:r>
    </w:p>
    <w:p w14:paraId="607D4062" w14:textId="52EB845E" w:rsidR="00260ED7" w:rsidRPr="00ED172B" w:rsidRDefault="00260ED7" w:rsidP="00260ED7">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bookmarkStart w:id="46" w:name="_Hlk25310256"/>
      <w:r w:rsidR="00616172" w:rsidRPr="00ED172B">
        <w:rPr>
          <w:color w:val="000000" w:themeColor="text1"/>
          <w:szCs w:val="16"/>
        </w:rPr>
        <w:t>Effective Transition</w:t>
      </w:r>
      <w:bookmarkEnd w:id="46"/>
    </w:p>
    <w:p w14:paraId="401BCBEA" w14:textId="77777777" w:rsidR="00260ED7" w:rsidRPr="00ED172B" w:rsidRDefault="00260ED7" w:rsidP="00260ED7">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056AA175" w14:textId="5751E41D" w:rsidR="00260ED7"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66C0C9FC" w14:textId="13F3777D" w:rsidR="00260ED7"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524F62">
        <w:rPr>
          <w:szCs w:val="16"/>
        </w:rPr>
        <w:t xml:space="preserve"> </w:t>
      </w:r>
      <w:r w:rsidR="00CD1148">
        <w:rPr>
          <w:szCs w:val="16"/>
        </w:rPr>
        <w:t>(</w:t>
      </w:r>
      <w:r w:rsidRPr="00ED172B">
        <w:rPr>
          <w:color w:val="000000" w:themeColor="text1"/>
          <w:szCs w:val="16"/>
        </w:rPr>
        <w:t>SEA</w:t>
      </w:r>
      <w:r w:rsidR="00CD1148">
        <w:rPr>
          <w:color w:val="000000" w:themeColor="text1"/>
          <w:szCs w:val="16"/>
        </w:rPr>
        <w:t>)</w:t>
      </w:r>
      <w:r w:rsidRPr="00ED172B">
        <w:rPr>
          <w:color w:val="000000" w:themeColor="text1"/>
          <w:szCs w:val="16"/>
        </w:rPr>
        <w:t xml:space="preserve"> and the</w:t>
      </w:r>
      <w:r w:rsidR="00CD1148">
        <w:rPr>
          <w:color w:val="000000" w:themeColor="text1"/>
          <w:szCs w:val="16"/>
        </w:rPr>
        <w:t xml:space="preserve"> </w:t>
      </w:r>
      <w:r w:rsidR="00CD1148">
        <w:rPr>
          <w:szCs w:val="16"/>
        </w:rPr>
        <w:t>local educational agency</w:t>
      </w:r>
      <w:r w:rsidRPr="00ED172B">
        <w:rPr>
          <w:color w:val="000000" w:themeColor="text1"/>
          <w:szCs w:val="16"/>
        </w:rPr>
        <w:t xml:space="preserve"> </w:t>
      </w:r>
      <w:r w:rsidR="00CD1148">
        <w:rPr>
          <w:color w:val="000000" w:themeColor="text1"/>
          <w:szCs w:val="16"/>
        </w:rPr>
        <w:t>(</w:t>
      </w:r>
      <w:r w:rsidRPr="00ED172B">
        <w:rPr>
          <w:color w:val="000000" w:themeColor="text1"/>
          <w:szCs w:val="16"/>
        </w:rPr>
        <w:t>LEA</w:t>
      </w:r>
      <w:r w:rsidR="00CD1148">
        <w:rPr>
          <w:color w:val="000000" w:themeColor="text1"/>
          <w:szCs w:val="16"/>
        </w:rPr>
        <w:t>)</w:t>
      </w:r>
      <w:r w:rsidRPr="00ED172B">
        <w:rPr>
          <w:color w:val="000000" w:themeColor="text1"/>
          <w:szCs w:val="16"/>
        </w:rPr>
        <w:t xml:space="preserve"> where the toddler resides at least 90 days prior to the toddler’s third birthday for toddlers potentially eligible for Part B preschool services; and</w:t>
      </w:r>
    </w:p>
    <w:p w14:paraId="0D11C980" w14:textId="1AB6056E" w:rsidR="00260ED7"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7E6BFE20" w14:textId="77777777" w:rsidR="00260ED7" w:rsidRPr="00ED172B" w:rsidRDefault="00260ED7" w:rsidP="00260ED7">
      <w:pPr>
        <w:rPr>
          <w:color w:val="000000" w:themeColor="text1"/>
          <w:szCs w:val="16"/>
        </w:rPr>
      </w:pPr>
      <w:r w:rsidRPr="00ED172B">
        <w:rPr>
          <w:color w:val="000000" w:themeColor="text1"/>
          <w:szCs w:val="16"/>
        </w:rPr>
        <w:t>(20 U.S.C. 1416(a)(3)(B) and 1442)</w:t>
      </w:r>
    </w:p>
    <w:p w14:paraId="35A9BE52" w14:textId="77777777" w:rsidR="00AD77EF" w:rsidRPr="00ED172B" w:rsidRDefault="00AD77EF">
      <w:pPr>
        <w:rPr>
          <w:b/>
          <w:color w:val="000000" w:themeColor="text1"/>
        </w:rPr>
      </w:pPr>
      <w:r w:rsidRPr="00ED172B">
        <w:rPr>
          <w:b/>
          <w:color w:val="000000" w:themeColor="text1"/>
        </w:rPr>
        <w:t>Data Source</w:t>
      </w:r>
    </w:p>
    <w:p w14:paraId="4BF71240" w14:textId="15C60540" w:rsidR="00AD77EF" w:rsidRPr="00ED172B" w:rsidRDefault="00AD77EF" w:rsidP="008E7B96">
      <w:pPr>
        <w:rPr>
          <w:color w:val="000000" w:themeColor="text1"/>
          <w:szCs w:val="16"/>
        </w:rPr>
      </w:pPr>
      <w:r w:rsidRPr="00ED172B">
        <w:rPr>
          <w:color w:val="000000" w:themeColor="text1"/>
          <w:szCs w:val="16"/>
        </w:rPr>
        <w:t>Data to be taken from monitoring or State data system.</w:t>
      </w:r>
    </w:p>
    <w:p w14:paraId="6083FF82" w14:textId="77777777" w:rsidR="00AD77EF" w:rsidRPr="00ED172B" w:rsidRDefault="00AD77EF">
      <w:pPr>
        <w:rPr>
          <w:b/>
          <w:color w:val="000000" w:themeColor="text1"/>
        </w:rPr>
      </w:pPr>
      <w:r w:rsidRPr="00ED172B">
        <w:rPr>
          <w:b/>
          <w:color w:val="000000" w:themeColor="text1"/>
        </w:rPr>
        <w:t>Measurement</w:t>
      </w:r>
    </w:p>
    <w:p w14:paraId="67942FAA" w14:textId="15228B56" w:rsidR="00AD77EF"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1B1465EF" w14:textId="3AA5887A" w:rsidR="00AD77EF"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6227A759" w14:textId="6917CD4A" w:rsidR="00AD77EF"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2EE0B66" w14:textId="48CD6584" w:rsidR="00AD77EF" w:rsidRPr="00ED172B" w:rsidRDefault="00AD77EF" w:rsidP="008E7B96">
      <w:pPr>
        <w:rPr>
          <w:color w:val="000000" w:themeColor="text1"/>
          <w:szCs w:val="16"/>
        </w:rPr>
      </w:pPr>
      <w:r w:rsidRPr="00ED172B">
        <w:rPr>
          <w:color w:val="000000" w:themeColor="text1"/>
          <w:szCs w:val="16"/>
        </w:rPr>
        <w:t>Account for untimely transition planning under 8A, 8B, and 8C, including the reasons for delays.</w:t>
      </w:r>
    </w:p>
    <w:p w14:paraId="4138147B" w14:textId="77777777" w:rsidR="00AD77EF" w:rsidRPr="00ED172B" w:rsidRDefault="00AD77EF">
      <w:pPr>
        <w:rPr>
          <w:b/>
          <w:color w:val="000000" w:themeColor="text1"/>
        </w:rPr>
      </w:pPr>
      <w:r w:rsidRPr="00ED172B">
        <w:rPr>
          <w:b/>
          <w:color w:val="000000" w:themeColor="text1"/>
        </w:rPr>
        <w:t>Instructions</w:t>
      </w:r>
    </w:p>
    <w:p w14:paraId="5DBEA140" w14:textId="77777777" w:rsidR="00AD77EF" w:rsidRPr="00ED172B" w:rsidRDefault="00AD77EF" w:rsidP="008E7B96">
      <w:pPr>
        <w:rPr>
          <w:color w:val="000000" w:themeColor="text1"/>
          <w:szCs w:val="16"/>
        </w:rPr>
      </w:pPr>
      <w:r w:rsidRPr="00ED172B">
        <w:rPr>
          <w:color w:val="000000" w:themeColor="text1"/>
          <w:szCs w:val="16"/>
        </w:rPr>
        <w:t>Indicators 8A, 8B, and 8C: Targets must be 100%.</w:t>
      </w:r>
    </w:p>
    <w:p w14:paraId="753D05EA" w14:textId="77777777" w:rsidR="00AD77EF" w:rsidRPr="00ED172B" w:rsidRDefault="00AD77EF" w:rsidP="008E7B96">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4118D0E7" w14:textId="77777777" w:rsidR="00AD77EF" w:rsidRPr="00ED172B" w:rsidRDefault="00AD77EF" w:rsidP="008E7B96">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70130129" w14:textId="77777777" w:rsidR="00AD77EF" w:rsidRPr="00ED172B" w:rsidRDefault="00AD77EF" w:rsidP="008E7B96">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24207A88" w14:textId="77777777" w:rsidR="00AD77EF" w:rsidRPr="00ED172B" w:rsidRDefault="00AD77EF" w:rsidP="008E7B96">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0D0977F8" w14:textId="77777777" w:rsidR="00AD77EF" w:rsidRPr="00ED172B" w:rsidRDefault="00AD77EF" w:rsidP="008E7B96">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3F4C204A" w14:textId="77777777" w:rsidR="00AD77EF" w:rsidRPr="00ED172B" w:rsidRDefault="00AD77EF" w:rsidP="008E7B96">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667F7D63" w14:textId="77777777" w:rsidR="00AD77EF" w:rsidRPr="00ED172B" w:rsidRDefault="00AD77EF" w:rsidP="008E7B96">
      <w:pPr>
        <w:rPr>
          <w:color w:val="000000" w:themeColor="text1"/>
          <w:szCs w:val="16"/>
        </w:rPr>
      </w:pPr>
      <w:r w:rsidRPr="00ED172B">
        <w:rPr>
          <w:color w:val="000000" w:themeColor="text1"/>
          <w:szCs w:val="16"/>
        </w:rPr>
        <w:t>Indicators 8A, 8B, and 8C: Provide detailed information about the timely correction of noncompliance as noted in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10010E89" w14:textId="426EE969" w:rsidR="00A639B7" w:rsidRPr="00ED172B" w:rsidRDefault="00AD77EF" w:rsidP="008E7B96">
      <w:pPr>
        <w:rPr>
          <w:color w:val="000000" w:themeColor="text1"/>
          <w:szCs w:val="16"/>
        </w:rPr>
      </w:pPr>
      <w:r w:rsidRPr="00ED172B">
        <w:rPr>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217D72C9" w14:textId="61BA321B" w:rsidR="00D30AF1" w:rsidRPr="00A40EE1" w:rsidRDefault="000D0117" w:rsidP="007B0787">
      <w:pPr>
        <w:pStyle w:val="Heading2"/>
      </w:pPr>
      <w:bookmarkStart w:id="47" w:name="_Toc386209669"/>
      <w:bookmarkEnd w:id="45"/>
      <w:r w:rsidRPr="00A40EE1">
        <w:t xml:space="preserve">8A - </w:t>
      </w:r>
      <w:r w:rsidR="00D30AF1" w:rsidRPr="00A40EE1">
        <w:t>Indicator</w:t>
      </w:r>
      <w:r w:rsidR="000C5918" w:rsidRPr="00A40EE1">
        <w:t xml:space="preserve"> Data</w:t>
      </w:r>
    </w:p>
    <w:bookmarkEnd w:id="47"/>
    <w:p w14:paraId="63758498" w14:textId="154B667C" w:rsidR="00DC0682" w:rsidRDefault="00DC0682">
      <w:pPr>
        <w:rPr>
          <w:b/>
          <w:color w:val="000000" w:themeColor="text1"/>
        </w:rPr>
      </w:pPr>
      <w:r w:rsidRPr="00ED172B">
        <w:rPr>
          <w:b/>
          <w:color w:val="000000" w:themeColor="text1"/>
        </w:rPr>
        <w:t>Historical Data</w:t>
      </w:r>
    </w:p>
    <w:tbl>
      <w:tblPr>
        <w:tblW w:w="17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BASELINEDATA"/>
      </w:tblPr>
      <w:tblGrid>
        <w:gridCol w:w="1861"/>
        <w:gridCol w:w="2004"/>
      </w:tblGrid>
      <w:tr w:rsidR="00C25621" w:rsidRPr="00ED172B" w14:paraId="01FC8539" w14:textId="77777777" w:rsidTr="00A40EE1">
        <w:trPr>
          <w:trHeight w:val="350"/>
          <w:tblHeader/>
        </w:trPr>
        <w:tc>
          <w:tcPr>
            <w:tcW w:w="4185" w:type="pct"/>
            <w:tcBorders>
              <w:bottom w:val="single" w:sz="4" w:space="0" w:color="auto"/>
            </w:tcBorders>
            <w:shd w:val="clear" w:color="auto" w:fill="auto"/>
            <w:vAlign w:val="center"/>
          </w:tcPr>
          <w:p w14:paraId="73003560" w14:textId="77777777" w:rsidR="00C25621" w:rsidRPr="001071FD" w:rsidRDefault="00C25621" w:rsidP="00C15786">
            <w:pPr>
              <w:jc w:val="center"/>
              <w:rPr>
                <w:b/>
                <w:bCs/>
                <w:color w:val="000000" w:themeColor="text1"/>
              </w:rPr>
            </w:pPr>
            <w:r>
              <w:rPr>
                <w:b/>
                <w:bCs/>
                <w:color w:val="000000" w:themeColor="text1"/>
              </w:rPr>
              <w:t>Baseline Year</w:t>
            </w:r>
          </w:p>
        </w:tc>
        <w:tc>
          <w:tcPr>
            <w:tcW w:w="815" w:type="pct"/>
            <w:shd w:val="clear" w:color="auto" w:fill="auto"/>
            <w:vAlign w:val="center"/>
          </w:tcPr>
          <w:p w14:paraId="6A0CA400"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C25621" w:rsidRPr="00ED172B" w14:paraId="37222F11" w14:textId="77777777" w:rsidTr="00A40EE1">
        <w:trPr>
          <w:trHeight w:val="350"/>
        </w:trPr>
        <w:tc>
          <w:tcPr>
            <w:tcW w:w="4185" w:type="pct"/>
            <w:tcBorders>
              <w:bottom w:val="single" w:sz="4" w:space="0" w:color="auto"/>
            </w:tcBorders>
            <w:shd w:val="clear" w:color="auto" w:fill="auto"/>
            <w:vAlign w:val="center"/>
          </w:tcPr>
          <w:p w14:paraId="4F8F7A6D" w14:textId="339D9015" w:rsidR="00C25621" w:rsidRPr="00ED172B" w:rsidRDefault="00C25621" w:rsidP="00C15786">
            <w:pPr>
              <w:jc w:val="center"/>
              <w:rPr>
                <w:b/>
                <w:color w:val="000000" w:themeColor="text1"/>
              </w:rPr>
            </w:pPr>
            <w:r w:rsidRPr="00ED172B">
              <w:rPr>
                <w:color w:val="000000" w:themeColor="text1"/>
              </w:rPr>
              <w:t>2005</w:t>
            </w:r>
          </w:p>
        </w:tc>
        <w:tc>
          <w:tcPr>
            <w:tcW w:w="815" w:type="pct"/>
            <w:shd w:val="clear" w:color="auto" w:fill="auto"/>
            <w:vAlign w:val="center"/>
          </w:tcPr>
          <w:p w14:paraId="4E589392" w14:textId="3D95CEBC" w:rsidR="00C25621" w:rsidRPr="00ED172B" w:rsidRDefault="00C25621" w:rsidP="00C15786">
            <w:pPr>
              <w:jc w:val="center"/>
              <w:rPr>
                <w:color w:val="000000" w:themeColor="text1"/>
              </w:rPr>
            </w:pPr>
            <w:r w:rsidRPr="00ED172B">
              <w:rPr>
                <w:color w:val="000000" w:themeColor="text1"/>
              </w:rPr>
              <w:t>98.30%</w:t>
            </w:r>
          </w:p>
        </w:tc>
      </w:tr>
    </w:tbl>
    <w:p w14:paraId="08A765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HISTDATA"/>
      </w:tblPr>
      <w:tblGrid>
        <w:gridCol w:w="550"/>
        <w:gridCol w:w="2048"/>
        <w:gridCol w:w="2048"/>
        <w:gridCol w:w="2048"/>
        <w:gridCol w:w="2048"/>
        <w:gridCol w:w="2048"/>
      </w:tblGrid>
      <w:tr w:rsidR="00ED172B" w:rsidRPr="00ED172B" w14:paraId="49BAF88D" w14:textId="77777777" w:rsidTr="00A40EE1">
        <w:trPr>
          <w:trHeight w:val="350"/>
        </w:trPr>
        <w:tc>
          <w:tcPr>
            <w:tcW w:w="317" w:type="pct"/>
            <w:tcBorders>
              <w:bottom w:val="single" w:sz="4" w:space="0" w:color="auto"/>
            </w:tcBorders>
            <w:shd w:val="clear" w:color="auto" w:fill="auto"/>
          </w:tcPr>
          <w:p w14:paraId="04EC0F35"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6F101EEC" w14:textId="64B403ED" w:rsidR="00DC0682" w:rsidRPr="00ED172B" w:rsidRDefault="002163F2" w:rsidP="00CD79C5">
            <w:pPr>
              <w:jc w:val="center"/>
              <w:rPr>
                <w:b/>
                <w:color w:val="000000" w:themeColor="text1"/>
                <w:szCs w:val="16"/>
              </w:rPr>
            </w:pPr>
            <w:r w:rsidRPr="00ED172B">
              <w:rPr>
                <w:rFonts w:cs="Arial"/>
                <w:b/>
                <w:color w:val="000000" w:themeColor="text1"/>
                <w:szCs w:val="16"/>
              </w:rPr>
              <w:t>2016</w:t>
            </w:r>
          </w:p>
        </w:tc>
        <w:tc>
          <w:tcPr>
            <w:tcW w:w="937" w:type="pct"/>
            <w:shd w:val="clear" w:color="auto" w:fill="auto"/>
            <w:vAlign w:val="center"/>
          </w:tcPr>
          <w:p w14:paraId="587F2630" w14:textId="078A73AB"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20E8F35B" w14:textId="7D5B36AA"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23CC9D76" w14:textId="55B26B34"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7BC18291" w14:textId="0CCCC63B" w:rsidR="00DC0682" w:rsidRPr="00ED172B" w:rsidRDefault="006D43D3" w:rsidP="00CD79C5">
            <w:pPr>
              <w:jc w:val="center"/>
              <w:rPr>
                <w:b/>
                <w:color w:val="000000" w:themeColor="text1"/>
                <w:szCs w:val="16"/>
              </w:rPr>
            </w:pPr>
            <w:r w:rsidRPr="00ED172B">
              <w:rPr>
                <w:rFonts w:cs="Arial"/>
                <w:b/>
                <w:color w:val="000000" w:themeColor="text1"/>
                <w:szCs w:val="16"/>
              </w:rPr>
              <w:t>2020</w:t>
            </w:r>
          </w:p>
        </w:tc>
      </w:tr>
      <w:tr w:rsidR="00ED172B" w:rsidRPr="00ED172B" w14:paraId="72A41C4C" w14:textId="77777777" w:rsidTr="00A40EE1">
        <w:trPr>
          <w:trHeight w:val="357"/>
        </w:trPr>
        <w:tc>
          <w:tcPr>
            <w:tcW w:w="317" w:type="pct"/>
            <w:shd w:val="clear" w:color="auto" w:fill="auto"/>
          </w:tcPr>
          <w:p w14:paraId="24DE0713" w14:textId="77777777" w:rsidR="00DC0682" w:rsidRPr="00ED172B" w:rsidRDefault="00DC0682" w:rsidP="00B83404">
            <w:pPr>
              <w:rPr>
                <w:color w:val="000000" w:themeColor="text1"/>
                <w:szCs w:val="16"/>
              </w:rPr>
            </w:pPr>
            <w:r w:rsidRPr="00ED172B">
              <w:rPr>
                <w:color w:val="000000" w:themeColor="text1"/>
                <w:szCs w:val="16"/>
              </w:rPr>
              <w:t xml:space="preserve">Target </w:t>
            </w:r>
          </w:p>
        </w:tc>
        <w:tc>
          <w:tcPr>
            <w:tcW w:w="937" w:type="pct"/>
            <w:shd w:val="clear" w:color="auto" w:fill="auto"/>
          </w:tcPr>
          <w:p w14:paraId="74C2332C" w14:textId="1915789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93225EE" w14:textId="67BFDA6C"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3E5FA8B" w14:textId="462B4976"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8C99397" w14:textId="05AE00BF" w:rsidR="00DC0682" w:rsidRPr="00ED172B" w:rsidRDefault="004952E2"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82FF3AD" w14:textId="7F5F60CC" w:rsidR="00DC0682" w:rsidRPr="00ED172B" w:rsidRDefault="004952E2" w:rsidP="00CD79C5">
            <w:pPr>
              <w:jc w:val="center"/>
              <w:rPr>
                <w:color w:val="000000" w:themeColor="text1"/>
                <w:szCs w:val="16"/>
              </w:rPr>
            </w:pPr>
            <w:r w:rsidRPr="00ED172B">
              <w:rPr>
                <w:color w:val="000000" w:themeColor="text1"/>
                <w:szCs w:val="16"/>
              </w:rPr>
              <w:t>100%</w:t>
            </w:r>
          </w:p>
        </w:tc>
      </w:tr>
      <w:tr w:rsidR="00ED172B" w:rsidRPr="00ED172B" w14:paraId="5EF597C1" w14:textId="77777777" w:rsidTr="00A40EE1">
        <w:trPr>
          <w:trHeight w:val="85"/>
        </w:trPr>
        <w:tc>
          <w:tcPr>
            <w:tcW w:w="317" w:type="pct"/>
            <w:shd w:val="clear" w:color="auto" w:fill="auto"/>
          </w:tcPr>
          <w:p w14:paraId="1CDE7165" w14:textId="77777777" w:rsidR="00DC0682" w:rsidRPr="00ED172B" w:rsidRDefault="00DC0682" w:rsidP="00B83404">
            <w:pPr>
              <w:rPr>
                <w:color w:val="000000" w:themeColor="text1"/>
                <w:szCs w:val="16"/>
              </w:rPr>
            </w:pPr>
            <w:r w:rsidRPr="00ED172B">
              <w:rPr>
                <w:color w:val="000000" w:themeColor="text1"/>
                <w:szCs w:val="16"/>
              </w:rPr>
              <w:lastRenderedPageBreak/>
              <w:t>Data</w:t>
            </w:r>
          </w:p>
        </w:tc>
        <w:tc>
          <w:tcPr>
            <w:tcW w:w="937" w:type="pct"/>
            <w:shd w:val="clear" w:color="auto" w:fill="auto"/>
            <w:vAlign w:val="center"/>
          </w:tcPr>
          <w:p w14:paraId="1CB0E4D1" w14:textId="5EF011CA" w:rsidR="00DC0682" w:rsidRPr="00ED172B" w:rsidRDefault="00860830" w:rsidP="00CD79C5">
            <w:pPr>
              <w:jc w:val="center"/>
              <w:rPr>
                <w:color w:val="000000" w:themeColor="text1"/>
                <w:szCs w:val="16"/>
              </w:rPr>
            </w:pPr>
            <w:r w:rsidRPr="00ED172B">
              <w:rPr>
                <w:rFonts w:cs="Arial"/>
                <w:color w:val="000000" w:themeColor="text1"/>
                <w:szCs w:val="16"/>
              </w:rPr>
              <w:t>99.91%</w:t>
            </w:r>
          </w:p>
        </w:tc>
        <w:tc>
          <w:tcPr>
            <w:tcW w:w="937" w:type="pct"/>
            <w:tcBorders>
              <w:bottom w:val="single" w:sz="4" w:space="0" w:color="auto"/>
            </w:tcBorders>
            <w:shd w:val="clear" w:color="auto" w:fill="auto"/>
            <w:vAlign w:val="center"/>
          </w:tcPr>
          <w:p w14:paraId="4946F773" w14:textId="57B7291E" w:rsidR="00DC0682" w:rsidRPr="00ED172B" w:rsidRDefault="00860830" w:rsidP="00CD79C5">
            <w:pPr>
              <w:jc w:val="center"/>
              <w:rPr>
                <w:color w:val="000000" w:themeColor="text1"/>
                <w:szCs w:val="16"/>
              </w:rPr>
            </w:pPr>
            <w:r w:rsidRPr="00ED172B">
              <w:rPr>
                <w:rFonts w:cs="Arial"/>
                <w:color w:val="000000" w:themeColor="text1"/>
                <w:szCs w:val="16"/>
              </w:rPr>
              <w:t>99.99%</w:t>
            </w:r>
          </w:p>
        </w:tc>
        <w:tc>
          <w:tcPr>
            <w:tcW w:w="937" w:type="pct"/>
            <w:tcBorders>
              <w:bottom w:val="single" w:sz="4" w:space="0" w:color="auto"/>
            </w:tcBorders>
            <w:shd w:val="clear" w:color="auto" w:fill="auto"/>
            <w:vAlign w:val="center"/>
          </w:tcPr>
          <w:p w14:paraId="428FC23B" w14:textId="346638A4" w:rsidR="00DC0682" w:rsidRPr="00ED172B" w:rsidRDefault="00860830" w:rsidP="00CD79C5">
            <w:pPr>
              <w:jc w:val="center"/>
              <w:rPr>
                <w:color w:val="000000" w:themeColor="text1"/>
                <w:szCs w:val="16"/>
              </w:rPr>
            </w:pPr>
            <w:r w:rsidRPr="00ED172B">
              <w:rPr>
                <w:rFonts w:cs="Arial"/>
                <w:color w:val="000000" w:themeColor="text1"/>
                <w:szCs w:val="16"/>
              </w:rPr>
              <w:t>99.59%</w:t>
            </w:r>
          </w:p>
        </w:tc>
        <w:tc>
          <w:tcPr>
            <w:tcW w:w="937" w:type="pct"/>
            <w:tcBorders>
              <w:bottom w:val="single" w:sz="4" w:space="0" w:color="auto"/>
            </w:tcBorders>
            <w:shd w:val="clear" w:color="auto" w:fill="auto"/>
            <w:vAlign w:val="center"/>
          </w:tcPr>
          <w:p w14:paraId="201B27E7" w14:textId="685838BB" w:rsidR="00DC0682" w:rsidRPr="00ED172B" w:rsidRDefault="00860830" w:rsidP="00CD79C5">
            <w:pPr>
              <w:jc w:val="center"/>
              <w:rPr>
                <w:color w:val="000000" w:themeColor="text1"/>
                <w:szCs w:val="16"/>
              </w:rPr>
            </w:pPr>
            <w:r w:rsidRPr="00ED172B">
              <w:rPr>
                <w:rFonts w:cs="Arial"/>
                <w:color w:val="000000" w:themeColor="text1"/>
                <w:szCs w:val="16"/>
              </w:rPr>
              <w:t>98.41%</w:t>
            </w:r>
          </w:p>
        </w:tc>
        <w:tc>
          <w:tcPr>
            <w:tcW w:w="937" w:type="pct"/>
            <w:tcBorders>
              <w:bottom w:val="single" w:sz="4" w:space="0" w:color="auto"/>
            </w:tcBorders>
            <w:shd w:val="clear" w:color="auto" w:fill="auto"/>
            <w:vAlign w:val="center"/>
          </w:tcPr>
          <w:p w14:paraId="4CD693EC" w14:textId="6628BA01" w:rsidR="00DC0682" w:rsidRPr="00ED172B" w:rsidRDefault="00860830" w:rsidP="00CD79C5">
            <w:pPr>
              <w:jc w:val="center"/>
              <w:rPr>
                <w:color w:val="000000" w:themeColor="text1"/>
                <w:szCs w:val="16"/>
              </w:rPr>
            </w:pPr>
            <w:r w:rsidRPr="00ED172B">
              <w:rPr>
                <w:rFonts w:cs="Arial"/>
                <w:color w:val="000000" w:themeColor="text1"/>
                <w:szCs w:val="16"/>
              </w:rPr>
              <w:t>99.18%</w:t>
            </w:r>
          </w:p>
        </w:tc>
      </w:tr>
    </w:tbl>
    <w:p w14:paraId="52279886" w14:textId="77777777" w:rsidR="008A4FF2" w:rsidRPr="00ED172B" w:rsidRDefault="008A4FF2">
      <w:pPr>
        <w:rPr>
          <w:b/>
          <w:color w:val="000000" w:themeColor="text1"/>
        </w:rPr>
      </w:pPr>
    </w:p>
    <w:p w14:paraId="0ECBAAD9" w14:textId="58BA1CEB" w:rsidR="00DC0682" w:rsidRPr="00ED172B" w:rsidRDefault="00DC0682">
      <w:pPr>
        <w:rPr>
          <w:b/>
          <w:color w:val="000000" w:themeColor="text1"/>
        </w:rPr>
      </w:pPr>
      <w:r w:rsidRPr="00ED172B">
        <w:rPr>
          <w:b/>
          <w:color w:val="000000" w:themeColor="text1"/>
        </w:rPr>
        <w:t>Targets</w:t>
      </w:r>
    </w:p>
    <w:tbl>
      <w:tblPr>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ATARGETS"/>
      </w:tblPr>
      <w:tblGrid>
        <w:gridCol w:w="555"/>
        <w:gridCol w:w="1943"/>
        <w:gridCol w:w="2073"/>
        <w:gridCol w:w="2073"/>
        <w:gridCol w:w="2073"/>
        <w:gridCol w:w="2073"/>
      </w:tblGrid>
      <w:tr w:rsidR="009E2382" w:rsidRPr="00ED172B" w14:paraId="05C3EE9D" w14:textId="0A135A6E" w:rsidTr="006B0ACA">
        <w:trPr>
          <w:trHeight w:val="259"/>
        </w:trPr>
        <w:tc>
          <w:tcPr>
            <w:tcW w:w="272" w:type="pct"/>
            <w:tcBorders>
              <w:bottom w:val="single" w:sz="4" w:space="0" w:color="auto"/>
            </w:tcBorders>
            <w:shd w:val="clear" w:color="auto" w:fill="auto"/>
          </w:tcPr>
          <w:p w14:paraId="3665F13E" w14:textId="77777777" w:rsidR="009E2382" w:rsidRPr="00ED172B" w:rsidRDefault="009E2382" w:rsidP="00B268B5">
            <w:pPr>
              <w:jc w:val="center"/>
              <w:rPr>
                <w:b/>
                <w:color w:val="000000" w:themeColor="text1"/>
                <w:szCs w:val="16"/>
              </w:rPr>
            </w:pPr>
            <w:r w:rsidRPr="00ED172B">
              <w:rPr>
                <w:b/>
                <w:color w:val="000000" w:themeColor="text1"/>
                <w:szCs w:val="16"/>
              </w:rPr>
              <w:t>FFY</w:t>
            </w:r>
          </w:p>
        </w:tc>
        <w:tc>
          <w:tcPr>
            <w:tcW w:w="899" w:type="pct"/>
            <w:shd w:val="clear" w:color="auto" w:fill="auto"/>
            <w:vAlign w:val="center"/>
          </w:tcPr>
          <w:p w14:paraId="7FE4AA04" w14:textId="595FC7A1" w:rsidR="009E2382" w:rsidRPr="00ED172B" w:rsidRDefault="009E2382" w:rsidP="00B268B5">
            <w:pPr>
              <w:jc w:val="center"/>
              <w:rPr>
                <w:b/>
                <w:color w:val="000000" w:themeColor="text1"/>
                <w:szCs w:val="16"/>
              </w:rPr>
            </w:pPr>
            <w:r w:rsidRPr="00ED172B">
              <w:rPr>
                <w:rFonts w:cs="Arial"/>
                <w:b/>
                <w:color w:val="000000" w:themeColor="text1"/>
                <w:szCs w:val="16"/>
              </w:rPr>
              <w:t>2021</w:t>
            </w:r>
          </w:p>
        </w:tc>
        <w:tc>
          <w:tcPr>
            <w:tcW w:w="957" w:type="pct"/>
          </w:tcPr>
          <w:p w14:paraId="2380F080" w14:textId="41CA4895" w:rsidR="009E2382" w:rsidRPr="00ED172B" w:rsidRDefault="009E2382" w:rsidP="00B268B5">
            <w:pPr>
              <w:jc w:val="center"/>
              <w:rPr>
                <w:rFonts w:cs="Arial"/>
                <w:b/>
                <w:color w:val="000000" w:themeColor="text1"/>
                <w:szCs w:val="16"/>
              </w:rPr>
            </w:pPr>
            <w:r>
              <w:rPr>
                <w:rFonts w:cs="Arial"/>
                <w:b/>
                <w:color w:val="000000" w:themeColor="text1"/>
                <w:szCs w:val="16"/>
              </w:rPr>
              <w:t>2022</w:t>
            </w:r>
          </w:p>
        </w:tc>
        <w:tc>
          <w:tcPr>
            <w:tcW w:w="957" w:type="pct"/>
          </w:tcPr>
          <w:p w14:paraId="24971D5E" w14:textId="084F5872" w:rsidR="009E2382" w:rsidRPr="00ED172B" w:rsidRDefault="009E2382" w:rsidP="00B268B5">
            <w:pPr>
              <w:jc w:val="center"/>
              <w:rPr>
                <w:rFonts w:cs="Arial"/>
                <w:b/>
                <w:color w:val="000000" w:themeColor="text1"/>
                <w:szCs w:val="16"/>
              </w:rPr>
            </w:pPr>
            <w:r w:rsidRPr="005A1B4F">
              <w:rPr>
                <w:rFonts w:cs="Arial"/>
                <w:b/>
                <w:color w:val="000000" w:themeColor="text1"/>
                <w:szCs w:val="16"/>
              </w:rPr>
              <w:t>2023</w:t>
            </w:r>
          </w:p>
        </w:tc>
        <w:tc>
          <w:tcPr>
            <w:tcW w:w="957" w:type="pct"/>
          </w:tcPr>
          <w:p w14:paraId="544E61D5" w14:textId="6700B87F" w:rsidR="009E2382" w:rsidRPr="00ED172B" w:rsidRDefault="009E2382" w:rsidP="00B268B5">
            <w:pPr>
              <w:jc w:val="center"/>
              <w:rPr>
                <w:rFonts w:cs="Arial"/>
                <w:b/>
                <w:color w:val="000000" w:themeColor="text1"/>
                <w:szCs w:val="16"/>
              </w:rPr>
            </w:pPr>
            <w:r w:rsidRPr="005A1B4F">
              <w:rPr>
                <w:rFonts w:cs="Arial"/>
                <w:b/>
                <w:color w:val="000000" w:themeColor="text1"/>
                <w:szCs w:val="16"/>
              </w:rPr>
              <w:t>2024</w:t>
            </w:r>
          </w:p>
        </w:tc>
        <w:tc>
          <w:tcPr>
            <w:tcW w:w="957" w:type="pct"/>
          </w:tcPr>
          <w:p w14:paraId="5E0C1B8B" w14:textId="21B2CAFD" w:rsidR="009E2382" w:rsidRPr="00ED172B" w:rsidRDefault="009E2382" w:rsidP="00B268B5">
            <w:pPr>
              <w:jc w:val="center"/>
              <w:rPr>
                <w:rFonts w:cs="Arial"/>
                <w:b/>
                <w:color w:val="000000" w:themeColor="text1"/>
                <w:szCs w:val="16"/>
              </w:rPr>
            </w:pPr>
            <w:r w:rsidRPr="005A1B4F">
              <w:rPr>
                <w:rFonts w:cs="Arial"/>
                <w:b/>
                <w:color w:val="000000" w:themeColor="text1"/>
                <w:szCs w:val="16"/>
              </w:rPr>
              <w:t>2025</w:t>
            </w:r>
          </w:p>
        </w:tc>
      </w:tr>
      <w:tr w:rsidR="009E2382" w:rsidRPr="00ED172B" w14:paraId="4D4A7670" w14:textId="63A571E3" w:rsidTr="006B0ACA">
        <w:trPr>
          <w:trHeight w:val="264"/>
        </w:trPr>
        <w:tc>
          <w:tcPr>
            <w:tcW w:w="272" w:type="pct"/>
            <w:shd w:val="clear" w:color="auto" w:fill="auto"/>
          </w:tcPr>
          <w:p w14:paraId="48A5A68C" w14:textId="77777777" w:rsidR="009E2382" w:rsidRPr="00ED172B" w:rsidRDefault="009E2382" w:rsidP="00B268B5">
            <w:pPr>
              <w:rPr>
                <w:color w:val="000000" w:themeColor="text1"/>
                <w:szCs w:val="16"/>
              </w:rPr>
            </w:pPr>
            <w:r w:rsidRPr="00ED172B">
              <w:rPr>
                <w:color w:val="000000" w:themeColor="text1"/>
                <w:szCs w:val="16"/>
              </w:rPr>
              <w:t>Target</w:t>
            </w:r>
          </w:p>
        </w:tc>
        <w:tc>
          <w:tcPr>
            <w:tcW w:w="899" w:type="pct"/>
            <w:shd w:val="clear" w:color="auto" w:fill="auto"/>
          </w:tcPr>
          <w:p w14:paraId="15F32B75" w14:textId="1AD070A4" w:rsidR="009E2382" w:rsidRPr="00ED172B" w:rsidRDefault="009E2382" w:rsidP="00B268B5">
            <w:pPr>
              <w:jc w:val="center"/>
              <w:rPr>
                <w:color w:val="000000" w:themeColor="text1"/>
                <w:szCs w:val="16"/>
              </w:rPr>
            </w:pPr>
            <w:r w:rsidRPr="00ED172B">
              <w:rPr>
                <w:color w:val="000000" w:themeColor="text1"/>
                <w:szCs w:val="16"/>
              </w:rPr>
              <w:t>100%</w:t>
            </w:r>
          </w:p>
        </w:tc>
        <w:tc>
          <w:tcPr>
            <w:tcW w:w="957" w:type="pct"/>
          </w:tcPr>
          <w:p w14:paraId="5D0EEB3A" w14:textId="61EE92E1" w:rsidR="009E2382" w:rsidRPr="00ED172B" w:rsidRDefault="009E2382" w:rsidP="00B268B5">
            <w:pPr>
              <w:jc w:val="center"/>
              <w:rPr>
                <w:color w:val="000000" w:themeColor="text1"/>
                <w:szCs w:val="16"/>
              </w:rPr>
            </w:pPr>
            <w:r>
              <w:rPr>
                <w:rFonts w:cs="Arial"/>
                <w:color w:val="000000" w:themeColor="text1"/>
                <w:szCs w:val="16"/>
              </w:rPr>
              <w:t>100%</w:t>
            </w:r>
          </w:p>
        </w:tc>
        <w:tc>
          <w:tcPr>
            <w:tcW w:w="957" w:type="pct"/>
          </w:tcPr>
          <w:p w14:paraId="20630124" w14:textId="5FC6C8E6" w:rsidR="009E2382" w:rsidRPr="00ED172B" w:rsidRDefault="009E2382" w:rsidP="00B268B5">
            <w:pPr>
              <w:jc w:val="center"/>
              <w:rPr>
                <w:color w:val="000000" w:themeColor="text1"/>
                <w:szCs w:val="16"/>
              </w:rPr>
            </w:pPr>
            <w:r w:rsidRPr="005F5F3C">
              <w:rPr>
                <w:rFonts w:cs="Arial"/>
                <w:color w:val="000000" w:themeColor="text1"/>
                <w:szCs w:val="16"/>
              </w:rPr>
              <w:t>100%</w:t>
            </w:r>
          </w:p>
        </w:tc>
        <w:tc>
          <w:tcPr>
            <w:tcW w:w="957" w:type="pct"/>
          </w:tcPr>
          <w:p w14:paraId="112F793B" w14:textId="19608CCF" w:rsidR="009E2382" w:rsidRPr="00B268B5" w:rsidRDefault="009E2382" w:rsidP="00B268B5">
            <w:pPr>
              <w:jc w:val="center"/>
              <w:rPr>
                <w:rFonts w:cs="Arial"/>
                <w:color w:val="000000" w:themeColor="text1"/>
                <w:szCs w:val="16"/>
              </w:rPr>
            </w:pPr>
            <w:r w:rsidRPr="005F5F3C">
              <w:rPr>
                <w:rFonts w:cs="Arial"/>
                <w:color w:val="000000" w:themeColor="text1"/>
                <w:szCs w:val="16"/>
              </w:rPr>
              <w:t>100%</w:t>
            </w:r>
          </w:p>
        </w:tc>
        <w:tc>
          <w:tcPr>
            <w:tcW w:w="957" w:type="pct"/>
          </w:tcPr>
          <w:p w14:paraId="654A73EB" w14:textId="3032CBB5" w:rsidR="009E2382" w:rsidRPr="00ED172B" w:rsidRDefault="009E2382" w:rsidP="00B268B5">
            <w:pPr>
              <w:jc w:val="center"/>
              <w:rPr>
                <w:color w:val="000000" w:themeColor="text1"/>
                <w:szCs w:val="16"/>
              </w:rPr>
            </w:pPr>
            <w:r w:rsidRPr="005F5F3C">
              <w:rPr>
                <w:rFonts w:cs="Arial"/>
                <w:color w:val="000000" w:themeColor="text1"/>
                <w:szCs w:val="16"/>
              </w:rPr>
              <w:t>100%</w:t>
            </w:r>
          </w:p>
        </w:tc>
      </w:tr>
    </w:tbl>
    <w:p w14:paraId="31F20CDA" w14:textId="33FD2854" w:rsidR="008E7B96" w:rsidRPr="00ED172B" w:rsidRDefault="00F22D09">
      <w:pPr>
        <w:rPr>
          <w:b/>
          <w:color w:val="000000" w:themeColor="text1"/>
        </w:rPr>
      </w:pPr>
      <w:r>
        <w:rPr>
          <w:b/>
          <w:color w:val="000000" w:themeColor="text1"/>
        </w:rPr>
        <w:t>FFY 2021 SPP/APR Data</w:t>
      </w:r>
    </w:p>
    <w:p w14:paraId="063239BF" w14:textId="1264AE65" w:rsidR="00E440C8" w:rsidRPr="00ED172B" w:rsidRDefault="00E440C8">
      <w:pPr>
        <w:rPr>
          <w:rFonts w:cs="Arial"/>
          <w:b/>
          <w:color w:val="000000" w:themeColor="text1"/>
          <w:szCs w:val="16"/>
        </w:rPr>
      </w:pPr>
      <w:r w:rsidRPr="00ED172B">
        <w:rPr>
          <w:rFonts w:cs="Arial"/>
          <w:b/>
          <w:color w:val="000000" w:themeColor="text1"/>
          <w:szCs w:val="16"/>
        </w:rPr>
        <w:t>Data include only those toddlers with disabilities exiting Part C with timely transition planning for whom the Lead Agency has developed an IFSP with transition steps and services at least 90 days, and at the discretion of all parties, not more than nine months, prior to the toddler’s third birthday. (yes/no)</w:t>
      </w:r>
    </w:p>
    <w:p w14:paraId="3B8310E3" w14:textId="5559EF71" w:rsidR="001F1489" w:rsidRDefault="001F1489">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AFFYAPRDATA"/>
      </w:tblPr>
      <w:tblGrid>
        <w:gridCol w:w="2790"/>
        <w:gridCol w:w="1890"/>
        <w:gridCol w:w="1349"/>
        <w:gridCol w:w="1170"/>
        <w:gridCol w:w="1261"/>
        <w:gridCol w:w="1170"/>
        <w:gridCol w:w="1164"/>
      </w:tblGrid>
      <w:tr w:rsidR="00ED172B" w:rsidRPr="00ED172B" w14:paraId="39A170D1" w14:textId="77777777" w:rsidTr="00986B99">
        <w:trPr>
          <w:trHeight w:val="359"/>
          <w:tblHeader/>
        </w:trPr>
        <w:tc>
          <w:tcPr>
            <w:tcW w:w="1292" w:type="pct"/>
            <w:shd w:val="clear" w:color="auto" w:fill="auto"/>
            <w:vAlign w:val="bottom"/>
          </w:tcPr>
          <w:p w14:paraId="50FB1EE6" w14:textId="0D658CA5"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children exiting Part C who have an IFSP with transition steps and services</w:t>
            </w:r>
          </w:p>
        </w:tc>
        <w:tc>
          <w:tcPr>
            <w:tcW w:w="875" w:type="pct"/>
            <w:shd w:val="clear" w:color="auto" w:fill="auto"/>
            <w:vAlign w:val="bottom"/>
          </w:tcPr>
          <w:p w14:paraId="5DF08BDF" w14:textId="4B728C11" w:rsidR="00F939F8" w:rsidRPr="00ED172B" w:rsidRDefault="00F939F8" w:rsidP="00F939F8">
            <w:pPr>
              <w:jc w:val="center"/>
              <w:rPr>
                <w:rFonts w:cs="Arial"/>
                <w:b/>
                <w:color w:val="000000" w:themeColor="text1"/>
                <w:szCs w:val="16"/>
              </w:rPr>
            </w:pPr>
            <w:r w:rsidRPr="00ED172B">
              <w:rPr>
                <w:rFonts w:cs="Arial"/>
                <w:b/>
                <w:color w:val="000000" w:themeColor="text1"/>
                <w:szCs w:val="16"/>
              </w:rPr>
              <w:t>Number of toddlers with disabilities exiting Part C</w:t>
            </w:r>
          </w:p>
        </w:tc>
        <w:tc>
          <w:tcPr>
            <w:tcW w:w="625" w:type="pct"/>
            <w:shd w:val="clear" w:color="auto" w:fill="auto"/>
            <w:vAlign w:val="bottom"/>
          </w:tcPr>
          <w:p w14:paraId="7032C738" w14:textId="1200E76D" w:rsidR="00F939F8" w:rsidRPr="00ED172B" w:rsidRDefault="00CD74B5" w:rsidP="00F939F8">
            <w:pPr>
              <w:jc w:val="center"/>
              <w:rPr>
                <w:rFonts w:cs="Arial"/>
                <w:b/>
                <w:color w:val="000000" w:themeColor="text1"/>
                <w:szCs w:val="16"/>
              </w:rPr>
            </w:pPr>
            <w:r>
              <w:rPr>
                <w:rFonts w:cs="Arial"/>
                <w:b/>
                <w:color w:val="000000" w:themeColor="text1"/>
                <w:szCs w:val="16"/>
              </w:rPr>
              <w:t>FFY 2020 Data</w:t>
            </w:r>
          </w:p>
        </w:tc>
        <w:tc>
          <w:tcPr>
            <w:tcW w:w="542" w:type="pct"/>
            <w:shd w:val="clear" w:color="auto" w:fill="auto"/>
            <w:vAlign w:val="bottom"/>
          </w:tcPr>
          <w:p w14:paraId="6711AE0C" w14:textId="47BAE9F5" w:rsidR="00F939F8" w:rsidRPr="00ED172B" w:rsidRDefault="00F22D09" w:rsidP="00F939F8">
            <w:pPr>
              <w:jc w:val="center"/>
              <w:rPr>
                <w:rFonts w:cs="Arial"/>
                <w:b/>
                <w:color w:val="000000" w:themeColor="text1"/>
                <w:szCs w:val="16"/>
              </w:rPr>
            </w:pPr>
            <w:r>
              <w:rPr>
                <w:rFonts w:cs="Arial"/>
                <w:b/>
                <w:color w:val="000000" w:themeColor="text1"/>
                <w:szCs w:val="16"/>
              </w:rPr>
              <w:t>FFY 2021 Target</w:t>
            </w:r>
          </w:p>
        </w:tc>
        <w:tc>
          <w:tcPr>
            <w:tcW w:w="584" w:type="pct"/>
            <w:shd w:val="clear" w:color="auto" w:fill="auto"/>
            <w:vAlign w:val="bottom"/>
          </w:tcPr>
          <w:p w14:paraId="2C4EE232" w14:textId="68AE4008" w:rsidR="00F939F8" w:rsidRPr="00ED172B" w:rsidRDefault="00F22D09" w:rsidP="00F939F8">
            <w:pPr>
              <w:jc w:val="center"/>
              <w:rPr>
                <w:rFonts w:cs="Arial"/>
                <w:b/>
                <w:color w:val="000000" w:themeColor="text1"/>
                <w:szCs w:val="16"/>
              </w:rPr>
            </w:pPr>
            <w:r>
              <w:rPr>
                <w:rFonts w:cs="Arial"/>
                <w:b/>
                <w:color w:val="000000" w:themeColor="text1"/>
                <w:szCs w:val="16"/>
              </w:rPr>
              <w:t>FFY 2021 Data</w:t>
            </w:r>
          </w:p>
        </w:tc>
        <w:tc>
          <w:tcPr>
            <w:tcW w:w="542" w:type="pct"/>
            <w:shd w:val="clear" w:color="auto" w:fill="auto"/>
            <w:vAlign w:val="bottom"/>
          </w:tcPr>
          <w:p w14:paraId="694857DA" w14:textId="09E6CAFD" w:rsidR="00F939F8" w:rsidRPr="00ED172B" w:rsidRDefault="00F939F8" w:rsidP="00F939F8">
            <w:pPr>
              <w:jc w:val="center"/>
              <w:rPr>
                <w:rFonts w:cs="Arial"/>
                <w:b/>
                <w:color w:val="000000" w:themeColor="text1"/>
                <w:szCs w:val="16"/>
              </w:rPr>
            </w:pPr>
            <w:r w:rsidRPr="00ED172B">
              <w:rPr>
                <w:b/>
                <w:color w:val="000000" w:themeColor="text1"/>
                <w:szCs w:val="16"/>
              </w:rPr>
              <w:t>Status</w:t>
            </w:r>
          </w:p>
        </w:tc>
        <w:tc>
          <w:tcPr>
            <w:tcW w:w="539" w:type="pct"/>
            <w:shd w:val="clear" w:color="auto" w:fill="auto"/>
            <w:vAlign w:val="bottom"/>
          </w:tcPr>
          <w:p w14:paraId="175F2F2C" w14:textId="62340754" w:rsidR="00F939F8" w:rsidRPr="00ED172B" w:rsidRDefault="00F939F8" w:rsidP="00F939F8">
            <w:pPr>
              <w:jc w:val="center"/>
              <w:rPr>
                <w:rFonts w:cs="Arial"/>
                <w:b/>
                <w:color w:val="000000" w:themeColor="text1"/>
                <w:szCs w:val="16"/>
              </w:rPr>
            </w:pPr>
            <w:r w:rsidRPr="00ED172B">
              <w:rPr>
                <w:b/>
                <w:color w:val="000000" w:themeColor="text1"/>
                <w:szCs w:val="16"/>
              </w:rPr>
              <w:t>Slippage</w:t>
            </w:r>
          </w:p>
        </w:tc>
      </w:tr>
      <w:tr w:rsidR="00ED172B" w:rsidRPr="00ED172B" w14:paraId="3F99CC5B" w14:textId="77777777" w:rsidTr="00986B99">
        <w:trPr>
          <w:trHeight w:val="366"/>
        </w:trPr>
        <w:tc>
          <w:tcPr>
            <w:tcW w:w="1292" w:type="pct"/>
            <w:shd w:val="clear" w:color="auto" w:fill="auto"/>
            <w:vAlign w:val="center"/>
          </w:tcPr>
          <w:p w14:paraId="0171E6DC" w14:textId="3334C64E" w:rsidR="00F939F8" w:rsidRPr="00ED172B" w:rsidRDefault="00860830" w:rsidP="00F939F8">
            <w:pPr>
              <w:jc w:val="center"/>
              <w:rPr>
                <w:rFonts w:cs="Arial"/>
                <w:color w:val="000000" w:themeColor="text1"/>
                <w:szCs w:val="16"/>
              </w:rPr>
            </w:pPr>
            <w:r w:rsidRPr="00ED172B">
              <w:rPr>
                <w:rFonts w:cs="Arial"/>
                <w:color w:val="000000" w:themeColor="text1"/>
                <w:szCs w:val="16"/>
              </w:rPr>
              <w:t>10,726</w:t>
            </w:r>
          </w:p>
        </w:tc>
        <w:tc>
          <w:tcPr>
            <w:tcW w:w="875" w:type="pct"/>
            <w:shd w:val="clear" w:color="auto" w:fill="auto"/>
            <w:vAlign w:val="center"/>
          </w:tcPr>
          <w:p w14:paraId="09B22CBD" w14:textId="0AA8660C" w:rsidR="00F939F8" w:rsidRPr="00ED172B" w:rsidRDefault="00860830" w:rsidP="00F939F8">
            <w:pPr>
              <w:jc w:val="center"/>
              <w:rPr>
                <w:rFonts w:cs="Arial"/>
                <w:color w:val="000000" w:themeColor="text1"/>
                <w:szCs w:val="16"/>
              </w:rPr>
            </w:pPr>
            <w:r w:rsidRPr="00ED172B">
              <w:rPr>
                <w:rFonts w:cs="Arial"/>
                <w:color w:val="000000" w:themeColor="text1"/>
                <w:szCs w:val="16"/>
              </w:rPr>
              <w:t>14,668</w:t>
            </w:r>
          </w:p>
        </w:tc>
        <w:tc>
          <w:tcPr>
            <w:tcW w:w="625" w:type="pct"/>
            <w:shd w:val="clear" w:color="auto" w:fill="auto"/>
          </w:tcPr>
          <w:p w14:paraId="136B0596" w14:textId="6BC8CAC5" w:rsidR="00F939F8" w:rsidRPr="00ED172B" w:rsidRDefault="00860830" w:rsidP="00F939F8">
            <w:pPr>
              <w:jc w:val="center"/>
              <w:rPr>
                <w:rFonts w:cs="Arial"/>
                <w:color w:val="000000" w:themeColor="text1"/>
                <w:szCs w:val="16"/>
              </w:rPr>
            </w:pPr>
            <w:r w:rsidRPr="00ED172B">
              <w:rPr>
                <w:rFonts w:cs="Arial"/>
                <w:color w:val="000000" w:themeColor="text1"/>
                <w:szCs w:val="16"/>
              </w:rPr>
              <w:t>99.18%</w:t>
            </w:r>
          </w:p>
        </w:tc>
        <w:tc>
          <w:tcPr>
            <w:tcW w:w="542" w:type="pct"/>
            <w:shd w:val="clear" w:color="auto" w:fill="auto"/>
          </w:tcPr>
          <w:p w14:paraId="0BC20FF1" w14:textId="0CC56D33" w:rsidR="00F939F8" w:rsidRPr="00ED172B" w:rsidRDefault="004952E2" w:rsidP="00F939F8">
            <w:pPr>
              <w:jc w:val="center"/>
              <w:rPr>
                <w:rFonts w:cs="Arial"/>
                <w:color w:val="000000" w:themeColor="text1"/>
                <w:szCs w:val="16"/>
              </w:rPr>
            </w:pPr>
            <w:r w:rsidRPr="00ED172B">
              <w:rPr>
                <w:color w:val="000000" w:themeColor="text1"/>
                <w:szCs w:val="16"/>
              </w:rPr>
              <w:t>100%</w:t>
            </w:r>
          </w:p>
        </w:tc>
        <w:tc>
          <w:tcPr>
            <w:tcW w:w="584" w:type="pct"/>
            <w:shd w:val="clear" w:color="auto" w:fill="auto"/>
          </w:tcPr>
          <w:p w14:paraId="2EEA547A" w14:textId="51A61E43" w:rsidR="00F939F8" w:rsidRPr="00ED172B" w:rsidRDefault="00860830" w:rsidP="00F939F8">
            <w:pPr>
              <w:jc w:val="center"/>
              <w:rPr>
                <w:rFonts w:cs="Arial"/>
                <w:color w:val="000000" w:themeColor="text1"/>
                <w:szCs w:val="16"/>
              </w:rPr>
            </w:pPr>
            <w:r w:rsidRPr="00ED172B">
              <w:rPr>
                <w:rFonts w:cs="Arial"/>
                <w:color w:val="000000" w:themeColor="text1"/>
                <w:szCs w:val="16"/>
              </w:rPr>
              <w:t>99.07%</w:t>
            </w:r>
          </w:p>
        </w:tc>
        <w:tc>
          <w:tcPr>
            <w:tcW w:w="542" w:type="pct"/>
            <w:shd w:val="clear" w:color="auto" w:fill="auto"/>
          </w:tcPr>
          <w:p w14:paraId="6EB785D3" w14:textId="6A67BD93" w:rsidR="00F939F8" w:rsidRPr="00ED172B" w:rsidRDefault="00320806" w:rsidP="00320806">
            <w:pPr>
              <w:jc w:val="center"/>
              <w:rPr>
                <w:color w:val="000000" w:themeColor="text1"/>
              </w:rPr>
            </w:pPr>
            <w:r w:rsidRPr="00ED172B">
              <w:rPr>
                <w:color w:val="000000" w:themeColor="text1"/>
              </w:rPr>
              <w:t>Did not meet target</w:t>
            </w:r>
          </w:p>
        </w:tc>
        <w:tc>
          <w:tcPr>
            <w:tcW w:w="539" w:type="pct"/>
            <w:shd w:val="clear" w:color="auto" w:fill="auto"/>
          </w:tcPr>
          <w:p w14:paraId="1195EC60" w14:textId="15F614DC" w:rsidR="00F939F8" w:rsidRPr="00ED172B" w:rsidRDefault="00320806" w:rsidP="00320806">
            <w:pPr>
              <w:jc w:val="center"/>
              <w:rPr>
                <w:color w:val="000000" w:themeColor="text1"/>
              </w:rPr>
            </w:pPr>
            <w:r w:rsidRPr="00ED172B">
              <w:rPr>
                <w:color w:val="000000" w:themeColor="text1"/>
              </w:rPr>
              <w:t>No Slippage</w:t>
            </w:r>
          </w:p>
        </w:tc>
      </w:tr>
    </w:tbl>
    <w:p w14:paraId="070F5A41" w14:textId="75215117" w:rsidR="008901AF" w:rsidRPr="00ED172B" w:rsidRDefault="008901AF" w:rsidP="005A1CA1">
      <w:pPr>
        <w:rPr>
          <w:rFonts w:cs="Arial"/>
          <w:b/>
          <w:color w:val="000000" w:themeColor="text1"/>
          <w:szCs w:val="16"/>
        </w:rPr>
      </w:pPr>
      <w:r w:rsidRPr="00ED172B">
        <w:rPr>
          <w:rFonts w:cs="Arial"/>
          <w:b/>
          <w:color w:val="000000" w:themeColor="text1"/>
          <w:szCs w:val="16"/>
        </w:rPr>
        <w:t>Number of documented delays attributable to exceptional family circumstances</w:t>
      </w:r>
      <w:r w:rsidRPr="00ED172B">
        <w:rPr>
          <w:rFonts w:cs="Arial"/>
          <w:color w:val="000000" w:themeColor="text1"/>
          <w:szCs w:val="16"/>
        </w:rPr>
        <w:t> </w:t>
      </w:r>
      <w:r w:rsidRPr="00ED172B">
        <w:rPr>
          <w:rFonts w:cs="Arial"/>
          <w:color w:val="000000" w:themeColor="text1"/>
          <w:szCs w:val="16"/>
        </w:rPr>
        <w:br/>
      </w:r>
      <w:r w:rsidRPr="00ED172B">
        <w:rPr>
          <w:rFonts w:cs="Arial"/>
          <w:b/>
          <w:color w:val="000000" w:themeColor="text1"/>
          <w:szCs w:val="16"/>
        </w:rPr>
        <w:t>This number will be added to the “Number of children exiting Part C who have an IFSP with transition steps and services” field to calculate the numerator for this indicator.</w:t>
      </w:r>
    </w:p>
    <w:p w14:paraId="18B7DCE3" w14:textId="6016FEEB" w:rsidR="008901AF" w:rsidRDefault="008901AF" w:rsidP="005A1CA1">
      <w:pPr>
        <w:rPr>
          <w:rFonts w:cs="Arial"/>
          <w:color w:val="000000" w:themeColor="text1"/>
          <w:szCs w:val="16"/>
        </w:rPr>
      </w:pPr>
      <w:r w:rsidRPr="00ED172B">
        <w:rPr>
          <w:rFonts w:cs="Arial"/>
          <w:color w:val="000000" w:themeColor="text1"/>
          <w:szCs w:val="16"/>
        </w:rPr>
        <w:t>3,805</w:t>
      </w:r>
    </w:p>
    <w:p w14:paraId="0D061463" w14:textId="77777777" w:rsidR="00C3454D" w:rsidRDefault="00C3454D" w:rsidP="00C3454D">
      <w:pPr>
        <w:rPr>
          <w:rFonts w:cs="Arial"/>
          <w:b/>
          <w:color w:val="000000" w:themeColor="text1"/>
          <w:szCs w:val="16"/>
        </w:rPr>
      </w:pPr>
      <w:r w:rsidRPr="003739C5">
        <w:rPr>
          <w:rFonts w:cs="Arial"/>
          <w:b/>
          <w:color w:val="000000" w:themeColor="text1"/>
          <w:szCs w:val="16"/>
        </w:rPr>
        <w:t>Provide reasons for delay, if applicable.</w:t>
      </w:r>
    </w:p>
    <w:p w14:paraId="3D48C4E6" w14:textId="2641554E" w:rsidR="00C3454D" w:rsidRPr="00ED172B" w:rsidRDefault="00C3454D" w:rsidP="00C3454D">
      <w:pPr>
        <w:rPr>
          <w:rFonts w:cs="Arial"/>
          <w:color w:val="000000" w:themeColor="text1"/>
          <w:szCs w:val="16"/>
        </w:rPr>
      </w:pPr>
      <w:r w:rsidRPr="00ED172B">
        <w:rPr>
          <w:color w:val="000000" w:themeColor="text1"/>
          <w:szCs w:val="16"/>
        </w:rPr>
        <w:t xml:space="preserve">MA-C reviewed the delay reasons for all the children with their transition steps and services delayed. </w:t>
        <w:br/>
        <w:t/>
        <w:br/>
        <w:t>Delays attributable to exceptional family circumstances include a family problem scheduling appointment to hold the IFSP meeting, the family missing or cancelling an appointment, weather or other emergency declared, and COVID-19 if the child or family were unavailable for the appointment. As advised by OSEP, delays in service provision caused by the public health response to the COVID-19 pandemic can meet the definition of exceptional family circumstances, as defined under 34 C.F.R. § 303.310(b), when the child and family are effectively unavailable.</w:t>
        <w:br/>
        <w:t/>
        <w:br/>
        <w:t xml:space="preserve">136 Children had IFSPs with transition steps or services that were delayed for reasons not attributable to exceptional family circumstances including difficulty identifying or assigning a service provider, provider scheduling problem, and other local program administrative reasons. </w:t>
      </w:r>
    </w:p>
    <w:p w14:paraId="08A0732F" w14:textId="77777777" w:rsidR="0026103E"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40A77EEA" w14:textId="55FB6054" w:rsidR="000709B9" w:rsidRDefault="00860830" w:rsidP="00B83404">
      <w:pPr>
        <w:rPr>
          <w:color w:val="000000" w:themeColor="text1"/>
        </w:rPr>
      </w:pPr>
      <w:r w:rsidRPr="00ED172B">
        <w:rPr>
          <w:color w:val="000000" w:themeColor="text1"/>
        </w:rPr>
        <w:t>State database</w:t>
      </w:r>
    </w:p>
    <w:p w14:paraId="5D003928" w14:textId="19976D09" w:rsidR="000709B9"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C9D911D" w14:textId="0FF876C8" w:rsidR="000709B9" w:rsidRPr="00ED172B" w:rsidRDefault="00860830" w:rsidP="000709B9">
      <w:pPr>
        <w:rPr>
          <w:color w:val="000000" w:themeColor="text1"/>
        </w:rPr>
      </w:pPr>
      <w:r w:rsidRPr="00ED172B">
        <w:rPr>
          <w:color w:val="000000" w:themeColor="text1"/>
        </w:rPr>
        <w:t>Full Reporting Year (July 1, 2021-June 30, 2022)</w:t>
      </w:r>
    </w:p>
    <w:p w14:paraId="73D500B7" w14:textId="4C4F39BA"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4D895DFF" w14:textId="74CFB1B8" w:rsidR="000709B9" w:rsidRDefault="00860830" w:rsidP="000709B9">
      <w:pPr>
        <w:rPr>
          <w:rFonts w:cs="Arial"/>
          <w:color w:val="000000" w:themeColor="text1"/>
          <w:szCs w:val="16"/>
        </w:rPr>
      </w:pPr>
      <w:r w:rsidRPr="00ED172B">
        <w:rPr>
          <w:rFonts w:cs="Arial"/>
          <w:color w:val="000000" w:themeColor="text1"/>
          <w:szCs w:val="16"/>
        </w:rPr>
        <w:t>These data accurately reflect data for infants and toddlers with IFSPs for the full reporting period because they include all toddlers with disabilities exiting Part C during the reporting year for FFY21 (July 1, 2021-June 30, 2022).</w:t>
      </w:r>
    </w:p>
    <w:p w14:paraId="7E255243" w14:textId="77777777" w:rsidR="008901AF" w:rsidRPr="00ED172B" w:rsidRDefault="008901AF" w:rsidP="00950382">
      <w:pPr>
        <w:rPr>
          <w:color w:val="000000" w:themeColor="text1"/>
        </w:rPr>
      </w:pPr>
    </w:p>
    <w:p w14:paraId="679E0C72" w14:textId="31A766F3" w:rsidR="003A3693" w:rsidRPr="00ED172B" w:rsidRDefault="003A3693" w:rsidP="00950382">
      <w:pPr>
        <w:rPr>
          <w:b/>
          <w:color w:val="000000" w:themeColor="text1"/>
        </w:rPr>
      </w:pPr>
      <w:r w:rsidRPr="00ED172B">
        <w:rPr>
          <w:b/>
          <w:color w:val="000000" w:themeColor="text1"/>
        </w:rPr>
        <w:t>Provide additional information about this indicator (optional)</w:t>
      </w:r>
    </w:p>
    <w:p w14:paraId="35506A80" w14:textId="578ABD6A" w:rsidR="003A3693" w:rsidRPr="00ED172B" w:rsidRDefault="00860830" w:rsidP="003A3693">
      <w:pPr>
        <w:rPr>
          <w:rFonts w:cs="Arial"/>
          <w:color w:val="000000" w:themeColor="text1"/>
          <w:szCs w:val="16"/>
        </w:rPr>
      </w:pPr>
      <w:r w:rsidRPr="00ED172B">
        <w:rPr>
          <w:rFonts w:cs="Arial"/>
          <w:color w:val="000000" w:themeColor="text1"/>
          <w:szCs w:val="16"/>
        </w:rPr>
        <w:t>MA-C's performance with respect to indicators 8A, 8B, and 8C has been below the required 100% for several years. In direct response, MA-C has partnered with MA-B to provide general and targeted technical assistance and training to EIS programs with compliance rates less than 100%. The contracted vendor's work began in FFY22.</w:t>
      </w:r>
    </w:p>
    <w:p w14:paraId="367CB071" w14:textId="7FDB5F8C" w:rsidR="008203B4" w:rsidRPr="00ED172B" w:rsidRDefault="008203B4" w:rsidP="00B83404">
      <w:pPr>
        <w:rPr>
          <w:color w:val="000000" w:themeColor="text1"/>
        </w:rPr>
      </w:pPr>
      <w:r w:rsidRPr="00ED172B">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C08APFFYNCFINDINGS"/>
      </w:tblPr>
      <w:tblGrid>
        <w:gridCol w:w="2610"/>
        <w:gridCol w:w="2740"/>
        <w:gridCol w:w="2618"/>
        <w:gridCol w:w="2822"/>
      </w:tblGrid>
      <w:tr w:rsidR="00ED172B" w:rsidRPr="00ED172B" w14:paraId="2D4FE5FD" w14:textId="77777777" w:rsidTr="00986B99">
        <w:trPr>
          <w:trHeight w:val="389"/>
          <w:tblHeader/>
        </w:trPr>
        <w:tc>
          <w:tcPr>
            <w:tcW w:w="1210" w:type="pct"/>
            <w:shd w:val="clear" w:color="auto" w:fill="auto"/>
            <w:vAlign w:val="bottom"/>
          </w:tcPr>
          <w:p w14:paraId="6889A2C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Identified</w:t>
            </w:r>
          </w:p>
        </w:tc>
        <w:tc>
          <w:tcPr>
            <w:tcW w:w="1270" w:type="pct"/>
            <w:shd w:val="clear" w:color="auto" w:fill="auto"/>
            <w:vAlign w:val="bottom"/>
          </w:tcPr>
          <w:p w14:paraId="0336DAA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6A6F0624"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404B8C3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4E93E1CC" w14:textId="77777777" w:rsidTr="00986B99">
        <w:tc>
          <w:tcPr>
            <w:tcW w:w="1210" w:type="pct"/>
            <w:shd w:val="clear" w:color="auto" w:fill="auto"/>
          </w:tcPr>
          <w:p w14:paraId="6D36EEFA" w14:textId="77759E1D" w:rsidR="008203B4" w:rsidRPr="00ED172B" w:rsidRDefault="00860830" w:rsidP="00ED172B">
            <w:pPr>
              <w:jc w:val="center"/>
              <w:rPr>
                <w:rFonts w:cs="Arial"/>
                <w:color w:val="000000" w:themeColor="text1"/>
                <w:szCs w:val="16"/>
              </w:rPr>
            </w:pPr>
            <w:r w:rsidRPr="00ED172B">
              <w:rPr>
                <w:rFonts w:cs="Arial"/>
                <w:color w:val="000000" w:themeColor="text1"/>
                <w:szCs w:val="16"/>
              </w:rPr>
              <w:t/>
            </w:r>
          </w:p>
        </w:tc>
        <w:tc>
          <w:tcPr>
            <w:tcW w:w="1270" w:type="pct"/>
            <w:shd w:val="clear" w:color="auto" w:fill="auto"/>
          </w:tcPr>
          <w:p w14:paraId="6F7AE561" w14:textId="0506DBB0" w:rsidR="008203B4" w:rsidRPr="00ED172B" w:rsidRDefault="00860830" w:rsidP="00ED172B">
            <w:pPr>
              <w:jc w:val="center"/>
              <w:rPr>
                <w:rFonts w:cs="Arial"/>
                <w:color w:val="000000" w:themeColor="text1"/>
                <w:szCs w:val="16"/>
              </w:rPr>
            </w:pPr>
            <w:r w:rsidRPr="00ED172B">
              <w:rPr>
                <w:rFonts w:cs="Arial"/>
                <w:color w:val="000000" w:themeColor="text1"/>
                <w:szCs w:val="16"/>
              </w:rPr>
              <w:t/>
            </w:r>
          </w:p>
        </w:tc>
        <w:tc>
          <w:tcPr>
            <w:tcW w:w="1213" w:type="pct"/>
            <w:shd w:val="clear" w:color="auto" w:fill="auto"/>
          </w:tcPr>
          <w:p w14:paraId="58BE9E1E" w14:textId="2A20A5FA"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shd w:val="clear" w:color="auto" w:fill="auto"/>
          </w:tcPr>
          <w:p w14:paraId="23C4C3AF" w14:textId="3B5B521A" w:rsidR="008203B4" w:rsidRPr="00ED172B" w:rsidRDefault="00860830" w:rsidP="00CD79C5">
            <w:pPr>
              <w:rPr>
                <w:rFonts w:cs="Arial"/>
                <w:color w:val="000000" w:themeColor="text1"/>
                <w:szCs w:val="16"/>
              </w:rPr>
            </w:pPr>
            <w:r w:rsidRPr="00ED172B">
              <w:rPr>
                <w:rFonts w:cs="Arial"/>
                <w:color w:val="000000" w:themeColor="text1"/>
                <w:szCs w:val="16"/>
              </w:rPr>
              <w:t>0</w:t>
            </w:r>
          </w:p>
        </w:tc>
      </w:tr>
    </w:tbl>
    <w:p w14:paraId="300F7028" w14:textId="1AAD7619" w:rsidR="008203B4" w:rsidRPr="00ED172B" w:rsidRDefault="008203B4" w:rsidP="00B83404">
      <w:pPr>
        <w:rPr>
          <w:color w:val="000000" w:themeColor="text1"/>
        </w:rPr>
      </w:pPr>
      <w:r w:rsidRPr="00ED172B">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C08APPFFYNCFINDINGS"/>
      </w:tblPr>
      <w:tblGrid>
        <w:gridCol w:w="2005"/>
        <w:gridCol w:w="2995"/>
        <w:gridCol w:w="2985"/>
        <w:gridCol w:w="2805"/>
      </w:tblGrid>
      <w:tr w:rsidR="00ED172B" w:rsidRPr="00ED172B" w14:paraId="03D27353" w14:textId="77777777" w:rsidTr="00986B99">
        <w:trPr>
          <w:tblHeader/>
        </w:trPr>
        <w:tc>
          <w:tcPr>
            <w:tcW w:w="929" w:type="pct"/>
            <w:shd w:val="clear" w:color="auto" w:fill="auto"/>
            <w:vAlign w:val="bottom"/>
          </w:tcPr>
          <w:p w14:paraId="5B4E82E6"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88" w:type="pct"/>
            <w:shd w:val="clear" w:color="auto" w:fill="auto"/>
            <w:vAlign w:val="bottom"/>
          </w:tcPr>
          <w:p w14:paraId="6E009F9F" w14:textId="0B986325"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2020 APR</w:t>
            </w:r>
          </w:p>
        </w:tc>
        <w:tc>
          <w:tcPr>
            <w:tcW w:w="1383" w:type="pct"/>
            <w:shd w:val="clear" w:color="auto" w:fill="auto"/>
            <w:vAlign w:val="bottom"/>
          </w:tcPr>
          <w:p w14:paraId="28F8907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300" w:type="pct"/>
            <w:shd w:val="clear" w:color="auto" w:fill="auto"/>
            <w:vAlign w:val="bottom"/>
          </w:tcPr>
          <w:p w14:paraId="62CA3EA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7517045B" w14:textId="77777777" w:rsidTr="00986B99">
        <w:tc>
          <w:tcPr>
            <w:tcW w:w="929" w:type="pct"/>
            <w:shd w:val="clear" w:color="auto" w:fill="auto"/>
          </w:tcPr>
          <w:p w14:paraId="3B9EE4C9" w14:textId="36893AED" w:rsidR="008203B4" w:rsidRPr="00ED172B" w:rsidRDefault="00860830" w:rsidP="00CD79C5">
            <w:pPr>
              <w:rPr>
                <w:rFonts w:cs="Arial"/>
                <w:color w:val="000000" w:themeColor="text1"/>
                <w:szCs w:val="16"/>
              </w:rPr>
            </w:pPr>
            <w:r w:rsidRPr="00ED172B">
              <w:rPr>
                <w:rFonts w:cs="Arial"/>
                <w:color w:val="000000" w:themeColor="text1"/>
                <w:szCs w:val="16"/>
              </w:rPr>
              <w:t/>
            </w:r>
          </w:p>
        </w:tc>
        <w:tc>
          <w:tcPr>
            <w:tcW w:w="1388" w:type="pct"/>
            <w:shd w:val="clear" w:color="auto" w:fill="auto"/>
          </w:tcPr>
          <w:p w14:paraId="59BBBE3F" w14:textId="119CB64D"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3" w:type="pct"/>
            <w:shd w:val="clear" w:color="auto" w:fill="auto"/>
          </w:tcPr>
          <w:p w14:paraId="127E5ED1" w14:textId="5E826401"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0" w:type="pct"/>
            <w:shd w:val="clear" w:color="auto" w:fill="auto"/>
          </w:tcPr>
          <w:p w14:paraId="150828EF" w14:textId="74F3132B"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1FB93036" w14:textId="77777777" w:rsidTr="00986B99">
        <w:tc>
          <w:tcPr>
            <w:tcW w:w="929" w:type="pct"/>
            <w:shd w:val="clear" w:color="auto" w:fill="auto"/>
          </w:tcPr>
          <w:p w14:paraId="0F0F055B" w14:textId="44C477C9" w:rsidR="008203B4" w:rsidRPr="00ED172B" w:rsidRDefault="00860830" w:rsidP="00CD79C5">
            <w:pPr>
              <w:rPr>
                <w:rFonts w:cs="Arial"/>
                <w:color w:val="000000" w:themeColor="text1"/>
                <w:szCs w:val="16"/>
              </w:rPr>
            </w:pPr>
            <w:r w:rsidRPr="00ED172B">
              <w:rPr>
                <w:rFonts w:cs="Arial"/>
                <w:color w:val="000000" w:themeColor="text1"/>
                <w:szCs w:val="16"/>
              </w:rPr>
              <w:t/>
            </w:r>
          </w:p>
        </w:tc>
        <w:tc>
          <w:tcPr>
            <w:tcW w:w="1388" w:type="pct"/>
            <w:shd w:val="clear" w:color="auto" w:fill="auto"/>
          </w:tcPr>
          <w:p w14:paraId="4E4D35EC" w14:textId="3014D54F"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3" w:type="pct"/>
            <w:shd w:val="clear" w:color="auto" w:fill="auto"/>
          </w:tcPr>
          <w:p w14:paraId="031A6B9D" w14:textId="25F039AF"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0" w:type="pct"/>
            <w:shd w:val="clear" w:color="auto" w:fill="auto"/>
          </w:tcPr>
          <w:p w14:paraId="279F2773" w14:textId="6B96ACEF"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541BD90C" w14:textId="77777777" w:rsidTr="00986B99">
        <w:tc>
          <w:tcPr>
            <w:tcW w:w="929" w:type="pct"/>
            <w:shd w:val="clear" w:color="auto" w:fill="auto"/>
          </w:tcPr>
          <w:p w14:paraId="1E7B5266" w14:textId="4224D93A" w:rsidR="008203B4" w:rsidRPr="00ED172B" w:rsidRDefault="00860830" w:rsidP="00CD79C5">
            <w:pPr>
              <w:rPr>
                <w:rFonts w:cs="Arial"/>
                <w:color w:val="000000" w:themeColor="text1"/>
                <w:szCs w:val="16"/>
              </w:rPr>
            </w:pPr>
            <w:r w:rsidRPr="00ED172B">
              <w:rPr>
                <w:rFonts w:cs="Arial"/>
                <w:color w:val="000000" w:themeColor="text1"/>
                <w:szCs w:val="16"/>
              </w:rPr>
              <w:t/>
            </w:r>
          </w:p>
        </w:tc>
        <w:tc>
          <w:tcPr>
            <w:tcW w:w="1388" w:type="pct"/>
            <w:shd w:val="clear" w:color="auto" w:fill="auto"/>
          </w:tcPr>
          <w:p w14:paraId="7C14D12B" w14:textId="3003CF69"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3" w:type="pct"/>
            <w:shd w:val="clear" w:color="auto" w:fill="auto"/>
          </w:tcPr>
          <w:p w14:paraId="45A94EB7" w14:textId="2538AC18"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00" w:type="pct"/>
            <w:shd w:val="clear" w:color="auto" w:fill="auto"/>
          </w:tcPr>
          <w:p w14:paraId="0B3D9222" w14:textId="41BA0134"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bl>
    <w:p w14:paraId="1E1E7D1C" w14:textId="1CFEC88E" w:rsidR="008203B4" w:rsidRPr="00A40EE1" w:rsidRDefault="000D0117" w:rsidP="007B0787">
      <w:pPr>
        <w:pStyle w:val="Heading2"/>
      </w:pPr>
      <w:r w:rsidRPr="00A40EE1">
        <w:t xml:space="preserve">8A - </w:t>
      </w:r>
      <w:r w:rsidR="008203B4" w:rsidRPr="00A40EE1">
        <w:t>Prior FFY Required Actions</w:t>
      </w:r>
    </w:p>
    <w:p w14:paraId="7CDC5E88" w14:textId="330316F2" w:rsidR="004C1CEE" w:rsidRPr="00ED172B" w:rsidRDefault="00320806" w:rsidP="008203B4">
      <w:pPr>
        <w:rPr>
          <w:rFonts w:cs="Arial"/>
          <w:color w:val="000000" w:themeColor="text1"/>
          <w:szCs w:val="16"/>
        </w:rPr>
      </w:pPr>
      <w:r w:rsidRPr="00ED172B">
        <w:rPr>
          <w:color w:val="000000" w:themeColor="text1"/>
        </w:rPr>
        <w:t xml:space="preserve">Because the State reported less than 100% compliance for FFY 2020, the State must report on the status of correction of noncompliance identified in FFY 2020 for this indicator. When reporting on the correction of noncompliance, the State must report, in the FFY 2021 SPP/APR, that it has verified that each EIS program or provider with noncompliance identified in FFY 2020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2021 SPP/APR, the State must describe the specific actions that were taken to verify the correction. </w:t>
        <w:br/>
        <w:t/>
        <w:br/>
        <w:t>If the State did not identify any findings of noncompliance in FFY 2020, although its FFY 2020 data reflect less than 100% compliance, provide an explanation of why the State did not identify any findings of noncompliance in FFY 2020.</w:t>
      </w:r>
    </w:p>
    <w:p w14:paraId="61E6D547" w14:textId="70202F8C" w:rsidR="008203B4" w:rsidRPr="00ED172B" w:rsidRDefault="008203B4" w:rsidP="00B83404">
      <w:pPr>
        <w:rPr>
          <w:color w:val="000000" w:themeColor="text1"/>
        </w:rPr>
      </w:pPr>
      <w:r w:rsidRPr="00ED172B">
        <w:rPr>
          <w:b/>
          <w:color w:val="000000" w:themeColor="text1"/>
        </w:rPr>
        <w:t>Response to actions required in FFY 2020 SPP/APR</w:t>
      </w:r>
      <w:r w:rsidR="00950382" w:rsidRPr="00ED172B">
        <w:rPr>
          <w:color w:val="000000" w:themeColor="text1"/>
        </w:rPr>
        <w:t xml:space="preserve"> </w:t>
      </w:r>
    </w:p>
    <w:p w14:paraId="4E3E58E2" w14:textId="3B865535" w:rsidR="004C1CEE" w:rsidRPr="00ED172B" w:rsidRDefault="00320806" w:rsidP="00027F39">
      <w:pPr>
        <w:rPr>
          <w:color w:val="000000" w:themeColor="text1"/>
        </w:rPr>
      </w:pPr>
      <w:r w:rsidRPr="00ED172B">
        <w:rPr>
          <w:color w:val="000000" w:themeColor="text1"/>
        </w:rPr>
        <w:t xml:space="preserve">The Lead Agency (MA-C) did not report 100% compliance for Indicator 8A, the percentage of toddlers with IFSPs developed with transition steps and services, in FFY20. MA-C reviewed its state database and discovered 46 records across 20 EIS programs that suggested that an IFSP with transition steps and services was not developed in a timely manner. </w:t>
        <w:br/>
        <w:t/>
        <w:br/>
        <w:t>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Using data entered by EIS programs into EICS, the Part C Data Manager determined that one child left the jurisdiction before the services were initiated; she also determined that the remaining 45 children had an IFSP with transition steps and services developed, although late, as demonstrated by service-level data entered by the EIS programs into EICS.</w:t>
        <w:br/>
        <w:t/>
        <w:br/>
        <w:t>Next, the Part C Data Manager queried the EICS for the 20 EIS programs with compliance rates below 100%. For each EIS program, she sampled 10 child records at random using subsequent service-level data entered by the EIS programs and determined 100% compliance had been demonstrated.</w:t>
        <w:br/>
        <w:t/>
        <w:br/>
        <w:t xml:space="preserve">Consistent with MA-C general supervision practices, no written findings of noncompliance were made. Instead, MA-C emailed the 20 EIS programs who had reported untimely development of an IFSP with transition steps and services to remind them of the regulatory requirement and offer training and technical assistance to sustain compliance. </w:t>
      </w:r>
    </w:p>
    <w:p w14:paraId="28C74454" w14:textId="78BCAE4D" w:rsidR="008203B4" w:rsidRPr="00A40EE1" w:rsidRDefault="000D0117" w:rsidP="007B0787">
      <w:pPr>
        <w:pStyle w:val="Heading2"/>
      </w:pPr>
      <w:r w:rsidRPr="00A40EE1">
        <w:t xml:space="preserve">8A - </w:t>
      </w:r>
      <w:r w:rsidR="008203B4" w:rsidRPr="00A40EE1">
        <w:t>OSEP Response</w:t>
      </w:r>
    </w:p>
    <w:p w14:paraId="7F9516DD" w14:textId="5C7EAF59" w:rsidR="008203B4" w:rsidRPr="00ED172B" w:rsidRDefault="00320806" w:rsidP="00320806">
      <w:pPr>
        <w:rPr>
          <w:color w:val="000000" w:themeColor="text1"/>
        </w:rPr>
      </w:pPr>
      <w:r w:rsidRPr="00ED172B">
        <w:rPr>
          <w:color w:val="000000" w:themeColor="text1"/>
        </w:rPr>
        <w:t>
</w:t>
      </w:r>
    </w:p>
    <w:p w14:paraId="159B2003" w14:textId="176E124F" w:rsidR="008203B4" w:rsidRPr="00A40EE1" w:rsidRDefault="000D0117" w:rsidP="007B0787">
      <w:pPr>
        <w:pStyle w:val="Heading2"/>
      </w:pPr>
      <w:r w:rsidRPr="00A40EE1">
        <w:t xml:space="preserve">8A - </w:t>
      </w:r>
      <w:r w:rsidR="008203B4" w:rsidRPr="00A40EE1">
        <w:t>Required Actions</w:t>
      </w:r>
    </w:p>
    <w:p w14:paraId="7B27D326" w14:textId="40409C6F" w:rsidR="008203B4" w:rsidRPr="00ED172B" w:rsidRDefault="00320806" w:rsidP="00320806">
      <w:pPr>
        <w:rPr>
          <w:color w:val="000000" w:themeColor="text1"/>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14:paraId="3F0CFF81" w14:textId="77777777" w:rsidR="008203B4" w:rsidRPr="00ED172B" w:rsidRDefault="008203B4">
      <w:pPr>
        <w:spacing w:before="0" w:after="200" w:line="276" w:lineRule="auto"/>
        <w:rPr>
          <w:rFonts w:eastAsiaTheme="majorEastAsia" w:cstheme="majorBidi"/>
          <w:b/>
          <w:bCs/>
          <w:color w:val="000000" w:themeColor="text1"/>
          <w:sz w:val="22"/>
          <w:szCs w:val="28"/>
        </w:rPr>
      </w:pPr>
      <w:r w:rsidRPr="00ED172B">
        <w:rPr>
          <w:color w:val="000000" w:themeColor="text1"/>
        </w:rPr>
        <w:br w:type="page"/>
      </w:r>
    </w:p>
    <w:p w14:paraId="62D7C46F" w14:textId="41DC649F" w:rsidR="00D77E41" w:rsidRPr="00ED172B" w:rsidRDefault="00D77E41" w:rsidP="00D77E41">
      <w:pPr>
        <w:pStyle w:val="Heading1"/>
        <w:rPr>
          <w:color w:val="000000" w:themeColor="text1"/>
        </w:rPr>
      </w:pPr>
      <w:r w:rsidRPr="00ED172B">
        <w:rPr>
          <w:color w:val="000000" w:themeColor="text1"/>
        </w:rPr>
        <w:lastRenderedPageBreak/>
        <w:t>Indicator 8B: Early Childhood Transition</w:t>
      </w:r>
    </w:p>
    <w:p w14:paraId="0A97D3D5"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7DA64F5E" w14:textId="28F4CBCC"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03FC3C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59479D03" w14:textId="3E438AD7"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2B5F5A93" w14:textId="1E641E45"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0422951E" w14:textId="120760CD"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3DBF5FF6"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71D145D1" w14:textId="77777777" w:rsidR="00D77E41" w:rsidRPr="00ED172B" w:rsidRDefault="00D77E41">
      <w:pPr>
        <w:rPr>
          <w:b/>
          <w:color w:val="000000" w:themeColor="text1"/>
        </w:rPr>
      </w:pPr>
      <w:r w:rsidRPr="00ED172B">
        <w:rPr>
          <w:b/>
          <w:color w:val="000000" w:themeColor="text1"/>
        </w:rPr>
        <w:t>Data Source</w:t>
      </w:r>
    </w:p>
    <w:p w14:paraId="047060E2"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66417E9D" w14:textId="77777777" w:rsidR="00D77E41" w:rsidRPr="00ED172B" w:rsidRDefault="00D77E41">
      <w:pPr>
        <w:rPr>
          <w:b/>
          <w:color w:val="000000" w:themeColor="text1"/>
        </w:rPr>
      </w:pPr>
      <w:r w:rsidRPr="00ED172B">
        <w:rPr>
          <w:b/>
          <w:color w:val="000000" w:themeColor="text1"/>
        </w:rPr>
        <w:t>Measurement</w:t>
      </w:r>
    </w:p>
    <w:p w14:paraId="79A335EE" w14:textId="7675FDF4"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0558F70E" w14:textId="66B1F570"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410A96D9" w14:textId="0637E1FF"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4E49D69A"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01BAAEA3" w14:textId="77777777" w:rsidR="00D77E41" w:rsidRPr="00ED172B" w:rsidRDefault="00D77E41">
      <w:pPr>
        <w:rPr>
          <w:b/>
          <w:color w:val="000000" w:themeColor="text1"/>
        </w:rPr>
      </w:pPr>
      <w:r w:rsidRPr="00ED172B">
        <w:rPr>
          <w:b/>
          <w:color w:val="000000" w:themeColor="text1"/>
        </w:rPr>
        <w:t>Instructions</w:t>
      </w:r>
    </w:p>
    <w:p w14:paraId="71CA4AC6"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78A38A89"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35069D3C"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59CADD30" w14:textId="77777777" w:rsidR="00D77E41" w:rsidRPr="00ED172B"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569464D6"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15ED3CE3"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49458D75" w14:textId="77777777"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0C5095CD" w14:textId="7777777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noncompliance as noted in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0A8F9A37" w14:textId="5AE138C1" w:rsidR="00D77E41" w:rsidRPr="00ED172B"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421BE10F" w14:textId="18A4FC4D" w:rsidR="00D77E41" w:rsidRPr="00A40EE1" w:rsidRDefault="000D0117" w:rsidP="007B0787">
      <w:pPr>
        <w:pStyle w:val="Heading2"/>
      </w:pPr>
      <w:r w:rsidRPr="00A40EE1">
        <w:t xml:space="preserve">8B - </w:t>
      </w:r>
      <w:r w:rsidR="00D77E41" w:rsidRPr="00A40EE1">
        <w:t>Indicator Data</w:t>
      </w:r>
    </w:p>
    <w:p w14:paraId="54D3A572" w14:textId="24F2B487"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BASELINEDATA"/>
      </w:tblPr>
      <w:tblGrid>
        <w:gridCol w:w="1800"/>
        <w:gridCol w:w="2004"/>
      </w:tblGrid>
      <w:tr w:rsidR="00C25621" w:rsidRPr="00ED172B" w14:paraId="20E9FA47" w14:textId="77777777" w:rsidTr="00A40EE1">
        <w:trPr>
          <w:trHeight w:val="350"/>
          <w:tblHeader/>
        </w:trPr>
        <w:tc>
          <w:tcPr>
            <w:tcW w:w="4285" w:type="pct"/>
            <w:tcBorders>
              <w:bottom w:val="single" w:sz="4" w:space="0" w:color="auto"/>
            </w:tcBorders>
            <w:shd w:val="clear" w:color="auto" w:fill="auto"/>
            <w:vAlign w:val="center"/>
          </w:tcPr>
          <w:p w14:paraId="5164113B"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06F5DB47"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2E1B4916" w14:textId="77777777" w:rsidTr="00A40EE1">
        <w:trPr>
          <w:trHeight w:val="350"/>
        </w:trPr>
        <w:tc>
          <w:tcPr>
            <w:tcW w:w="4285" w:type="pct"/>
            <w:tcBorders>
              <w:bottom w:val="single" w:sz="4" w:space="0" w:color="auto"/>
            </w:tcBorders>
            <w:shd w:val="clear" w:color="auto" w:fill="auto"/>
            <w:vAlign w:val="center"/>
          </w:tcPr>
          <w:p w14:paraId="4B333435" w14:textId="19D54FBC"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0666BADC" w14:textId="408974FB" w:rsidR="000378F3" w:rsidRPr="00ED172B" w:rsidRDefault="000378F3" w:rsidP="000378F3">
            <w:pPr>
              <w:jc w:val="center"/>
              <w:rPr>
                <w:color w:val="000000" w:themeColor="text1"/>
              </w:rPr>
            </w:pPr>
            <w:r w:rsidRPr="00ED172B">
              <w:rPr>
                <w:color w:val="000000" w:themeColor="text1"/>
              </w:rPr>
              <w:t>80.40%</w:t>
            </w:r>
          </w:p>
        </w:tc>
      </w:tr>
    </w:tbl>
    <w:p w14:paraId="0E0458D1"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HISTDATA"/>
      </w:tblPr>
      <w:tblGrid>
        <w:gridCol w:w="550"/>
        <w:gridCol w:w="2048"/>
        <w:gridCol w:w="2048"/>
        <w:gridCol w:w="2048"/>
        <w:gridCol w:w="2048"/>
        <w:gridCol w:w="2048"/>
      </w:tblGrid>
      <w:tr w:rsidR="00ED172B" w:rsidRPr="00ED172B" w14:paraId="74E8D900" w14:textId="77777777" w:rsidTr="00A40EE1">
        <w:trPr>
          <w:trHeight w:val="350"/>
        </w:trPr>
        <w:tc>
          <w:tcPr>
            <w:tcW w:w="317" w:type="pct"/>
            <w:tcBorders>
              <w:bottom w:val="single" w:sz="4" w:space="0" w:color="auto"/>
            </w:tcBorders>
            <w:shd w:val="clear" w:color="auto" w:fill="auto"/>
          </w:tcPr>
          <w:p w14:paraId="1717825D"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7BF0D83D" w14:textId="46B1EB30" w:rsidR="00DC0682" w:rsidRPr="00ED172B" w:rsidRDefault="002163F2" w:rsidP="00CD79C5">
            <w:pPr>
              <w:jc w:val="center"/>
              <w:rPr>
                <w:b/>
                <w:color w:val="000000" w:themeColor="text1"/>
                <w:szCs w:val="16"/>
              </w:rPr>
            </w:pPr>
            <w:r w:rsidRPr="00ED172B">
              <w:rPr>
                <w:rFonts w:cs="Arial"/>
                <w:b/>
                <w:color w:val="000000" w:themeColor="text1"/>
                <w:szCs w:val="16"/>
              </w:rPr>
              <w:t>2016</w:t>
            </w:r>
          </w:p>
        </w:tc>
        <w:tc>
          <w:tcPr>
            <w:tcW w:w="937" w:type="pct"/>
            <w:shd w:val="clear" w:color="auto" w:fill="auto"/>
            <w:vAlign w:val="center"/>
          </w:tcPr>
          <w:p w14:paraId="61A48DAD" w14:textId="440E86BA"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00DC06E2" w14:textId="03CD7FF8"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1400C832" w14:textId="3C42CAB3"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7D0CF390" w14:textId="2D52EF81" w:rsidR="00DC0682" w:rsidRPr="00ED172B" w:rsidRDefault="006D43D3" w:rsidP="00CD79C5">
            <w:pPr>
              <w:jc w:val="center"/>
              <w:rPr>
                <w:b/>
                <w:color w:val="000000" w:themeColor="text1"/>
                <w:szCs w:val="16"/>
              </w:rPr>
            </w:pPr>
            <w:r w:rsidRPr="00ED172B">
              <w:rPr>
                <w:rFonts w:cs="Arial"/>
                <w:b/>
                <w:color w:val="000000" w:themeColor="text1"/>
                <w:szCs w:val="16"/>
              </w:rPr>
              <w:t>2020</w:t>
            </w:r>
          </w:p>
        </w:tc>
      </w:tr>
      <w:tr w:rsidR="00ED172B" w:rsidRPr="00ED172B" w14:paraId="2CC40DB3" w14:textId="77777777" w:rsidTr="00A40EE1">
        <w:trPr>
          <w:trHeight w:val="357"/>
        </w:trPr>
        <w:tc>
          <w:tcPr>
            <w:tcW w:w="317" w:type="pct"/>
            <w:shd w:val="clear" w:color="auto" w:fill="auto"/>
          </w:tcPr>
          <w:p w14:paraId="23D9DCFF" w14:textId="77777777" w:rsidR="00DC0682" w:rsidRPr="00ED172B" w:rsidRDefault="00DC0682" w:rsidP="00B83404">
            <w:pPr>
              <w:rPr>
                <w:color w:val="000000" w:themeColor="text1"/>
                <w:szCs w:val="16"/>
              </w:rPr>
            </w:pPr>
            <w:r w:rsidRPr="00ED172B">
              <w:rPr>
                <w:color w:val="000000" w:themeColor="text1"/>
                <w:szCs w:val="16"/>
              </w:rPr>
              <w:t xml:space="preserve">Target </w:t>
            </w:r>
          </w:p>
        </w:tc>
        <w:tc>
          <w:tcPr>
            <w:tcW w:w="937" w:type="pct"/>
            <w:shd w:val="clear" w:color="auto" w:fill="auto"/>
          </w:tcPr>
          <w:p w14:paraId="77FFF02F" w14:textId="61BAEB5F"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30AE3B34" w14:textId="5AE48E9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72204BF" w14:textId="0D3F83CA"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5F1CD878" w14:textId="58AF87B1" w:rsidR="00DC0682" w:rsidRPr="00ED172B" w:rsidRDefault="009754A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70A95F90" w14:textId="60F56AB0" w:rsidR="00DC0682" w:rsidRPr="00ED172B" w:rsidRDefault="009754A0" w:rsidP="00CD79C5">
            <w:pPr>
              <w:jc w:val="center"/>
              <w:rPr>
                <w:color w:val="000000" w:themeColor="text1"/>
                <w:szCs w:val="16"/>
              </w:rPr>
            </w:pPr>
            <w:r w:rsidRPr="00ED172B">
              <w:rPr>
                <w:color w:val="000000" w:themeColor="text1"/>
                <w:szCs w:val="16"/>
              </w:rPr>
              <w:t>100%</w:t>
            </w:r>
          </w:p>
        </w:tc>
      </w:tr>
      <w:tr w:rsidR="00ED172B" w:rsidRPr="00ED172B" w14:paraId="16D05940" w14:textId="77777777" w:rsidTr="00A40EE1">
        <w:trPr>
          <w:trHeight w:val="85"/>
        </w:trPr>
        <w:tc>
          <w:tcPr>
            <w:tcW w:w="317" w:type="pct"/>
            <w:shd w:val="clear" w:color="auto" w:fill="auto"/>
          </w:tcPr>
          <w:p w14:paraId="784E6590" w14:textId="77777777" w:rsidR="00DC0682" w:rsidRPr="00ED172B" w:rsidRDefault="00DC0682" w:rsidP="00B83404">
            <w:pPr>
              <w:rPr>
                <w:color w:val="000000" w:themeColor="text1"/>
                <w:szCs w:val="16"/>
              </w:rPr>
            </w:pPr>
            <w:r w:rsidRPr="00ED172B">
              <w:rPr>
                <w:color w:val="000000" w:themeColor="text1"/>
                <w:szCs w:val="16"/>
              </w:rPr>
              <w:lastRenderedPageBreak/>
              <w:t>Data</w:t>
            </w:r>
          </w:p>
        </w:tc>
        <w:tc>
          <w:tcPr>
            <w:tcW w:w="937" w:type="pct"/>
            <w:shd w:val="clear" w:color="auto" w:fill="auto"/>
            <w:vAlign w:val="center"/>
          </w:tcPr>
          <w:p w14:paraId="729B47D6" w14:textId="677BED5B" w:rsidR="00DC0682" w:rsidRPr="00ED172B" w:rsidRDefault="00860830" w:rsidP="00CD79C5">
            <w:pPr>
              <w:jc w:val="center"/>
              <w:rPr>
                <w:color w:val="000000" w:themeColor="text1"/>
                <w:szCs w:val="16"/>
              </w:rPr>
            </w:pPr>
            <w:r w:rsidRPr="00ED172B">
              <w:rPr>
                <w:rFonts w:cs="Arial"/>
                <w:color w:val="000000" w:themeColor="text1"/>
                <w:szCs w:val="16"/>
              </w:rPr>
              <w:t>88.90%</w:t>
            </w:r>
          </w:p>
        </w:tc>
        <w:tc>
          <w:tcPr>
            <w:tcW w:w="937" w:type="pct"/>
            <w:tcBorders>
              <w:bottom w:val="single" w:sz="4" w:space="0" w:color="auto"/>
            </w:tcBorders>
            <w:shd w:val="clear" w:color="auto" w:fill="auto"/>
            <w:vAlign w:val="center"/>
          </w:tcPr>
          <w:p w14:paraId="4A1FC6C4" w14:textId="77E057A8" w:rsidR="00DC0682" w:rsidRPr="00ED172B" w:rsidRDefault="00860830" w:rsidP="00CD79C5">
            <w:pPr>
              <w:jc w:val="center"/>
              <w:rPr>
                <w:color w:val="000000" w:themeColor="text1"/>
                <w:szCs w:val="16"/>
              </w:rPr>
            </w:pPr>
            <w:r w:rsidRPr="00ED172B">
              <w:rPr>
                <w:rFonts w:cs="Arial"/>
                <w:color w:val="000000" w:themeColor="text1"/>
                <w:szCs w:val="16"/>
              </w:rPr>
              <w:t>86.88%</w:t>
            </w:r>
          </w:p>
        </w:tc>
        <w:tc>
          <w:tcPr>
            <w:tcW w:w="937" w:type="pct"/>
            <w:tcBorders>
              <w:bottom w:val="single" w:sz="4" w:space="0" w:color="auto"/>
            </w:tcBorders>
            <w:shd w:val="clear" w:color="auto" w:fill="auto"/>
            <w:vAlign w:val="center"/>
          </w:tcPr>
          <w:p w14:paraId="401927F1" w14:textId="4AED5860" w:rsidR="00DC0682" w:rsidRPr="00ED172B" w:rsidRDefault="00860830" w:rsidP="00CD79C5">
            <w:pPr>
              <w:jc w:val="center"/>
              <w:rPr>
                <w:color w:val="000000" w:themeColor="text1"/>
                <w:szCs w:val="16"/>
              </w:rPr>
            </w:pPr>
            <w:r w:rsidRPr="00ED172B">
              <w:rPr>
                <w:rFonts w:cs="Arial"/>
                <w:color w:val="000000" w:themeColor="text1"/>
                <w:szCs w:val="16"/>
              </w:rPr>
              <w:t>88.48%</w:t>
            </w:r>
          </w:p>
        </w:tc>
        <w:tc>
          <w:tcPr>
            <w:tcW w:w="937" w:type="pct"/>
            <w:tcBorders>
              <w:bottom w:val="single" w:sz="4" w:space="0" w:color="auto"/>
            </w:tcBorders>
            <w:shd w:val="clear" w:color="auto" w:fill="auto"/>
            <w:vAlign w:val="center"/>
          </w:tcPr>
          <w:p w14:paraId="201E211E" w14:textId="33CBB339" w:rsidR="00DC0682" w:rsidRPr="00ED172B" w:rsidRDefault="00860830" w:rsidP="00CD79C5">
            <w:pPr>
              <w:jc w:val="center"/>
              <w:rPr>
                <w:color w:val="000000" w:themeColor="text1"/>
                <w:szCs w:val="16"/>
              </w:rPr>
            </w:pPr>
            <w:r w:rsidRPr="00ED172B">
              <w:rPr>
                <w:rFonts w:cs="Arial"/>
                <w:color w:val="000000" w:themeColor="text1"/>
                <w:szCs w:val="16"/>
              </w:rPr>
              <w:t>80.55%</w:t>
            </w:r>
          </w:p>
        </w:tc>
        <w:tc>
          <w:tcPr>
            <w:tcW w:w="937" w:type="pct"/>
            <w:tcBorders>
              <w:bottom w:val="single" w:sz="4" w:space="0" w:color="auto"/>
            </w:tcBorders>
            <w:shd w:val="clear" w:color="auto" w:fill="auto"/>
            <w:vAlign w:val="center"/>
          </w:tcPr>
          <w:p w14:paraId="3EE94A33" w14:textId="3ACCE069" w:rsidR="00DC0682" w:rsidRPr="00ED172B" w:rsidRDefault="00860830" w:rsidP="00CD79C5">
            <w:pPr>
              <w:jc w:val="center"/>
              <w:rPr>
                <w:color w:val="000000" w:themeColor="text1"/>
                <w:szCs w:val="16"/>
              </w:rPr>
            </w:pPr>
            <w:r w:rsidRPr="00ED172B">
              <w:rPr>
                <w:rFonts w:cs="Arial"/>
                <w:color w:val="000000" w:themeColor="text1"/>
                <w:szCs w:val="16"/>
              </w:rPr>
              <w:t>99.02%</w:t>
            </w:r>
          </w:p>
        </w:tc>
      </w:tr>
    </w:tbl>
    <w:p w14:paraId="2D378C60" w14:textId="77777777" w:rsidR="008A4FF2" w:rsidRPr="00ED172B" w:rsidRDefault="008A4FF2">
      <w:pPr>
        <w:rPr>
          <w:b/>
          <w:color w:val="000000" w:themeColor="text1"/>
        </w:rPr>
      </w:pPr>
    </w:p>
    <w:p w14:paraId="73617382" w14:textId="77777777" w:rsidR="008A4FF2" w:rsidRPr="00ED172B" w:rsidRDefault="008A4FF2">
      <w:pPr>
        <w:rPr>
          <w:b/>
          <w:color w:val="000000" w:themeColor="text1"/>
        </w:rPr>
      </w:pPr>
    </w:p>
    <w:p w14:paraId="51FCB41B" w14:textId="471107B5" w:rsidR="00DC0682" w:rsidRPr="00ED172B" w:rsidRDefault="00DC0682">
      <w:pPr>
        <w:rPr>
          <w:b/>
          <w:color w:val="000000" w:themeColor="text1"/>
        </w:rPr>
      </w:pPr>
      <w:r w:rsidRPr="00ED172B">
        <w:rPr>
          <w:b/>
          <w:color w:val="000000" w:themeColor="text1"/>
        </w:rPr>
        <w:t>Targets</w:t>
      </w:r>
    </w:p>
    <w:tbl>
      <w:tblPr>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BTARGETS"/>
      </w:tblPr>
      <w:tblGrid>
        <w:gridCol w:w="555"/>
        <w:gridCol w:w="1943"/>
        <w:gridCol w:w="2073"/>
        <w:gridCol w:w="2073"/>
        <w:gridCol w:w="2073"/>
        <w:gridCol w:w="2073"/>
      </w:tblGrid>
      <w:tr w:rsidR="009E2382" w:rsidRPr="00ED172B" w14:paraId="02FB5FEC" w14:textId="0147A57A" w:rsidTr="006B0ACA">
        <w:trPr>
          <w:trHeight w:val="265"/>
        </w:trPr>
        <w:tc>
          <w:tcPr>
            <w:tcW w:w="272" w:type="pct"/>
            <w:tcBorders>
              <w:bottom w:val="single" w:sz="4" w:space="0" w:color="auto"/>
            </w:tcBorders>
            <w:shd w:val="clear" w:color="auto" w:fill="auto"/>
          </w:tcPr>
          <w:p w14:paraId="66965110" w14:textId="77777777" w:rsidR="009E2382" w:rsidRPr="00ED172B" w:rsidRDefault="009E2382" w:rsidP="00A74C59">
            <w:pPr>
              <w:jc w:val="center"/>
              <w:rPr>
                <w:b/>
                <w:color w:val="000000" w:themeColor="text1"/>
                <w:szCs w:val="16"/>
              </w:rPr>
            </w:pPr>
            <w:r w:rsidRPr="00ED172B">
              <w:rPr>
                <w:b/>
                <w:color w:val="000000" w:themeColor="text1"/>
                <w:szCs w:val="16"/>
              </w:rPr>
              <w:t>FFY</w:t>
            </w:r>
          </w:p>
        </w:tc>
        <w:tc>
          <w:tcPr>
            <w:tcW w:w="899" w:type="pct"/>
            <w:shd w:val="clear" w:color="auto" w:fill="auto"/>
            <w:vAlign w:val="center"/>
          </w:tcPr>
          <w:p w14:paraId="2FB0CA2D" w14:textId="618E9216" w:rsidR="009E2382" w:rsidRPr="00ED172B" w:rsidRDefault="009E2382" w:rsidP="00A74C59">
            <w:pPr>
              <w:jc w:val="center"/>
              <w:rPr>
                <w:b/>
                <w:color w:val="000000" w:themeColor="text1"/>
                <w:szCs w:val="16"/>
              </w:rPr>
            </w:pPr>
            <w:r w:rsidRPr="00ED172B">
              <w:rPr>
                <w:rFonts w:cs="Arial"/>
                <w:b/>
                <w:color w:val="000000" w:themeColor="text1"/>
                <w:szCs w:val="16"/>
              </w:rPr>
              <w:t>2021</w:t>
            </w:r>
          </w:p>
        </w:tc>
        <w:tc>
          <w:tcPr>
            <w:tcW w:w="957" w:type="pct"/>
          </w:tcPr>
          <w:p w14:paraId="34A3F497" w14:textId="71FBA966" w:rsidR="009E2382" w:rsidRPr="00ED172B" w:rsidRDefault="009E2382" w:rsidP="00A74C59">
            <w:pPr>
              <w:jc w:val="center"/>
              <w:rPr>
                <w:rFonts w:cs="Arial"/>
                <w:b/>
                <w:color w:val="000000" w:themeColor="text1"/>
                <w:szCs w:val="16"/>
              </w:rPr>
            </w:pPr>
            <w:r>
              <w:rPr>
                <w:rFonts w:cs="Arial"/>
                <w:b/>
                <w:color w:val="000000" w:themeColor="text1"/>
                <w:szCs w:val="16"/>
              </w:rPr>
              <w:t>2022</w:t>
            </w:r>
          </w:p>
        </w:tc>
        <w:tc>
          <w:tcPr>
            <w:tcW w:w="957" w:type="pct"/>
          </w:tcPr>
          <w:p w14:paraId="10EB1256" w14:textId="5E9E9AED" w:rsidR="009E2382" w:rsidRPr="00ED172B" w:rsidRDefault="009E2382" w:rsidP="00A74C59">
            <w:pPr>
              <w:jc w:val="center"/>
              <w:rPr>
                <w:rFonts w:cs="Arial"/>
                <w:b/>
                <w:color w:val="000000" w:themeColor="text1"/>
                <w:szCs w:val="16"/>
              </w:rPr>
            </w:pPr>
            <w:r w:rsidRPr="005A1B4F">
              <w:rPr>
                <w:rFonts w:cs="Arial"/>
                <w:b/>
                <w:color w:val="000000" w:themeColor="text1"/>
                <w:szCs w:val="16"/>
              </w:rPr>
              <w:t>2023</w:t>
            </w:r>
          </w:p>
        </w:tc>
        <w:tc>
          <w:tcPr>
            <w:tcW w:w="957" w:type="pct"/>
          </w:tcPr>
          <w:p w14:paraId="252B252E" w14:textId="05AA6405" w:rsidR="009E2382" w:rsidRPr="00ED172B" w:rsidRDefault="009E2382" w:rsidP="00A74C59">
            <w:pPr>
              <w:jc w:val="center"/>
              <w:rPr>
                <w:rFonts w:cs="Arial"/>
                <w:b/>
                <w:color w:val="000000" w:themeColor="text1"/>
                <w:szCs w:val="16"/>
              </w:rPr>
            </w:pPr>
            <w:r w:rsidRPr="005A1B4F">
              <w:rPr>
                <w:rFonts w:cs="Arial"/>
                <w:b/>
                <w:color w:val="000000" w:themeColor="text1"/>
                <w:szCs w:val="16"/>
              </w:rPr>
              <w:t>2024</w:t>
            </w:r>
          </w:p>
        </w:tc>
        <w:tc>
          <w:tcPr>
            <w:tcW w:w="957" w:type="pct"/>
          </w:tcPr>
          <w:p w14:paraId="033E0CD3" w14:textId="74CBD932" w:rsidR="009E2382" w:rsidRPr="00ED172B" w:rsidRDefault="009E2382" w:rsidP="00A74C59">
            <w:pPr>
              <w:jc w:val="center"/>
              <w:rPr>
                <w:rFonts w:cs="Arial"/>
                <w:b/>
                <w:color w:val="000000" w:themeColor="text1"/>
                <w:szCs w:val="16"/>
              </w:rPr>
            </w:pPr>
            <w:r w:rsidRPr="005A1B4F">
              <w:rPr>
                <w:rFonts w:cs="Arial"/>
                <w:b/>
                <w:color w:val="000000" w:themeColor="text1"/>
                <w:szCs w:val="16"/>
              </w:rPr>
              <w:t>2025</w:t>
            </w:r>
          </w:p>
        </w:tc>
      </w:tr>
      <w:tr w:rsidR="009E2382" w:rsidRPr="00ED172B" w14:paraId="1880903D" w14:textId="5D794342" w:rsidTr="006B0ACA">
        <w:trPr>
          <w:trHeight w:val="270"/>
        </w:trPr>
        <w:tc>
          <w:tcPr>
            <w:tcW w:w="272" w:type="pct"/>
            <w:shd w:val="clear" w:color="auto" w:fill="auto"/>
          </w:tcPr>
          <w:p w14:paraId="009B82C2" w14:textId="77777777" w:rsidR="009E2382" w:rsidRPr="00ED172B" w:rsidRDefault="009E2382" w:rsidP="00A74C59">
            <w:pPr>
              <w:rPr>
                <w:color w:val="000000" w:themeColor="text1"/>
                <w:szCs w:val="16"/>
              </w:rPr>
            </w:pPr>
            <w:r w:rsidRPr="00ED172B">
              <w:rPr>
                <w:color w:val="000000" w:themeColor="text1"/>
                <w:szCs w:val="16"/>
              </w:rPr>
              <w:t>Target</w:t>
            </w:r>
          </w:p>
        </w:tc>
        <w:tc>
          <w:tcPr>
            <w:tcW w:w="899" w:type="pct"/>
            <w:shd w:val="clear" w:color="auto" w:fill="auto"/>
          </w:tcPr>
          <w:p w14:paraId="68F3EB6C" w14:textId="1DC405D3" w:rsidR="009E2382" w:rsidRPr="00ED172B" w:rsidRDefault="009E2382" w:rsidP="00A74C59">
            <w:pPr>
              <w:jc w:val="center"/>
              <w:rPr>
                <w:color w:val="000000" w:themeColor="text1"/>
                <w:szCs w:val="16"/>
              </w:rPr>
            </w:pPr>
            <w:r w:rsidRPr="00ED172B">
              <w:rPr>
                <w:color w:val="000000" w:themeColor="text1"/>
                <w:szCs w:val="16"/>
              </w:rPr>
              <w:t>100%</w:t>
            </w:r>
          </w:p>
        </w:tc>
        <w:tc>
          <w:tcPr>
            <w:tcW w:w="957" w:type="pct"/>
          </w:tcPr>
          <w:p w14:paraId="1016327E" w14:textId="3AD6E01E" w:rsidR="009E2382" w:rsidRPr="00ED172B" w:rsidRDefault="009E2382" w:rsidP="00A74C59">
            <w:pPr>
              <w:jc w:val="center"/>
              <w:rPr>
                <w:color w:val="000000" w:themeColor="text1"/>
                <w:szCs w:val="16"/>
              </w:rPr>
            </w:pPr>
            <w:r>
              <w:rPr>
                <w:rFonts w:cs="Arial"/>
                <w:color w:val="000000" w:themeColor="text1"/>
                <w:szCs w:val="16"/>
              </w:rPr>
              <w:t>100%</w:t>
            </w:r>
          </w:p>
        </w:tc>
        <w:tc>
          <w:tcPr>
            <w:tcW w:w="957" w:type="pct"/>
          </w:tcPr>
          <w:p w14:paraId="3E9BB463" w14:textId="1F36391F" w:rsidR="009E2382" w:rsidRPr="00ED172B" w:rsidRDefault="009E2382" w:rsidP="00A74C59">
            <w:pPr>
              <w:jc w:val="center"/>
              <w:rPr>
                <w:color w:val="000000" w:themeColor="text1"/>
                <w:szCs w:val="16"/>
              </w:rPr>
            </w:pPr>
            <w:r w:rsidRPr="005F5F3C">
              <w:rPr>
                <w:rFonts w:cs="Arial"/>
                <w:color w:val="000000" w:themeColor="text1"/>
                <w:szCs w:val="16"/>
              </w:rPr>
              <w:t>100%</w:t>
            </w:r>
          </w:p>
        </w:tc>
        <w:tc>
          <w:tcPr>
            <w:tcW w:w="957" w:type="pct"/>
          </w:tcPr>
          <w:p w14:paraId="7663FEAC" w14:textId="42E191F9" w:rsidR="009E2382" w:rsidRPr="00ED172B" w:rsidRDefault="009E2382" w:rsidP="00A74C59">
            <w:pPr>
              <w:jc w:val="center"/>
              <w:rPr>
                <w:color w:val="000000" w:themeColor="text1"/>
                <w:szCs w:val="16"/>
              </w:rPr>
            </w:pPr>
            <w:r w:rsidRPr="005F5F3C">
              <w:rPr>
                <w:rFonts w:cs="Arial"/>
                <w:color w:val="000000" w:themeColor="text1"/>
                <w:szCs w:val="16"/>
              </w:rPr>
              <w:t>100%</w:t>
            </w:r>
          </w:p>
        </w:tc>
        <w:tc>
          <w:tcPr>
            <w:tcW w:w="957" w:type="pct"/>
          </w:tcPr>
          <w:p w14:paraId="752DFBFA" w14:textId="6C7E6AA4" w:rsidR="009E2382" w:rsidRPr="00ED172B" w:rsidRDefault="009E2382" w:rsidP="00A74C59">
            <w:pPr>
              <w:jc w:val="center"/>
              <w:rPr>
                <w:color w:val="000000" w:themeColor="text1"/>
                <w:szCs w:val="16"/>
              </w:rPr>
            </w:pPr>
            <w:r w:rsidRPr="005F5F3C">
              <w:rPr>
                <w:rFonts w:cs="Arial"/>
                <w:color w:val="000000" w:themeColor="text1"/>
                <w:szCs w:val="16"/>
              </w:rPr>
              <w:t>100%</w:t>
            </w:r>
          </w:p>
        </w:tc>
      </w:tr>
    </w:tbl>
    <w:p w14:paraId="621A396D" w14:textId="0D4B1FD4" w:rsidR="008E7B96" w:rsidRPr="00ED172B" w:rsidRDefault="00F22D09">
      <w:pPr>
        <w:rPr>
          <w:b/>
          <w:color w:val="000000" w:themeColor="text1"/>
        </w:rPr>
      </w:pPr>
      <w:r>
        <w:rPr>
          <w:b/>
          <w:color w:val="000000" w:themeColor="text1"/>
        </w:rPr>
        <w:t>FFY 2021 SPP/APR Data</w:t>
      </w:r>
    </w:p>
    <w:p w14:paraId="58E9458B" w14:textId="42AC40CB" w:rsidR="000A170A" w:rsidRPr="00ED172B" w:rsidRDefault="00B84C5D" w:rsidP="00F939F8">
      <w:pPr>
        <w:rPr>
          <w:b/>
          <w:color w:val="000000" w:themeColor="text1"/>
          <w:szCs w:val="16"/>
        </w:rPr>
      </w:pPr>
      <w:r w:rsidRPr="00ED172B">
        <w:rPr>
          <w:rFonts w:eastAsia="Times New Roman"/>
          <w:b/>
          <w:color w:val="000000" w:themeColor="text1"/>
        </w:rPr>
        <w:t>Data include notification to both the SEA and LEA</w:t>
      </w:r>
    </w:p>
    <w:p w14:paraId="72B496FC" w14:textId="65013E4A" w:rsidR="000A170A" w:rsidRDefault="000A170A" w:rsidP="00F939F8">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BFFYAPRDATA"/>
      </w:tblPr>
      <w:tblGrid>
        <w:gridCol w:w="2971"/>
        <w:gridCol w:w="1619"/>
        <w:gridCol w:w="1351"/>
        <w:gridCol w:w="1349"/>
        <w:gridCol w:w="1170"/>
        <w:gridCol w:w="1170"/>
        <w:gridCol w:w="1164"/>
      </w:tblGrid>
      <w:tr w:rsidR="00ED172B" w:rsidRPr="00ED172B" w14:paraId="0DF9E103" w14:textId="77777777" w:rsidTr="00986B99">
        <w:trPr>
          <w:tblHeader/>
        </w:trPr>
        <w:tc>
          <w:tcPr>
            <w:tcW w:w="1376" w:type="pct"/>
            <w:shd w:val="clear" w:color="auto" w:fill="auto"/>
            <w:vAlign w:val="bottom"/>
          </w:tcPr>
          <w:p w14:paraId="626A819F" w14:textId="4E4B92FB"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where notification to the SEA and LEA occurred at least 90 days prior to their third birthday for toddlers potentially eligible for Part B preschool services</w:t>
            </w:r>
          </w:p>
        </w:tc>
        <w:tc>
          <w:tcPr>
            <w:tcW w:w="750" w:type="pct"/>
            <w:shd w:val="clear" w:color="auto" w:fill="auto"/>
            <w:vAlign w:val="bottom"/>
          </w:tcPr>
          <w:p w14:paraId="2AFBA1AE" w14:textId="2BF03792" w:rsidR="00F939F8" w:rsidRPr="00ED172B" w:rsidRDefault="00F939F8" w:rsidP="00F939F8">
            <w:pPr>
              <w:jc w:val="center"/>
              <w:rPr>
                <w:b/>
                <w:color w:val="000000" w:themeColor="text1"/>
                <w:szCs w:val="16"/>
              </w:rPr>
            </w:pPr>
            <w:r w:rsidRPr="00ED172B">
              <w:rPr>
                <w:rFonts w:cs="Arial"/>
                <w:b/>
                <w:bCs/>
                <w:color w:val="000000" w:themeColor="text1"/>
                <w:szCs w:val="16"/>
              </w:rPr>
              <w:t>Number of toddlers with disabilities exiting Part C who were potentially eligible for Part B</w:t>
            </w:r>
          </w:p>
        </w:tc>
        <w:tc>
          <w:tcPr>
            <w:tcW w:w="626" w:type="pct"/>
            <w:shd w:val="clear" w:color="auto" w:fill="auto"/>
            <w:vAlign w:val="bottom"/>
          </w:tcPr>
          <w:p w14:paraId="12765FCA" w14:textId="1610C815" w:rsidR="00F939F8" w:rsidRPr="00ED172B" w:rsidRDefault="00CD74B5" w:rsidP="00F939F8">
            <w:pPr>
              <w:jc w:val="center"/>
              <w:rPr>
                <w:b/>
                <w:color w:val="000000" w:themeColor="text1"/>
                <w:szCs w:val="16"/>
              </w:rPr>
            </w:pPr>
            <w:r>
              <w:rPr>
                <w:rFonts w:cs="Arial"/>
                <w:b/>
                <w:color w:val="000000" w:themeColor="text1"/>
                <w:szCs w:val="16"/>
              </w:rPr>
              <w:t>FFY 2020 Data</w:t>
            </w:r>
          </w:p>
        </w:tc>
        <w:tc>
          <w:tcPr>
            <w:tcW w:w="625" w:type="pct"/>
            <w:shd w:val="clear" w:color="auto" w:fill="auto"/>
            <w:vAlign w:val="bottom"/>
          </w:tcPr>
          <w:p w14:paraId="6245781C" w14:textId="1CD88CB9" w:rsidR="00F939F8" w:rsidRPr="00ED172B" w:rsidRDefault="00F22D09" w:rsidP="00F939F8">
            <w:pPr>
              <w:jc w:val="center"/>
              <w:rPr>
                <w:b/>
                <w:color w:val="000000" w:themeColor="text1"/>
                <w:szCs w:val="16"/>
              </w:rPr>
            </w:pPr>
            <w:r>
              <w:rPr>
                <w:rFonts w:cs="Arial"/>
                <w:b/>
                <w:color w:val="000000" w:themeColor="text1"/>
                <w:szCs w:val="16"/>
              </w:rPr>
              <w:t>FFY 2021 Target</w:t>
            </w:r>
          </w:p>
        </w:tc>
        <w:tc>
          <w:tcPr>
            <w:tcW w:w="542" w:type="pct"/>
            <w:shd w:val="clear" w:color="auto" w:fill="auto"/>
            <w:vAlign w:val="bottom"/>
          </w:tcPr>
          <w:p w14:paraId="1E1DBF10" w14:textId="3A9B4670" w:rsidR="00F939F8" w:rsidRPr="00ED172B" w:rsidRDefault="00F22D09" w:rsidP="00F939F8">
            <w:pPr>
              <w:jc w:val="center"/>
              <w:rPr>
                <w:b/>
                <w:color w:val="000000" w:themeColor="text1"/>
                <w:szCs w:val="16"/>
              </w:rPr>
            </w:pPr>
            <w:r>
              <w:rPr>
                <w:rFonts w:cs="Arial"/>
                <w:b/>
                <w:color w:val="000000" w:themeColor="text1"/>
                <w:szCs w:val="16"/>
              </w:rPr>
              <w:t>FFY 2021 Data</w:t>
            </w:r>
          </w:p>
        </w:tc>
        <w:tc>
          <w:tcPr>
            <w:tcW w:w="542" w:type="pct"/>
            <w:shd w:val="clear" w:color="auto" w:fill="auto"/>
            <w:vAlign w:val="bottom"/>
          </w:tcPr>
          <w:p w14:paraId="76378A12" w14:textId="6432F921" w:rsidR="00F939F8" w:rsidRPr="00ED172B" w:rsidRDefault="00F939F8" w:rsidP="00F939F8">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4BB8DCC2" w14:textId="2B1865BF" w:rsidR="00F939F8" w:rsidRPr="00ED172B" w:rsidRDefault="00F939F8" w:rsidP="00F939F8">
            <w:pPr>
              <w:jc w:val="center"/>
              <w:rPr>
                <w:b/>
                <w:color w:val="000000" w:themeColor="text1"/>
                <w:szCs w:val="16"/>
              </w:rPr>
            </w:pPr>
            <w:r w:rsidRPr="00ED172B">
              <w:rPr>
                <w:b/>
                <w:color w:val="000000" w:themeColor="text1"/>
                <w:szCs w:val="16"/>
              </w:rPr>
              <w:t>Slippage</w:t>
            </w:r>
          </w:p>
        </w:tc>
      </w:tr>
      <w:tr w:rsidR="00ED172B" w:rsidRPr="00ED172B" w14:paraId="13F147EB" w14:textId="77777777" w:rsidTr="00986B99">
        <w:tc>
          <w:tcPr>
            <w:tcW w:w="1376" w:type="pct"/>
            <w:shd w:val="clear" w:color="auto" w:fill="auto"/>
            <w:vAlign w:val="center"/>
          </w:tcPr>
          <w:p w14:paraId="4639DE19" w14:textId="76CCEDED" w:rsidR="00F939F8" w:rsidRPr="00ED172B" w:rsidRDefault="00860830" w:rsidP="00F939F8">
            <w:pPr>
              <w:jc w:val="center"/>
              <w:rPr>
                <w:color w:val="000000" w:themeColor="text1"/>
                <w:szCs w:val="16"/>
              </w:rPr>
            </w:pPr>
            <w:r w:rsidRPr="00ED172B">
              <w:rPr>
                <w:color w:val="000000" w:themeColor="text1"/>
                <w:szCs w:val="16"/>
              </w:rPr>
              <w:t>6,687</w:t>
            </w:r>
          </w:p>
        </w:tc>
        <w:tc>
          <w:tcPr>
            <w:tcW w:w="750" w:type="pct"/>
            <w:shd w:val="clear" w:color="auto" w:fill="auto"/>
            <w:vAlign w:val="center"/>
          </w:tcPr>
          <w:p w14:paraId="350A2CCA" w14:textId="6EBFFA0A" w:rsidR="00F939F8" w:rsidRPr="00ED172B" w:rsidRDefault="00860830" w:rsidP="00F939F8">
            <w:pPr>
              <w:jc w:val="center"/>
              <w:rPr>
                <w:color w:val="000000" w:themeColor="text1"/>
                <w:szCs w:val="16"/>
              </w:rPr>
            </w:pPr>
            <w:r w:rsidRPr="00ED172B">
              <w:rPr>
                <w:color w:val="000000" w:themeColor="text1"/>
                <w:szCs w:val="16"/>
              </w:rPr>
              <w:t>9,039</w:t>
            </w:r>
          </w:p>
        </w:tc>
        <w:tc>
          <w:tcPr>
            <w:tcW w:w="626" w:type="pct"/>
            <w:shd w:val="clear" w:color="auto" w:fill="auto"/>
          </w:tcPr>
          <w:p w14:paraId="626514B4" w14:textId="6A77EE05" w:rsidR="00F939F8" w:rsidRPr="00ED172B" w:rsidRDefault="00860830" w:rsidP="00F939F8">
            <w:pPr>
              <w:jc w:val="center"/>
              <w:rPr>
                <w:color w:val="000000" w:themeColor="text1"/>
                <w:szCs w:val="16"/>
              </w:rPr>
            </w:pPr>
            <w:r w:rsidRPr="00ED172B">
              <w:rPr>
                <w:rFonts w:cs="Arial"/>
                <w:color w:val="000000" w:themeColor="text1"/>
                <w:szCs w:val="16"/>
              </w:rPr>
              <w:t>99.02%</w:t>
            </w:r>
          </w:p>
        </w:tc>
        <w:tc>
          <w:tcPr>
            <w:tcW w:w="625" w:type="pct"/>
            <w:shd w:val="clear" w:color="auto" w:fill="auto"/>
          </w:tcPr>
          <w:p w14:paraId="5AD816A1" w14:textId="0C7CDE4B" w:rsidR="00F939F8" w:rsidRPr="00ED172B" w:rsidRDefault="00D66260" w:rsidP="00F939F8">
            <w:pPr>
              <w:jc w:val="center"/>
              <w:rPr>
                <w:color w:val="000000" w:themeColor="text1"/>
                <w:szCs w:val="16"/>
              </w:rPr>
            </w:pPr>
            <w:r w:rsidRPr="00ED172B">
              <w:rPr>
                <w:color w:val="000000" w:themeColor="text1"/>
                <w:szCs w:val="16"/>
              </w:rPr>
              <w:t>100%</w:t>
            </w:r>
          </w:p>
        </w:tc>
        <w:tc>
          <w:tcPr>
            <w:tcW w:w="542" w:type="pct"/>
            <w:shd w:val="clear" w:color="auto" w:fill="auto"/>
          </w:tcPr>
          <w:p w14:paraId="2EE90524" w14:textId="49C17682" w:rsidR="00F939F8" w:rsidRPr="00ED172B" w:rsidRDefault="00860830" w:rsidP="00F939F8">
            <w:pPr>
              <w:jc w:val="center"/>
              <w:rPr>
                <w:color w:val="000000" w:themeColor="text1"/>
                <w:szCs w:val="16"/>
              </w:rPr>
            </w:pPr>
            <w:r w:rsidRPr="00ED172B">
              <w:rPr>
                <w:rFonts w:cs="Arial"/>
                <w:color w:val="000000" w:themeColor="text1"/>
                <w:szCs w:val="16"/>
              </w:rPr>
              <w:t>78.24%</w:t>
            </w:r>
          </w:p>
        </w:tc>
        <w:tc>
          <w:tcPr>
            <w:tcW w:w="542" w:type="pct"/>
            <w:shd w:val="clear" w:color="auto" w:fill="auto"/>
          </w:tcPr>
          <w:p w14:paraId="3C770A13" w14:textId="0F1127A3" w:rsidR="00F939F8" w:rsidRPr="00ED172B" w:rsidRDefault="00320806" w:rsidP="00320806">
            <w:pPr>
              <w:jc w:val="center"/>
              <w:rPr>
                <w:color w:val="000000" w:themeColor="text1"/>
              </w:rPr>
            </w:pPr>
            <w:r w:rsidRPr="00ED172B">
              <w:rPr>
                <w:color w:val="000000" w:themeColor="text1"/>
              </w:rPr>
              <w:t>Did not meet target</w:t>
            </w:r>
          </w:p>
        </w:tc>
        <w:tc>
          <w:tcPr>
            <w:tcW w:w="539" w:type="pct"/>
            <w:shd w:val="clear" w:color="auto" w:fill="auto"/>
          </w:tcPr>
          <w:p w14:paraId="3DCA4621" w14:textId="6D456C28" w:rsidR="00F939F8" w:rsidRPr="00ED172B" w:rsidRDefault="00320806" w:rsidP="00320806">
            <w:pPr>
              <w:jc w:val="center"/>
              <w:rPr>
                <w:color w:val="000000" w:themeColor="text1"/>
              </w:rPr>
            </w:pPr>
            <w:r w:rsidRPr="00ED172B">
              <w:rPr>
                <w:color w:val="000000" w:themeColor="text1"/>
              </w:rPr>
              <w:t>Slippage</w:t>
            </w:r>
          </w:p>
        </w:tc>
      </w:tr>
    </w:tbl>
    <w:p w14:paraId="5FD0EB9E" w14:textId="62D63321" w:rsidR="005A1CA1" w:rsidRPr="00ED172B" w:rsidRDefault="00F77D8B" w:rsidP="005A1CA1">
      <w:pPr>
        <w:rPr>
          <w:rFonts w:cs="Arial"/>
          <w:b/>
          <w:i/>
          <w:color w:val="000000" w:themeColor="text1"/>
          <w:szCs w:val="16"/>
        </w:rPr>
      </w:pPr>
      <w:r w:rsidRPr="00ED172B">
        <w:rPr>
          <w:rFonts w:cs="Arial"/>
          <w:b/>
          <w:color w:val="000000" w:themeColor="text1"/>
          <w:szCs w:val="16"/>
        </w:rPr>
        <w:t xml:space="preserve">Provide reasons for slippage, if applicable </w:t>
      </w:r>
    </w:p>
    <w:p w14:paraId="6CEBE423" w14:textId="35F35AAD" w:rsidR="005A1CA1" w:rsidRDefault="00320806" w:rsidP="00320806">
      <w:pPr>
        <w:rPr>
          <w:color w:val="000000" w:themeColor="text1"/>
        </w:rPr>
      </w:pPr>
      <w:r w:rsidRPr="00ED172B">
        <w:rPr>
          <w:color w:val="000000" w:themeColor="text1"/>
        </w:rPr>
        <w:t>The Lead Agency (MA-C) is responsible for sending notifications to the SEA for toddlers potentially eligible for Part B preschool services; EIS programs are responsible for sending LEA notification. MA-C's procedures to send SEA notification are reliant on its state database (Early Intervention Client System; EICS) to identify potentially eligible children and generate lists of potentially eligible toddlers of whom the SEA should be notified. During the COVID-19 pandemic, a number of previously unknown errors in the process came to light that adversely impacted the state's performance on indicator 8B as reported in FFY21. First, EICS is designed to generate a notification to the SEA when a local program marks the child's record as "potentially eligible." More than a third of MA-C's 59 EIS programs rely on third-party electronic health records to upload data into EICS, often resulting in delays between when a local program determines a child is potentially eligible and when such data is entered into EICS. A second contributing factor is the notification process is a manual one. That is, EICS generates a file to be downloaded and transmitted to the SEA daily; if the file is not downloaded and transmitted to the SEA on holidays and weekends, the notification may be late. Third, MA-C's longtime Data Manager retired suddenly in December 2021, leaving incomplete and inaccurate documentation for how SEA notifications are obtained and transmitted. As a new Data Manager was not hired until January 2022, there were several weeks of delayed SEA notifications due to reliance on this incomplete and inaccurate documentation. Finally, the COVID-19 pandemic and its resulting workforce shortages continued to impact EIS programs' ability to enter data into EICS in a timely manner throughout FFY21, creating further delays between LEAs being notified and data on such notification being entered into EICS.</w:t>
      </w:r>
    </w:p>
    <w:p w14:paraId="2C38A193" w14:textId="77777777" w:rsidR="00C1714A" w:rsidRPr="00ED172B" w:rsidRDefault="00C1714A" w:rsidP="00C1714A">
      <w:pPr>
        <w:rPr>
          <w:b/>
          <w:color w:val="000000" w:themeColor="text1"/>
          <w:szCs w:val="16"/>
        </w:rPr>
      </w:pPr>
      <w:r w:rsidRPr="00ED172B">
        <w:rPr>
          <w:b/>
          <w:color w:val="000000" w:themeColor="text1"/>
          <w:szCs w:val="16"/>
        </w:rPr>
        <w:t>Number of parents who opted out</w:t>
      </w:r>
    </w:p>
    <w:p w14:paraId="7E5C0BAB" w14:textId="0BB7B3D9" w:rsidR="00C1714A" w:rsidRPr="00ED172B" w:rsidRDefault="00C1714A" w:rsidP="00C1714A">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217B3AE4" w14:textId="6775764A" w:rsidR="00C1714A" w:rsidRDefault="00C1714A" w:rsidP="00C1714A">
      <w:pPr>
        <w:rPr>
          <w:color w:val="000000" w:themeColor="text1"/>
          <w:szCs w:val="16"/>
        </w:rPr>
      </w:pPr>
      <w:r w:rsidRPr="00ED172B">
        <w:rPr>
          <w:color w:val="000000" w:themeColor="text1"/>
          <w:szCs w:val="16"/>
        </w:rPr>
        <w:t>492</w:t>
      </w:r>
    </w:p>
    <w:p w14:paraId="0352EFE6" w14:textId="77777777" w:rsidR="001F3FD2" w:rsidRDefault="001F3FD2" w:rsidP="001F3FD2">
      <w:pPr>
        <w:rPr>
          <w:rFonts w:cs="Arial"/>
          <w:b/>
          <w:color w:val="000000" w:themeColor="text1"/>
          <w:szCs w:val="16"/>
        </w:rPr>
      </w:pPr>
      <w:r w:rsidRPr="003739C5">
        <w:rPr>
          <w:rFonts w:cs="Arial"/>
          <w:b/>
          <w:color w:val="000000" w:themeColor="text1"/>
          <w:szCs w:val="16"/>
        </w:rPr>
        <w:t>Provide reasons for delay, if applicable.</w:t>
      </w:r>
    </w:p>
    <w:p w14:paraId="1FCA06B9" w14:textId="79637C57" w:rsidR="001F3FD2" w:rsidRPr="00ED172B" w:rsidRDefault="001F3FD2" w:rsidP="001F3FD2">
      <w:pPr>
        <w:rPr>
          <w:rFonts w:cs="Arial"/>
          <w:color w:val="000000" w:themeColor="text1"/>
          <w:szCs w:val="16"/>
        </w:rPr>
      </w:pPr>
      <w:r w:rsidRPr="00ED172B">
        <w:rPr>
          <w:color w:val="000000" w:themeColor="text1"/>
          <w:szCs w:val="16"/>
        </w:rPr>
        <w:t xml:space="preserve">The Lead Agency's (MA-C) state database (Early Intervention Client System; EICS) captures the reasons for delay. MA-C reviewed all the delay reasons for the children where notification to the LEA/SEA was delayed. </w:t>
        <w:br/>
        <w:t/>
        <w:br/>
        <w:t>Delays attributable to exceptional family circumstances include a family problem scheduling appointment, the family missing or cancelling an appointment, weather or other emergency declared, and COVID-19 if the child or family were unavailable for the appointment. As advised by OSEP, delays in service provision caused by the public health response to the COVID-19 pandemic can meet the definition of exceptional family circumstances, as defined under 34 C.F.R. § 303.310(b), when the child and family are effectively unavailable.</w:t>
        <w:br/>
        <w:t/>
        <w:br/>
        <w:t xml:space="preserve">LEA/SEA notification was delayed for 31 children for reasons not attributable to exceptional family circumstances, including EIS program error or staffing issue at the EIS program or LEA. </w:t>
      </w:r>
    </w:p>
    <w:p w14:paraId="2047F371" w14:textId="77777777" w:rsidR="001F3FD2" w:rsidRPr="00ED172B" w:rsidRDefault="001F3FD2" w:rsidP="00C1714A">
      <w:pPr>
        <w:rPr>
          <w:rFonts w:cs="Arial"/>
          <w:color w:val="000000" w:themeColor="text1"/>
          <w:szCs w:val="16"/>
        </w:rPr>
      </w:pPr>
    </w:p>
    <w:p w14:paraId="5CC6B66B" w14:textId="51C85E21" w:rsidR="003C1AB9" w:rsidRPr="00ED172B" w:rsidRDefault="003C1AB9" w:rsidP="003C1AB9">
      <w:pPr>
        <w:rPr>
          <w:rFonts w:cs="Arial"/>
          <w:b/>
          <w:color w:val="000000" w:themeColor="text1"/>
          <w:szCs w:val="16"/>
        </w:rPr>
      </w:pPr>
      <w:r w:rsidRPr="00ED172B">
        <w:rPr>
          <w:rFonts w:cs="Arial"/>
          <w:b/>
          <w:color w:val="000000" w:themeColor="text1"/>
          <w:szCs w:val="16"/>
        </w:rPr>
        <w:t>Describe the method used to collect these data.</w:t>
      </w:r>
    </w:p>
    <w:p w14:paraId="03D3A642" w14:textId="27845084" w:rsidR="003C1AB9" w:rsidRPr="00ED172B" w:rsidRDefault="00860830" w:rsidP="003C1AB9">
      <w:pPr>
        <w:rPr>
          <w:color w:val="000000" w:themeColor="text1"/>
          <w:szCs w:val="16"/>
        </w:rPr>
      </w:pPr>
      <w:r w:rsidRPr="00ED172B">
        <w:rPr>
          <w:color w:val="000000" w:themeColor="text1"/>
          <w:szCs w:val="16"/>
        </w:rPr>
        <w:t xml:space="preserve">These data are collected from MA-C's state database, the Early Intervention Client System (EICS). Local programs are responsible for the LEA notification and MA-C is responsible for SEA notification; after an LEA notification is made, the EIS program updates the child's record in EICS to document the date on which the LEA notification was sent. EICS then generates a list of toddlers who are potentially eligible for Part B preschool services for whom MA-C should send SEA notification. The Data Manager downloads the file and transmits it via a secure file transfer protocol to MA-B daily. In cases where data are missing (e.g., undocumented reason for delayed notification to the LEA), MA-C provides the EIS program a data report for exiting children to verify the data as accurate or make necessary corrections or additions. </w:t>
      </w:r>
    </w:p>
    <w:p w14:paraId="1A1195D9" w14:textId="5A774785" w:rsidR="00C476A6" w:rsidRPr="00ED172B" w:rsidRDefault="00C476A6" w:rsidP="003C1AB9">
      <w:pPr>
        <w:rPr>
          <w:b/>
          <w:color w:val="000000" w:themeColor="text1"/>
          <w:szCs w:val="16"/>
        </w:rPr>
      </w:pPr>
      <w:r w:rsidRPr="00ED172B">
        <w:rPr>
          <w:b/>
          <w:color w:val="000000" w:themeColor="text1"/>
          <w:szCs w:val="16"/>
        </w:rPr>
        <w:t>Do you have a written opt-out policy? (yes/no)</w:t>
      </w:r>
    </w:p>
    <w:p w14:paraId="2CFFAAE9" w14:textId="721085BB" w:rsidR="00C476A6" w:rsidRDefault="00C476A6" w:rsidP="003C1AB9">
      <w:pPr>
        <w:rPr>
          <w:color w:val="000000" w:themeColor="text1"/>
          <w:szCs w:val="16"/>
        </w:rPr>
      </w:pPr>
      <w:r w:rsidRPr="00ED172B">
        <w:rPr>
          <w:color w:val="000000" w:themeColor="text1"/>
          <w:szCs w:val="16"/>
        </w:rPr>
        <w:t>YES</w:t>
      </w:r>
    </w:p>
    <w:p w14:paraId="5B060883" w14:textId="1855C3FD" w:rsidR="00C476A6" w:rsidRPr="00ED172B" w:rsidRDefault="00C476A6" w:rsidP="003C1AB9">
      <w:pPr>
        <w:rPr>
          <w:b/>
          <w:color w:val="000000" w:themeColor="text1"/>
          <w:szCs w:val="16"/>
        </w:rPr>
      </w:pPr>
      <w:r w:rsidRPr="00ED172B">
        <w:rPr>
          <w:b/>
          <w:color w:val="000000" w:themeColor="text1"/>
          <w:szCs w:val="16"/>
        </w:rPr>
        <w:t>If yes, is the policy on file with the Department? (yes/no)</w:t>
      </w:r>
    </w:p>
    <w:p w14:paraId="2D4C7284" w14:textId="05A1EF1F" w:rsidR="00C476A6" w:rsidRDefault="00C476A6" w:rsidP="003C1AB9">
      <w:pPr>
        <w:rPr>
          <w:color w:val="000000" w:themeColor="text1"/>
          <w:szCs w:val="16"/>
        </w:rPr>
      </w:pPr>
      <w:r w:rsidRPr="00ED172B">
        <w:rPr>
          <w:color w:val="000000" w:themeColor="text1"/>
          <w:szCs w:val="16"/>
        </w:rPr>
        <w:t>YES</w:t>
      </w:r>
    </w:p>
    <w:p w14:paraId="4631D06C" w14:textId="77777777" w:rsidR="005740D8" w:rsidRPr="00ED172B" w:rsidRDefault="000709B9" w:rsidP="00B83404">
      <w:pPr>
        <w:rPr>
          <w:b/>
          <w:color w:val="000000" w:themeColor="text1"/>
        </w:rPr>
      </w:pPr>
      <w:r w:rsidRPr="00ED172B">
        <w:rPr>
          <w:b/>
          <w:color w:val="000000" w:themeColor="text1"/>
        </w:rPr>
        <w:t xml:space="preserve">What is the source of the data provided for this indicator? </w:t>
      </w:r>
    </w:p>
    <w:p w14:paraId="78FA67A8" w14:textId="43588CA2" w:rsidR="000709B9" w:rsidRDefault="00860830" w:rsidP="00B83404">
      <w:pPr>
        <w:rPr>
          <w:color w:val="000000" w:themeColor="text1"/>
        </w:rPr>
      </w:pPr>
      <w:r w:rsidRPr="00ED172B">
        <w:rPr>
          <w:color w:val="000000" w:themeColor="text1"/>
        </w:rPr>
        <w:t>State database</w:t>
      </w:r>
    </w:p>
    <w:p w14:paraId="107C7D72" w14:textId="2784E578" w:rsidR="000709B9" w:rsidRPr="00ED172B" w:rsidRDefault="000709B9">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12E53171" w14:textId="271EAFE5" w:rsidR="000709B9" w:rsidRPr="00ED172B" w:rsidRDefault="00860830" w:rsidP="000709B9">
      <w:pPr>
        <w:rPr>
          <w:color w:val="000000" w:themeColor="text1"/>
        </w:rPr>
      </w:pPr>
      <w:r w:rsidRPr="00ED172B">
        <w:rPr>
          <w:color w:val="000000" w:themeColor="text1"/>
        </w:rPr>
        <w:t>Full Reporting Period (July 1, 2021-June 30, 2022)</w:t>
      </w:r>
    </w:p>
    <w:p w14:paraId="7DA68A46" w14:textId="0572035E" w:rsidR="000709B9" w:rsidRPr="00ED172B" w:rsidRDefault="000709B9">
      <w:pPr>
        <w:rPr>
          <w:b/>
          <w:color w:val="000000" w:themeColor="text1"/>
        </w:rPr>
      </w:pPr>
      <w:r w:rsidRPr="00ED172B">
        <w:rPr>
          <w:b/>
          <w:color w:val="000000" w:themeColor="text1"/>
        </w:rPr>
        <w:t xml:space="preserve">Describe how the data accurately reflect data for infants and toddlers with IFSPs for the full reporting period. </w:t>
      </w:r>
    </w:p>
    <w:p w14:paraId="7913918B" w14:textId="1A88B429" w:rsidR="000709B9" w:rsidRDefault="00860830" w:rsidP="000709B9">
      <w:pPr>
        <w:rPr>
          <w:rFonts w:cs="Arial"/>
          <w:color w:val="000000" w:themeColor="text1"/>
          <w:szCs w:val="16"/>
        </w:rPr>
      </w:pPr>
      <w:r w:rsidRPr="00ED172B">
        <w:rPr>
          <w:rFonts w:cs="Arial"/>
          <w:color w:val="000000" w:themeColor="text1"/>
          <w:szCs w:val="16"/>
        </w:rPr>
        <w:t xml:space="preserve">These data accurately reflect data for infants and toddlers with IFSPs for the full reporting period because the include all toddlers with disabilities exiting Part C who were potentially eligible for Part B whose families did not opt-out of such notification. </w:t>
      </w:r>
    </w:p>
    <w:p w14:paraId="608340F2" w14:textId="0ECFEC23" w:rsidR="003A3693" w:rsidRPr="00ED172B" w:rsidRDefault="003A3693" w:rsidP="00950382">
      <w:pPr>
        <w:rPr>
          <w:b/>
          <w:color w:val="000000" w:themeColor="text1"/>
        </w:rPr>
      </w:pPr>
      <w:r w:rsidRPr="00ED172B">
        <w:rPr>
          <w:b/>
          <w:color w:val="000000" w:themeColor="text1"/>
        </w:rPr>
        <w:t>Provide additional information about this indicator (optional).</w:t>
      </w:r>
    </w:p>
    <w:p w14:paraId="265F7C53" w14:textId="7585271E" w:rsidR="003A3693" w:rsidRPr="00ED172B" w:rsidRDefault="00860830" w:rsidP="003A3693">
      <w:pPr>
        <w:rPr>
          <w:rFonts w:cs="Arial"/>
          <w:color w:val="000000" w:themeColor="text1"/>
          <w:szCs w:val="16"/>
        </w:rPr>
      </w:pPr>
      <w:r w:rsidRPr="00ED172B">
        <w:rPr>
          <w:rFonts w:cs="Arial"/>
          <w:color w:val="000000" w:themeColor="text1"/>
          <w:szCs w:val="16"/>
        </w:rPr>
        <w:t xml:space="preserve">MA-C's performance with respect to indicators 8A, 8B, and 8C has been below the required 100% for several years. In direct response, MA-C has partnered with MA-B to provide general and targeted technical assistance and training to contracted providers with compliance rates less than 100%. The contracted vendor's work began in FFY22. </w:t>
      </w:r>
    </w:p>
    <w:p w14:paraId="6D5F3961" w14:textId="71E9F720" w:rsidR="008203B4" w:rsidRPr="00ED172B" w:rsidRDefault="008203B4" w:rsidP="00B83404">
      <w:pPr>
        <w:rPr>
          <w:color w:val="000000" w:themeColor="text1"/>
        </w:rPr>
      </w:pPr>
      <w:r w:rsidRPr="00ED172B">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C08BPFFYNCFINDINGS"/>
      </w:tblPr>
      <w:tblGrid>
        <w:gridCol w:w="2610"/>
        <w:gridCol w:w="2740"/>
        <w:gridCol w:w="2618"/>
        <w:gridCol w:w="2822"/>
      </w:tblGrid>
      <w:tr w:rsidR="00ED172B" w:rsidRPr="00ED172B" w14:paraId="53712311" w14:textId="77777777" w:rsidTr="00986B99">
        <w:trPr>
          <w:tblHeader/>
        </w:trPr>
        <w:tc>
          <w:tcPr>
            <w:tcW w:w="1210" w:type="pct"/>
            <w:shd w:val="clear" w:color="auto" w:fill="auto"/>
            <w:vAlign w:val="bottom"/>
          </w:tcPr>
          <w:p w14:paraId="79291EF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lastRenderedPageBreak/>
              <w:t>Findings of Noncompliance Identified</w:t>
            </w:r>
          </w:p>
        </w:tc>
        <w:tc>
          <w:tcPr>
            <w:tcW w:w="1270" w:type="pct"/>
            <w:shd w:val="clear" w:color="auto" w:fill="auto"/>
            <w:vAlign w:val="bottom"/>
          </w:tcPr>
          <w:p w14:paraId="3995FD1D"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3" w:type="pct"/>
            <w:shd w:val="clear" w:color="auto" w:fill="auto"/>
            <w:vAlign w:val="bottom"/>
          </w:tcPr>
          <w:p w14:paraId="4A1C2677"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08" w:type="pct"/>
            <w:shd w:val="clear" w:color="auto" w:fill="auto"/>
            <w:vAlign w:val="bottom"/>
          </w:tcPr>
          <w:p w14:paraId="34FC7068"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0FC104FA" w14:textId="77777777" w:rsidTr="00986B99">
        <w:tc>
          <w:tcPr>
            <w:tcW w:w="1210" w:type="pct"/>
            <w:shd w:val="clear" w:color="auto" w:fill="auto"/>
          </w:tcPr>
          <w:p w14:paraId="365B227C" w14:textId="33AB4B70" w:rsidR="008203B4" w:rsidRPr="00ED172B" w:rsidRDefault="00860830" w:rsidP="00ED172B">
            <w:pPr>
              <w:jc w:val="center"/>
              <w:rPr>
                <w:rFonts w:cs="Arial"/>
                <w:color w:val="000000" w:themeColor="text1"/>
                <w:szCs w:val="16"/>
              </w:rPr>
            </w:pPr>
            <w:r w:rsidRPr="00ED172B">
              <w:rPr>
                <w:rFonts w:cs="Arial"/>
                <w:color w:val="000000" w:themeColor="text1"/>
                <w:szCs w:val="16"/>
              </w:rPr>
              <w:t/>
            </w:r>
          </w:p>
        </w:tc>
        <w:tc>
          <w:tcPr>
            <w:tcW w:w="1270" w:type="pct"/>
            <w:shd w:val="clear" w:color="auto" w:fill="auto"/>
          </w:tcPr>
          <w:p w14:paraId="6146CAAF" w14:textId="53F3D613" w:rsidR="008203B4" w:rsidRPr="00ED172B" w:rsidRDefault="00860830" w:rsidP="00ED172B">
            <w:pPr>
              <w:jc w:val="center"/>
              <w:rPr>
                <w:rFonts w:cs="Arial"/>
                <w:color w:val="000000" w:themeColor="text1"/>
                <w:szCs w:val="16"/>
              </w:rPr>
            </w:pPr>
            <w:r w:rsidRPr="00ED172B">
              <w:rPr>
                <w:rFonts w:cs="Arial"/>
                <w:color w:val="000000" w:themeColor="text1"/>
                <w:szCs w:val="16"/>
              </w:rPr>
              <w:t/>
            </w:r>
          </w:p>
        </w:tc>
        <w:tc>
          <w:tcPr>
            <w:tcW w:w="1213" w:type="pct"/>
            <w:shd w:val="clear" w:color="auto" w:fill="auto"/>
          </w:tcPr>
          <w:p w14:paraId="73DA7B08" w14:textId="5CC5A5B0" w:rsidR="008203B4"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08" w:type="pct"/>
            <w:shd w:val="clear" w:color="auto" w:fill="auto"/>
          </w:tcPr>
          <w:p w14:paraId="1FAECB7C" w14:textId="288F3E14" w:rsidR="008203B4" w:rsidRPr="00ED172B" w:rsidRDefault="00860830" w:rsidP="00CD79C5">
            <w:pPr>
              <w:rPr>
                <w:rFonts w:cs="Arial"/>
                <w:color w:val="000000" w:themeColor="text1"/>
                <w:szCs w:val="16"/>
              </w:rPr>
            </w:pPr>
            <w:r w:rsidRPr="00ED172B">
              <w:rPr>
                <w:rFonts w:cs="Arial"/>
                <w:color w:val="000000" w:themeColor="text1"/>
                <w:szCs w:val="16"/>
              </w:rPr>
              <w:t>0</w:t>
            </w:r>
          </w:p>
        </w:tc>
      </w:tr>
    </w:tbl>
    <w:p w14:paraId="1AAE6B0A" w14:textId="01E2B160" w:rsidR="008203B4" w:rsidRPr="00ED172B" w:rsidRDefault="008203B4" w:rsidP="00B83404">
      <w:pPr>
        <w:rPr>
          <w:color w:val="000000" w:themeColor="text1"/>
        </w:rPr>
      </w:pPr>
      <w:r w:rsidRPr="00ED172B">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C08BPPFFYNCFINDINGS"/>
      </w:tblPr>
      <w:tblGrid>
        <w:gridCol w:w="2004"/>
        <w:gridCol w:w="3185"/>
        <w:gridCol w:w="2858"/>
        <w:gridCol w:w="2743"/>
      </w:tblGrid>
      <w:tr w:rsidR="00ED172B" w:rsidRPr="00ED172B" w14:paraId="67C85C4C" w14:textId="77777777" w:rsidTr="00986B99">
        <w:trPr>
          <w:tblHeader/>
        </w:trPr>
        <w:tc>
          <w:tcPr>
            <w:tcW w:w="929" w:type="pct"/>
            <w:shd w:val="clear" w:color="auto" w:fill="auto"/>
            <w:vAlign w:val="bottom"/>
          </w:tcPr>
          <w:p w14:paraId="304D2045"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476" w:type="pct"/>
            <w:shd w:val="clear" w:color="auto" w:fill="auto"/>
            <w:vAlign w:val="bottom"/>
          </w:tcPr>
          <w:p w14:paraId="19DBD567" w14:textId="70BB55B6"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2020 APR</w:t>
            </w:r>
          </w:p>
        </w:tc>
        <w:tc>
          <w:tcPr>
            <w:tcW w:w="1324" w:type="pct"/>
            <w:shd w:val="clear" w:color="auto" w:fill="auto"/>
            <w:vAlign w:val="bottom"/>
          </w:tcPr>
          <w:p w14:paraId="21969E32"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71" w:type="pct"/>
            <w:shd w:val="clear" w:color="auto" w:fill="auto"/>
            <w:vAlign w:val="bottom"/>
          </w:tcPr>
          <w:p w14:paraId="2A3FAC79" w14:textId="77777777" w:rsidR="008203B4" w:rsidRPr="00ED172B" w:rsidRDefault="008203B4"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7FAC234" w14:textId="77777777" w:rsidTr="00986B99">
        <w:tc>
          <w:tcPr>
            <w:tcW w:w="929" w:type="pct"/>
            <w:shd w:val="clear" w:color="auto" w:fill="auto"/>
          </w:tcPr>
          <w:p w14:paraId="0C89AE3F" w14:textId="04BB92FE" w:rsidR="008203B4" w:rsidRPr="00ED172B" w:rsidRDefault="00860830" w:rsidP="00CD79C5">
            <w:pPr>
              <w:rPr>
                <w:rFonts w:cs="Arial"/>
                <w:color w:val="000000" w:themeColor="text1"/>
                <w:szCs w:val="16"/>
              </w:rPr>
            </w:pPr>
            <w:r w:rsidRPr="00ED172B">
              <w:rPr>
                <w:rFonts w:cs="Arial"/>
                <w:color w:val="000000" w:themeColor="text1"/>
                <w:szCs w:val="16"/>
              </w:rPr>
              <w:t>FFY 2019</w:t>
            </w:r>
          </w:p>
        </w:tc>
        <w:tc>
          <w:tcPr>
            <w:tcW w:w="1476" w:type="pct"/>
            <w:shd w:val="clear" w:color="auto" w:fill="auto"/>
          </w:tcPr>
          <w:p w14:paraId="18EE6A2D" w14:textId="2B02CD87" w:rsidR="008203B4" w:rsidRPr="00ED172B" w:rsidRDefault="00860830" w:rsidP="00CD79C5">
            <w:pPr>
              <w:jc w:val="center"/>
              <w:rPr>
                <w:rFonts w:cs="Arial"/>
                <w:noProof/>
                <w:color w:val="000000" w:themeColor="text1"/>
                <w:szCs w:val="16"/>
              </w:rPr>
            </w:pPr>
            <w:r w:rsidRPr="00ED172B">
              <w:rPr>
                <w:rFonts w:cs="Arial"/>
                <w:color w:val="000000" w:themeColor="text1"/>
                <w:szCs w:val="16"/>
              </w:rPr>
              <w:t>2</w:t>
            </w:r>
          </w:p>
        </w:tc>
        <w:tc>
          <w:tcPr>
            <w:tcW w:w="1324" w:type="pct"/>
            <w:shd w:val="clear" w:color="auto" w:fill="auto"/>
          </w:tcPr>
          <w:p w14:paraId="0D6BF82C" w14:textId="259370D0" w:rsidR="008203B4" w:rsidRPr="00ED172B" w:rsidRDefault="00860830" w:rsidP="00CD79C5">
            <w:pPr>
              <w:jc w:val="center"/>
              <w:rPr>
                <w:rFonts w:cs="Arial"/>
                <w:noProof/>
                <w:color w:val="000000" w:themeColor="text1"/>
                <w:szCs w:val="16"/>
              </w:rPr>
            </w:pPr>
            <w:r w:rsidRPr="00ED172B">
              <w:rPr>
                <w:rFonts w:cs="Arial"/>
                <w:color w:val="000000" w:themeColor="text1"/>
                <w:szCs w:val="16"/>
              </w:rPr>
              <w:t>2</w:t>
            </w:r>
          </w:p>
        </w:tc>
        <w:tc>
          <w:tcPr>
            <w:tcW w:w="1271" w:type="pct"/>
            <w:shd w:val="clear" w:color="auto" w:fill="auto"/>
          </w:tcPr>
          <w:p w14:paraId="021C6FD4" w14:textId="245B9AF4" w:rsidR="008203B4" w:rsidRPr="00ED172B" w:rsidRDefault="00860830" w:rsidP="00CD79C5">
            <w:pPr>
              <w:jc w:val="center"/>
              <w:rPr>
                <w:rFonts w:cs="Arial"/>
                <w:noProof/>
                <w:color w:val="000000" w:themeColor="text1"/>
                <w:szCs w:val="16"/>
              </w:rPr>
            </w:pPr>
            <w:r w:rsidRPr="00ED172B">
              <w:rPr>
                <w:rFonts w:cs="Arial"/>
                <w:color w:val="000000" w:themeColor="text1"/>
                <w:szCs w:val="16"/>
              </w:rPr>
              <w:t>0</w:t>
            </w:r>
          </w:p>
        </w:tc>
      </w:tr>
      <w:tr w:rsidR="00ED172B" w:rsidRPr="00ED172B" w14:paraId="6E9AA680" w14:textId="77777777" w:rsidTr="00986B99">
        <w:tc>
          <w:tcPr>
            <w:tcW w:w="929" w:type="pct"/>
            <w:shd w:val="clear" w:color="auto" w:fill="auto"/>
          </w:tcPr>
          <w:p w14:paraId="09F9027D" w14:textId="69544FBD" w:rsidR="008203B4" w:rsidRPr="00ED172B" w:rsidRDefault="00860830" w:rsidP="00CD79C5">
            <w:pPr>
              <w:rPr>
                <w:rFonts w:cs="Arial"/>
                <w:color w:val="000000" w:themeColor="text1"/>
                <w:szCs w:val="16"/>
              </w:rPr>
            </w:pPr>
            <w:r w:rsidRPr="00ED172B">
              <w:rPr>
                <w:rFonts w:cs="Arial"/>
                <w:color w:val="000000" w:themeColor="text1"/>
                <w:szCs w:val="16"/>
              </w:rPr>
              <w:t/>
            </w:r>
          </w:p>
        </w:tc>
        <w:tc>
          <w:tcPr>
            <w:tcW w:w="1476" w:type="pct"/>
            <w:shd w:val="clear" w:color="auto" w:fill="auto"/>
          </w:tcPr>
          <w:p w14:paraId="30E1255E" w14:textId="62840257"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24" w:type="pct"/>
            <w:shd w:val="clear" w:color="auto" w:fill="auto"/>
          </w:tcPr>
          <w:p w14:paraId="48634437" w14:textId="19C6DF89"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271" w:type="pct"/>
            <w:shd w:val="clear" w:color="auto" w:fill="auto"/>
          </w:tcPr>
          <w:p w14:paraId="233CCD3F" w14:textId="7D7A4788"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6101D2C3" w14:textId="77777777" w:rsidTr="00986B99">
        <w:tc>
          <w:tcPr>
            <w:tcW w:w="929" w:type="pct"/>
            <w:shd w:val="clear" w:color="auto" w:fill="auto"/>
          </w:tcPr>
          <w:p w14:paraId="3DF27AAE" w14:textId="57173885" w:rsidR="008203B4" w:rsidRPr="00ED172B" w:rsidRDefault="00860830" w:rsidP="00CD79C5">
            <w:pPr>
              <w:rPr>
                <w:rFonts w:cs="Arial"/>
                <w:color w:val="000000" w:themeColor="text1"/>
                <w:szCs w:val="16"/>
              </w:rPr>
            </w:pPr>
            <w:r w:rsidRPr="00ED172B">
              <w:rPr>
                <w:rFonts w:cs="Arial"/>
                <w:color w:val="000000" w:themeColor="text1"/>
                <w:szCs w:val="16"/>
              </w:rPr>
              <w:t/>
            </w:r>
          </w:p>
        </w:tc>
        <w:tc>
          <w:tcPr>
            <w:tcW w:w="1476" w:type="pct"/>
            <w:shd w:val="clear" w:color="auto" w:fill="auto"/>
          </w:tcPr>
          <w:p w14:paraId="1A593A8F" w14:textId="30E039EF"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24" w:type="pct"/>
            <w:shd w:val="clear" w:color="auto" w:fill="auto"/>
          </w:tcPr>
          <w:p w14:paraId="6C282F27" w14:textId="22019EAC"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271" w:type="pct"/>
            <w:shd w:val="clear" w:color="auto" w:fill="auto"/>
          </w:tcPr>
          <w:p w14:paraId="5CA5D5A4" w14:textId="3330E222" w:rsidR="008203B4" w:rsidRPr="00ED172B" w:rsidRDefault="00860830" w:rsidP="00CD79C5">
            <w:pPr>
              <w:jc w:val="center"/>
              <w:rPr>
                <w:rFonts w:cs="Arial"/>
                <w:noProof/>
                <w:color w:val="000000" w:themeColor="text1"/>
                <w:szCs w:val="16"/>
              </w:rPr>
            </w:pPr>
            <w:r w:rsidRPr="00ED172B">
              <w:rPr>
                <w:rFonts w:cs="Arial"/>
                <w:color w:val="000000" w:themeColor="text1"/>
                <w:szCs w:val="16"/>
              </w:rPr>
              <w:t/>
            </w:r>
          </w:p>
        </w:tc>
      </w:tr>
    </w:tbl>
    <w:p w14:paraId="6E221993" w14:textId="79FD4B6E" w:rsidR="00DF77C4" w:rsidRPr="00ED172B" w:rsidRDefault="00DF77C4" w:rsidP="00DF77C4">
      <w:pPr>
        <w:rPr>
          <w:rFonts w:cs="Arial"/>
          <w:b/>
          <w:bCs/>
          <w:color w:val="000000" w:themeColor="text1"/>
          <w:szCs w:val="16"/>
        </w:rPr>
      </w:pPr>
      <w:r w:rsidRPr="00ED172B">
        <w:rPr>
          <w:rFonts w:cs="Arial"/>
          <w:b/>
          <w:bCs/>
          <w:color w:val="000000" w:themeColor="text1"/>
          <w:szCs w:val="16"/>
        </w:rPr>
        <w:t>FFY 2019</w:t>
      </w:r>
    </w:p>
    <w:p w14:paraId="2D3C1749" w14:textId="77777777" w:rsidR="00DF77C4" w:rsidRPr="00ED172B" w:rsidRDefault="00DF77C4" w:rsidP="00DF77C4">
      <w:pPr>
        <w:rPr>
          <w:color w:val="000000" w:themeColor="text1"/>
        </w:rPr>
      </w:pPr>
      <w:r w:rsidRPr="00ED172B">
        <w:rPr>
          <w:b/>
          <w:color w:val="000000" w:themeColor="text1"/>
        </w:rPr>
        <w:t>Findings of Noncompliance Verified as Corrected</w:t>
      </w:r>
    </w:p>
    <w:p w14:paraId="75562129" w14:textId="073C5471" w:rsidR="00DF77C4" w:rsidRPr="00ED172B" w:rsidRDefault="00DF77C4" w:rsidP="00DF77C4">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04431357" w14:textId="6D12550B" w:rsidR="00DF77C4" w:rsidRPr="00ED172B" w:rsidRDefault="00DF77C4" w:rsidP="00DF77C4">
      <w:pPr>
        <w:rPr>
          <w:color w:val="000000" w:themeColor="text1"/>
        </w:rPr>
      </w:pPr>
      <w:r w:rsidRPr="00ED172B">
        <w:rPr>
          <w:color w:val="000000" w:themeColor="text1"/>
        </w:rPr>
        <w:t>As indicated in its FFY20 APR, MA-C identified two instances of noncompliance across EIS programs through its monitoring of the state database.</w:t>
        <w:br/>
        <w:t/>
        <w:br/>
        <w:t xml:space="preserve">MA-C addressed prong 2 of OSEP Memo 09-02 by reviewing subsequent data to ensure ongoing compliance with the regulatory requirement of 100% of children have notification sent to the LEA in a timely manner. The EICS Application Lead (an Information Technology staff member embedded with MA-C) queried the EICS for the EIS programs with compliance rates below 100%. She sampled 10 child records per program at random using subsequent transition data entered by the EIS programs and determined 100% compliance had been demonstrated. </w:t>
      </w:r>
    </w:p>
    <w:p w14:paraId="1C49A462" w14:textId="30802CAC" w:rsidR="00DF77C4" w:rsidRPr="00ED172B" w:rsidRDefault="00DF77C4" w:rsidP="00DF77C4">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50340AC8" w14:textId="4173DD98" w:rsidR="00DF77C4" w:rsidRDefault="00DF77C4" w:rsidP="00DF77C4">
      <w:pPr>
        <w:rPr>
          <w:color w:val="000000" w:themeColor="text1"/>
        </w:rPr>
      </w:pPr>
      <w:r w:rsidRPr="00ED172B">
        <w:rPr>
          <w:color w:val="000000" w:themeColor="text1"/>
        </w:rPr>
        <w:t>MA-C addressed prong 1 of OSEP Memo 09-02 by ensuring each individual case of noncompliance was corrected. Upon detecting the noncompliance, the Early Intervention Client System Application Lead (an Information Technology staff member embedded with MA-C) queried the state database (Early Intervention Client System; EICS) to review the children's individual records. Using data entered by EIS programs into EICS, the EICS Application Lead determined that neither child left the jurisdiction before the notification could be sent, and notification to the LEA and SEA was sent for both children, although late, as demonstrated by transition data entered by the EIS programs into EICS (for LEA notification) and auto-generated data on the date of SEA notification on both children's records.</w:t>
      </w:r>
    </w:p>
    <w:p w14:paraId="6BC401D6" w14:textId="0B4AC648" w:rsidR="008203B4" w:rsidRPr="00A40EE1" w:rsidRDefault="000D0117" w:rsidP="007B0787">
      <w:pPr>
        <w:pStyle w:val="Heading2"/>
      </w:pPr>
      <w:r w:rsidRPr="00A40EE1">
        <w:t xml:space="preserve">8B - </w:t>
      </w:r>
      <w:r w:rsidR="008203B4" w:rsidRPr="00A40EE1">
        <w:t>Prior FFY Required Actions</w:t>
      </w:r>
    </w:p>
    <w:p w14:paraId="2F3B8835" w14:textId="0AD36B8F" w:rsidR="004C1CEE" w:rsidRPr="00ED172B" w:rsidRDefault="00320806" w:rsidP="008203B4">
      <w:pPr>
        <w:rPr>
          <w:rFonts w:cs="Arial"/>
          <w:color w:val="000000" w:themeColor="text1"/>
          <w:szCs w:val="16"/>
        </w:rPr>
      </w:pPr>
      <w:r w:rsidRPr="00ED172B">
        <w:rPr>
          <w:color w:val="000000" w:themeColor="text1"/>
        </w:rPr>
        <w:t xml:space="preserve">Because the State reported less than 100% compliance for FFY 2020, the State must report on the status of correction of noncompliance identified in FFY 2020 for this indicator. In addition, the State must demonstrate, in the FFY 2021 SPP/APR, that the two findings of noncompliance identified in FFY 2019 were corrected.  When reporting on the correction of noncompliance, the State must report, in the FFY 2021 SPP/APR, that it has verified that each EIS program or provider with findings of noncompliance identified in FFY 2020 and each EIS program or provider with remaining noncompliance identified in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2021 SPP/APR, the State must describe the specific actions that were taken to verify the correction.    </w:t>
        <w:br/>
        <w:t/>
        <w:br/>
        <w:t>If the State did not identify any findings of noncompliance in FFY 2020, although its FFY 2020 data reflect less than 100% compliance, provide an explanation of why the State did not identify any findings of noncompliance in FFY 2020.</w:t>
      </w:r>
    </w:p>
    <w:p w14:paraId="38009665" w14:textId="5DD41CE8" w:rsidR="008203B4" w:rsidRPr="00ED172B" w:rsidRDefault="008203B4" w:rsidP="00B83404">
      <w:pPr>
        <w:rPr>
          <w:color w:val="000000" w:themeColor="text1"/>
        </w:rPr>
      </w:pPr>
      <w:r w:rsidRPr="00ED172B">
        <w:rPr>
          <w:b/>
          <w:color w:val="000000" w:themeColor="text1"/>
        </w:rPr>
        <w:t>Response to actions required in FFY 2020 SPP/APR</w:t>
      </w:r>
      <w:r w:rsidR="00950382" w:rsidRPr="00ED172B">
        <w:rPr>
          <w:color w:val="000000" w:themeColor="text1"/>
        </w:rPr>
        <w:t xml:space="preserve"> </w:t>
      </w:r>
    </w:p>
    <w:p w14:paraId="3B4843EA" w14:textId="2A07CA87" w:rsidR="004C1CEE" w:rsidRPr="00ED172B" w:rsidRDefault="00027F39" w:rsidP="00027F39">
      <w:pPr>
        <w:rPr>
          <w:color w:val="000000" w:themeColor="text1"/>
        </w:rPr>
      </w:pPr>
      <w:r w:rsidRPr="00ED172B">
        <w:rPr>
          <w:color w:val="000000" w:themeColor="text1"/>
        </w:rPr>
        <w:t xml:space="preserve">During FFY20, MA-C did not report 100% compliance for Indicator 8B, the percentage of toddlers potentially eligible for Part B services for whom notification was sent to the LEA and SEA in a timely manner. MA-C reviewed its state databased and discovered 25 records across 15 EIS programs that suggested that notification to the LEA and SEA was not made in a timely manner. </w:t>
        <w:br/>
        <w:t/>
        <w:br/>
        <w:t>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Using data entered by EIS programs into EICS, the Part C Data Manager determined that no children left the jurisdiction before notification to the LEA and SEA could be sent. She determined that all 25 children had notification sent to their LEA and SEA, although late, as demonstrated by transition data entered by the EIS programs into EICS.</w:t>
        <w:br/>
        <w:t/>
        <w:br/>
        <w:t>Next, the Part C Data Manager queried the EICS for the 15 EIS programs with compliance rates below 100%. For each EIS program, she sampled 10 child records at random using subsequent service-level data entered by the EIS programs and determined 100% compliance had been demonstrated.</w:t>
        <w:br/>
        <w:t/>
        <w:br/>
        <w:t>Consistent with MA-C general supervision practices, no written findings of noncompliance were made. Instead, MA-C emailed the 15 EIS programs who had reported untimely notification to the LEA to remind them of the regulatory requirement and offer training and technical assistance to sustain compliance.</w:t>
      </w:r>
    </w:p>
    <w:p w14:paraId="6A49C335" w14:textId="11A5537D" w:rsidR="008203B4" w:rsidRPr="00A40EE1" w:rsidRDefault="000D0117" w:rsidP="007B0787">
      <w:pPr>
        <w:pStyle w:val="Heading2"/>
      </w:pPr>
      <w:r w:rsidRPr="00A40EE1">
        <w:t xml:space="preserve">8B - </w:t>
      </w:r>
      <w:r w:rsidR="008203B4" w:rsidRPr="00A40EE1">
        <w:t>OSEP Response</w:t>
      </w:r>
    </w:p>
    <w:p w14:paraId="2AD2C922" w14:textId="1A8CB9FF" w:rsidR="008203B4" w:rsidRPr="00ED172B" w:rsidRDefault="00320806" w:rsidP="00320806">
      <w:pPr>
        <w:rPr>
          <w:color w:val="000000" w:themeColor="text1"/>
        </w:rPr>
      </w:pPr>
      <w:r w:rsidRPr="00ED172B">
        <w:rPr>
          <w:color w:val="000000" w:themeColor="text1"/>
        </w:rPr>
        <w:t>
</w:t>
      </w:r>
    </w:p>
    <w:p w14:paraId="737AE102" w14:textId="64B3C8F0" w:rsidR="008203B4" w:rsidRPr="00A40EE1" w:rsidRDefault="000D0117" w:rsidP="007B0787">
      <w:pPr>
        <w:pStyle w:val="Heading2"/>
      </w:pPr>
      <w:r w:rsidRPr="00A40EE1">
        <w:t xml:space="preserve">8B - </w:t>
      </w:r>
      <w:r w:rsidR="008203B4" w:rsidRPr="00A40EE1">
        <w:t>Required Actions</w:t>
      </w:r>
    </w:p>
    <w:p w14:paraId="4C170AC1" w14:textId="4A171C6A" w:rsidR="008203B4" w:rsidRPr="00ED172B" w:rsidRDefault="00320806" w:rsidP="00320806">
      <w:pPr>
        <w:rPr>
          <w:color w:val="000000" w:themeColor="text1"/>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14:paraId="6FEEB595" w14:textId="77777777" w:rsidR="00D77E41" w:rsidRPr="00ED172B" w:rsidRDefault="00D77E41">
      <w:pPr>
        <w:spacing w:before="0" w:after="200" w:line="276" w:lineRule="auto"/>
        <w:rPr>
          <w:rFonts w:eastAsiaTheme="majorEastAsia" w:cstheme="majorBidi"/>
          <w:b/>
          <w:bCs/>
          <w:color w:val="000000" w:themeColor="text1"/>
          <w:sz w:val="20"/>
          <w:szCs w:val="26"/>
        </w:rPr>
      </w:pPr>
      <w:r w:rsidRPr="00ED172B">
        <w:rPr>
          <w:color w:val="000000" w:themeColor="text1"/>
        </w:rPr>
        <w:br w:type="page"/>
      </w:r>
    </w:p>
    <w:p w14:paraId="33B9157B" w14:textId="08A2A379" w:rsidR="00D77E41" w:rsidRPr="00ED172B" w:rsidRDefault="00D77E41" w:rsidP="00D77E41">
      <w:pPr>
        <w:pStyle w:val="Heading1"/>
        <w:rPr>
          <w:color w:val="000000" w:themeColor="text1"/>
        </w:rPr>
      </w:pPr>
      <w:r w:rsidRPr="00ED172B">
        <w:rPr>
          <w:color w:val="000000" w:themeColor="text1"/>
        </w:rPr>
        <w:lastRenderedPageBreak/>
        <w:t>Indicator 8C: Early Childhood Transition</w:t>
      </w:r>
    </w:p>
    <w:p w14:paraId="5E79EF5E" w14:textId="77777777" w:rsidR="00D77E41" w:rsidRPr="00ED172B" w:rsidRDefault="00D77E41" w:rsidP="00186420">
      <w:pPr>
        <w:rPr>
          <w:color w:val="000000" w:themeColor="text1"/>
          <w:szCs w:val="20"/>
        </w:rPr>
      </w:pPr>
      <w:r w:rsidRPr="00ED172B">
        <w:rPr>
          <w:b/>
          <w:color w:val="000000" w:themeColor="text1"/>
          <w:sz w:val="20"/>
          <w:szCs w:val="20"/>
        </w:rPr>
        <w:t>Instructions and Measurement</w:t>
      </w:r>
    </w:p>
    <w:p w14:paraId="06E0C145" w14:textId="178AEB5F" w:rsidR="00D77E41" w:rsidRPr="00ED172B" w:rsidRDefault="00D77E41" w:rsidP="00D77E41">
      <w:pPr>
        <w:rPr>
          <w:b/>
          <w:color w:val="000000" w:themeColor="text1"/>
          <w:szCs w:val="16"/>
        </w:rPr>
      </w:pPr>
      <w:r w:rsidRPr="00ED172B">
        <w:rPr>
          <w:b/>
          <w:color w:val="000000" w:themeColor="text1"/>
          <w:szCs w:val="16"/>
        </w:rPr>
        <w:t xml:space="preserve">Monitoring Priority: </w:t>
      </w:r>
      <w:r w:rsidRPr="00ED172B">
        <w:rPr>
          <w:color w:val="000000" w:themeColor="text1"/>
          <w:szCs w:val="16"/>
        </w:rPr>
        <w:t xml:space="preserve">Effective General Supervision Part C / </w:t>
      </w:r>
      <w:r w:rsidR="00616172" w:rsidRPr="00ED172B">
        <w:rPr>
          <w:color w:val="000000" w:themeColor="text1"/>
          <w:szCs w:val="16"/>
        </w:rPr>
        <w:t>Effective Transition</w:t>
      </w:r>
    </w:p>
    <w:p w14:paraId="7763188E" w14:textId="77777777" w:rsidR="00D77E41" w:rsidRPr="00ED172B" w:rsidRDefault="00D77E41" w:rsidP="00D77E41">
      <w:pPr>
        <w:rPr>
          <w:color w:val="000000" w:themeColor="text1"/>
          <w:szCs w:val="16"/>
        </w:rPr>
      </w:pPr>
      <w:r w:rsidRPr="00ED172B">
        <w:rPr>
          <w:b/>
          <w:color w:val="000000" w:themeColor="text1"/>
          <w:szCs w:val="16"/>
        </w:rPr>
        <w:t xml:space="preserve">Compliance indicator: </w:t>
      </w:r>
      <w:r w:rsidRPr="00ED172B">
        <w:rPr>
          <w:color w:val="000000" w:themeColor="text1"/>
          <w:szCs w:val="16"/>
        </w:rPr>
        <w:t>The percentage of toddlers with disabilities exiting Part C with timely transition planning for whom the Lead Agency has:</w:t>
      </w:r>
    </w:p>
    <w:p w14:paraId="2FB1EB09" w14:textId="725FF3C5" w:rsidR="00D77E41" w:rsidRPr="00ED172B" w:rsidRDefault="007F55E8" w:rsidP="00ED172B">
      <w:pPr>
        <w:ind w:left="360"/>
        <w:rPr>
          <w:color w:val="000000" w:themeColor="text1"/>
          <w:szCs w:val="16"/>
        </w:rPr>
      </w:pPr>
      <w:r w:rsidRPr="00ED172B">
        <w:rPr>
          <w:color w:val="000000" w:themeColor="text1"/>
          <w:szCs w:val="16"/>
        </w:rPr>
        <w:t>A. Developed an IFSP with transition steps and services at least 90 days, and at the discretion of all parties, not more than nine months, prior to the toddler’s third birthday;</w:t>
      </w:r>
    </w:p>
    <w:p w14:paraId="57927E07" w14:textId="01E9F378" w:rsidR="00D77E41" w:rsidRPr="00ED172B" w:rsidRDefault="007F55E8" w:rsidP="00ED172B">
      <w:pPr>
        <w:ind w:left="360"/>
        <w:rPr>
          <w:color w:val="000000" w:themeColor="text1"/>
          <w:szCs w:val="16"/>
        </w:rPr>
      </w:pPr>
      <w:r w:rsidRPr="00ED172B">
        <w:rPr>
          <w:color w:val="000000" w:themeColor="text1"/>
          <w:szCs w:val="16"/>
        </w:rPr>
        <w:t xml:space="preserve">B. Notified (consistent with any opt-out policy adopted by the State) the </w:t>
      </w:r>
      <w:r w:rsidR="00CD1148">
        <w:rPr>
          <w:szCs w:val="16"/>
        </w:rPr>
        <w:t>State educational agency</w:t>
      </w:r>
      <w:r w:rsidR="00CD1148" w:rsidRPr="003461DB">
        <w:rPr>
          <w:szCs w:val="16"/>
        </w:rPr>
        <w:t xml:space="preserve"> </w:t>
      </w:r>
      <w:r w:rsidR="00CD1148">
        <w:rPr>
          <w:szCs w:val="16"/>
        </w:rPr>
        <w:t>(</w:t>
      </w:r>
      <w:r w:rsidR="00CD1148" w:rsidRPr="003461DB">
        <w:rPr>
          <w:szCs w:val="16"/>
        </w:rPr>
        <w:t>SEA</w:t>
      </w:r>
      <w:r w:rsidR="00CD1148">
        <w:rPr>
          <w:szCs w:val="16"/>
        </w:rPr>
        <w:t>)</w:t>
      </w:r>
      <w:r w:rsidR="00CD1148" w:rsidRPr="003461DB">
        <w:rPr>
          <w:szCs w:val="16"/>
        </w:rPr>
        <w:t xml:space="preserve"> and</w:t>
      </w:r>
      <w:r w:rsidR="00CD1148">
        <w:rPr>
          <w:szCs w:val="16"/>
        </w:rPr>
        <w:t xml:space="preserve"> the local educational agency</w:t>
      </w:r>
      <w:r w:rsidR="00CD1148" w:rsidRPr="00524F62" w:rsidDel="007157B8">
        <w:rPr>
          <w:szCs w:val="16"/>
        </w:rPr>
        <w:t xml:space="preserve"> </w:t>
      </w:r>
      <w:r w:rsidR="00CD1148">
        <w:rPr>
          <w:szCs w:val="16"/>
        </w:rPr>
        <w:t>(</w:t>
      </w:r>
      <w:r w:rsidR="00CD1148" w:rsidRPr="00524F62">
        <w:rPr>
          <w:szCs w:val="16"/>
        </w:rPr>
        <w:t>LEA</w:t>
      </w:r>
      <w:r w:rsidR="00CD1148">
        <w:rPr>
          <w:szCs w:val="16"/>
        </w:rPr>
        <w:t>)</w:t>
      </w:r>
      <w:r w:rsidR="00CD1148" w:rsidRPr="00524F62">
        <w:rPr>
          <w:szCs w:val="16"/>
        </w:rPr>
        <w:t xml:space="preserve"> </w:t>
      </w:r>
      <w:r w:rsidRPr="00ED172B">
        <w:rPr>
          <w:color w:val="000000" w:themeColor="text1"/>
          <w:szCs w:val="16"/>
        </w:rPr>
        <w:t>where the toddler resides at least 90 days prior to the toddler’s third birthday for toddlers potentially eligible for Part B preschool services; and</w:t>
      </w:r>
    </w:p>
    <w:p w14:paraId="29F9B081" w14:textId="6B97DD58" w:rsidR="00D77E41" w:rsidRPr="00ED172B" w:rsidRDefault="007F55E8" w:rsidP="00ED172B">
      <w:pPr>
        <w:ind w:left="360"/>
        <w:rPr>
          <w:color w:val="000000" w:themeColor="text1"/>
          <w:szCs w:val="16"/>
        </w:rPr>
      </w:pPr>
      <w:r w:rsidRPr="00ED172B">
        <w:rPr>
          <w:color w:val="000000" w:themeColor="text1"/>
          <w:szCs w:val="16"/>
        </w:rPr>
        <w:t>C. Conducted the transition conference held with the approval of the family at least 90 days, and at the discretion of all parties, not more than nine months, prior to the toddler’s third birthday for toddlers potentially eligible for Part B preschool services.</w:t>
      </w:r>
    </w:p>
    <w:p w14:paraId="6AF51628" w14:textId="77777777" w:rsidR="00D77E41" w:rsidRPr="00ED172B" w:rsidRDefault="00D77E41" w:rsidP="00D77E41">
      <w:pPr>
        <w:rPr>
          <w:color w:val="000000" w:themeColor="text1"/>
          <w:szCs w:val="16"/>
        </w:rPr>
      </w:pPr>
      <w:r w:rsidRPr="00ED172B">
        <w:rPr>
          <w:color w:val="000000" w:themeColor="text1"/>
          <w:szCs w:val="16"/>
        </w:rPr>
        <w:t>(20 U.S.C. 1416(a)(3)(B) and 1442)</w:t>
      </w:r>
    </w:p>
    <w:p w14:paraId="575FFFCE" w14:textId="77777777" w:rsidR="00D77E41" w:rsidRPr="00ED172B" w:rsidRDefault="00D77E41">
      <w:pPr>
        <w:rPr>
          <w:b/>
          <w:color w:val="000000" w:themeColor="text1"/>
        </w:rPr>
      </w:pPr>
      <w:r w:rsidRPr="00ED172B">
        <w:rPr>
          <w:b/>
          <w:color w:val="000000" w:themeColor="text1"/>
        </w:rPr>
        <w:t>Data Source</w:t>
      </w:r>
    </w:p>
    <w:p w14:paraId="18E564AB" w14:textId="77777777" w:rsidR="00D77E41" w:rsidRPr="00ED172B" w:rsidRDefault="00D77E41" w:rsidP="00D77E41">
      <w:pPr>
        <w:rPr>
          <w:color w:val="000000" w:themeColor="text1"/>
          <w:szCs w:val="16"/>
        </w:rPr>
      </w:pPr>
      <w:r w:rsidRPr="00ED172B">
        <w:rPr>
          <w:color w:val="000000" w:themeColor="text1"/>
          <w:szCs w:val="16"/>
        </w:rPr>
        <w:t>Data to be taken from monitoring or State data system.</w:t>
      </w:r>
    </w:p>
    <w:p w14:paraId="3353BE00" w14:textId="77777777" w:rsidR="00D77E41" w:rsidRPr="00ED172B" w:rsidRDefault="00D77E41">
      <w:pPr>
        <w:rPr>
          <w:b/>
          <w:color w:val="000000" w:themeColor="text1"/>
        </w:rPr>
      </w:pPr>
      <w:r w:rsidRPr="00ED172B">
        <w:rPr>
          <w:b/>
          <w:color w:val="000000" w:themeColor="text1"/>
        </w:rPr>
        <w:t>Measurement</w:t>
      </w:r>
    </w:p>
    <w:p w14:paraId="2EACE396" w14:textId="61509B8D" w:rsidR="00D77E41" w:rsidRPr="00ED172B" w:rsidRDefault="007F55E8" w:rsidP="00ED172B">
      <w:pPr>
        <w:ind w:left="360"/>
        <w:rPr>
          <w:color w:val="000000" w:themeColor="text1"/>
          <w:szCs w:val="16"/>
        </w:rPr>
      </w:pPr>
      <w:r w:rsidRPr="00ED172B">
        <w:rPr>
          <w:color w:val="000000" w:themeColor="text1"/>
          <w:szCs w:val="16"/>
        </w:rPr>
        <w:t>A. Percent = [(# of toddlers with disabilities exiting Part C who have an IFSP with transition steps and services at least 90 days, and at the discretion of all parties not more than nine months, prior to their third birthday) divided by the (# of toddlers with disabilities exiting Part C)] times 100.</w:t>
      </w:r>
    </w:p>
    <w:p w14:paraId="39A3C650" w14:textId="1CC576EE" w:rsidR="00D77E41" w:rsidRPr="00ED172B" w:rsidRDefault="007F55E8" w:rsidP="00ED172B">
      <w:pPr>
        <w:ind w:left="360"/>
        <w:rPr>
          <w:color w:val="000000" w:themeColor="text1"/>
          <w:szCs w:val="16"/>
        </w:rPr>
      </w:pPr>
      <w:r w:rsidRPr="00ED172B">
        <w:rPr>
          <w:color w:val="000000" w:themeColor="text1"/>
          <w:szCs w:val="16"/>
        </w:rPr>
        <w:t>B. Percent = [(# of toddlers with disabilities exiting Part C where notification (consistent with any opt-out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14:paraId="5AFBB637" w14:textId="586B5641" w:rsidR="00D77E41" w:rsidRPr="00ED172B" w:rsidRDefault="007F55E8" w:rsidP="00ED172B">
      <w:pPr>
        <w:ind w:left="360"/>
        <w:rPr>
          <w:color w:val="000000" w:themeColor="text1"/>
          <w:szCs w:val="16"/>
        </w:rPr>
      </w:pPr>
      <w:r w:rsidRPr="00ED172B">
        <w:rPr>
          <w:color w:val="000000" w:themeColor="text1"/>
          <w:szCs w:val="16"/>
        </w:rPr>
        <w:t>C. Percent = [(# of toddlers with disabilities exiting Part C where the transition conference occurred at least 90 days, and at the discretion of all parties not more than nine months, prior to the toddler’s third birthday for toddlers potentially eligible for Part B) divided by the (# of toddlers with disabilities exiting Part C who were potentially eligible for Part B)] times 100.</w:t>
      </w:r>
    </w:p>
    <w:p w14:paraId="058A3CF1" w14:textId="77777777" w:rsidR="00D77E41" w:rsidRPr="00ED172B" w:rsidRDefault="00D77E41" w:rsidP="00D77E41">
      <w:pPr>
        <w:rPr>
          <w:color w:val="000000" w:themeColor="text1"/>
          <w:szCs w:val="16"/>
        </w:rPr>
      </w:pPr>
      <w:r w:rsidRPr="00ED172B">
        <w:rPr>
          <w:color w:val="000000" w:themeColor="text1"/>
          <w:szCs w:val="16"/>
        </w:rPr>
        <w:t>Account for untimely transition planning under 8A, 8B, and 8C, including the reasons for delays.</w:t>
      </w:r>
    </w:p>
    <w:p w14:paraId="23509EAD" w14:textId="77777777" w:rsidR="00D77E41" w:rsidRPr="00ED172B" w:rsidRDefault="00D77E41">
      <w:pPr>
        <w:rPr>
          <w:b/>
          <w:color w:val="000000" w:themeColor="text1"/>
        </w:rPr>
      </w:pPr>
      <w:r w:rsidRPr="00ED172B">
        <w:rPr>
          <w:b/>
          <w:color w:val="000000" w:themeColor="text1"/>
        </w:rPr>
        <w:t>Instructions</w:t>
      </w:r>
    </w:p>
    <w:p w14:paraId="66E4245E" w14:textId="77777777" w:rsidR="00D77E41" w:rsidRPr="00ED172B" w:rsidRDefault="00D77E41" w:rsidP="00D77E41">
      <w:pPr>
        <w:rPr>
          <w:color w:val="000000" w:themeColor="text1"/>
          <w:szCs w:val="16"/>
        </w:rPr>
      </w:pPr>
      <w:r w:rsidRPr="00ED172B">
        <w:rPr>
          <w:color w:val="000000" w:themeColor="text1"/>
          <w:szCs w:val="16"/>
        </w:rPr>
        <w:t>Indicators 8A, 8B, and 8C: Targets must be 100%.</w:t>
      </w:r>
    </w:p>
    <w:p w14:paraId="59541BF7" w14:textId="77777777" w:rsidR="00D77E41" w:rsidRPr="00ED172B" w:rsidRDefault="00D77E41" w:rsidP="00D77E41">
      <w:pPr>
        <w:rPr>
          <w:color w:val="000000" w:themeColor="text1"/>
          <w:szCs w:val="16"/>
        </w:rPr>
      </w:pPr>
      <w:r w:rsidRPr="00ED172B">
        <w:rPr>
          <w:color w:val="000000" w:themeColor="text1"/>
          <w:szCs w:val="16"/>
        </w:rPr>
        <w:t>Describe the results of the calculations and compare the results to the target. Describe the method used to collect these data. Provide the actual numbers used in the calculation.</w:t>
      </w:r>
    </w:p>
    <w:p w14:paraId="0AC1A934" w14:textId="77777777" w:rsidR="00D77E41" w:rsidRPr="00ED172B" w:rsidRDefault="00D77E41" w:rsidP="00D77E41">
      <w:pPr>
        <w:rPr>
          <w:color w:val="000000" w:themeColor="text1"/>
          <w:szCs w:val="16"/>
        </w:rPr>
      </w:pPr>
      <w:r w:rsidRPr="00ED172B">
        <w:rPr>
          <w:color w:val="000000" w:themeColor="text1"/>
          <w:szCs w:val="16"/>
        </w:rPr>
        <w:t>Indicators 8A and 8C: If data are from the State’s monitoring, describe the procedures used to collect these data. If data are from State monitoring, also describe the method used to select EIS programs for monitoring. If data are from a State database, describe the time period in which the data were collected (e.g., September through December, fourth quarter, selection from the full reporting period) and how the data accurately reflect data for infants and toddlers with IFSPs for the full reporting period.</w:t>
      </w:r>
    </w:p>
    <w:p w14:paraId="4284D488" w14:textId="77777777" w:rsidR="00D77E41" w:rsidRPr="00ED172B" w:rsidRDefault="00D77E41" w:rsidP="00D77E41">
      <w:pPr>
        <w:rPr>
          <w:color w:val="000000" w:themeColor="text1"/>
          <w:szCs w:val="16"/>
        </w:rPr>
      </w:pPr>
      <w:r w:rsidRPr="00ED172B">
        <w:rPr>
          <w:color w:val="000000" w:themeColor="text1"/>
          <w:szCs w:val="16"/>
        </w:rPr>
        <w:t>Indicators 8A and 8C: States are not required to report in their calculation the number of children for whom the State has identified the cause for the delay as exceptional family circumstances, as defined in 34 CFR §303.310(b), documented in the child’s record. If a State chooses to report in its calculation children for whom the State has identified the cause for the delay as exceptional family circumstances documented in the child’s record, the numbers of these children are to be included in the numerator and denominator. Include in the discussion of the data, the numbers the State used to determine its calculation under this indicator and report separately the number of documented delays attributable to exceptional family circumstances.</w:t>
      </w:r>
    </w:p>
    <w:p w14:paraId="7CDA386C" w14:textId="77777777" w:rsidR="00D77E41" w:rsidRPr="00ED172B" w:rsidRDefault="00D77E41" w:rsidP="00D77E41">
      <w:pPr>
        <w:rPr>
          <w:color w:val="000000" w:themeColor="text1"/>
          <w:szCs w:val="16"/>
        </w:rPr>
      </w:pPr>
      <w:r w:rsidRPr="00ED172B">
        <w:rPr>
          <w:color w:val="000000" w:themeColor="text1"/>
          <w:szCs w:val="16"/>
        </w:rPr>
        <w:t>Indicator 8B: Under 34 CFR §303.401(e), the State may adopt a written policy that requires the lead agency to provide notice to the parent of an eligible child with an IFSP of the impending notification to the SEA and LEA under IDEA section 637(a)(9)(A)(ii)(I) and 34 CFR §303.209(b)(1) and (2) and permits the parent within a specified time period to “opt-out” of the referral. Under the State’s opt-out policy, the State is not required to include in the calculation under 8B (in either the numerator or denominator) the number of children for whom the parents have opted out. However, the State must include in the discussion of data, the number of parents who opted out. In addition, any written opt-out policy must be on file with the Department of Education as part of the State’s Part C application under IDEA section 637(a)(9)(A)(ii)(I) and 34 CFR §§303.209(b) and 303.401(d).</w:t>
      </w:r>
    </w:p>
    <w:p w14:paraId="5AB39153" w14:textId="77777777" w:rsidR="00D77E41" w:rsidRPr="00ED172B" w:rsidRDefault="00D77E41" w:rsidP="00D77E41">
      <w:pPr>
        <w:rPr>
          <w:color w:val="000000" w:themeColor="text1"/>
          <w:szCs w:val="16"/>
        </w:rPr>
      </w:pPr>
      <w:r w:rsidRPr="00ED172B">
        <w:rPr>
          <w:color w:val="000000" w:themeColor="text1"/>
          <w:szCs w:val="16"/>
        </w:rPr>
        <w:t>Indicator 8C: The measurement is intended to capture those children for whom a transition conference must be held within the required timeline and, as such, only children between 2 years 3 months and age 3 should be included in the denominator.</w:t>
      </w:r>
    </w:p>
    <w:p w14:paraId="35DB145D" w14:textId="77777777" w:rsidR="00D77E41" w:rsidRPr="00ED172B" w:rsidRDefault="00D77E41" w:rsidP="00D77E41">
      <w:pPr>
        <w:rPr>
          <w:color w:val="000000" w:themeColor="text1"/>
          <w:szCs w:val="16"/>
        </w:rPr>
      </w:pPr>
      <w:r w:rsidRPr="00ED172B">
        <w:rPr>
          <w:color w:val="000000" w:themeColor="text1"/>
          <w:szCs w:val="16"/>
        </w:rPr>
        <w:t>Indicator 8C: Do not include in the calculation, but provide a separate number for those toddlers for whom the parent did not provide approval for the transition conference.</w:t>
      </w:r>
    </w:p>
    <w:p w14:paraId="30A90D40" w14:textId="77777777" w:rsidR="00D77E41" w:rsidRPr="00ED172B" w:rsidRDefault="00D77E41" w:rsidP="00D77E41">
      <w:pPr>
        <w:rPr>
          <w:color w:val="000000" w:themeColor="text1"/>
          <w:szCs w:val="16"/>
        </w:rPr>
      </w:pPr>
      <w:r w:rsidRPr="00ED172B">
        <w:rPr>
          <w:color w:val="000000" w:themeColor="text1"/>
          <w:szCs w:val="16"/>
        </w:rPr>
        <w:t>Indicators 8A, 8B, and 8C: Provide detailed information about the timely correction of noncompliance as noted in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taken.</w:t>
      </w:r>
    </w:p>
    <w:p w14:paraId="606E2571" w14:textId="35D6CF9F" w:rsidR="00D77E41" w:rsidRPr="00ED172B" w:rsidRDefault="00D77E41" w:rsidP="00D77E41">
      <w:pPr>
        <w:rPr>
          <w:color w:val="000000" w:themeColor="text1"/>
          <w:szCs w:val="16"/>
        </w:rPr>
      </w:pPr>
      <w:r w:rsidRPr="00ED172B">
        <w:rPr>
          <w:color w:val="000000" w:themeColor="text1"/>
          <w:szCs w:val="16"/>
        </w:rPr>
        <w:t>If the State reported less than 100% compliance for the previous reporting period (e.g., for the FFY 2021 SPP/APR, the data for FFY 2020), and the State did not identify any findings of noncompliance, provide an explanation of why the State did not identify any findings of noncompliance.</w:t>
      </w:r>
    </w:p>
    <w:p w14:paraId="7C9F4E0B" w14:textId="2B46C8EA" w:rsidR="00D77E41" w:rsidRPr="00A40EE1" w:rsidRDefault="000D0117" w:rsidP="007B0787">
      <w:pPr>
        <w:pStyle w:val="Heading2"/>
      </w:pPr>
      <w:r w:rsidRPr="00A40EE1">
        <w:t xml:space="preserve">8C - </w:t>
      </w:r>
      <w:r w:rsidR="00D77E41" w:rsidRPr="00A40EE1">
        <w:t>Indicator Data</w:t>
      </w:r>
    </w:p>
    <w:p w14:paraId="3B2129A9" w14:textId="65DCDE68" w:rsidR="00DC0682" w:rsidRDefault="00DC0682">
      <w:pPr>
        <w:rPr>
          <w:b/>
          <w:color w:val="000000" w:themeColor="text1"/>
        </w:rPr>
      </w:pPr>
      <w:r w:rsidRPr="00ED172B">
        <w:rPr>
          <w:b/>
          <w:color w:val="000000" w:themeColor="text1"/>
        </w:rPr>
        <w:t>Historical Data</w:t>
      </w:r>
    </w:p>
    <w:tbl>
      <w:tblPr>
        <w:tblW w:w="17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BASELINEDATA"/>
      </w:tblPr>
      <w:tblGrid>
        <w:gridCol w:w="1809"/>
        <w:gridCol w:w="2013"/>
      </w:tblGrid>
      <w:tr w:rsidR="00C25621" w:rsidRPr="00ED172B" w14:paraId="30A17130" w14:textId="77777777" w:rsidTr="00A40EE1">
        <w:trPr>
          <w:trHeight w:val="350"/>
          <w:tblHeader/>
        </w:trPr>
        <w:tc>
          <w:tcPr>
            <w:tcW w:w="4285" w:type="pct"/>
            <w:tcBorders>
              <w:bottom w:val="single" w:sz="4" w:space="0" w:color="auto"/>
            </w:tcBorders>
            <w:shd w:val="clear" w:color="auto" w:fill="auto"/>
            <w:vAlign w:val="center"/>
          </w:tcPr>
          <w:p w14:paraId="08F1A2F9" w14:textId="77777777" w:rsidR="00C25621" w:rsidRPr="001071FD" w:rsidRDefault="00C25621" w:rsidP="00C15786">
            <w:pPr>
              <w:jc w:val="center"/>
              <w:rPr>
                <w:b/>
                <w:bCs/>
                <w:color w:val="000000" w:themeColor="text1"/>
              </w:rPr>
            </w:pPr>
            <w:r>
              <w:rPr>
                <w:b/>
                <w:bCs/>
                <w:color w:val="000000" w:themeColor="text1"/>
              </w:rPr>
              <w:t>Baseline Year</w:t>
            </w:r>
          </w:p>
        </w:tc>
        <w:tc>
          <w:tcPr>
            <w:tcW w:w="715" w:type="pct"/>
            <w:shd w:val="clear" w:color="auto" w:fill="auto"/>
            <w:vAlign w:val="center"/>
          </w:tcPr>
          <w:p w14:paraId="3905DAA3" w14:textId="77777777" w:rsidR="00C25621" w:rsidRPr="001071FD" w:rsidRDefault="00C25621" w:rsidP="00C15786">
            <w:pPr>
              <w:jc w:val="center"/>
              <w:rPr>
                <w:b/>
                <w:bCs/>
                <w:color w:val="000000" w:themeColor="text1"/>
              </w:rPr>
            </w:pPr>
            <w:r w:rsidRPr="001071FD">
              <w:rPr>
                <w:b/>
                <w:bCs/>
                <w:color w:val="000000" w:themeColor="text1"/>
              </w:rPr>
              <w:t>Baseline Data</w:t>
            </w:r>
          </w:p>
        </w:tc>
      </w:tr>
      <w:tr w:rsidR="000378F3" w:rsidRPr="00ED172B" w14:paraId="0424A396" w14:textId="77777777" w:rsidTr="00A40EE1">
        <w:trPr>
          <w:trHeight w:val="350"/>
        </w:trPr>
        <w:tc>
          <w:tcPr>
            <w:tcW w:w="4285" w:type="pct"/>
            <w:tcBorders>
              <w:bottom w:val="single" w:sz="4" w:space="0" w:color="auto"/>
            </w:tcBorders>
            <w:shd w:val="clear" w:color="auto" w:fill="auto"/>
            <w:vAlign w:val="center"/>
          </w:tcPr>
          <w:p w14:paraId="3C800D56" w14:textId="21A7A9C0" w:rsidR="000378F3" w:rsidRPr="00ED172B" w:rsidRDefault="000378F3" w:rsidP="000378F3">
            <w:pPr>
              <w:jc w:val="center"/>
              <w:rPr>
                <w:b/>
                <w:color w:val="000000" w:themeColor="text1"/>
              </w:rPr>
            </w:pPr>
            <w:r w:rsidRPr="00ED172B">
              <w:rPr>
                <w:color w:val="000000" w:themeColor="text1"/>
              </w:rPr>
              <w:t>2005</w:t>
            </w:r>
          </w:p>
        </w:tc>
        <w:tc>
          <w:tcPr>
            <w:tcW w:w="715" w:type="pct"/>
            <w:shd w:val="clear" w:color="auto" w:fill="auto"/>
            <w:vAlign w:val="center"/>
          </w:tcPr>
          <w:p w14:paraId="178C8059" w14:textId="6EB88F64" w:rsidR="000378F3" w:rsidRPr="00ED172B" w:rsidRDefault="000378F3" w:rsidP="000378F3">
            <w:pPr>
              <w:jc w:val="center"/>
              <w:rPr>
                <w:color w:val="000000" w:themeColor="text1"/>
              </w:rPr>
            </w:pPr>
            <w:r w:rsidRPr="00ED172B">
              <w:rPr>
                <w:color w:val="000000" w:themeColor="text1"/>
              </w:rPr>
              <w:t>97.70%</w:t>
            </w:r>
          </w:p>
        </w:tc>
      </w:tr>
    </w:tbl>
    <w:p w14:paraId="654D1CBD" w14:textId="77777777" w:rsidR="00C25621" w:rsidRPr="00ED172B" w:rsidRDefault="00C25621">
      <w:pPr>
        <w:rPr>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HISTDATA"/>
      </w:tblPr>
      <w:tblGrid>
        <w:gridCol w:w="550"/>
        <w:gridCol w:w="2048"/>
        <w:gridCol w:w="2048"/>
        <w:gridCol w:w="2048"/>
        <w:gridCol w:w="2048"/>
        <w:gridCol w:w="2048"/>
      </w:tblGrid>
      <w:tr w:rsidR="00ED172B" w:rsidRPr="00ED172B" w14:paraId="2758FAB4" w14:textId="77777777" w:rsidTr="00A40EE1">
        <w:trPr>
          <w:trHeight w:val="350"/>
        </w:trPr>
        <w:tc>
          <w:tcPr>
            <w:tcW w:w="317" w:type="pct"/>
            <w:tcBorders>
              <w:bottom w:val="single" w:sz="4" w:space="0" w:color="auto"/>
            </w:tcBorders>
            <w:shd w:val="clear" w:color="auto" w:fill="auto"/>
          </w:tcPr>
          <w:p w14:paraId="695712EA" w14:textId="77777777" w:rsidR="00DC0682" w:rsidRPr="00ED172B" w:rsidRDefault="00DC0682" w:rsidP="00186420">
            <w:pPr>
              <w:jc w:val="center"/>
              <w:rPr>
                <w:b/>
                <w:color w:val="000000" w:themeColor="text1"/>
                <w:szCs w:val="16"/>
              </w:rPr>
            </w:pPr>
            <w:r w:rsidRPr="00ED172B">
              <w:rPr>
                <w:b/>
                <w:color w:val="000000" w:themeColor="text1"/>
                <w:szCs w:val="16"/>
              </w:rPr>
              <w:t>FFY</w:t>
            </w:r>
          </w:p>
        </w:tc>
        <w:tc>
          <w:tcPr>
            <w:tcW w:w="937" w:type="pct"/>
            <w:shd w:val="clear" w:color="auto" w:fill="auto"/>
            <w:vAlign w:val="center"/>
          </w:tcPr>
          <w:p w14:paraId="4C7D7D03" w14:textId="5146FA9E" w:rsidR="00DC0682" w:rsidRPr="00ED172B" w:rsidRDefault="002163F2" w:rsidP="00CD79C5">
            <w:pPr>
              <w:jc w:val="center"/>
              <w:rPr>
                <w:b/>
                <w:color w:val="000000" w:themeColor="text1"/>
                <w:szCs w:val="16"/>
              </w:rPr>
            </w:pPr>
            <w:r w:rsidRPr="00ED172B">
              <w:rPr>
                <w:rFonts w:cs="Arial"/>
                <w:b/>
                <w:color w:val="000000" w:themeColor="text1"/>
                <w:szCs w:val="16"/>
              </w:rPr>
              <w:t>2016</w:t>
            </w:r>
          </w:p>
        </w:tc>
        <w:tc>
          <w:tcPr>
            <w:tcW w:w="937" w:type="pct"/>
            <w:shd w:val="clear" w:color="auto" w:fill="auto"/>
            <w:vAlign w:val="center"/>
          </w:tcPr>
          <w:p w14:paraId="0531CC69" w14:textId="4A4C6B62" w:rsidR="00DC0682" w:rsidRPr="00ED172B" w:rsidRDefault="002163F2" w:rsidP="00CD79C5">
            <w:pPr>
              <w:jc w:val="center"/>
              <w:rPr>
                <w:b/>
                <w:color w:val="000000" w:themeColor="text1"/>
                <w:szCs w:val="16"/>
              </w:rPr>
            </w:pPr>
            <w:r w:rsidRPr="00ED172B">
              <w:rPr>
                <w:rFonts w:cs="Arial"/>
                <w:b/>
                <w:color w:val="000000" w:themeColor="text1"/>
                <w:szCs w:val="16"/>
              </w:rPr>
              <w:t>2017</w:t>
            </w:r>
          </w:p>
        </w:tc>
        <w:tc>
          <w:tcPr>
            <w:tcW w:w="937" w:type="pct"/>
            <w:shd w:val="clear" w:color="auto" w:fill="auto"/>
            <w:vAlign w:val="center"/>
          </w:tcPr>
          <w:p w14:paraId="627B9655" w14:textId="2E85ECC1" w:rsidR="00DC0682" w:rsidRPr="00ED172B" w:rsidRDefault="002163F2" w:rsidP="00CD79C5">
            <w:pPr>
              <w:jc w:val="center"/>
              <w:rPr>
                <w:b/>
                <w:color w:val="000000" w:themeColor="text1"/>
                <w:szCs w:val="16"/>
              </w:rPr>
            </w:pPr>
            <w:r w:rsidRPr="00ED172B">
              <w:rPr>
                <w:rFonts w:cs="Arial"/>
                <w:b/>
                <w:color w:val="000000" w:themeColor="text1"/>
                <w:szCs w:val="16"/>
              </w:rPr>
              <w:t>2018</w:t>
            </w:r>
          </w:p>
        </w:tc>
        <w:tc>
          <w:tcPr>
            <w:tcW w:w="937" w:type="pct"/>
            <w:shd w:val="clear" w:color="auto" w:fill="auto"/>
            <w:vAlign w:val="center"/>
          </w:tcPr>
          <w:p w14:paraId="3A4331F1" w14:textId="73B7B60C" w:rsidR="00DC0682" w:rsidRPr="00ED172B" w:rsidRDefault="002163F2" w:rsidP="00CD79C5">
            <w:pPr>
              <w:jc w:val="center"/>
              <w:rPr>
                <w:b/>
                <w:color w:val="000000" w:themeColor="text1"/>
                <w:szCs w:val="16"/>
              </w:rPr>
            </w:pPr>
            <w:r w:rsidRPr="00ED172B">
              <w:rPr>
                <w:rFonts w:cs="Arial"/>
                <w:b/>
                <w:color w:val="000000" w:themeColor="text1"/>
                <w:szCs w:val="16"/>
              </w:rPr>
              <w:t>2019</w:t>
            </w:r>
          </w:p>
        </w:tc>
        <w:tc>
          <w:tcPr>
            <w:tcW w:w="937" w:type="pct"/>
            <w:shd w:val="clear" w:color="auto" w:fill="auto"/>
            <w:vAlign w:val="center"/>
          </w:tcPr>
          <w:p w14:paraId="3EDFB614" w14:textId="521411CB" w:rsidR="00DC0682" w:rsidRPr="00ED172B" w:rsidRDefault="006D43D3" w:rsidP="00CD79C5">
            <w:pPr>
              <w:jc w:val="center"/>
              <w:rPr>
                <w:b/>
                <w:color w:val="000000" w:themeColor="text1"/>
                <w:szCs w:val="16"/>
              </w:rPr>
            </w:pPr>
            <w:r w:rsidRPr="00ED172B">
              <w:rPr>
                <w:rFonts w:cs="Arial"/>
                <w:b/>
                <w:color w:val="000000" w:themeColor="text1"/>
                <w:szCs w:val="16"/>
              </w:rPr>
              <w:t>2020</w:t>
            </w:r>
          </w:p>
        </w:tc>
      </w:tr>
      <w:tr w:rsidR="00ED172B" w:rsidRPr="00ED172B" w14:paraId="7BEE33EE" w14:textId="77777777" w:rsidTr="00A40EE1">
        <w:trPr>
          <w:trHeight w:val="357"/>
        </w:trPr>
        <w:tc>
          <w:tcPr>
            <w:tcW w:w="317" w:type="pct"/>
            <w:shd w:val="clear" w:color="auto" w:fill="auto"/>
          </w:tcPr>
          <w:p w14:paraId="1B969246" w14:textId="77777777" w:rsidR="00DC0682" w:rsidRPr="00ED172B" w:rsidRDefault="00DC0682" w:rsidP="00B83404">
            <w:pPr>
              <w:rPr>
                <w:color w:val="000000" w:themeColor="text1"/>
                <w:szCs w:val="16"/>
              </w:rPr>
            </w:pPr>
            <w:r w:rsidRPr="00ED172B">
              <w:rPr>
                <w:color w:val="000000" w:themeColor="text1"/>
                <w:szCs w:val="16"/>
              </w:rPr>
              <w:t xml:space="preserve">Target </w:t>
            </w:r>
          </w:p>
        </w:tc>
        <w:tc>
          <w:tcPr>
            <w:tcW w:w="937" w:type="pct"/>
            <w:shd w:val="clear" w:color="auto" w:fill="auto"/>
          </w:tcPr>
          <w:p w14:paraId="7A765AD2" w14:textId="66FB6C70"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298730DD" w14:textId="567C00C5"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26A4A74" w14:textId="6E36579C"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02B71884" w14:textId="35CBF7E7" w:rsidR="00DC0682" w:rsidRPr="00ED172B" w:rsidRDefault="00896860" w:rsidP="00CD79C5">
            <w:pPr>
              <w:jc w:val="center"/>
              <w:rPr>
                <w:color w:val="000000" w:themeColor="text1"/>
                <w:szCs w:val="16"/>
              </w:rPr>
            </w:pPr>
            <w:r w:rsidRPr="00ED172B">
              <w:rPr>
                <w:color w:val="000000" w:themeColor="text1"/>
                <w:szCs w:val="16"/>
              </w:rPr>
              <w:t>100%</w:t>
            </w:r>
          </w:p>
        </w:tc>
        <w:tc>
          <w:tcPr>
            <w:tcW w:w="937" w:type="pct"/>
            <w:shd w:val="clear" w:color="auto" w:fill="auto"/>
          </w:tcPr>
          <w:p w14:paraId="4534214C" w14:textId="6CF2390C" w:rsidR="00DC0682" w:rsidRPr="00ED172B" w:rsidRDefault="00896860" w:rsidP="00CD79C5">
            <w:pPr>
              <w:jc w:val="center"/>
              <w:rPr>
                <w:color w:val="000000" w:themeColor="text1"/>
                <w:szCs w:val="16"/>
              </w:rPr>
            </w:pPr>
            <w:r w:rsidRPr="00ED172B">
              <w:rPr>
                <w:color w:val="000000" w:themeColor="text1"/>
                <w:szCs w:val="16"/>
              </w:rPr>
              <w:t>100%</w:t>
            </w:r>
          </w:p>
        </w:tc>
      </w:tr>
      <w:tr w:rsidR="00ED172B" w:rsidRPr="00ED172B" w14:paraId="5C007E21" w14:textId="77777777" w:rsidTr="00A40EE1">
        <w:trPr>
          <w:trHeight w:val="85"/>
        </w:trPr>
        <w:tc>
          <w:tcPr>
            <w:tcW w:w="317" w:type="pct"/>
            <w:shd w:val="clear" w:color="auto" w:fill="auto"/>
          </w:tcPr>
          <w:p w14:paraId="7C4B21B3" w14:textId="77777777" w:rsidR="00DC0682" w:rsidRPr="00ED172B" w:rsidRDefault="00DC0682" w:rsidP="00B83404">
            <w:pPr>
              <w:rPr>
                <w:color w:val="000000" w:themeColor="text1"/>
                <w:szCs w:val="16"/>
              </w:rPr>
            </w:pPr>
            <w:r w:rsidRPr="00ED172B">
              <w:rPr>
                <w:color w:val="000000" w:themeColor="text1"/>
                <w:szCs w:val="16"/>
              </w:rPr>
              <w:lastRenderedPageBreak/>
              <w:t>Data</w:t>
            </w:r>
          </w:p>
        </w:tc>
        <w:tc>
          <w:tcPr>
            <w:tcW w:w="937" w:type="pct"/>
            <w:shd w:val="clear" w:color="auto" w:fill="auto"/>
            <w:vAlign w:val="center"/>
          </w:tcPr>
          <w:p w14:paraId="6958D420" w14:textId="788EF07E" w:rsidR="00DC0682" w:rsidRPr="00ED172B" w:rsidRDefault="00860830" w:rsidP="00CD79C5">
            <w:pPr>
              <w:jc w:val="center"/>
              <w:rPr>
                <w:color w:val="000000" w:themeColor="text1"/>
                <w:szCs w:val="16"/>
              </w:rPr>
            </w:pPr>
            <w:r w:rsidRPr="00ED172B">
              <w:rPr>
                <w:rFonts w:cs="Arial"/>
                <w:color w:val="000000" w:themeColor="text1"/>
                <w:szCs w:val="16"/>
              </w:rPr>
              <w:t>99.77%</w:t>
            </w:r>
          </w:p>
        </w:tc>
        <w:tc>
          <w:tcPr>
            <w:tcW w:w="937" w:type="pct"/>
            <w:tcBorders>
              <w:bottom w:val="single" w:sz="4" w:space="0" w:color="auto"/>
            </w:tcBorders>
            <w:shd w:val="clear" w:color="auto" w:fill="auto"/>
            <w:vAlign w:val="center"/>
          </w:tcPr>
          <w:p w14:paraId="0FCEB275" w14:textId="6D1C5DA8" w:rsidR="00DC0682" w:rsidRPr="00ED172B" w:rsidRDefault="00860830" w:rsidP="00CD79C5">
            <w:pPr>
              <w:jc w:val="center"/>
              <w:rPr>
                <w:color w:val="000000" w:themeColor="text1"/>
                <w:szCs w:val="16"/>
              </w:rPr>
            </w:pPr>
            <w:r w:rsidRPr="00ED172B">
              <w:rPr>
                <w:rFonts w:cs="Arial"/>
                <w:color w:val="000000" w:themeColor="text1"/>
                <w:szCs w:val="16"/>
              </w:rPr>
              <w:t>99.89%</w:t>
            </w:r>
          </w:p>
        </w:tc>
        <w:tc>
          <w:tcPr>
            <w:tcW w:w="937" w:type="pct"/>
            <w:tcBorders>
              <w:bottom w:val="single" w:sz="4" w:space="0" w:color="auto"/>
            </w:tcBorders>
            <w:shd w:val="clear" w:color="auto" w:fill="auto"/>
            <w:vAlign w:val="center"/>
          </w:tcPr>
          <w:p w14:paraId="07A0FC63" w14:textId="1E853085" w:rsidR="00DC0682" w:rsidRPr="00ED172B" w:rsidRDefault="00860830" w:rsidP="00CD79C5">
            <w:pPr>
              <w:jc w:val="center"/>
              <w:rPr>
                <w:color w:val="000000" w:themeColor="text1"/>
                <w:szCs w:val="16"/>
              </w:rPr>
            </w:pPr>
            <w:r w:rsidRPr="00ED172B">
              <w:rPr>
                <w:rFonts w:cs="Arial"/>
                <w:color w:val="000000" w:themeColor="text1"/>
                <w:szCs w:val="16"/>
              </w:rPr>
              <w:t>98.64%</w:t>
            </w:r>
          </w:p>
        </w:tc>
        <w:tc>
          <w:tcPr>
            <w:tcW w:w="937" w:type="pct"/>
            <w:tcBorders>
              <w:bottom w:val="single" w:sz="4" w:space="0" w:color="auto"/>
            </w:tcBorders>
            <w:shd w:val="clear" w:color="auto" w:fill="auto"/>
            <w:vAlign w:val="center"/>
          </w:tcPr>
          <w:p w14:paraId="45FF1930" w14:textId="6983E3B1" w:rsidR="00DC0682" w:rsidRPr="00ED172B" w:rsidRDefault="00860830" w:rsidP="00CD79C5">
            <w:pPr>
              <w:jc w:val="center"/>
              <w:rPr>
                <w:color w:val="000000" w:themeColor="text1"/>
                <w:szCs w:val="16"/>
              </w:rPr>
            </w:pPr>
            <w:r w:rsidRPr="00ED172B">
              <w:rPr>
                <w:rFonts w:cs="Arial"/>
                <w:color w:val="000000" w:themeColor="text1"/>
                <w:szCs w:val="16"/>
              </w:rPr>
              <w:t>99.80%</w:t>
            </w:r>
          </w:p>
        </w:tc>
        <w:tc>
          <w:tcPr>
            <w:tcW w:w="937" w:type="pct"/>
            <w:tcBorders>
              <w:bottom w:val="single" w:sz="4" w:space="0" w:color="auto"/>
            </w:tcBorders>
            <w:shd w:val="clear" w:color="auto" w:fill="auto"/>
            <w:vAlign w:val="center"/>
          </w:tcPr>
          <w:p w14:paraId="66761B41" w14:textId="671A36D9" w:rsidR="00DC0682" w:rsidRPr="00ED172B" w:rsidRDefault="00860830" w:rsidP="00CD79C5">
            <w:pPr>
              <w:jc w:val="center"/>
              <w:rPr>
                <w:color w:val="000000" w:themeColor="text1"/>
                <w:szCs w:val="16"/>
              </w:rPr>
            </w:pPr>
            <w:r w:rsidRPr="00ED172B">
              <w:rPr>
                <w:rFonts w:cs="Arial"/>
                <w:color w:val="000000" w:themeColor="text1"/>
                <w:szCs w:val="16"/>
              </w:rPr>
              <w:t>98.48%</w:t>
            </w:r>
          </w:p>
        </w:tc>
      </w:tr>
    </w:tbl>
    <w:p w14:paraId="1AFB914D" w14:textId="77777777" w:rsidR="008A4FF2" w:rsidRPr="00ED172B" w:rsidRDefault="008A4FF2">
      <w:pPr>
        <w:rPr>
          <w:b/>
          <w:color w:val="000000" w:themeColor="text1"/>
        </w:rPr>
      </w:pPr>
    </w:p>
    <w:p w14:paraId="211F56D1" w14:textId="77777777" w:rsidR="008A4FF2" w:rsidRPr="00ED172B" w:rsidRDefault="008A4FF2">
      <w:pPr>
        <w:rPr>
          <w:b/>
          <w:color w:val="000000" w:themeColor="text1"/>
        </w:rPr>
      </w:pPr>
    </w:p>
    <w:p w14:paraId="19F398F3" w14:textId="7D1EC959" w:rsidR="00DC0682" w:rsidRPr="00ED172B" w:rsidRDefault="00DC0682">
      <w:pPr>
        <w:rPr>
          <w:b/>
          <w:color w:val="000000" w:themeColor="text1"/>
        </w:rPr>
      </w:pPr>
      <w:r w:rsidRPr="00ED172B">
        <w:rPr>
          <w:b/>
          <w:color w:val="000000" w:themeColor="text1"/>
        </w:rPr>
        <w:t>Targets</w:t>
      </w:r>
    </w:p>
    <w:tbl>
      <w:tblPr>
        <w:tblW w:w="41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08CTARGETS"/>
      </w:tblPr>
      <w:tblGrid>
        <w:gridCol w:w="554"/>
        <w:gridCol w:w="1944"/>
        <w:gridCol w:w="2073"/>
        <w:gridCol w:w="2073"/>
        <w:gridCol w:w="2073"/>
        <w:gridCol w:w="2073"/>
      </w:tblGrid>
      <w:tr w:rsidR="009E2382" w:rsidRPr="00ED172B" w14:paraId="4A0A94D5" w14:textId="2110C8A4" w:rsidTr="006B0ACA">
        <w:trPr>
          <w:trHeight w:val="328"/>
        </w:trPr>
        <w:tc>
          <w:tcPr>
            <w:tcW w:w="272" w:type="pct"/>
            <w:tcBorders>
              <w:bottom w:val="single" w:sz="4" w:space="0" w:color="auto"/>
            </w:tcBorders>
            <w:shd w:val="clear" w:color="auto" w:fill="auto"/>
          </w:tcPr>
          <w:p w14:paraId="313F5767" w14:textId="77777777" w:rsidR="009E2382" w:rsidRPr="00ED172B" w:rsidRDefault="009E2382" w:rsidP="00A74C59">
            <w:pPr>
              <w:jc w:val="center"/>
              <w:rPr>
                <w:b/>
                <w:color w:val="000000" w:themeColor="text1"/>
                <w:szCs w:val="16"/>
              </w:rPr>
            </w:pPr>
            <w:r w:rsidRPr="00ED172B">
              <w:rPr>
                <w:b/>
                <w:color w:val="000000" w:themeColor="text1"/>
                <w:szCs w:val="16"/>
              </w:rPr>
              <w:t>FFY</w:t>
            </w:r>
          </w:p>
        </w:tc>
        <w:tc>
          <w:tcPr>
            <w:tcW w:w="899" w:type="pct"/>
            <w:shd w:val="clear" w:color="auto" w:fill="auto"/>
            <w:vAlign w:val="center"/>
          </w:tcPr>
          <w:p w14:paraId="6608DBF0" w14:textId="3185DA2A" w:rsidR="009E2382" w:rsidRPr="00ED172B" w:rsidRDefault="009E2382" w:rsidP="00A74C59">
            <w:pPr>
              <w:jc w:val="center"/>
              <w:rPr>
                <w:b/>
                <w:color w:val="000000" w:themeColor="text1"/>
                <w:szCs w:val="16"/>
              </w:rPr>
            </w:pPr>
            <w:r w:rsidRPr="00ED172B">
              <w:rPr>
                <w:rFonts w:cs="Arial"/>
                <w:b/>
                <w:color w:val="000000" w:themeColor="text1"/>
                <w:szCs w:val="16"/>
              </w:rPr>
              <w:t>2021</w:t>
            </w:r>
          </w:p>
        </w:tc>
        <w:tc>
          <w:tcPr>
            <w:tcW w:w="957" w:type="pct"/>
          </w:tcPr>
          <w:p w14:paraId="1BEDEEFC" w14:textId="6DD58D98" w:rsidR="009E2382" w:rsidRPr="00ED172B" w:rsidRDefault="009E2382" w:rsidP="00A74C59">
            <w:pPr>
              <w:jc w:val="center"/>
              <w:rPr>
                <w:rFonts w:cs="Arial"/>
                <w:b/>
                <w:color w:val="000000" w:themeColor="text1"/>
                <w:szCs w:val="16"/>
              </w:rPr>
            </w:pPr>
            <w:r>
              <w:rPr>
                <w:rFonts w:cs="Arial"/>
                <w:b/>
                <w:color w:val="000000" w:themeColor="text1"/>
                <w:szCs w:val="16"/>
              </w:rPr>
              <w:t>2022</w:t>
            </w:r>
          </w:p>
        </w:tc>
        <w:tc>
          <w:tcPr>
            <w:tcW w:w="957" w:type="pct"/>
          </w:tcPr>
          <w:p w14:paraId="11F5F4E5" w14:textId="34A5E91F" w:rsidR="009E2382" w:rsidRPr="00ED172B" w:rsidRDefault="009E2382" w:rsidP="00A74C59">
            <w:pPr>
              <w:jc w:val="center"/>
              <w:rPr>
                <w:rFonts w:cs="Arial"/>
                <w:b/>
                <w:color w:val="000000" w:themeColor="text1"/>
                <w:szCs w:val="16"/>
              </w:rPr>
            </w:pPr>
            <w:r w:rsidRPr="005A1B4F">
              <w:rPr>
                <w:rFonts w:cs="Arial"/>
                <w:b/>
                <w:color w:val="000000" w:themeColor="text1"/>
                <w:szCs w:val="16"/>
              </w:rPr>
              <w:t>2023</w:t>
            </w:r>
          </w:p>
        </w:tc>
        <w:tc>
          <w:tcPr>
            <w:tcW w:w="957" w:type="pct"/>
          </w:tcPr>
          <w:p w14:paraId="23C0A346" w14:textId="5BED0920" w:rsidR="009E2382" w:rsidRPr="00ED172B" w:rsidRDefault="009E2382" w:rsidP="00A74C59">
            <w:pPr>
              <w:jc w:val="center"/>
              <w:rPr>
                <w:rFonts w:cs="Arial"/>
                <w:b/>
                <w:color w:val="000000" w:themeColor="text1"/>
                <w:szCs w:val="16"/>
              </w:rPr>
            </w:pPr>
            <w:r w:rsidRPr="005A1B4F">
              <w:rPr>
                <w:rFonts w:cs="Arial"/>
                <w:b/>
                <w:color w:val="000000" w:themeColor="text1"/>
                <w:szCs w:val="16"/>
              </w:rPr>
              <w:t>2024</w:t>
            </w:r>
          </w:p>
        </w:tc>
        <w:tc>
          <w:tcPr>
            <w:tcW w:w="957" w:type="pct"/>
          </w:tcPr>
          <w:p w14:paraId="3044831B" w14:textId="2F83F9AD" w:rsidR="009E2382" w:rsidRPr="00ED172B" w:rsidRDefault="009E2382" w:rsidP="00A74C59">
            <w:pPr>
              <w:jc w:val="center"/>
              <w:rPr>
                <w:rFonts w:cs="Arial"/>
                <w:b/>
                <w:color w:val="000000" w:themeColor="text1"/>
                <w:szCs w:val="16"/>
              </w:rPr>
            </w:pPr>
            <w:r w:rsidRPr="005A1B4F">
              <w:rPr>
                <w:rFonts w:cs="Arial"/>
                <w:b/>
                <w:color w:val="000000" w:themeColor="text1"/>
                <w:szCs w:val="16"/>
              </w:rPr>
              <w:t>2025</w:t>
            </w:r>
          </w:p>
        </w:tc>
      </w:tr>
      <w:tr w:rsidR="009E2382" w:rsidRPr="00ED172B" w14:paraId="330A4207" w14:textId="28309058" w:rsidTr="006B0ACA">
        <w:trPr>
          <w:trHeight w:val="334"/>
        </w:trPr>
        <w:tc>
          <w:tcPr>
            <w:tcW w:w="272" w:type="pct"/>
            <w:shd w:val="clear" w:color="auto" w:fill="auto"/>
          </w:tcPr>
          <w:p w14:paraId="12FC7A89" w14:textId="77777777" w:rsidR="009E2382" w:rsidRPr="00ED172B" w:rsidRDefault="009E2382" w:rsidP="00A74C59">
            <w:pPr>
              <w:rPr>
                <w:color w:val="000000" w:themeColor="text1"/>
                <w:szCs w:val="16"/>
              </w:rPr>
            </w:pPr>
            <w:r w:rsidRPr="00ED172B">
              <w:rPr>
                <w:color w:val="000000" w:themeColor="text1"/>
                <w:szCs w:val="16"/>
              </w:rPr>
              <w:t>Target</w:t>
            </w:r>
          </w:p>
        </w:tc>
        <w:tc>
          <w:tcPr>
            <w:tcW w:w="899" w:type="pct"/>
            <w:shd w:val="clear" w:color="auto" w:fill="auto"/>
          </w:tcPr>
          <w:p w14:paraId="7AF5945C" w14:textId="2C6978AD" w:rsidR="009E2382" w:rsidRPr="00ED172B" w:rsidRDefault="009E2382" w:rsidP="00A74C59">
            <w:pPr>
              <w:jc w:val="center"/>
              <w:rPr>
                <w:color w:val="000000" w:themeColor="text1"/>
                <w:szCs w:val="16"/>
              </w:rPr>
            </w:pPr>
            <w:r w:rsidRPr="00ED172B">
              <w:rPr>
                <w:color w:val="000000" w:themeColor="text1"/>
                <w:szCs w:val="16"/>
              </w:rPr>
              <w:t>100%</w:t>
            </w:r>
          </w:p>
        </w:tc>
        <w:tc>
          <w:tcPr>
            <w:tcW w:w="957" w:type="pct"/>
          </w:tcPr>
          <w:p w14:paraId="6A1E3CBC" w14:textId="7AF93675" w:rsidR="009E2382" w:rsidRPr="00ED172B" w:rsidRDefault="009E2382" w:rsidP="00A74C59">
            <w:pPr>
              <w:jc w:val="center"/>
              <w:rPr>
                <w:color w:val="000000" w:themeColor="text1"/>
                <w:szCs w:val="16"/>
              </w:rPr>
            </w:pPr>
            <w:r>
              <w:rPr>
                <w:rFonts w:cs="Arial"/>
                <w:color w:val="000000" w:themeColor="text1"/>
                <w:szCs w:val="16"/>
              </w:rPr>
              <w:t>100%</w:t>
            </w:r>
          </w:p>
        </w:tc>
        <w:tc>
          <w:tcPr>
            <w:tcW w:w="957" w:type="pct"/>
          </w:tcPr>
          <w:p w14:paraId="250CDE0D" w14:textId="2C29838D" w:rsidR="009E2382" w:rsidRPr="00ED172B" w:rsidRDefault="009E2382" w:rsidP="00A74C59">
            <w:pPr>
              <w:jc w:val="center"/>
              <w:rPr>
                <w:color w:val="000000" w:themeColor="text1"/>
                <w:szCs w:val="16"/>
              </w:rPr>
            </w:pPr>
            <w:r w:rsidRPr="005F5F3C">
              <w:rPr>
                <w:rFonts w:cs="Arial"/>
                <w:color w:val="000000" w:themeColor="text1"/>
                <w:szCs w:val="16"/>
              </w:rPr>
              <w:t>100%</w:t>
            </w:r>
          </w:p>
        </w:tc>
        <w:tc>
          <w:tcPr>
            <w:tcW w:w="957" w:type="pct"/>
          </w:tcPr>
          <w:p w14:paraId="79AF65D2" w14:textId="1AB28DA5" w:rsidR="009E2382" w:rsidRPr="00ED172B" w:rsidRDefault="009E2382" w:rsidP="00A74C59">
            <w:pPr>
              <w:jc w:val="center"/>
              <w:rPr>
                <w:color w:val="000000" w:themeColor="text1"/>
                <w:szCs w:val="16"/>
              </w:rPr>
            </w:pPr>
            <w:r w:rsidRPr="005F5F3C">
              <w:rPr>
                <w:rFonts w:cs="Arial"/>
                <w:color w:val="000000" w:themeColor="text1"/>
                <w:szCs w:val="16"/>
              </w:rPr>
              <w:t>100%</w:t>
            </w:r>
          </w:p>
        </w:tc>
        <w:tc>
          <w:tcPr>
            <w:tcW w:w="957" w:type="pct"/>
          </w:tcPr>
          <w:p w14:paraId="58E225F8" w14:textId="5F3C59E5" w:rsidR="009E2382" w:rsidRPr="00ED172B" w:rsidRDefault="009E2382" w:rsidP="00A74C59">
            <w:pPr>
              <w:jc w:val="center"/>
              <w:rPr>
                <w:color w:val="000000" w:themeColor="text1"/>
                <w:szCs w:val="16"/>
              </w:rPr>
            </w:pPr>
            <w:r w:rsidRPr="005F5F3C">
              <w:rPr>
                <w:rFonts w:cs="Arial"/>
                <w:color w:val="000000" w:themeColor="text1"/>
                <w:szCs w:val="16"/>
              </w:rPr>
              <w:t>100%</w:t>
            </w:r>
          </w:p>
        </w:tc>
      </w:tr>
    </w:tbl>
    <w:p w14:paraId="4A23C4F7" w14:textId="0CE7EA58" w:rsidR="003C1AB9" w:rsidRPr="00ED172B" w:rsidRDefault="00F22D09">
      <w:pPr>
        <w:rPr>
          <w:b/>
          <w:color w:val="000000" w:themeColor="text1"/>
        </w:rPr>
      </w:pPr>
      <w:r>
        <w:rPr>
          <w:b/>
          <w:color w:val="000000" w:themeColor="text1"/>
        </w:rPr>
        <w:t>FFY 2021 SPP/APR Data</w:t>
      </w:r>
    </w:p>
    <w:p w14:paraId="4035DB23" w14:textId="07CE3251" w:rsidR="00D3572A" w:rsidRPr="00ED172B" w:rsidRDefault="00D3572A">
      <w:pPr>
        <w:rPr>
          <w:b/>
          <w:color w:val="000000" w:themeColor="text1"/>
          <w:szCs w:val="16"/>
        </w:rPr>
      </w:pPr>
      <w:r w:rsidRPr="00ED172B">
        <w:rPr>
          <w:b/>
          <w:color w:val="000000" w:themeColor="text1"/>
          <w:szCs w:val="16"/>
        </w:rPr>
        <w:t>Data reflect only those toddlers for whom the Lead Agency has conducted the transition conference held with the approval of the family at least 90 days, and at the discretion of all parties, not more than nine months, prior to the toddler’s third birthday for toddlers potentially eligible for Part B preschool services. (yes/no)</w:t>
      </w:r>
    </w:p>
    <w:p w14:paraId="5B3147C6" w14:textId="45B7172C" w:rsidR="00D3572A" w:rsidRDefault="00D3572A">
      <w:pPr>
        <w:rPr>
          <w:color w:val="000000" w:themeColor="text1"/>
          <w:szCs w:val="16"/>
        </w:rPr>
      </w:pPr>
      <w:r w:rsidRPr="00ED172B">
        <w:rPr>
          <w:color w:val="000000" w:themeColor="text1"/>
          <w:szCs w:val="16"/>
        </w:rPr>
        <w:t>YES</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08CFFYAPRDATA"/>
      </w:tblPr>
      <w:tblGrid>
        <w:gridCol w:w="3150"/>
        <w:gridCol w:w="1621"/>
        <w:gridCol w:w="1349"/>
        <w:gridCol w:w="1170"/>
        <w:gridCol w:w="1170"/>
        <w:gridCol w:w="1170"/>
        <w:gridCol w:w="1164"/>
      </w:tblGrid>
      <w:tr w:rsidR="00ED172B" w:rsidRPr="00ED172B" w14:paraId="232692C6" w14:textId="77777777" w:rsidTr="00986B99">
        <w:trPr>
          <w:trHeight w:val="359"/>
          <w:tblHeader/>
        </w:trPr>
        <w:tc>
          <w:tcPr>
            <w:tcW w:w="1459" w:type="pct"/>
            <w:shd w:val="clear" w:color="auto" w:fill="auto"/>
            <w:vAlign w:val="bottom"/>
          </w:tcPr>
          <w:p w14:paraId="334B5817" w14:textId="0244E7E6"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where the transition conference occurred at least 90 days, and at the discretion of all parties not more than nine months prior to the toddler’s third birthday for toddlers potentially eligible for Part B</w:t>
            </w:r>
          </w:p>
        </w:tc>
        <w:tc>
          <w:tcPr>
            <w:tcW w:w="751" w:type="pct"/>
            <w:shd w:val="clear" w:color="auto" w:fill="auto"/>
            <w:vAlign w:val="bottom"/>
          </w:tcPr>
          <w:p w14:paraId="6C7F2A31" w14:textId="58F67E85" w:rsidR="00781A26" w:rsidRPr="00ED172B" w:rsidRDefault="00781A26" w:rsidP="00781A26">
            <w:pPr>
              <w:jc w:val="center"/>
              <w:rPr>
                <w:b/>
                <w:color w:val="000000" w:themeColor="text1"/>
                <w:szCs w:val="16"/>
              </w:rPr>
            </w:pPr>
            <w:r w:rsidRPr="00ED172B">
              <w:rPr>
                <w:b/>
                <w:color w:val="000000" w:themeColor="text1"/>
                <w:szCs w:val="16"/>
              </w:rPr>
              <w:t>Number of toddlers with disabilities exiting Part C who were potentially eligible for Part B</w:t>
            </w:r>
          </w:p>
        </w:tc>
        <w:tc>
          <w:tcPr>
            <w:tcW w:w="625" w:type="pct"/>
            <w:shd w:val="clear" w:color="auto" w:fill="auto"/>
            <w:vAlign w:val="bottom"/>
          </w:tcPr>
          <w:p w14:paraId="658290B6" w14:textId="3815F4CE" w:rsidR="00781A26" w:rsidRPr="00ED172B" w:rsidRDefault="00CD74B5" w:rsidP="00781A26">
            <w:pPr>
              <w:jc w:val="center"/>
              <w:rPr>
                <w:b/>
                <w:color w:val="000000" w:themeColor="text1"/>
                <w:szCs w:val="16"/>
              </w:rPr>
            </w:pPr>
            <w:r>
              <w:rPr>
                <w:rFonts w:cs="Arial"/>
                <w:b/>
                <w:color w:val="000000" w:themeColor="text1"/>
                <w:szCs w:val="16"/>
              </w:rPr>
              <w:t>FFY 2020 Data</w:t>
            </w:r>
          </w:p>
        </w:tc>
        <w:tc>
          <w:tcPr>
            <w:tcW w:w="542" w:type="pct"/>
            <w:shd w:val="clear" w:color="auto" w:fill="auto"/>
            <w:vAlign w:val="bottom"/>
          </w:tcPr>
          <w:p w14:paraId="5CF67A25" w14:textId="3D5D5D93" w:rsidR="00781A26" w:rsidRPr="00ED172B" w:rsidRDefault="00F22D09" w:rsidP="00781A26">
            <w:pPr>
              <w:jc w:val="center"/>
              <w:rPr>
                <w:b/>
                <w:color w:val="000000" w:themeColor="text1"/>
                <w:szCs w:val="16"/>
              </w:rPr>
            </w:pPr>
            <w:r>
              <w:rPr>
                <w:rFonts w:cs="Arial"/>
                <w:b/>
                <w:color w:val="000000" w:themeColor="text1"/>
                <w:szCs w:val="16"/>
              </w:rPr>
              <w:t>FFY 2021 Target</w:t>
            </w:r>
          </w:p>
        </w:tc>
        <w:tc>
          <w:tcPr>
            <w:tcW w:w="542" w:type="pct"/>
            <w:shd w:val="clear" w:color="auto" w:fill="auto"/>
            <w:vAlign w:val="bottom"/>
          </w:tcPr>
          <w:p w14:paraId="76B8CA16" w14:textId="41DBA8F8" w:rsidR="00781A26" w:rsidRPr="00ED172B" w:rsidRDefault="00F22D09" w:rsidP="00781A26">
            <w:pPr>
              <w:jc w:val="center"/>
              <w:rPr>
                <w:b/>
                <w:color w:val="000000" w:themeColor="text1"/>
                <w:szCs w:val="16"/>
              </w:rPr>
            </w:pPr>
            <w:r>
              <w:rPr>
                <w:rFonts w:cs="Arial"/>
                <w:b/>
                <w:color w:val="000000" w:themeColor="text1"/>
                <w:szCs w:val="16"/>
              </w:rPr>
              <w:t>FFY 2021 Data</w:t>
            </w:r>
          </w:p>
        </w:tc>
        <w:tc>
          <w:tcPr>
            <w:tcW w:w="542" w:type="pct"/>
            <w:shd w:val="clear" w:color="auto" w:fill="auto"/>
            <w:vAlign w:val="bottom"/>
          </w:tcPr>
          <w:p w14:paraId="2A2D965E" w14:textId="77777777" w:rsidR="00781A26" w:rsidRPr="00ED172B" w:rsidRDefault="00781A26" w:rsidP="00781A26">
            <w:pPr>
              <w:jc w:val="center"/>
              <w:rPr>
                <w:b/>
                <w:color w:val="000000" w:themeColor="text1"/>
                <w:szCs w:val="16"/>
              </w:rPr>
            </w:pPr>
            <w:r w:rsidRPr="00ED172B">
              <w:rPr>
                <w:b/>
                <w:color w:val="000000" w:themeColor="text1"/>
                <w:szCs w:val="16"/>
              </w:rPr>
              <w:t>Status</w:t>
            </w:r>
          </w:p>
        </w:tc>
        <w:tc>
          <w:tcPr>
            <w:tcW w:w="539" w:type="pct"/>
            <w:shd w:val="clear" w:color="auto" w:fill="auto"/>
            <w:vAlign w:val="bottom"/>
          </w:tcPr>
          <w:p w14:paraId="31EE6F0A" w14:textId="77777777" w:rsidR="00781A26" w:rsidRPr="00ED172B" w:rsidRDefault="00781A26" w:rsidP="00781A26">
            <w:pPr>
              <w:jc w:val="center"/>
              <w:rPr>
                <w:b/>
                <w:color w:val="000000" w:themeColor="text1"/>
                <w:szCs w:val="16"/>
              </w:rPr>
            </w:pPr>
            <w:r w:rsidRPr="00ED172B">
              <w:rPr>
                <w:b/>
                <w:color w:val="000000" w:themeColor="text1"/>
                <w:szCs w:val="16"/>
              </w:rPr>
              <w:t>Slippage</w:t>
            </w:r>
          </w:p>
        </w:tc>
      </w:tr>
      <w:tr w:rsidR="00ED172B" w:rsidRPr="00ED172B" w14:paraId="237C6FDE" w14:textId="77777777" w:rsidTr="00986B99">
        <w:trPr>
          <w:trHeight w:val="366"/>
        </w:trPr>
        <w:tc>
          <w:tcPr>
            <w:tcW w:w="1459" w:type="pct"/>
            <w:shd w:val="clear" w:color="auto" w:fill="auto"/>
            <w:vAlign w:val="center"/>
          </w:tcPr>
          <w:p w14:paraId="19D97BFE" w14:textId="12324C57" w:rsidR="00781A26" w:rsidRPr="00ED172B" w:rsidRDefault="00860830" w:rsidP="00781A26">
            <w:pPr>
              <w:jc w:val="center"/>
              <w:rPr>
                <w:color w:val="000000" w:themeColor="text1"/>
                <w:szCs w:val="16"/>
              </w:rPr>
            </w:pPr>
            <w:r w:rsidRPr="00ED172B">
              <w:rPr>
                <w:color w:val="000000" w:themeColor="text1"/>
                <w:szCs w:val="16"/>
              </w:rPr>
              <w:t>7,414</w:t>
            </w:r>
          </w:p>
        </w:tc>
        <w:tc>
          <w:tcPr>
            <w:tcW w:w="751" w:type="pct"/>
            <w:shd w:val="clear" w:color="auto" w:fill="auto"/>
            <w:vAlign w:val="center"/>
          </w:tcPr>
          <w:p w14:paraId="47766C61" w14:textId="02D3DCB2" w:rsidR="00781A26" w:rsidRPr="00ED172B" w:rsidRDefault="00860830" w:rsidP="00781A26">
            <w:pPr>
              <w:jc w:val="center"/>
              <w:rPr>
                <w:color w:val="000000" w:themeColor="text1"/>
                <w:szCs w:val="16"/>
              </w:rPr>
            </w:pPr>
            <w:r w:rsidRPr="00ED172B">
              <w:rPr>
                <w:color w:val="000000" w:themeColor="text1"/>
                <w:szCs w:val="16"/>
              </w:rPr>
              <w:t>10,604</w:t>
            </w:r>
          </w:p>
        </w:tc>
        <w:tc>
          <w:tcPr>
            <w:tcW w:w="625" w:type="pct"/>
            <w:shd w:val="clear" w:color="auto" w:fill="auto"/>
          </w:tcPr>
          <w:p w14:paraId="2528AC6B" w14:textId="64AAC3FC" w:rsidR="00781A26" w:rsidRPr="00ED172B" w:rsidRDefault="00860830" w:rsidP="00781A26">
            <w:pPr>
              <w:jc w:val="center"/>
              <w:rPr>
                <w:color w:val="000000" w:themeColor="text1"/>
                <w:szCs w:val="16"/>
              </w:rPr>
            </w:pPr>
            <w:r w:rsidRPr="00ED172B">
              <w:rPr>
                <w:rFonts w:cs="Arial"/>
                <w:color w:val="000000" w:themeColor="text1"/>
                <w:szCs w:val="16"/>
              </w:rPr>
              <w:t>98.48%</w:t>
            </w:r>
          </w:p>
        </w:tc>
        <w:tc>
          <w:tcPr>
            <w:tcW w:w="542" w:type="pct"/>
            <w:shd w:val="clear" w:color="auto" w:fill="auto"/>
          </w:tcPr>
          <w:p w14:paraId="246B3CEB" w14:textId="3E3E4E56" w:rsidR="00781A26" w:rsidRPr="00ED172B" w:rsidRDefault="0098712B" w:rsidP="00781A26">
            <w:pPr>
              <w:jc w:val="center"/>
              <w:rPr>
                <w:color w:val="000000" w:themeColor="text1"/>
                <w:szCs w:val="16"/>
              </w:rPr>
            </w:pPr>
            <w:r w:rsidRPr="00ED172B">
              <w:rPr>
                <w:color w:val="000000" w:themeColor="text1"/>
                <w:szCs w:val="16"/>
              </w:rPr>
              <w:t>100%</w:t>
            </w:r>
          </w:p>
        </w:tc>
        <w:tc>
          <w:tcPr>
            <w:tcW w:w="542" w:type="pct"/>
            <w:shd w:val="clear" w:color="auto" w:fill="auto"/>
          </w:tcPr>
          <w:p w14:paraId="410CD81E" w14:textId="0D2CF052" w:rsidR="00781A26" w:rsidRPr="00ED172B" w:rsidRDefault="00860830" w:rsidP="00781A26">
            <w:pPr>
              <w:jc w:val="center"/>
              <w:rPr>
                <w:color w:val="000000" w:themeColor="text1"/>
                <w:szCs w:val="16"/>
              </w:rPr>
            </w:pPr>
            <w:r w:rsidRPr="00ED172B">
              <w:rPr>
                <w:rFonts w:cs="Arial"/>
                <w:color w:val="000000" w:themeColor="text1"/>
                <w:szCs w:val="16"/>
              </w:rPr>
              <w:t>98.72%</w:t>
            </w:r>
          </w:p>
        </w:tc>
        <w:tc>
          <w:tcPr>
            <w:tcW w:w="542" w:type="pct"/>
            <w:shd w:val="clear" w:color="auto" w:fill="auto"/>
          </w:tcPr>
          <w:p w14:paraId="24CBBB16" w14:textId="07238E18" w:rsidR="00781A26" w:rsidRPr="00ED172B" w:rsidRDefault="00320806" w:rsidP="00027F39">
            <w:pPr>
              <w:jc w:val="center"/>
              <w:rPr>
                <w:color w:val="000000" w:themeColor="text1"/>
              </w:rPr>
            </w:pPr>
            <w:r w:rsidRPr="00ED172B">
              <w:rPr>
                <w:color w:val="000000" w:themeColor="text1"/>
              </w:rPr>
              <w:t>Did not meet target</w:t>
            </w:r>
          </w:p>
        </w:tc>
        <w:tc>
          <w:tcPr>
            <w:tcW w:w="539" w:type="pct"/>
            <w:shd w:val="clear" w:color="auto" w:fill="auto"/>
          </w:tcPr>
          <w:p w14:paraId="36D4F9B5" w14:textId="3DEAC2DD" w:rsidR="00781A26" w:rsidRPr="00ED172B" w:rsidRDefault="00320806" w:rsidP="00027F39">
            <w:pPr>
              <w:jc w:val="center"/>
              <w:rPr>
                <w:color w:val="000000" w:themeColor="text1"/>
              </w:rPr>
            </w:pPr>
            <w:r w:rsidRPr="00ED172B">
              <w:rPr>
                <w:color w:val="000000" w:themeColor="text1"/>
              </w:rPr>
              <w:t>No Slippage</w:t>
            </w:r>
          </w:p>
        </w:tc>
      </w:tr>
    </w:tbl>
    <w:p w14:paraId="39BC77DC" w14:textId="77777777" w:rsidR="00EC3746" w:rsidRPr="00ED172B" w:rsidRDefault="00EC3746" w:rsidP="00EC3746">
      <w:pPr>
        <w:rPr>
          <w:color w:val="000000" w:themeColor="text1"/>
          <w:szCs w:val="16"/>
        </w:rPr>
      </w:pPr>
      <w:r w:rsidRPr="00ED172B">
        <w:rPr>
          <w:b/>
          <w:color w:val="000000" w:themeColor="text1"/>
          <w:szCs w:val="16"/>
        </w:rPr>
        <w:t>Number of toddlers for whom the parent did not provide approval for the transition conference</w:t>
      </w:r>
      <w:r w:rsidRPr="00ED172B">
        <w:rPr>
          <w:color w:val="000000" w:themeColor="text1"/>
          <w:szCs w:val="16"/>
        </w:rPr>
        <w:t xml:space="preserve">  </w:t>
      </w:r>
    </w:p>
    <w:p w14:paraId="5A329D2D" w14:textId="77777777" w:rsidR="00EC3746" w:rsidRPr="00ED172B" w:rsidRDefault="00EC3746" w:rsidP="00EC3746">
      <w:pPr>
        <w:rPr>
          <w:b/>
          <w:color w:val="000000" w:themeColor="text1"/>
          <w:szCs w:val="16"/>
        </w:rPr>
      </w:pPr>
      <w:r w:rsidRPr="00ED172B">
        <w:rPr>
          <w:b/>
          <w:color w:val="000000" w:themeColor="text1"/>
          <w:szCs w:val="16"/>
        </w:rPr>
        <w:t>This number will be subtracted from the "Number of toddlers with disabilities exiting Part C who were potentially eligible for Part B" field to calculate the denominator for this indicator.</w:t>
      </w:r>
    </w:p>
    <w:p w14:paraId="519D8514" w14:textId="21D435D2" w:rsidR="00EC3746" w:rsidRPr="00ED172B" w:rsidRDefault="00EC3746" w:rsidP="00EC3746">
      <w:pPr>
        <w:rPr>
          <w:color w:val="000000" w:themeColor="text1"/>
          <w:szCs w:val="16"/>
        </w:rPr>
      </w:pPr>
      <w:r w:rsidRPr="00ED172B">
        <w:rPr>
          <w:color w:val="000000" w:themeColor="text1"/>
          <w:szCs w:val="16"/>
        </w:rPr>
        <w:t>581</w:t>
      </w:r>
    </w:p>
    <w:p w14:paraId="207B52CF" w14:textId="33B5A180" w:rsidR="00EC3746" w:rsidRPr="00ED172B" w:rsidRDefault="00EC3746" w:rsidP="00EC3746">
      <w:pPr>
        <w:rPr>
          <w:color w:val="000000" w:themeColor="text1"/>
          <w:szCs w:val="16"/>
        </w:rPr>
      </w:pPr>
      <w:r w:rsidRPr="00ED172B">
        <w:rPr>
          <w:b/>
          <w:color w:val="000000" w:themeColor="text1"/>
          <w:szCs w:val="16"/>
        </w:rPr>
        <w:t>Number of documented delays attributable to exceptional family circumstances</w:t>
      </w:r>
    </w:p>
    <w:p w14:paraId="5E91C783" w14:textId="77777777" w:rsidR="00EC3746" w:rsidRPr="00ED172B" w:rsidRDefault="00EC3746" w:rsidP="00EC3746">
      <w:pPr>
        <w:rPr>
          <w:b/>
          <w:color w:val="000000" w:themeColor="text1"/>
          <w:szCs w:val="16"/>
        </w:rPr>
      </w:pPr>
      <w:r w:rsidRPr="00ED172B">
        <w:rPr>
          <w:b/>
          <w:color w:val="000000" w:themeColor="text1"/>
          <w:szCs w:val="16"/>
        </w:rPr>
        <w:t>This number will be added to the "Number of toddlers with disabilities exiting Part C where the transition conference occurred at least 90 days, and at the discretion of all parties not more than nine months prior to the toddler’s third birthday for toddlers potentially eligible for Part B" field to calculate the numerator for this indicator.</w:t>
      </w:r>
    </w:p>
    <w:p w14:paraId="339DA0D8" w14:textId="116C6D22" w:rsidR="00EC3746" w:rsidRDefault="00EC3746" w:rsidP="005A1CA1">
      <w:pPr>
        <w:rPr>
          <w:color w:val="000000" w:themeColor="text1"/>
        </w:rPr>
      </w:pPr>
      <w:r w:rsidRPr="00ED172B">
        <w:rPr>
          <w:color w:val="000000" w:themeColor="text1"/>
        </w:rPr>
        <w:t>2,481</w:t>
      </w:r>
    </w:p>
    <w:p w14:paraId="215A5675" w14:textId="77777777" w:rsidR="00A32D79" w:rsidRDefault="00A32D79" w:rsidP="00A32D79">
      <w:pPr>
        <w:rPr>
          <w:rFonts w:cs="Arial"/>
          <w:b/>
          <w:color w:val="000000" w:themeColor="text1"/>
          <w:szCs w:val="16"/>
        </w:rPr>
      </w:pPr>
      <w:r w:rsidRPr="003739C5">
        <w:rPr>
          <w:rFonts w:cs="Arial"/>
          <w:b/>
          <w:color w:val="000000" w:themeColor="text1"/>
          <w:szCs w:val="16"/>
        </w:rPr>
        <w:t>Provide reasons for delay, if applicable.</w:t>
      </w:r>
    </w:p>
    <w:p w14:paraId="21B39747" w14:textId="0D6A34CA" w:rsidR="00A32D79" w:rsidRPr="00ED172B" w:rsidRDefault="00A32D79" w:rsidP="00A32D79">
      <w:pPr>
        <w:rPr>
          <w:rFonts w:cs="Arial"/>
          <w:color w:val="000000" w:themeColor="text1"/>
          <w:szCs w:val="16"/>
        </w:rPr>
      </w:pPr>
      <w:r w:rsidRPr="00ED172B">
        <w:rPr>
          <w:color w:val="000000" w:themeColor="text1"/>
          <w:szCs w:val="16"/>
        </w:rPr>
        <w:t xml:space="preserve">MA-C reviewed the reasons for delay and conducted a number of additional analyses. </w:t>
        <w:br/>
        <w:t/>
        <w:br/>
        <w:t>Delays attributable to exceptional family circumstances include Family problem scheduling the transition conference, Family missed or cancelled the conference, family opted to delay the conference to include LEA representatives, weather or other emergency declared, and COVID-19 if the child or family were unavailable for the appointment. As advised by OSEP, delays in service provision caused by the public health response to the COVID-19 pandemic can meet the definition of exceptional family circumstances, as defined under 34 C.F.R. § 303.310(b), when the child and family are effectively unavailable.</w:t>
        <w:br/>
        <w:t/>
        <w:br/>
        <w:t>Delays not attributable to exceptional family circumstances include difficulty identifying or assigning a service provider, provider scheduling problem, and other local program administrative reasons.</w:t>
      </w:r>
    </w:p>
    <w:p w14:paraId="6A4229B2" w14:textId="77777777" w:rsidR="00E50D17" w:rsidRPr="00ED172B" w:rsidRDefault="00781A26" w:rsidP="00B83404">
      <w:pPr>
        <w:rPr>
          <w:b/>
          <w:color w:val="000000" w:themeColor="text1"/>
        </w:rPr>
      </w:pPr>
      <w:r w:rsidRPr="00ED172B">
        <w:rPr>
          <w:b/>
          <w:color w:val="000000" w:themeColor="text1"/>
        </w:rPr>
        <w:t>What is the source of the data provided for this indicator?</w:t>
      </w:r>
    </w:p>
    <w:p w14:paraId="1A5AB2A5" w14:textId="712BFD4F" w:rsidR="00781A26" w:rsidRDefault="00781A26" w:rsidP="00B83404">
      <w:pPr>
        <w:rPr>
          <w:color w:val="000000" w:themeColor="text1"/>
        </w:rPr>
      </w:pPr>
      <w:r w:rsidRPr="00ED172B">
        <w:rPr>
          <w:color w:val="000000" w:themeColor="text1"/>
        </w:rPr>
        <w:t>State database</w:t>
      </w:r>
    </w:p>
    <w:p w14:paraId="1D234BC8" w14:textId="55633D84" w:rsidR="00781A26" w:rsidRPr="00ED172B" w:rsidRDefault="00781A26">
      <w:pPr>
        <w:rPr>
          <w:b/>
          <w:color w:val="000000" w:themeColor="text1"/>
        </w:rPr>
      </w:pPr>
      <w:r w:rsidRPr="00ED172B">
        <w:rPr>
          <w:b/>
          <w:color w:val="000000" w:themeColor="text1"/>
        </w:rPr>
        <w:t xml:space="preserve">Provide the time period in which the data were collected (e.g., September through December, fourth quarter, selection from the full reporting period). </w:t>
      </w:r>
    </w:p>
    <w:p w14:paraId="6E1EF1B9" w14:textId="471657D2" w:rsidR="00781A26" w:rsidRPr="00ED172B" w:rsidRDefault="00860830" w:rsidP="00781A26">
      <w:pPr>
        <w:rPr>
          <w:color w:val="000000" w:themeColor="text1"/>
        </w:rPr>
      </w:pPr>
      <w:r w:rsidRPr="00ED172B">
        <w:rPr>
          <w:color w:val="000000" w:themeColor="text1"/>
        </w:rPr>
        <w:t>Full Reporting Period (July 1, 2021-June 30, 2022)</w:t>
      </w:r>
    </w:p>
    <w:p w14:paraId="342C3DA5" w14:textId="22804128" w:rsidR="00781A26" w:rsidRPr="00ED172B" w:rsidRDefault="00781A26">
      <w:pPr>
        <w:rPr>
          <w:b/>
          <w:color w:val="000000" w:themeColor="text1"/>
        </w:rPr>
      </w:pPr>
      <w:r w:rsidRPr="00ED172B">
        <w:rPr>
          <w:b/>
          <w:color w:val="000000" w:themeColor="text1"/>
        </w:rPr>
        <w:t xml:space="preserve">Describe how the data accurately reflect data for infants and toddlers with IFSPs for the full reporting period. </w:t>
      </w:r>
    </w:p>
    <w:p w14:paraId="2045AB1A" w14:textId="660FC827" w:rsidR="00781A26" w:rsidRDefault="00860830" w:rsidP="00781A26">
      <w:pPr>
        <w:rPr>
          <w:rFonts w:cs="Arial"/>
          <w:color w:val="000000" w:themeColor="text1"/>
          <w:szCs w:val="16"/>
        </w:rPr>
      </w:pPr>
      <w:r w:rsidRPr="00ED172B">
        <w:rPr>
          <w:rFonts w:cs="Arial"/>
          <w:color w:val="000000" w:themeColor="text1"/>
          <w:szCs w:val="16"/>
        </w:rPr>
        <w:t>These data accurately reflect data for infants and toddlers with IFSPs for the full reporting period because the include all toddlers with disabilities exiting Part C who are potentially eligible for Part B services during the reporting year for FFY21 (July 1, 2021-June 30, 2022) whose families provided approval for such a conference.</w:t>
      </w:r>
    </w:p>
    <w:p w14:paraId="3B2CCC81" w14:textId="0C6D0819" w:rsidR="003A3693" w:rsidRPr="00ED172B" w:rsidRDefault="003A3693" w:rsidP="00950382">
      <w:pPr>
        <w:rPr>
          <w:b/>
          <w:color w:val="000000" w:themeColor="text1"/>
        </w:rPr>
      </w:pPr>
      <w:r w:rsidRPr="00ED172B">
        <w:rPr>
          <w:b/>
          <w:color w:val="000000" w:themeColor="text1"/>
        </w:rPr>
        <w:t>Provide additional information about this indicator (optional).</w:t>
      </w:r>
    </w:p>
    <w:p w14:paraId="40AE3CB1" w14:textId="1A980599" w:rsidR="003A3693" w:rsidRPr="00ED172B" w:rsidRDefault="00860830" w:rsidP="003A3693">
      <w:pPr>
        <w:rPr>
          <w:rFonts w:cs="Arial"/>
          <w:color w:val="000000" w:themeColor="text1"/>
          <w:szCs w:val="16"/>
        </w:rPr>
      </w:pPr>
      <w:r w:rsidRPr="00ED172B">
        <w:rPr>
          <w:rFonts w:cs="Arial"/>
          <w:color w:val="000000" w:themeColor="text1"/>
          <w:szCs w:val="16"/>
        </w:rPr>
        <w:t>MA-C's performance with respect to indicators 8A, 8B, and 8C has been below the required 100% for several years. In direct response, MA-C has partnered with MA-B to provide general and targeted technical assistance and training to contracted EIS programs with compliance rates less than 100%. The contracted vendor's work began in FFY22.</w:t>
      </w:r>
    </w:p>
    <w:p w14:paraId="0F5F1132" w14:textId="22EE0065" w:rsidR="00E06C1E" w:rsidRPr="00ED172B" w:rsidRDefault="00E06C1E" w:rsidP="00B83404">
      <w:pPr>
        <w:rPr>
          <w:color w:val="000000" w:themeColor="text1"/>
        </w:rPr>
      </w:pPr>
      <w:r w:rsidRPr="00ED172B">
        <w:rPr>
          <w:b/>
          <w:color w:val="000000" w:themeColor="text1"/>
        </w:rPr>
        <w:t>Correction of Findings of Noncompliance Identified in FFY 2020</w:t>
      </w:r>
    </w:p>
    <w:tbl>
      <w:tblPr>
        <w:tblStyle w:val="TableGrid"/>
        <w:tblW w:w="5000" w:type="pct"/>
        <w:tblLook w:val="04A0" w:firstRow="1" w:lastRow="0" w:firstColumn="1" w:lastColumn="0" w:noHBand="0" w:noVBand="1"/>
        <w:tblCaption w:val="C08CPFFYNCFINDINGS"/>
      </w:tblPr>
      <w:tblGrid>
        <w:gridCol w:w="2610"/>
        <w:gridCol w:w="2736"/>
        <w:gridCol w:w="2613"/>
        <w:gridCol w:w="2831"/>
      </w:tblGrid>
      <w:tr w:rsidR="00ED172B" w:rsidRPr="00ED172B" w14:paraId="2FE37A66" w14:textId="77777777" w:rsidTr="00986B99">
        <w:trPr>
          <w:trHeight w:val="389"/>
          <w:tblHeader/>
        </w:trPr>
        <w:tc>
          <w:tcPr>
            <w:tcW w:w="1209" w:type="pct"/>
            <w:shd w:val="clear" w:color="auto" w:fill="auto"/>
            <w:vAlign w:val="bottom"/>
          </w:tcPr>
          <w:p w14:paraId="4D236109"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lastRenderedPageBreak/>
              <w:t>Findings of Noncompliance Identified</w:t>
            </w:r>
          </w:p>
        </w:tc>
        <w:tc>
          <w:tcPr>
            <w:tcW w:w="1268" w:type="pct"/>
            <w:shd w:val="clear" w:color="auto" w:fill="auto"/>
            <w:vAlign w:val="bottom"/>
          </w:tcPr>
          <w:p w14:paraId="614E871C"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 Within One Year</w:t>
            </w:r>
          </w:p>
        </w:tc>
        <w:tc>
          <w:tcPr>
            <w:tcW w:w="1211" w:type="pct"/>
            <w:shd w:val="clear" w:color="auto" w:fill="auto"/>
            <w:vAlign w:val="bottom"/>
          </w:tcPr>
          <w:p w14:paraId="1CA22C25"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Subsequently Corrected</w:t>
            </w:r>
          </w:p>
        </w:tc>
        <w:tc>
          <w:tcPr>
            <w:tcW w:w="1312" w:type="pct"/>
            <w:shd w:val="clear" w:color="auto" w:fill="auto"/>
            <w:vAlign w:val="bottom"/>
          </w:tcPr>
          <w:p w14:paraId="14843B4B"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641A79F7" w14:textId="77777777" w:rsidTr="00986B99">
        <w:tc>
          <w:tcPr>
            <w:tcW w:w="1209" w:type="pct"/>
            <w:shd w:val="clear" w:color="auto" w:fill="auto"/>
          </w:tcPr>
          <w:p w14:paraId="44DB5FD7" w14:textId="017C1330" w:rsidR="00E06C1E" w:rsidRPr="00ED172B" w:rsidRDefault="00860830" w:rsidP="00ED172B">
            <w:pPr>
              <w:jc w:val="center"/>
              <w:rPr>
                <w:rFonts w:cs="Arial"/>
                <w:color w:val="000000" w:themeColor="text1"/>
                <w:szCs w:val="16"/>
              </w:rPr>
            </w:pPr>
            <w:r w:rsidRPr="00ED172B">
              <w:rPr>
                <w:rFonts w:cs="Arial"/>
                <w:color w:val="000000" w:themeColor="text1"/>
                <w:szCs w:val="16"/>
              </w:rPr>
              <w:t/>
            </w:r>
          </w:p>
        </w:tc>
        <w:tc>
          <w:tcPr>
            <w:tcW w:w="1268" w:type="pct"/>
            <w:shd w:val="clear" w:color="auto" w:fill="auto"/>
          </w:tcPr>
          <w:p w14:paraId="2EF88B35" w14:textId="56AB0211" w:rsidR="00E06C1E" w:rsidRPr="00ED172B" w:rsidRDefault="00860830" w:rsidP="00ED172B">
            <w:pPr>
              <w:jc w:val="center"/>
              <w:rPr>
                <w:rFonts w:cs="Arial"/>
                <w:color w:val="000000" w:themeColor="text1"/>
                <w:szCs w:val="16"/>
              </w:rPr>
            </w:pPr>
            <w:r w:rsidRPr="00ED172B">
              <w:rPr>
                <w:rFonts w:cs="Arial"/>
                <w:color w:val="000000" w:themeColor="text1"/>
                <w:szCs w:val="16"/>
              </w:rPr>
              <w:t/>
            </w:r>
          </w:p>
        </w:tc>
        <w:tc>
          <w:tcPr>
            <w:tcW w:w="1211" w:type="pct"/>
            <w:shd w:val="clear" w:color="auto" w:fill="auto"/>
          </w:tcPr>
          <w:p w14:paraId="10012A67" w14:textId="070A52AD" w:rsidR="00E06C1E" w:rsidRPr="00ED172B" w:rsidRDefault="00860830" w:rsidP="00ED172B">
            <w:pPr>
              <w:jc w:val="center"/>
              <w:rPr>
                <w:rFonts w:cs="Arial"/>
                <w:color w:val="000000" w:themeColor="text1"/>
                <w:szCs w:val="16"/>
              </w:rPr>
            </w:pPr>
            <w:r w:rsidRPr="00ED172B">
              <w:rPr>
                <w:rFonts w:cs="Arial"/>
                <w:color w:val="000000" w:themeColor="text1"/>
                <w:szCs w:val="16"/>
              </w:rPr>
              <w:t>0</w:t>
            </w:r>
          </w:p>
        </w:tc>
        <w:tc>
          <w:tcPr>
            <w:tcW w:w="1312" w:type="pct"/>
            <w:shd w:val="clear" w:color="auto" w:fill="auto"/>
          </w:tcPr>
          <w:p w14:paraId="17C46319" w14:textId="0968AE1A" w:rsidR="00E06C1E" w:rsidRPr="00ED172B" w:rsidRDefault="00860830" w:rsidP="00CD79C5">
            <w:pPr>
              <w:rPr>
                <w:rFonts w:cs="Arial"/>
                <w:color w:val="000000" w:themeColor="text1"/>
                <w:szCs w:val="16"/>
              </w:rPr>
            </w:pPr>
            <w:r w:rsidRPr="00ED172B">
              <w:rPr>
                <w:rFonts w:cs="Arial"/>
                <w:color w:val="000000" w:themeColor="text1"/>
                <w:szCs w:val="16"/>
              </w:rPr>
              <w:t>0</w:t>
            </w:r>
          </w:p>
        </w:tc>
      </w:tr>
    </w:tbl>
    <w:p w14:paraId="24E59DC5" w14:textId="0C3AF00C" w:rsidR="00E06C1E" w:rsidRPr="00ED172B" w:rsidRDefault="00E06C1E" w:rsidP="00B83404">
      <w:pPr>
        <w:rPr>
          <w:color w:val="000000" w:themeColor="text1"/>
        </w:rPr>
      </w:pPr>
      <w:r w:rsidRPr="00ED172B">
        <w:rPr>
          <w:b/>
          <w:color w:val="000000" w:themeColor="text1"/>
        </w:rPr>
        <w:t>Correction of Findings of Noncompliance Identified Prior to FFY 2020</w:t>
      </w:r>
    </w:p>
    <w:tbl>
      <w:tblPr>
        <w:tblStyle w:val="TableGrid"/>
        <w:tblW w:w="5000" w:type="pct"/>
        <w:tblLook w:val="04A0" w:firstRow="1" w:lastRow="0" w:firstColumn="1" w:lastColumn="0" w:noHBand="0" w:noVBand="1"/>
        <w:tblCaption w:val="C08CPPFFYNCFINDINGS"/>
      </w:tblPr>
      <w:tblGrid>
        <w:gridCol w:w="2059"/>
        <w:gridCol w:w="2954"/>
        <w:gridCol w:w="2989"/>
        <w:gridCol w:w="2788"/>
      </w:tblGrid>
      <w:tr w:rsidR="00ED172B" w:rsidRPr="00ED172B" w14:paraId="37B70C61" w14:textId="77777777" w:rsidTr="00986B99">
        <w:trPr>
          <w:tblHeader/>
        </w:trPr>
        <w:tc>
          <w:tcPr>
            <w:tcW w:w="954" w:type="pct"/>
            <w:shd w:val="clear" w:color="auto" w:fill="auto"/>
            <w:vAlign w:val="bottom"/>
          </w:tcPr>
          <w:p w14:paraId="17E2443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Year Findings of Noncompliance Were Identified</w:t>
            </w:r>
          </w:p>
        </w:tc>
        <w:tc>
          <w:tcPr>
            <w:tcW w:w="1369" w:type="pct"/>
            <w:shd w:val="clear" w:color="auto" w:fill="auto"/>
            <w:vAlign w:val="bottom"/>
          </w:tcPr>
          <w:p w14:paraId="5E5FCDEA" w14:textId="4C17A6FE"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Not Yet Verified as Corrected as of FFY 2020 APR</w:t>
            </w:r>
          </w:p>
        </w:tc>
        <w:tc>
          <w:tcPr>
            <w:tcW w:w="1385" w:type="pct"/>
            <w:shd w:val="clear" w:color="auto" w:fill="auto"/>
            <w:vAlign w:val="bottom"/>
          </w:tcPr>
          <w:p w14:paraId="1C6B8558"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of Noncompliance Verified as Corrected</w:t>
            </w:r>
          </w:p>
        </w:tc>
        <w:tc>
          <w:tcPr>
            <w:tcW w:w="1292" w:type="pct"/>
            <w:shd w:val="clear" w:color="auto" w:fill="auto"/>
            <w:vAlign w:val="bottom"/>
          </w:tcPr>
          <w:p w14:paraId="63E733B1" w14:textId="77777777" w:rsidR="00E06C1E" w:rsidRPr="00ED172B" w:rsidRDefault="00E06C1E" w:rsidP="00CD79C5">
            <w:pPr>
              <w:jc w:val="center"/>
              <w:rPr>
                <w:rFonts w:cs="Arial"/>
                <w:b/>
                <w:color w:val="000000" w:themeColor="text1"/>
                <w:szCs w:val="16"/>
              </w:rPr>
            </w:pPr>
            <w:r w:rsidRPr="00ED172B">
              <w:rPr>
                <w:rFonts w:cs="Arial"/>
                <w:b/>
                <w:color w:val="000000" w:themeColor="text1"/>
                <w:szCs w:val="16"/>
              </w:rPr>
              <w:t>Findings Not Yet Verified as Corrected</w:t>
            </w:r>
          </w:p>
        </w:tc>
      </w:tr>
      <w:tr w:rsidR="00ED172B" w:rsidRPr="00ED172B" w14:paraId="106E45D6" w14:textId="77777777" w:rsidTr="00986B99">
        <w:tc>
          <w:tcPr>
            <w:tcW w:w="954" w:type="pct"/>
            <w:shd w:val="clear" w:color="auto" w:fill="auto"/>
          </w:tcPr>
          <w:p w14:paraId="0462C17B" w14:textId="6F7A2E92" w:rsidR="00E06C1E" w:rsidRPr="00ED172B" w:rsidRDefault="00860830" w:rsidP="00CD79C5">
            <w:pPr>
              <w:rPr>
                <w:rFonts w:cs="Arial"/>
                <w:color w:val="000000" w:themeColor="text1"/>
                <w:szCs w:val="16"/>
              </w:rPr>
            </w:pPr>
            <w:r w:rsidRPr="00ED172B">
              <w:rPr>
                <w:rFonts w:cs="Arial"/>
                <w:color w:val="000000" w:themeColor="text1"/>
                <w:szCs w:val="16"/>
              </w:rPr>
              <w:t>FFY 2019</w:t>
            </w:r>
          </w:p>
        </w:tc>
        <w:tc>
          <w:tcPr>
            <w:tcW w:w="1369" w:type="pct"/>
            <w:shd w:val="clear" w:color="auto" w:fill="auto"/>
          </w:tcPr>
          <w:p w14:paraId="5BA52FCC" w14:textId="3D598A47" w:rsidR="00E06C1E" w:rsidRPr="00ED172B" w:rsidRDefault="00860830" w:rsidP="00CD79C5">
            <w:pPr>
              <w:jc w:val="center"/>
              <w:rPr>
                <w:rFonts w:cs="Arial"/>
                <w:noProof/>
                <w:color w:val="000000" w:themeColor="text1"/>
                <w:szCs w:val="16"/>
              </w:rPr>
            </w:pPr>
            <w:r w:rsidRPr="00ED172B">
              <w:rPr>
                <w:rFonts w:cs="Arial"/>
                <w:color w:val="000000" w:themeColor="text1"/>
                <w:szCs w:val="16"/>
              </w:rPr>
              <w:t>3</w:t>
            </w:r>
          </w:p>
        </w:tc>
        <w:tc>
          <w:tcPr>
            <w:tcW w:w="1385" w:type="pct"/>
            <w:shd w:val="clear" w:color="auto" w:fill="auto"/>
          </w:tcPr>
          <w:p w14:paraId="6B279413" w14:textId="2F1AADB8" w:rsidR="00E06C1E" w:rsidRPr="00ED172B" w:rsidRDefault="00860830" w:rsidP="00CD79C5">
            <w:pPr>
              <w:jc w:val="center"/>
              <w:rPr>
                <w:rFonts w:cs="Arial"/>
                <w:noProof/>
                <w:color w:val="000000" w:themeColor="text1"/>
                <w:szCs w:val="16"/>
              </w:rPr>
            </w:pPr>
            <w:r w:rsidRPr="00ED172B">
              <w:rPr>
                <w:rFonts w:cs="Arial"/>
                <w:color w:val="000000" w:themeColor="text1"/>
                <w:szCs w:val="16"/>
              </w:rPr>
              <w:t>3</w:t>
            </w:r>
          </w:p>
        </w:tc>
        <w:tc>
          <w:tcPr>
            <w:tcW w:w="1292" w:type="pct"/>
            <w:shd w:val="clear" w:color="auto" w:fill="auto"/>
          </w:tcPr>
          <w:p w14:paraId="68689D7A" w14:textId="2D874336" w:rsidR="00E06C1E" w:rsidRPr="00ED172B" w:rsidRDefault="00860830" w:rsidP="00CD79C5">
            <w:pPr>
              <w:jc w:val="center"/>
              <w:rPr>
                <w:rFonts w:cs="Arial"/>
                <w:noProof/>
                <w:color w:val="000000" w:themeColor="text1"/>
                <w:szCs w:val="16"/>
              </w:rPr>
            </w:pPr>
            <w:r w:rsidRPr="00ED172B">
              <w:rPr>
                <w:rFonts w:cs="Arial"/>
                <w:color w:val="000000" w:themeColor="text1"/>
                <w:szCs w:val="16"/>
              </w:rPr>
              <w:t>0</w:t>
            </w:r>
          </w:p>
        </w:tc>
      </w:tr>
      <w:tr w:rsidR="00ED172B" w:rsidRPr="00ED172B" w14:paraId="56685A6A" w14:textId="77777777" w:rsidTr="00986B99">
        <w:tc>
          <w:tcPr>
            <w:tcW w:w="954" w:type="pct"/>
            <w:shd w:val="clear" w:color="auto" w:fill="auto"/>
          </w:tcPr>
          <w:p w14:paraId="7179E786" w14:textId="392A4084" w:rsidR="00E06C1E" w:rsidRPr="00ED172B" w:rsidRDefault="00860830" w:rsidP="00CD79C5">
            <w:pPr>
              <w:rPr>
                <w:rFonts w:cs="Arial"/>
                <w:color w:val="000000" w:themeColor="text1"/>
                <w:szCs w:val="16"/>
              </w:rPr>
            </w:pPr>
            <w:r w:rsidRPr="00ED172B">
              <w:rPr>
                <w:rFonts w:cs="Arial"/>
                <w:color w:val="000000" w:themeColor="text1"/>
                <w:szCs w:val="16"/>
              </w:rPr>
              <w:t/>
            </w:r>
          </w:p>
        </w:tc>
        <w:tc>
          <w:tcPr>
            <w:tcW w:w="1369" w:type="pct"/>
            <w:shd w:val="clear" w:color="auto" w:fill="auto"/>
          </w:tcPr>
          <w:p w14:paraId="6CB3F624" w14:textId="24F9CFE3"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5" w:type="pct"/>
            <w:shd w:val="clear" w:color="auto" w:fill="auto"/>
          </w:tcPr>
          <w:p w14:paraId="4EF6A3A9" w14:textId="5371D864"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292" w:type="pct"/>
            <w:shd w:val="clear" w:color="auto" w:fill="auto"/>
          </w:tcPr>
          <w:p w14:paraId="66F1697A" w14:textId="51875C1A"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r>
      <w:tr w:rsidR="00ED172B" w:rsidRPr="00ED172B" w14:paraId="423BF0B3" w14:textId="77777777" w:rsidTr="00986B99">
        <w:tc>
          <w:tcPr>
            <w:tcW w:w="954" w:type="pct"/>
            <w:shd w:val="clear" w:color="auto" w:fill="auto"/>
          </w:tcPr>
          <w:p w14:paraId="7C618054" w14:textId="50E5413D" w:rsidR="00E06C1E" w:rsidRPr="00ED172B" w:rsidRDefault="00860830" w:rsidP="00CD79C5">
            <w:pPr>
              <w:rPr>
                <w:rFonts w:cs="Arial"/>
                <w:color w:val="000000" w:themeColor="text1"/>
                <w:szCs w:val="16"/>
              </w:rPr>
            </w:pPr>
            <w:r w:rsidRPr="00ED172B">
              <w:rPr>
                <w:rFonts w:cs="Arial"/>
                <w:color w:val="000000" w:themeColor="text1"/>
                <w:szCs w:val="16"/>
              </w:rPr>
              <w:t/>
            </w:r>
          </w:p>
        </w:tc>
        <w:tc>
          <w:tcPr>
            <w:tcW w:w="1369" w:type="pct"/>
            <w:shd w:val="clear" w:color="auto" w:fill="auto"/>
          </w:tcPr>
          <w:p w14:paraId="4384FEF7" w14:textId="06049B4E"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385" w:type="pct"/>
            <w:shd w:val="clear" w:color="auto" w:fill="auto"/>
          </w:tcPr>
          <w:p w14:paraId="60362BA9" w14:textId="53FAE770"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c>
          <w:tcPr>
            <w:tcW w:w="1292" w:type="pct"/>
            <w:shd w:val="clear" w:color="auto" w:fill="auto"/>
          </w:tcPr>
          <w:p w14:paraId="1935DBBF" w14:textId="5B8D837C" w:rsidR="00E06C1E" w:rsidRPr="00ED172B" w:rsidRDefault="00860830" w:rsidP="00CD79C5">
            <w:pPr>
              <w:jc w:val="center"/>
              <w:rPr>
                <w:rFonts w:cs="Arial"/>
                <w:noProof/>
                <w:color w:val="000000" w:themeColor="text1"/>
                <w:szCs w:val="16"/>
              </w:rPr>
            </w:pPr>
            <w:r w:rsidRPr="00ED172B">
              <w:rPr>
                <w:rFonts w:cs="Arial"/>
                <w:color w:val="000000" w:themeColor="text1"/>
                <w:szCs w:val="16"/>
              </w:rPr>
              <w:t/>
            </w:r>
          </w:p>
        </w:tc>
      </w:tr>
    </w:tbl>
    <w:p w14:paraId="24ACF565" w14:textId="7C74B281" w:rsidR="00866366" w:rsidRPr="00ED172B" w:rsidRDefault="00866366" w:rsidP="00866366">
      <w:pPr>
        <w:rPr>
          <w:rFonts w:cs="Arial"/>
          <w:b/>
          <w:bCs/>
          <w:color w:val="000000" w:themeColor="text1"/>
          <w:szCs w:val="16"/>
        </w:rPr>
      </w:pPr>
      <w:r w:rsidRPr="00ED172B">
        <w:rPr>
          <w:rFonts w:cs="Arial"/>
          <w:b/>
          <w:bCs/>
          <w:color w:val="000000" w:themeColor="text1"/>
          <w:szCs w:val="16"/>
        </w:rPr>
        <w:t>FFY 2019</w:t>
      </w:r>
    </w:p>
    <w:p w14:paraId="1A4EF358" w14:textId="77777777" w:rsidR="00866366" w:rsidRPr="00ED172B" w:rsidRDefault="00866366" w:rsidP="00866366">
      <w:pPr>
        <w:rPr>
          <w:color w:val="000000" w:themeColor="text1"/>
        </w:rPr>
      </w:pPr>
      <w:r w:rsidRPr="00ED172B">
        <w:rPr>
          <w:b/>
          <w:color w:val="000000" w:themeColor="text1"/>
        </w:rPr>
        <w:t>Findings of Noncompliance Verified as Corrected</w:t>
      </w:r>
    </w:p>
    <w:p w14:paraId="61DA2DAA" w14:textId="0C05CB95" w:rsidR="00866366" w:rsidRPr="00ED172B" w:rsidRDefault="00866366" w:rsidP="00866366">
      <w:pPr>
        <w:rPr>
          <w:b/>
          <w:color w:val="000000" w:themeColor="text1"/>
        </w:rPr>
      </w:pPr>
      <w:r w:rsidRPr="00ED172B">
        <w:rPr>
          <w:b/>
          <w:color w:val="000000" w:themeColor="text1"/>
        </w:rPr>
        <w:t xml:space="preserve">Describe how the State verified that the source of noncompliance is correctly implementing the </w:t>
      </w:r>
      <w:r w:rsidR="0031099B" w:rsidRPr="00ED172B">
        <w:rPr>
          <w:b/>
          <w:i/>
          <w:color w:val="000000" w:themeColor="text1"/>
        </w:rPr>
        <w:t>regulatory requirements</w:t>
      </w:r>
      <w:r w:rsidR="002959B0">
        <w:rPr>
          <w:b/>
          <w:i/>
          <w:color w:val="000000" w:themeColor="text1"/>
        </w:rPr>
        <w:t>.</w:t>
      </w:r>
    </w:p>
    <w:p w14:paraId="0A16C387" w14:textId="33CA776C" w:rsidR="00866366" w:rsidRPr="00ED172B" w:rsidRDefault="00866366" w:rsidP="00866366">
      <w:pPr>
        <w:rPr>
          <w:color w:val="000000" w:themeColor="text1"/>
        </w:rPr>
      </w:pPr>
      <w:r w:rsidRPr="00ED172B">
        <w:rPr>
          <w:color w:val="000000" w:themeColor="text1"/>
        </w:rPr>
        <w:t xml:space="preserve">As indicated in its FFY20 APR, MA-C identified three instances of noncompliance through its monitoring of the state database for Indicator 8C, the percentage of children for whom a transition conference was held in a timely manner.</w:t>
        <w:br/>
        <w:t/>
        <w:br/>
        <w:t xml:space="preserve">MA-C addressed prong 2 of OSEP Memo 09-02 by reviewing subsequent data to ensure ongoing compliance with the regulatory requirement of 100% of children having a transition conference in a timely manner. The EICS Application Lead queried the EICS for the EIS programs with compliance rates below 100%. She sampled 10 child records per program at random using subsequent transition data entered by the EIS programs and determined 100% compliance had been demonstrated. </w:t>
      </w:r>
    </w:p>
    <w:p w14:paraId="2657D3AF" w14:textId="555FBFB6" w:rsidR="00866366" w:rsidRPr="00ED172B" w:rsidRDefault="00866366" w:rsidP="00866366">
      <w:pPr>
        <w:rPr>
          <w:b/>
          <w:color w:val="000000" w:themeColor="text1"/>
        </w:rPr>
      </w:pPr>
      <w:r w:rsidRPr="00ED172B">
        <w:rPr>
          <w:b/>
          <w:color w:val="000000" w:themeColor="text1"/>
        </w:rPr>
        <w:t xml:space="preserve">Describe how the State verified that each </w:t>
      </w:r>
      <w:r w:rsidR="0031099B" w:rsidRPr="00ED172B">
        <w:rPr>
          <w:b/>
          <w:i/>
          <w:color w:val="000000" w:themeColor="text1"/>
        </w:rPr>
        <w:t>individual case</w:t>
      </w:r>
      <w:r w:rsidRPr="00ED172B">
        <w:rPr>
          <w:b/>
          <w:color w:val="000000" w:themeColor="text1"/>
        </w:rPr>
        <w:t xml:space="preserve"> of noncompliance was corrected</w:t>
      </w:r>
      <w:r w:rsidR="002959B0">
        <w:rPr>
          <w:b/>
          <w:color w:val="000000" w:themeColor="text1"/>
        </w:rPr>
        <w:t>.</w:t>
      </w:r>
    </w:p>
    <w:p w14:paraId="1260988C" w14:textId="1BDFEE37" w:rsidR="00866366" w:rsidRDefault="00866366" w:rsidP="00866366">
      <w:pPr>
        <w:rPr>
          <w:color w:val="000000" w:themeColor="text1"/>
        </w:rPr>
      </w:pPr>
      <w:r w:rsidRPr="00ED172B">
        <w:rPr>
          <w:color w:val="000000" w:themeColor="text1"/>
        </w:rPr>
        <w:t>MA-C addressed prong 1 of OSEP Memo 09-02 by ensuring each individual case of noncompliance was corrected unless the child was no longer within MA-C's jurisdiction. Upon detecting the noncompliance, the Early Intervention Client System (EICS) Application Lead (an Information Technology staff member embedded with MA-C) queried the former state database (EICS) to review the children's individual records. Using data entered by EIS programs into EICS, the EICS Application Lead determined that all three children left the jurisdiction before the notification could be sent, as demonstrated by transition data entered by the EIS programs into EICS.</w:t>
      </w:r>
    </w:p>
    <w:p w14:paraId="22B5F33A" w14:textId="766786C5" w:rsidR="00E06C1E" w:rsidRPr="00ED172B" w:rsidRDefault="00E06C1E">
      <w:pPr>
        <w:rPr>
          <w:color w:val="000000" w:themeColor="text1"/>
        </w:rPr>
      </w:pPr>
    </w:p>
    <w:p w14:paraId="3940C34D" w14:textId="0B2270A9" w:rsidR="00E06C1E" w:rsidRPr="00A40EE1" w:rsidRDefault="000D0117" w:rsidP="007B0787">
      <w:pPr>
        <w:pStyle w:val="Heading2"/>
      </w:pPr>
      <w:r w:rsidRPr="00A40EE1">
        <w:t xml:space="preserve">8C - </w:t>
      </w:r>
      <w:r w:rsidR="00E06C1E" w:rsidRPr="00A40EE1">
        <w:t>Prior FFY Required Actions</w:t>
      </w:r>
    </w:p>
    <w:p w14:paraId="3523B2FB" w14:textId="508521A4" w:rsidR="00720D77" w:rsidRPr="00ED172B" w:rsidRDefault="00320806" w:rsidP="00E06C1E">
      <w:pPr>
        <w:rPr>
          <w:rFonts w:cs="Arial"/>
          <w:color w:val="000000" w:themeColor="text1"/>
          <w:szCs w:val="16"/>
        </w:rPr>
      </w:pPr>
      <w:r w:rsidRPr="00ED172B">
        <w:rPr>
          <w:color w:val="000000" w:themeColor="text1"/>
        </w:rPr>
        <w:t xml:space="preserve">Because the State reported less than 100% compliance for FFY 2020, the State must report on the status of correction of noncompliance identified in FFY 2020 for this indicator. In addition, the State must demonstrate, in the FFY 2021 SPP/APR, that the three findings of noncompliance identified in FFY 2019 were corrected.  When reporting on the correction of noncompliance, the State must report, in the FFY 2021 SPP/APR, that it has verified that each EIS program or provider with findings of noncompliance identified in FFY 2020 and each EIS program or provider with remaining noncompliance identified in FFY 2019: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2021 SPP/APR, the State must describe the specific actions that were taken to verify the correction.    </w:t>
        <w:br/>
        <w:t/>
        <w:br/>
        <w:t>If the State did not identify any findings of noncompliance in FFY 2020, although its FFY 2020 data reflect less than 100% compliance, provide an explanation of why the State did not identify any findings of noncompliance in FFY 2020.</w:t>
      </w:r>
    </w:p>
    <w:p w14:paraId="4EE6B923" w14:textId="426E45AD" w:rsidR="00E06C1E" w:rsidRPr="00ED172B" w:rsidRDefault="00E06C1E" w:rsidP="00B83404">
      <w:pPr>
        <w:rPr>
          <w:color w:val="000000" w:themeColor="text1"/>
        </w:rPr>
      </w:pPr>
      <w:r w:rsidRPr="00ED172B">
        <w:rPr>
          <w:b/>
          <w:color w:val="000000" w:themeColor="text1"/>
        </w:rPr>
        <w:t>Response to actions required in FFY 2020 SPP/APR</w:t>
      </w:r>
      <w:r w:rsidR="00950382" w:rsidRPr="00ED172B">
        <w:rPr>
          <w:color w:val="000000" w:themeColor="text1"/>
        </w:rPr>
        <w:t xml:space="preserve"> </w:t>
      </w:r>
    </w:p>
    <w:p w14:paraId="7FE546ED" w14:textId="628A60E0" w:rsidR="00720D77" w:rsidRPr="00ED172B" w:rsidRDefault="00027F39" w:rsidP="00027F39">
      <w:pPr>
        <w:rPr>
          <w:color w:val="000000" w:themeColor="text1"/>
        </w:rPr>
      </w:pPr>
      <w:r w:rsidRPr="00ED172B">
        <w:rPr>
          <w:color w:val="000000" w:themeColor="text1"/>
        </w:rPr>
        <w:t xml:space="preserve">During FFY20, MA-C did not report 100% compliance for Indicator 8C, the percentage of toddlers potentially eligible for Part B services for whom a transition conference was held in a timely manner. MA-C reviewed its state database and discovered 39 records across 22 EIS programs that suggested that a transition conference was not held in a timely manner. </w:t>
        <w:br/>
        <w:t/>
        <w:br/>
        <w:t>Upon discovery and before written findings of noncompliance were issued, MA-C initiated a pre-finding correction process consistent with it’s general supervision practices. The Part C Data Manager queried the state database (Early Intervention Client System; EICS) to review the children's individual records. Using data entered by EIS programs into EICS, the Part C Data Manager determined that no children left the jurisdiction before a transition conference could be held. She determined that transition conferences were held for all 39 children, although late, as demonstrated by transition data entered by the EIS programs into EICS.</w:t>
        <w:br/>
        <w:t/>
        <w:br/>
        <w:t>Next, the Part C Data Manager queried the EICS for the 22 EIS programs with compliance rates below 100%. For each EIS program, she sampled 10 child records at random using subsequent service-level data entered by the EIS programs and determined 100% compliance had been demonstrated.</w:t>
        <w:br/>
        <w:t/>
        <w:br/>
        <w:t>Consistent with MA-C general supervision practices, no written findings of noncompliance were made. Instead, MA-C emailed the 22 EIS programs who had reported untimely transition conferences to remind them of the regulatory requirement and offer training and technical assistance to sustain compliance.</w:t>
      </w:r>
    </w:p>
    <w:p w14:paraId="6FD05FF7" w14:textId="751142CF" w:rsidR="00E06C1E" w:rsidRPr="00A40EE1" w:rsidRDefault="000D0117" w:rsidP="007B0787">
      <w:pPr>
        <w:pStyle w:val="Heading2"/>
      </w:pPr>
      <w:r w:rsidRPr="00A40EE1">
        <w:t xml:space="preserve">8C - </w:t>
      </w:r>
      <w:r w:rsidR="00E06C1E" w:rsidRPr="00A40EE1">
        <w:t>OSEP Response</w:t>
      </w:r>
    </w:p>
    <w:p w14:paraId="27FE6EF5" w14:textId="68DDCFA9" w:rsidR="00E06C1E" w:rsidRPr="00ED172B" w:rsidRDefault="00320806" w:rsidP="00320806">
      <w:pPr>
        <w:rPr>
          <w:color w:val="000000" w:themeColor="text1"/>
        </w:rPr>
      </w:pPr>
      <w:r w:rsidRPr="00ED172B">
        <w:rPr>
          <w:color w:val="000000" w:themeColor="text1"/>
        </w:rPr>
        <w:t>
</w:t>
      </w:r>
    </w:p>
    <w:p w14:paraId="66F379F4" w14:textId="3E85144C" w:rsidR="00E06C1E" w:rsidRPr="00A40EE1" w:rsidRDefault="000D0117" w:rsidP="007B0787">
      <w:pPr>
        <w:pStyle w:val="Heading2"/>
      </w:pPr>
      <w:r w:rsidRPr="00A40EE1">
        <w:t xml:space="preserve">8C - </w:t>
      </w:r>
      <w:r w:rsidR="00E06C1E" w:rsidRPr="00A40EE1">
        <w:t>Required Actions</w:t>
      </w:r>
    </w:p>
    <w:p w14:paraId="259A7463" w14:textId="2BBA9F30" w:rsidR="00E06C1E" w:rsidRPr="00ED172B" w:rsidRDefault="00320806" w:rsidP="00320806">
      <w:pPr>
        <w:rPr>
          <w:color w:val="000000" w:themeColor="text1"/>
        </w:rPr>
      </w:pPr>
      <w:r w:rsidRPr="00ED172B">
        <w:rPr>
          <w:color w:val="000000" w:themeColor="text1"/>
        </w:rPr>
        <w:t>Because the State reported less than 100% compliance for FFY 2021, the State must report on the status of correction of noncompliance identified in FFY 2021 for this indicator. When reporting on the correction of noncompliance, the State must report, in the FFY 2022 SPP/APR, that it has verified that each EIS program or provider with noncompliance identified in FFY 2021 for this indicator: (1) is correctly implementing the specific regulatory requirements (i.e., achieved 100% compliance) based on a review of updated data such as data subsequently collected through on-site monitoring or a State data system; and (2) has corrected each individual case of noncompliance, unless the child is no longer within the jurisdiction of the EIS program or provider, consistent with OSEP Memo 09-02. In the FFY 2022 SPP/APR, the State must describe the specific actions that were taken to verify the correction.</w:t>
        <w:br/>
        <w:t/>
        <w:br/>
        <w:t>If the State did not identify any findings of noncompliance in FFY 2021, although its FFY 2021 data reflect less than 100% compliance, provide an explanation of why the State did not identify any findings of noncompliance in FFY 2021.</w:t>
      </w:r>
    </w:p>
    <w:p w14:paraId="059EBF9E" w14:textId="77777777" w:rsidR="009F67E9" w:rsidRPr="00ED172B" w:rsidRDefault="009F67E9">
      <w:pPr>
        <w:spacing w:before="0" w:after="200" w:line="276" w:lineRule="auto"/>
        <w:rPr>
          <w:rFonts w:asciiTheme="majorHAnsi" w:hAnsiTheme="majorHAnsi"/>
          <w:b/>
          <w:i/>
          <w:color w:val="000000" w:themeColor="text1"/>
        </w:rPr>
        <w:sectPr w:rsidR="009F67E9" w:rsidRPr="00ED172B" w:rsidSect="000802F7">
          <w:pgSz w:w="12240" w:h="15840"/>
          <w:pgMar w:top="720" w:right="720" w:bottom="720" w:left="720" w:header="720" w:footer="463" w:gutter="0"/>
          <w:cols w:space="720"/>
          <w:docGrid w:linePitch="360"/>
        </w:sectPr>
      </w:pPr>
    </w:p>
    <w:p w14:paraId="0D7CD41A" w14:textId="36464319" w:rsidR="00B3462E" w:rsidRPr="00ED172B" w:rsidRDefault="00B3462E" w:rsidP="0077063D">
      <w:pPr>
        <w:pStyle w:val="Heading1"/>
        <w:rPr>
          <w:color w:val="000000" w:themeColor="text1"/>
        </w:rPr>
      </w:pPr>
      <w:bookmarkStart w:id="48" w:name="_Toc382082390"/>
      <w:bookmarkStart w:id="49" w:name="_Toc392159339"/>
      <w:bookmarkEnd w:id="44"/>
      <w:r w:rsidRPr="00ED172B">
        <w:rPr>
          <w:color w:val="000000" w:themeColor="text1"/>
        </w:rPr>
        <w:lastRenderedPageBreak/>
        <w:t>Indicator 9: Resolution Sessions</w:t>
      </w:r>
      <w:bookmarkEnd w:id="48"/>
      <w:bookmarkEnd w:id="49"/>
    </w:p>
    <w:p w14:paraId="162A1EA4" w14:textId="77777777" w:rsidR="00F51610" w:rsidRPr="00ED172B" w:rsidRDefault="00F51610" w:rsidP="00186420">
      <w:pPr>
        <w:rPr>
          <w:color w:val="000000" w:themeColor="text1"/>
          <w:szCs w:val="20"/>
        </w:rPr>
      </w:pPr>
      <w:bookmarkStart w:id="50" w:name="_Toc381786822"/>
      <w:bookmarkStart w:id="51" w:name="_Toc382731911"/>
      <w:bookmarkStart w:id="52" w:name="_Toc382731912"/>
      <w:bookmarkStart w:id="53" w:name="_Toc392159340"/>
      <w:bookmarkEnd w:id="50"/>
      <w:bookmarkEnd w:id="51"/>
      <w:r w:rsidRPr="00ED172B">
        <w:rPr>
          <w:b/>
          <w:color w:val="000000" w:themeColor="text1"/>
          <w:sz w:val="20"/>
          <w:szCs w:val="20"/>
        </w:rPr>
        <w:t>Instructions and Measurement</w:t>
      </w:r>
    </w:p>
    <w:p w14:paraId="08E18F10" w14:textId="77777777" w:rsidR="007C454A" w:rsidRPr="00ED172B" w:rsidRDefault="007C454A" w:rsidP="00715B7C">
      <w:pPr>
        <w:rPr>
          <w:b/>
          <w:color w:val="000000" w:themeColor="text1"/>
          <w:szCs w:val="16"/>
        </w:rPr>
      </w:pPr>
      <w:r w:rsidRPr="00ED172B">
        <w:rPr>
          <w:b/>
          <w:color w:val="000000" w:themeColor="text1"/>
          <w:szCs w:val="16"/>
        </w:rPr>
        <w:t xml:space="preserve">Monitoring Priority: </w:t>
      </w:r>
      <w:r w:rsidRPr="00ED172B">
        <w:rPr>
          <w:color w:val="000000" w:themeColor="text1"/>
          <w:szCs w:val="16"/>
        </w:rPr>
        <w:t>Effective General Supervision Part C / General Supervision</w:t>
      </w:r>
    </w:p>
    <w:p w14:paraId="503A1355" w14:textId="58D9B75E"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 xml:space="preserve">Percent of hearing requests that went to resolution sessions that were resolved through resolution session settlement agreements (applicable if Part B due process procedures </w:t>
      </w:r>
      <w:r w:rsidR="00CD071F" w:rsidRPr="004353B0">
        <w:rPr>
          <w:szCs w:val="16"/>
        </w:rPr>
        <w:t>under section 615 of</w:t>
      </w:r>
      <w:r w:rsidR="00CD071F">
        <w:rPr>
          <w:szCs w:val="16"/>
        </w:rPr>
        <w:t xml:space="preserve"> </w:t>
      </w:r>
      <w:r w:rsidR="00CD071F" w:rsidRPr="004353B0">
        <w:rPr>
          <w:szCs w:val="16"/>
        </w:rPr>
        <w:t>the IDEA</w:t>
      </w:r>
      <w:r w:rsidR="00CD071F" w:rsidRPr="003461DB">
        <w:rPr>
          <w:szCs w:val="16"/>
        </w:rPr>
        <w:t xml:space="preserve"> </w:t>
      </w:r>
      <w:r w:rsidRPr="00ED172B">
        <w:rPr>
          <w:color w:val="000000" w:themeColor="text1"/>
          <w:szCs w:val="16"/>
        </w:rPr>
        <w:t>are adopted).</w:t>
      </w:r>
      <w:r w:rsidR="00715B7C" w:rsidRPr="00ED172B">
        <w:rPr>
          <w:color w:val="000000" w:themeColor="text1"/>
          <w:szCs w:val="16"/>
        </w:rPr>
        <w:t xml:space="preserve"> </w:t>
      </w:r>
      <w:r w:rsidRPr="00ED172B">
        <w:rPr>
          <w:color w:val="000000" w:themeColor="text1"/>
          <w:szCs w:val="16"/>
        </w:rPr>
        <w:t>(20 U.S.C. 1416(a)(3)(B) and 1442)</w:t>
      </w:r>
    </w:p>
    <w:p w14:paraId="20D6E11E" w14:textId="77777777" w:rsidR="00FE403B" w:rsidRPr="00ED172B" w:rsidRDefault="00FE403B">
      <w:pPr>
        <w:rPr>
          <w:b/>
          <w:color w:val="000000" w:themeColor="text1"/>
        </w:rPr>
      </w:pPr>
      <w:r w:rsidRPr="00ED172B">
        <w:rPr>
          <w:b/>
          <w:color w:val="000000" w:themeColor="text1"/>
        </w:rPr>
        <w:t>Data Source</w:t>
      </w:r>
    </w:p>
    <w:p w14:paraId="6E86F032" w14:textId="7420B1CC" w:rsidR="00FE403B"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00FE403B" w:rsidRPr="00ED172B">
        <w:rPr>
          <w:rFonts w:cs="Arial"/>
          <w:color w:val="000000" w:themeColor="text1"/>
          <w:szCs w:val="16"/>
        </w:rPr>
        <w:t>.</w:t>
      </w:r>
    </w:p>
    <w:p w14:paraId="49B9A620" w14:textId="7A3B7345" w:rsidR="00FE403B" w:rsidRPr="00ED172B" w:rsidRDefault="00FE403B">
      <w:pPr>
        <w:rPr>
          <w:b/>
          <w:color w:val="000000" w:themeColor="text1"/>
        </w:rPr>
      </w:pPr>
      <w:r w:rsidRPr="00ED172B">
        <w:rPr>
          <w:b/>
          <w:color w:val="000000" w:themeColor="text1"/>
        </w:rPr>
        <w:t>Measurement</w:t>
      </w:r>
    </w:p>
    <w:p w14:paraId="55C22144" w14:textId="4D92DC81" w:rsidR="00F90BF8" w:rsidRPr="00ED172B" w:rsidRDefault="00F90BF8" w:rsidP="00715B7C">
      <w:pPr>
        <w:rPr>
          <w:color w:val="000000" w:themeColor="text1"/>
          <w:szCs w:val="16"/>
        </w:rPr>
      </w:pPr>
      <w:r w:rsidRPr="00ED172B">
        <w:rPr>
          <w:color w:val="000000" w:themeColor="text1"/>
          <w:szCs w:val="16"/>
        </w:rPr>
        <w:t>Percent = (3.1(a) divided by 3.1) times 100.</w:t>
      </w:r>
    </w:p>
    <w:p w14:paraId="46E381D7" w14:textId="77777777" w:rsidR="00FE403B" w:rsidRPr="00ED172B" w:rsidRDefault="00FE403B">
      <w:pPr>
        <w:rPr>
          <w:b/>
          <w:color w:val="000000" w:themeColor="text1"/>
        </w:rPr>
      </w:pPr>
      <w:r w:rsidRPr="00ED172B">
        <w:rPr>
          <w:b/>
          <w:color w:val="000000" w:themeColor="text1"/>
        </w:rPr>
        <w:t>Instructions</w:t>
      </w:r>
    </w:p>
    <w:p w14:paraId="2A2F58CB" w14:textId="3B947AA9" w:rsidR="00F90BF8" w:rsidRPr="00ED172B" w:rsidRDefault="00F90BF8" w:rsidP="00715B7C">
      <w:pPr>
        <w:rPr>
          <w:color w:val="000000" w:themeColor="text1"/>
          <w:szCs w:val="16"/>
        </w:rPr>
      </w:pPr>
      <w:r w:rsidRPr="00ED172B">
        <w:rPr>
          <w:color w:val="000000" w:themeColor="text1"/>
          <w:szCs w:val="16"/>
        </w:rPr>
        <w:t>Sampling from the State’s 618 data is not allowed.</w:t>
      </w:r>
    </w:p>
    <w:p w14:paraId="756E1F9C" w14:textId="0F78A4C3" w:rsidR="00F90BF8" w:rsidRPr="00ED172B" w:rsidRDefault="00F90BF8" w:rsidP="00715B7C">
      <w:pPr>
        <w:rPr>
          <w:color w:val="000000" w:themeColor="text1"/>
          <w:szCs w:val="16"/>
        </w:rPr>
      </w:pPr>
      <w:r w:rsidRPr="00ED172B">
        <w:rPr>
          <w:color w:val="000000" w:themeColor="text1"/>
          <w:szCs w:val="16"/>
        </w:rPr>
        <w:t>This indicator is not applicable to a State that has adopted Part C due process procedures under section 639 of the IDEA.</w:t>
      </w:r>
    </w:p>
    <w:p w14:paraId="1CBFA8E6" w14:textId="489DCD44"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7FBF3187" w14:textId="54AB83A2" w:rsidR="00F90BF8" w:rsidRPr="00ED172B" w:rsidRDefault="00F90BF8" w:rsidP="00715B7C">
      <w:pPr>
        <w:rPr>
          <w:color w:val="000000" w:themeColor="text1"/>
          <w:szCs w:val="16"/>
        </w:rPr>
      </w:pPr>
      <w:r w:rsidRPr="00ED172B">
        <w:rPr>
          <w:color w:val="000000" w:themeColor="text1"/>
          <w:szCs w:val="16"/>
        </w:rPr>
        <w:t>States are not required to establish baseline or targets if the number of resolution sessions is less than 10. In a reporting period when the number of resolution sessions reaches 10 or greater, the State must develop baseline and targets and report them in the corresponding SPP/APR.</w:t>
      </w:r>
    </w:p>
    <w:p w14:paraId="64DC0E2A" w14:textId="53D5BB2D" w:rsidR="00F90BF8" w:rsidRPr="00ED172B" w:rsidRDefault="00F90BF8" w:rsidP="00715B7C">
      <w:pPr>
        <w:rPr>
          <w:color w:val="000000" w:themeColor="text1"/>
          <w:szCs w:val="16"/>
        </w:rPr>
      </w:pPr>
      <w:r w:rsidRPr="00ED172B">
        <w:rPr>
          <w:color w:val="000000" w:themeColor="text1"/>
          <w:szCs w:val="16"/>
        </w:rPr>
        <w:t>States may express their targets in a range (e.g., 75-85%).</w:t>
      </w:r>
    </w:p>
    <w:p w14:paraId="6918407D" w14:textId="7DE8BF5D"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626EF671"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2"/>
    <w:bookmarkEnd w:id="53"/>
    <w:p w14:paraId="498BB6B3" w14:textId="1F66BE76" w:rsidR="007F0CEC" w:rsidRPr="00A40EE1" w:rsidRDefault="000D0117" w:rsidP="007B0787">
      <w:pPr>
        <w:pStyle w:val="Heading2"/>
      </w:pPr>
      <w:r w:rsidRPr="00A40EE1">
        <w:t xml:space="preserve">9 - </w:t>
      </w:r>
      <w:r w:rsidR="00715B7C" w:rsidRPr="00A40EE1">
        <w:t>Indicator Data</w:t>
      </w:r>
    </w:p>
    <w:p w14:paraId="27E473BF" w14:textId="3EE4D9E0" w:rsidR="00524F62" w:rsidRPr="00ED172B" w:rsidRDefault="00524F62" w:rsidP="00524F62">
      <w:pPr>
        <w:rPr>
          <w:b/>
          <w:color w:val="000000" w:themeColor="text1"/>
        </w:rPr>
      </w:pPr>
      <w:r w:rsidRPr="00ED172B">
        <w:rPr>
          <w:b/>
          <w:color w:val="000000" w:themeColor="text1"/>
        </w:rPr>
        <w:t>Not Applicable</w:t>
      </w:r>
    </w:p>
    <w:p w14:paraId="2590DBC0" w14:textId="15E61A4C" w:rsidR="00D12606" w:rsidRPr="00ED172B" w:rsidRDefault="0077028E" w:rsidP="00B83404">
      <w:pPr>
        <w:rPr>
          <w:b/>
          <w:color w:val="000000" w:themeColor="text1"/>
        </w:rPr>
      </w:pPr>
      <w:r w:rsidRPr="00ED172B">
        <w:rPr>
          <w:b/>
          <w:color w:val="000000" w:themeColor="text1"/>
        </w:rPr>
        <w:t xml:space="preserve">Select yes if this indicator is not applicable. </w:t>
      </w:r>
    </w:p>
    <w:p w14:paraId="73914029" w14:textId="1768AA7B" w:rsidR="00D12606" w:rsidRPr="00ED172B" w:rsidRDefault="00860830" w:rsidP="00B83404">
      <w:pPr>
        <w:rPr>
          <w:color w:val="000000" w:themeColor="text1"/>
        </w:rPr>
      </w:pPr>
      <w:r w:rsidRPr="00ED172B">
        <w:rPr>
          <w:color w:val="000000" w:themeColor="text1"/>
        </w:rPr>
        <w:t>YES</w:t>
      </w:r>
    </w:p>
    <w:p w14:paraId="2D577CD3" w14:textId="47D29935" w:rsidR="00781A26" w:rsidRPr="00ED172B" w:rsidRDefault="00D12606" w:rsidP="00B83404">
      <w:pPr>
        <w:rPr>
          <w:b/>
          <w:color w:val="000000" w:themeColor="text1"/>
        </w:rPr>
      </w:pPr>
      <w:r w:rsidRPr="00ED172B">
        <w:rPr>
          <w:b/>
          <w:color w:val="000000" w:themeColor="text1"/>
        </w:rPr>
        <w:t xml:space="preserve">Provide an explanation of why it is not applicable below. </w:t>
      </w:r>
    </w:p>
    <w:p w14:paraId="15AA9D9C" w14:textId="77098EE1" w:rsidR="00D12606" w:rsidRPr="00ED172B" w:rsidRDefault="00860830" w:rsidP="00B83404">
      <w:pPr>
        <w:rPr>
          <w:color w:val="000000" w:themeColor="text1"/>
        </w:rPr>
      </w:pPr>
      <w:r w:rsidRPr="00ED172B">
        <w:rPr>
          <w:color w:val="000000" w:themeColor="text1"/>
        </w:rPr>
        <w:t xml:space="preserve">This indicator is not applicable because the Lead Agency (MA-C) uses the Part C hearing procedures under Section 639, 34 CFR 303.430, CFR 303.435-438 and does not provide resolution session.  </w:t>
      </w:r>
    </w:p>
    <w:p w14:paraId="629C12E3" w14:textId="77777777" w:rsidR="009D5CE3" w:rsidRPr="00ED172B" w:rsidRDefault="009D5CE3" w:rsidP="0097671A">
      <w:pPr>
        <w:rPr>
          <w:rFonts w:cs="Arial"/>
          <w:color w:val="000000" w:themeColor="text1"/>
          <w:szCs w:val="16"/>
        </w:rPr>
      </w:pPr>
    </w:p>
    <w:p w14:paraId="48B843A0" w14:textId="3462B79B" w:rsidR="00DC0682" w:rsidRPr="00A40EE1" w:rsidRDefault="000D0117" w:rsidP="007B0787">
      <w:pPr>
        <w:pStyle w:val="Heading2"/>
      </w:pPr>
      <w:bookmarkStart w:id="56" w:name="_Toc381786825"/>
      <w:bookmarkStart w:id="57" w:name="_Toc382731915"/>
      <w:bookmarkStart w:id="58" w:name="_Toc392159343"/>
      <w:bookmarkEnd w:id="54"/>
      <w:bookmarkEnd w:id="55"/>
      <w:r w:rsidRPr="00A40EE1">
        <w:t xml:space="preserve">9 - </w:t>
      </w:r>
      <w:r w:rsidR="00DC0682" w:rsidRPr="00A40EE1">
        <w:t>Prior FFY Required Actions</w:t>
      </w:r>
    </w:p>
    <w:p w14:paraId="036F63EA" w14:textId="4FE66323" w:rsidR="00720D77" w:rsidRPr="00ED172B" w:rsidRDefault="00320806" w:rsidP="00DC0682">
      <w:pPr>
        <w:rPr>
          <w:rFonts w:cs="Arial"/>
          <w:color w:val="000000" w:themeColor="text1"/>
          <w:szCs w:val="16"/>
        </w:rPr>
      </w:pPr>
      <w:r w:rsidRPr="00ED172B">
        <w:rPr>
          <w:color w:val="000000" w:themeColor="text1"/>
        </w:rPr>
        <w:t>None</w:t>
      </w:r>
    </w:p>
    <w:p w14:paraId="68A4FC9E" w14:textId="6CE4698D" w:rsidR="00DC0682" w:rsidRPr="00A40EE1" w:rsidRDefault="000D0117" w:rsidP="007B0787">
      <w:pPr>
        <w:pStyle w:val="Heading2"/>
      </w:pPr>
      <w:r w:rsidRPr="00A40EE1">
        <w:t xml:space="preserve">9 - </w:t>
      </w:r>
      <w:r w:rsidR="00DC0682" w:rsidRPr="00A40EE1">
        <w:t>OSEP Response</w:t>
      </w:r>
    </w:p>
    <w:p w14:paraId="1C7C181C" w14:textId="49B74C9B" w:rsidR="00DC0682" w:rsidRPr="00ED172B" w:rsidRDefault="00320806" w:rsidP="00320806">
      <w:pPr>
        <w:rPr>
          <w:color w:val="000000" w:themeColor="text1"/>
        </w:rPr>
      </w:pPr>
      <w:r w:rsidRPr="00ED172B">
        <w:rPr>
          <w:color w:val="000000" w:themeColor="text1"/>
        </w:rPr>
        <w:t/>
      </w:r>
    </w:p>
    <w:p w14:paraId="5FB5B46D" w14:textId="7FD504EC" w:rsidR="00DC0682" w:rsidRPr="00A40EE1" w:rsidRDefault="000D0117" w:rsidP="007B0787">
      <w:pPr>
        <w:pStyle w:val="Heading2"/>
      </w:pPr>
      <w:r w:rsidRPr="00A40EE1">
        <w:t xml:space="preserve">9 - </w:t>
      </w:r>
      <w:r w:rsidR="00DC0682" w:rsidRPr="00A40EE1">
        <w:t>Required Actions</w:t>
      </w:r>
    </w:p>
    <w:p w14:paraId="58D793A9" w14:textId="1894C6D8" w:rsidR="00DC0682" w:rsidRPr="00ED172B" w:rsidRDefault="00320806" w:rsidP="00320806">
      <w:pPr>
        <w:rPr>
          <w:color w:val="000000" w:themeColor="text1"/>
        </w:rPr>
      </w:pPr>
      <w:r w:rsidRPr="00ED172B">
        <w:rPr>
          <w:color w:val="000000" w:themeColor="text1"/>
        </w:rPr>
        <w:t>OSEP notes that this indicator is not applicable.</w:t>
      </w:r>
    </w:p>
    <w:p w14:paraId="40C7A32D" w14:textId="60C272E3" w:rsidR="007F0CEC" w:rsidRPr="00ED172B" w:rsidRDefault="007F0CEC" w:rsidP="0077063D">
      <w:pPr>
        <w:pStyle w:val="Heading1"/>
        <w:rPr>
          <w:color w:val="000000" w:themeColor="text1"/>
        </w:rPr>
      </w:pPr>
      <w:bookmarkStart w:id="59" w:name="_Hlk109646703"/>
      <w:r w:rsidRPr="00ED172B">
        <w:rPr>
          <w:color w:val="000000" w:themeColor="text1"/>
        </w:rPr>
        <w:t>Indicator 10: Mediation</w:t>
      </w:r>
      <w:bookmarkEnd w:id="56"/>
      <w:bookmarkEnd w:id="57"/>
      <w:bookmarkEnd w:id="58"/>
    </w:p>
    <w:p w14:paraId="68E62423" w14:textId="77777777" w:rsidR="00F51610" w:rsidRPr="00ED172B" w:rsidRDefault="00F51610" w:rsidP="00186420">
      <w:pPr>
        <w:rPr>
          <w:color w:val="000000" w:themeColor="text1"/>
          <w:szCs w:val="20"/>
        </w:rPr>
      </w:pPr>
      <w:bookmarkStart w:id="60" w:name="_Toc382731916"/>
      <w:bookmarkStart w:id="61" w:name="_Toc392159344"/>
      <w:r w:rsidRPr="00ED172B">
        <w:rPr>
          <w:b/>
          <w:color w:val="000000" w:themeColor="text1"/>
          <w:sz w:val="20"/>
          <w:szCs w:val="20"/>
        </w:rPr>
        <w:t>Instructions and Measurement</w:t>
      </w:r>
    </w:p>
    <w:p w14:paraId="45CBBD6E" w14:textId="77777777" w:rsidR="007C454A" w:rsidRPr="00ED172B" w:rsidRDefault="007C454A" w:rsidP="00715B7C">
      <w:pPr>
        <w:rPr>
          <w:b/>
          <w:color w:val="000000" w:themeColor="text1"/>
          <w:szCs w:val="16"/>
        </w:rPr>
      </w:pPr>
      <w:r w:rsidRPr="00ED172B">
        <w:rPr>
          <w:b/>
          <w:color w:val="000000" w:themeColor="text1"/>
          <w:szCs w:val="16"/>
        </w:rPr>
        <w:lastRenderedPageBreak/>
        <w:t xml:space="preserve">Monitoring Priority: </w:t>
      </w:r>
      <w:r w:rsidRPr="00ED172B">
        <w:rPr>
          <w:color w:val="000000" w:themeColor="text1"/>
          <w:szCs w:val="16"/>
        </w:rPr>
        <w:t>Effective General Supervision Part C / General Supervision</w:t>
      </w:r>
    </w:p>
    <w:p w14:paraId="342EF4C3" w14:textId="77777777" w:rsidR="007C454A" w:rsidRPr="00ED172B" w:rsidRDefault="007C454A" w:rsidP="00715B7C">
      <w:pPr>
        <w:rPr>
          <w:color w:val="000000" w:themeColor="text1"/>
          <w:szCs w:val="16"/>
        </w:rPr>
      </w:pPr>
      <w:r w:rsidRPr="00ED172B">
        <w:rPr>
          <w:b/>
          <w:color w:val="000000" w:themeColor="text1"/>
          <w:szCs w:val="16"/>
        </w:rPr>
        <w:t xml:space="preserve">Results indicator: </w:t>
      </w:r>
      <w:r w:rsidRPr="00ED172B">
        <w:rPr>
          <w:color w:val="000000" w:themeColor="text1"/>
          <w:szCs w:val="16"/>
        </w:rPr>
        <w:t>Percent of mediations held that resulted in mediation agreements.</w:t>
      </w:r>
      <w:r w:rsidR="007243C1" w:rsidRPr="00ED172B">
        <w:rPr>
          <w:color w:val="000000" w:themeColor="text1"/>
          <w:szCs w:val="16"/>
        </w:rPr>
        <w:t xml:space="preserve"> </w:t>
      </w:r>
      <w:r w:rsidRPr="00ED172B">
        <w:rPr>
          <w:color w:val="000000" w:themeColor="text1"/>
          <w:szCs w:val="16"/>
        </w:rPr>
        <w:t>(20 U.S.C. 1416(a)(3)(B) and 1442)</w:t>
      </w:r>
    </w:p>
    <w:p w14:paraId="13B0550C" w14:textId="77777777" w:rsidR="00F90BF8" w:rsidRPr="00ED172B" w:rsidRDefault="00F90BF8">
      <w:pPr>
        <w:rPr>
          <w:b/>
          <w:color w:val="000000" w:themeColor="text1"/>
        </w:rPr>
      </w:pPr>
      <w:r w:rsidRPr="00ED172B">
        <w:rPr>
          <w:b/>
          <w:color w:val="000000" w:themeColor="text1"/>
        </w:rPr>
        <w:t>Data Source</w:t>
      </w:r>
    </w:p>
    <w:p w14:paraId="6EBB7969" w14:textId="77777777" w:rsidR="00F90BF8" w:rsidRPr="00ED172B" w:rsidRDefault="00F90BF8" w:rsidP="00715B7C">
      <w:pPr>
        <w:rPr>
          <w:rFonts w:cs="Arial"/>
          <w:color w:val="000000" w:themeColor="text1"/>
          <w:szCs w:val="16"/>
        </w:rPr>
      </w:pPr>
      <w:r w:rsidRPr="00ED172B">
        <w:rPr>
          <w:color w:val="000000" w:themeColor="text1"/>
          <w:szCs w:val="16"/>
        </w:rPr>
        <w:t>Data collected under section 618 of the IDEA (IDEA Part C Dispute Resolution Survey in the ED</w:t>
      </w:r>
      <w:r w:rsidRPr="00F85A5B">
        <w:rPr>
          <w:i/>
          <w:color w:val="000000" w:themeColor="text1"/>
          <w:szCs w:val="16"/>
        </w:rPr>
        <w:t>Facts</w:t>
      </w:r>
      <w:r w:rsidRPr="00ED172B">
        <w:rPr>
          <w:color w:val="000000" w:themeColor="text1"/>
          <w:szCs w:val="16"/>
        </w:rPr>
        <w:t xml:space="preserve"> Metadata and Process System (E</w:t>
      </w:r>
      <w:r w:rsidRPr="00ED172B">
        <w:rPr>
          <w:i/>
          <w:color w:val="000000" w:themeColor="text1"/>
          <w:szCs w:val="16"/>
        </w:rPr>
        <w:t>MAPS</w:t>
      </w:r>
      <w:r w:rsidRPr="00ED172B">
        <w:rPr>
          <w:color w:val="000000" w:themeColor="text1"/>
          <w:szCs w:val="16"/>
        </w:rPr>
        <w:t>))</w:t>
      </w:r>
      <w:r w:rsidRPr="00ED172B">
        <w:rPr>
          <w:rFonts w:cs="Arial"/>
          <w:color w:val="000000" w:themeColor="text1"/>
          <w:szCs w:val="16"/>
        </w:rPr>
        <w:t>.</w:t>
      </w:r>
    </w:p>
    <w:p w14:paraId="292D98FF" w14:textId="77777777" w:rsidR="00F90BF8" w:rsidRPr="00ED172B" w:rsidRDefault="00F90BF8">
      <w:pPr>
        <w:rPr>
          <w:b/>
          <w:color w:val="000000" w:themeColor="text1"/>
        </w:rPr>
      </w:pPr>
      <w:r w:rsidRPr="00ED172B">
        <w:rPr>
          <w:b/>
          <w:color w:val="000000" w:themeColor="text1"/>
        </w:rPr>
        <w:t>Measurement</w:t>
      </w:r>
    </w:p>
    <w:p w14:paraId="55533F2F" w14:textId="3D8399C8" w:rsidR="00F90BF8" w:rsidRPr="00ED172B" w:rsidRDefault="00F90BF8" w:rsidP="00715B7C">
      <w:pPr>
        <w:rPr>
          <w:color w:val="000000" w:themeColor="text1"/>
          <w:szCs w:val="16"/>
        </w:rPr>
      </w:pPr>
      <w:r w:rsidRPr="00ED172B">
        <w:rPr>
          <w:color w:val="000000" w:themeColor="text1"/>
          <w:szCs w:val="16"/>
        </w:rPr>
        <w:t>Percent = [(2.1(a)(i) + 2.1(b)(i)) divided by 2.1] times 100.</w:t>
      </w:r>
    </w:p>
    <w:p w14:paraId="75ABD207" w14:textId="77777777" w:rsidR="00F90BF8" w:rsidRPr="00ED172B" w:rsidRDefault="00F90BF8">
      <w:pPr>
        <w:rPr>
          <w:b/>
          <w:color w:val="000000" w:themeColor="text1"/>
        </w:rPr>
      </w:pPr>
      <w:r w:rsidRPr="00ED172B">
        <w:rPr>
          <w:b/>
          <w:color w:val="000000" w:themeColor="text1"/>
        </w:rPr>
        <w:t>Instructions</w:t>
      </w:r>
    </w:p>
    <w:p w14:paraId="5BA53C38" w14:textId="77777777" w:rsidR="00F90BF8" w:rsidRPr="00ED172B" w:rsidRDefault="00F90BF8" w:rsidP="00715B7C">
      <w:pPr>
        <w:rPr>
          <w:color w:val="000000" w:themeColor="text1"/>
          <w:szCs w:val="16"/>
        </w:rPr>
      </w:pPr>
      <w:r w:rsidRPr="00ED172B">
        <w:rPr>
          <w:color w:val="000000" w:themeColor="text1"/>
          <w:szCs w:val="16"/>
        </w:rPr>
        <w:t>Sampling from the State’s 618 data is not allowed.</w:t>
      </w:r>
    </w:p>
    <w:p w14:paraId="70797935" w14:textId="77777777" w:rsidR="00F90BF8" w:rsidRPr="00ED172B" w:rsidRDefault="00F90BF8" w:rsidP="00715B7C">
      <w:pPr>
        <w:rPr>
          <w:color w:val="000000" w:themeColor="text1"/>
          <w:szCs w:val="16"/>
        </w:rPr>
      </w:pPr>
      <w:r w:rsidRPr="00ED172B">
        <w:rPr>
          <w:color w:val="000000" w:themeColor="text1"/>
          <w:szCs w:val="16"/>
        </w:rPr>
        <w:t>Describe the results of the calculations and compare the results to the target.</w:t>
      </w:r>
    </w:p>
    <w:p w14:paraId="50633D33" w14:textId="07B523FB" w:rsidR="00F90BF8" w:rsidRPr="00ED172B" w:rsidRDefault="00F90BF8" w:rsidP="00715B7C">
      <w:pPr>
        <w:rPr>
          <w:color w:val="000000" w:themeColor="text1"/>
          <w:szCs w:val="16"/>
        </w:rPr>
      </w:pPr>
      <w:r w:rsidRPr="00ED172B">
        <w:rPr>
          <w:color w:val="000000" w:themeColor="text1"/>
          <w:szCs w:val="16"/>
        </w:rPr>
        <w:t>States are not required to establish baseline or targets if the number of mediations is less than 10. In a reporting period when the number of mediations reaches 10 or greater, the State must develop baseline and targets and report them in the corresponding SPP/APR.</w:t>
      </w:r>
    </w:p>
    <w:p w14:paraId="6481ACCC" w14:textId="21E12B44" w:rsidR="00F90BF8" w:rsidRPr="00ED172B" w:rsidRDefault="00CD071F" w:rsidP="00715B7C">
      <w:pPr>
        <w:rPr>
          <w:color w:val="000000" w:themeColor="text1"/>
          <w:szCs w:val="16"/>
        </w:rPr>
      </w:pPr>
      <w:r w:rsidRPr="004E39D8">
        <w:rPr>
          <w:szCs w:val="16"/>
        </w:rPr>
        <w:t>The consensus among mediation practitioners is that 75-85% is a reasonable rate of mediations that result in agreements and is consistent with national mediation success rate data</w:t>
      </w:r>
      <w:r>
        <w:rPr>
          <w:color w:val="000000" w:themeColor="text1"/>
          <w:szCs w:val="16"/>
        </w:rPr>
        <w:t xml:space="preserve">. </w:t>
      </w:r>
      <w:r w:rsidR="00F90BF8" w:rsidRPr="00ED172B">
        <w:rPr>
          <w:color w:val="000000" w:themeColor="text1"/>
          <w:szCs w:val="16"/>
        </w:rPr>
        <w:t>States may express their targets in a range (e.g., 75-85%).</w:t>
      </w:r>
    </w:p>
    <w:p w14:paraId="67FB0C0C" w14:textId="77777777" w:rsidR="00F90BF8" w:rsidRPr="00ED172B" w:rsidRDefault="00F90BF8" w:rsidP="00715B7C">
      <w:pPr>
        <w:rPr>
          <w:color w:val="000000" w:themeColor="text1"/>
          <w:szCs w:val="16"/>
        </w:rPr>
      </w:pPr>
      <w:r w:rsidRPr="00ED172B">
        <w:rPr>
          <w:color w:val="000000" w:themeColor="text1"/>
          <w:szCs w:val="16"/>
        </w:rPr>
        <w:t>If the data reported in this indicator are not the same as the State’s 618 data, explain.</w:t>
      </w:r>
    </w:p>
    <w:p w14:paraId="0FB7C586" w14:textId="77777777" w:rsidR="00F90BF8" w:rsidRPr="00ED172B" w:rsidRDefault="00F90BF8" w:rsidP="00715B7C">
      <w:pPr>
        <w:rPr>
          <w:color w:val="000000" w:themeColor="text1"/>
          <w:szCs w:val="16"/>
        </w:rPr>
      </w:pPr>
      <w:r w:rsidRPr="00ED172B">
        <w:rPr>
          <w:color w:val="000000" w:themeColor="text1"/>
          <w:szCs w:val="16"/>
        </w:rPr>
        <w:t>States are not required to report data at the EIS program level.</w:t>
      </w:r>
    </w:p>
    <w:bookmarkEnd w:id="59"/>
    <w:p w14:paraId="287A5341" w14:textId="00F1E014" w:rsidR="00715B7C" w:rsidRPr="00A40EE1" w:rsidRDefault="000D0117" w:rsidP="007B0787">
      <w:pPr>
        <w:pStyle w:val="Heading2"/>
      </w:pPr>
      <w:r w:rsidRPr="00A40EE1">
        <w:t xml:space="preserve">10 - </w:t>
      </w:r>
      <w:r w:rsidR="00715B7C" w:rsidRPr="00A40EE1">
        <w:t>Indicator Data</w:t>
      </w:r>
    </w:p>
    <w:p w14:paraId="016B6B29" w14:textId="77777777" w:rsidR="00631022" w:rsidRPr="00ED172B" w:rsidRDefault="00631022" w:rsidP="00631022">
      <w:pPr>
        <w:rPr>
          <w:rFonts w:cs="Arial"/>
          <w:b/>
          <w:color w:val="000000" w:themeColor="text1"/>
          <w:szCs w:val="16"/>
        </w:rPr>
      </w:pPr>
      <w:r w:rsidRPr="00ED172B">
        <w:rPr>
          <w:rFonts w:cs="Arial"/>
          <w:b/>
          <w:color w:val="000000" w:themeColor="text1"/>
          <w:szCs w:val="16"/>
        </w:rPr>
        <w:t>Select yes to use target ranges</w:t>
      </w:r>
    </w:p>
    <w:p w14:paraId="5A2E0BEC" w14:textId="24075C30" w:rsidR="00631022" w:rsidRPr="00ED172B" w:rsidRDefault="00631022" w:rsidP="00186420">
      <w:pPr>
        <w:rPr>
          <w:color w:val="000000" w:themeColor="text1"/>
        </w:rPr>
      </w:pPr>
      <w:r w:rsidRPr="00ED172B">
        <w:rPr>
          <w:rFonts w:cs="Arial"/>
          <w:color w:val="000000" w:themeColor="text1"/>
          <w:szCs w:val="16"/>
        </w:rPr>
        <w:t>Target Range not used</w:t>
      </w:r>
    </w:p>
    <w:p w14:paraId="69A772DE" w14:textId="05345981" w:rsidR="00DC16A4" w:rsidRPr="00ED172B" w:rsidRDefault="00631022">
      <w:pPr>
        <w:rPr>
          <w:b/>
          <w:color w:val="000000" w:themeColor="text1"/>
        </w:rPr>
      </w:pPr>
      <w:r w:rsidRPr="00ED172B">
        <w:rPr>
          <w:b/>
          <w:color w:val="000000" w:themeColor="text1"/>
        </w:rPr>
        <w:t xml:space="preserve">Select yes if the data reported in this indicator are not the same as the State’s data reported under section 618 of the IDEA. </w:t>
      </w:r>
    </w:p>
    <w:p w14:paraId="4DEB85CE" w14:textId="14D6670E" w:rsidR="00631022" w:rsidRDefault="00631022">
      <w:pPr>
        <w:rPr>
          <w:color w:val="000000" w:themeColor="text1"/>
        </w:rPr>
      </w:pPr>
      <w:r w:rsidRPr="00ED172B">
        <w:rPr>
          <w:color w:val="000000" w:themeColor="text1"/>
        </w:rPr>
        <w:t>NO</w:t>
      </w:r>
    </w:p>
    <w:p w14:paraId="7DE6E5E4" w14:textId="27BBC5FE" w:rsidR="00715B7C" w:rsidRPr="00ED172B" w:rsidRDefault="00715B7C">
      <w:pPr>
        <w:rPr>
          <w:b/>
          <w:color w:val="000000" w:themeColor="text1"/>
        </w:rPr>
      </w:pPr>
      <w:r w:rsidRPr="00ED172B">
        <w:rPr>
          <w:b/>
          <w:color w:val="000000" w:themeColor="text1"/>
        </w:rPr>
        <w:t>Prepopulated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PREPOPDATA"/>
      </w:tblPr>
      <w:tblGrid>
        <w:gridCol w:w="3278"/>
        <w:gridCol w:w="3377"/>
        <w:gridCol w:w="2536"/>
        <w:gridCol w:w="1599"/>
      </w:tblGrid>
      <w:tr w:rsidR="00ED172B" w:rsidRPr="00ED172B" w14:paraId="6813B365" w14:textId="77777777" w:rsidTr="00986B99">
        <w:trPr>
          <w:trHeight w:val="296"/>
          <w:tblHeader/>
        </w:trPr>
        <w:tc>
          <w:tcPr>
            <w:tcW w:w="1519" w:type="pct"/>
            <w:shd w:val="clear" w:color="auto" w:fill="auto"/>
          </w:tcPr>
          <w:p w14:paraId="1E0E49C0" w14:textId="77777777" w:rsidR="00715B7C" w:rsidRPr="00ED172B" w:rsidRDefault="00715B7C" w:rsidP="00B83404">
            <w:pPr>
              <w:jc w:val="center"/>
              <w:rPr>
                <w:b/>
                <w:color w:val="000000" w:themeColor="text1"/>
              </w:rPr>
            </w:pPr>
            <w:r w:rsidRPr="00ED172B">
              <w:rPr>
                <w:b/>
                <w:color w:val="000000" w:themeColor="text1"/>
              </w:rPr>
              <w:t>Source</w:t>
            </w:r>
          </w:p>
        </w:tc>
        <w:tc>
          <w:tcPr>
            <w:tcW w:w="1565" w:type="pct"/>
            <w:shd w:val="clear" w:color="auto" w:fill="auto"/>
          </w:tcPr>
          <w:p w14:paraId="25301036" w14:textId="77777777" w:rsidR="00715B7C" w:rsidRPr="00ED172B" w:rsidRDefault="00715B7C" w:rsidP="00B83404">
            <w:pPr>
              <w:jc w:val="center"/>
              <w:rPr>
                <w:b/>
                <w:color w:val="000000" w:themeColor="text1"/>
              </w:rPr>
            </w:pPr>
            <w:r w:rsidRPr="00ED172B">
              <w:rPr>
                <w:b/>
                <w:color w:val="000000" w:themeColor="text1"/>
              </w:rPr>
              <w:t>Date</w:t>
            </w:r>
          </w:p>
        </w:tc>
        <w:tc>
          <w:tcPr>
            <w:tcW w:w="1175" w:type="pct"/>
            <w:shd w:val="clear" w:color="auto" w:fill="auto"/>
          </w:tcPr>
          <w:p w14:paraId="3FEAA9B4" w14:textId="77777777" w:rsidR="00715B7C" w:rsidRPr="00ED172B" w:rsidRDefault="00715B7C" w:rsidP="00B83404">
            <w:pPr>
              <w:jc w:val="center"/>
              <w:rPr>
                <w:b/>
                <w:color w:val="000000" w:themeColor="text1"/>
              </w:rPr>
            </w:pPr>
            <w:r w:rsidRPr="00ED172B">
              <w:rPr>
                <w:b/>
                <w:color w:val="000000" w:themeColor="text1"/>
              </w:rPr>
              <w:t>Description</w:t>
            </w:r>
          </w:p>
        </w:tc>
        <w:tc>
          <w:tcPr>
            <w:tcW w:w="741" w:type="pct"/>
            <w:shd w:val="clear" w:color="auto" w:fill="auto"/>
          </w:tcPr>
          <w:p w14:paraId="287D402C" w14:textId="77777777" w:rsidR="00715B7C" w:rsidRPr="00ED172B" w:rsidRDefault="00715B7C" w:rsidP="00B83404">
            <w:pPr>
              <w:jc w:val="center"/>
              <w:rPr>
                <w:b/>
                <w:color w:val="000000" w:themeColor="text1"/>
              </w:rPr>
            </w:pPr>
            <w:r w:rsidRPr="00ED172B">
              <w:rPr>
                <w:b/>
                <w:color w:val="000000" w:themeColor="text1"/>
              </w:rPr>
              <w:t>Data</w:t>
            </w:r>
          </w:p>
        </w:tc>
      </w:tr>
      <w:tr w:rsidR="00ED172B" w:rsidRPr="00ED172B" w14:paraId="0EFEE654" w14:textId="77777777" w:rsidTr="00986B99">
        <w:trPr>
          <w:trHeight w:val="380"/>
        </w:trPr>
        <w:tc>
          <w:tcPr>
            <w:tcW w:w="1519" w:type="pct"/>
            <w:shd w:val="clear" w:color="auto" w:fill="auto"/>
          </w:tcPr>
          <w:p w14:paraId="56D61A9B" w14:textId="496861FF" w:rsidR="00781A26" w:rsidRPr="00ED172B" w:rsidRDefault="0034085B" w:rsidP="00781A26">
            <w:pPr>
              <w:rPr>
                <w:rFonts w:cs="Arial"/>
                <w:color w:val="000000" w:themeColor="text1"/>
                <w:szCs w:val="16"/>
              </w:rPr>
            </w:pPr>
            <w:r w:rsidRPr="00ED172B">
              <w:rPr>
                <w:rFonts w:cs="Arial"/>
                <w:color w:val="000000" w:themeColor="text1"/>
                <w:szCs w:val="16"/>
              </w:rPr>
              <w:t>SY 2021-22 EMAPS IDEA Part C  Dispute Resolution Survey; Section B: Mediation Requests</w:t>
            </w:r>
          </w:p>
        </w:tc>
        <w:tc>
          <w:tcPr>
            <w:tcW w:w="1565" w:type="pct"/>
            <w:shd w:val="clear" w:color="auto" w:fill="auto"/>
          </w:tcPr>
          <w:p w14:paraId="6EC7A23E" w14:textId="5D430E66" w:rsidR="00781A26" w:rsidRPr="00ED172B" w:rsidRDefault="0034085B" w:rsidP="00781A26">
            <w:pPr>
              <w:jc w:val="center"/>
              <w:rPr>
                <w:rFonts w:cs="Arial"/>
                <w:color w:val="000000" w:themeColor="text1"/>
                <w:szCs w:val="16"/>
              </w:rPr>
            </w:pPr>
            <w:r w:rsidRPr="00ED172B">
              <w:rPr>
                <w:rFonts w:cs="Arial"/>
                <w:color w:val="000000" w:themeColor="text1"/>
                <w:szCs w:val="16"/>
              </w:rPr>
              <w:t>11/02/2022</w:t>
            </w:r>
          </w:p>
        </w:tc>
        <w:tc>
          <w:tcPr>
            <w:tcW w:w="1175" w:type="pct"/>
            <w:shd w:val="clear" w:color="auto" w:fill="auto"/>
          </w:tcPr>
          <w:p w14:paraId="7BA820FA" w14:textId="77777777" w:rsidR="00781A26" w:rsidRPr="00ED172B" w:rsidRDefault="00781A26" w:rsidP="00781A26">
            <w:pPr>
              <w:rPr>
                <w:rFonts w:cs="Arial"/>
                <w:color w:val="000000" w:themeColor="text1"/>
                <w:szCs w:val="16"/>
              </w:rPr>
            </w:pPr>
            <w:r w:rsidRPr="00ED172B">
              <w:rPr>
                <w:rFonts w:cs="Arial"/>
                <w:color w:val="000000" w:themeColor="text1"/>
                <w:szCs w:val="16"/>
              </w:rPr>
              <w:t>2.1 Mediations held</w:t>
            </w:r>
          </w:p>
        </w:tc>
        <w:tc>
          <w:tcPr>
            <w:tcW w:w="741" w:type="pct"/>
            <w:shd w:val="clear" w:color="auto" w:fill="auto"/>
          </w:tcPr>
          <w:p w14:paraId="7C060BC8" w14:textId="1D89C439" w:rsidR="00781A26" w:rsidRPr="00ED172B" w:rsidRDefault="00027F39" w:rsidP="00ED172B">
            <w:pPr>
              <w:jc w:val="center"/>
              <w:rPr>
                <w:color w:val="000000" w:themeColor="text1"/>
              </w:rPr>
            </w:pPr>
            <w:r w:rsidRPr="00ED172B">
              <w:rPr>
                <w:color w:val="000000" w:themeColor="text1"/>
              </w:rPr>
              <w:t>0</w:t>
            </w:r>
          </w:p>
        </w:tc>
      </w:tr>
      <w:tr w:rsidR="00ED172B" w:rsidRPr="00ED172B" w14:paraId="2A1CAAF1" w14:textId="77777777" w:rsidTr="00986B99">
        <w:trPr>
          <w:trHeight w:val="380"/>
        </w:trPr>
        <w:tc>
          <w:tcPr>
            <w:tcW w:w="1519" w:type="pct"/>
            <w:shd w:val="clear" w:color="auto" w:fill="auto"/>
          </w:tcPr>
          <w:p w14:paraId="63D6E2EE" w14:textId="527A4C4E" w:rsidR="00781A26" w:rsidRPr="00ED172B" w:rsidRDefault="0034085B" w:rsidP="00781A26">
            <w:pPr>
              <w:rPr>
                <w:rFonts w:cs="Arial"/>
                <w:color w:val="000000" w:themeColor="text1"/>
                <w:szCs w:val="16"/>
              </w:rPr>
            </w:pPr>
            <w:r w:rsidRPr="00ED172B">
              <w:rPr>
                <w:rFonts w:cs="Arial"/>
                <w:color w:val="000000" w:themeColor="text1"/>
                <w:szCs w:val="16"/>
              </w:rPr>
              <w:t>SY 2021-22 EMAPS IDEA Part C  Dispute Resolution Survey; Section B: Mediation Requests</w:t>
            </w:r>
          </w:p>
        </w:tc>
        <w:tc>
          <w:tcPr>
            <w:tcW w:w="1565" w:type="pct"/>
            <w:shd w:val="clear" w:color="auto" w:fill="auto"/>
          </w:tcPr>
          <w:p w14:paraId="45CCAA10" w14:textId="238E9547" w:rsidR="00781A26" w:rsidRPr="00ED172B" w:rsidRDefault="0034085B" w:rsidP="00781A26">
            <w:pPr>
              <w:jc w:val="center"/>
              <w:rPr>
                <w:rFonts w:cs="Arial"/>
                <w:color w:val="000000" w:themeColor="text1"/>
                <w:szCs w:val="16"/>
              </w:rPr>
            </w:pPr>
            <w:r w:rsidRPr="00ED172B">
              <w:rPr>
                <w:rFonts w:cs="Arial"/>
                <w:color w:val="000000" w:themeColor="text1"/>
                <w:szCs w:val="16"/>
              </w:rPr>
              <w:t>11/02/2022</w:t>
            </w:r>
          </w:p>
        </w:tc>
        <w:tc>
          <w:tcPr>
            <w:tcW w:w="1175" w:type="pct"/>
            <w:shd w:val="clear" w:color="auto" w:fill="auto"/>
          </w:tcPr>
          <w:p w14:paraId="57A50D57" w14:textId="77777777" w:rsidR="00781A26" w:rsidRPr="00ED172B" w:rsidRDefault="00781A26" w:rsidP="00781A26">
            <w:pPr>
              <w:rPr>
                <w:rFonts w:cs="Arial"/>
                <w:color w:val="000000" w:themeColor="text1"/>
                <w:szCs w:val="16"/>
              </w:rPr>
            </w:pPr>
            <w:r w:rsidRPr="00ED172B">
              <w:rPr>
                <w:rFonts w:cs="Arial"/>
                <w:color w:val="000000" w:themeColor="text1"/>
                <w:szCs w:val="16"/>
              </w:rPr>
              <w:t>2.1.a.i Mediations agreements related to due process complaints</w:t>
            </w:r>
          </w:p>
        </w:tc>
        <w:tc>
          <w:tcPr>
            <w:tcW w:w="741" w:type="pct"/>
            <w:shd w:val="clear" w:color="auto" w:fill="auto"/>
          </w:tcPr>
          <w:p w14:paraId="71FDA12A" w14:textId="40679280" w:rsidR="00781A26" w:rsidRPr="00ED172B" w:rsidRDefault="00027F39" w:rsidP="00ED172B">
            <w:pPr>
              <w:jc w:val="center"/>
              <w:rPr>
                <w:color w:val="000000" w:themeColor="text1"/>
              </w:rPr>
            </w:pPr>
            <w:r w:rsidRPr="00ED172B">
              <w:rPr>
                <w:color w:val="000000" w:themeColor="text1"/>
              </w:rPr>
              <w:t>0</w:t>
            </w:r>
          </w:p>
        </w:tc>
      </w:tr>
      <w:tr w:rsidR="00ED172B" w:rsidRPr="00ED172B" w14:paraId="4CAA107A" w14:textId="77777777" w:rsidTr="00986B99">
        <w:trPr>
          <w:trHeight w:val="380"/>
        </w:trPr>
        <w:tc>
          <w:tcPr>
            <w:tcW w:w="1519" w:type="pct"/>
            <w:shd w:val="clear" w:color="auto" w:fill="auto"/>
          </w:tcPr>
          <w:p w14:paraId="28D69B92" w14:textId="300183BC" w:rsidR="00781A26" w:rsidRPr="00ED172B" w:rsidRDefault="0034085B" w:rsidP="00781A26">
            <w:pPr>
              <w:rPr>
                <w:rFonts w:cs="Arial"/>
                <w:color w:val="000000" w:themeColor="text1"/>
                <w:szCs w:val="16"/>
              </w:rPr>
            </w:pPr>
            <w:r w:rsidRPr="00ED172B">
              <w:rPr>
                <w:rFonts w:cs="Arial"/>
                <w:color w:val="000000" w:themeColor="text1"/>
                <w:szCs w:val="16"/>
              </w:rPr>
              <w:t>SY 2021-22 EMAPS IDEA Part C  Dispute Resolution Survey; Section B: Mediation Requests</w:t>
            </w:r>
          </w:p>
        </w:tc>
        <w:tc>
          <w:tcPr>
            <w:tcW w:w="1565" w:type="pct"/>
            <w:shd w:val="clear" w:color="auto" w:fill="auto"/>
          </w:tcPr>
          <w:p w14:paraId="4C1AF679" w14:textId="41A56BF9" w:rsidR="00781A26" w:rsidRPr="00ED172B" w:rsidRDefault="0034085B" w:rsidP="00781A26">
            <w:pPr>
              <w:jc w:val="center"/>
              <w:rPr>
                <w:rFonts w:cs="Arial"/>
                <w:color w:val="000000" w:themeColor="text1"/>
                <w:szCs w:val="16"/>
              </w:rPr>
            </w:pPr>
            <w:r w:rsidRPr="00ED172B">
              <w:rPr>
                <w:rFonts w:cs="Arial"/>
                <w:color w:val="000000" w:themeColor="text1"/>
                <w:szCs w:val="16"/>
              </w:rPr>
              <w:t>11/02/2022</w:t>
            </w:r>
          </w:p>
        </w:tc>
        <w:tc>
          <w:tcPr>
            <w:tcW w:w="1175" w:type="pct"/>
            <w:shd w:val="clear" w:color="auto" w:fill="auto"/>
          </w:tcPr>
          <w:p w14:paraId="416E4FE8" w14:textId="77777777" w:rsidR="00781A26" w:rsidRPr="00ED172B" w:rsidRDefault="00781A26" w:rsidP="00781A26">
            <w:pPr>
              <w:rPr>
                <w:rFonts w:cs="Arial"/>
                <w:color w:val="000000" w:themeColor="text1"/>
                <w:szCs w:val="16"/>
              </w:rPr>
            </w:pPr>
            <w:r w:rsidRPr="00ED172B">
              <w:rPr>
                <w:rFonts w:cs="Arial"/>
                <w:color w:val="000000" w:themeColor="text1"/>
                <w:szCs w:val="16"/>
              </w:rPr>
              <w:t>2.1.b.i Mediations agreements not related to due process complaints</w:t>
            </w:r>
          </w:p>
        </w:tc>
        <w:tc>
          <w:tcPr>
            <w:tcW w:w="741" w:type="pct"/>
            <w:shd w:val="clear" w:color="auto" w:fill="auto"/>
          </w:tcPr>
          <w:p w14:paraId="3FFC49DA" w14:textId="2AACC070" w:rsidR="00781A26" w:rsidRPr="00ED172B" w:rsidRDefault="00027F39" w:rsidP="00ED172B">
            <w:pPr>
              <w:jc w:val="center"/>
              <w:rPr>
                <w:color w:val="000000" w:themeColor="text1"/>
              </w:rPr>
            </w:pPr>
            <w:r w:rsidRPr="00ED172B">
              <w:rPr>
                <w:color w:val="000000" w:themeColor="text1"/>
              </w:rPr>
              <w:t>0</w:t>
            </w:r>
          </w:p>
        </w:tc>
      </w:tr>
    </w:tbl>
    <w:p w14:paraId="3E6B3744" w14:textId="23AB342D" w:rsidR="00822D9C" w:rsidRDefault="00287B52" w:rsidP="00287B52">
      <w:pPr>
        <w:pStyle w:val="Bold"/>
        <w:rPr>
          <w:color w:val="000000" w:themeColor="text1"/>
        </w:rPr>
      </w:pPr>
      <w:r w:rsidRPr="00ED172B">
        <w:rPr>
          <w:color w:val="000000" w:themeColor="text1"/>
        </w:rPr>
        <w:t>Targets: Description of Stakeholder Input</w:t>
      </w:r>
    </w:p>
    <w:p w14:paraId="29B47A7E" w14:textId="7900ED41" w:rsidR="00E44DFC" w:rsidRDefault="00CF03E0" w:rsidP="00ED172B">
      <w:pPr>
        <w:rPr>
          <w:color w:val="000000" w:themeColor="text1"/>
        </w:rPr>
      </w:pPr>
      <w:r w:rsidRPr="00ED172B">
        <w:rPr>
          <w:color w:val="000000" w:themeColor="text1"/>
        </w:rPr>
        <w:t>MA-C collaborates closely with other State agencies on a variety of issues related to the early childhood system of care and the Part C system, including the Department of Elementary and Secondary Education (DESE), Purchase of Services Office (POS), the Office of Health Equity (OHE), the Division of Medical Assistance (MassHealth), the Department of Early Education and Care (EEC), the Office for the Child Advocate (OCA), the Division of Insurance (DOI), the Massachusetts Maternal, Infant, and Early Childhood Home Visiting team (MassMIECHV), the Early Intervention Parenting Partnerships (EIPP), the Massachusetts Autism Commission (MAC), Massachusetts Child Psychiatry Access Project (MCPAP), and the and the Department of Mental Health (DMH). Most of these agencies are represented on the State Interagency Coordinating Council (ICC).</w:t>
        <w:br/>
        <w:t/>
        <w:br/>
        <w:t>This Annual Performance Report (APR) was developed with broad stakeholder input. At a State Interagency Coordinating Council (ICC) meeting in January 2023, the members reviewed results from FFY21 (7/1/21-6/30/22) for each indicator. Drafts were also shared with staff from the Early Childhood Technical Assistance Center (ECTA), who reviewed and provided initial feedback and guidance. On January 24, 2023, the ICC co-chairs adopted the APR as in lieu of submitting its own report, fulfilling the State Interagency Coordinating Council's obligations to report to the U.S. Department of Education for FFY21.</w:t>
      </w:r>
    </w:p>
    <w:p w14:paraId="68E60F77" w14:textId="50BC5DCB" w:rsidR="00287B52" w:rsidRPr="00ED172B" w:rsidRDefault="00E44DFC" w:rsidP="00287B52">
      <w:pPr>
        <w:pStyle w:val="Bold"/>
        <w:rPr>
          <w:b w:val="0"/>
          <w:color w:val="000000" w:themeColor="text1"/>
        </w:rPr>
      </w:pPr>
      <w:r w:rsidRPr="00ED172B">
        <w:rPr>
          <w:rFonts w:cs="Arial"/>
          <w:b w:val="0"/>
          <w:color w:val="000000" w:themeColor="text1"/>
          <w:szCs w:val="16"/>
        </w:rPr>
        <w:t/>
      </w:r>
    </w:p>
    <w:p w14:paraId="18583600" w14:textId="757B2E4C" w:rsidR="00715B7C" w:rsidRDefault="00423A30" w:rsidP="00287B52">
      <w:pPr>
        <w:rPr>
          <w:rFonts w:cs="Arial"/>
          <w:b/>
          <w:color w:val="000000" w:themeColor="text1"/>
          <w:szCs w:val="16"/>
        </w:rPr>
      </w:pPr>
      <w:r w:rsidRPr="00ED172B">
        <w:rPr>
          <w:rFonts w:cs="Arial"/>
          <w:b/>
          <w:color w:val="000000" w:themeColor="text1"/>
          <w:szCs w:val="16"/>
        </w:rPr>
        <w:t>Historical Data</w:t>
      </w:r>
    </w:p>
    <w:p w14:paraId="11AC067C" w14:textId="4481D23D" w:rsidR="000378F3" w:rsidRDefault="000378F3" w:rsidP="00287B52">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BASELINEDATA"/>
      </w:tblPr>
      <w:tblGrid>
        <w:gridCol w:w="1788"/>
        <w:gridCol w:w="1898"/>
      </w:tblGrid>
      <w:tr w:rsidR="000378F3" w:rsidRPr="00ED172B" w14:paraId="799A45A9" w14:textId="77777777" w:rsidTr="00A40EE1">
        <w:trPr>
          <w:trHeight w:val="350"/>
          <w:tblHeader/>
        </w:trPr>
        <w:tc>
          <w:tcPr>
            <w:tcW w:w="4389" w:type="pct"/>
            <w:tcBorders>
              <w:bottom w:val="single" w:sz="4" w:space="0" w:color="auto"/>
            </w:tcBorders>
            <w:shd w:val="clear" w:color="auto" w:fill="auto"/>
            <w:vAlign w:val="center"/>
          </w:tcPr>
          <w:p w14:paraId="0798E3F3" w14:textId="77777777" w:rsidR="000378F3" w:rsidRPr="001071FD" w:rsidRDefault="000378F3" w:rsidP="00C15786">
            <w:pPr>
              <w:jc w:val="center"/>
              <w:rPr>
                <w:b/>
                <w:bCs/>
                <w:color w:val="000000" w:themeColor="text1"/>
              </w:rPr>
            </w:pPr>
            <w:r>
              <w:rPr>
                <w:b/>
                <w:bCs/>
                <w:color w:val="000000" w:themeColor="text1"/>
              </w:rPr>
              <w:t>Baseline Year</w:t>
            </w:r>
          </w:p>
        </w:tc>
        <w:tc>
          <w:tcPr>
            <w:tcW w:w="611" w:type="pct"/>
            <w:shd w:val="clear" w:color="auto" w:fill="auto"/>
            <w:vAlign w:val="center"/>
          </w:tcPr>
          <w:p w14:paraId="0F6D9282" w14:textId="77777777" w:rsidR="000378F3" w:rsidRPr="001071FD" w:rsidRDefault="000378F3" w:rsidP="00C15786">
            <w:pPr>
              <w:jc w:val="center"/>
              <w:rPr>
                <w:b/>
                <w:bCs/>
                <w:color w:val="000000" w:themeColor="text1"/>
              </w:rPr>
            </w:pPr>
            <w:r w:rsidRPr="001071FD">
              <w:rPr>
                <w:b/>
                <w:bCs/>
                <w:color w:val="000000" w:themeColor="text1"/>
              </w:rPr>
              <w:t>Baseline Data</w:t>
            </w:r>
          </w:p>
        </w:tc>
      </w:tr>
      <w:tr w:rsidR="000378F3" w:rsidRPr="00ED172B" w14:paraId="196E0A11" w14:textId="77777777" w:rsidTr="00A40EE1">
        <w:trPr>
          <w:trHeight w:val="350"/>
        </w:trPr>
        <w:tc>
          <w:tcPr>
            <w:tcW w:w="4389" w:type="pct"/>
            <w:tcBorders>
              <w:bottom w:val="single" w:sz="4" w:space="0" w:color="auto"/>
            </w:tcBorders>
            <w:shd w:val="clear" w:color="auto" w:fill="auto"/>
          </w:tcPr>
          <w:p w14:paraId="2E6F6CB1" w14:textId="3D236666" w:rsidR="000378F3" w:rsidRPr="00ED172B" w:rsidRDefault="000378F3" w:rsidP="000378F3">
            <w:pPr>
              <w:jc w:val="center"/>
              <w:rPr>
                <w:b/>
                <w:color w:val="000000" w:themeColor="text1"/>
              </w:rPr>
            </w:pPr>
            <w:r w:rsidRPr="00ED172B">
              <w:rPr>
                <w:color w:val="000000" w:themeColor="text1"/>
              </w:rPr>
              <w:t>2005</w:t>
            </w:r>
          </w:p>
        </w:tc>
        <w:tc>
          <w:tcPr>
            <w:tcW w:w="611" w:type="pct"/>
            <w:shd w:val="clear" w:color="auto" w:fill="auto"/>
            <w:vAlign w:val="center"/>
          </w:tcPr>
          <w:p w14:paraId="03A9855E" w14:textId="5D4201BC" w:rsidR="000378F3" w:rsidRPr="00ED172B" w:rsidRDefault="000378F3" w:rsidP="000378F3">
            <w:pPr>
              <w:jc w:val="center"/>
              <w:rPr>
                <w:color w:val="000000" w:themeColor="text1"/>
              </w:rPr>
            </w:pPr>
            <w:r w:rsidRPr="00ED172B">
              <w:rPr>
                <w:color w:val="000000" w:themeColor="text1"/>
              </w:rPr>
              <w:t/>
            </w:r>
          </w:p>
        </w:tc>
      </w:tr>
    </w:tbl>
    <w:p w14:paraId="436B5496" w14:textId="77777777" w:rsidR="000378F3" w:rsidRPr="00ED172B" w:rsidRDefault="000378F3" w:rsidP="00287B52">
      <w:pPr>
        <w:rPr>
          <w:rFonts w:cs="Arial"/>
          <w:b/>
          <w:color w:val="000000" w:themeColor="text1"/>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0HISTDATA"/>
      </w:tblPr>
      <w:tblGrid>
        <w:gridCol w:w="1345"/>
        <w:gridCol w:w="1889"/>
        <w:gridCol w:w="1889"/>
        <w:gridCol w:w="1889"/>
        <w:gridCol w:w="1889"/>
        <w:gridCol w:w="1889"/>
      </w:tblGrid>
      <w:tr w:rsidR="00ED172B" w:rsidRPr="00ED172B" w14:paraId="15E0F4DB" w14:textId="77777777" w:rsidTr="00986B99">
        <w:trPr>
          <w:trHeight w:val="350"/>
        </w:trPr>
        <w:tc>
          <w:tcPr>
            <w:tcW w:w="623" w:type="pct"/>
            <w:tcBorders>
              <w:bottom w:val="single" w:sz="4" w:space="0" w:color="auto"/>
            </w:tcBorders>
            <w:shd w:val="clear" w:color="auto" w:fill="auto"/>
          </w:tcPr>
          <w:p w14:paraId="3A753115" w14:textId="77777777" w:rsidR="00965010" w:rsidRPr="00ED172B" w:rsidRDefault="00965010" w:rsidP="00186420">
            <w:pPr>
              <w:jc w:val="center"/>
              <w:rPr>
                <w:rFonts w:cs="Arial"/>
                <w:b/>
                <w:color w:val="000000" w:themeColor="text1"/>
                <w:szCs w:val="16"/>
              </w:rPr>
            </w:pPr>
            <w:r w:rsidRPr="00ED172B">
              <w:rPr>
                <w:rFonts w:cs="Arial"/>
                <w:b/>
                <w:color w:val="000000" w:themeColor="text1"/>
                <w:szCs w:val="16"/>
              </w:rPr>
              <w:t>FFY</w:t>
            </w:r>
          </w:p>
        </w:tc>
        <w:tc>
          <w:tcPr>
            <w:tcW w:w="875" w:type="pct"/>
            <w:shd w:val="clear" w:color="auto" w:fill="auto"/>
          </w:tcPr>
          <w:p w14:paraId="3CE8C174" w14:textId="54215B00" w:rsidR="00965010" w:rsidRPr="00ED172B" w:rsidRDefault="002163F2" w:rsidP="00CD79C5">
            <w:pPr>
              <w:jc w:val="center"/>
              <w:rPr>
                <w:rFonts w:cs="Arial"/>
                <w:b/>
                <w:color w:val="000000" w:themeColor="text1"/>
                <w:szCs w:val="16"/>
              </w:rPr>
            </w:pPr>
            <w:r w:rsidRPr="00ED172B">
              <w:rPr>
                <w:rFonts w:cs="Arial"/>
                <w:b/>
                <w:color w:val="000000" w:themeColor="text1"/>
                <w:szCs w:val="16"/>
              </w:rPr>
              <w:t>2016</w:t>
            </w:r>
          </w:p>
        </w:tc>
        <w:tc>
          <w:tcPr>
            <w:tcW w:w="875" w:type="pct"/>
            <w:shd w:val="clear" w:color="auto" w:fill="auto"/>
          </w:tcPr>
          <w:p w14:paraId="48525C47" w14:textId="74E82FEF" w:rsidR="00965010" w:rsidRPr="00ED172B" w:rsidRDefault="002163F2" w:rsidP="00CD79C5">
            <w:pPr>
              <w:jc w:val="center"/>
              <w:rPr>
                <w:rFonts w:cs="Arial"/>
                <w:b/>
                <w:color w:val="000000" w:themeColor="text1"/>
                <w:szCs w:val="16"/>
              </w:rPr>
            </w:pPr>
            <w:r w:rsidRPr="00ED172B">
              <w:rPr>
                <w:rFonts w:cs="Arial"/>
                <w:b/>
                <w:color w:val="000000" w:themeColor="text1"/>
                <w:szCs w:val="16"/>
              </w:rPr>
              <w:t>2017</w:t>
            </w:r>
          </w:p>
        </w:tc>
        <w:tc>
          <w:tcPr>
            <w:tcW w:w="875" w:type="pct"/>
            <w:shd w:val="clear" w:color="auto" w:fill="auto"/>
            <w:vAlign w:val="center"/>
          </w:tcPr>
          <w:p w14:paraId="1AAAE12B" w14:textId="25CD9A53" w:rsidR="00965010" w:rsidRPr="00ED172B" w:rsidRDefault="002163F2" w:rsidP="00CD79C5">
            <w:pPr>
              <w:jc w:val="center"/>
              <w:rPr>
                <w:rFonts w:cs="Arial"/>
                <w:b/>
                <w:color w:val="000000" w:themeColor="text1"/>
                <w:szCs w:val="16"/>
              </w:rPr>
            </w:pPr>
            <w:r w:rsidRPr="00ED172B">
              <w:rPr>
                <w:rFonts w:cs="Arial"/>
                <w:b/>
                <w:color w:val="000000" w:themeColor="text1"/>
                <w:szCs w:val="16"/>
              </w:rPr>
              <w:t>2018</w:t>
            </w:r>
          </w:p>
        </w:tc>
        <w:tc>
          <w:tcPr>
            <w:tcW w:w="875" w:type="pct"/>
            <w:shd w:val="clear" w:color="auto" w:fill="auto"/>
            <w:vAlign w:val="center"/>
          </w:tcPr>
          <w:p w14:paraId="288CEC24" w14:textId="050C85BF" w:rsidR="00965010" w:rsidRPr="00ED172B" w:rsidRDefault="002163F2" w:rsidP="00CD79C5">
            <w:pPr>
              <w:jc w:val="center"/>
              <w:rPr>
                <w:rFonts w:cs="Arial"/>
                <w:b/>
                <w:color w:val="000000" w:themeColor="text1"/>
                <w:szCs w:val="16"/>
              </w:rPr>
            </w:pPr>
            <w:r w:rsidRPr="00ED172B">
              <w:rPr>
                <w:rFonts w:cs="Arial"/>
                <w:b/>
                <w:color w:val="000000" w:themeColor="text1"/>
                <w:szCs w:val="16"/>
              </w:rPr>
              <w:t>2019</w:t>
            </w:r>
          </w:p>
        </w:tc>
        <w:tc>
          <w:tcPr>
            <w:tcW w:w="875" w:type="pct"/>
            <w:shd w:val="clear" w:color="auto" w:fill="auto"/>
            <w:vAlign w:val="center"/>
          </w:tcPr>
          <w:p w14:paraId="414BD96D" w14:textId="6D5AFB86" w:rsidR="00965010" w:rsidRPr="00ED172B" w:rsidRDefault="006D43D3" w:rsidP="00CD79C5">
            <w:pPr>
              <w:jc w:val="center"/>
              <w:rPr>
                <w:rFonts w:cs="Arial"/>
                <w:b/>
                <w:color w:val="000000" w:themeColor="text1"/>
                <w:szCs w:val="16"/>
              </w:rPr>
            </w:pPr>
            <w:r w:rsidRPr="00ED172B">
              <w:rPr>
                <w:rFonts w:cs="Arial"/>
                <w:b/>
                <w:color w:val="000000" w:themeColor="text1"/>
                <w:szCs w:val="16"/>
              </w:rPr>
              <w:t>2020</w:t>
            </w:r>
          </w:p>
        </w:tc>
      </w:tr>
      <w:tr w:rsidR="00ED172B" w:rsidRPr="00ED172B" w14:paraId="47A8721B" w14:textId="77777777" w:rsidTr="00986B99">
        <w:trPr>
          <w:trHeight w:val="357"/>
        </w:trPr>
        <w:tc>
          <w:tcPr>
            <w:tcW w:w="623" w:type="pct"/>
            <w:shd w:val="clear" w:color="auto" w:fill="auto"/>
          </w:tcPr>
          <w:p w14:paraId="721E2942" w14:textId="5670436E" w:rsidR="00965010" w:rsidRPr="00ED172B" w:rsidRDefault="00965010" w:rsidP="00CD79C5">
            <w:pPr>
              <w:rPr>
                <w:rFonts w:cs="Arial"/>
                <w:color w:val="000000" w:themeColor="text1"/>
                <w:szCs w:val="16"/>
              </w:rPr>
            </w:pPr>
            <w:r w:rsidRPr="00ED172B">
              <w:rPr>
                <w:rFonts w:cs="Arial"/>
                <w:color w:val="000000" w:themeColor="text1"/>
                <w:szCs w:val="16"/>
              </w:rPr>
              <w:t>Target&gt;=</w:t>
            </w:r>
          </w:p>
        </w:tc>
        <w:tc>
          <w:tcPr>
            <w:tcW w:w="875" w:type="pct"/>
            <w:shd w:val="clear" w:color="auto" w:fill="auto"/>
          </w:tcPr>
          <w:p w14:paraId="0A21AF8F" w14:textId="5612EC32" w:rsidR="0096501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875" w:type="pct"/>
            <w:shd w:val="clear" w:color="auto" w:fill="auto"/>
          </w:tcPr>
          <w:p w14:paraId="4958A7B0" w14:textId="75FC1EB5" w:rsidR="00965010" w:rsidRPr="00ED172B" w:rsidRDefault="004374D6" w:rsidP="00186420">
            <w:pPr>
              <w:jc w:val="center"/>
              <w:rPr>
                <w:rFonts w:cs="Arial"/>
                <w:color w:val="000000" w:themeColor="text1"/>
                <w:szCs w:val="16"/>
              </w:rPr>
            </w:pPr>
            <w:r w:rsidRPr="00ED172B">
              <w:rPr>
                <w:rFonts w:cs="Arial"/>
                <w:color w:val="000000" w:themeColor="text1"/>
                <w:szCs w:val="16"/>
              </w:rPr>
              <w:t/>
            </w:r>
          </w:p>
        </w:tc>
        <w:tc>
          <w:tcPr>
            <w:tcW w:w="875" w:type="pct"/>
            <w:shd w:val="clear" w:color="auto" w:fill="auto"/>
            <w:vAlign w:val="center"/>
          </w:tcPr>
          <w:p w14:paraId="6925E141" w14:textId="6C4655F4" w:rsidR="00965010" w:rsidRPr="00ED172B" w:rsidRDefault="004374D6" w:rsidP="00186420">
            <w:pPr>
              <w:jc w:val="center"/>
              <w:rPr>
                <w:rFonts w:cs="Arial"/>
                <w:color w:val="000000" w:themeColor="text1"/>
                <w:szCs w:val="16"/>
              </w:rPr>
            </w:pPr>
            <w:r w:rsidRPr="00ED172B">
              <w:rPr>
                <w:rFonts w:cs="Arial"/>
                <w:color w:val="000000" w:themeColor="text1"/>
                <w:szCs w:val="16"/>
              </w:rPr>
              <w:t/>
            </w:r>
          </w:p>
        </w:tc>
        <w:tc>
          <w:tcPr>
            <w:tcW w:w="875" w:type="pct"/>
            <w:shd w:val="clear" w:color="auto" w:fill="auto"/>
            <w:vAlign w:val="center"/>
          </w:tcPr>
          <w:p w14:paraId="6D3F5E0A" w14:textId="302FDA6B" w:rsidR="00965010" w:rsidRPr="00ED172B" w:rsidRDefault="004374D6" w:rsidP="00186420">
            <w:pPr>
              <w:jc w:val="center"/>
              <w:rPr>
                <w:rFonts w:cs="Arial"/>
                <w:color w:val="000000" w:themeColor="text1"/>
                <w:szCs w:val="16"/>
              </w:rPr>
            </w:pPr>
            <w:r w:rsidRPr="00ED172B">
              <w:rPr>
                <w:rFonts w:cs="Arial"/>
                <w:color w:val="000000" w:themeColor="text1"/>
                <w:szCs w:val="16"/>
              </w:rPr>
              <w:t/>
            </w:r>
          </w:p>
        </w:tc>
        <w:tc>
          <w:tcPr>
            <w:tcW w:w="875" w:type="pct"/>
            <w:shd w:val="clear" w:color="auto" w:fill="auto"/>
            <w:vAlign w:val="center"/>
          </w:tcPr>
          <w:p w14:paraId="3307A743" w14:textId="0DA1032C" w:rsidR="00965010" w:rsidRPr="00ED172B" w:rsidRDefault="004374D6" w:rsidP="00186420">
            <w:pPr>
              <w:jc w:val="center"/>
              <w:rPr>
                <w:rFonts w:cs="Arial"/>
                <w:color w:val="000000" w:themeColor="text1"/>
                <w:szCs w:val="16"/>
              </w:rPr>
            </w:pPr>
            <w:r w:rsidRPr="00ED172B">
              <w:rPr>
                <w:rFonts w:cs="Arial"/>
                <w:color w:val="000000" w:themeColor="text1"/>
                <w:szCs w:val="16"/>
              </w:rPr>
              <w:t/>
            </w:r>
          </w:p>
        </w:tc>
      </w:tr>
      <w:tr w:rsidR="00ED172B" w:rsidRPr="00ED172B" w14:paraId="70310803" w14:textId="77777777" w:rsidTr="00986B99">
        <w:trPr>
          <w:trHeight w:val="85"/>
        </w:trPr>
        <w:tc>
          <w:tcPr>
            <w:tcW w:w="623" w:type="pct"/>
            <w:shd w:val="clear" w:color="auto" w:fill="auto"/>
          </w:tcPr>
          <w:p w14:paraId="242E5B90" w14:textId="77777777" w:rsidR="00965010" w:rsidRPr="00ED172B" w:rsidRDefault="00965010" w:rsidP="00CD79C5">
            <w:pPr>
              <w:rPr>
                <w:rFonts w:cs="Arial"/>
                <w:color w:val="000000" w:themeColor="text1"/>
                <w:szCs w:val="16"/>
              </w:rPr>
            </w:pPr>
            <w:r w:rsidRPr="00ED172B">
              <w:rPr>
                <w:rFonts w:cs="Arial"/>
                <w:color w:val="000000" w:themeColor="text1"/>
                <w:szCs w:val="16"/>
              </w:rPr>
              <w:t>Data</w:t>
            </w:r>
          </w:p>
        </w:tc>
        <w:tc>
          <w:tcPr>
            <w:tcW w:w="875" w:type="pct"/>
            <w:shd w:val="clear" w:color="auto" w:fill="auto"/>
          </w:tcPr>
          <w:p w14:paraId="217B706A" w14:textId="7317F284" w:rsidR="00965010" w:rsidRPr="00ED172B" w:rsidRDefault="00860830" w:rsidP="00186420">
            <w:pPr>
              <w:jc w:val="center"/>
              <w:rPr>
                <w:rFonts w:cs="Arial"/>
                <w:color w:val="000000" w:themeColor="text1"/>
                <w:szCs w:val="16"/>
              </w:rPr>
            </w:pPr>
            <w:r w:rsidRPr="00ED172B">
              <w:rPr>
                <w:rFonts w:cs="Arial"/>
                <w:color w:val="000000" w:themeColor="text1"/>
                <w:szCs w:val="16"/>
              </w:rPr>
              <w:t>100.00%</w:t>
            </w:r>
          </w:p>
        </w:tc>
        <w:tc>
          <w:tcPr>
            <w:tcW w:w="875" w:type="pct"/>
            <w:shd w:val="clear" w:color="auto" w:fill="auto"/>
          </w:tcPr>
          <w:p w14:paraId="179468D4" w14:textId="6AEF13A0" w:rsidR="0096501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875" w:type="pct"/>
            <w:tcBorders>
              <w:bottom w:val="single" w:sz="4" w:space="0" w:color="auto"/>
            </w:tcBorders>
            <w:shd w:val="clear" w:color="auto" w:fill="auto"/>
            <w:vAlign w:val="center"/>
          </w:tcPr>
          <w:p w14:paraId="33864A15" w14:textId="13EED87A" w:rsidR="0096501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875" w:type="pct"/>
            <w:tcBorders>
              <w:bottom w:val="single" w:sz="4" w:space="0" w:color="auto"/>
            </w:tcBorders>
            <w:shd w:val="clear" w:color="auto" w:fill="auto"/>
            <w:vAlign w:val="center"/>
          </w:tcPr>
          <w:p w14:paraId="41D4E2E4" w14:textId="36C47BB5" w:rsidR="00965010" w:rsidRPr="00ED172B" w:rsidRDefault="00860830" w:rsidP="00186420">
            <w:pPr>
              <w:jc w:val="center"/>
              <w:rPr>
                <w:rFonts w:cs="Arial"/>
                <w:color w:val="000000" w:themeColor="text1"/>
                <w:szCs w:val="16"/>
              </w:rPr>
            </w:pPr>
            <w:r w:rsidRPr="00ED172B">
              <w:rPr>
                <w:rFonts w:cs="Arial"/>
                <w:color w:val="000000" w:themeColor="text1"/>
                <w:szCs w:val="16"/>
              </w:rPr>
              <w:t/>
            </w:r>
          </w:p>
        </w:tc>
        <w:tc>
          <w:tcPr>
            <w:tcW w:w="875" w:type="pct"/>
            <w:tcBorders>
              <w:bottom w:val="single" w:sz="4" w:space="0" w:color="auto"/>
            </w:tcBorders>
            <w:shd w:val="clear" w:color="auto" w:fill="auto"/>
            <w:vAlign w:val="center"/>
          </w:tcPr>
          <w:p w14:paraId="1F1127D0" w14:textId="3B0BE864" w:rsidR="00965010" w:rsidRPr="00ED172B" w:rsidRDefault="00860830" w:rsidP="00186420">
            <w:pPr>
              <w:jc w:val="center"/>
              <w:rPr>
                <w:rFonts w:cs="Arial"/>
                <w:color w:val="000000" w:themeColor="text1"/>
                <w:szCs w:val="16"/>
              </w:rPr>
            </w:pPr>
            <w:r w:rsidRPr="00ED172B">
              <w:rPr>
                <w:rFonts w:cs="Arial"/>
                <w:color w:val="000000" w:themeColor="text1"/>
                <w:szCs w:val="16"/>
              </w:rPr>
              <w:t/>
            </w:r>
          </w:p>
        </w:tc>
      </w:tr>
    </w:tbl>
    <w:p w14:paraId="4DA02AA2" w14:textId="77777777" w:rsidR="00720D77" w:rsidRPr="00ED172B" w:rsidRDefault="00720D77" w:rsidP="00720D77">
      <w:pPr>
        <w:pStyle w:val="Italic"/>
        <w:rPr>
          <w:rFonts w:cs="Arial"/>
          <w:i w:val="0"/>
          <w:color w:val="000000" w:themeColor="text1"/>
          <w:szCs w:val="16"/>
        </w:rPr>
      </w:pPr>
    </w:p>
    <w:p w14:paraId="2EC7A5C1" w14:textId="64FBA7B4" w:rsidR="00965010" w:rsidRPr="00ED172B" w:rsidRDefault="00965010" w:rsidP="00B83404">
      <w:pPr>
        <w:rPr>
          <w:color w:val="000000" w:themeColor="text1"/>
        </w:rPr>
      </w:pPr>
      <w:r w:rsidRPr="00ED172B">
        <w:rPr>
          <w:b/>
          <w:color w:val="000000" w:themeColor="text1"/>
        </w:rPr>
        <w:t>Targets</w:t>
      </w:r>
    </w:p>
    <w:tbl>
      <w:tblPr>
        <w:tblW w:w="4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TARGETS"/>
      </w:tblPr>
      <w:tblGrid>
        <w:gridCol w:w="704"/>
        <w:gridCol w:w="1910"/>
        <w:gridCol w:w="2044"/>
        <w:gridCol w:w="2044"/>
        <w:gridCol w:w="2044"/>
        <w:gridCol w:w="2044"/>
      </w:tblGrid>
      <w:tr w:rsidR="009E2382" w:rsidRPr="00ED172B" w14:paraId="3367B66C" w14:textId="18B525E5" w:rsidTr="006B0ACA">
        <w:trPr>
          <w:trHeight w:val="360"/>
        </w:trPr>
        <w:tc>
          <w:tcPr>
            <w:tcW w:w="339" w:type="pct"/>
            <w:tcBorders>
              <w:bottom w:val="single" w:sz="4" w:space="0" w:color="auto"/>
            </w:tcBorders>
            <w:shd w:val="clear" w:color="auto" w:fill="auto"/>
          </w:tcPr>
          <w:p w14:paraId="3C2EA831" w14:textId="77777777" w:rsidR="009E2382" w:rsidRPr="00ED172B" w:rsidRDefault="009E2382" w:rsidP="00C375EA">
            <w:pPr>
              <w:jc w:val="center"/>
              <w:rPr>
                <w:b/>
                <w:color w:val="000000" w:themeColor="text1"/>
              </w:rPr>
            </w:pPr>
            <w:r w:rsidRPr="00ED172B">
              <w:rPr>
                <w:b/>
                <w:color w:val="000000" w:themeColor="text1"/>
              </w:rPr>
              <w:t>FFY</w:t>
            </w:r>
          </w:p>
        </w:tc>
        <w:tc>
          <w:tcPr>
            <w:tcW w:w="884" w:type="pct"/>
            <w:shd w:val="clear" w:color="auto" w:fill="auto"/>
            <w:vAlign w:val="center"/>
          </w:tcPr>
          <w:p w14:paraId="64F739CA" w14:textId="43EC1A3D" w:rsidR="009E2382" w:rsidRPr="00ED172B" w:rsidRDefault="009E2382" w:rsidP="00C375EA">
            <w:pPr>
              <w:jc w:val="center"/>
              <w:rPr>
                <w:b/>
                <w:color w:val="000000" w:themeColor="text1"/>
              </w:rPr>
            </w:pPr>
            <w:r w:rsidRPr="00ED172B">
              <w:rPr>
                <w:b/>
                <w:color w:val="000000" w:themeColor="text1"/>
              </w:rPr>
              <w:t>2021</w:t>
            </w:r>
          </w:p>
        </w:tc>
        <w:tc>
          <w:tcPr>
            <w:tcW w:w="944" w:type="pct"/>
          </w:tcPr>
          <w:p w14:paraId="787B7032" w14:textId="0281A2A2" w:rsidR="009E2382" w:rsidRPr="00ED172B" w:rsidRDefault="009E2382" w:rsidP="00C375EA">
            <w:pPr>
              <w:jc w:val="center"/>
              <w:rPr>
                <w:b/>
                <w:color w:val="000000" w:themeColor="text1"/>
              </w:rPr>
            </w:pPr>
            <w:r>
              <w:rPr>
                <w:rFonts w:cs="Arial"/>
                <w:b/>
                <w:color w:val="000000" w:themeColor="text1"/>
                <w:szCs w:val="16"/>
              </w:rPr>
              <w:t>2022</w:t>
            </w:r>
          </w:p>
        </w:tc>
        <w:tc>
          <w:tcPr>
            <w:tcW w:w="944" w:type="pct"/>
          </w:tcPr>
          <w:p w14:paraId="328C1C3C" w14:textId="4248D53A" w:rsidR="009E2382" w:rsidRPr="00ED172B" w:rsidRDefault="009E2382" w:rsidP="00C375EA">
            <w:pPr>
              <w:jc w:val="center"/>
              <w:rPr>
                <w:b/>
                <w:color w:val="000000" w:themeColor="text1"/>
              </w:rPr>
            </w:pPr>
            <w:r w:rsidRPr="005A1B4F">
              <w:rPr>
                <w:rFonts w:cs="Arial"/>
                <w:b/>
                <w:color w:val="000000" w:themeColor="text1"/>
                <w:szCs w:val="16"/>
              </w:rPr>
              <w:t>2023</w:t>
            </w:r>
          </w:p>
        </w:tc>
        <w:tc>
          <w:tcPr>
            <w:tcW w:w="944" w:type="pct"/>
          </w:tcPr>
          <w:p w14:paraId="4423FD31" w14:textId="7F28EAA2" w:rsidR="009E2382" w:rsidRPr="00ED172B" w:rsidRDefault="009E2382" w:rsidP="00C375EA">
            <w:pPr>
              <w:jc w:val="center"/>
              <w:rPr>
                <w:b/>
                <w:color w:val="000000" w:themeColor="text1"/>
              </w:rPr>
            </w:pPr>
            <w:r w:rsidRPr="005A1B4F">
              <w:rPr>
                <w:rFonts w:cs="Arial"/>
                <w:b/>
                <w:color w:val="000000" w:themeColor="text1"/>
                <w:szCs w:val="16"/>
              </w:rPr>
              <w:t>2024</w:t>
            </w:r>
          </w:p>
        </w:tc>
        <w:tc>
          <w:tcPr>
            <w:tcW w:w="944" w:type="pct"/>
          </w:tcPr>
          <w:p w14:paraId="33B52103" w14:textId="5FBE5484" w:rsidR="009E2382" w:rsidRPr="00ED172B" w:rsidRDefault="009E2382" w:rsidP="00C375EA">
            <w:pPr>
              <w:jc w:val="center"/>
              <w:rPr>
                <w:b/>
                <w:color w:val="000000" w:themeColor="text1"/>
              </w:rPr>
            </w:pPr>
            <w:r w:rsidRPr="005A1B4F">
              <w:rPr>
                <w:rFonts w:cs="Arial"/>
                <w:b/>
                <w:color w:val="000000" w:themeColor="text1"/>
                <w:szCs w:val="16"/>
              </w:rPr>
              <w:t>2025</w:t>
            </w:r>
          </w:p>
        </w:tc>
      </w:tr>
      <w:tr w:rsidR="009E2382" w:rsidRPr="00ED172B" w14:paraId="0276B9DA" w14:textId="556EB458" w:rsidTr="006B0ACA">
        <w:trPr>
          <w:trHeight w:val="367"/>
        </w:trPr>
        <w:tc>
          <w:tcPr>
            <w:tcW w:w="339" w:type="pct"/>
            <w:shd w:val="clear" w:color="auto" w:fill="auto"/>
          </w:tcPr>
          <w:p w14:paraId="2CCE1C49" w14:textId="473A3F03" w:rsidR="009E2382" w:rsidRPr="00ED172B" w:rsidRDefault="009E2382" w:rsidP="00C375EA">
            <w:pPr>
              <w:rPr>
                <w:rFonts w:cs="Arial"/>
                <w:color w:val="000000" w:themeColor="text1"/>
                <w:szCs w:val="16"/>
              </w:rPr>
            </w:pPr>
            <w:r w:rsidRPr="00ED172B">
              <w:rPr>
                <w:rFonts w:cs="Arial"/>
                <w:color w:val="000000" w:themeColor="text1"/>
                <w:szCs w:val="16"/>
              </w:rPr>
              <w:t>Target&gt;=</w:t>
            </w:r>
          </w:p>
        </w:tc>
        <w:tc>
          <w:tcPr>
            <w:tcW w:w="884" w:type="pct"/>
            <w:shd w:val="clear" w:color="auto" w:fill="auto"/>
            <w:vAlign w:val="center"/>
          </w:tcPr>
          <w:p w14:paraId="7A1FE832" w14:textId="7EA6C6B8" w:rsidR="009E2382" w:rsidRPr="00ED172B" w:rsidRDefault="009E2382" w:rsidP="00C375EA">
            <w:pPr>
              <w:jc w:val="center"/>
              <w:rPr>
                <w:color w:val="000000" w:themeColor="text1"/>
              </w:rPr>
            </w:pPr>
            <w:r w:rsidRPr="00ED172B">
              <w:rPr>
                <w:color w:val="000000" w:themeColor="text1"/>
              </w:rPr>
              <w:t/>
            </w:r>
          </w:p>
        </w:tc>
        <w:tc>
          <w:tcPr>
            <w:tcW w:w="944" w:type="pct"/>
          </w:tcPr>
          <w:p w14:paraId="1309820B" w14:textId="7FA1AFB9" w:rsidR="009E2382" w:rsidRPr="00ED172B" w:rsidRDefault="009E2382" w:rsidP="00C375EA">
            <w:pPr>
              <w:jc w:val="center"/>
              <w:rPr>
                <w:color w:val="000000" w:themeColor="text1"/>
              </w:rPr>
            </w:pPr>
            <w:r>
              <w:rPr>
                <w:rFonts w:cs="Arial"/>
                <w:color w:val="000000" w:themeColor="text1"/>
                <w:szCs w:val="16"/>
              </w:rPr>
              <w:t/>
            </w:r>
          </w:p>
        </w:tc>
        <w:tc>
          <w:tcPr>
            <w:tcW w:w="944" w:type="pct"/>
          </w:tcPr>
          <w:p w14:paraId="6ECE8CF3" w14:textId="055095F9" w:rsidR="009E2382" w:rsidRPr="00ED172B" w:rsidRDefault="009E2382" w:rsidP="00C375EA">
            <w:pPr>
              <w:jc w:val="center"/>
              <w:rPr>
                <w:color w:val="000000" w:themeColor="text1"/>
              </w:rPr>
            </w:pPr>
            <w:r w:rsidRPr="005F5F3C">
              <w:rPr>
                <w:rFonts w:cs="Arial"/>
                <w:color w:val="000000" w:themeColor="text1"/>
                <w:szCs w:val="16"/>
              </w:rPr>
              <w:t/>
            </w:r>
          </w:p>
        </w:tc>
        <w:tc>
          <w:tcPr>
            <w:tcW w:w="944" w:type="pct"/>
          </w:tcPr>
          <w:p w14:paraId="050245E2" w14:textId="1B636362" w:rsidR="009E2382" w:rsidRPr="00ED172B" w:rsidRDefault="009E2382" w:rsidP="00C375EA">
            <w:pPr>
              <w:jc w:val="center"/>
              <w:rPr>
                <w:color w:val="000000" w:themeColor="text1"/>
              </w:rPr>
            </w:pPr>
            <w:r w:rsidRPr="005F5F3C">
              <w:rPr>
                <w:rFonts w:cs="Arial"/>
                <w:color w:val="000000" w:themeColor="text1"/>
                <w:szCs w:val="16"/>
              </w:rPr>
              <w:t/>
            </w:r>
          </w:p>
        </w:tc>
        <w:tc>
          <w:tcPr>
            <w:tcW w:w="944" w:type="pct"/>
          </w:tcPr>
          <w:p w14:paraId="433FAF77" w14:textId="7DB1946D" w:rsidR="009E2382" w:rsidRPr="00ED172B" w:rsidRDefault="009E2382" w:rsidP="00C375EA">
            <w:pPr>
              <w:jc w:val="center"/>
              <w:rPr>
                <w:color w:val="000000" w:themeColor="text1"/>
              </w:rPr>
            </w:pPr>
            <w:r w:rsidRPr="005F5F3C">
              <w:rPr>
                <w:rFonts w:cs="Arial"/>
                <w:color w:val="000000" w:themeColor="text1"/>
                <w:szCs w:val="16"/>
              </w:rPr>
              <w:t/>
            </w:r>
          </w:p>
        </w:tc>
      </w:tr>
    </w:tbl>
    <w:p w14:paraId="1E64FA85" w14:textId="77777777" w:rsidR="0065724F" w:rsidRPr="00ED172B" w:rsidRDefault="0065724F">
      <w:pPr>
        <w:rPr>
          <w:b/>
          <w:color w:val="000000" w:themeColor="text1"/>
        </w:rPr>
      </w:pPr>
    </w:p>
    <w:p w14:paraId="2299CDE5" w14:textId="79563F76" w:rsidR="00715B7C" w:rsidRPr="00ED172B" w:rsidRDefault="00F22D09">
      <w:pPr>
        <w:rPr>
          <w:b/>
          <w:color w:val="000000" w:themeColor="text1"/>
        </w:rPr>
      </w:pPr>
      <w:r>
        <w:rPr>
          <w:b/>
          <w:color w:val="000000" w:themeColor="text1"/>
        </w:rPr>
        <w:lastRenderedPageBreak/>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0FFYAPRDATA"/>
      </w:tblPr>
      <w:tblGrid>
        <w:gridCol w:w="1466"/>
        <w:gridCol w:w="1465"/>
        <w:gridCol w:w="1517"/>
        <w:gridCol w:w="1128"/>
        <w:gridCol w:w="1671"/>
        <w:gridCol w:w="1019"/>
        <w:gridCol w:w="1282"/>
        <w:gridCol w:w="1242"/>
      </w:tblGrid>
      <w:tr w:rsidR="00ED172B" w:rsidRPr="00ED172B" w14:paraId="1FE1A8B6" w14:textId="77777777" w:rsidTr="00986B99">
        <w:trPr>
          <w:tblHeader/>
        </w:trPr>
        <w:tc>
          <w:tcPr>
            <w:tcW w:w="0" w:type="auto"/>
            <w:shd w:val="clear" w:color="auto" w:fill="auto"/>
          </w:tcPr>
          <w:p w14:paraId="47F7ACE9"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2.1.a.i Mediation agreements related to due process complaints</w:t>
            </w:r>
          </w:p>
        </w:tc>
        <w:tc>
          <w:tcPr>
            <w:tcW w:w="0" w:type="auto"/>
            <w:shd w:val="clear" w:color="auto" w:fill="auto"/>
            <w:vAlign w:val="bottom"/>
          </w:tcPr>
          <w:p w14:paraId="03B14E3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2.1.b.i Mediation agreements not related to due process complaints</w:t>
            </w:r>
          </w:p>
        </w:tc>
        <w:tc>
          <w:tcPr>
            <w:tcW w:w="0" w:type="auto"/>
            <w:shd w:val="clear" w:color="auto" w:fill="auto"/>
            <w:vAlign w:val="bottom"/>
          </w:tcPr>
          <w:p w14:paraId="4411AF0D"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2.1 Number of mediations held</w:t>
            </w:r>
          </w:p>
        </w:tc>
        <w:tc>
          <w:tcPr>
            <w:tcW w:w="0" w:type="auto"/>
            <w:shd w:val="clear" w:color="auto" w:fill="auto"/>
            <w:vAlign w:val="bottom"/>
          </w:tcPr>
          <w:p w14:paraId="75756C39" w14:textId="7CCD8EFE" w:rsidR="003F7F2F" w:rsidRPr="00ED172B" w:rsidRDefault="00CD74B5" w:rsidP="00CD79C5">
            <w:pPr>
              <w:jc w:val="center"/>
              <w:rPr>
                <w:rFonts w:cs="Arial"/>
                <w:b/>
                <w:color w:val="000000" w:themeColor="text1"/>
                <w:szCs w:val="16"/>
              </w:rPr>
            </w:pPr>
            <w:r>
              <w:rPr>
                <w:rFonts w:cs="Arial"/>
                <w:b/>
                <w:color w:val="000000" w:themeColor="text1"/>
                <w:szCs w:val="16"/>
              </w:rPr>
              <w:t>FFY 2020 Data</w:t>
            </w:r>
          </w:p>
        </w:tc>
        <w:tc>
          <w:tcPr>
            <w:tcW w:w="0" w:type="auto"/>
            <w:shd w:val="clear" w:color="auto" w:fill="auto"/>
            <w:vAlign w:val="bottom"/>
          </w:tcPr>
          <w:p w14:paraId="34C5B321" w14:textId="74F3B3A9" w:rsidR="003F7F2F" w:rsidRPr="00ED172B" w:rsidRDefault="00F22D09" w:rsidP="00CD79C5">
            <w:pPr>
              <w:jc w:val="center"/>
              <w:rPr>
                <w:rFonts w:cs="Arial"/>
                <w:b/>
                <w:color w:val="000000" w:themeColor="text1"/>
                <w:szCs w:val="16"/>
              </w:rPr>
            </w:pPr>
            <w:r>
              <w:rPr>
                <w:rFonts w:cs="Arial"/>
                <w:b/>
                <w:color w:val="000000" w:themeColor="text1"/>
                <w:szCs w:val="16"/>
              </w:rPr>
              <w:t>FFY 2021 Target</w:t>
            </w:r>
          </w:p>
        </w:tc>
        <w:tc>
          <w:tcPr>
            <w:tcW w:w="472" w:type="pct"/>
            <w:shd w:val="clear" w:color="auto" w:fill="auto"/>
            <w:vAlign w:val="bottom"/>
          </w:tcPr>
          <w:p w14:paraId="1F75CC89" w14:textId="4440514E" w:rsidR="003F7F2F" w:rsidRPr="00ED172B" w:rsidRDefault="00F22D09" w:rsidP="00CD79C5">
            <w:pPr>
              <w:jc w:val="center"/>
              <w:rPr>
                <w:rFonts w:cs="Arial"/>
                <w:b/>
                <w:color w:val="000000" w:themeColor="text1"/>
                <w:szCs w:val="16"/>
              </w:rPr>
            </w:pPr>
            <w:r>
              <w:rPr>
                <w:rFonts w:cs="Arial"/>
                <w:b/>
                <w:color w:val="000000" w:themeColor="text1"/>
                <w:szCs w:val="16"/>
              </w:rPr>
              <w:t>FFY 2021 Data</w:t>
            </w:r>
          </w:p>
        </w:tc>
        <w:tc>
          <w:tcPr>
            <w:tcW w:w="594" w:type="pct"/>
            <w:shd w:val="clear" w:color="auto" w:fill="auto"/>
            <w:vAlign w:val="bottom"/>
          </w:tcPr>
          <w:p w14:paraId="05346B8E"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Status</w:t>
            </w:r>
          </w:p>
        </w:tc>
        <w:tc>
          <w:tcPr>
            <w:tcW w:w="576" w:type="pct"/>
            <w:shd w:val="clear" w:color="auto" w:fill="auto"/>
            <w:vAlign w:val="bottom"/>
          </w:tcPr>
          <w:p w14:paraId="470EDA83" w14:textId="77777777" w:rsidR="003F7F2F" w:rsidRPr="00ED172B" w:rsidRDefault="003F7F2F" w:rsidP="00CD79C5">
            <w:pPr>
              <w:jc w:val="center"/>
              <w:rPr>
                <w:rFonts w:cs="Arial"/>
                <w:b/>
                <w:color w:val="000000" w:themeColor="text1"/>
                <w:szCs w:val="16"/>
              </w:rPr>
            </w:pPr>
            <w:r w:rsidRPr="00ED172B">
              <w:rPr>
                <w:rFonts w:cs="Arial"/>
                <w:b/>
                <w:color w:val="000000" w:themeColor="text1"/>
                <w:szCs w:val="16"/>
              </w:rPr>
              <w:t>Slippage</w:t>
            </w:r>
          </w:p>
        </w:tc>
      </w:tr>
      <w:tr w:rsidR="00ED172B" w:rsidRPr="00ED172B" w14:paraId="6F6C016F" w14:textId="77777777" w:rsidTr="00986B99">
        <w:tc>
          <w:tcPr>
            <w:tcW w:w="0" w:type="auto"/>
            <w:shd w:val="clear" w:color="auto" w:fill="auto"/>
          </w:tcPr>
          <w:p w14:paraId="2F120EC8" w14:textId="2CFA9571"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62CDDF21" w14:textId="577CFA88"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vAlign w:val="center"/>
          </w:tcPr>
          <w:p w14:paraId="0EF5D1FA" w14:textId="62B0C3A2" w:rsidR="003F7F2F" w:rsidRPr="00ED172B" w:rsidRDefault="00320806" w:rsidP="00320806">
            <w:pPr>
              <w:jc w:val="center"/>
              <w:rPr>
                <w:color w:val="000000" w:themeColor="text1"/>
              </w:rPr>
            </w:pPr>
            <w:r w:rsidRPr="00ED172B">
              <w:rPr>
                <w:color w:val="000000" w:themeColor="text1"/>
              </w:rPr>
              <w:t>0</w:t>
            </w:r>
          </w:p>
        </w:tc>
        <w:tc>
          <w:tcPr>
            <w:tcW w:w="0" w:type="auto"/>
            <w:shd w:val="clear" w:color="auto" w:fill="auto"/>
          </w:tcPr>
          <w:p w14:paraId="07852742" w14:textId="74D08B36" w:rsidR="003F7F2F" w:rsidRPr="00ED172B" w:rsidRDefault="00320806" w:rsidP="00320806">
            <w:pPr>
              <w:jc w:val="center"/>
              <w:rPr>
                <w:color w:val="000000" w:themeColor="text1"/>
              </w:rPr>
            </w:pPr>
            <w:r w:rsidRPr="00ED172B">
              <w:rPr>
                <w:color w:val="000000" w:themeColor="text1"/>
              </w:rPr>
              <w:t/>
            </w:r>
          </w:p>
        </w:tc>
        <w:tc>
          <w:tcPr>
            <w:tcW w:w="0" w:type="auto"/>
            <w:shd w:val="clear" w:color="auto" w:fill="auto"/>
          </w:tcPr>
          <w:p w14:paraId="1A3FD4BD" w14:textId="73FB264C" w:rsidR="003F7F2F" w:rsidRPr="00ED172B" w:rsidRDefault="00320806" w:rsidP="00320806">
            <w:pPr>
              <w:jc w:val="center"/>
              <w:rPr>
                <w:color w:val="000000" w:themeColor="text1"/>
              </w:rPr>
            </w:pPr>
            <w:r w:rsidRPr="00ED172B">
              <w:rPr>
                <w:color w:val="000000" w:themeColor="text1"/>
              </w:rPr>
              <w:t/>
            </w:r>
          </w:p>
        </w:tc>
        <w:tc>
          <w:tcPr>
            <w:tcW w:w="472" w:type="pct"/>
            <w:shd w:val="clear" w:color="auto" w:fill="auto"/>
          </w:tcPr>
          <w:p w14:paraId="1DD10E42" w14:textId="62FF3817" w:rsidR="003F7F2F" w:rsidRPr="00ED172B" w:rsidRDefault="00320806" w:rsidP="00320806">
            <w:pPr>
              <w:jc w:val="center"/>
              <w:rPr>
                <w:color w:val="000000" w:themeColor="text1"/>
              </w:rPr>
            </w:pPr>
            <w:r w:rsidRPr="00ED172B">
              <w:rPr>
                <w:color w:val="000000" w:themeColor="text1"/>
              </w:rPr>
              <w:t/>
            </w:r>
          </w:p>
        </w:tc>
        <w:tc>
          <w:tcPr>
            <w:tcW w:w="594" w:type="pct"/>
            <w:shd w:val="clear" w:color="auto" w:fill="auto"/>
          </w:tcPr>
          <w:p w14:paraId="781CCB45" w14:textId="1DA4E651" w:rsidR="003F7F2F" w:rsidRPr="00ED172B" w:rsidRDefault="00320806" w:rsidP="00320806">
            <w:pPr>
              <w:jc w:val="center"/>
              <w:rPr>
                <w:color w:val="000000" w:themeColor="text1"/>
              </w:rPr>
            </w:pPr>
            <w:r w:rsidRPr="00ED172B">
              <w:rPr>
                <w:color w:val="000000" w:themeColor="text1"/>
              </w:rPr>
              <w:t>N/A</w:t>
            </w:r>
          </w:p>
        </w:tc>
        <w:tc>
          <w:tcPr>
            <w:tcW w:w="576" w:type="pct"/>
            <w:shd w:val="clear" w:color="auto" w:fill="auto"/>
          </w:tcPr>
          <w:p w14:paraId="03AF1958" w14:textId="597B8C94" w:rsidR="003F7F2F" w:rsidRPr="00ED172B" w:rsidRDefault="00320806" w:rsidP="00320806">
            <w:pPr>
              <w:jc w:val="center"/>
              <w:rPr>
                <w:color w:val="000000" w:themeColor="text1"/>
              </w:rPr>
            </w:pPr>
            <w:r w:rsidRPr="00ED172B">
              <w:rPr>
                <w:color w:val="000000" w:themeColor="text1"/>
              </w:rPr>
              <w:t>N/A</w:t>
            </w:r>
          </w:p>
        </w:tc>
      </w:tr>
    </w:tbl>
    <w:bookmarkEnd w:id="60"/>
    <w:bookmarkEnd w:id="61"/>
    <w:p w14:paraId="18742D48" w14:textId="77777777" w:rsidR="00EA0143" w:rsidRPr="00ED172B" w:rsidRDefault="00EA0143" w:rsidP="00EA0143">
      <w:pPr>
        <w:rPr>
          <w:rFonts w:cs="Arial"/>
          <w:b/>
          <w:color w:val="000000" w:themeColor="text1"/>
          <w:szCs w:val="16"/>
        </w:rPr>
      </w:pPr>
      <w:r w:rsidRPr="00ED172B">
        <w:rPr>
          <w:rFonts w:cs="Arial"/>
          <w:b/>
          <w:color w:val="000000" w:themeColor="text1"/>
          <w:szCs w:val="16"/>
        </w:rPr>
        <w:t>Provide additional information about this indicator (optional)</w:t>
      </w:r>
    </w:p>
    <w:p w14:paraId="3BF9D881" w14:textId="3BD29B6D" w:rsidR="00EA0143" w:rsidRPr="00ED172B" w:rsidRDefault="00860830" w:rsidP="00EA0143">
      <w:pPr>
        <w:rPr>
          <w:rFonts w:cs="Arial"/>
          <w:color w:val="000000" w:themeColor="text1"/>
          <w:szCs w:val="16"/>
        </w:rPr>
      </w:pPr>
      <w:r w:rsidRPr="00ED172B">
        <w:rPr>
          <w:rFonts w:cs="Arial"/>
          <w:color w:val="000000" w:themeColor="text1"/>
          <w:szCs w:val="16"/>
        </w:rPr>
        <w:t xml:space="preserve">During the reporting period, The Lead Agency (MA-C) did not hold any mediations and is not required to establish baseline or targets because the number of mediations is less than 10. </w:t>
        <w:br/>
        <w:t/>
        <w:br/>
        <w:t xml:space="preserve">MA-C works closely with another state agency, the Division of Law Appeals (DALA) staff to ensure that had requests for mediation been received, they would have been processed and mediations completed in a timely manner by an impartial mediator with knowledge of Part C requirements. </w:t>
        <w:br/>
        <w:t/>
        <w:br/>
        <w:t>During FFY22, MA-C plans to seek increased Technical Assistance from the Center for Appropriate Dispute Resolution in Special Education (CADRE) and complete their self-assessment checklist on Culturally and Linguistically Competent Dispute Resolution Systems to ensure demonstrably high-quality early intervention mediation services.</w:t>
      </w:r>
    </w:p>
    <w:p w14:paraId="51685558" w14:textId="51A1E7FE" w:rsidR="00DC0682" w:rsidRPr="00A40EE1" w:rsidRDefault="000D0117" w:rsidP="007B0787">
      <w:pPr>
        <w:pStyle w:val="Heading2"/>
      </w:pPr>
      <w:bookmarkStart w:id="62" w:name="_Hlk79570511"/>
      <w:r w:rsidRPr="00A40EE1">
        <w:t xml:space="preserve">10 - </w:t>
      </w:r>
      <w:r w:rsidR="00DC0682" w:rsidRPr="00A40EE1">
        <w:t>Prior FFY Required Actions</w:t>
      </w:r>
      <w:bookmarkEnd w:id="62"/>
    </w:p>
    <w:p w14:paraId="03BC5221" w14:textId="030F5A99" w:rsidR="00905F26" w:rsidRPr="00ED172B" w:rsidRDefault="00320806" w:rsidP="00320806">
      <w:pPr>
        <w:rPr>
          <w:color w:val="000000" w:themeColor="text1"/>
        </w:rPr>
      </w:pPr>
      <w:r w:rsidRPr="00ED172B">
        <w:rPr>
          <w:color w:val="000000" w:themeColor="text1"/>
        </w:rPr>
        <w:t>None</w:t>
      </w:r>
    </w:p>
    <w:p w14:paraId="0A2991B8" w14:textId="74F61C52" w:rsidR="00DC0682" w:rsidRPr="00A40EE1" w:rsidRDefault="000D0117" w:rsidP="007B0787">
      <w:pPr>
        <w:pStyle w:val="Heading2"/>
      </w:pPr>
      <w:r w:rsidRPr="00A40EE1">
        <w:t xml:space="preserve">10 - </w:t>
      </w:r>
      <w:r w:rsidR="00DC0682" w:rsidRPr="00A40EE1">
        <w:t>OSEP Response</w:t>
      </w:r>
    </w:p>
    <w:p w14:paraId="77C80526" w14:textId="1E2329A6" w:rsidR="00DC0682" w:rsidRPr="00ED172B" w:rsidRDefault="00320806" w:rsidP="00320806">
      <w:pPr>
        <w:rPr>
          <w:color w:val="000000" w:themeColor="text1"/>
        </w:rPr>
      </w:pPr>
      <w:r w:rsidRPr="00ED172B">
        <w:rPr>
          <w:color w:val="000000" w:themeColor="text1"/>
        </w:rPr>
        <w:t>The State reported fewer than ten mediations held in FFY 2021. The State is not required to provide targets until any fiscal year in which ten or more mediations were held.</w:t>
      </w:r>
    </w:p>
    <w:p w14:paraId="4F7A83AE" w14:textId="09F6D90F" w:rsidR="00DC0682" w:rsidRPr="00A40EE1" w:rsidRDefault="000D0117" w:rsidP="007B0787">
      <w:pPr>
        <w:pStyle w:val="Heading2"/>
      </w:pPr>
      <w:r w:rsidRPr="00A40EE1">
        <w:t xml:space="preserve">10 - </w:t>
      </w:r>
      <w:r w:rsidR="00DC0682" w:rsidRPr="00A40EE1">
        <w:t>Required Actions</w:t>
      </w:r>
    </w:p>
    <w:p w14:paraId="2A1A943C" w14:textId="668A3535" w:rsidR="00DC0682" w:rsidRPr="00ED172B" w:rsidRDefault="00320806" w:rsidP="00320806">
      <w:pPr>
        <w:rPr>
          <w:color w:val="000000" w:themeColor="text1"/>
        </w:rPr>
      </w:pPr>
      <w:r w:rsidRPr="00ED172B">
        <w:rPr>
          <w:color w:val="000000" w:themeColor="text1"/>
        </w:rPr>
        <w:t/>
      </w:r>
    </w:p>
    <w:p w14:paraId="2A9527B0" w14:textId="77777777" w:rsidR="00DD311B" w:rsidRPr="00ED172B" w:rsidRDefault="00DD311B">
      <w:pPr>
        <w:spacing w:before="0" w:after="200" w:line="276" w:lineRule="auto"/>
        <w:rPr>
          <w:color w:val="000000" w:themeColor="text1"/>
        </w:rPr>
      </w:pPr>
      <w:r w:rsidRPr="00ED172B">
        <w:rPr>
          <w:color w:val="000000" w:themeColor="text1"/>
        </w:rPr>
        <w:br w:type="page"/>
      </w:r>
    </w:p>
    <w:p w14:paraId="256AFB11" w14:textId="2160FC96" w:rsidR="00621DEC" w:rsidRPr="00ED172B" w:rsidRDefault="00621DEC" w:rsidP="00621DEC">
      <w:pPr>
        <w:pStyle w:val="Heading1"/>
        <w:rPr>
          <w:color w:val="000000" w:themeColor="text1"/>
        </w:rPr>
      </w:pPr>
      <w:bookmarkStart w:id="63" w:name="_Hlk109646734"/>
      <w:bookmarkStart w:id="64" w:name="_Toc392159348"/>
      <w:r w:rsidRPr="00ED172B">
        <w:rPr>
          <w:color w:val="000000" w:themeColor="text1"/>
        </w:rPr>
        <w:lastRenderedPageBreak/>
        <w:t>Indicator 11: State Systemic Improvement Plan</w:t>
      </w:r>
    </w:p>
    <w:p w14:paraId="142E9252" w14:textId="77777777" w:rsidR="00621DEC" w:rsidRPr="00ED172B" w:rsidRDefault="00621DEC" w:rsidP="00621DEC">
      <w:pPr>
        <w:rPr>
          <w:color w:val="000000" w:themeColor="text1"/>
          <w:szCs w:val="20"/>
        </w:rPr>
      </w:pPr>
      <w:r w:rsidRPr="00ED172B">
        <w:rPr>
          <w:b/>
          <w:color w:val="000000" w:themeColor="text1"/>
          <w:sz w:val="20"/>
          <w:szCs w:val="20"/>
        </w:rPr>
        <w:t>Instructions and Measurement</w:t>
      </w:r>
    </w:p>
    <w:p w14:paraId="70329708" w14:textId="77777777" w:rsidR="00621DEC" w:rsidRPr="00621DEC" w:rsidRDefault="00621DEC" w:rsidP="00621DEC">
      <w:pPr>
        <w:rPr>
          <w:color w:val="000000" w:themeColor="text1"/>
          <w:szCs w:val="16"/>
        </w:rPr>
      </w:pPr>
      <w:r w:rsidRPr="00ED172B">
        <w:rPr>
          <w:b/>
          <w:color w:val="000000" w:themeColor="text1"/>
          <w:szCs w:val="16"/>
        </w:rPr>
        <w:t xml:space="preserve">Monitoring Priority: </w:t>
      </w:r>
      <w:r w:rsidRPr="00621DEC">
        <w:rPr>
          <w:color w:val="000000" w:themeColor="text1"/>
          <w:szCs w:val="16"/>
        </w:rPr>
        <w:t xml:space="preserve">General Supervision </w:t>
      </w:r>
    </w:p>
    <w:p w14:paraId="59B010C8" w14:textId="5FD8FE4C" w:rsidR="00621DEC" w:rsidRPr="00ED172B" w:rsidRDefault="00621DEC" w:rsidP="00621DEC">
      <w:pPr>
        <w:rPr>
          <w:b/>
          <w:color w:val="000000" w:themeColor="text1"/>
          <w:szCs w:val="16"/>
        </w:rPr>
      </w:pPr>
      <w:r w:rsidRPr="00621DEC">
        <w:rPr>
          <w:color w:val="000000" w:themeColor="text1"/>
          <w:szCs w:val="16"/>
        </w:rPr>
        <w:t>The State’s SPP/APR includes a State Systemic Improvement Plan (SSIP) that meets the requirements set forth for this indicator.</w:t>
      </w:r>
    </w:p>
    <w:p w14:paraId="60417113" w14:textId="77777777" w:rsidR="00621DEC" w:rsidRPr="00ED172B" w:rsidRDefault="00621DEC" w:rsidP="00621DEC">
      <w:pPr>
        <w:rPr>
          <w:b/>
          <w:color w:val="000000" w:themeColor="text1"/>
        </w:rPr>
      </w:pPr>
      <w:r w:rsidRPr="00ED172B">
        <w:rPr>
          <w:b/>
          <w:color w:val="000000" w:themeColor="text1"/>
        </w:rPr>
        <w:t>Measurement</w:t>
      </w:r>
    </w:p>
    <w:p w14:paraId="2258D5B6" w14:textId="77777777" w:rsidR="009E3024" w:rsidRDefault="009E3024" w:rsidP="009E3024">
      <w:r>
        <w:t>The State’s SPP/APR includes an SSIP that is a comprehensive, ambitious, yet achievable multi-year plan for improving results for infants and toddlers with disabilities and their families. The SSIP includes each of the components described below.</w:t>
      </w:r>
    </w:p>
    <w:p w14:paraId="7990113E" w14:textId="77777777" w:rsidR="00621DEC" w:rsidRPr="00ED172B" w:rsidRDefault="00621DEC" w:rsidP="00621DEC">
      <w:pPr>
        <w:rPr>
          <w:b/>
          <w:color w:val="000000" w:themeColor="text1"/>
        </w:rPr>
      </w:pPr>
      <w:r w:rsidRPr="00ED172B">
        <w:rPr>
          <w:b/>
          <w:color w:val="000000" w:themeColor="text1"/>
        </w:rPr>
        <w:t>Instructions</w:t>
      </w:r>
    </w:p>
    <w:p w14:paraId="29ABA6B1" w14:textId="77777777" w:rsidR="00CE7219" w:rsidRPr="00D77E41" w:rsidRDefault="00CE7219" w:rsidP="00CE7219">
      <w:r w:rsidRPr="00C76255">
        <w:rPr>
          <w:b/>
          <w:i/>
        </w:rPr>
        <w:t>Baseline Data:</w:t>
      </w:r>
      <w:r w:rsidRPr="00D77E41">
        <w:t xml:space="preserve"> </w:t>
      </w:r>
      <w:r>
        <w:t>T</w:t>
      </w:r>
      <w:r w:rsidRPr="00D77E41">
        <w:t>he State must provide baseline data that must be expressed as a percentage and which is aligned with the State-identified Measurable Result(s) for Infants and Toddlers with Disabilities and their Families.</w:t>
      </w:r>
    </w:p>
    <w:p w14:paraId="39268BD3" w14:textId="77777777" w:rsidR="00CE7219" w:rsidRPr="00D77E41" w:rsidRDefault="00CE7219" w:rsidP="00CE7219">
      <w:r w:rsidRPr="00C76255">
        <w:rPr>
          <w:b/>
          <w:i/>
        </w:rPr>
        <w:t>Targets:</w:t>
      </w:r>
      <w:r w:rsidRPr="00D77E41">
        <w:t xml:space="preserve"> </w:t>
      </w:r>
      <w:r w:rsidRPr="00790FB6">
        <w:t xml:space="preserve">In its FFY </w:t>
      </w:r>
      <w:r>
        <w:t>2021</w:t>
      </w:r>
      <w:r w:rsidRPr="00790FB6">
        <w:t xml:space="preserve"> SPP/APR, due February </w:t>
      </w:r>
      <w:r>
        <w:t>1</w:t>
      </w:r>
      <w:r w:rsidRPr="00790FB6">
        <w:t xml:space="preserve">, </w:t>
      </w:r>
      <w:r>
        <w:t>2023</w:t>
      </w:r>
      <w:r w:rsidRPr="00790FB6">
        <w:t xml:space="preserve">, the State must provide measurable and rigorous targets (expressed as percentages) for each of the </w:t>
      </w:r>
      <w:r>
        <w:t>five</w:t>
      </w:r>
      <w:r w:rsidRPr="00790FB6">
        <w:t xml:space="preserve"> years from FFY </w:t>
      </w:r>
      <w:r>
        <w:t>2021</w:t>
      </w:r>
      <w:r w:rsidRPr="00790FB6">
        <w:t xml:space="preserve"> through </w:t>
      </w:r>
      <w:r>
        <w:t>FFY 2025</w:t>
      </w:r>
      <w:r w:rsidRPr="00790FB6">
        <w:t xml:space="preserve">. The State’s </w:t>
      </w:r>
      <w:r>
        <w:t>FFY 2025</w:t>
      </w:r>
      <w:r w:rsidRPr="00790FB6">
        <w:t xml:space="preserve"> target must demonstrate improvement over the State’s baseline data.</w:t>
      </w:r>
    </w:p>
    <w:p w14:paraId="16CEE7FC" w14:textId="77777777" w:rsidR="00CE7219" w:rsidRPr="00D77E41" w:rsidRDefault="00CE7219" w:rsidP="00CE7219">
      <w:r w:rsidRPr="00C76255">
        <w:rPr>
          <w:b/>
          <w:i/>
        </w:rPr>
        <w:t>Updated Data:</w:t>
      </w:r>
      <w:r w:rsidRPr="00D77E41">
        <w:t xml:space="preserve"> In its FFYs </w:t>
      </w:r>
      <w:r>
        <w:t>2021</w:t>
      </w:r>
      <w:r w:rsidRPr="00D77E41">
        <w:t xml:space="preserve"> through </w:t>
      </w:r>
      <w:r>
        <w:t>FFY 2025</w:t>
      </w:r>
      <w:r w:rsidRPr="00D77E41">
        <w:t xml:space="preserve"> SPPs/APRs, due February</w:t>
      </w:r>
      <w:r>
        <w:t xml:space="preserve"> 1,</w:t>
      </w:r>
      <w:r w:rsidRPr="00D77E41">
        <w:t xml:space="preserve"> </w:t>
      </w:r>
      <w:r>
        <w:t>2023</w:t>
      </w:r>
      <w:r w:rsidRPr="00D77E41">
        <w:t xml:space="preserve"> through February </w:t>
      </w:r>
      <w:r>
        <w:t>2027</w:t>
      </w:r>
      <w:r w:rsidRPr="00D77E41">
        <w:t xml:space="preserve">, the State must provide updated data for that specific FFY (expressed as percentages) and that data must be aligned with the State-identified Measurable Result(s) for Infants and Toddlers with Disabilities and their Families. In its FFYs </w:t>
      </w:r>
      <w:r>
        <w:t>2021</w:t>
      </w:r>
      <w:r w:rsidRPr="00D77E41">
        <w:t xml:space="preserve"> through </w:t>
      </w:r>
      <w:r>
        <w:t>FFY 2025</w:t>
      </w:r>
      <w:r w:rsidRPr="00D77E41">
        <w:t xml:space="preserve"> SPPs/APRs, the State must report on whether it met its target.</w:t>
      </w:r>
    </w:p>
    <w:p w14:paraId="514C1F1A" w14:textId="77777777" w:rsidR="009E3024" w:rsidRPr="00D77E41" w:rsidRDefault="009E3024" w:rsidP="009E3024">
      <w:pPr>
        <w:pStyle w:val="Subhed"/>
      </w:pPr>
      <w:r w:rsidRPr="00D77E41">
        <w:t xml:space="preserve">Overview of the </w:t>
      </w:r>
      <w:r>
        <w:t>T</w:t>
      </w:r>
      <w:r w:rsidRPr="00D77E41">
        <w:t xml:space="preserve">hree </w:t>
      </w:r>
      <w:r>
        <w:t>P</w:t>
      </w:r>
      <w:r w:rsidRPr="00D77E41">
        <w:t>hases of the SSIP</w:t>
      </w:r>
    </w:p>
    <w:p w14:paraId="705209A0" w14:textId="77777777" w:rsidR="009E3024" w:rsidRPr="00D77E41" w:rsidRDefault="009E3024" w:rsidP="009E3024">
      <w:r w:rsidRPr="00D77E41">
        <w:t>It is of the utmost importance to improve results for infants and toddlers with disabilities and their families by improving early intervention services. 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14:paraId="16482F85" w14:textId="61FC5286" w:rsidR="009E3024" w:rsidRPr="00C76255" w:rsidRDefault="009E3024" w:rsidP="009E3024">
      <w:pPr>
        <w:pStyle w:val="Subhed"/>
        <w:rPr>
          <w:b w:val="0"/>
        </w:rPr>
      </w:pPr>
      <w:r w:rsidRPr="00C76255">
        <w:rPr>
          <w:i/>
        </w:rPr>
        <w:t>Phase I: Analysis</w:t>
      </w:r>
      <w:r w:rsidR="00FA283D">
        <w:rPr>
          <w:b w:val="0"/>
        </w:rPr>
        <w:t>:</w:t>
      </w:r>
    </w:p>
    <w:p w14:paraId="6A53C679" w14:textId="6EC1FD61" w:rsidR="009E3024" w:rsidRPr="00D77E41" w:rsidRDefault="00FB141D" w:rsidP="00F85A5B">
      <w:pPr>
        <w:ind w:left="360"/>
      </w:pPr>
      <w:r>
        <w:t xml:space="preserve">- </w:t>
      </w:r>
      <w:r w:rsidR="009E3024" w:rsidRPr="00D77E41">
        <w:t>Data Analysis;</w:t>
      </w:r>
    </w:p>
    <w:p w14:paraId="2AF202E6" w14:textId="7A737778" w:rsidR="009E3024" w:rsidRPr="00D77E41" w:rsidRDefault="00FB141D" w:rsidP="00F85A5B">
      <w:pPr>
        <w:ind w:left="360"/>
      </w:pPr>
      <w:r>
        <w:t xml:space="preserve">- </w:t>
      </w:r>
      <w:r w:rsidR="009E3024" w:rsidRPr="00D77E41">
        <w:t>Analysis of State Infrastructure to Support Improvement and Build Capacity;</w:t>
      </w:r>
    </w:p>
    <w:p w14:paraId="2165FD76" w14:textId="397475D4" w:rsidR="009E3024" w:rsidRPr="00D77E41" w:rsidRDefault="00FB141D" w:rsidP="00F85A5B">
      <w:pPr>
        <w:ind w:left="360"/>
      </w:pPr>
      <w:r>
        <w:t xml:space="preserve">- </w:t>
      </w:r>
      <w:r w:rsidR="009E3024" w:rsidRPr="00D77E41">
        <w:t>State-identified Measurable Result(s) for Infants and Toddlers with Disabilities and their Families;</w:t>
      </w:r>
    </w:p>
    <w:p w14:paraId="60B94B6B" w14:textId="79941E27" w:rsidR="009E3024" w:rsidRPr="00D77E41" w:rsidRDefault="00FB141D" w:rsidP="00F85A5B">
      <w:pPr>
        <w:ind w:left="360"/>
      </w:pPr>
      <w:r>
        <w:t xml:space="preserve">- </w:t>
      </w:r>
      <w:r w:rsidR="009E3024" w:rsidRPr="00D77E41">
        <w:t>Selection of Coherent Improvement Strategies; and</w:t>
      </w:r>
    </w:p>
    <w:p w14:paraId="3F8F2083" w14:textId="6DA8FD5D" w:rsidR="009E3024" w:rsidRPr="00D77E41" w:rsidRDefault="00FB141D" w:rsidP="00F85A5B">
      <w:pPr>
        <w:ind w:left="360"/>
      </w:pPr>
      <w:r>
        <w:t xml:space="preserve">- </w:t>
      </w:r>
      <w:r w:rsidR="009E3024" w:rsidRPr="00D77E41">
        <w:t>Theory of Action.</w:t>
      </w:r>
    </w:p>
    <w:p w14:paraId="70DF16DB" w14:textId="3C43E375" w:rsidR="009E3024" w:rsidRPr="00C76255" w:rsidRDefault="009E3024" w:rsidP="009E3024">
      <w:pPr>
        <w:pStyle w:val="Subhed"/>
        <w:rPr>
          <w:b w:val="0"/>
        </w:rPr>
      </w:pPr>
      <w:r w:rsidRPr="00C76255">
        <w:rPr>
          <w:i/>
        </w:rPr>
        <w:t>Phase II: Plan</w:t>
      </w:r>
      <w:r w:rsidRPr="00C76255">
        <w:rPr>
          <w:b w:val="0"/>
        </w:rPr>
        <w:t xml:space="preserve"> (which </w:t>
      </w:r>
      <w:r w:rsidR="00FA283D">
        <w:rPr>
          <w:b w:val="0"/>
        </w:rPr>
        <w:t xml:space="preserve">is </w:t>
      </w:r>
      <w:r w:rsidRPr="00C76255">
        <w:rPr>
          <w:b w:val="0"/>
        </w:rPr>
        <w:t>in addition to the Phase I content (including any updates) outlined above:</w:t>
      </w:r>
    </w:p>
    <w:p w14:paraId="397CC486" w14:textId="0D68E6C4" w:rsidR="009E3024" w:rsidRPr="00D77E41" w:rsidRDefault="00C334F4" w:rsidP="0055373D">
      <w:pPr>
        <w:ind w:left="360"/>
      </w:pPr>
      <w:r>
        <w:t xml:space="preserve">- </w:t>
      </w:r>
      <w:r w:rsidR="009E3024" w:rsidRPr="00D77E41">
        <w:t>Infrastructure Development;</w:t>
      </w:r>
    </w:p>
    <w:p w14:paraId="028C10FD" w14:textId="494E6925" w:rsidR="009E3024" w:rsidRPr="00D77E41" w:rsidRDefault="00C334F4" w:rsidP="0055373D">
      <w:pPr>
        <w:ind w:left="360"/>
      </w:pPr>
      <w:r>
        <w:t xml:space="preserve">- </w:t>
      </w:r>
      <w:r w:rsidR="009E3024" w:rsidRPr="00D77E41">
        <w:t>Support for EIS Program and/or EIS Provider Implementation of Evidence-Based Practices; and</w:t>
      </w:r>
    </w:p>
    <w:p w14:paraId="52747840" w14:textId="0BC142ED" w:rsidR="009E3024" w:rsidRPr="00D77E41" w:rsidRDefault="00C334F4" w:rsidP="0055373D">
      <w:pPr>
        <w:ind w:left="360"/>
      </w:pPr>
      <w:r>
        <w:t xml:space="preserve">- </w:t>
      </w:r>
      <w:r w:rsidR="009E3024" w:rsidRPr="00D77E41">
        <w:t>Evaluation.</w:t>
      </w:r>
    </w:p>
    <w:p w14:paraId="59360DE3" w14:textId="6A7A23F1" w:rsidR="009E3024" w:rsidRPr="00C76255" w:rsidRDefault="009E3024" w:rsidP="009E3024">
      <w:pPr>
        <w:pStyle w:val="Subhed"/>
        <w:rPr>
          <w:b w:val="0"/>
        </w:rPr>
      </w:pPr>
      <w:r w:rsidRPr="00C76255">
        <w:rPr>
          <w:i/>
        </w:rPr>
        <w:t>Phase III: Implementation and Evaluation</w:t>
      </w:r>
      <w:r w:rsidRPr="00C76255">
        <w:rPr>
          <w:b w:val="0"/>
        </w:rPr>
        <w:t xml:space="preserve"> (which</w:t>
      </w:r>
      <w:r w:rsidR="00241D4B">
        <w:rPr>
          <w:b w:val="0"/>
        </w:rPr>
        <w:t xml:space="preserve"> is</w:t>
      </w:r>
      <w:r w:rsidRPr="00C76255">
        <w:rPr>
          <w:b w:val="0"/>
        </w:rPr>
        <w:t xml:space="preserve"> in addition to the Phase I and Phase II content (including any updates) outlined above:</w:t>
      </w:r>
    </w:p>
    <w:p w14:paraId="09BF97C2" w14:textId="1D61436C" w:rsidR="009E3024" w:rsidRPr="00D77E41" w:rsidRDefault="00FB141D" w:rsidP="00F85A5B">
      <w:pPr>
        <w:ind w:left="360"/>
      </w:pPr>
      <w:r>
        <w:t xml:space="preserve">- </w:t>
      </w:r>
      <w:r w:rsidR="009E3024" w:rsidRPr="00D77E41">
        <w:t>Results of Ongoing Evaluation and Revisions to the SSIP.</w:t>
      </w:r>
    </w:p>
    <w:p w14:paraId="162D9C3C" w14:textId="77777777" w:rsidR="009E3024" w:rsidRPr="00C76255" w:rsidRDefault="009E3024" w:rsidP="009E3024">
      <w:pPr>
        <w:rPr>
          <w:b/>
        </w:rPr>
      </w:pPr>
      <w:r w:rsidRPr="00C76255">
        <w:rPr>
          <w:b/>
        </w:rPr>
        <w:t>Specific Content of Each Phase of the SSIP</w:t>
      </w:r>
    </w:p>
    <w:p w14:paraId="6ECF6A75" w14:textId="6AC1BD99" w:rsidR="009E3024" w:rsidRPr="00D77E41" w:rsidRDefault="009E3024" w:rsidP="009E3024">
      <w:r w:rsidRPr="00D77E41">
        <w:t>Refer to FFY 2013-2015 Measurement Table for detailed requirements of Phase I and Phase II SSIP submissions.</w:t>
      </w:r>
    </w:p>
    <w:p w14:paraId="26340158" w14:textId="77777777" w:rsidR="009E3024" w:rsidRPr="00D77E41" w:rsidRDefault="009E3024" w:rsidP="009E3024">
      <w:r w:rsidRPr="00D77E41">
        <w:t>Phase III should only include information from Phase I or Phase II if changes or revisions are being made by the State and/or if information previously required in Phase I or Phase II was not reported.</w:t>
      </w:r>
    </w:p>
    <w:p w14:paraId="342443BE" w14:textId="77777777" w:rsidR="009E3024" w:rsidRPr="00C76255" w:rsidRDefault="009E3024" w:rsidP="009E3024">
      <w:pPr>
        <w:rPr>
          <w:b/>
          <w:i/>
        </w:rPr>
      </w:pPr>
      <w:r w:rsidRPr="00C76255">
        <w:rPr>
          <w:b/>
          <w:i/>
        </w:rPr>
        <w:t>Phase III: Implementation and Evaluation</w:t>
      </w:r>
    </w:p>
    <w:p w14:paraId="6E47A165" w14:textId="77777777" w:rsidR="009E3024" w:rsidRPr="00D77E41" w:rsidRDefault="009E3024" w:rsidP="009E3024">
      <w:r w:rsidRPr="00D77E41">
        <w:t>In Phase III, the State must, consistent with its evaluation plan described in Phase II, assess and report on its progress implementing the SSIP. This includes: (A) data and analysis on the extent to which the State has made progress toward and/or met the State-established short-term and long-term outcomes or objectives for implementation of the SSIP and its progress toward achieving the State-identified Measurable Result for Infants and Toddlers with Disabilities and Their Families (SiMR); (B) the rationale for any revisions that were made, or that the State intends to make, to the SSIP as the result of implementation, analysis, and evaluation; and (C) a description of the meaningful stakeholder engagement. If the State intends to continue implementing the SSIP without modifications, the State must describe how the data from the evaluation support this decision.</w:t>
      </w:r>
    </w:p>
    <w:p w14:paraId="4D078392" w14:textId="77777777" w:rsidR="009E3024" w:rsidRPr="00D77E41" w:rsidRDefault="009E3024" w:rsidP="009E3024">
      <w:pPr>
        <w:tabs>
          <w:tab w:val="left" w:pos="270"/>
          <w:tab w:val="left" w:pos="630"/>
        </w:tabs>
      </w:pPr>
      <w:r w:rsidRPr="00D77E41">
        <w:t>A</w:t>
      </w:r>
      <w:r>
        <w:t>.</w:t>
      </w:r>
      <w:r w:rsidRPr="00D77E41">
        <w:t xml:space="preserve"> </w:t>
      </w:r>
      <w:r>
        <w:tab/>
      </w:r>
      <w:r w:rsidRPr="00D77E41">
        <w:t>Data Analysis</w:t>
      </w:r>
    </w:p>
    <w:p w14:paraId="344F56D3" w14:textId="1C9BC427" w:rsidR="009E3024" w:rsidRPr="00D77E41" w:rsidRDefault="009E3024" w:rsidP="009E3024">
      <w:r w:rsidRPr="00D77E41">
        <w:t xml:space="preserve">As required in the Instructions for the Indicator/Measurement, in its FFYs </w:t>
      </w:r>
      <w:r w:rsidR="00483791">
        <w:t>2021</w:t>
      </w:r>
      <w:r w:rsidR="00483791" w:rsidRPr="00D77E41">
        <w:t xml:space="preserve"> </w:t>
      </w:r>
      <w:r w:rsidRPr="00D77E41">
        <w:t xml:space="preserve">through </w:t>
      </w:r>
      <w:r>
        <w:t>FFY 2025</w:t>
      </w:r>
      <w:r w:rsidRPr="00D77E41">
        <w:t xml:space="preserve"> SPP/APR, the State must report data for that specific FFY (expressed as actual numbers and percentages) that are aligned with the SiMR. The State must report on whether the State met its target. In addition, the State may report on any additional data (e.g., progress monitoring data) that were collected and analyzed that would suggest progress toward the SiMR. States using a subset of the population from the indicator (e.g., a sample, cohort model) should describe how data are collected and analyzed for the SiMR if that was not described in Phase I or Phase II of the SSIP.</w:t>
      </w:r>
    </w:p>
    <w:p w14:paraId="62C2ADDF" w14:textId="77777777" w:rsidR="009E3024" w:rsidRPr="00D77E41" w:rsidRDefault="009E3024" w:rsidP="009E3024">
      <w:pPr>
        <w:tabs>
          <w:tab w:val="left" w:pos="360"/>
        </w:tabs>
      </w:pPr>
      <w:r w:rsidRPr="00D77E41">
        <w:t>B</w:t>
      </w:r>
      <w:r>
        <w:t>.</w:t>
      </w:r>
      <w:r w:rsidRPr="00D77E41">
        <w:t xml:space="preserve"> </w:t>
      </w:r>
      <w:r>
        <w:tab/>
      </w:r>
      <w:r w:rsidRPr="00D77E41">
        <w:t>Phase III Implementation, Analysis and Evaluation</w:t>
      </w:r>
    </w:p>
    <w:p w14:paraId="61954051" w14:textId="5DD7B0B9" w:rsidR="009E3024" w:rsidRPr="00D77E41" w:rsidRDefault="009E3024" w:rsidP="009E3024">
      <w:r w:rsidRPr="00D77E41">
        <w:t xml:space="preserve">The State must provide a narrative or graphic representation, e.g., a logic model, of the principal activities, measures and outcomes that were implemented since the State’s last SSIP submission (i.e., </w:t>
      </w:r>
      <w:r w:rsidR="00CE7219">
        <w:t xml:space="preserve">February </w:t>
      </w:r>
      <w:r>
        <w:t>1</w:t>
      </w:r>
      <w:r w:rsidRPr="00D77E41">
        <w:t xml:space="preserve">, </w:t>
      </w:r>
      <w:r w:rsidR="000B2A1C">
        <w:t>2022</w:t>
      </w:r>
      <w:r w:rsidRPr="00D77E41">
        <w:t>). The evaluation should align with the theory of action described in Phase I and the evaluation plan described in Phase II. The State must describe any changes to the activities, strategies, or timelines described in Phase II and include a rationale or justification for the changes. If the State intends to continue implementing the SSIP without modifications, the State must describe how the data from the evaluation support this decision.</w:t>
      </w:r>
    </w:p>
    <w:p w14:paraId="35D14A61" w14:textId="5DF9CC04" w:rsidR="009E3024" w:rsidRPr="00D77E41" w:rsidRDefault="009E3024" w:rsidP="009E3024">
      <w:r w:rsidRPr="00D77E41">
        <w:t xml:space="preserve">The State must summarize the infrastructure improvement strategies that were implemented, and the short-term outcomes achieved, including the measures or rationale used by the State and stakeholders to assess and communicate achievement.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The State must describe the next steps for each infrastructure improvement strategy and the anticipated outcomes to be attained during the next fiscal year (e.g., for the </w:t>
      </w:r>
      <w:r>
        <w:t xml:space="preserve">FFY </w:t>
      </w:r>
      <w:r w:rsidR="00BC6E1E">
        <w:t>2021</w:t>
      </w:r>
      <w:r w:rsidR="00BC6E1E" w:rsidRPr="00D77E41">
        <w:t xml:space="preserve"> </w:t>
      </w:r>
      <w:r w:rsidRPr="00D77E41">
        <w:t xml:space="preserve">APR, report on anticipated outcomes to be obtained during FFY </w:t>
      </w:r>
      <w:r w:rsidR="00BC6E1E">
        <w:t>2022</w:t>
      </w:r>
      <w:r w:rsidRPr="00D77E41">
        <w:t xml:space="preserve">, i.e., July 1, </w:t>
      </w:r>
      <w:r>
        <w:t>202</w:t>
      </w:r>
      <w:r w:rsidR="00BC6E1E">
        <w:t>2</w:t>
      </w:r>
      <w:r w:rsidRPr="00D77E41">
        <w:t xml:space="preserve">-June 30, </w:t>
      </w:r>
      <w:r>
        <w:t>202</w:t>
      </w:r>
      <w:r w:rsidR="00BC6E1E">
        <w:t>3</w:t>
      </w:r>
      <w:r w:rsidRPr="00D77E41">
        <w:t>).</w:t>
      </w:r>
    </w:p>
    <w:p w14:paraId="391F34BE" w14:textId="1BB4521A" w:rsidR="009E3024" w:rsidRPr="00D77E41" w:rsidRDefault="009E3024" w:rsidP="009E3024">
      <w:r w:rsidRPr="00D77E41">
        <w:t xml:space="preserve">The State must summarize the specific evidence-based practices that were implemented and the strategies or activities that supported their selection and ensured their use with fidelity. Describe how the evidence-based practices, and activities or strategies that support their use, are intended to impact the SiMR by changing program/district policies, procedures, and/or practices, teacher/provider practices </w:t>
      </w:r>
      <w:bookmarkStart w:id="65" w:name="_Hlk109647955"/>
      <w:r w:rsidRPr="00D77E41">
        <w:t>(</w:t>
      </w:r>
      <w:r w:rsidR="00F37E58">
        <w:t>i.e.</w:t>
      </w:r>
      <w:r w:rsidRPr="00D77E41">
        <w:t xml:space="preserve">, behaviors), parent/caregiver outcomes, </w:t>
      </w:r>
      <w:r w:rsidRPr="00D77E41">
        <w:lastRenderedPageBreak/>
        <w:t>and/or child outcomes. Describe any additional data (</w:t>
      </w:r>
      <w:r w:rsidR="00F37E58">
        <w:t>i.</w:t>
      </w:r>
      <w:r w:rsidRPr="00D77E41">
        <w:t>e., progress monitoring data) that was collected to support the on-going use of the evidence-based practices and inform decision-making for the next year of SSIP implementation.</w:t>
      </w:r>
      <w:bookmarkEnd w:id="65"/>
    </w:p>
    <w:p w14:paraId="7D373E21" w14:textId="77777777" w:rsidR="009E3024" w:rsidRPr="00D77E41" w:rsidRDefault="009E3024" w:rsidP="009E3024">
      <w:pPr>
        <w:tabs>
          <w:tab w:val="left" w:pos="270"/>
        </w:tabs>
      </w:pPr>
      <w:r w:rsidRPr="00D77E41">
        <w:t>C</w:t>
      </w:r>
      <w:r>
        <w:t xml:space="preserve">. </w:t>
      </w:r>
      <w:r>
        <w:tab/>
      </w:r>
      <w:r w:rsidRPr="00D77E41">
        <w:t>Stakeholder Engagement</w:t>
      </w:r>
    </w:p>
    <w:p w14:paraId="4B576169" w14:textId="77777777" w:rsidR="009E3024" w:rsidRPr="00D77E41" w:rsidRDefault="009E3024" w:rsidP="009E3024">
      <w:r w:rsidRPr="00D77E41">
        <w:t>The State must describe the specific strategies implemented to engage stakeholders in key improvement efforts and how the State addressed concerns, if any, raised by stakeholders through its engagement activities.</w:t>
      </w:r>
    </w:p>
    <w:p w14:paraId="7240E8DC" w14:textId="77777777" w:rsidR="009E3024" w:rsidRPr="00D77E41" w:rsidRDefault="009E3024" w:rsidP="009E3024">
      <w:r w:rsidRPr="00D77E41">
        <w:t>Additional Implementation Activities</w:t>
      </w:r>
    </w:p>
    <w:p w14:paraId="3F323975" w14:textId="7B81C355" w:rsidR="009E3024" w:rsidRDefault="009E3024" w:rsidP="009E3024">
      <w:r w:rsidRPr="00D77E41">
        <w:t xml:space="preserve">The State should identify any activities not already described that it intends to implement in the next fiscal year (e.g., for the </w:t>
      </w:r>
      <w:r>
        <w:t xml:space="preserve">FFY </w:t>
      </w:r>
      <w:r w:rsidR="00B7212B">
        <w:t>2021</w:t>
      </w:r>
      <w:r w:rsidR="00B7212B" w:rsidRPr="00D77E41">
        <w:t xml:space="preserve"> </w:t>
      </w:r>
      <w:r w:rsidRPr="00D77E41">
        <w:t xml:space="preserve">APR, report on activities it intends to implement in FFY </w:t>
      </w:r>
      <w:r w:rsidR="00B7212B">
        <w:t>2022</w:t>
      </w:r>
      <w:r w:rsidRPr="00D77E41">
        <w:t xml:space="preserve">, i.e., July 1, </w:t>
      </w:r>
      <w:r>
        <w:t>202</w:t>
      </w:r>
      <w:r w:rsidR="00B7212B">
        <w:t>2</w:t>
      </w:r>
      <w:r w:rsidRPr="00D77E41">
        <w:t xml:space="preserve">-June 30, </w:t>
      </w:r>
      <w:r>
        <w:t>202</w:t>
      </w:r>
      <w:r w:rsidR="00B7212B">
        <w:t>3</w:t>
      </w:r>
      <w:r w:rsidRPr="00D77E41">
        <w:t>) including a timeline, anticipated data collection and measures, and expected outcomes that are related to the SiMR. The State should describe any newly identified barriers and include steps to address these barriers.</w:t>
      </w:r>
    </w:p>
    <w:bookmarkEnd w:id="63"/>
    <w:p w14:paraId="091FCDF2" w14:textId="2F330FEF" w:rsidR="00F5460E" w:rsidRDefault="00F5460E" w:rsidP="00F5460E">
      <w:pPr>
        <w:pStyle w:val="Heading2"/>
      </w:pPr>
      <w:r w:rsidRPr="00A40EE1">
        <w:t>1</w:t>
      </w:r>
      <w:r>
        <w:t>1</w:t>
      </w:r>
      <w:r w:rsidRPr="00A40EE1">
        <w:t xml:space="preserve"> - </w:t>
      </w:r>
      <w:r w:rsidRPr="000A364E">
        <w:t>Indicator Data</w:t>
      </w:r>
    </w:p>
    <w:p w14:paraId="62AF478C" w14:textId="77777777" w:rsidR="00741E58" w:rsidRPr="00F85A5B" w:rsidRDefault="00741E58" w:rsidP="00741E58">
      <w:pPr>
        <w:rPr>
          <w:b/>
          <w:bCs/>
        </w:rPr>
      </w:pPr>
      <w:r w:rsidRPr="00F85A5B">
        <w:rPr>
          <w:b/>
          <w:bCs/>
        </w:rPr>
        <w:t>Section A: Data Analysis</w:t>
      </w:r>
    </w:p>
    <w:p w14:paraId="54F70263" w14:textId="58D3F4C5" w:rsidR="00F5460E" w:rsidRDefault="00741E58" w:rsidP="00741E58">
      <w:pPr>
        <w:rPr>
          <w:b/>
          <w:bCs/>
        </w:rPr>
      </w:pPr>
      <w:r w:rsidRPr="00F85A5B">
        <w:rPr>
          <w:b/>
          <w:bCs/>
        </w:rPr>
        <w:t>What is the State-identified Measurable Result (SiMR)?</w:t>
      </w:r>
    </w:p>
    <w:p w14:paraId="5EF17788" w14:textId="2FA358EC" w:rsidR="008517CB" w:rsidRPr="00F85A5B" w:rsidRDefault="008517CB" w:rsidP="00741E58">
      <w:pPr>
        <w:rPr>
          <w:color w:val="000000" w:themeColor="text1"/>
        </w:rPr>
      </w:pPr>
      <w:r w:rsidRPr="00ED172B">
        <w:rPr>
          <w:color w:val="000000" w:themeColor="text1"/>
        </w:rPr>
        <w:t>During the State Systemic Improvement Plan Phase I in 2015, Massachusetts Part C/Early Intervention identified improving positive social-emotional skills (including social relationships), as measured by Summary Statement 1, as its State-Identified Measurable Result (SIMR).</w:t>
      </w:r>
    </w:p>
    <w:p w14:paraId="3035665E" w14:textId="2B992CBD" w:rsidR="008517CB" w:rsidRDefault="008517CB" w:rsidP="008517CB">
      <w:pPr>
        <w:rPr>
          <w:b/>
          <w:bCs/>
        </w:rPr>
      </w:pPr>
      <w:r w:rsidRPr="008517CB">
        <w:rPr>
          <w:b/>
          <w:bCs/>
        </w:rPr>
        <w:t>Has the SiMR changed since the last SSIP submission? (yes/no)</w:t>
      </w:r>
    </w:p>
    <w:p w14:paraId="1894103D" w14:textId="08DFDF04" w:rsidR="001C46CD" w:rsidRPr="000123EB" w:rsidRDefault="001C46CD" w:rsidP="008517CB">
      <w:r w:rsidRPr="000123EB">
        <w:t>NO</w:t>
      </w:r>
    </w:p>
    <w:bookmarkEnd w:id="66"/>
    <w:bookmarkEnd w:id="67"/>
    <w:bookmarkEnd w:id="68"/>
    <w:bookmarkEnd w:id="69"/>
    <w:p w14:paraId="6EC47F33" w14:textId="77777777" w:rsidR="00E46F5E" w:rsidRDefault="00E46F5E" w:rsidP="008517CB">
      <w:pPr>
        <w:rPr>
          <w:b/>
          <w:bCs/>
        </w:rPr>
      </w:pPr>
    </w:p>
    <w:p w14:paraId="160C27D7" w14:textId="03F97943" w:rsidR="008517CB" w:rsidRDefault="008517CB" w:rsidP="008517CB">
      <w:pPr>
        <w:rPr>
          <w:b/>
          <w:bCs/>
        </w:rPr>
      </w:pPr>
      <w:bookmarkStart w:id="70" w:name="_Hlk109646818"/>
      <w:r w:rsidRPr="008517CB">
        <w:rPr>
          <w:b/>
          <w:bCs/>
        </w:rPr>
        <w:t>Is the State using a subset of the population from the indicator (</w:t>
      </w:r>
      <w:r w:rsidRPr="008517CB">
        <w:rPr>
          <w:b/>
          <w:bCs/>
          <w:i/>
          <w:iCs/>
        </w:rPr>
        <w:t>e.g.</w:t>
      </w:r>
      <w:r w:rsidRPr="008517CB">
        <w:rPr>
          <w:b/>
          <w:bCs/>
        </w:rPr>
        <w:t>, a sample, cohort model)?</w:t>
      </w:r>
      <w:r w:rsidR="00CD071F">
        <w:rPr>
          <w:b/>
          <w:bCs/>
        </w:rPr>
        <w:t xml:space="preserve"> </w:t>
      </w:r>
      <w:r w:rsidR="00CD071F" w:rsidRPr="00CD071F">
        <w:rPr>
          <w:b/>
          <w:bCs/>
        </w:rPr>
        <w:t>(yes/no)</w:t>
      </w:r>
    </w:p>
    <w:bookmarkEnd w:id="70"/>
    <w:p w14:paraId="2DFF9C44" w14:textId="3D7DE653" w:rsidR="00E46F5E" w:rsidRPr="000123EB" w:rsidRDefault="00E46F5E" w:rsidP="008517CB">
      <w:pPr>
        <w:rPr>
          <w:color w:val="000000" w:themeColor="text1"/>
        </w:rPr>
      </w:pPr>
      <w:r w:rsidRPr="000123EB">
        <w:rPr>
          <w:color w:val="000000" w:themeColor="text1"/>
        </w:rPr>
        <w:t>NO</w:t>
      </w:r>
    </w:p>
    <w:bookmarkEnd w:id="71"/>
    <w:p w14:paraId="750D781D" w14:textId="77777777" w:rsidR="00E46F5E" w:rsidRPr="008517CB" w:rsidRDefault="00E46F5E" w:rsidP="008517CB">
      <w:pPr>
        <w:rPr>
          <w:b/>
          <w:bCs/>
        </w:rPr>
      </w:pPr>
    </w:p>
    <w:p w14:paraId="67311EEB" w14:textId="5E251F48" w:rsidR="00A5616C" w:rsidRDefault="00A5616C" w:rsidP="00A5616C">
      <w:pPr>
        <w:rPr>
          <w:b/>
          <w:bCs/>
        </w:rPr>
      </w:pPr>
      <w:bookmarkStart w:id="72" w:name="_Hlk109646832"/>
      <w:r w:rsidRPr="00A5616C">
        <w:rPr>
          <w:b/>
          <w:bCs/>
        </w:rPr>
        <w:t>Is the State’s theory of action new or revised since the previous submission? (yes/no)</w:t>
      </w:r>
    </w:p>
    <w:bookmarkEnd w:id="72"/>
    <w:p w14:paraId="66909F1C" w14:textId="33FCF0A9" w:rsidR="00A5616C" w:rsidRPr="000123EB" w:rsidRDefault="00A5616C" w:rsidP="00A5616C">
      <w:r w:rsidRPr="000123EB">
        <w:t>NO</w:t>
      </w:r>
    </w:p>
    <w:bookmarkEnd w:id="73"/>
    <w:p w14:paraId="0D9538A8" w14:textId="7B83F3AB" w:rsidR="00305E79" w:rsidRPr="00305E79" w:rsidRDefault="00305E79" w:rsidP="00305E79">
      <w:pPr>
        <w:rPr>
          <w:rFonts w:cs="Arial"/>
          <w:b/>
          <w:bCs/>
          <w:szCs w:val="16"/>
        </w:rPr>
      </w:pPr>
      <w:r w:rsidRPr="0055373D">
        <w:rPr>
          <w:rFonts w:cs="Arial"/>
          <w:b/>
          <w:bCs/>
          <w:szCs w:val="16"/>
        </w:rPr>
        <w:t>Please provide a link to the current theory of action.</w:t>
      </w:r>
    </w:p>
    <w:p w14:paraId="0FC0C59D" w14:textId="4CA000ED" w:rsidR="00305E79" w:rsidRPr="00F85A5B" w:rsidRDefault="00305E79" w:rsidP="00305E79">
      <w:r w:rsidRPr="00FD59F0">
        <w:t>https://www.mass.gov/lists/public-reporting-for-early-intervention#state-systemic-improvement-plan-</w:t>
      </w:r>
    </w:p>
    <w:p w14:paraId="7076EF11" w14:textId="77777777" w:rsidR="006A3544" w:rsidRDefault="006A3544" w:rsidP="008517CB">
      <w:pPr>
        <w:rPr>
          <w:b/>
          <w:bCs/>
        </w:rPr>
      </w:pPr>
    </w:p>
    <w:p w14:paraId="106F39B4" w14:textId="77777777" w:rsidR="00A3455E" w:rsidRDefault="00A3455E" w:rsidP="00A3455E">
      <w:pPr>
        <w:pStyle w:val="Subhed"/>
      </w:pPr>
      <w:bookmarkStart w:id="74" w:name="_Hlk109646858"/>
      <w:r w:rsidRPr="000315F0">
        <w:t>Progress toward the SiMR</w:t>
      </w:r>
    </w:p>
    <w:p w14:paraId="16056B16" w14:textId="399C7865" w:rsidR="00A3455E" w:rsidRPr="00250728" w:rsidRDefault="00A3455E" w:rsidP="00A3455E">
      <w:pPr>
        <w:rPr>
          <w:rFonts w:cs="Arial"/>
          <w:b/>
          <w:bCs/>
        </w:rPr>
      </w:pPr>
      <w:r w:rsidRPr="00F85A5B">
        <w:rPr>
          <w:rFonts w:cs="Arial"/>
          <w:b/>
          <w:bCs/>
        </w:rPr>
        <w:t>Please provide the data for the specific FFY listed below (expressed as actual number and percentages)</w:t>
      </w:r>
      <w:r w:rsidRPr="00F85A5B">
        <w:rPr>
          <w:rFonts w:cs="Arial"/>
          <w:b/>
          <w:bCs/>
          <w:i/>
          <w:iCs/>
        </w:rPr>
        <w:t>.</w:t>
      </w:r>
    </w:p>
    <w:p w14:paraId="3645021F" w14:textId="058BAA46" w:rsidR="00A3455E" w:rsidRDefault="00A3455E" w:rsidP="00741E58">
      <w:pPr>
        <w:rPr>
          <w:b/>
          <w:bCs/>
        </w:rPr>
      </w:pPr>
      <w:r w:rsidRPr="00A3455E">
        <w:rPr>
          <w:b/>
          <w:bCs/>
        </w:rPr>
        <w:t>Select yes if the State uses two targets for measurement. (yes/no)</w:t>
      </w:r>
    </w:p>
    <w:bookmarkEnd w:id="74"/>
    <w:p w14:paraId="07A920B0" w14:textId="4E5EB02E" w:rsidR="00935B33" w:rsidRPr="000123EB" w:rsidRDefault="00935B33" w:rsidP="00741E58">
      <w:r w:rsidRPr="000123EB">
        <w:t>NO</w:t>
      </w:r>
    </w:p>
    <w:p w14:paraId="2164967F" w14:textId="5EF09CFF" w:rsidR="00250728" w:rsidRDefault="00250728" w:rsidP="00741E58"/>
    <w:p w14:paraId="6E39DD08" w14:textId="77777777" w:rsidR="008C5AD3" w:rsidRDefault="008C5AD3" w:rsidP="008C5AD3">
      <w:pPr>
        <w:rPr>
          <w:rFonts w:cs="Arial"/>
          <w:b/>
          <w:color w:val="000000" w:themeColor="text1"/>
          <w:szCs w:val="16"/>
        </w:rPr>
      </w:pPr>
      <w:r w:rsidRPr="00ED172B">
        <w:rPr>
          <w:rFonts w:cs="Arial"/>
          <w:b/>
          <w:color w:val="000000" w:themeColor="text1"/>
          <w:szCs w:val="16"/>
        </w:rPr>
        <w:t>Historical Data</w:t>
      </w:r>
    </w:p>
    <w:p w14:paraId="3CE160FC" w14:textId="77777777" w:rsidR="008C5AD3" w:rsidRDefault="008C5AD3" w:rsidP="008C5AD3">
      <w:pPr>
        <w:rPr>
          <w:rFonts w:cs="Arial"/>
          <w:b/>
          <w:color w:val="000000" w:themeColor="text1"/>
          <w:szCs w:val="16"/>
        </w:rPr>
      </w:pPr>
    </w:p>
    <w:tbl>
      <w:tblPr>
        <w:tblW w:w="17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BASELINEDATA"/>
      </w:tblPr>
      <w:tblGrid>
        <w:gridCol w:w="1788"/>
        <w:gridCol w:w="1898"/>
      </w:tblGrid>
      <w:tr w:rsidR="008C5AD3" w:rsidRPr="00ED172B" w14:paraId="0EFB88A4" w14:textId="77777777" w:rsidTr="000F1FED">
        <w:trPr>
          <w:trHeight w:val="350"/>
          <w:tblHeader/>
        </w:trPr>
        <w:tc>
          <w:tcPr>
            <w:tcW w:w="4389" w:type="pct"/>
            <w:tcBorders>
              <w:bottom w:val="single" w:sz="4" w:space="0" w:color="auto"/>
            </w:tcBorders>
            <w:shd w:val="clear" w:color="auto" w:fill="auto"/>
            <w:vAlign w:val="center"/>
          </w:tcPr>
          <w:p w14:paraId="2D527EBC" w14:textId="77777777" w:rsidR="008C5AD3" w:rsidRPr="001071FD" w:rsidRDefault="008C5AD3" w:rsidP="0082735C">
            <w:pPr>
              <w:jc w:val="center"/>
              <w:rPr>
                <w:b/>
                <w:bCs/>
                <w:color w:val="000000" w:themeColor="text1"/>
              </w:rPr>
            </w:pPr>
            <w:r>
              <w:rPr>
                <w:b/>
                <w:bCs/>
                <w:color w:val="000000" w:themeColor="text1"/>
              </w:rPr>
              <w:t>Baseline Year</w:t>
            </w:r>
          </w:p>
        </w:tc>
        <w:tc>
          <w:tcPr>
            <w:tcW w:w="611" w:type="pct"/>
            <w:shd w:val="clear" w:color="auto" w:fill="auto"/>
            <w:vAlign w:val="center"/>
          </w:tcPr>
          <w:p w14:paraId="50D4CE4F" w14:textId="77777777" w:rsidR="008C5AD3" w:rsidRPr="001071FD" w:rsidRDefault="008C5AD3" w:rsidP="0082735C">
            <w:pPr>
              <w:jc w:val="center"/>
              <w:rPr>
                <w:b/>
                <w:bCs/>
                <w:color w:val="000000" w:themeColor="text1"/>
              </w:rPr>
            </w:pPr>
            <w:r w:rsidRPr="001071FD">
              <w:rPr>
                <w:b/>
                <w:bCs/>
                <w:color w:val="000000" w:themeColor="text1"/>
              </w:rPr>
              <w:t>Baseline Data</w:t>
            </w:r>
          </w:p>
        </w:tc>
      </w:tr>
      <w:tr w:rsidR="008C5AD3" w:rsidRPr="00ED172B" w14:paraId="5A4971F9" w14:textId="77777777" w:rsidTr="000F1FED">
        <w:trPr>
          <w:trHeight w:val="350"/>
        </w:trPr>
        <w:tc>
          <w:tcPr>
            <w:tcW w:w="4389" w:type="pct"/>
            <w:tcBorders>
              <w:bottom w:val="single" w:sz="4" w:space="0" w:color="auto"/>
            </w:tcBorders>
            <w:shd w:val="clear" w:color="auto" w:fill="auto"/>
          </w:tcPr>
          <w:p w14:paraId="62B5AA2F" w14:textId="66A1FAED" w:rsidR="008C5AD3" w:rsidRPr="00ED172B" w:rsidRDefault="008C5AD3" w:rsidP="0082735C">
            <w:pPr>
              <w:jc w:val="center"/>
              <w:rPr>
                <w:b/>
                <w:color w:val="000000" w:themeColor="text1"/>
              </w:rPr>
            </w:pPr>
            <w:r w:rsidRPr="00ED172B">
              <w:rPr>
                <w:color w:val="000000" w:themeColor="text1"/>
              </w:rPr>
              <w:t>2013</w:t>
            </w:r>
          </w:p>
        </w:tc>
        <w:tc>
          <w:tcPr>
            <w:tcW w:w="611" w:type="pct"/>
            <w:shd w:val="clear" w:color="auto" w:fill="auto"/>
            <w:vAlign w:val="center"/>
          </w:tcPr>
          <w:p w14:paraId="6E4EA629" w14:textId="5D8BB69D" w:rsidR="008C5AD3" w:rsidRPr="00ED172B" w:rsidRDefault="008C5AD3" w:rsidP="0082735C">
            <w:pPr>
              <w:jc w:val="center"/>
              <w:rPr>
                <w:color w:val="000000" w:themeColor="text1"/>
              </w:rPr>
            </w:pPr>
            <w:r w:rsidRPr="00ED172B">
              <w:rPr>
                <w:color w:val="000000" w:themeColor="text1"/>
              </w:rPr>
              <w:t>56.57%</w:t>
            </w:r>
          </w:p>
        </w:tc>
      </w:tr>
    </w:tbl>
    <w:p w14:paraId="4EA639B1" w14:textId="580109EF" w:rsidR="008C5AD3" w:rsidRDefault="008C5AD3" w:rsidP="008C5AD3">
      <w:pPr>
        <w:rPr>
          <w:rFonts w:cs="Arial"/>
          <w:b/>
          <w:color w:val="000000" w:themeColor="text1"/>
          <w:szCs w:val="16"/>
        </w:rPr>
      </w:pPr>
    </w:p>
    <w:p w14:paraId="6F57E88A" w14:textId="35E86312" w:rsidR="00E7729E" w:rsidRPr="00ED172B" w:rsidRDefault="00E7729E" w:rsidP="00E7729E">
      <w:pPr>
        <w:rPr>
          <w:color w:val="000000" w:themeColor="text1"/>
        </w:rPr>
      </w:pPr>
      <w:r w:rsidRPr="00A10714">
        <w:rPr>
          <w:b/>
          <w:color w:val="000000" w:themeColor="text1"/>
        </w:rPr>
        <w:t>Targets</w:t>
      </w:r>
    </w:p>
    <w:tbl>
      <w:tblPr>
        <w:tblW w:w="42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C11TARGETS"/>
      </w:tblPr>
      <w:tblGrid>
        <w:gridCol w:w="704"/>
        <w:gridCol w:w="1910"/>
        <w:gridCol w:w="2044"/>
        <w:gridCol w:w="2044"/>
        <w:gridCol w:w="2044"/>
        <w:gridCol w:w="2044"/>
      </w:tblGrid>
      <w:tr w:rsidR="008E3C49" w:rsidRPr="00ED172B" w14:paraId="0453CCC2" w14:textId="77777777" w:rsidTr="006B0ACA">
        <w:trPr>
          <w:trHeight w:val="360"/>
        </w:trPr>
        <w:tc>
          <w:tcPr>
            <w:tcW w:w="339" w:type="pct"/>
            <w:tcBorders>
              <w:bottom w:val="single" w:sz="4" w:space="0" w:color="auto"/>
            </w:tcBorders>
            <w:shd w:val="clear" w:color="auto" w:fill="auto"/>
          </w:tcPr>
          <w:p w14:paraId="1A80DB10" w14:textId="77777777" w:rsidR="008E3C49" w:rsidRPr="00ED172B" w:rsidRDefault="008E3C49" w:rsidP="0082735C">
            <w:pPr>
              <w:jc w:val="center"/>
              <w:rPr>
                <w:b/>
                <w:color w:val="000000" w:themeColor="text1"/>
              </w:rPr>
            </w:pPr>
            <w:r w:rsidRPr="00ED172B">
              <w:rPr>
                <w:b/>
                <w:color w:val="000000" w:themeColor="text1"/>
              </w:rPr>
              <w:t>FFY</w:t>
            </w:r>
          </w:p>
        </w:tc>
        <w:tc>
          <w:tcPr>
            <w:tcW w:w="884" w:type="pct"/>
            <w:shd w:val="clear" w:color="auto" w:fill="auto"/>
            <w:vAlign w:val="center"/>
          </w:tcPr>
          <w:p w14:paraId="5C60C210" w14:textId="77777777" w:rsidR="008E3C49" w:rsidRPr="00ED172B" w:rsidRDefault="008E3C49" w:rsidP="0082735C">
            <w:pPr>
              <w:jc w:val="center"/>
              <w:rPr>
                <w:b/>
                <w:color w:val="000000" w:themeColor="text1"/>
              </w:rPr>
            </w:pPr>
            <w:r w:rsidRPr="00ED172B">
              <w:rPr>
                <w:b/>
                <w:color w:val="000000" w:themeColor="text1"/>
              </w:rPr>
              <w:t>2021</w:t>
            </w:r>
          </w:p>
        </w:tc>
        <w:tc>
          <w:tcPr>
            <w:tcW w:w="944" w:type="pct"/>
          </w:tcPr>
          <w:p w14:paraId="0701C412" w14:textId="77777777" w:rsidR="008E3C49" w:rsidRPr="00ED172B" w:rsidRDefault="008E3C49" w:rsidP="0082735C">
            <w:pPr>
              <w:jc w:val="center"/>
              <w:rPr>
                <w:b/>
                <w:color w:val="000000" w:themeColor="text1"/>
              </w:rPr>
            </w:pPr>
            <w:r>
              <w:rPr>
                <w:rFonts w:cs="Arial"/>
                <w:b/>
                <w:color w:val="000000" w:themeColor="text1"/>
                <w:szCs w:val="16"/>
              </w:rPr>
              <w:t>2022</w:t>
            </w:r>
          </w:p>
        </w:tc>
        <w:tc>
          <w:tcPr>
            <w:tcW w:w="944" w:type="pct"/>
          </w:tcPr>
          <w:p w14:paraId="69CB9B5C" w14:textId="77777777" w:rsidR="008E3C49" w:rsidRPr="00ED172B" w:rsidRDefault="008E3C49" w:rsidP="0082735C">
            <w:pPr>
              <w:jc w:val="center"/>
              <w:rPr>
                <w:b/>
                <w:color w:val="000000" w:themeColor="text1"/>
              </w:rPr>
            </w:pPr>
            <w:r w:rsidRPr="005A1B4F">
              <w:rPr>
                <w:rFonts w:cs="Arial"/>
                <w:b/>
                <w:color w:val="000000" w:themeColor="text1"/>
                <w:szCs w:val="16"/>
              </w:rPr>
              <w:t>2023</w:t>
            </w:r>
          </w:p>
        </w:tc>
        <w:tc>
          <w:tcPr>
            <w:tcW w:w="944" w:type="pct"/>
          </w:tcPr>
          <w:p w14:paraId="43141ACC" w14:textId="77777777" w:rsidR="008E3C49" w:rsidRPr="00ED172B" w:rsidRDefault="008E3C49" w:rsidP="0082735C">
            <w:pPr>
              <w:jc w:val="center"/>
              <w:rPr>
                <w:b/>
                <w:color w:val="000000" w:themeColor="text1"/>
              </w:rPr>
            </w:pPr>
            <w:r w:rsidRPr="005A1B4F">
              <w:rPr>
                <w:rFonts w:cs="Arial"/>
                <w:b/>
                <w:color w:val="000000" w:themeColor="text1"/>
                <w:szCs w:val="16"/>
              </w:rPr>
              <w:t>2024</w:t>
            </w:r>
          </w:p>
        </w:tc>
        <w:tc>
          <w:tcPr>
            <w:tcW w:w="944" w:type="pct"/>
          </w:tcPr>
          <w:p w14:paraId="7554E00B" w14:textId="77777777" w:rsidR="008E3C49" w:rsidRPr="00ED172B" w:rsidRDefault="008E3C49" w:rsidP="0082735C">
            <w:pPr>
              <w:jc w:val="center"/>
              <w:rPr>
                <w:b/>
                <w:color w:val="000000" w:themeColor="text1"/>
              </w:rPr>
            </w:pPr>
            <w:r w:rsidRPr="005A1B4F">
              <w:rPr>
                <w:rFonts w:cs="Arial"/>
                <w:b/>
                <w:color w:val="000000" w:themeColor="text1"/>
                <w:szCs w:val="16"/>
              </w:rPr>
              <w:t>2025</w:t>
            </w:r>
          </w:p>
        </w:tc>
      </w:tr>
      <w:tr w:rsidR="008E3C49" w:rsidRPr="00ED172B" w14:paraId="02BF8447" w14:textId="77777777" w:rsidTr="006B0ACA">
        <w:trPr>
          <w:trHeight w:val="367"/>
        </w:trPr>
        <w:tc>
          <w:tcPr>
            <w:tcW w:w="339" w:type="pct"/>
            <w:shd w:val="clear" w:color="auto" w:fill="auto"/>
          </w:tcPr>
          <w:p w14:paraId="1DE2EEC4" w14:textId="77777777" w:rsidR="008E3C49" w:rsidRPr="00ED172B" w:rsidRDefault="008E3C49" w:rsidP="0082735C">
            <w:pPr>
              <w:rPr>
                <w:rFonts w:cs="Arial"/>
                <w:color w:val="000000" w:themeColor="text1"/>
                <w:szCs w:val="16"/>
              </w:rPr>
            </w:pPr>
            <w:r w:rsidRPr="00ED172B">
              <w:rPr>
                <w:rFonts w:cs="Arial"/>
                <w:color w:val="000000" w:themeColor="text1"/>
                <w:szCs w:val="16"/>
              </w:rPr>
              <w:t>Target&gt;=</w:t>
            </w:r>
          </w:p>
        </w:tc>
        <w:tc>
          <w:tcPr>
            <w:tcW w:w="884" w:type="pct"/>
            <w:shd w:val="clear" w:color="auto" w:fill="auto"/>
            <w:vAlign w:val="center"/>
          </w:tcPr>
          <w:p w14:paraId="25EEA933" w14:textId="705FFDFB" w:rsidR="008E3C49" w:rsidRPr="00ED172B" w:rsidRDefault="008E3C49" w:rsidP="0082735C">
            <w:pPr>
              <w:jc w:val="center"/>
              <w:rPr>
                <w:color w:val="000000" w:themeColor="text1"/>
              </w:rPr>
            </w:pPr>
            <w:r w:rsidRPr="00ED172B">
              <w:rPr>
                <w:color w:val="000000" w:themeColor="text1"/>
              </w:rPr>
              <w:t>57.00%</w:t>
            </w:r>
          </w:p>
        </w:tc>
        <w:tc>
          <w:tcPr>
            <w:tcW w:w="944" w:type="pct"/>
          </w:tcPr>
          <w:p w14:paraId="4FDDD4C1" w14:textId="5C51D581" w:rsidR="008E3C49" w:rsidRPr="00ED172B" w:rsidRDefault="008E3C49" w:rsidP="0082735C">
            <w:pPr>
              <w:jc w:val="center"/>
              <w:rPr>
                <w:color w:val="000000" w:themeColor="text1"/>
              </w:rPr>
            </w:pPr>
            <w:r>
              <w:rPr>
                <w:rFonts w:cs="Arial"/>
                <w:color w:val="000000" w:themeColor="text1"/>
                <w:szCs w:val="16"/>
              </w:rPr>
              <w:t>57.10%</w:t>
            </w:r>
          </w:p>
        </w:tc>
        <w:tc>
          <w:tcPr>
            <w:tcW w:w="944" w:type="pct"/>
          </w:tcPr>
          <w:p w14:paraId="0C37D80B" w14:textId="12806C46" w:rsidR="008E3C49" w:rsidRPr="00ED172B" w:rsidRDefault="008E3C49" w:rsidP="0082735C">
            <w:pPr>
              <w:jc w:val="center"/>
              <w:rPr>
                <w:color w:val="000000" w:themeColor="text1"/>
              </w:rPr>
            </w:pPr>
            <w:r w:rsidRPr="005F5F3C">
              <w:rPr>
                <w:rFonts w:cs="Arial"/>
                <w:color w:val="000000" w:themeColor="text1"/>
                <w:szCs w:val="16"/>
              </w:rPr>
              <w:t>57.10%</w:t>
            </w:r>
          </w:p>
        </w:tc>
        <w:tc>
          <w:tcPr>
            <w:tcW w:w="944" w:type="pct"/>
          </w:tcPr>
          <w:p w14:paraId="5567CF00" w14:textId="51ED482E" w:rsidR="008E3C49" w:rsidRPr="00ED172B" w:rsidRDefault="008E3C49" w:rsidP="0082735C">
            <w:pPr>
              <w:jc w:val="center"/>
              <w:rPr>
                <w:color w:val="000000" w:themeColor="text1"/>
              </w:rPr>
            </w:pPr>
            <w:r w:rsidRPr="005F5F3C">
              <w:rPr>
                <w:rFonts w:cs="Arial"/>
                <w:color w:val="000000" w:themeColor="text1"/>
                <w:szCs w:val="16"/>
              </w:rPr>
              <w:t>57.20%</w:t>
            </w:r>
          </w:p>
        </w:tc>
        <w:tc>
          <w:tcPr>
            <w:tcW w:w="944" w:type="pct"/>
          </w:tcPr>
          <w:p w14:paraId="0A7D04E6" w14:textId="1AA3CDA1" w:rsidR="008E3C49" w:rsidRPr="00ED172B" w:rsidRDefault="008E3C49" w:rsidP="0082735C">
            <w:pPr>
              <w:jc w:val="center"/>
              <w:rPr>
                <w:color w:val="000000" w:themeColor="text1"/>
              </w:rPr>
            </w:pPr>
            <w:r w:rsidRPr="005F5F3C">
              <w:rPr>
                <w:rFonts w:cs="Arial"/>
                <w:color w:val="000000" w:themeColor="text1"/>
                <w:szCs w:val="16"/>
              </w:rPr>
              <w:t>57.20%</w:t>
            </w:r>
          </w:p>
        </w:tc>
      </w:tr>
    </w:tbl>
    <w:p w14:paraId="7BA6F57E" w14:textId="77777777" w:rsidR="008C5AD3" w:rsidRPr="00ED172B" w:rsidRDefault="008C5AD3" w:rsidP="008C5AD3">
      <w:pPr>
        <w:pStyle w:val="Italic"/>
        <w:rPr>
          <w:rFonts w:cs="Arial"/>
          <w:i w:val="0"/>
          <w:color w:val="000000" w:themeColor="text1"/>
          <w:szCs w:val="16"/>
        </w:rPr>
      </w:pPr>
    </w:p>
    <w:p w14:paraId="3FAB99C9" w14:textId="42C38C23" w:rsidR="005A3EDC" w:rsidRPr="00ED172B" w:rsidRDefault="005A3EDC" w:rsidP="005A3EDC">
      <w:pPr>
        <w:rPr>
          <w:b/>
          <w:color w:val="000000" w:themeColor="text1"/>
        </w:rPr>
      </w:pPr>
      <w:r>
        <w:rPr>
          <w:b/>
          <w:color w:val="000000" w:themeColor="text1"/>
        </w:rPr>
        <w:t>FFY 2021 SPP/APR Data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11FFYAPRDATA"/>
      </w:tblPr>
      <w:tblGrid>
        <w:gridCol w:w="2515"/>
        <w:gridCol w:w="1890"/>
        <w:gridCol w:w="1439"/>
        <w:gridCol w:w="1351"/>
        <w:gridCol w:w="1260"/>
        <w:gridCol w:w="1260"/>
        <w:gridCol w:w="1075"/>
      </w:tblGrid>
      <w:tr w:rsidR="005A3EDC" w:rsidRPr="00ED172B" w14:paraId="6E048B6B" w14:textId="77777777" w:rsidTr="009C4033">
        <w:trPr>
          <w:trHeight w:val="354"/>
        </w:trPr>
        <w:tc>
          <w:tcPr>
            <w:tcW w:w="1165" w:type="pct"/>
            <w:shd w:val="clear" w:color="auto" w:fill="auto"/>
            <w:vAlign w:val="bottom"/>
          </w:tcPr>
          <w:p w14:paraId="35377E80" w14:textId="2AF6D1B5" w:rsidR="005A3EDC" w:rsidRPr="00ED172B" w:rsidRDefault="005E3DB9" w:rsidP="0082735C">
            <w:pPr>
              <w:jc w:val="center"/>
              <w:rPr>
                <w:b/>
                <w:color w:val="000000" w:themeColor="text1"/>
                <w:szCs w:val="16"/>
              </w:rPr>
            </w:pPr>
            <w:r w:rsidRPr="00ED172B">
              <w:rPr>
                <w:color w:val="000000" w:themeColor="text1"/>
                <w:szCs w:val="16"/>
              </w:rPr>
              <w:t>Not including at-risk toddlers, Of those children who entered or exited the program below age expectations in Outcome A, the percent who substantially increased their rate of growth by the time they turned 3 years of age or exited the program</w:t>
            </w:r>
          </w:p>
        </w:tc>
        <w:tc>
          <w:tcPr>
            <w:tcW w:w="876" w:type="pct"/>
            <w:shd w:val="clear" w:color="auto" w:fill="auto"/>
            <w:vAlign w:val="bottom"/>
          </w:tcPr>
          <w:p w14:paraId="2CFCBD1B" w14:textId="129F1692" w:rsidR="005A3EDC" w:rsidRPr="00ED172B" w:rsidRDefault="005E3DB9" w:rsidP="0082735C">
            <w:pPr>
              <w:jc w:val="center"/>
              <w:rPr>
                <w:b/>
                <w:color w:val="000000" w:themeColor="text1"/>
                <w:szCs w:val="16"/>
              </w:rPr>
            </w:pPr>
            <w:r w:rsidRPr="00ED172B">
              <w:rPr>
                <w:color w:val="000000" w:themeColor="text1"/>
                <w:szCs w:val="16"/>
              </w:rPr>
              <w:t>Not including at-risk toddlers, children who entered or exited the program below age expectations in Outcome A</w:t>
            </w:r>
          </w:p>
        </w:tc>
        <w:tc>
          <w:tcPr>
            <w:tcW w:w="667" w:type="pct"/>
            <w:shd w:val="clear" w:color="auto" w:fill="auto"/>
            <w:vAlign w:val="bottom"/>
          </w:tcPr>
          <w:p w14:paraId="76EF8F05" w14:textId="3C2F88B1" w:rsidR="005A3EDC" w:rsidRPr="00ED172B" w:rsidRDefault="005A3EDC" w:rsidP="0082735C">
            <w:pPr>
              <w:jc w:val="center"/>
              <w:rPr>
                <w:b/>
                <w:color w:val="000000" w:themeColor="text1"/>
                <w:szCs w:val="16"/>
              </w:rPr>
            </w:pPr>
            <w:r>
              <w:rPr>
                <w:rFonts w:cs="Arial"/>
                <w:b/>
                <w:color w:val="000000" w:themeColor="text1"/>
                <w:szCs w:val="16"/>
              </w:rPr>
              <w:t>FFY 2020 Data</w:t>
            </w:r>
          </w:p>
        </w:tc>
        <w:tc>
          <w:tcPr>
            <w:tcW w:w="626" w:type="pct"/>
            <w:shd w:val="clear" w:color="auto" w:fill="auto"/>
            <w:vAlign w:val="bottom"/>
          </w:tcPr>
          <w:p w14:paraId="5F4EA754" w14:textId="069BCF09" w:rsidR="005A3EDC" w:rsidRPr="00ED172B" w:rsidRDefault="005A3EDC" w:rsidP="0082735C">
            <w:pPr>
              <w:jc w:val="center"/>
              <w:rPr>
                <w:b/>
                <w:color w:val="000000" w:themeColor="text1"/>
                <w:szCs w:val="16"/>
              </w:rPr>
            </w:pPr>
            <w:r>
              <w:rPr>
                <w:rFonts w:cs="Arial"/>
                <w:b/>
                <w:color w:val="000000" w:themeColor="text1"/>
                <w:szCs w:val="16"/>
              </w:rPr>
              <w:t>FFY 2021 Target</w:t>
            </w:r>
          </w:p>
        </w:tc>
        <w:tc>
          <w:tcPr>
            <w:tcW w:w="584" w:type="pct"/>
            <w:shd w:val="clear" w:color="auto" w:fill="auto"/>
            <w:vAlign w:val="bottom"/>
          </w:tcPr>
          <w:p w14:paraId="67762CBC" w14:textId="31115315" w:rsidR="005A3EDC" w:rsidRPr="00ED172B" w:rsidRDefault="005A3EDC" w:rsidP="0082735C">
            <w:pPr>
              <w:jc w:val="center"/>
              <w:rPr>
                <w:b/>
                <w:color w:val="000000" w:themeColor="text1"/>
                <w:szCs w:val="16"/>
              </w:rPr>
            </w:pPr>
            <w:r>
              <w:rPr>
                <w:rFonts w:cs="Arial"/>
                <w:b/>
                <w:color w:val="000000" w:themeColor="text1"/>
                <w:szCs w:val="16"/>
              </w:rPr>
              <w:t>FFY 2021 Data</w:t>
            </w:r>
          </w:p>
        </w:tc>
        <w:tc>
          <w:tcPr>
            <w:tcW w:w="584" w:type="pct"/>
            <w:shd w:val="clear" w:color="auto" w:fill="auto"/>
            <w:vAlign w:val="bottom"/>
          </w:tcPr>
          <w:p w14:paraId="3B9F25BA" w14:textId="77777777" w:rsidR="005A3EDC" w:rsidRPr="00ED172B" w:rsidRDefault="005A3EDC" w:rsidP="0082735C">
            <w:pPr>
              <w:jc w:val="center"/>
              <w:rPr>
                <w:b/>
                <w:color w:val="000000" w:themeColor="text1"/>
                <w:szCs w:val="16"/>
              </w:rPr>
            </w:pPr>
            <w:r w:rsidRPr="00ED172B">
              <w:rPr>
                <w:b/>
                <w:color w:val="000000" w:themeColor="text1"/>
                <w:szCs w:val="16"/>
              </w:rPr>
              <w:t>Status</w:t>
            </w:r>
          </w:p>
        </w:tc>
        <w:tc>
          <w:tcPr>
            <w:tcW w:w="498" w:type="pct"/>
            <w:shd w:val="clear" w:color="auto" w:fill="auto"/>
            <w:vAlign w:val="bottom"/>
          </w:tcPr>
          <w:p w14:paraId="63772CF4" w14:textId="77777777" w:rsidR="005A3EDC" w:rsidRPr="00ED172B" w:rsidRDefault="005A3EDC" w:rsidP="0082735C">
            <w:pPr>
              <w:jc w:val="center"/>
              <w:rPr>
                <w:b/>
                <w:color w:val="000000" w:themeColor="text1"/>
                <w:szCs w:val="16"/>
              </w:rPr>
            </w:pPr>
            <w:r w:rsidRPr="00ED172B">
              <w:rPr>
                <w:b/>
                <w:color w:val="000000" w:themeColor="text1"/>
                <w:szCs w:val="16"/>
              </w:rPr>
              <w:t>Slippage</w:t>
            </w:r>
          </w:p>
        </w:tc>
      </w:tr>
      <w:tr w:rsidR="005A3EDC" w:rsidRPr="00ED172B" w14:paraId="6DBCB096" w14:textId="77777777" w:rsidTr="009C4033">
        <w:trPr>
          <w:trHeight w:val="287"/>
        </w:trPr>
        <w:tc>
          <w:tcPr>
            <w:tcW w:w="1165" w:type="pct"/>
            <w:shd w:val="clear" w:color="auto" w:fill="auto"/>
            <w:vAlign w:val="center"/>
          </w:tcPr>
          <w:p w14:paraId="3F656E99" w14:textId="27CC2589" w:rsidR="005A3EDC" w:rsidRPr="00ED172B" w:rsidRDefault="005A3EDC" w:rsidP="0082735C">
            <w:pPr>
              <w:jc w:val="center"/>
              <w:rPr>
                <w:color w:val="000000" w:themeColor="text1"/>
                <w:szCs w:val="16"/>
              </w:rPr>
            </w:pPr>
            <w:r w:rsidRPr="00ED172B">
              <w:rPr>
                <w:color w:val="000000" w:themeColor="text1"/>
                <w:szCs w:val="16"/>
              </w:rPr>
              <w:t>858</w:t>
            </w:r>
          </w:p>
        </w:tc>
        <w:tc>
          <w:tcPr>
            <w:tcW w:w="876" w:type="pct"/>
            <w:shd w:val="clear" w:color="auto" w:fill="auto"/>
            <w:vAlign w:val="center"/>
          </w:tcPr>
          <w:p w14:paraId="3150BE9F" w14:textId="5DC8C558" w:rsidR="005A3EDC" w:rsidRPr="00ED172B" w:rsidRDefault="005A3EDC" w:rsidP="0082735C">
            <w:pPr>
              <w:jc w:val="center"/>
              <w:rPr>
                <w:color w:val="000000" w:themeColor="text1"/>
                <w:szCs w:val="16"/>
              </w:rPr>
            </w:pPr>
            <w:r w:rsidRPr="00ED172B">
              <w:rPr>
                <w:color w:val="000000" w:themeColor="text1"/>
                <w:szCs w:val="16"/>
              </w:rPr>
              <w:t>1,714</w:t>
            </w:r>
          </w:p>
        </w:tc>
        <w:tc>
          <w:tcPr>
            <w:tcW w:w="667" w:type="pct"/>
            <w:shd w:val="clear" w:color="auto" w:fill="auto"/>
          </w:tcPr>
          <w:p w14:paraId="01ADA7D7" w14:textId="7A44C784" w:rsidR="005A3EDC" w:rsidRPr="00ED172B" w:rsidRDefault="005A3EDC" w:rsidP="0082735C">
            <w:pPr>
              <w:jc w:val="center"/>
              <w:rPr>
                <w:color w:val="000000" w:themeColor="text1"/>
                <w:szCs w:val="16"/>
              </w:rPr>
            </w:pPr>
            <w:r w:rsidRPr="00ED172B">
              <w:rPr>
                <w:rFonts w:cs="Arial"/>
                <w:color w:val="000000" w:themeColor="text1"/>
                <w:szCs w:val="16"/>
              </w:rPr>
              <w:t>49.31%</w:t>
            </w:r>
          </w:p>
        </w:tc>
        <w:tc>
          <w:tcPr>
            <w:tcW w:w="626" w:type="pct"/>
            <w:shd w:val="clear" w:color="auto" w:fill="auto"/>
          </w:tcPr>
          <w:p w14:paraId="7E0CA0EB" w14:textId="2BC1966F" w:rsidR="005A3EDC" w:rsidRPr="00ED172B" w:rsidRDefault="005A3EDC" w:rsidP="0082735C">
            <w:pPr>
              <w:jc w:val="center"/>
              <w:rPr>
                <w:color w:val="000000" w:themeColor="text1"/>
                <w:szCs w:val="16"/>
              </w:rPr>
            </w:pPr>
            <w:r w:rsidRPr="00ED172B">
              <w:rPr>
                <w:color w:val="000000" w:themeColor="text1"/>
                <w:szCs w:val="16"/>
              </w:rPr>
              <w:t>57.00%</w:t>
            </w:r>
          </w:p>
        </w:tc>
        <w:tc>
          <w:tcPr>
            <w:tcW w:w="584" w:type="pct"/>
            <w:shd w:val="clear" w:color="auto" w:fill="auto"/>
          </w:tcPr>
          <w:p w14:paraId="458651F5" w14:textId="00EF1137" w:rsidR="005A3EDC" w:rsidRPr="00ED172B" w:rsidRDefault="005A3EDC" w:rsidP="0082735C">
            <w:pPr>
              <w:jc w:val="center"/>
              <w:rPr>
                <w:color w:val="000000" w:themeColor="text1"/>
                <w:szCs w:val="16"/>
              </w:rPr>
            </w:pPr>
            <w:r w:rsidRPr="00ED172B">
              <w:rPr>
                <w:rFonts w:cs="Arial"/>
                <w:color w:val="000000" w:themeColor="text1"/>
                <w:szCs w:val="16"/>
              </w:rPr>
              <w:t>50.06%</w:t>
            </w:r>
          </w:p>
        </w:tc>
        <w:tc>
          <w:tcPr>
            <w:tcW w:w="584" w:type="pct"/>
            <w:shd w:val="clear" w:color="auto" w:fill="auto"/>
          </w:tcPr>
          <w:p w14:paraId="4D02F4DA" w14:textId="5ECE8E78" w:rsidR="005A3EDC" w:rsidRPr="00ED172B" w:rsidRDefault="005A3EDC" w:rsidP="0082735C">
            <w:pPr>
              <w:jc w:val="center"/>
              <w:rPr>
                <w:color w:val="000000" w:themeColor="text1"/>
              </w:rPr>
            </w:pPr>
            <w:r w:rsidRPr="00ED172B">
              <w:rPr>
                <w:color w:val="000000" w:themeColor="text1"/>
              </w:rPr>
              <w:t>Did not meet target</w:t>
            </w:r>
          </w:p>
        </w:tc>
        <w:tc>
          <w:tcPr>
            <w:tcW w:w="498" w:type="pct"/>
            <w:shd w:val="clear" w:color="auto" w:fill="auto"/>
          </w:tcPr>
          <w:p w14:paraId="057828AA" w14:textId="1DB7167A" w:rsidR="005A3EDC" w:rsidRPr="00ED172B" w:rsidRDefault="005A3EDC" w:rsidP="0082735C">
            <w:pPr>
              <w:jc w:val="center"/>
              <w:rPr>
                <w:color w:val="000000" w:themeColor="text1"/>
              </w:rPr>
            </w:pPr>
            <w:r w:rsidRPr="00ED172B">
              <w:rPr>
                <w:color w:val="000000" w:themeColor="text1"/>
              </w:rPr>
              <w:t>No Slippage</w:t>
            </w:r>
          </w:p>
        </w:tc>
      </w:tr>
    </w:tbl>
    <w:bookmarkEnd w:id="75"/>
    <w:bookmarkEnd w:id="76"/>
    <w:p w14:paraId="4F07CE97" w14:textId="2F5F51F8" w:rsidR="00693B33" w:rsidRDefault="00693B33" w:rsidP="00741E58"/>
    <w:p w14:paraId="7FBF3D2A" w14:textId="446762BA" w:rsidR="00305E79" w:rsidRDefault="00305E79" w:rsidP="00C14BC7">
      <w:pPr>
        <w:rPr>
          <w:b/>
          <w:bCs/>
        </w:rPr>
      </w:pPr>
      <w:r>
        <w:rPr>
          <w:b/>
          <w:bCs/>
        </w:rPr>
        <w:t>Provide the data source for the FFY 2021 data.</w:t>
      </w:r>
    </w:p>
    <w:p w14:paraId="39EA1EF2" w14:textId="4442F412" w:rsidR="00305E79" w:rsidRDefault="00305E79" w:rsidP="00305E79">
      <w:pPr>
        <w:rPr>
          <w:color w:val="000000" w:themeColor="text1"/>
        </w:rPr>
      </w:pPr>
      <w:r w:rsidRPr="00ED172B">
        <w:rPr>
          <w:color w:val="000000" w:themeColor="text1"/>
        </w:rPr>
        <w:t>MA-C collects data on Child Outcome 3A, Summary Statement 1 from its state database. EIS providers enter evaluation data at the outset of an infant or toddler’s enrollment in Part C services and upon exiting. EIS providers use the Battelle Developmental Inventory (2nd edition) to evaluate progress.</w:t>
      </w:r>
    </w:p>
    <w:p w14:paraId="58E947E6" w14:textId="35C272EA" w:rsidR="00C14BC7" w:rsidRPr="00C14BC7" w:rsidRDefault="00C14BC7" w:rsidP="00C14BC7">
      <w:r w:rsidRPr="00F85A5B">
        <w:rPr>
          <w:b/>
          <w:bCs/>
        </w:rPr>
        <w:t>Please describe how data are collected and analyzed for the SiMR</w:t>
      </w:r>
      <w:r w:rsidRPr="00C14BC7">
        <w:t>.</w:t>
      </w:r>
    </w:p>
    <w:p w14:paraId="6315B3BF" w14:textId="4A2D6D59" w:rsidR="00C14BC7" w:rsidRDefault="00C14BC7" w:rsidP="00C14BC7">
      <w:pPr>
        <w:rPr>
          <w:color w:val="000000" w:themeColor="text1"/>
        </w:rPr>
      </w:pPr>
      <w:r w:rsidRPr="00ED172B">
        <w:rPr>
          <w:color w:val="000000" w:themeColor="text1"/>
        </w:rPr>
        <w:t xml:space="preserve">First, EIS providers administer and score the Battelle Developmental Inventory (2nd edition; BDI-2) following the publisher's manual. Next, EIS providers enter the developmental quotient (DQ) into the state database. Third, MA-C's Data Manager analyzes the duration of early intervention services provided to the child prior to the administration of the BDI-2; children who received less than six months of services are excluded from future analyses. Similarly, children who have only one administration (e.g., completed upon exit but not entry) or have incomplete scoring information are also excluded. Having identified the children to be included in this calculation, MA-C determines which of five BDI-2 categories the child's performance falls: (a) child did not improve functioning, (b) child's functioning improved but is not comparable to same-aged peers, (c) child's functioning improved to near-age expectations but did not reach it, (d) child's functioning improved and is comparable to same-aged peers, or (e) child entered with functioning comparable to same-aged peers and the level was maintained. MA-C then prepares a report of the number of children included in each category and compares the raw number and percentage of children in each category across prior reporting years. To calculate the summary statement (used for the SiMR), MA-C adds the number of children included in the two middle categories (i.e., categories C and D, described above) and then divides the sum by the sum of the number of children in categories A, B, C, and D (described above). Children in category E (i.e., those who enter and exit with functioning comparable to same-aged peers) are excluded from this analysis. </w:t>
      </w:r>
    </w:p>
    <w:p w14:paraId="76D8647E" w14:textId="78CCE65B" w:rsidR="00270F92" w:rsidRDefault="00270F92" w:rsidP="00741E58"/>
    <w:p w14:paraId="3CC869D1" w14:textId="77777777" w:rsidR="00177098" w:rsidRDefault="006D5F86" w:rsidP="006D5F86">
      <w:pPr>
        <w:rPr>
          <w:rFonts w:cs="Arial"/>
          <w:b/>
          <w:bCs/>
        </w:rPr>
      </w:pPr>
      <w:bookmarkStart w:id="77" w:name="_Hlk109646926"/>
      <w:r w:rsidRPr="00F85A5B">
        <w:rPr>
          <w:rFonts w:cs="Arial"/>
          <w:b/>
          <w:bCs/>
        </w:rPr>
        <w:t xml:space="preserve">Optional: Has the State collected additional data </w:t>
      </w:r>
      <w:r w:rsidRPr="00F85A5B">
        <w:rPr>
          <w:rFonts w:cs="Arial"/>
          <w:b/>
          <w:bCs/>
          <w:i/>
          <w:iCs/>
        </w:rPr>
        <w:t>(i.e., benchmark, CQI, survey)</w:t>
      </w:r>
      <w:r w:rsidRPr="00F85A5B">
        <w:rPr>
          <w:rFonts w:cs="Arial"/>
          <w:b/>
          <w:bCs/>
        </w:rPr>
        <w:t xml:space="preserve"> that demonstrates progress toward the SiMR?</w:t>
      </w:r>
      <w:r w:rsidR="00CD071F">
        <w:rPr>
          <w:b/>
          <w:bCs/>
        </w:rPr>
        <w:t xml:space="preserve"> </w:t>
      </w:r>
      <w:r w:rsidR="00CD071F" w:rsidRPr="00CD071F">
        <w:rPr>
          <w:b/>
          <w:bCs/>
        </w:rPr>
        <w:t>(yes/no)</w:t>
      </w:r>
    </w:p>
    <w:bookmarkEnd w:id="77"/>
    <w:p w14:paraId="6A765DFA" w14:textId="1921A02D" w:rsidR="00831891" w:rsidRPr="000123EB" w:rsidRDefault="00831891" w:rsidP="00831891">
      <w:pPr>
        <w:rPr>
          <w:color w:val="000000" w:themeColor="text1"/>
        </w:rPr>
      </w:pPr>
      <w:r w:rsidRPr="00ED172B">
        <w:rPr>
          <w:color w:val="000000" w:themeColor="text1"/>
        </w:rPr>
        <w:t>YES</w:t>
      </w:r>
    </w:p>
    <w:p w14:paraId="67AE1CE1" w14:textId="4AACCFD3" w:rsidR="006D5F86" w:rsidRDefault="007F0DC5" w:rsidP="00741E58">
      <w:pPr>
        <w:rPr>
          <w:rFonts w:cs="Arial"/>
          <w:b/>
          <w:bCs/>
        </w:rPr>
      </w:pPr>
      <w:bookmarkStart w:id="78" w:name="_Hlk109646931"/>
      <w:r>
        <w:rPr>
          <w:rFonts w:cs="Arial"/>
          <w:b/>
          <w:bCs/>
        </w:rPr>
        <w:t>Describe any additional data collected by the State to assess progress toward the SiMR.</w:t>
      </w:r>
    </w:p>
    <w:bookmarkEnd w:id="78"/>
    <w:p w14:paraId="20083E9E" w14:textId="002A0498" w:rsidR="006F322B" w:rsidRDefault="006F322B" w:rsidP="006F322B">
      <w:pPr>
        <w:rPr>
          <w:color w:val="000000" w:themeColor="text1"/>
        </w:rPr>
      </w:pPr>
      <w:r w:rsidRPr="00ED172B">
        <w:rPr>
          <w:color w:val="000000" w:themeColor="text1"/>
        </w:rPr>
        <w:t>The Supervisor Community of Practice (CoP) is for supervisors that have new EIS providers attending the Massachusetts Early Intervention Orientation. Supervisors can share existing knowledge to help each other, and their EIS providers improve their practice by providing a place to identify solutions to common problems and a process to evaluate best practices. The supervisors are required to take a pre- and post-self-assessment. The 25 participants who completed the self-assessments reported how they practiced a skill. Most significant areas of need prior to the Supervisor CoP:</w:t>
        <w:br/>
        <w:t>• Research/Brain Science</w:t>
        <w:br/>
        <w:t>• Functional Assessment/IFSP Outcomes</w:t>
        <w:br/>
        <w:t>• PIWI Strategies</w:t>
        <w:br/>
        <w:t>The post-assessment result in Research/Brain science improved from 42% to 52% supervisors explaining to families that positive caregiver-child interactions support early brain development. In the area of Functional Assessment and IFSP, Outcomes improved from 48%-82% of the supervisors using clinical skills and child development to complete functional assessments with families. Use of PIWI strategies improved from 41% to 59% of supervisors using triadic strategies with caregivers.</w:t>
        <w:br/>
        <w:t/>
        <w:br/>
        <w:t>Overall, supervisors said that through the CoP, they gained more knowledge regarding using clinical skills and incorporating them into PIWI and daily routines. They also enjoyed learning what their new hires were learning and “keeping up to date” with the research and resources available to them (e.g., Family Engagement Framework Guiding Principles). They found collaboration—the ability to discuss, brainstorm, and share challenges/ideas on their own and across programs— to be the best part of the Supervisor CoP. Several supervisors commented that through the CoP, they have improved their supervision techniques and support and how to relate this to MA-C’s Mission, values, and key principles.</w:t>
      </w:r>
    </w:p>
    <w:p w14:paraId="5AF54FE1" w14:textId="1D928FAB" w:rsidR="006F322B" w:rsidRDefault="006F322B" w:rsidP="00741E58">
      <w:pPr>
        <w:rPr>
          <w:b/>
          <w:bCs/>
        </w:rPr>
      </w:pPr>
    </w:p>
    <w:p w14:paraId="7345EC60" w14:textId="7CD24D28" w:rsidR="00C77A39" w:rsidRDefault="00C77A39" w:rsidP="00C77A39">
      <w:pPr>
        <w:spacing w:after="0"/>
        <w:rPr>
          <w:rFonts w:cs="Arial"/>
          <w:b/>
          <w:bCs/>
        </w:rPr>
      </w:pPr>
      <w:bookmarkStart w:id="79" w:name="_Hlk109646937"/>
      <w:r w:rsidRPr="00F85A5B">
        <w:rPr>
          <w:rFonts w:cs="Arial"/>
          <w:b/>
          <w:bCs/>
        </w:rPr>
        <w:t xml:space="preserve">Did the State identify any general data quality concerns, unrelated to COVID-19, that affected progress toward the SiMR during the reporting period? </w:t>
      </w:r>
      <w:r w:rsidR="00CD071F" w:rsidRPr="00CD071F">
        <w:rPr>
          <w:b/>
          <w:bCs/>
        </w:rPr>
        <w:t>(yes/no)</w:t>
      </w:r>
    </w:p>
    <w:bookmarkEnd w:id="79"/>
    <w:p w14:paraId="0DD31B03" w14:textId="7D01B3CB" w:rsidR="005838E8" w:rsidRDefault="005838E8" w:rsidP="00C77A39">
      <w:pPr>
        <w:spacing w:after="0"/>
        <w:rPr>
          <w:rFonts w:cs="Arial"/>
          <w:b/>
          <w:bCs/>
        </w:rPr>
      </w:pPr>
      <w:r w:rsidRPr="00ED172B">
        <w:rPr>
          <w:color w:val="000000" w:themeColor="text1"/>
        </w:rPr>
        <w:t>NO</w:t>
      </w:r>
    </w:p>
    <w:bookmarkEnd w:id="80"/>
    <w:p w14:paraId="2806BED7" w14:textId="77777777" w:rsidR="005838E8" w:rsidRDefault="005838E8" w:rsidP="00741E58">
      <w:pPr>
        <w:rPr>
          <w:b/>
          <w:bCs/>
        </w:rPr>
      </w:pPr>
    </w:p>
    <w:p w14:paraId="2F92DA5E" w14:textId="040E23FA" w:rsidR="00FC7972" w:rsidRDefault="00FC7972" w:rsidP="00741E58">
      <w:pPr>
        <w:rPr>
          <w:b/>
          <w:bCs/>
        </w:rPr>
      </w:pPr>
      <w:bookmarkStart w:id="81" w:name="_Hlk109646952"/>
      <w:r w:rsidRPr="00FC7972">
        <w:rPr>
          <w:b/>
          <w:bCs/>
        </w:rPr>
        <w:t>Did the State identify any data quality concerns directly related to the COVID-19 pandemic during the reporting period? (yes/no)</w:t>
      </w:r>
    </w:p>
    <w:bookmarkEnd w:id="81"/>
    <w:p w14:paraId="315EE8A6" w14:textId="43B354C8" w:rsidR="005838E8" w:rsidRDefault="005838E8" w:rsidP="00741E58">
      <w:pPr>
        <w:rPr>
          <w:b/>
          <w:bCs/>
        </w:rPr>
      </w:pPr>
      <w:r w:rsidRPr="00ED172B">
        <w:rPr>
          <w:color w:val="000000" w:themeColor="text1"/>
        </w:rPr>
        <w:t>YES</w:t>
      </w:r>
    </w:p>
    <w:p w14:paraId="7226EDE7" w14:textId="6022C94E" w:rsidR="0039177A" w:rsidRDefault="0039177A" w:rsidP="00741E58">
      <w:pPr>
        <w:rPr>
          <w:b/>
          <w:bCs/>
        </w:rPr>
      </w:pPr>
      <w:bookmarkStart w:id="82" w:name="_Hlk109646960"/>
      <w:r w:rsidRPr="0039177A">
        <w:rPr>
          <w:b/>
          <w:bCs/>
        </w:rPr>
        <w:t>If data for this reporting period were impacted specifically by COVID-19, the State must include in the narrative for the indicator: (1) the impact on data completeness, validity and reliability for the indicator; (2) an explanation of how COVID-19 specifically impacted the State’s ability to collect the data for the indicator; and (3) any steps the State took to mitigate the impact of COVID-19 on the data collection.</w:t>
      </w:r>
    </w:p>
    <w:bookmarkEnd w:id="82"/>
    <w:p w14:paraId="3191B04B" w14:textId="4B73F4C9" w:rsidR="005838E8" w:rsidRPr="000123EB" w:rsidRDefault="005838E8" w:rsidP="00741E58">
      <w:pPr>
        <w:rPr>
          <w:b/>
          <w:bCs/>
        </w:rPr>
      </w:pPr>
      <w:r w:rsidRPr="00ED172B">
        <w:rPr>
          <w:color w:val="000000" w:themeColor="text1"/>
        </w:rPr>
        <w:t>MA-C uses the Battelle Developmental Inventory (2nd ed; BDI-2) to assess children’s positive social-emotional skills. The completeness of the data were adversely affected as a direct result of the COVID-19 pandemic because the majority of early intervention services were provided via telehealth, which is not a validated mode to administer the BDI-2. Massachusetts experienced an increased number of COVID-19 cases during the reporting year, reaching highs of more than 36,000 confirmed cases on a single date (https://www.mass.gov/info-details/covid-19-response-reporting#covid-19-interactive-data-dashboard-). The concomitant effects of these cases included required quarantine and isolation for workers, reducing the number of EIS providers available to an already strained and reduced workforce, still struggling to recover from the effects of the outset of the COVID-19 pandemic. The COVID-19 pediatric vaccine was not available until June 2022, which further suppressed families interest in in-home evaluations and services. Taken together, MA-C's SSIP data (i.e., Indicator 3A, Summary Statement 1) was undeniably adversely affected by the COVID-19 pandemic.</w:t>
        <w:br/>
        <w:t/>
        <w:br/>
        <w:t>MA-C took steps to mitigate the impact of COVID-19 on data collection by offering technical assistance to EIS providers to support in-person assessment while limiting possible exposure risks (e.g., one evaluator in person while others participate via telehealth). Additionally, MA-C provided personal protective equipment to EIS providers free of charge to enable in-person services to safely resume beginning in FFY20 and continuing throughout FFY21. MA-C partnered with the Massachusetts Department of Public Health's Vaccine Equity Initiative to help share facts about the COVID-19 vaccine and provide training to EIS programs to answer questions from their families. The FFY22 State budget provided an additional $8,694,086 of state-funding directly to EIS programs to for pandemic recovery payments "necessary to restore early intervention service hours and staffing through hiring and rehiring of clinical staff across the early intervention system and address increased operational costs of providing early intervention services due to the 2019 novel coronavirus including, but not limited to, testing, contact tracing, personal protective equipment, facility safety upgrades and protocols and information technology equipment, connectivity and technical support (https://budget.digital.mass.gov/summary/fy22/enacted/health-and-human-services/public-health/45131020)."</w:t>
      </w:r>
    </w:p>
    <w:p w14:paraId="763A4FBB" w14:textId="4A04ABFB" w:rsidR="005838E8" w:rsidRDefault="005838E8" w:rsidP="00741E58">
      <w:pPr>
        <w:rPr>
          <w:b/>
          <w:bCs/>
        </w:rPr>
      </w:pPr>
    </w:p>
    <w:p w14:paraId="27A9EDA7" w14:textId="77777777" w:rsidR="00562F31" w:rsidRPr="000315F0" w:rsidRDefault="00562F31" w:rsidP="00562F31">
      <w:pPr>
        <w:pStyle w:val="Subhed"/>
      </w:pPr>
      <w:r w:rsidRPr="000315F0">
        <w:t>Section B:</w:t>
      </w:r>
      <w:r>
        <w:t xml:space="preserve"> </w:t>
      </w:r>
      <w:r w:rsidRPr="000315F0">
        <w:t>Implementation, Analysis and Evaluation</w:t>
      </w:r>
    </w:p>
    <w:p w14:paraId="3DE8FFD0" w14:textId="77777777" w:rsidR="0041306A" w:rsidRDefault="0041306A" w:rsidP="0041306A">
      <w:pPr>
        <w:rPr>
          <w:rFonts w:cs="Arial"/>
          <w:b/>
          <w:bCs/>
        </w:rPr>
      </w:pPr>
      <w:r>
        <w:rPr>
          <w:rFonts w:cs="Arial"/>
          <w:b/>
          <w:bCs/>
        </w:rPr>
        <w:t>Please provide a link to the State’s current evaluation plan.</w:t>
      </w:r>
    </w:p>
    <w:p w14:paraId="2EAA92E6" w14:textId="1D331164" w:rsidR="0041306A" w:rsidRDefault="0041306A" w:rsidP="0041306A">
      <w:pPr>
        <w:rPr>
          <w:color w:val="000000" w:themeColor="text1"/>
        </w:rPr>
      </w:pPr>
      <w:r>
        <w:rPr>
          <w:color w:val="000000" w:themeColor="text1"/>
        </w:rPr>
        <w:t>https://www.mass.gov/lists/public-reporting-for-early-intervention#state-systemic-improvement-plan-</w:t>
      </w:r>
    </w:p>
    <w:p w14:paraId="60D24E34" w14:textId="77777777" w:rsidR="0041306A" w:rsidRDefault="0041306A" w:rsidP="0041306A">
      <w:pPr>
        <w:rPr>
          <w:rFonts w:cs="Arial"/>
          <w:b/>
          <w:bCs/>
        </w:rPr>
      </w:pPr>
      <w:r>
        <w:rPr>
          <w:rFonts w:cs="Arial"/>
          <w:b/>
          <w:bCs/>
        </w:rPr>
        <w:t xml:space="preserve">Is the State’s evaluation plan new or revised since the previous submission? </w:t>
      </w:r>
      <w:r>
        <w:rPr>
          <w:b/>
          <w:bCs/>
        </w:rPr>
        <w:t>(yes/no)</w:t>
      </w:r>
    </w:p>
    <w:p w14:paraId="7F0F1A1F" w14:textId="4B2EF83A" w:rsidR="0041306A" w:rsidRDefault="0041306A" w:rsidP="0041306A">
      <w:pPr>
        <w:rPr>
          <w:color w:val="000000" w:themeColor="text1"/>
        </w:rPr>
      </w:pPr>
      <w:r>
        <w:rPr>
          <w:color w:val="000000" w:themeColor="text1"/>
        </w:rPr>
        <w:t>NO</w:t>
      </w:r>
    </w:p>
    <w:p w14:paraId="2D4D51DA" w14:textId="58145AD2" w:rsidR="00EE4E0F" w:rsidRDefault="00EE4E0F" w:rsidP="003B71AB">
      <w:pPr>
        <w:rPr>
          <w:rFonts w:cs="Arial"/>
          <w:b/>
          <w:bCs/>
        </w:rPr>
      </w:pPr>
    </w:p>
    <w:p w14:paraId="1FED1D02" w14:textId="77777777" w:rsidR="0041306A" w:rsidRDefault="0041306A" w:rsidP="003B71AB">
      <w:pPr>
        <w:rPr>
          <w:rFonts w:cs="Arial"/>
          <w:b/>
          <w:bCs/>
        </w:rPr>
      </w:pPr>
    </w:p>
    <w:p w14:paraId="051DAFDE" w14:textId="4F021F29" w:rsidR="003B71AB" w:rsidRPr="00E30972" w:rsidRDefault="00A85B6E" w:rsidP="003B71AB">
      <w:pPr>
        <w:rPr>
          <w:rFonts w:cs="Arial"/>
          <w:b/>
        </w:rPr>
      </w:pPr>
      <w:bookmarkStart w:id="83" w:name="_Hlk109647010"/>
      <w:r w:rsidRPr="008E5E4F">
        <w:rPr>
          <w:rFonts w:cs="Arial"/>
          <w:b/>
          <w:szCs w:val="16"/>
        </w:rPr>
        <w:t>Provide a summary of each infrastructure improvement strategy implemented in the reporting period.</w:t>
      </w:r>
    </w:p>
    <w:bookmarkEnd w:id="83"/>
    <w:p w14:paraId="25F98C7D" w14:textId="49E84F34" w:rsidR="00EE4E0F" w:rsidRPr="009A49C9" w:rsidRDefault="00EE4E0F" w:rsidP="00EE4E0F">
      <w:pPr>
        <w:rPr>
          <w:b/>
          <w:bCs/>
        </w:rPr>
      </w:pPr>
      <w:r w:rsidRPr="00ED172B">
        <w:rPr>
          <w:color w:val="000000" w:themeColor="text1"/>
        </w:rPr>
        <w:t xml:space="preserve">The Lead Agency (MA-C) continues to prioritize its infrastructure improvements and is pleased to report progress on the following strategies during FFY21:</w:t>
        <w:br/>
        <w:t/>
        <w:br/>
        <w:t xml:space="preserve">Governance (output 1) : MA-C hired a .5 FTE exclusively to assist in the planning, development, and supports for the State Interagency Coordinating Council (ICC) to develop an ICC Implementation Guide and provide technical assistance to the ICC co-chairs. </w:t>
        <w:br/>
        <w:t/>
        <w:br/>
        <w:t>Data: (Outputs 8, 19, 20, 26, 27, 28, &amp; 29) related to the instrument used to collect data for the SiMR, the Batelle Developmental Inventory, Second Edition. During FFY21, MA-C continued to hear from its contracted providers about challenges associated with the BDI-2. MA-C sought technical assistance from the Early Childhood Technical Assistance Center (ECTA), its OSEP liaison, and other Part C states about alternative instruments. Similarly, output 30 relates the to development of the state database, the Early Intervention Client System (EICS). The EICS is developed and maintained by a contracted vendor and managed by the EICS Application Lead, an Early Intervention Information Technology staff embedded within the MA-C. The EICS provides real-time data on system-level variables such as new referrals to the Part C system, the number of children enrolled in MA-C (i.e., those with active IFSPs), service utilization, billing and claims data, and exiting reasons. Although the EICS has been used by providers since November 2019, it is still in active phases of development.</w:t>
        <w:br/>
        <w:t/>
        <w:br/>
        <w:t xml:space="preserve">Personnel (Outputs 2 &amp; 3): MA-C retained a full-time epidemiologist with extensive experience in Maternal and Child Health, advanced analysis, and database structures to serve as its Part D Data Manager. Additionally, MA-C has created 1.0 FTE position of Clinical Quality Manager to oversee all aspects of its General Supervision System, including regular review and analysis of program- and child-level data reports to improve EIS program performance. MA-C discovered that the pilot of its revised personnel certification program had unexpectedly poor outcomes. Attrition was over 80% and participants reported that the portfolio review system was excessively complex and cumbersome. In light of these data, MA-C made the decision to hire a dedicated staff member to review and assist in planning the next steps. Delays in hiring a Comprehensive System of Personnel Development Coordinator necessitated delaying these activities until FFY22. MA-C has hired a new account analyst to assist in processing and auditing claims. </w:t>
        <w:br/>
        <w:t/>
        <w:br/>
        <w:t xml:space="preserve">Finance: A new billing and claims format was introduced to enhance MA-C's ability to monitor services and claims. </w:t>
        <w:br/>
        <w:t/>
        <w:br/>
        <w:t xml:space="preserve">Training &amp; Technical Assistance: Outputs 5, 6, and 7 relate to Parents Interacting With Infants. During FFY22, MA-C continued the provision of PIWI training to contracted EIS programs. The Parents Interacting with Infants (PIWI) Institute was designed to increase attendees’ knowledge, skills, and abilities with respect to the PIWI model and philosophy, which is one activity MA-C has designed to improve its SiMR. The FFY21 training was evaluated after its completion in March 2022. Of its seven participants employed by five different EIS programs, most had been involved in the EIS community for more than five years. Using a Likert scale with rating of 5 as the highest and 1 as the lowest, these participants reported a mean rating of 4.5 when asked to rate the extent that the training improved their application of the evidence-based strategies to support parent-child interactions and progress toward IFSP outcomes. Even with their years of experience, this training improved their practice in supporting caregiver-child interactions and, in turn, developing children’s positive social relationships. Similarly, outputs 9, 21, 22, 23, and 24 relate to increasing EIS provider knowledge, skills, and abilities with respect to typical development. MA-C hosted the Child Development Institute (CDI), designed to increase attendees’ knowledge, skills, and abilities with respect to child development, including its history, differing theories, and the role culture plays in a child's development. The fall and spring cohorts of the FFY21 CDI were evaluated after their completion in December 2021 and June 2022, respectively. The Institute was attended by a total of 19 EIS providers employed by eight different programs. Attendees' experience level was more varied than other groups, ranging from less than three months to between 2-5 years, with a mode of 7-12 months of experience in the early intervention community. As a result of participating in this training, attendees reported significant improvements in their competence and confidence in all areas of child development addressed. Using a Likert scale with rating of 5 as the highest and 1 as the lowest, attendees reported a mean rating of 4.7 when asked to rate the extent that the training helped them connect child development to the IFSP process. Output 25 relates to increasing family engagement to include parents as partners in early intervention service delivery. </w:t>
      </w:r>
    </w:p>
    <w:p w14:paraId="49B94502" w14:textId="7B5BB3EC" w:rsidR="006237B0" w:rsidRDefault="006237B0" w:rsidP="003B71AB">
      <w:pPr>
        <w:rPr>
          <w:rFonts w:cs="Arial"/>
          <w:b/>
          <w:bCs/>
        </w:rPr>
      </w:pPr>
    </w:p>
    <w:p w14:paraId="60BDB0B8" w14:textId="7FA0C053" w:rsidR="006237B0" w:rsidRDefault="00A85B6E" w:rsidP="006237B0">
      <w:pPr>
        <w:rPr>
          <w:rFonts w:cs="Arial"/>
          <w:b/>
          <w:bCs/>
        </w:rPr>
      </w:pPr>
      <w:bookmarkStart w:id="84" w:name="_Hlk109647019"/>
      <w:r w:rsidRPr="00A85B6E">
        <w:rPr>
          <w:rFonts w:cs="Arial"/>
          <w:b/>
          <w:bCs/>
        </w:rPr>
        <w:t xml:space="preserve">Describe the short-term or intermediate outcomes achieved for each infrastructure improvement strategy during the reporting period including the measures or rationale used by the State and stakeholders to assess and communicate achievement. Please relate short-term outcomes to one or more areas of a systems framework (e.g., governance, data, finance, accountability/monitoring, quality standards, professional development and/or technical assistance) and explain how these strategies support system change and are necessary for: (a) achievement of the SiMR; (b) sustainability of systems improvement efforts; and/or (c) scale-up. </w:t>
      </w:r>
    </w:p>
    <w:bookmarkEnd w:id="84"/>
    <w:p w14:paraId="6C845F06" w14:textId="7D9487AF" w:rsidR="000379F6" w:rsidRDefault="00717461" w:rsidP="006237B0">
      <w:pPr>
        <w:rPr>
          <w:rFonts w:cs="Arial"/>
          <w:b/>
          <w:bCs/>
        </w:rPr>
      </w:pPr>
      <w:r w:rsidRPr="00ED172B">
        <w:rPr>
          <w:color w:val="000000" w:themeColor="text1"/>
        </w:rPr>
        <w:t>The Lead Agency (MA-C) continues to prioritize its infrastructure improvements and is pleased to report outcomes achieved during FFY2:</w:t>
        <w:br/>
        <w:t/>
        <w:br/>
        <w:t>Output 1: MA-C the State Interagency Coordinating Council (ICC) Coordinator created a implementation guide for MA-C staff and appointed members. This document defines the purpose of the ICC, including its strategic goals and necessary tactical actions required to complete the various ICC-related tasks (e.g., preparing for meetings, orienting co-chairs, shepherding appointments to the Gov. office). A direct outcome of this document's creation is documented, replicable, streamlined procedures for ICC. A second outcome achieved for this output was the provision of extensive technical assistance to the ICC co-chairs. A direct outcome of this technical assistance was the co-chairs leading meetings more effectively, which lead to measurable charges for the ICC and a greater emphasis on coordinating care across the early childhood system in Massachusetts. Finally, the ICC Coordinator has shifted communication with appointed members from private emails to public posting on the ICC's website (https://www.mass.gov/interagency-coordinating-council-icc). This action has increased the public's access to the ICC meetings, including subcommittees. These activities are necessary for the SiMR because the ICC serves as MA-C's primary stakeholder body and cannot advise MA-C in improving child outcomes without appropriate and effective meeting structures. These activities are sustainable because the ICC Coordinator has created documentation that can be reused in future years with minor modification.</w:t>
        <w:br/>
        <w:t/>
        <w:br/>
        <w:t>Output 2: MA-C has partnered with the Centers for Disease Control Foundation (CDCF) to retain a full-time epidemiologist with extensive experience in Maternal and Child Health, advanced analysis, and database structures to serve as its Part D Data Manager. As a direct result of this resource, MA-C began developing its Key Performance Indicators (i.e., real-time access to system-, program-, and child-level data for each of the APR indicators as well as additional system-level leading and lagging indicators of performance). Additionally, the Data Manager developed written protocols for each of these indicators (documented using DaSy's protocol forms found at https://dasycenter.org/data-processes-toolkit/) to ensure technical, replicable procedures are used for each data pull. MA-C has published its first interactive data dashboard to highlight the effects of race and geography on referrals to the Commonwealth's Part C system (https://www.mass.gov/info-details/early-intervention-data-and-reports). These activities are necessary to the SiMR because MA-C cannot make effective data-based decisions about its progress toward the SiMR without accurate, reliable, and valid data. These activities are sustainable because the Data Manager has created written protocols for each indicator and is collaborating with the Information Technology staff and vendor responsible for the development and maintenance of the state database, the Early Intervention Client System (EICS) to create automated and stored procedures in the future.</w:t>
        <w:br/>
        <w:t/>
        <w:br/>
        <w:t xml:space="preserve">Output 3: MA-C has made limited progress on this output. Delays in hiring a Comprehensive System of Personnel Development Coordinator necessitated delaying these activities until FFY22. </w:t>
        <w:br/>
        <w:t/>
        <w:br/>
        <w:t>Output 4: MA-C hired a new account analyst and upgraded its billing and claims system to prepare for greater fiscal audits.</w:t>
        <w:br/>
        <w:t/>
        <w:br/>
        <w:t xml:space="preserve">Outputs 5-7: MA-C continued the provision of PIWI training to contracted EIS programs. As a direct result of this training, MA-C observed an increase in the number of attendees who reported that they implemented PIWI strategies into their practice. This is necessary for MA-C to achieve the SiMR because data suggest that implementing PIWI strategies can increase children's positive social-emotional skills. These practices are sustainable because they are embedded within the required orientation for all new EIS providers. </w:t>
        <w:br/>
        <w:t/>
        <w:br/>
        <w:t xml:space="preserve">Outputs 8, 19, 20, 26, 27, 28, and 29: In preparing for the BDI's publisher to retire the BDI-2, MA-C has paused activity related to this output while it reviews alternative assessments. This is necessary to the achievement of the SiMR because the BDI-2 serves as the basis for measurement of the SiMR. The BDI-2 was normed in 2004 and contains a number of outdated tasks, which may influence a child's score. </w:t>
        <w:br/>
        <w:t/>
        <w:br/>
        <w:t xml:space="preserve">Outputs 9, 21, 22, 23, and 24: MA-C hosted the Child Development Institute (CDI), designed to increase attendees’ knowledge, skills, and abilities with respect to child development, including its history, differing theories, and the role culture plays in a child's development. This was necessary for the achievement of the SiMR because EIS providers must be able to distinguish between typical and atypical development to administer and score the BDI-2 correctly and develop meaningful and appropriate IFSP outcomes for children in their care. </w:t>
        <w:br/>
        <w:t/>
        <w:br/>
        <w:t xml:space="preserve">Output 25: Additional emphasis was placed on the supervisor's role in facilitating this engagement. The Reflective Supervision Institute was designed to teach the practice of reflective Supervision and exploration of the parallel process. The FFY21 training, which occurred between February- June 2022, was evaluated by 17 attendees, all of whom had been involved in the EIS community for at least two years, with most reporting more than five years 85% of participants reported that the as a result of this workshop, they able to develop relationships with the Early Intervention Specialist, which promotes the relationship between both the EIS provider and the parent and between the parent and the child. The attention is given to all relationships, including supervisor and EIS provider, EIS provider and parent, and between parent and infant or toddler. It is also about intentionally affecting relationships. This is necessary to achieving the SiMR because if we want parents to see, hold, respond to, and nurture their infants, they must have experienced these caregiving behaviors themselves. </w:t>
        <w:br/>
        <w:t/>
        <w:br/>
        <w:t>Output 30: Additional functionality was added to the EICS to enhance monitoring and oversight as well as improve and streamline provider practices. Some examples of the additional functionality include (1) submission of claims using a standard format (i.e., 837) that allowed MA-C to automate validations as part of its assurance of serving as the Payor of Last Resort, (2) completion of transfer paperwork within the EICS to ensure continuity of care and services for highly mobile children and other families changing EIS programs, (3) increased functionality for 22 agencies contracted to provide Early Intensive Behavioral Interventions, including creating seamless electronic referrals from the general EIS program to increase timely services, (4) significantly expanding the number of data fields that can be extracted by contracted providers to improve their access to real-time performance data, (5) expanding print privileges for certain user profiles to allow families to have greater access to their child's IFSP and records, and (6) a revised workflow for children exiting the Part C system to better support EIS programs as they work to transition children to the next phase of their educational journey. These are necessary to achieve the SiMR because of the critical role the EICS plays in measuring MA-C's progress toward the SiMR, and the activities are sustainable because the one-time development permits MA-C to use these enhancements moving forward.</w:t>
      </w:r>
    </w:p>
    <w:p w14:paraId="372876BC" w14:textId="75D5A78F" w:rsidR="009C2256" w:rsidRDefault="009C2256" w:rsidP="009C2256">
      <w:pPr>
        <w:rPr>
          <w:rFonts w:cs="Arial"/>
          <w:b/>
          <w:bCs/>
        </w:rPr>
      </w:pPr>
      <w:bookmarkStart w:id="85" w:name="_Hlk109647025"/>
      <w:r w:rsidRPr="009C2256">
        <w:rPr>
          <w:rFonts w:cs="Arial"/>
          <w:b/>
          <w:bCs/>
        </w:rPr>
        <w:t xml:space="preserve">Did the State implement any </w:t>
      </w:r>
      <w:r w:rsidRPr="009C2256">
        <w:rPr>
          <w:rFonts w:cs="Arial"/>
          <w:b/>
          <w:bCs/>
          <w:u w:val="single"/>
        </w:rPr>
        <w:t>new</w:t>
      </w:r>
      <w:r w:rsidRPr="009C2256">
        <w:rPr>
          <w:rFonts w:cs="Arial"/>
          <w:b/>
          <w:bCs/>
        </w:rPr>
        <w:t xml:space="preserve"> (newly identified) infrastructure improvement strategies during the reporting period?</w:t>
      </w:r>
      <w:r w:rsidR="00CD071F">
        <w:rPr>
          <w:b/>
          <w:bCs/>
        </w:rPr>
        <w:t xml:space="preserve"> </w:t>
      </w:r>
      <w:r w:rsidR="00CD071F" w:rsidRPr="00CD071F">
        <w:rPr>
          <w:b/>
          <w:bCs/>
        </w:rPr>
        <w:t>(yes/no)</w:t>
      </w:r>
    </w:p>
    <w:bookmarkEnd w:id="85"/>
    <w:p w14:paraId="15FABCCC" w14:textId="764152CE" w:rsidR="000039B6" w:rsidRPr="000039B6" w:rsidRDefault="000039B6" w:rsidP="009C2256">
      <w:pPr>
        <w:rPr>
          <w:b/>
          <w:bCs/>
        </w:rPr>
      </w:pPr>
      <w:r w:rsidRPr="00ED172B">
        <w:rPr>
          <w:color w:val="000000" w:themeColor="text1"/>
        </w:rPr>
        <w:t>NO</w:t>
      </w:r>
    </w:p>
    <w:bookmarkEnd w:id="86"/>
    <w:p w14:paraId="0B9E8F82" w14:textId="77777777" w:rsidR="00EB4B7B" w:rsidRPr="00EB4B7B" w:rsidRDefault="00EB4B7B" w:rsidP="00EB4B7B">
      <w:pPr>
        <w:rPr>
          <w:rFonts w:cs="Arial"/>
          <w:b/>
          <w:bCs/>
        </w:rPr>
      </w:pPr>
      <w:bookmarkStart w:id="87" w:name="_Hlk109647038"/>
      <w:r w:rsidRPr="00EB4B7B">
        <w:rPr>
          <w:rFonts w:cs="Arial"/>
          <w:b/>
          <w:bCs/>
        </w:rPr>
        <w:t xml:space="preserve">Provide a summary of the next steps for each infrastructure improvement strategy and the anticipated outcomes to be attained during the next reporting period. </w:t>
      </w:r>
    </w:p>
    <w:bookmarkEnd w:id="87"/>
    <w:p w14:paraId="2B44D59F" w14:textId="71C78214" w:rsidR="00370225" w:rsidRPr="005137B6" w:rsidRDefault="00370225" w:rsidP="00370225">
      <w:pPr>
        <w:rPr>
          <w:b/>
          <w:bCs/>
        </w:rPr>
      </w:pPr>
      <w:r w:rsidRPr="00ED172B">
        <w:rPr>
          <w:color w:val="000000" w:themeColor="text1"/>
        </w:rPr>
        <w:t>The Lead Agency (MA-C) anticipates revising its evaluation plan during FFY22 to reflect a more targeted and streamlined approach to achieving the SiMR. That said, MA-C expects to continue its emphasis on its infrastructure improvements during FFY22, and anticipated the following outcomes to be achieved during the next reporting period:</w:t>
        <w:br/>
        <w:t/>
        <w:br/>
        <w:t>Output 1: During FFY22, the MA-C State Interagency Coordinating Council (ICC) Coordinator will develop and deliver a structured orientation for all appointed members annually that includes an introduction to the purpose of the ICC, detailed information about the State Performance Plan/Annual Performance Report, an overview on the Massachusetts Open Meeting law, an overview of the Massachusetts State Ethics Commission and Conflict of Interest law, and the role of the ICC in assisting MA-C implement the requirements of the IDEA. Specific outcomes expected from these activities include appointed members receiving training materials, having aligned expectations among ICC members, and having effective ICC meetings that improve MA-C's implementation of the IDEA.</w:t>
        <w:br/>
        <w:t/>
        <w:br/>
        <w:t>Output 2: During FFY22, the MA-C Data Manager will work with the EI IT staff to create Key Performance Indicator Reports available to MA-C staff monthly. The Manager of Clinical Quality will train MA-C staff to interpret these data and share them with contracted EIS programs monthly.</w:t>
        <w:br/>
        <w:t/>
        <w:br/>
        <w:t xml:space="preserve">Output 3: During FFY22, MA-C has will hire a 1.0 FTE to serve as the Comprehensive System of Personnel Development Coordinator to study and revise the existing personnel certification system and improve the professional development system. </w:t>
        <w:br/>
        <w:t/>
        <w:br/>
        <w:t>Output 4: During FFY21, MA-C did not make progress on this output. During FFY22, MA-C has will hire a 1.0 FTE to serve as the Finance Manager to develop and disseminate audit procedures to integrate within the General Supervision activities.</w:t>
        <w:br/>
        <w:t/>
        <w:br/>
        <w:t xml:space="preserve">Outputs 9, 21, 22, 23, and 24: During FFY21, MA-C will engage key representatives from the Commonwealth's Part C system to identify a new instrument with which to collect data for Indicator 3 given the publisher's intent to discontinue the BDI-2. </w:t>
        <w:br/>
        <w:t/>
        <w:br/>
        <w:t>Output 30: During FFY22, MA-C will continue to improve its state database, the Early Intervention Client System (EICS) to ensure collection of accurate, reliable, and valid data, including activating business rules and validations to check data quality.</w:t>
      </w:r>
    </w:p>
    <w:p w14:paraId="2CFA4DC1" w14:textId="503EEA2B" w:rsidR="009C2256" w:rsidRDefault="009C2256" w:rsidP="006237B0">
      <w:pPr>
        <w:rPr>
          <w:rFonts w:cs="Arial"/>
          <w:b/>
          <w:bCs/>
        </w:rPr>
      </w:pPr>
    </w:p>
    <w:p w14:paraId="283AD2CC" w14:textId="1DD9E2BE" w:rsidR="0072398B" w:rsidRDefault="0072398B" w:rsidP="0072398B">
      <w:pPr>
        <w:rPr>
          <w:rFonts w:cs="Arial"/>
          <w:b/>
          <w:bCs/>
        </w:rPr>
      </w:pPr>
      <w:bookmarkStart w:id="88" w:name="_Hlk109647044"/>
      <w:r w:rsidRPr="0072398B">
        <w:rPr>
          <w:rFonts w:cs="Arial"/>
          <w:b/>
          <w:bCs/>
        </w:rPr>
        <w:t>List the selected evidence-based practices implemented in the reporting period:</w:t>
      </w:r>
    </w:p>
    <w:bookmarkEnd w:id="88"/>
    <w:p w14:paraId="741AB6F5" w14:textId="3EC0E8B5" w:rsidR="00582D95" w:rsidRDefault="00582D95" w:rsidP="00582D95">
      <w:pPr>
        <w:rPr>
          <w:color w:val="000000" w:themeColor="text1"/>
        </w:rPr>
      </w:pPr>
      <w:r w:rsidRPr="00ED172B">
        <w:rPr>
          <w:color w:val="000000" w:themeColor="text1"/>
        </w:rPr>
        <w:t xml:space="preserve">The Lead Agency (MA-C) uses the science of Quality Improvement to monitor and inform its own practices. </w:t>
        <w:br/>
        <w:t/>
        <w:br/>
        <w:t xml:space="preserve">EIS programs contracted with MA-C provide services using the Parents Interacting With Infants (PIWI) model. </w:t>
      </w:r>
    </w:p>
    <w:p w14:paraId="00FAC5EA" w14:textId="77777777" w:rsidR="00047DA0" w:rsidRPr="005137B6" w:rsidRDefault="00047DA0" w:rsidP="00582D95">
      <w:pPr>
        <w:rPr>
          <w:b/>
          <w:bCs/>
        </w:rPr>
      </w:pPr>
    </w:p>
    <w:p w14:paraId="79E6D61A" w14:textId="54FF2AF5" w:rsidR="002679EA" w:rsidRDefault="00AB24A4" w:rsidP="00AB24A4">
      <w:pPr>
        <w:rPr>
          <w:rFonts w:cs="Arial"/>
          <w:b/>
          <w:bCs/>
        </w:rPr>
      </w:pPr>
      <w:bookmarkStart w:id="89" w:name="_Hlk109647049"/>
      <w:r w:rsidRPr="00AB24A4">
        <w:rPr>
          <w:rFonts w:cs="Arial"/>
          <w:b/>
          <w:bCs/>
        </w:rPr>
        <w:t>Provide a summary of each evidence-based practice.</w:t>
      </w:r>
    </w:p>
    <w:bookmarkEnd w:id="89"/>
    <w:p w14:paraId="0AE8C012" w14:textId="0CF0516A" w:rsidR="002679EA" w:rsidRPr="005137B6" w:rsidRDefault="002679EA" w:rsidP="002679EA">
      <w:pPr>
        <w:rPr>
          <w:b/>
          <w:bCs/>
        </w:rPr>
      </w:pPr>
      <w:r w:rsidRPr="00ED172B">
        <w:rPr>
          <w:color w:val="000000" w:themeColor="text1"/>
        </w:rPr>
        <w:t>Quality Improvement (QI; Reed, Davey, &amp; Woodcock, 2016) is a science that emphasizes rapid-cycle testing, and extension to generate learning about what changes produce improvement and in which contexts. Research indicates that QI methods can be effectively employed across educational and healthcare settings to improve staff practices and outcomes.</w:t>
        <w:br/>
        <w:t/>
        <w:br/>
        <w:t>Parents Interacting With Infants (PIWI; Yates and McCollum, 2017) is an evidenced-based set of practices based on beliefs (i.e., a “philosophy”) about families, children, and helping relationships. The objectives of PIWI are to increase confidence, competence, and positive relationships for parents and children ages 0-2. It does so by focusing on the parent-child relationship and using coaching to promote responsive, respectful parent-child interactions. Research indicates that early interactions with parents influence a child's future outcomes (e.g., Center for the Developing Child, 2016). The PIWI model encourages the use of evidence-based strategies including family-centered practices, family-capacity building, and family-professional collaboration (DEC, 2014).</w:t>
      </w:r>
    </w:p>
    <w:p w14:paraId="4B178C88" w14:textId="595701A4" w:rsidR="00AB24A4" w:rsidRPr="00AB24A4" w:rsidRDefault="00AB24A4" w:rsidP="00AB24A4">
      <w:pPr>
        <w:rPr>
          <w:rFonts w:cs="Arial"/>
          <w:b/>
          <w:bCs/>
        </w:rPr>
      </w:pPr>
      <w:r w:rsidRPr="00AB24A4">
        <w:rPr>
          <w:rFonts w:cs="Arial"/>
          <w:b/>
          <w:bCs/>
        </w:rPr>
        <w:t xml:space="preserve"> </w:t>
      </w:r>
    </w:p>
    <w:p w14:paraId="61132AC2" w14:textId="7757BBF4" w:rsidR="00F05ED0" w:rsidRDefault="00B8661E" w:rsidP="00B8661E">
      <w:pPr>
        <w:rPr>
          <w:rFonts w:cs="Arial"/>
          <w:b/>
          <w:bCs/>
        </w:rPr>
      </w:pPr>
      <w:bookmarkStart w:id="90" w:name="_Hlk109647058"/>
      <w:r w:rsidRPr="00B8661E">
        <w:rPr>
          <w:rFonts w:cs="Arial"/>
          <w:b/>
          <w:bCs/>
        </w:rPr>
        <w:t xml:space="preserve">Provide a summary of how each evidence-based practices and activities or strategies that support its use, is intended to impact the SiMR by changing program/district policies, procedures, and/or practices, teacher/provider practices (e.g. behaviors), parent/caregiver outcomes, and/or child/outcomes. </w:t>
      </w:r>
    </w:p>
    <w:bookmarkEnd w:id="90"/>
    <w:p w14:paraId="2FC32005" w14:textId="20E8C2E6" w:rsidR="00F05ED0" w:rsidRPr="005137B6" w:rsidRDefault="00F05ED0" w:rsidP="00F05ED0">
      <w:pPr>
        <w:rPr>
          <w:b/>
          <w:bCs/>
        </w:rPr>
      </w:pPr>
      <w:r w:rsidRPr="00ED172B">
        <w:rPr>
          <w:color w:val="000000" w:themeColor="text1"/>
        </w:rPr>
        <w:lastRenderedPageBreak/>
        <w:t xml:space="preserve">The Lead Agency (MA-C) used implemented several strategies and activities to ensure evidence-based practices designed to increase the SiMR were implemented with fidelity.</w:t>
        <w:br/>
        <w:t/>
        <w:br/>
        <w:t xml:space="preserve">First, MA-C relies on the science of quality improvement that, if implemented with integrity, will impact the SiMR. Specifically, QI is a science that includes engagement and ongoing feedback from key representatives and collect data to quickly monitor and learn if the intervention is producing the desired outcome. MA-C's internal procedures and infrastructure (e.g., communication with EIS programs, database structure, training and technical assistance) necessarily impact the SiMR. Improving these internal practices will continue to improve outcomes for infants, toddlers, and their families across the Commonwealth's Part C System. </w:t>
        <w:br/>
        <w:t/>
        <w:br/>
        <w:t xml:space="preserve">Next, MA-C has previously endorsed PIWI as a strategy that, if implemented with integrity, will impact the SiMR. Specifically, PIWI is a philosophy that can inform EIS programs' internal policies and procedures, including training of their practitioners following its implementation guidelines. The PIWI philosophy offers a decision-making model to assist EIS programs in all aspects of service planning and delivery. The PIWI model empowers families by increasing their knowledge of their children's development and strengthens the parent-child dyad by helping parents interpret and respond to their children's behavior in positive, supportive ways. When EIS providers implement evidence-based strategies such as family-centered practices, family-capacity building, and family-professional collaboration, children are more likely to substantially increase their positive social-emotional outcomes. </w:t>
      </w:r>
    </w:p>
    <w:p w14:paraId="7723C486" w14:textId="5F1FC69C" w:rsidR="00B8661E" w:rsidRPr="00B8661E" w:rsidRDefault="00B8661E" w:rsidP="00B8661E">
      <w:pPr>
        <w:rPr>
          <w:rFonts w:cs="Arial"/>
          <w:b/>
          <w:bCs/>
        </w:rPr>
      </w:pPr>
      <w:r w:rsidRPr="00B8661E">
        <w:rPr>
          <w:rFonts w:cs="Arial"/>
          <w:b/>
          <w:bCs/>
        </w:rPr>
        <w:t xml:space="preserve"> </w:t>
      </w:r>
    </w:p>
    <w:p w14:paraId="5B7E5005" w14:textId="3FBD6621" w:rsidR="00F008FE" w:rsidRDefault="00F008FE" w:rsidP="00F008FE">
      <w:pPr>
        <w:rPr>
          <w:rFonts w:cs="Arial"/>
          <w:b/>
          <w:bCs/>
        </w:rPr>
      </w:pPr>
      <w:bookmarkStart w:id="91" w:name="_Hlk109647063"/>
      <w:r w:rsidRPr="00F008FE">
        <w:rPr>
          <w:rFonts w:cs="Arial"/>
          <w:b/>
          <w:bCs/>
        </w:rPr>
        <w:t xml:space="preserve">Describe the data collected to monitor fidelity of implementation and to assess practice change. </w:t>
      </w:r>
    </w:p>
    <w:bookmarkEnd w:id="91"/>
    <w:p w14:paraId="6371547D" w14:textId="42F6C7DD" w:rsidR="0051509A" w:rsidRPr="005137B6" w:rsidRDefault="0051509A" w:rsidP="0051509A">
      <w:pPr>
        <w:rPr>
          <w:b/>
          <w:bCs/>
        </w:rPr>
      </w:pPr>
      <w:r w:rsidRPr="00ED172B">
        <w:rPr>
          <w:color w:val="000000" w:themeColor="text1"/>
        </w:rPr>
        <w:t>The Lead Agency (MA-C) has focused on training to competency to PIWI method in FFY20. MA-C has employed several rapid PDSA cycles to evaluate its own internal policies and procedures.</w:t>
      </w:r>
    </w:p>
    <w:p w14:paraId="6003DDF2" w14:textId="77777777" w:rsidR="0051509A" w:rsidRPr="00F008FE" w:rsidRDefault="0051509A" w:rsidP="00F008FE">
      <w:pPr>
        <w:rPr>
          <w:rFonts w:cs="Arial"/>
          <w:b/>
          <w:bCs/>
        </w:rPr>
      </w:pPr>
    </w:p>
    <w:p w14:paraId="44008222" w14:textId="1DDFE8EC" w:rsidR="00F255D2" w:rsidRPr="006A6410" w:rsidRDefault="006A6410" w:rsidP="00F255D2">
      <w:pPr>
        <w:rPr>
          <w:rFonts w:cs="Arial"/>
          <w:b/>
          <w:bCs/>
        </w:rPr>
      </w:pPr>
      <w:bookmarkStart w:id="92" w:name="_Hlk109647068"/>
      <w:r w:rsidRPr="00E30972">
        <w:rPr>
          <w:rFonts w:cs="Arial"/>
          <w:b/>
          <w:bCs/>
        </w:rPr>
        <w:t xml:space="preserve">Describe any additional data (e.g. progress monitoring) that was collected that supports the decision to continue the ongoing use of each evidence-based practice. </w:t>
      </w:r>
    </w:p>
    <w:bookmarkEnd w:id="92"/>
    <w:p w14:paraId="007AE64F" w14:textId="127A4D0F" w:rsidR="00107600" w:rsidRPr="005137B6" w:rsidRDefault="00107600" w:rsidP="00107600">
      <w:pPr>
        <w:rPr>
          <w:b/>
          <w:bCs/>
        </w:rPr>
      </w:pPr>
      <w:r w:rsidRPr="00ED172B">
        <w:rPr>
          <w:color w:val="000000" w:themeColor="text1"/>
        </w:rPr>
        <w:t/>
      </w:r>
    </w:p>
    <w:p w14:paraId="72F94657" w14:textId="77777777" w:rsidR="00107600" w:rsidRDefault="00107600" w:rsidP="00F255D2">
      <w:pPr>
        <w:rPr>
          <w:rFonts w:cs="Arial"/>
          <w:b/>
          <w:bCs/>
        </w:rPr>
      </w:pPr>
    </w:p>
    <w:p w14:paraId="52E9D5CB" w14:textId="51235CAD" w:rsidR="006A6410" w:rsidRDefault="006A6410" w:rsidP="00064BA4">
      <w:pPr>
        <w:rPr>
          <w:rFonts w:cs="Arial"/>
          <w:b/>
          <w:bCs/>
        </w:rPr>
      </w:pPr>
      <w:bookmarkStart w:id="93" w:name="_Hlk109647074"/>
      <w:r w:rsidRPr="006A6410">
        <w:rPr>
          <w:rFonts w:cs="Arial"/>
          <w:b/>
          <w:bCs/>
        </w:rPr>
        <w:t xml:space="preserve">Provide a summary of the next steps for each evidence-based practices and the anticipated outcomes to be attained during the next reporting period. </w:t>
      </w:r>
    </w:p>
    <w:bookmarkEnd w:id="93"/>
    <w:p w14:paraId="5FC33224" w14:textId="66099ED0" w:rsidR="00026ADD" w:rsidRPr="005137B6" w:rsidRDefault="00026ADD" w:rsidP="00026ADD">
      <w:pPr>
        <w:rPr>
          <w:b/>
          <w:bCs/>
        </w:rPr>
      </w:pPr>
      <w:r w:rsidRPr="00ED172B">
        <w:rPr>
          <w:color w:val="000000" w:themeColor="text1"/>
        </w:rPr>
        <w:t xml:space="preserve">During FFY22, the Lead Agency (MA-C) will provide training and technical assistance to MA-C staff to improve their knowledge, skills, and abilities with respect to the science of quality improvement and designing and implementing Plan-Do-Study-Act (PDSA) cycles. </w:t>
        <w:br/>
        <w:t/>
        <w:br/>
        <w:t xml:space="preserve">MA-C will continue evaluate the effects of the PIWI training by soliciting feedback about their practices from attendees (i.e., new EIS providers) and by surveying families receiving early intervention services to learn more about the effects of its PIWI Institute. </w:t>
      </w:r>
    </w:p>
    <w:p w14:paraId="20BF17A9" w14:textId="77777777" w:rsidR="00026ADD" w:rsidRDefault="00026ADD" w:rsidP="00064BA4">
      <w:pPr>
        <w:rPr>
          <w:rFonts w:cs="Arial"/>
          <w:b/>
          <w:bCs/>
        </w:rPr>
      </w:pPr>
      <w:bookmarkStart w:id="94" w:name="_Hlk109647080"/>
    </w:p>
    <w:bookmarkEnd w:id="94"/>
    <w:p w14:paraId="0218F587" w14:textId="77777777" w:rsidR="00253D4F" w:rsidRPr="006A3544" w:rsidRDefault="00253D4F" w:rsidP="00253D4F">
      <w:pPr>
        <w:rPr>
          <w:b/>
          <w:bCs/>
          <w:szCs w:val="16"/>
        </w:rPr>
      </w:pPr>
      <w:r w:rsidRPr="006A3544">
        <w:rPr>
          <w:b/>
          <w:bCs/>
          <w:szCs w:val="16"/>
        </w:rPr>
        <w:t xml:space="preserve">Does the State intend to continue implementing the SSIP without modifications? </w:t>
      </w:r>
      <w:r w:rsidRPr="006A3544">
        <w:rPr>
          <w:rFonts w:cs="Arial"/>
          <w:b/>
          <w:bCs/>
        </w:rPr>
        <w:t>(yes/no)</w:t>
      </w:r>
    </w:p>
    <w:p w14:paraId="01CB62A6" w14:textId="77248C90" w:rsidR="00540BB9" w:rsidRDefault="00540BB9" w:rsidP="00253D4F">
      <w:r w:rsidRPr="00781112">
        <w:t>NO</w:t>
      </w:r>
    </w:p>
    <w:p w14:paraId="3446D120" w14:textId="16C795D2" w:rsidR="00253D4F" w:rsidRPr="006A3544" w:rsidRDefault="00253D4F" w:rsidP="00253D4F">
      <w:pPr>
        <w:rPr>
          <w:b/>
          <w:bCs/>
          <w:szCs w:val="16"/>
        </w:rPr>
      </w:pPr>
      <w:r w:rsidRPr="006A3544">
        <w:rPr>
          <w:b/>
          <w:bCs/>
          <w:szCs w:val="16"/>
        </w:rPr>
        <w:t xml:space="preserve">If no, describe any changes to the activities, strategies or timelines described in the previous submission and include a rationale or justification for the changes. </w:t>
      </w:r>
    </w:p>
    <w:p w14:paraId="6F250BE3" w14:textId="37BCA0C5" w:rsidR="00540BB9" w:rsidRDefault="00540BB9" w:rsidP="00540BB9">
      <w:r w:rsidRPr="00781112">
        <w:t xml:space="preserve">MA-C makes data-based decisions at every level of the organization. As more PDSA cycles are developed, implemented, and evaluated, changes to the infrastructure will be made to promote desired outcomes. </w:t>
      </w:r>
    </w:p>
    <w:p w14:paraId="38B47A1D" w14:textId="7EBD8053" w:rsidR="00436802" w:rsidRDefault="00436802" w:rsidP="00F255D2">
      <w:pPr>
        <w:rPr>
          <w:color w:val="000000" w:themeColor="text1"/>
        </w:rPr>
      </w:pPr>
    </w:p>
    <w:p w14:paraId="46F0EF88" w14:textId="77777777" w:rsidR="00436802" w:rsidRPr="00B50A83" w:rsidRDefault="00436802" w:rsidP="00F255D2">
      <w:pPr>
        <w:rPr>
          <w:b/>
          <w:bCs/>
        </w:rPr>
      </w:pPr>
    </w:p>
    <w:p w14:paraId="1C8F2A53" w14:textId="77777777" w:rsidR="00436802" w:rsidRDefault="000F3CCC" w:rsidP="000F3CCC">
      <w:pPr>
        <w:rPr>
          <w:rFonts w:cs="Arial"/>
          <w:b/>
          <w:bCs/>
        </w:rPr>
      </w:pPr>
      <w:r w:rsidRPr="000F3CCC">
        <w:rPr>
          <w:rFonts w:cs="Arial"/>
          <w:b/>
          <w:bCs/>
        </w:rPr>
        <w:t>Section C: Stakeholder Engagement</w:t>
      </w:r>
    </w:p>
    <w:p w14:paraId="3B57804E" w14:textId="4354CD0C" w:rsidR="00436802" w:rsidRDefault="00436802" w:rsidP="00436802">
      <w:pPr>
        <w:pStyle w:val="Bold"/>
        <w:rPr>
          <w:color w:val="000000" w:themeColor="text1"/>
        </w:rPr>
      </w:pPr>
      <w:r w:rsidRPr="00A10714">
        <w:rPr>
          <w:color w:val="000000" w:themeColor="text1"/>
        </w:rPr>
        <w:t>Description of Stakeholder Input</w:t>
      </w:r>
    </w:p>
    <w:p w14:paraId="4585765C" w14:textId="77777777" w:rsidR="00436802" w:rsidRDefault="00436802" w:rsidP="00436802">
      <w:pPr>
        <w:rPr>
          <w:color w:val="000000" w:themeColor="text1"/>
        </w:rPr>
      </w:pPr>
      <w:r w:rsidRPr="00ED172B">
        <w:rPr>
          <w:color w:val="000000" w:themeColor="text1"/>
        </w:rPr>
        <w:t>MA-C collaborates closely with other State agencies on a variety of issues related to the early childhood system of care and the Part C system, including the Department of Elementary and Secondary Education (DESE), Purchase of Services Office (POS), the Office of Health Equity (OHE), the Division of Medical Assistance (MassHealth), the Department of Early Education and Care (EEC), the Office for the Child Advocate (OCA), the Division of Insurance (DOI), the Massachusetts Maternal, Infant, and Early Childhood Home Visiting team (MassMIECHV), the Early Intervention Parenting Partnerships (EIPP), the Massachusetts Autism Commission (MAC), Massachusetts Child Psychiatry Access Project (MCPAP), and the and the Department of Mental Health (DMH). Most of these agencies are represented on the State Interagency Coordinating Council (ICC).</w:t>
        <w:br/>
        <w:t/>
        <w:br/>
        <w:t>This Annual Performance Report (APR) was developed with broad stakeholder input. At a State Interagency Coordinating Council (ICC) meeting in January 2023, the members reviewed results from FFY21 (7/1/21-6/30/22) for each indicator. Drafts were also shared with staff from the Early Childhood Technical Assistance Center (ECTA), who reviewed and provided initial feedback and guidance. On January 24, 2023, the ICC co-chairs adopted the APR as in lieu of submitting its own report, fulfilling the State Interagency Coordinating Council's obligations to report to the U.S. Department of Education for FFY21.</w:t>
      </w:r>
    </w:p>
    <w:p w14:paraId="10DD8D81" w14:textId="77777777" w:rsidR="00436802" w:rsidRPr="00ED172B" w:rsidRDefault="00436802" w:rsidP="00436802">
      <w:pPr>
        <w:pStyle w:val="Bold"/>
        <w:rPr>
          <w:b w:val="0"/>
          <w:color w:val="000000" w:themeColor="text1"/>
        </w:rPr>
      </w:pPr>
      <w:r w:rsidRPr="00ED172B">
        <w:rPr>
          <w:rFonts w:cs="Arial"/>
          <w:b w:val="0"/>
          <w:color w:val="000000" w:themeColor="text1"/>
          <w:szCs w:val="16"/>
        </w:rPr>
        <w:t/>
      </w:r>
    </w:p>
    <w:p w14:paraId="4CBCC65C" w14:textId="6D7AD6CB" w:rsidR="000F3CCC" w:rsidRPr="000F3CCC" w:rsidRDefault="000F3CCC" w:rsidP="000F3CCC">
      <w:pPr>
        <w:rPr>
          <w:rFonts w:cs="Arial"/>
          <w:b/>
          <w:bCs/>
        </w:rPr>
      </w:pPr>
      <w:r w:rsidRPr="000F3CCC">
        <w:rPr>
          <w:rFonts w:cs="Arial"/>
          <w:b/>
          <w:bCs/>
        </w:rPr>
        <w:t xml:space="preserve"> </w:t>
      </w:r>
    </w:p>
    <w:p w14:paraId="0112849A" w14:textId="77777777" w:rsidR="000F3CCC" w:rsidRPr="000F3CCC" w:rsidRDefault="000F3CCC" w:rsidP="000F3CCC">
      <w:pPr>
        <w:rPr>
          <w:rFonts w:cs="Arial"/>
          <w:b/>
          <w:bCs/>
        </w:rPr>
      </w:pPr>
      <w:bookmarkStart w:id="95" w:name="_Hlk109647088"/>
      <w:r w:rsidRPr="000F3CCC">
        <w:rPr>
          <w:rFonts w:cs="Arial"/>
          <w:b/>
          <w:bCs/>
        </w:rPr>
        <w:t xml:space="preserve">Describe the specific strategies implemented to engage stakeholders in key improvement efforts. </w:t>
      </w:r>
    </w:p>
    <w:bookmarkEnd w:id="95"/>
    <w:p w14:paraId="7A97D15A" w14:textId="346F07A8" w:rsidR="00D96943" w:rsidRPr="00B50A83" w:rsidRDefault="00D96943" w:rsidP="00D96943">
      <w:pPr>
        <w:rPr>
          <w:b/>
          <w:bCs/>
        </w:rPr>
      </w:pPr>
      <w:r w:rsidRPr="00ED172B">
        <w:rPr>
          <w:color w:val="000000" w:themeColor="text1"/>
        </w:rPr>
        <w:t xml:space="preserve">During FFY21, the Lead Agency (MA-C) focused on engaging stakeholders around Output 30. MA-C retained the services of a project management consulting group to engage key representatives specifically around the development of its state database, the Early Intervention Client System (EICS). During April, May, and June 2022, meetings were held with individual EIS programs, developers of third-party billing and electronic health records used by the EIS programs, and EICS users with similar roles (e.g., claims billers). Additionally, general information and updates about development and enhancements related to EICS during its bi-monthly webinars offered to EIS program directors. </w:t>
      </w:r>
    </w:p>
    <w:p w14:paraId="4F13D059" w14:textId="77777777" w:rsidR="00476A20" w:rsidRDefault="00476A20" w:rsidP="00DA6A6C">
      <w:pPr>
        <w:rPr>
          <w:rFonts w:cs="Arial"/>
          <w:b/>
          <w:bCs/>
        </w:rPr>
      </w:pPr>
    </w:p>
    <w:p w14:paraId="7F1D30A2" w14:textId="49E86B13" w:rsidR="00476A20" w:rsidRDefault="00DA6A6C" w:rsidP="00DA6A6C">
      <w:pPr>
        <w:rPr>
          <w:rFonts w:cs="Arial"/>
          <w:b/>
          <w:bCs/>
        </w:rPr>
      </w:pPr>
      <w:bookmarkStart w:id="96" w:name="_Hlk109647094"/>
      <w:r w:rsidRPr="00DA6A6C">
        <w:rPr>
          <w:rFonts w:cs="Arial"/>
          <w:b/>
          <w:bCs/>
        </w:rPr>
        <w:t>Were there any concerns expressed by stakeholders during engagement activities?</w:t>
      </w:r>
      <w:r w:rsidR="00CD071F">
        <w:rPr>
          <w:b/>
          <w:bCs/>
        </w:rPr>
        <w:t xml:space="preserve"> </w:t>
      </w:r>
      <w:r w:rsidR="00CD071F" w:rsidRPr="00CD071F">
        <w:rPr>
          <w:b/>
          <w:bCs/>
        </w:rPr>
        <w:t>(yes/no)</w:t>
      </w:r>
    </w:p>
    <w:bookmarkEnd w:id="96"/>
    <w:p w14:paraId="6ABDC33E" w14:textId="3149C6FF" w:rsidR="00DA6A6C" w:rsidRPr="000420BE" w:rsidRDefault="000420BE" w:rsidP="00DA6A6C">
      <w:pPr>
        <w:rPr>
          <w:b/>
          <w:bCs/>
        </w:rPr>
      </w:pPr>
      <w:r w:rsidRPr="00ED172B">
        <w:rPr>
          <w:color w:val="000000" w:themeColor="text1"/>
        </w:rPr>
        <w:t>YES</w:t>
      </w:r>
    </w:p>
    <w:p w14:paraId="3189F8DE" w14:textId="274B0BF2" w:rsidR="003D4AAD" w:rsidRPr="003D4AAD" w:rsidRDefault="00436802" w:rsidP="003D4AAD">
      <w:pPr>
        <w:rPr>
          <w:rFonts w:cs="Arial"/>
          <w:b/>
          <w:bCs/>
        </w:rPr>
      </w:pPr>
      <w:bookmarkStart w:id="97" w:name="_Hlk109647102"/>
      <w:r>
        <w:rPr>
          <w:rFonts w:cs="Arial"/>
          <w:b/>
          <w:bCs/>
        </w:rPr>
        <w:t xml:space="preserve">Describe how the State addressed the concerns expressed by stakeholders. </w:t>
      </w:r>
    </w:p>
    <w:bookmarkEnd w:id="97"/>
    <w:p w14:paraId="18AA4CF0" w14:textId="426ABC15" w:rsidR="0072398B" w:rsidRDefault="004A571B" w:rsidP="006237B0">
      <w:pPr>
        <w:rPr>
          <w:color w:val="000000" w:themeColor="text1"/>
        </w:rPr>
      </w:pPr>
      <w:r w:rsidRPr="00ED172B">
        <w:rPr>
          <w:color w:val="000000" w:themeColor="text1"/>
        </w:rPr>
        <w:t>Stakeholders cited cost and lack of knowledge as barriers to providing the Lead Agency (MA-C) with required data in the required format. In direct response, MA-C increased its contract with a vendor responsible for the development of the state database (the Early Intervention Client System; EICS) to provide several hours of targeted technical assistance to EIS programs struggling to provide the required data in the required format, free of charge to contracted EIS and specialty services (e.g., Early Intensive Behavioral Intervention) programs.</w:t>
      </w:r>
    </w:p>
    <w:p w14:paraId="00BB8B73" w14:textId="77777777" w:rsidR="004A571B" w:rsidRPr="006237B0" w:rsidRDefault="004A571B" w:rsidP="006237B0">
      <w:pPr>
        <w:rPr>
          <w:rFonts w:cs="Arial"/>
          <w:b/>
          <w:bCs/>
        </w:rPr>
      </w:pPr>
    </w:p>
    <w:p w14:paraId="47232689" w14:textId="77777777" w:rsidR="004E393A" w:rsidRDefault="004E393A" w:rsidP="004E393A">
      <w:pPr>
        <w:rPr>
          <w:rFonts w:cstheme="minorHAnsi"/>
          <w:b/>
          <w:bCs/>
        </w:rPr>
      </w:pPr>
      <w:r w:rsidRPr="00DF62C9">
        <w:rPr>
          <w:rFonts w:cstheme="minorHAnsi"/>
          <w:b/>
          <w:bCs/>
        </w:rPr>
        <w:t>Additional Implementation Activities</w:t>
      </w:r>
    </w:p>
    <w:p w14:paraId="2A8A27BE" w14:textId="56086B53" w:rsidR="004E393A" w:rsidRDefault="004E393A" w:rsidP="004E393A">
      <w:pPr>
        <w:rPr>
          <w:b/>
          <w:bCs/>
        </w:rPr>
      </w:pPr>
      <w:bookmarkStart w:id="98" w:name="_Hlk109647117"/>
      <w:r w:rsidRPr="00F85A5B">
        <w:rPr>
          <w:b/>
          <w:bCs/>
        </w:rPr>
        <w:t>List any activities not already described that the State intends to implement in the next fiscal year that are related to the SiMR.</w:t>
      </w:r>
    </w:p>
    <w:bookmarkEnd w:id="98"/>
    <w:p w14:paraId="54FDC4CC" w14:textId="4E342817" w:rsidR="00917FC3" w:rsidRPr="00F85A5B" w:rsidRDefault="00917FC3" w:rsidP="004E393A">
      <w:pPr>
        <w:rPr>
          <w:color w:val="000000" w:themeColor="text1"/>
        </w:rPr>
      </w:pPr>
      <w:r w:rsidRPr="00ED172B">
        <w:rPr>
          <w:color w:val="000000" w:themeColor="text1"/>
        </w:rPr>
        <w:t/>
      </w:r>
    </w:p>
    <w:p w14:paraId="7E4D8D02" w14:textId="77777777" w:rsidR="00297898" w:rsidRPr="00297898" w:rsidRDefault="00297898" w:rsidP="00297898">
      <w:pPr>
        <w:rPr>
          <w:rFonts w:cs="Arial"/>
          <w:b/>
          <w:bCs/>
        </w:rPr>
      </w:pPr>
      <w:bookmarkStart w:id="99" w:name="_Hlk109647119"/>
      <w:r w:rsidRPr="00297898">
        <w:rPr>
          <w:rFonts w:cs="Arial"/>
          <w:b/>
          <w:bCs/>
        </w:rPr>
        <w:t xml:space="preserve">Provide a timeline, anticipated data collection and measures, and expected outcomes for these activities that are related to the SiMR. </w:t>
      </w:r>
    </w:p>
    <w:bookmarkEnd w:id="99"/>
    <w:p w14:paraId="08124F49" w14:textId="4CDFC9D0" w:rsidR="006237B0" w:rsidRDefault="007B151D" w:rsidP="00067F9F">
      <w:pPr>
        <w:spacing w:before="0" w:after="0"/>
        <w:rPr>
          <w:color w:val="000000" w:themeColor="text1"/>
        </w:rPr>
      </w:pPr>
      <w:r w:rsidRPr="00ED172B">
        <w:rPr>
          <w:color w:val="000000" w:themeColor="text1"/>
        </w:rPr>
        <w:t/>
      </w:r>
    </w:p>
    <w:p w14:paraId="26E4FB73" w14:textId="77777777" w:rsidR="007B151D" w:rsidRPr="00F85A5B" w:rsidRDefault="007B151D" w:rsidP="003B71AB">
      <w:pPr>
        <w:rPr>
          <w:color w:val="000000" w:themeColor="text1"/>
        </w:rPr>
      </w:pPr>
    </w:p>
    <w:p w14:paraId="6983483D" w14:textId="3FFCDF3A" w:rsidR="009E0726" w:rsidRDefault="009E0726" w:rsidP="009E0726">
      <w:pPr>
        <w:rPr>
          <w:rFonts w:cs="Arial"/>
          <w:b/>
          <w:bCs/>
        </w:rPr>
      </w:pPr>
      <w:bookmarkStart w:id="100" w:name="_Hlk109647121"/>
      <w:r w:rsidRPr="009E0726">
        <w:rPr>
          <w:rFonts w:cs="Arial"/>
          <w:b/>
          <w:bCs/>
        </w:rPr>
        <w:t>Describe any newly identified barriers and include steps to address these barriers.</w:t>
      </w:r>
    </w:p>
    <w:bookmarkEnd w:id="100"/>
    <w:p w14:paraId="6E8B2008" w14:textId="0F892B41" w:rsidR="00F40121" w:rsidRDefault="00F40121" w:rsidP="00F40121">
      <w:pPr>
        <w:rPr>
          <w:color w:val="000000" w:themeColor="text1"/>
        </w:rPr>
      </w:pPr>
      <w:r w:rsidRPr="00ED172B">
        <w:rPr>
          <w:color w:val="000000" w:themeColor="text1"/>
        </w:rPr>
        <w:t/>
      </w:r>
    </w:p>
    <w:p w14:paraId="630C787A" w14:textId="77777777" w:rsidR="009B26D1" w:rsidRPr="009E0726" w:rsidRDefault="009B26D1" w:rsidP="009E0726">
      <w:pPr>
        <w:rPr>
          <w:rFonts w:cs="Arial"/>
          <w:b/>
          <w:bCs/>
        </w:rPr>
      </w:pPr>
    </w:p>
    <w:p w14:paraId="2E2328D4" w14:textId="46BA2384" w:rsidR="00261010" w:rsidRPr="00261010" w:rsidRDefault="00261010" w:rsidP="00261010">
      <w:pPr>
        <w:rPr>
          <w:rFonts w:cs="Arial"/>
          <w:b/>
          <w:bCs/>
        </w:rPr>
      </w:pPr>
      <w:bookmarkStart w:id="101" w:name="_Hlk109647123"/>
      <w:r w:rsidRPr="00261010">
        <w:rPr>
          <w:rFonts w:cs="Arial"/>
          <w:b/>
          <w:bCs/>
        </w:rPr>
        <w:t>Provide additional information about this indicator (optional).</w:t>
      </w:r>
    </w:p>
    <w:bookmarkEnd w:id="101"/>
    <w:p w14:paraId="58D41C9E" w14:textId="2B949EC4" w:rsidR="00F40121" w:rsidRDefault="00F40121" w:rsidP="00F40121">
      <w:pPr>
        <w:rPr>
          <w:color w:val="000000" w:themeColor="text1"/>
        </w:rPr>
      </w:pPr>
      <w:r w:rsidRPr="00ED172B">
        <w:rPr>
          <w:color w:val="000000" w:themeColor="text1"/>
        </w:rPr>
        <w:t>The Lead Agency (MA-C) has completed additional activities related to the implementation of strategies and activities to ensure evidence-based practices designed to increase the SiMR were implemented with fidelity. As part of the training and technical assistance outputs described above, MA-C has completed the following activities:</w:t>
        <w:br/>
        <w:t/>
        <w:br/>
        <w:t xml:space="preserve">-Three Communities of Practice for supervisors to ensure that Supervisors could support EI Specialists with Evidence-Based Practice such as, How Children Learn, High-quality IFSP Outcomes, Family-centered practice, Parenting Interacting with Infants, Family Engagement. This includes a supervisor self-assessment checklist designed to evaluate the levels of evidence-based practice used by supervisors. </w:t>
        <w:br/>
        <w:t/>
        <w:br/>
        <w:t>-Two Parent Interacting with Infants Institutes: The PIWI Institute training provides an overview of the Parents Interacting with Infants (PIWI) model, the “why” behind PIWI, strategies for successful implementation, and opportunities to problem-solve challenging situations. Over the course of the training, participants learned how to recognize dyadic characteristics observed between the parent and the child, build confidence by using triadic strategies to support parent-child interactions and differentiate how each discipline in EI can support and promote the PIWI philosophy using their individual expertise. Participants gained an understanding of how functional assessment supports the PIWI philosophy. Participants are observed interacting with a family enrolled in early intervention services as part of this intensive training and receive feedback about the extent to which they are implementing evidence-based strategies in their practice.</w:t>
        <w:br/>
        <w:t/>
        <w:br/>
        <w:t>-Two Reflective Supervision Institutes- The Institute focused on using reflection and the parallel process to promote the EI Specialist's relationship with parents and caregivers to support the parent/caregiver's relationship with the child. Reflection also enhanced the Specialist's use of the PIWI philosophy during home visits. Participants are observed interacting with a family enrolled in early intervention services as part of this intensive training and receive feedback about the extent to which they are implementing evidence-based strategies in their practice.</w:t>
        <w:br/>
        <w:t/>
        <w:br/>
        <w:t xml:space="preserve">- Training on implicit bias: MA-C offered a series of trainings designed to explore what implicit bias is and how such biases can impact the implementation of evidence-based practices designed to improve the SiMR. Each EIS program could send four staff, at least two of whom were supervisors, and staff who completed the training were expected to use pyramidal training to disseminate the knowledge within their local EIS program. </w:t>
        <w:br/>
        <w:t/>
        <w:br/>
        <w:t>-Training on Interrogating Whiteness in the Early Intervention System: MA-C offered a series of trainings for Supervisors and EI Specialists with affinity groups to explore how the implementation of evidence-based practices designed to improve the SiMR can be impacted by the characteristics of white supremacist culture and how to change practices to better center families.</w:t>
        <w:br/>
        <w:t/>
        <w:br/>
        <w:t>-Trainings on Compassionate Care for Specialty service: MA-C provided training on evidence-based strategies to increase compassionate care and provided a tool for self-assessment and practice implementation ( e.g., Taylor, LeBlanc, &amp; Nosik, 2019).</w:t>
        <w:br/>
        <w:t/>
        <w:br/>
        <w:t>-Child Development Institute: As described above, MA-C hosted the Child Development Institute (CDI) which consisted of six 2.5-hr sessions and one 1-hr reflection session. The purpose of the CDI was to educate EIS providers about child development, with special attention given to cultural perspectives. This knowledge will increase the SiMR because participants learned to use child development information to inform their ongoing practices related to the IFSP process, documentation, and communication with families. The CDI included opportunities for small and large group discussions. Modalities for sharing information included lectures, discussion, video, and reflection. Participants will have time to connect what they have learned to their current practice and plan for incorporation of the material in future processes at their individual programs.</w:t>
      </w:r>
    </w:p>
    <w:p w14:paraId="304699EC" w14:textId="77777777" w:rsidR="005838E8" w:rsidRDefault="005838E8" w:rsidP="00741E58">
      <w:pPr>
        <w:rPr>
          <w:b/>
          <w:bCs/>
        </w:rPr>
      </w:pPr>
    </w:p>
    <w:p w14:paraId="2B6FC0CA" w14:textId="77777777" w:rsidR="005838E8" w:rsidRPr="00F85A5B" w:rsidRDefault="005838E8" w:rsidP="00F85A5B">
      <w:pPr>
        <w:rPr>
          <w:b/>
          <w:bCs/>
        </w:rPr>
      </w:pPr>
    </w:p>
    <w:p w14:paraId="7B664953" w14:textId="677D6DE8" w:rsidR="00F5460E" w:rsidRPr="00A40EE1" w:rsidRDefault="00F5460E" w:rsidP="00F5460E">
      <w:pPr>
        <w:pStyle w:val="Heading2"/>
      </w:pPr>
      <w:r w:rsidRPr="00A40EE1">
        <w:t>1</w:t>
      </w:r>
      <w:r>
        <w:t>1</w:t>
      </w:r>
      <w:r w:rsidRPr="00A40EE1">
        <w:t xml:space="preserve"> - </w:t>
      </w:r>
      <w:r w:rsidRPr="00A10714">
        <w:t>Prior FFY Required Actions</w:t>
      </w:r>
    </w:p>
    <w:p w14:paraId="1E17F2E2" w14:textId="3EADC4EE" w:rsidR="00F5460E" w:rsidRPr="00ED172B" w:rsidRDefault="00F5460E" w:rsidP="00F5460E">
      <w:pPr>
        <w:rPr>
          <w:color w:val="000000" w:themeColor="text1"/>
        </w:rPr>
      </w:pPr>
      <w:r w:rsidRPr="00ED172B">
        <w:rPr>
          <w:color w:val="000000" w:themeColor="text1"/>
        </w:rPr>
        <w:t>OSEP notes that one or more of the Indicator 11 attachment(s) included in the State’s FFY 2020 SPP/APR submission are not in compliance with Section 508 of the Rehabilitation Act of 1973, as amended (Section 508), and will not be posted on the U.S. Department of Education’s IDEA website. Therefore, the State must make the attachment(s) available to the public as soon as practicable, but no later than 120 days after the date of the determination letter.</w:t>
      </w:r>
    </w:p>
    <w:p w14:paraId="459F79AC" w14:textId="580116A5" w:rsidR="00F5460E" w:rsidRPr="00ED172B" w:rsidRDefault="00F5460E" w:rsidP="00F5460E">
      <w:pPr>
        <w:rPr>
          <w:color w:val="000000" w:themeColor="text1"/>
        </w:rPr>
      </w:pPr>
      <w:r w:rsidRPr="00ED172B">
        <w:rPr>
          <w:b/>
          <w:color w:val="000000" w:themeColor="text1"/>
        </w:rPr>
        <w:lastRenderedPageBreak/>
        <w:t>Response to actions required in FFY 2020 SPP/APR</w:t>
      </w:r>
      <w:r w:rsidRPr="00ED172B">
        <w:rPr>
          <w:color w:val="000000" w:themeColor="text1"/>
        </w:rPr>
        <w:t xml:space="preserve"> </w:t>
      </w:r>
    </w:p>
    <w:p w14:paraId="120B9B78" w14:textId="6874B425" w:rsidR="00F5460E" w:rsidRPr="00ED172B" w:rsidRDefault="00F5460E" w:rsidP="00F5460E">
      <w:pPr>
        <w:rPr>
          <w:color w:val="000000" w:themeColor="text1"/>
        </w:rPr>
      </w:pPr>
      <w:r w:rsidRPr="00ED172B">
        <w:rPr>
          <w:color w:val="000000" w:themeColor="text1"/>
        </w:rPr>
        <w:t xml:space="preserve">The Lead Agency (MA-C) posted all attachments included in its FFY20 APR on its website within 120 days after the date of the determination letter. </w:t>
      </w:r>
    </w:p>
    <w:p w14:paraId="68A5FD13" w14:textId="2BE41878" w:rsidR="00F5460E" w:rsidRPr="00A40EE1" w:rsidRDefault="00F5460E" w:rsidP="00F5460E">
      <w:pPr>
        <w:pStyle w:val="Heading2"/>
      </w:pPr>
      <w:r w:rsidRPr="00A40EE1">
        <w:t>1</w:t>
      </w:r>
      <w:r w:rsidR="001C46CD">
        <w:t>1</w:t>
      </w:r>
      <w:r w:rsidRPr="00A40EE1">
        <w:t xml:space="preserve"> - OSEP Response</w:t>
      </w:r>
    </w:p>
    <w:p w14:paraId="42EAAED9" w14:textId="7B889C41" w:rsidR="00F5460E" w:rsidRPr="00ED172B" w:rsidRDefault="00F5460E" w:rsidP="00F5460E">
      <w:pPr>
        <w:rPr>
          <w:color w:val="000000" w:themeColor="text1"/>
        </w:rPr>
      </w:pPr>
      <w:r w:rsidRPr="00ED172B">
        <w:rPr>
          <w:color w:val="000000" w:themeColor="text1"/>
        </w:rPr>
        <w:t>
</w:t>
      </w:r>
    </w:p>
    <w:p w14:paraId="404298B8" w14:textId="4D0869A2" w:rsidR="00F5460E" w:rsidRPr="00A40EE1" w:rsidRDefault="00F5460E" w:rsidP="00F5460E">
      <w:pPr>
        <w:pStyle w:val="Heading2"/>
      </w:pPr>
      <w:r w:rsidRPr="00A40EE1">
        <w:t>1</w:t>
      </w:r>
      <w:r w:rsidR="001C46CD">
        <w:t>1</w:t>
      </w:r>
      <w:r w:rsidRPr="00A40EE1">
        <w:t xml:space="preserve"> - Required Actions</w:t>
      </w:r>
    </w:p>
    <w:p w14:paraId="55E9952C" w14:textId="0C53720F" w:rsidR="00F5460E" w:rsidRPr="00ED172B" w:rsidRDefault="00F5460E" w:rsidP="00F5460E">
      <w:pPr>
        <w:rPr>
          <w:color w:val="000000" w:themeColor="text1"/>
        </w:rPr>
      </w:pPr>
      <w:r w:rsidRPr="00ED172B">
        <w:rPr>
          <w:color w:val="000000" w:themeColor="text1"/>
        </w:rPr>
        <w:t/>
      </w:r>
    </w:p>
    <w:p w14:paraId="37B492A8" w14:textId="5F272293" w:rsidR="00621DEC" w:rsidRDefault="00621DEC" w:rsidP="00F85A5B">
      <w:pPr>
        <w:pStyle w:val="Heading2"/>
        <w:rPr>
          <w:color w:val="000000" w:themeColor="text1"/>
          <w:sz w:val="22"/>
          <w:szCs w:val="28"/>
        </w:rPr>
      </w:pPr>
      <w:r>
        <w:rPr>
          <w:color w:val="000000" w:themeColor="text1"/>
        </w:rPr>
        <w:br w:type="page"/>
      </w:r>
    </w:p>
    <w:p w14:paraId="76BEC9D6" w14:textId="69F0031E" w:rsidR="00D77E41" w:rsidRPr="00ED172B" w:rsidRDefault="00D77E41" w:rsidP="00D77E41">
      <w:pPr>
        <w:pStyle w:val="Heading1"/>
        <w:rPr>
          <w:color w:val="000000" w:themeColor="text1"/>
        </w:rPr>
      </w:pPr>
      <w:r w:rsidRPr="00ED172B">
        <w:rPr>
          <w:color w:val="000000" w:themeColor="text1"/>
        </w:rPr>
        <w:lastRenderedPageBreak/>
        <w:t>Certification</w:t>
      </w:r>
    </w:p>
    <w:p w14:paraId="10520843" w14:textId="77777777" w:rsidR="00D77E41" w:rsidRPr="00ED172B" w:rsidRDefault="00D77E41" w:rsidP="00186420">
      <w:pPr>
        <w:rPr>
          <w:color w:val="000000" w:themeColor="text1"/>
        </w:rPr>
      </w:pPr>
      <w:r w:rsidRPr="00ED172B">
        <w:rPr>
          <w:b/>
          <w:color w:val="000000" w:themeColor="text1"/>
          <w:sz w:val="20"/>
          <w:szCs w:val="20"/>
        </w:rPr>
        <w:t>Instructions</w:t>
      </w:r>
    </w:p>
    <w:p w14:paraId="3613AD02" w14:textId="11E354F6" w:rsidR="00D77E41" w:rsidRPr="00ED172B" w:rsidRDefault="008E67B7" w:rsidP="00D77E41">
      <w:pPr>
        <w:autoSpaceDE w:val="0"/>
        <w:autoSpaceDN w:val="0"/>
        <w:adjustRightInd w:val="0"/>
        <w:rPr>
          <w:rFonts w:cs="Arial"/>
          <w:b/>
          <w:bCs/>
          <w:color w:val="000000" w:themeColor="text1"/>
          <w:szCs w:val="16"/>
        </w:rPr>
      </w:pPr>
      <w:r w:rsidRPr="00ED172B">
        <w:rPr>
          <w:rFonts w:cs="Arial"/>
          <w:b/>
          <w:bCs/>
          <w:color w:val="000000" w:themeColor="text1"/>
          <w:szCs w:val="16"/>
        </w:rPr>
        <w:t>Choose the appropriate selection and complete all the certification information fields. Then click the "Submit" button to submit your APR.</w:t>
      </w:r>
    </w:p>
    <w:p w14:paraId="2BE1082F" w14:textId="77777777" w:rsidR="00D77E41" w:rsidRPr="00ED172B" w:rsidRDefault="00D77E41" w:rsidP="00D77E41">
      <w:pPr>
        <w:rPr>
          <w:b/>
          <w:color w:val="000000" w:themeColor="text1"/>
        </w:rPr>
      </w:pPr>
      <w:r w:rsidRPr="00ED172B">
        <w:rPr>
          <w:b/>
          <w:color w:val="000000" w:themeColor="text1"/>
        </w:rPr>
        <w:t>Certify</w:t>
      </w:r>
    </w:p>
    <w:p w14:paraId="26D9ED56" w14:textId="77777777" w:rsidR="00D77E41"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I certify that I am the Director of the State's Lead Agency under Part C of the IDEA, or his or her designee, and that the State's submission of its IDEA Part C State Performance Plan/Annual Performance Report is accurate.</w:t>
      </w:r>
    </w:p>
    <w:p w14:paraId="09D4042A" w14:textId="77777777" w:rsidR="00404159"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Select the certifier’s role </w:t>
      </w:r>
    </w:p>
    <w:p w14:paraId="71FBD425" w14:textId="593F2D58"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Designated Lead Agency Director</w:t>
      </w:r>
    </w:p>
    <w:p w14:paraId="43D7F85B" w14:textId="7316ED68" w:rsidR="00D77E41" w:rsidRPr="00ED172B" w:rsidRDefault="00D77E41">
      <w:pPr>
        <w:rPr>
          <w:b/>
          <w:color w:val="000000" w:themeColor="text1"/>
        </w:rPr>
      </w:pPr>
      <w:r w:rsidRPr="00ED172B">
        <w:rPr>
          <w:b/>
          <w:color w:val="000000" w:themeColor="text1"/>
        </w:rPr>
        <w:t>Name and title of the individual certifying the accuracy of the State's submission of its IDEA Part C State Performance Plan/Annual Performance Report.</w:t>
      </w:r>
    </w:p>
    <w:p w14:paraId="36D2D64A"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Name:  </w:t>
      </w:r>
    </w:p>
    <w:p w14:paraId="4F5F890F" w14:textId="67BB69D9"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Emily White</w:t>
      </w:r>
    </w:p>
    <w:p w14:paraId="5F5311B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Title: </w:t>
      </w:r>
    </w:p>
    <w:p w14:paraId="07D7540F" w14:textId="1BD8A4B8"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Part C Coordinator &amp; Early Intervention Division Director</w:t>
      </w:r>
    </w:p>
    <w:p w14:paraId="7E4BD4EF" w14:textId="77777777" w:rsidR="00FD047C" w:rsidRPr="00ED172B" w:rsidRDefault="00D77E41" w:rsidP="00D77E41">
      <w:pPr>
        <w:autoSpaceDE w:val="0"/>
        <w:autoSpaceDN w:val="0"/>
        <w:adjustRightInd w:val="0"/>
        <w:rPr>
          <w:rFonts w:cs="Arial"/>
          <w:b/>
          <w:bCs/>
          <w:color w:val="000000" w:themeColor="text1"/>
          <w:szCs w:val="16"/>
        </w:rPr>
      </w:pPr>
      <w:r w:rsidRPr="00ED172B">
        <w:rPr>
          <w:rFonts w:cs="Arial"/>
          <w:b/>
          <w:bCs/>
          <w:color w:val="000000" w:themeColor="text1"/>
          <w:szCs w:val="16"/>
        </w:rPr>
        <w:t xml:space="preserve">Email: </w:t>
      </w:r>
    </w:p>
    <w:p w14:paraId="41D2DA4D" w14:textId="6133D61F" w:rsidR="00D77E41" w:rsidRPr="00ED172B" w:rsidRDefault="00860830" w:rsidP="00D77E41">
      <w:pPr>
        <w:autoSpaceDE w:val="0"/>
        <w:autoSpaceDN w:val="0"/>
        <w:adjustRightInd w:val="0"/>
        <w:rPr>
          <w:rFonts w:cs="Arial"/>
          <w:b/>
          <w:bCs/>
          <w:color w:val="000000" w:themeColor="text1"/>
          <w:szCs w:val="16"/>
        </w:rPr>
      </w:pPr>
      <w:r w:rsidRPr="00ED172B">
        <w:rPr>
          <w:rFonts w:cs="Arial"/>
          <w:bCs/>
          <w:color w:val="000000" w:themeColor="text1"/>
          <w:szCs w:val="16"/>
        </w:rPr>
        <w:t>Emily.A.White@mass.gov</w:t>
      </w:r>
    </w:p>
    <w:p w14:paraId="0B3F2655" w14:textId="77777777" w:rsidR="00FD047C" w:rsidRPr="00ED172B" w:rsidRDefault="00D77E41" w:rsidP="00D77E41">
      <w:pPr>
        <w:autoSpaceDE w:val="0"/>
        <w:autoSpaceDN w:val="0"/>
        <w:adjustRightInd w:val="0"/>
        <w:rPr>
          <w:rFonts w:cs="Arial"/>
          <w:bCs/>
          <w:color w:val="000000" w:themeColor="text1"/>
          <w:szCs w:val="16"/>
        </w:rPr>
      </w:pPr>
      <w:r w:rsidRPr="00ED172B">
        <w:rPr>
          <w:rFonts w:cs="Arial"/>
          <w:b/>
          <w:color w:val="000000" w:themeColor="text1"/>
          <w:szCs w:val="16"/>
        </w:rPr>
        <w:t>Phone:</w:t>
      </w:r>
      <w:r w:rsidR="00781A26" w:rsidRPr="00ED172B">
        <w:rPr>
          <w:rFonts w:cs="Arial"/>
          <w:bCs/>
          <w:color w:val="000000" w:themeColor="text1"/>
          <w:szCs w:val="16"/>
        </w:rPr>
        <w:t xml:space="preserve"> </w:t>
      </w:r>
    </w:p>
    <w:p w14:paraId="4532CFC2" w14:textId="1CAA54B5" w:rsidR="00D77E41" w:rsidRPr="00ED172B" w:rsidRDefault="00860830" w:rsidP="00D77E41">
      <w:pPr>
        <w:autoSpaceDE w:val="0"/>
        <w:autoSpaceDN w:val="0"/>
        <w:adjustRightInd w:val="0"/>
        <w:rPr>
          <w:rFonts w:cs="Arial"/>
          <w:bCs/>
          <w:color w:val="000000" w:themeColor="text1"/>
          <w:szCs w:val="16"/>
        </w:rPr>
      </w:pPr>
      <w:r w:rsidRPr="00ED172B">
        <w:rPr>
          <w:rFonts w:cs="Arial"/>
          <w:bCs/>
          <w:color w:val="000000" w:themeColor="text1"/>
          <w:szCs w:val="16"/>
        </w:rPr>
        <w:t>(781) 400-6648</w:t>
      </w:r>
      <w:bookmarkEnd w:id="64"/>
    </w:p>
    <w:p w14:paraId="4424A936" w14:textId="491BEDEB" w:rsidR="00FD047C" w:rsidRPr="00ED172B" w:rsidRDefault="00FD047C" w:rsidP="00FD047C">
      <w:pPr>
        <w:autoSpaceDE w:val="0"/>
        <w:autoSpaceDN w:val="0"/>
        <w:adjustRightInd w:val="0"/>
        <w:rPr>
          <w:rFonts w:cs="Arial"/>
          <w:bCs/>
          <w:color w:val="000000" w:themeColor="text1"/>
          <w:szCs w:val="16"/>
        </w:rPr>
      </w:pPr>
      <w:r w:rsidRPr="00ED172B">
        <w:rPr>
          <w:rFonts w:cs="Arial"/>
          <w:b/>
          <w:color w:val="000000" w:themeColor="text1"/>
          <w:szCs w:val="16"/>
        </w:rPr>
        <w:t>Submitted on:</w:t>
      </w:r>
      <w:r w:rsidRPr="00ED172B">
        <w:rPr>
          <w:rFonts w:cs="Arial"/>
          <w:bCs/>
          <w:color w:val="000000" w:themeColor="text1"/>
          <w:szCs w:val="16"/>
        </w:rPr>
        <w:t xml:space="preserve"> </w:t>
      </w:r>
    </w:p>
    <w:p w14:paraId="4D7C4705" w14:textId="493C20F5" w:rsidR="00FD047C" w:rsidRDefault="00FD047C" w:rsidP="00FD047C">
      <w:pPr>
        <w:autoSpaceDE w:val="0"/>
        <w:autoSpaceDN w:val="0"/>
        <w:adjustRightInd w:val="0"/>
        <w:rPr>
          <w:rFonts w:cs="Arial"/>
          <w:bCs/>
          <w:color w:val="000000" w:themeColor="text1"/>
          <w:szCs w:val="16"/>
        </w:rPr>
      </w:pPr>
      <w:r w:rsidRPr="00ED172B">
        <w:rPr>
          <w:rFonts w:cs="Arial"/>
          <w:bCs/>
          <w:color w:val="000000" w:themeColor="text1"/>
          <w:szCs w:val="16"/>
        </w:rPr>
        <w:t>04/25/23  2:35:55 PM</w:t>
      </w:r>
    </w:p>
    <w:p w14:paraId="1B762252" w14:textId="78A74289" w:rsidR="00224D8B" w:rsidRDefault="003E037C" w:rsidP="003E037C">
      <w:pPr>
        <w:spacing w:before="0" w:after="200" w:line="276" w:lineRule="auto"/>
        <w:rPr>
          <w:rFonts w:cs="Arial"/>
          <w:bCs/>
          <w:color w:val="000000" w:themeColor="text1"/>
          <w:szCs w:val="16"/>
        </w:rPr>
      </w:pPr>
      <w:r>
        <w:rPr>
          <w:rFonts w:cs="Arial"/>
          <w:bCs/>
          <w:color w:val="000000" w:themeColor="text1"/>
          <w:szCs w:val="16"/>
        </w:rPr>
        <w:br w:type="page"/>
      </w:r>
    </w:p>
    <w:p w14:paraId="4E835CB1" w14:textId="2655EDF5" w:rsidR="000135C2" w:rsidRPr="000135C2" w:rsidRDefault="000135C2" w:rsidP="000135C2">
      <w:pPr>
        <w:pStyle w:val="Heading1"/>
        <w:rPr>
          <w:color w:val="000000" w:themeColor="text1"/>
        </w:rPr>
      </w:pPr>
      <w:r w:rsidRPr="000135C2">
        <w:rPr>
          <w:color w:val="000000" w:themeColor="text1"/>
        </w:rPr>
        <w:lastRenderedPageBreak/>
        <w:t>Determination Enclosures</w:t>
      </w:r>
    </w:p>
    <w:p w14:paraId="2087E2B2" w14:textId="0C4D57F2" w:rsidR="000135C2" w:rsidRPr="000135C2" w:rsidRDefault="000135C2" w:rsidP="000135C2">
      <w:pPr>
        <w:pStyle w:val="Heading2"/>
        <w:rPr>
          <w:color w:val="000000" w:themeColor="text1"/>
        </w:rPr>
      </w:pPr>
      <w:r w:rsidRPr="000135C2">
        <w:t>R</w:t>
      </w:r>
      <w:r w:rsidR="00290C16">
        <w:t>DA</w:t>
      </w:r>
      <w:r w:rsidRPr="000135C2">
        <w:t xml:space="preserve"> Matrix</w:t>
      </w:r>
    </w:p>
    <w:p w14:paraId="5F5AF6C8" w14:textId="48F9862E" w:rsidR="00A14B29" w:rsidRDefault="00A14B29" w:rsidP="000135C2">
      <w:pPr>
        <w:jc w:val="center"/>
        <w:rPr>
          <w:sz w:val="32"/>
          <w:szCs w:val="32"/>
        </w:rPr>
      </w:pPr>
    </w:p>
    <w:p w14:paraId="4DD0EA3B" w14:textId="27C8D9DF" w:rsidR="000135C2" w:rsidRPr="00824D00" w:rsidRDefault="000135C2" w:rsidP="000135C2">
      <w:pPr>
        <w:jc w:val="center"/>
        <w:rPr>
          <w:sz w:val="32"/>
          <w:szCs w:val="32"/>
        </w:rPr>
      </w:pPr>
      <w:r w:rsidRPr="00824D00">
        <w:rPr>
          <w:sz w:val="32"/>
          <w:szCs w:val="32"/>
        </w:rPr>
        <w:t>2023 Part C Results-Driven Accountability Matrix</w:t>
      </w:r>
    </w:p>
    <w:p w14:paraId="62B6A556" w14:textId="77777777" w:rsidR="000135C2" w:rsidRPr="00210AC6" w:rsidRDefault="000135C2" w:rsidP="000135C2">
      <w:pPr>
        <w:rPr>
          <w:rFonts w:cs="Arial"/>
          <w:b/>
          <w:bCs/>
          <w:szCs w:val="16"/>
        </w:rPr>
      </w:pPr>
      <w:r w:rsidRPr="00210AC6">
        <w:rPr>
          <w:rFonts w:cs="Arial"/>
          <w:b/>
          <w:bCs/>
          <w:szCs w:val="16"/>
        </w:rPr>
        <w:t>Results-Driven Accountability Percentage and Determination</w:t>
      </w:r>
      <w:r w:rsidRPr="00210AC6">
        <w:rPr>
          <w:rStyle w:val="FootnoteReference"/>
          <w:rFonts w:cs="Arial"/>
          <w:b/>
          <w:bCs/>
          <w:szCs w:val="16"/>
        </w:rPr>
        <w:footnoteReference w:id="2"/>
      </w:r>
    </w:p>
    <w:tbl>
      <w:tblPr>
        <w:tblStyle w:val="TableGrid1"/>
        <w:tblW w:w="5009" w:type="pct"/>
        <w:tblLook w:val="04A0" w:firstRow="1" w:lastRow="0" w:firstColumn="1" w:lastColumn="0" w:noHBand="0" w:noVBand="1"/>
        <w:tblCaption w:val="CENNSRSTRDACFFYSTAT"/>
      </w:tblPr>
      <w:tblGrid>
        <w:gridCol w:w="5404"/>
        <w:gridCol w:w="5405"/>
      </w:tblGrid>
      <w:tr w:rsidR="000135C2" w:rsidRPr="00210AC6" w14:paraId="250D2641" w14:textId="77777777" w:rsidTr="00C452AB">
        <w:trPr>
          <w:tblHeader/>
        </w:trPr>
        <w:tc>
          <w:tcPr>
            <w:tcW w:w="2500" w:type="pct"/>
          </w:tcPr>
          <w:p w14:paraId="13F1AE29" w14:textId="77777777" w:rsidR="000135C2" w:rsidRPr="00210AC6" w:rsidRDefault="000135C2" w:rsidP="00C452AB">
            <w:pPr>
              <w:rPr>
                <w:rFonts w:cs="Arial"/>
                <w:b/>
                <w:bCs/>
                <w:szCs w:val="16"/>
              </w:rPr>
            </w:pPr>
            <w:r w:rsidRPr="00210AC6">
              <w:rPr>
                <w:rFonts w:cs="Arial"/>
                <w:b/>
                <w:bCs/>
                <w:szCs w:val="16"/>
              </w:rPr>
              <w:t>Percentage (%)</w:t>
            </w:r>
          </w:p>
        </w:tc>
        <w:tc>
          <w:tcPr>
            <w:tcW w:w="2500" w:type="pct"/>
          </w:tcPr>
          <w:p w14:paraId="39B30D2C" w14:textId="77777777" w:rsidR="000135C2" w:rsidRPr="00210AC6" w:rsidRDefault="000135C2" w:rsidP="00C452AB">
            <w:pPr>
              <w:rPr>
                <w:rFonts w:cs="Arial"/>
                <w:b/>
                <w:bCs/>
                <w:szCs w:val="16"/>
              </w:rPr>
            </w:pPr>
            <w:r w:rsidRPr="00210AC6">
              <w:rPr>
                <w:rFonts w:cs="Arial"/>
                <w:b/>
                <w:bCs/>
                <w:szCs w:val="16"/>
              </w:rPr>
              <w:t>Determination</w:t>
            </w:r>
          </w:p>
        </w:tc>
      </w:tr>
      <w:tr w:rsidR="00EA2984" w:rsidRPr="00210AC6" w14:paraId="3F9DCD5A" w14:textId="77777777" w:rsidTr="00C452AB">
        <w:tc>
          <w:tcPr>
            <w:tcW w:w="2500" w:type="pct"/>
          </w:tcPr>
          <w:p w14:paraId="04815A38" w14:textId="3638D13B" w:rsidR="00EA2984" w:rsidRPr="00210AC6" w:rsidRDefault="00EA2984" w:rsidP="00EA2984">
            <w:pPr>
              <w:rPr>
                <w:rFonts w:cs="Arial"/>
                <w:szCs w:val="16"/>
              </w:rPr>
            </w:pPr>
            <w:r w:rsidRPr="00E9436C">
              <w:t>71.88%</w:t>
            </w:r>
          </w:p>
        </w:tc>
        <w:tc>
          <w:tcPr>
            <w:tcW w:w="2500" w:type="pct"/>
          </w:tcPr>
          <w:p w14:paraId="716EB835" w14:textId="1F97A48D" w:rsidR="00EA2984" w:rsidRPr="00210AC6" w:rsidRDefault="00EA2984" w:rsidP="00EA2984">
            <w:pPr>
              <w:rPr>
                <w:rFonts w:cs="Arial"/>
                <w:szCs w:val="16"/>
              </w:rPr>
            </w:pPr>
            <w:r w:rsidRPr="00E9436C">
              <w:t>Needs Assistance</w:t>
            </w:r>
          </w:p>
        </w:tc>
      </w:tr>
    </w:tbl>
    <w:p w14:paraId="23DBD887" w14:textId="77777777" w:rsidR="000135C2" w:rsidRPr="00210AC6" w:rsidRDefault="000135C2" w:rsidP="000135C2">
      <w:pPr>
        <w:rPr>
          <w:rFonts w:cs="Arial"/>
          <w:b/>
          <w:bCs/>
          <w:szCs w:val="16"/>
        </w:rPr>
      </w:pPr>
      <w:r w:rsidRPr="00210AC6">
        <w:rPr>
          <w:rFonts w:cs="Arial"/>
          <w:b/>
          <w:bCs/>
          <w:szCs w:val="16"/>
        </w:rPr>
        <w:t>Results and Compliance Overall Scoring</w:t>
      </w:r>
    </w:p>
    <w:tbl>
      <w:tblPr>
        <w:tblStyle w:val="TableGrid1"/>
        <w:tblW w:w="5005" w:type="pct"/>
        <w:tblLayout w:type="fixed"/>
        <w:tblLook w:val="04A0" w:firstRow="1" w:lastRow="0" w:firstColumn="1" w:lastColumn="0" w:noHBand="0" w:noVBand="1"/>
        <w:tblCaption w:val="CENNSRSTCMPCFFYSTAT"/>
      </w:tblPr>
      <w:tblGrid>
        <w:gridCol w:w="2724"/>
        <w:gridCol w:w="2724"/>
        <w:gridCol w:w="2722"/>
        <w:gridCol w:w="2631"/>
      </w:tblGrid>
      <w:tr w:rsidR="000135C2" w:rsidRPr="00210AC6" w14:paraId="44510F9C" w14:textId="77777777" w:rsidTr="005E363D">
        <w:trPr>
          <w:tblHeader/>
        </w:trPr>
        <w:tc>
          <w:tcPr>
            <w:tcW w:w="1261" w:type="pct"/>
          </w:tcPr>
          <w:p w14:paraId="440E7CEC" w14:textId="77777777" w:rsidR="000135C2" w:rsidRPr="00210AC6" w:rsidRDefault="000135C2" w:rsidP="00C452AB">
            <w:pPr>
              <w:rPr>
                <w:rFonts w:cs="Arial"/>
                <w:b/>
                <w:bCs/>
                <w:szCs w:val="16"/>
              </w:rPr>
            </w:pPr>
          </w:p>
        </w:tc>
        <w:tc>
          <w:tcPr>
            <w:tcW w:w="1261" w:type="pct"/>
          </w:tcPr>
          <w:p w14:paraId="7ADB4751" w14:textId="77777777" w:rsidR="000135C2" w:rsidRPr="00210AC6" w:rsidRDefault="000135C2" w:rsidP="00C452AB">
            <w:pPr>
              <w:rPr>
                <w:rFonts w:cs="Arial"/>
                <w:b/>
                <w:bCs/>
                <w:szCs w:val="16"/>
              </w:rPr>
            </w:pPr>
            <w:r w:rsidRPr="00210AC6">
              <w:rPr>
                <w:rFonts w:cs="Arial"/>
                <w:b/>
                <w:bCs/>
                <w:szCs w:val="16"/>
              </w:rPr>
              <w:t>Total Points Available</w:t>
            </w:r>
          </w:p>
        </w:tc>
        <w:tc>
          <w:tcPr>
            <w:tcW w:w="1260" w:type="pct"/>
          </w:tcPr>
          <w:p w14:paraId="494BE99C" w14:textId="77777777" w:rsidR="000135C2" w:rsidRPr="00210AC6" w:rsidRDefault="000135C2" w:rsidP="00C452AB">
            <w:pPr>
              <w:rPr>
                <w:rFonts w:cs="Arial"/>
                <w:b/>
                <w:bCs/>
                <w:szCs w:val="16"/>
              </w:rPr>
            </w:pPr>
            <w:r w:rsidRPr="00210AC6">
              <w:rPr>
                <w:rFonts w:cs="Arial"/>
                <w:b/>
                <w:bCs/>
                <w:szCs w:val="16"/>
              </w:rPr>
              <w:t>Points Earned</w:t>
            </w:r>
          </w:p>
        </w:tc>
        <w:tc>
          <w:tcPr>
            <w:tcW w:w="1218" w:type="pct"/>
          </w:tcPr>
          <w:p w14:paraId="004DD0D4" w14:textId="77777777" w:rsidR="000135C2" w:rsidRPr="00210AC6" w:rsidRDefault="000135C2" w:rsidP="00C452AB">
            <w:pPr>
              <w:rPr>
                <w:rFonts w:cs="Arial"/>
                <w:b/>
                <w:bCs/>
                <w:szCs w:val="16"/>
              </w:rPr>
            </w:pPr>
            <w:r w:rsidRPr="00210AC6">
              <w:rPr>
                <w:rFonts w:cs="Arial"/>
                <w:b/>
                <w:bCs/>
                <w:szCs w:val="16"/>
              </w:rPr>
              <w:t>Score (%)</w:t>
            </w:r>
          </w:p>
        </w:tc>
      </w:tr>
      <w:tr w:rsidR="005E363D" w:rsidRPr="00210AC6" w14:paraId="397054B2" w14:textId="77777777" w:rsidTr="005E363D">
        <w:tc>
          <w:tcPr>
            <w:tcW w:w="1261" w:type="pct"/>
          </w:tcPr>
          <w:p w14:paraId="74D0AF28" w14:textId="77777777" w:rsidR="005E363D" w:rsidRPr="00210AC6" w:rsidRDefault="005E363D" w:rsidP="005E363D">
            <w:pPr>
              <w:rPr>
                <w:rFonts w:cs="Arial"/>
                <w:b/>
                <w:bCs/>
                <w:szCs w:val="16"/>
              </w:rPr>
            </w:pPr>
            <w:r w:rsidRPr="00210AC6">
              <w:rPr>
                <w:rFonts w:cs="Arial"/>
                <w:b/>
                <w:bCs/>
                <w:szCs w:val="16"/>
              </w:rPr>
              <w:t>Results</w:t>
            </w:r>
          </w:p>
        </w:tc>
        <w:tc>
          <w:tcPr>
            <w:tcW w:w="1261" w:type="pct"/>
          </w:tcPr>
          <w:p w14:paraId="04DC97CF" w14:textId="64F9E371" w:rsidR="005E363D" w:rsidRPr="00210AC6" w:rsidRDefault="005E363D" w:rsidP="005E363D">
            <w:pPr>
              <w:rPr>
                <w:rFonts w:cs="Arial"/>
                <w:noProof/>
                <w:szCs w:val="16"/>
              </w:rPr>
            </w:pPr>
            <w:r w:rsidRPr="009E3CB1">
              <w:t>8</w:t>
            </w:r>
          </w:p>
        </w:tc>
        <w:tc>
          <w:tcPr>
            <w:tcW w:w="1260" w:type="pct"/>
          </w:tcPr>
          <w:p w14:paraId="1DB8807F" w14:textId="14C73F50" w:rsidR="005E363D" w:rsidRPr="00210AC6" w:rsidRDefault="005E363D" w:rsidP="005E363D">
            <w:pPr>
              <w:rPr>
                <w:rFonts w:cs="Arial"/>
                <w:szCs w:val="16"/>
              </w:rPr>
            </w:pPr>
            <w:r w:rsidRPr="009E3CB1">
              <w:t>4</w:t>
            </w:r>
          </w:p>
        </w:tc>
        <w:tc>
          <w:tcPr>
            <w:tcW w:w="1218" w:type="pct"/>
          </w:tcPr>
          <w:p w14:paraId="4A2646A0" w14:textId="15C11718" w:rsidR="005E363D" w:rsidRPr="00210AC6" w:rsidRDefault="005E363D" w:rsidP="005E363D">
            <w:pPr>
              <w:rPr>
                <w:rFonts w:cs="Arial"/>
                <w:szCs w:val="16"/>
              </w:rPr>
            </w:pPr>
            <w:r w:rsidRPr="009E3CB1">
              <w:t>50.00%</w:t>
            </w:r>
          </w:p>
        </w:tc>
      </w:tr>
      <w:tr w:rsidR="005E363D" w:rsidRPr="00210AC6" w14:paraId="3B79C149" w14:textId="77777777" w:rsidTr="005E363D">
        <w:tc>
          <w:tcPr>
            <w:tcW w:w="1261" w:type="pct"/>
          </w:tcPr>
          <w:p w14:paraId="256E1213" w14:textId="77777777" w:rsidR="005E363D" w:rsidRPr="00210AC6" w:rsidRDefault="005E363D" w:rsidP="005E363D">
            <w:pPr>
              <w:rPr>
                <w:rFonts w:cs="Arial"/>
                <w:b/>
                <w:bCs/>
                <w:szCs w:val="16"/>
              </w:rPr>
            </w:pPr>
            <w:r w:rsidRPr="00210AC6">
              <w:rPr>
                <w:rFonts w:cs="Arial"/>
                <w:b/>
                <w:bCs/>
                <w:szCs w:val="16"/>
              </w:rPr>
              <w:t>Compliance</w:t>
            </w:r>
          </w:p>
        </w:tc>
        <w:tc>
          <w:tcPr>
            <w:tcW w:w="1261" w:type="pct"/>
          </w:tcPr>
          <w:p w14:paraId="0AB81B7A" w14:textId="28118D00" w:rsidR="005E363D" w:rsidRPr="00210AC6" w:rsidRDefault="005E363D" w:rsidP="005E363D">
            <w:pPr>
              <w:rPr>
                <w:rFonts w:cs="Arial"/>
                <w:szCs w:val="16"/>
              </w:rPr>
            </w:pPr>
            <w:r w:rsidRPr="009E3CB1">
              <w:t>16</w:t>
            </w:r>
          </w:p>
        </w:tc>
        <w:tc>
          <w:tcPr>
            <w:tcW w:w="1260" w:type="pct"/>
          </w:tcPr>
          <w:p w14:paraId="5402D01D" w14:textId="1557C1A3" w:rsidR="005E363D" w:rsidRPr="00210AC6" w:rsidRDefault="005E363D" w:rsidP="005E363D">
            <w:pPr>
              <w:rPr>
                <w:rFonts w:cs="Arial"/>
                <w:szCs w:val="16"/>
              </w:rPr>
            </w:pPr>
            <w:r w:rsidRPr="009E3CB1">
              <w:t>15</w:t>
            </w:r>
          </w:p>
        </w:tc>
        <w:tc>
          <w:tcPr>
            <w:tcW w:w="1218" w:type="pct"/>
          </w:tcPr>
          <w:p w14:paraId="0AF6DC9A" w14:textId="17AC6D6F" w:rsidR="005E363D" w:rsidRPr="00210AC6" w:rsidRDefault="005E363D" w:rsidP="005E363D">
            <w:pPr>
              <w:rPr>
                <w:rFonts w:cs="Arial"/>
                <w:szCs w:val="16"/>
              </w:rPr>
            </w:pPr>
            <w:r w:rsidRPr="009E3CB1">
              <w:t>93.75%</w:t>
            </w:r>
          </w:p>
        </w:tc>
      </w:tr>
    </w:tbl>
    <w:p w14:paraId="41A7EDC9" w14:textId="77777777" w:rsidR="006362E6" w:rsidRDefault="006362E6" w:rsidP="000135C2">
      <w:pPr>
        <w:rPr>
          <w:rFonts w:cs="Arial"/>
          <w:b/>
          <w:bCs/>
          <w:szCs w:val="16"/>
        </w:rPr>
      </w:pPr>
    </w:p>
    <w:p w14:paraId="48F8CFFB" w14:textId="6650CE79" w:rsidR="000135C2" w:rsidRDefault="000135C2" w:rsidP="000135C2">
      <w:pPr>
        <w:rPr>
          <w:rFonts w:cs="Arial"/>
          <w:b/>
          <w:bCs/>
          <w:szCs w:val="16"/>
        </w:rPr>
      </w:pPr>
      <w:r w:rsidRPr="00210AC6">
        <w:rPr>
          <w:rFonts w:cs="Arial"/>
          <w:b/>
          <w:bCs/>
          <w:szCs w:val="16"/>
        </w:rPr>
        <w:t>2023 Part C Results Matrix</w:t>
      </w:r>
    </w:p>
    <w:p w14:paraId="7F8D5EA3" w14:textId="77777777" w:rsidR="00E34D8D" w:rsidRPr="00210AC6" w:rsidRDefault="00E34D8D" w:rsidP="000135C2">
      <w:pPr>
        <w:rPr>
          <w:rFonts w:cs="Arial"/>
          <w:b/>
          <w:bCs/>
          <w:szCs w:val="16"/>
        </w:rPr>
      </w:pPr>
    </w:p>
    <w:p w14:paraId="47413CEB" w14:textId="77777777" w:rsidR="004255C0" w:rsidRPr="004255C0" w:rsidRDefault="004255C0" w:rsidP="004255C0">
      <w:pPr>
        <w:rPr>
          <w:rFonts w:cs="Arial"/>
          <w:b/>
          <w:bCs/>
          <w:szCs w:val="16"/>
        </w:rPr>
      </w:pPr>
      <w:r w:rsidRPr="004255C0">
        <w:rPr>
          <w:rFonts w:cs="Arial"/>
          <w:b/>
          <w:bCs/>
          <w:szCs w:val="16"/>
        </w:rPr>
        <w:t>I. Data Quality</w:t>
      </w:r>
    </w:p>
    <w:p w14:paraId="0C4FAE72" w14:textId="2CCACD40" w:rsidR="000135C2" w:rsidRPr="00210AC6" w:rsidRDefault="004255C0" w:rsidP="004255C0">
      <w:pPr>
        <w:rPr>
          <w:rFonts w:cs="Arial"/>
          <w:b/>
          <w:bCs/>
          <w:szCs w:val="16"/>
        </w:rPr>
      </w:pPr>
      <w:r w:rsidRPr="004255C0">
        <w:rPr>
          <w:rFonts w:cs="Arial"/>
          <w:b/>
          <w:bCs/>
          <w:szCs w:val="16"/>
        </w:rPr>
        <w:t>(a) Data Completeness: The percent of children included in your State’s 2021 Outcomes Data (Indicator C3)</w:t>
      </w:r>
    </w:p>
    <w:tbl>
      <w:tblPr>
        <w:tblStyle w:val="TableGrid1"/>
        <w:tblW w:w="5000" w:type="pct"/>
        <w:tblLayout w:type="fixed"/>
        <w:tblLook w:val="04A0" w:firstRow="1" w:lastRow="0" w:firstColumn="1" w:lastColumn="0" w:noHBand="0" w:noVBand="1"/>
        <w:tblCaption w:val="C03CPDQ"/>
      </w:tblPr>
      <w:tblGrid>
        <w:gridCol w:w="8004"/>
        <w:gridCol w:w="2786"/>
      </w:tblGrid>
      <w:tr w:rsidR="0025401C" w:rsidRPr="00210AC6" w14:paraId="5DB158AC" w14:textId="77777777" w:rsidTr="0025401C">
        <w:trPr>
          <w:trHeight w:val="332"/>
        </w:trPr>
        <w:tc>
          <w:tcPr>
            <w:tcW w:w="3709" w:type="pct"/>
          </w:tcPr>
          <w:p w14:paraId="099E3031" w14:textId="7E92C028" w:rsidR="0025401C" w:rsidRPr="00210AC6" w:rsidRDefault="0025401C" w:rsidP="008B3495">
            <w:pPr>
              <w:rPr>
                <w:rFonts w:cs="Arial"/>
                <w:b/>
                <w:bCs/>
                <w:szCs w:val="16"/>
              </w:rPr>
            </w:pPr>
            <w:r w:rsidRPr="00DC3177">
              <w:t>Number of Children Reported in Indicator C3 (i.e., outcome data)</w:t>
            </w:r>
          </w:p>
        </w:tc>
        <w:tc>
          <w:tcPr>
            <w:tcW w:w="1291" w:type="pct"/>
          </w:tcPr>
          <w:p w14:paraId="14AB8BB0" w14:textId="3C5B9E51" w:rsidR="0025401C" w:rsidRPr="00210AC6" w:rsidRDefault="0025401C" w:rsidP="008B3495">
            <w:pPr>
              <w:rPr>
                <w:rFonts w:cs="Arial"/>
                <w:szCs w:val="16"/>
              </w:rPr>
            </w:pPr>
            <w:r w:rsidRPr="00CF63C0">
              <w:rPr>
                <w:rFonts w:cs="Arial"/>
                <w:szCs w:val="16"/>
              </w:rPr>
              <w:t>2,756</w:t>
            </w:r>
          </w:p>
        </w:tc>
      </w:tr>
      <w:tr w:rsidR="0025401C" w:rsidRPr="00210AC6" w14:paraId="6F64E3BE" w14:textId="77777777" w:rsidTr="0025401C">
        <w:trPr>
          <w:trHeight w:val="332"/>
        </w:trPr>
        <w:tc>
          <w:tcPr>
            <w:tcW w:w="3709" w:type="pct"/>
          </w:tcPr>
          <w:p w14:paraId="77A3B864" w14:textId="3D9C0E86" w:rsidR="0025401C" w:rsidRPr="00210AC6" w:rsidRDefault="0025401C" w:rsidP="008B3495">
            <w:pPr>
              <w:rPr>
                <w:rFonts w:cs="Arial"/>
                <w:b/>
                <w:bCs/>
                <w:szCs w:val="16"/>
              </w:rPr>
            </w:pPr>
            <w:r w:rsidRPr="00DC3177">
              <w:t>Number of Children Reported Exiting in 618 Data (i.e., 618 exiting data)</w:t>
            </w:r>
          </w:p>
        </w:tc>
        <w:tc>
          <w:tcPr>
            <w:tcW w:w="1291" w:type="pct"/>
          </w:tcPr>
          <w:p w14:paraId="5EE5C279" w14:textId="04907E5F" w:rsidR="0025401C" w:rsidRPr="00210AC6" w:rsidRDefault="0025401C" w:rsidP="008B3495">
            <w:pPr>
              <w:rPr>
                <w:rFonts w:cs="Arial"/>
                <w:szCs w:val="16"/>
              </w:rPr>
            </w:pPr>
            <w:r w:rsidRPr="00E9667F">
              <w:rPr>
                <w:rFonts w:cs="Arial"/>
                <w:szCs w:val="16"/>
              </w:rPr>
              <w:t>19,063</w:t>
            </w:r>
          </w:p>
        </w:tc>
      </w:tr>
      <w:tr w:rsidR="0025401C" w:rsidRPr="00210AC6" w14:paraId="18255402" w14:textId="77777777" w:rsidTr="0025401C">
        <w:trPr>
          <w:trHeight w:val="278"/>
        </w:trPr>
        <w:tc>
          <w:tcPr>
            <w:tcW w:w="3709" w:type="pct"/>
          </w:tcPr>
          <w:p w14:paraId="0C81F52D" w14:textId="5DE6FAEA" w:rsidR="0025401C" w:rsidRPr="00210AC6" w:rsidRDefault="0025401C" w:rsidP="008B3495">
            <w:pPr>
              <w:rPr>
                <w:rFonts w:cs="Arial"/>
                <w:b/>
                <w:bCs/>
                <w:szCs w:val="16"/>
              </w:rPr>
            </w:pPr>
            <w:r w:rsidRPr="00DC3177">
              <w:t>Percentage of Children Exiting who are Included in Outcome Data (%)</w:t>
            </w:r>
          </w:p>
        </w:tc>
        <w:tc>
          <w:tcPr>
            <w:tcW w:w="1291" w:type="pct"/>
          </w:tcPr>
          <w:p w14:paraId="70A76A47" w14:textId="3C259405" w:rsidR="0025401C" w:rsidRPr="00210AC6" w:rsidRDefault="0025401C" w:rsidP="008B3495">
            <w:pPr>
              <w:rPr>
                <w:rFonts w:cs="Arial"/>
                <w:szCs w:val="16"/>
              </w:rPr>
            </w:pPr>
            <w:r w:rsidRPr="00376AC6">
              <w:rPr>
                <w:rFonts w:cs="Arial"/>
                <w:szCs w:val="16"/>
              </w:rPr>
              <w:t>14.46</w:t>
            </w:r>
          </w:p>
        </w:tc>
      </w:tr>
      <w:tr w:rsidR="0025401C" w:rsidRPr="00210AC6" w14:paraId="35DCFD1D" w14:textId="77777777" w:rsidTr="0025401C">
        <w:trPr>
          <w:trHeight w:val="242"/>
        </w:trPr>
        <w:tc>
          <w:tcPr>
            <w:tcW w:w="3709" w:type="pct"/>
          </w:tcPr>
          <w:p w14:paraId="6B149A9B" w14:textId="4883FA4F" w:rsidR="0025401C" w:rsidRPr="00210AC6" w:rsidRDefault="0025401C" w:rsidP="00C452AB">
            <w:pPr>
              <w:rPr>
                <w:rFonts w:cs="Arial"/>
                <w:b/>
                <w:bCs/>
                <w:szCs w:val="16"/>
              </w:rPr>
            </w:pPr>
            <w:r w:rsidRPr="00083FA7">
              <w:rPr>
                <w:rFonts w:cs="Arial"/>
                <w:b/>
                <w:bCs/>
                <w:szCs w:val="16"/>
              </w:rPr>
              <w:t>Data Completeness Score</w:t>
            </w:r>
            <w:r w:rsidRPr="00083FA7">
              <w:rPr>
                <w:rFonts w:cs="Arial"/>
                <w:b/>
                <w:bCs/>
                <w:szCs w:val="16"/>
                <w:vertAlign w:val="superscript"/>
              </w:rPr>
              <w:footnoteReference w:id="3"/>
            </w:r>
          </w:p>
        </w:tc>
        <w:tc>
          <w:tcPr>
            <w:tcW w:w="1291" w:type="pct"/>
          </w:tcPr>
          <w:p w14:paraId="107C09E6" w14:textId="375E5281" w:rsidR="0025401C" w:rsidRPr="00210AC6" w:rsidRDefault="0025401C" w:rsidP="00C452AB">
            <w:pPr>
              <w:rPr>
                <w:rFonts w:cs="Arial"/>
                <w:szCs w:val="16"/>
              </w:rPr>
            </w:pPr>
            <w:r w:rsidRPr="0025401C">
              <w:rPr>
                <w:rFonts w:cs="Arial"/>
                <w:szCs w:val="16"/>
              </w:rPr>
              <w:t>0</w:t>
            </w:r>
          </w:p>
        </w:tc>
      </w:tr>
    </w:tbl>
    <w:p w14:paraId="774C49BA" w14:textId="0261CB20" w:rsidR="006362E6" w:rsidRDefault="006362E6" w:rsidP="007C3ED8">
      <w:pPr>
        <w:rPr>
          <w:rFonts w:cs="Arial"/>
          <w:b/>
          <w:bCs/>
          <w:szCs w:val="16"/>
        </w:rPr>
      </w:pPr>
      <w:r w:rsidRPr="004255C0">
        <w:rPr>
          <w:rFonts w:cs="Arial"/>
          <w:b/>
          <w:bCs/>
          <w:szCs w:val="16"/>
        </w:rPr>
        <w:t>(b) Data Anomalies: Anomalies in your State’s FFY 2021 Outcomes Data</w:t>
      </w:r>
    </w:p>
    <w:tbl>
      <w:tblPr>
        <w:tblStyle w:val="TableGrid1"/>
        <w:tblW w:w="5000" w:type="pct"/>
        <w:tblLayout w:type="fixed"/>
        <w:tblLook w:val="04A0" w:firstRow="1" w:lastRow="0" w:firstColumn="1" w:lastColumn="0" w:noHBand="0" w:noVBand="1"/>
        <w:tblCaption w:val="C03ANOMSCRDQ"/>
      </w:tblPr>
      <w:tblGrid>
        <w:gridCol w:w="8004"/>
        <w:gridCol w:w="2786"/>
      </w:tblGrid>
      <w:tr w:rsidR="006362E6" w:rsidRPr="00210AC6" w14:paraId="33F31A15" w14:textId="77777777" w:rsidTr="00087E4F">
        <w:trPr>
          <w:trHeight w:val="242"/>
        </w:trPr>
        <w:tc>
          <w:tcPr>
            <w:tcW w:w="3709" w:type="pct"/>
          </w:tcPr>
          <w:p w14:paraId="20D4245E" w14:textId="7F759F31" w:rsidR="006362E6" w:rsidRPr="00210AC6" w:rsidRDefault="006362E6" w:rsidP="00087E4F">
            <w:pPr>
              <w:rPr>
                <w:rFonts w:cs="Arial"/>
                <w:b/>
                <w:bCs/>
                <w:szCs w:val="16"/>
              </w:rPr>
            </w:pPr>
            <w:r w:rsidRPr="00083FA7">
              <w:rPr>
                <w:rFonts w:cs="Arial"/>
                <w:b/>
                <w:bCs/>
                <w:szCs w:val="16"/>
              </w:rPr>
              <w:t>Data Anomalies Score</w:t>
            </w:r>
            <w:r w:rsidRPr="006362E6">
              <w:rPr>
                <w:rStyle w:val="FootnoteReference"/>
                <w:rFonts w:cs="Arial"/>
                <w:sz w:val="18"/>
                <w:szCs w:val="18"/>
              </w:rPr>
              <w:footnoteReference w:id="4"/>
            </w:r>
          </w:p>
        </w:tc>
        <w:tc>
          <w:tcPr>
            <w:tcW w:w="1291" w:type="pct"/>
          </w:tcPr>
          <w:p w14:paraId="0583FFA5" w14:textId="2964D452" w:rsidR="006362E6" w:rsidRPr="00210AC6" w:rsidRDefault="006362E6" w:rsidP="00087E4F">
            <w:pPr>
              <w:rPr>
                <w:rFonts w:cs="Arial"/>
                <w:szCs w:val="16"/>
              </w:rPr>
            </w:pPr>
            <w:r w:rsidRPr="0025401C">
              <w:rPr>
                <w:rFonts w:cs="Arial"/>
                <w:szCs w:val="16"/>
              </w:rPr>
              <w:t>2</w:t>
            </w:r>
          </w:p>
        </w:tc>
      </w:tr>
    </w:tbl>
    <w:p w14:paraId="5A12DDCF" w14:textId="77777777" w:rsidR="006362E6" w:rsidRDefault="006362E6" w:rsidP="007C3ED8">
      <w:pPr>
        <w:rPr>
          <w:rFonts w:cs="Arial"/>
          <w:b/>
          <w:bCs/>
          <w:szCs w:val="16"/>
        </w:rPr>
      </w:pPr>
    </w:p>
    <w:p w14:paraId="0A05DE8A" w14:textId="24FB5C5B" w:rsidR="007C3ED8" w:rsidRPr="007C3ED8" w:rsidRDefault="007C3ED8" w:rsidP="007C3ED8">
      <w:pPr>
        <w:rPr>
          <w:rFonts w:cs="Arial"/>
          <w:b/>
          <w:bCs/>
          <w:szCs w:val="16"/>
        </w:rPr>
      </w:pPr>
      <w:r w:rsidRPr="007C3ED8">
        <w:rPr>
          <w:rFonts w:cs="Arial"/>
          <w:b/>
          <w:bCs/>
          <w:szCs w:val="16"/>
        </w:rPr>
        <w:t>II. Child Performance</w:t>
      </w:r>
    </w:p>
    <w:p w14:paraId="61D2FD1A" w14:textId="1E370B82" w:rsidR="000135C2" w:rsidRPr="00210AC6" w:rsidRDefault="007C3ED8" w:rsidP="007C3ED8">
      <w:pPr>
        <w:rPr>
          <w:rFonts w:cs="Arial"/>
          <w:b/>
          <w:bCs/>
          <w:szCs w:val="16"/>
        </w:rPr>
      </w:pPr>
      <w:r w:rsidRPr="007C3ED8">
        <w:rPr>
          <w:rFonts w:cs="Arial"/>
          <w:b/>
          <w:bCs/>
          <w:szCs w:val="16"/>
        </w:rPr>
        <w:t>(a) Data Comparison: Comparing your State’s 2021 Outcomes Data to other States’ 2021 Outcomes Data</w:t>
      </w:r>
    </w:p>
    <w:tbl>
      <w:tblPr>
        <w:tblStyle w:val="TableGrid1"/>
        <w:tblW w:w="5000" w:type="pct"/>
        <w:tblLayout w:type="fixed"/>
        <w:tblLook w:val="04A0" w:firstRow="1" w:lastRow="0" w:firstColumn="1" w:lastColumn="0" w:noHBand="0" w:noVBand="1"/>
        <w:tblCaption w:val="C03COMPDQ"/>
      </w:tblPr>
      <w:tblGrid>
        <w:gridCol w:w="8004"/>
        <w:gridCol w:w="2786"/>
      </w:tblGrid>
      <w:tr w:rsidR="007C3ED8" w:rsidRPr="00210AC6" w14:paraId="026E94FD" w14:textId="77777777" w:rsidTr="00C452AB">
        <w:trPr>
          <w:trHeight w:val="242"/>
        </w:trPr>
        <w:tc>
          <w:tcPr>
            <w:tcW w:w="3709" w:type="pct"/>
          </w:tcPr>
          <w:p w14:paraId="1410ED5E" w14:textId="54C2FECC" w:rsidR="007C3ED8" w:rsidRPr="00210AC6" w:rsidRDefault="007C3ED8" w:rsidP="00C452AB">
            <w:pPr>
              <w:rPr>
                <w:rFonts w:cs="Arial"/>
                <w:b/>
                <w:bCs/>
                <w:szCs w:val="16"/>
              </w:rPr>
            </w:pPr>
            <w:r w:rsidRPr="00083FA7">
              <w:rPr>
                <w:rFonts w:cs="Arial"/>
                <w:b/>
                <w:bCs/>
                <w:szCs w:val="16"/>
              </w:rPr>
              <w:t>Data Comparison Score</w:t>
            </w:r>
            <w:r w:rsidRPr="00083FA7">
              <w:rPr>
                <w:rFonts w:cs="Arial"/>
                <w:b/>
                <w:bCs/>
                <w:szCs w:val="16"/>
                <w:vertAlign w:val="superscript"/>
              </w:rPr>
              <w:footnoteReference w:id="5"/>
            </w:r>
          </w:p>
        </w:tc>
        <w:tc>
          <w:tcPr>
            <w:tcW w:w="1291" w:type="pct"/>
          </w:tcPr>
          <w:p w14:paraId="686EEC5D" w14:textId="0E149195" w:rsidR="007C3ED8" w:rsidRPr="00210AC6" w:rsidRDefault="002E1B30" w:rsidP="00C452AB">
            <w:pPr>
              <w:rPr>
                <w:rFonts w:cs="Arial"/>
                <w:szCs w:val="16"/>
              </w:rPr>
            </w:pPr>
            <w:r w:rsidRPr="002E1B30">
              <w:rPr>
                <w:rFonts w:cs="Arial"/>
                <w:szCs w:val="16"/>
              </w:rPr>
              <w:t>1</w:t>
            </w:r>
          </w:p>
        </w:tc>
      </w:tr>
    </w:tbl>
    <w:p w14:paraId="3C981E99" w14:textId="77777777" w:rsidR="00E34D8D" w:rsidRDefault="00E34D8D" w:rsidP="00E34D8D">
      <w:pPr>
        <w:rPr>
          <w:rFonts w:cs="Arial"/>
          <w:b/>
          <w:bCs/>
          <w:szCs w:val="16"/>
        </w:rPr>
      </w:pPr>
      <w:r w:rsidRPr="00094EAD">
        <w:rPr>
          <w:rFonts w:cs="Arial"/>
          <w:b/>
          <w:bCs/>
          <w:szCs w:val="16"/>
        </w:rPr>
        <w:t>(b) Performance Change Over Time: Comparing your State’s FFY 2021 data to your State’s FFY 2020 data</w:t>
      </w:r>
    </w:p>
    <w:tbl>
      <w:tblPr>
        <w:tblStyle w:val="TableGrid1"/>
        <w:tblW w:w="5000" w:type="pct"/>
        <w:tblLayout w:type="fixed"/>
        <w:tblLook w:val="04A0" w:firstRow="1" w:lastRow="0" w:firstColumn="1" w:lastColumn="0" w:noHBand="0" w:noVBand="1"/>
        <w:tblCaption w:val="C03PRMDQ"/>
      </w:tblPr>
      <w:tblGrid>
        <w:gridCol w:w="8004"/>
        <w:gridCol w:w="2786"/>
      </w:tblGrid>
      <w:tr w:rsidR="00E34D8D" w:rsidRPr="00210AC6" w14:paraId="56526381" w14:textId="77777777" w:rsidTr="00087E4F">
        <w:trPr>
          <w:trHeight w:val="242"/>
        </w:trPr>
        <w:tc>
          <w:tcPr>
            <w:tcW w:w="3709" w:type="pct"/>
          </w:tcPr>
          <w:p w14:paraId="32DAB930" w14:textId="77777777" w:rsidR="00E34D8D" w:rsidRPr="00210AC6" w:rsidRDefault="00E34D8D" w:rsidP="00087E4F">
            <w:pPr>
              <w:rPr>
                <w:rFonts w:cs="Arial"/>
                <w:b/>
                <w:bCs/>
                <w:szCs w:val="16"/>
              </w:rPr>
            </w:pPr>
            <w:r>
              <w:rPr>
                <w:rFonts w:cs="Arial"/>
                <w:b/>
                <w:bCs/>
                <w:szCs w:val="16"/>
              </w:rPr>
              <w:t>Performance Change Score</w:t>
            </w:r>
            <w:r w:rsidRPr="00083FA7">
              <w:rPr>
                <w:rFonts w:cs="Arial"/>
                <w:b/>
                <w:bCs/>
                <w:szCs w:val="16"/>
                <w:vertAlign w:val="superscript"/>
              </w:rPr>
              <w:footnoteReference w:id="6"/>
            </w:r>
          </w:p>
        </w:tc>
        <w:tc>
          <w:tcPr>
            <w:tcW w:w="1291" w:type="pct"/>
          </w:tcPr>
          <w:p w14:paraId="0BFF259B" w14:textId="4AC2A256" w:rsidR="00E34D8D" w:rsidRPr="00210AC6" w:rsidRDefault="00E34D8D" w:rsidP="00087E4F">
            <w:pPr>
              <w:rPr>
                <w:rFonts w:cs="Arial"/>
                <w:szCs w:val="16"/>
              </w:rPr>
            </w:pPr>
            <w:r w:rsidRPr="00F83692">
              <w:rPr>
                <w:rFonts w:cs="Arial"/>
                <w:szCs w:val="16"/>
              </w:rPr>
              <w:t>1</w:t>
            </w:r>
          </w:p>
        </w:tc>
      </w:tr>
    </w:tbl>
    <w:p w14:paraId="38DC31DA" w14:textId="77777777" w:rsidR="00E34D8D" w:rsidRPr="00210AC6" w:rsidRDefault="00E34D8D" w:rsidP="000135C2">
      <w:pPr>
        <w:rPr>
          <w:rFonts w:cs="Arial"/>
          <w:b/>
          <w:bCs/>
          <w:szCs w:val="16"/>
        </w:rPr>
      </w:pPr>
    </w:p>
    <w:tbl>
      <w:tblPr>
        <w:tblStyle w:val="TableGrid1"/>
        <w:tblW w:w="5000" w:type="pct"/>
        <w:tblLayout w:type="fixed"/>
        <w:tblLook w:val="04A0" w:firstRow="1" w:lastRow="0" w:firstColumn="1" w:lastColumn="0" w:noHBand="0" w:noVBand="1"/>
        <w:tblCaption w:val="C03SSPDQ"/>
      </w:tblPr>
      <w:tblGrid>
        <w:gridCol w:w="1542"/>
        <w:gridCol w:w="1543"/>
        <w:gridCol w:w="1543"/>
        <w:gridCol w:w="1541"/>
        <w:gridCol w:w="1541"/>
        <w:gridCol w:w="1541"/>
        <w:gridCol w:w="1539"/>
      </w:tblGrid>
      <w:tr w:rsidR="00174585" w:rsidRPr="00210AC6" w14:paraId="78016CFA" w14:textId="77777777" w:rsidTr="00B03B19">
        <w:trPr>
          <w:tblHeader/>
        </w:trPr>
        <w:tc>
          <w:tcPr>
            <w:tcW w:w="715" w:type="pct"/>
          </w:tcPr>
          <w:p w14:paraId="6B2EF5DA" w14:textId="72656DE0" w:rsidR="00174585" w:rsidRPr="00174585" w:rsidRDefault="00174585" w:rsidP="00174585">
            <w:pPr>
              <w:rPr>
                <w:rFonts w:cs="Arial"/>
                <w:b/>
                <w:bCs/>
                <w:szCs w:val="16"/>
              </w:rPr>
            </w:pPr>
            <w:r w:rsidRPr="00174585">
              <w:rPr>
                <w:b/>
                <w:bCs/>
              </w:rPr>
              <w:t>Summary Statement Performance</w:t>
            </w:r>
          </w:p>
        </w:tc>
        <w:tc>
          <w:tcPr>
            <w:tcW w:w="715" w:type="pct"/>
          </w:tcPr>
          <w:p w14:paraId="0E1D3F85" w14:textId="38351CC1" w:rsidR="00174585" w:rsidRPr="00174585" w:rsidRDefault="00174585" w:rsidP="00174585">
            <w:pPr>
              <w:rPr>
                <w:rFonts w:cs="Arial"/>
                <w:b/>
                <w:bCs/>
                <w:szCs w:val="16"/>
              </w:rPr>
            </w:pPr>
            <w:r w:rsidRPr="00174585">
              <w:rPr>
                <w:b/>
                <w:bCs/>
              </w:rPr>
              <w:t>Outcome A: Positive Social Relationships SS1 (%)</w:t>
            </w:r>
          </w:p>
        </w:tc>
        <w:tc>
          <w:tcPr>
            <w:tcW w:w="715" w:type="pct"/>
          </w:tcPr>
          <w:p w14:paraId="3D8BC598" w14:textId="689CE969" w:rsidR="00174585" w:rsidRPr="00174585" w:rsidRDefault="00174585" w:rsidP="00174585">
            <w:pPr>
              <w:rPr>
                <w:rFonts w:cs="Arial"/>
                <w:b/>
                <w:bCs/>
                <w:szCs w:val="16"/>
              </w:rPr>
            </w:pPr>
            <w:r w:rsidRPr="00174585">
              <w:rPr>
                <w:b/>
                <w:bCs/>
              </w:rPr>
              <w:t>Outcome A: Positive Social Relationships SS2 (%)</w:t>
            </w:r>
          </w:p>
        </w:tc>
        <w:tc>
          <w:tcPr>
            <w:tcW w:w="714" w:type="pct"/>
          </w:tcPr>
          <w:p w14:paraId="68C42C33" w14:textId="2676A94F" w:rsidR="00174585" w:rsidRPr="00174585" w:rsidRDefault="00174585" w:rsidP="00174585">
            <w:pPr>
              <w:rPr>
                <w:rFonts w:cs="Arial"/>
                <w:b/>
                <w:bCs/>
                <w:szCs w:val="16"/>
              </w:rPr>
            </w:pPr>
            <w:r w:rsidRPr="00174585">
              <w:rPr>
                <w:b/>
                <w:bCs/>
              </w:rPr>
              <w:t xml:space="preserve">Outcome B: Knowledge </w:t>
            </w:r>
            <w:r w:rsidR="00691386">
              <w:rPr>
                <w:b/>
                <w:bCs/>
              </w:rPr>
              <w:br/>
            </w:r>
            <w:r w:rsidRPr="00174585">
              <w:rPr>
                <w:b/>
                <w:bCs/>
              </w:rPr>
              <w:t>and Skill</w:t>
            </w:r>
            <w:r w:rsidR="00691386">
              <w:rPr>
                <w:b/>
                <w:bCs/>
              </w:rPr>
              <w:t>s</w:t>
            </w:r>
            <w:r w:rsidR="00691386">
              <w:rPr>
                <w:b/>
                <w:bCs/>
              </w:rPr>
              <w:br/>
              <w:t>SS1 (%)</w:t>
            </w:r>
          </w:p>
        </w:tc>
        <w:tc>
          <w:tcPr>
            <w:tcW w:w="714" w:type="pct"/>
          </w:tcPr>
          <w:p w14:paraId="76C98EFE" w14:textId="74B06FC7" w:rsidR="00174585" w:rsidRPr="00174585" w:rsidRDefault="00691386" w:rsidP="00174585">
            <w:pPr>
              <w:rPr>
                <w:rFonts w:cs="Arial"/>
                <w:b/>
                <w:bCs/>
                <w:szCs w:val="16"/>
              </w:rPr>
            </w:pPr>
            <w:r>
              <w:rPr>
                <w:b/>
                <w:bCs/>
              </w:rPr>
              <w:t>Outcome B: Knowledge and Skills</w:t>
            </w:r>
            <w:r>
              <w:rPr>
                <w:b/>
                <w:bCs/>
              </w:rPr>
              <w:br/>
            </w:r>
            <w:r>
              <w:rPr>
                <w:rFonts w:cs="Arial"/>
                <w:b/>
                <w:bCs/>
                <w:szCs w:val="16"/>
              </w:rPr>
              <w:t>SS2 (%)</w:t>
            </w:r>
          </w:p>
        </w:tc>
        <w:tc>
          <w:tcPr>
            <w:tcW w:w="714" w:type="pct"/>
          </w:tcPr>
          <w:p w14:paraId="039A9FF7" w14:textId="316334C8" w:rsidR="00174585" w:rsidRPr="00174585" w:rsidRDefault="00174585" w:rsidP="00174585">
            <w:pPr>
              <w:rPr>
                <w:rFonts w:cs="Arial"/>
                <w:b/>
                <w:bCs/>
                <w:szCs w:val="16"/>
              </w:rPr>
            </w:pPr>
            <w:r w:rsidRPr="00174585">
              <w:rPr>
                <w:b/>
                <w:bCs/>
              </w:rPr>
              <w:t xml:space="preserve">Outcome C: Actions to Meet Needs </w:t>
            </w:r>
            <w:r w:rsidR="00691386">
              <w:rPr>
                <w:b/>
                <w:bCs/>
              </w:rPr>
              <w:br/>
            </w:r>
            <w:r w:rsidRPr="00174585">
              <w:rPr>
                <w:b/>
                <w:bCs/>
              </w:rPr>
              <w:t>SS1 (%)</w:t>
            </w:r>
          </w:p>
        </w:tc>
        <w:tc>
          <w:tcPr>
            <w:tcW w:w="713" w:type="pct"/>
          </w:tcPr>
          <w:p w14:paraId="5DF76C45" w14:textId="49D6604E" w:rsidR="00174585" w:rsidRPr="00174585" w:rsidRDefault="00174585" w:rsidP="00174585">
            <w:pPr>
              <w:rPr>
                <w:rFonts w:cs="Arial"/>
                <w:b/>
                <w:bCs/>
                <w:szCs w:val="16"/>
              </w:rPr>
            </w:pPr>
            <w:r w:rsidRPr="00174585">
              <w:rPr>
                <w:b/>
                <w:bCs/>
              </w:rPr>
              <w:t>Outcome C: Actions to Meet Needs</w:t>
            </w:r>
            <w:r w:rsidR="00691386">
              <w:rPr>
                <w:b/>
                <w:bCs/>
              </w:rPr>
              <w:br/>
            </w:r>
            <w:r w:rsidRPr="00174585">
              <w:rPr>
                <w:b/>
                <w:bCs/>
              </w:rPr>
              <w:t>SS2 (%)</w:t>
            </w:r>
          </w:p>
        </w:tc>
      </w:tr>
      <w:tr w:rsidR="00B03B19" w:rsidRPr="00210AC6" w14:paraId="7236D15C" w14:textId="77777777" w:rsidTr="00B03B19">
        <w:tc>
          <w:tcPr>
            <w:tcW w:w="715" w:type="pct"/>
          </w:tcPr>
          <w:p w14:paraId="69BEB1D2" w14:textId="7BEE94CD" w:rsidR="00B03B19" w:rsidRPr="00A96CE2" w:rsidRDefault="00B03B19" w:rsidP="00B03B19">
            <w:pPr>
              <w:rPr>
                <w:rFonts w:cs="Arial"/>
                <w:b/>
                <w:bCs/>
                <w:szCs w:val="16"/>
              </w:rPr>
            </w:pPr>
            <w:r w:rsidRPr="00A96CE2">
              <w:rPr>
                <w:b/>
                <w:bCs/>
              </w:rPr>
              <w:t xml:space="preserve">FFY 2021 </w:t>
            </w:r>
          </w:p>
        </w:tc>
        <w:tc>
          <w:tcPr>
            <w:tcW w:w="715" w:type="pct"/>
          </w:tcPr>
          <w:p w14:paraId="6EA65C2C" w14:textId="7C1F88CF" w:rsidR="00B03B19" w:rsidRPr="00210AC6" w:rsidRDefault="00B03B19" w:rsidP="00B03B19">
            <w:pPr>
              <w:rPr>
                <w:rFonts w:cs="Arial"/>
                <w:szCs w:val="16"/>
              </w:rPr>
            </w:pPr>
            <w:r w:rsidRPr="00A46401">
              <w:t>50.06%</w:t>
            </w:r>
          </w:p>
        </w:tc>
        <w:tc>
          <w:tcPr>
            <w:tcW w:w="715" w:type="pct"/>
          </w:tcPr>
          <w:p w14:paraId="542CEEB9" w14:textId="37E21014" w:rsidR="00B03B19" w:rsidRPr="00210AC6" w:rsidRDefault="00B03B19" w:rsidP="00B03B19">
            <w:pPr>
              <w:rPr>
                <w:rFonts w:cs="Arial"/>
                <w:szCs w:val="16"/>
              </w:rPr>
            </w:pPr>
            <w:r w:rsidRPr="00A46401">
              <w:t>61.07%</w:t>
            </w:r>
          </w:p>
        </w:tc>
        <w:tc>
          <w:tcPr>
            <w:tcW w:w="714" w:type="pct"/>
          </w:tcPr>
          <w:p w14:paraId="082867DD" w14:textId="7F23B051" w:rsidR="00B03B19" w:rsidRPr="00210AC6" w:rsidRDefault="00B03B19" w:rsidP="00B03B19">
            <w:pPr>
              <w:rPr>
                <w:rFonts w:cs="Arial"/>
                <w:szCs w:val="16"/>
              </w:rPr>
            </w:pPr>
            <w:r w:rsidRPr="00A46401">
              <w:t>75.32%</w:t>
            </w:r>
          </w:p>
        </w:tc>
        <w:tc>
          <w:tcPr>
            <w:tcW w:w="714" w:type="pct"/>
          </w:tcPr>
          <w:p w14:paraId="798EA0C8" w14:textId="2776FB61" w:rsidR="00B03B19" w:rsidRPr="00210AC6" w:rsidRDefault="00B03B19" w:rsidP="00B03B19">
            <w:pPr>
              <w:rPr>
                <w:rFonts w:cs="Arial"/>
                <w:szCs w:val="16"/>
              </w:rPr>
            </w:pPr>
            <w:r w:rsidRPr="00A46401">
              <w:t>31.24%</w:t>
            </w:r>
          </w:p>
        </w:tc>
        <w:tc>
          <w:tcPr>
            <w:tcW w:w="714" w:type="pct"/>
          </w:tcPr>
          <w:p w14:paraId="53B8C0FF" w14:textId="1ABA1A1C" w:rsidR="00B03B19" w:rsidRPr="00210AC6" w:rsidRDefault="00B03B19" w:rsidP="00B03B19">
            <w:pPr>
              <w:rPr>
                <w:rFonts w:cs="Arial"/>
                <w:szCs w:val="16"/>
              </w:rPr>
            </w:pPr>
            <w:r w:rsidRPr="00A46401">
              <w:t>86.35%</w:t>
            </w:r>
          </w:p>
        </w:tc>
        <w:tc>
          <w:tcPr>
            <w:tcW w:w="713" w:type="pct"/>
          </w:tcPr>
          <w:p w14:paraId="71D0CC34" w14:textId="38E23520" w:rsidR="00B03B19" w:rsidRPr="00210AC6" w:rsidRDefault="00B03B19" w:rsidP="00B03B19">
            <w:pPr>
              <w:rPr>
                <w:rFonts w:cs="Arial"/>
                <w:szCs w:val="16"/>
              </w:rPr>
            </w:pPr>
            <w:r w:rsidRPr="00A46401">
              <w:t>49.31%</w:t>
            </w:r>
          </w:p>
        </w:tc>
      </w:tr>
      <w:tr w:rsidR="00A96CE2" w:rsidRPr="00210AC6" w14:paraId="135D1E67" w14:textId="77777777" w:rsidTr="00B03B19">
        <w:tc>
          <w:tcPr>
            <w:tcW w:w="715" w:type="pct"/>
          </w:tcPr>
          <w:p w14:paraId="69E847AA" w14:textId="6F26B119" w:rsidR="00A96CE2" w:rsidRPr="00A96CE2" w:rsidRDefault="00A96CE2" w:rsidP="00A96CE2">
            <w:pPr>
              <w:rPr>
                <w:rFonts w:cs="Arial"/>
                <w:b/>
                <w:bCs/>
                <w:szCs w:val="16"/>
              </w:rPr>
            </w:pPr>
            <w:r w:rsidRPr="00A96CE2">
              <w:rPr>
                <w:b/>
                <w:bCs/>
              </w:rPr>
              <w:t xml:space="preserve">FFY 2020 </w:t>
            </w:r>
          </w:p>
        </w:tc>
        <w:tc>
          <w:tcPr>
            <w:tcW w:w="715" w:type="pct"/>
          </w:tcPr>
          <w:p w14:paraId="0F12421E" w14:textId="435DC4F0" w:rsidR="00A96CE2" w:rsidRPr="00210AC6" w:rsidRDefault="00A96CE2" w:rsidP="00A96CE2">
            <w:pPr>
              <w:rPr>
                <w:rFonts w:cs="Arial"/>
                <w:szCs w:val="16"/>
              </w:rPr>
            </w:pPr>
            <w:r w:rsidRPr="00902025">
              <w:t>49.31%</w:t>
            </w:r>
          </w:p>
        </w:tc>
        <w:tc>
          <w:tcPr>
            <w:tcW w:w="715" w:type="pct"/>
          </w:tcPr>
          <w:p w14:paraId="4A7F27F4" w14:textId="16E8DAC9" w:rsidR="00A96CE2" w:rsidRPr="00210AC6" w:rsidRDefault="00A96CE2" w:rsidP="00A96CE2">
            <w:pPr>
              <w:rPr>
                <w:rFonts w:cs="Arial"/>
                <w:szCs w:val="16"/>
              </w:rPr>
            </w:pPr>
            <w:r w:rsidRPr="00902025">
              <w:t>64.37%</w:t>
            </w:r>
          </w:p>
        </w:tc>
        <w:tc>
          <w:tcPr>
            <w:tcW w:w="714" w:type="pct"/>
          </w:tcPr>
          <w:p w14:paraId="0B2C982E" w14:textId="60B64CC6" w:rsidR="00A96CE2" w:rsidRPr="00210AC6" w:rsidRDefault="00A96CE2" w:rsidP="00A96CE2">
            <w:pPr>
              <w:rPr>
                <w:rFonts w:cs="Arial"/>
                <w:szCs w:val="16"/>
              </w:rPr>
            </w:pPr>
            <w:r w:rsidRPr="00902025">
              <w:t>77.63%</w:t>
            </w:r>
          </w:p>
        </w:tc>
        <w:tc>
          <w:tcPr>
            <w:tcW w:w="714" w:type="pct"/>
          </w:tcPr>
          <w:p w14:paraId="48D6DCB3" w14:textId="035BCB73" w:rsidR="00A96CE2" w:rsidRPr="00210AC6" w:rsidRDefault="00A96CE2" w:rsidP="00A96CE2">
            <w:pPr>
              <w:rPr>
                <w:rFonts w:cs="Arial"/>
                <w:szCs w:val="16"/>
              </w:rPr>
            </w:pPr>
            <w:r w:rsidRPr="00902025">
              <w:t>19.89%</w:t>
            </w:r>
          </w:p>
        </w:tc>
        <w:tc>
          <w:tcPr>
            <w:tcW w:w="714" w:type="pct"/>
          </w:tcPr>
          <w:p w14:paraId="75DD9D82" w14:textId="41901A3C" w:rsidR="00A96CE2" w:rsidRPr="00210AC6" w:rsidRDefault="00A96CE2" w:rsidP="00A96CE2">
            <w:pPr>
              <w:rPr>
                <w:rFonts w:cs="Arial"/>
                <w:szCs w:val="16"/>
              </w:rPr>
            </w:pPr>
            <w:r w:rsidRPr="00902025">
              <w:t>84.04%</w:t>
            </w:r>
          </w:p>
        </w:tc>
        <w:tc>
          <w:tcPr>
            <w:tcW w:w="713" w:type="pct"/>
          </w:tcPr>
          <w:p w14:paraId="51F0864D" w14:textId="7593AA05" w:rsidR="00A96CE2" w:rsidRPr="00210AC6" w:rsidRDefault="00A96CE2" w:rsidP="00A96CE2">
            <w:pPr>
              <w:rPr>
                <w:rFonts w:cs="Arial"/>
                <w:szCs w:val="16"/>
              </w:rPr>
            </w:pPr>
            <w:r w:rsidRPr="00902025">
              <w:t>41.97%</w:t>
            </w:r>
          </w:p>
        </w:tc>
      </w:tr>
    </w:tbl>
    <w:p w14:paraId="3193F46C" w14:textId="77777777" w:rsidR="004A7ECD" w:rsidRDefault="004A7ECD" w:rsidP="000135C2">
      <w:pPr>
        <w:rPr>
          <w:rFonts w:cs="Arial"/>
          <w:b/>
          <w:bCs/>
          <w:szCs w:val="16"/>
        </w:rPr>
      </w:pPr>
    </w:p>
    <w:p w14:paraId="74389200" w14:textId="77777777" w:rsidR="004A7ECD" w:rsidRDefault="004A7ECD">
      <w:pPr>
        <w:spacing w:before="0" w:after="200" w:line="276" w:lineRule="auto"/>
        <w:rPr>
          <w:rFonts w:cs="Arial"/>
          <w:b/>
          <w:bCs/>
          <w:szCs w:val="16"/>
        </w:rPr>
      </w:pPr>
      <w:r>
        <w:rPr>
          <w:rFonts w:cs="Arial"/>
          <w:b/>
          <w:bCs/>
          <w:szCs w:val="16"/>
        </w:rPr>
        <w:br w:type="page"/>
      </w:r>
    </w:p>
    <w:p w14:paraId="1C4AF9EF" w14:textId="1414922D" w:rsidR="000135C2" w:rsidRDefault="000135C2" w:rsidP="000135C2">
      <w:pPr>
        <w:rPr>
          <w:rFonts w:cs="Arial"/>
          <w:b/>
          <w:bCs/>
          <w:szCs w:val="16"/>
        </w:rPr>
      </w:pPr>
      <w:r w:rsidRPr="00210AC6">
        <w:rPr>
          <w:rFonts w:cs="Arial"/>
          <w:b/>
          <w:bCs/>
          <w:szCs w:val="16"/>
        </w:rPr>
        <w:lastRenderedPageBreak/>
        <w:t>2023 Part C Compliance Matrix</w:t>
      </w:r>
    </w:p>
    <w:p w14:paraId="250C6640" w14:textId="77777777" w:rsidR="00A14B29" w:rsidRPr="00210AC6" w:rsidRDefault="00A14B29" w:rsidP="000135C2">
      <w:pPr>
        <w:rPr>
          <w:rFonts w:cs="Arial"/>
          <w:b/>
          <w:bCs/>
          <w:szCs w:val="16"/>
        </w:rPr>
      </w:pPr>
    </w:p>
    <w:tbl>
      <w:tblPr>
        <w:tblStyle w:val="TableGrid1"/>
        <w:tblW w:w="5004" w:type="pct"/>
        <w:tblLayout w:type="fixed"/>
        <w:tblLook w:val="04A0" w:firstRow="1" w:lastRow="0" w:firstColumn="1" w:lastColumn="0" w:noHBand="0" w:noVBand="1"/>
        <w:tblCaption w:val="CENNSRSTCFFYCMP"/>
      </w:tblPr>
      <w:tblGrid>
        <w:gridCol w:w="5408"/>
        <w:gridCol w:w="1797"/>
        <w:gridCol w:w="1797"/>
        <w:gridCol w:w="1797"/>
      </w:tblGrid>
      <w:tr w:rsidR="000135C2" w:rsidRPr="00210AC6" w14:paraId="5773F686" w14:textId="77777777" w:rsidTr="00C452AB">
        <w:trPr>
          <w:tblHeader/>
        </w:trPr>
        <w:tc>
          <w:tcPr>
            <w:tcW w:w="2504" w:type="pct"/>
          </w:tcPr>
          <w:p w14:paraId="0362FF60" w14:textId="352230AD" w:rsidR="000135C2" w:rsidRPr="00210AC6" w:rsidRDefault="000135C2" w:rsidP="00C452AB">
            <w:pPr>
              <w:rPr>
                <w:rFonts w:cs="Arial"/>
                <w:b/>
                <w:bCs/>
                <w:szCs w:val="16"/>
              </w:rPr>
            </w:pPr>
            <w:r w:rsidRPr="00210AC6">
              <w:rPr>
                <w:rFonts w:cs="Arial"/>
                <w:b/>
                <w:bCs/>
                <w:szCs w:val="16"/>
              </w:rPr>
              <w:t>Part C Compliance Indicator</w:t>
            </w:r>
            <w:r w:rsidRPr="00210AC6">
              <w:rPr>
                <w:rStyle w:val="FootnoteReference"/>
                <w:rFonts w:cs="Arial"/>
                <w:b/>
                <w:bCs/>
                <w:szCs w:val="16"/>
              </w:rPr>
              <w:footnoteReference w:id="7"/>
            </w:r>
          </w:p>
        </w:tc>
        <w:tc>
          <w:tcPr>
            <w:tcW w:w="832" w:type="pct"/>
          </w:tcPr>
          <w:p w14:paraId="07EBA62C" w14:textId="77777777" w:rsidR="000135C2" w:rsidRPr="00210AC6" w:rsidRDefault="000135C2" w:rsidP="00C452AB">
            <w:pPr>
              <w:rPr>
                <w:rFonts w:cs="Arial"/>
                <w:b/>
                <w:bCs/>
                <w:szCs w:val="16"/>
              </w:rPr>
            </w:pPr>
            <w:r w:rsidRPr="00210AC6">
              <w:rPr>
                <w:rFonts w:cs="Arial"/>
                <w:b/>
                <w:bCs/>
                <w:szCs w:val="16"/>
              </w:rPr>
              <w:t xml:space="preserve">Performance (%) </w:t>
            </w:r>
          </w:p>
        </w:tc>
        <w:tc>
          <w:tcPr>
            <w:tcW w:w="832" w:type="pct"/>
          </w:tcPr>
          <w:p w14:paraId="7652A479" w14:textId="77777777" w:rsidR="000135C2" w:rsidRPr="00210AC6" w:rsidRDefault="000135C2" w:rsidP="00C452AB">
            <w:pPr>
              <w:rPr>
                <w:rFonts w:cs="Arial"/>
                <w:b/>
                <w:bCs/>
                <w:szCs w:val="16"/>
              </w:rPr>
            </w:pPr>
            <w:r w:rsidRPr="00210AC6">
              <w:rPr>
                <w:rFonts w:cs="Arial"/>
                <w:b/>
                <w:bCs/>
                <w:szCs w:val="16"/>
              </w:rPr>
              <w:t>Full Correction of Findings of Noncompliance Identified in FFY 2020</w:t>
            </w:r>
          </w:p>
        </w:tc>
        <w:tc>
          <w:tcPr>
            <w:tcW w:w="832" w:type="pct"/>
          </w:tcPr>
          <w:p w14:paraId="5B7CA287" w14:textId="77777777" w:rsidR="000135C2" w:rsidRPr="00210AC6" w:rsidRDefault="000135C2" w:rsidP="00C452AB">
            <w:pPr>
              <w:rPr>
                <w:rFonts w:cs="Arial"/>
                <w:b/>
                <w:bCs/>
                <w:szCs w:val="16"/>
              </w:rPr>
            </w:pPr>
            <w:r w:rsidRPr="00210AC6">
              <w:rPr>
                <w:rFonts w:cs="Arial"/>
                <w:b/>
                <w:bCs/>
                <w:szCs w:val="16"/>
              </w:rPr>
              <w:t>Score</w:t>
            </w:r>
          </w:p>
        </w:tc>
      </w:tr>
      <w:tr w:rsidR="00CD6106" w:rsidRPr="00210AC6" w14:paraId="0F78BCB1" w14:textId="77777777" w:rsidTr="00C452AB">
        <w:tc>
          <w:tcPr>
            <w:tcW w:w="2504" w:type="pct"/>
          </w:tcPr>
          <w:p w14:paraId="16C55896" w14:textId="39ECCBBA" w:rsidR="00CD6106" w:rsidRPr="00744585" w:rsidRDefault="00CD6106" w:rsidP="00CD6106">
            <w:pPr>
              <w:rPr>
                <w:rFonts w:cs="Arial"/>
                <w:b/>
                <w:bCs/>
                <w:szCs w:val="16"/>
              </w:rPr>
            </w:pPr>
            <w:r w:rsidRPr="00744585">
              <w:rPr>
                <w:b/>
                <w:bCs/>
              </w:rPr>
              <w:t>Indicator 1: Timely service provision</w:t>
            </w:r>
          </w:p>
        </w:tc>
        <w:tc>
          <w:tcPr>
            <w:tcW w:w="832" w:type="pct"/>
          </w:tcPr>
          <w:p w14:paraId="2BE4272B" w14:textId="2224AC6A" w:rsidR="00CD6106" w:rsidRPr="00210AC6" w:rsidRDefault="00CD6106" w:rsidP="00CD6106">
            <w:pPr>
              <w:rPr>
                <w:rFonts w:cs="Arial"/>
                <w:szCs w:val="16"/>
              </w:rPr>
            </w:pPr>
            <w:r w:rsidRPr="00507C8C">
              <w:t>99.58%</w:t>
            </w:r>
          </w:p>
        </w:tc>
        <w:tc>
          <w:tcPr>
            <w:tcW w:w="832" w:type="pct"/>
          </w:tcPr>
          <w:p w14:paraId="6ABF6AB2" w14:textId="6D5B638F" w:rsidR="00CD6106" w:rsidRPr="00210AC6" w:rsidRDefault="00CD6106" w:rsidP="00CD6106">
            <w:pPr>
              <w:rPr>
                <w:rFonts w:cs="Arial"/>
                <w:szCs w:val="16"/>
              </w:rPr>
            </w:pPr>
            <w:r w:rsidRPr="00952E24">
              <w:t>N/A</w:t>
            </w:r>
          </w:p>
        </w:tc>
        <w:tc>
          <w:tcPr>
            <w:tcW w:w="832" w:type="pct"/>
          </w:tcPr>
          <w:p w14:paraId="4C6D12D8" w14:textId="0B3C844F" w:rsidR="00CD6106" w:rsidRPr="00210AC6" w:rsidRDefault="00CD6106" w:rsidP="00CD6106">
            <w:pPr>
              <w:rPr>
                <w:rFonts w:cs="Arial"/>
                <w:szCs w:val="16"/>
              </w:rPr>
            </w:pPr>
            <w:r w:rsidRPr="00A55644">
              <w:t>2</w:t>
            </w:r>
          </w:p>
        </w:tc>
      </w:tr>
      <w:tr w:rsidR="00CD6106" w:rsidRPr="00210AC6" w14:paraId="49964228" w14:textId="77777777" w:rsidTr="00C452AB">
        <w:tc>
          <w:tcPr>
            <w:tcW w:w="2504" w:type="pct"/>
          </w:tcPr>
          <w:p w14:paraId="25EB8C13" w14:textId="46B7DF5A" w:rsidR="00CD6106" w:rsidRPr="00744585" w:rsidRDefault="00CD6106" w:rsidP="00CD6106">
            <w:pPr>
              <w:rPr>
                <w:rFonts w:cs="Arial"/>
                <w:b/>
                <w:bCs/>
                <w:szCs w:val="16"/>
              </w:rPr>
            </w:pPr>
            <w:r w:rsidRPr="00744585">
              <w:rPr>
                <w:b/>
                <w:bCs/>
              </w:rPr>
              <w:t>Indicator 7: 45-day timeline</w:t>
            </w:r>
          </w:p>
        </w:tc>
        <w:tc>
          <w:tcPr>
            <w:tcW w:w="832" w:type="pct"/>
          </w:tcPr>
          <w:p w14:paraId="58696A1A" w14:textId="6B178415" w:rsidR="00CD6106" w:rsidRPr="00210AC6" w:rsidRDefault="00CD6106" w:rsidP="00CD6106">
            <w:pPr>
              <w:rPr>
                <w:rFonts w:cs="Arial"/>
                <w:szCs w:val="16"/>
              </w:rPr>
            </w:pPr>
            <w:r w:rsidRPr="00507C8C">
              <w:t>98.44%</w:t>
            </w:r>
          </w:p>
        </w:tc>
        <w:tc>
          <w:tcPr>
            <w:tcW w:w="832" w:type="pct"/>
          </w:tcPr>
          <w:p w14:paraId="5F183FEF" w14:textId="40ACE9C9" w:rsidR="00CD6106" w:rsidRPr="00210AC6" w:rsidRDefault="00CD6106" w:rsidP="00CD6106">
            <w:pPr>
              <w:rPr>
                <w:rFonts w:cs="Arial"/>
                <w:szCs w:val="16"/>
              </w:rPr>
            </w:pPr>
            <w:r w:rsidRPr="00952E24">
              <w:t>N/A</w:t>
            </w:r>
          </w:p>
        </w:tc>
        <w:tc>
          <w:tcPr>
            <w:tcW w:w="832" w:type="pct"/>
          </w:tcPr>
          <w:p w14:paraId="4059A185" w14:textId="15F2592F" w:rsidR="00CD6106" w:rsidRPr="00210AC6" w:rsidRDefault="00CD6106" w:rsidP="00CD6106">
            <w:pPr>
              <w:rPr>
                <w:rFonts w:cs="Arial"/>
                <w:szCs w:val="16"/>
              </w:rPr>
            </w:pPr>
            <w:r w:rsidRPr="00A55644">
              <w:t>2</w:t>
            </w:r>
          </w:p>
        </w:tc>
      </w:tr>
      <w:tr w:rsidR="00CD6106" w:rsidRPr="00210AC6" w14:paraId="3178E6C8" w14:textId="77777777" w:rsidTr="00C452AB">
        <w:tc>
          <w:tcPr>
            <w:tcW w:w="2504" w:type="pct"/>
          </w:tcPr>
          <w:p w14:paraId="2474E661" w14:textId="014447CB" w:rsidR="00CD6106" w:rsidRPr="00744585" w:rsidRDefault="00CD6106" w:rsidP="00CD6106">
            <w:pPr>
              <w:rPr>
                <w:rFonts w:cs="Arial"/>
                <w:b/>
                <w:bCs/>
                <w:szCs w:val="16"/>
              </w:rPr>
            </w:pPr>
            <w:r w:rsidRPr="00744585">
              <w:rPr>
                <w:b/>
                <w:bCs/>
              </w:rPr>
              <w:t>Indicator 8A: Timely transition plan</w:t>
            </w:r>
          </w:p>
        </w:tc>
        <w:tc>
          <w:tcPr>
            <w:tcW w:w="832" w:type="pct"/>
          </w:tcPr>
          <w:p w14:paraId="33B6D5A8" w14:textId="433954B6" w:rsidR="00CD6106" w:rsidRPr="00210AC6" w:rsidRDefault="00CD6106" w:rsidP="00CD6106">
            <w:pPr>
              <w:rPr>
                <w:rFonts w:cs="Arial"/>
                <w:szCs w:val="16"/>
              </w:rPr>
            </w:pPr>
            <w:r w:rsidRPr="00507C8C">
              <w:t>99.07%</w:t>
            </w:r>
          </w:p>
        </w:tc>
        <w:tc>
          <w:tcPr>
            <w:tcW w:w="832" w:type="pct"/>
          </w:tcPr>
          <w:p w14:paraId="082F4D46" w14:textId="2147F3C3" w:rsidR="00CD6106" w:rsidRPr="00210AC6" w:rsidRDefault="00CD6106" w:rsidP="00CD6106">
            <w:pPr>
              <w:rPr>
                <w:rFonts w:cs="Arial"/>
                <w:szCs w:val="16"/>
              </w:rPr>
            </w:pPr>
            <w:r w:rsidRPr="00952E24">
              <w:t>N/A</w:t>
            </w:r>
          </w:p>
        </w:tc>
        <w:tc>
          <w:tcPr>
            <w:tcW w:w="832" w:type="pct"/>
          </w:tcPr>
          <w:p w14:paraId="19B43599" w14:textId="6DAFB7B2" w:rsidR="00CD6106" w:rsidRPr="00210AC6" w:rsidRDefault="00CD6106" w:rsidP="00CD6106">
            <w:pPr>
              <w:rPr>
                <w:rFonts w:cs="Arial"/>
                <w:szCs w:val="16"/>
              </w:rPr>
            </w:pPr>
            <w:r w:rsidRPr="00A55644">
              <w:t>2</w:t>
            </w:r>
          </w:p>
        </w:tc>
      </w:tr>
      <w:tr w:rsidR="00CD6106" w:rsidRPr="00210AC6" w14:paraId="36A4B7FF" w14:textId="77777777" w:rsidTr="00C452AB">
        <w:tc>
          <w:tcPr>
            <w:tcW w:w="2504" w:type="pct"/>
          </w:tcPr>
          <w:p w14:paraId="063A42FA" w14:textId="409F9B89" w:rsidR="00CD6106" w:rsidRPr="00744585" w:rsidRDefault="00CD6106" w:rsidP="00CD6106">
            <w:pPr>
              <w:rPr>
                <w:rFonts w:cs="Arial"/>
                <w:b/>
                <w:bCs/>
                <w:szCs w:val="16"/>
              </w:rPr>
            </w:pPr>
            <w:r w:rsidRPr="00744585">
              <w:rPr>
                <w:b/>
                <w:bCs/>
              </w:rPr>
              <w:t>Indicator 8B: Transition notification</w:t>
            </w:r>
          </w:p>
        </w:tc>
        <w:tc>
          <w:tcPr>
            <w:tcW w:w="832" w:type="pct"/>
          </w:tcPr>
          <w:p w14:paraId="04282CC4" w14:textId="363A58FC" w:rsidR="00CD6106" w:rsidRPr="00210AC6" w:rsidRDefault="00CD6106" w:rsidP="00CD6106">
            <w:pPr>
              <w:rPr>
                <w:rFonts w:cs="Arial"/>
                <w:szCs w:val="16"/>
              </w:rPr>
            </w:pPr>
            <w:r w:rsidRPr="00507C8C">
              <w:t>78.24%</w:t>
            </w:r>
          </w:p>
        </w:tc>
        <w:tc>
          <w:tcPr>
            <w:tcW w:w="832" w:type="pct"/>
          </w:tcPr>
          <w:p w14:paraId="144A1AAC" w14:textId="3EFE5F13" w:rsidR="00CD6106" w:rsidRPr="00210AC6" w:rsidRDefault="00CD6106" w:rsidP="00CD6106">
            <w:pPr>
              <w:rPr>
                <w:rFonts w:cs="Arial"/>
                <w:szCs w:val="16"/>
              </w:rPr>
            </w:pPr>
            <w:r w:rsidRPr="00952E24">
              <w:t>N/A</w:t>
            </w:r>
          </w:p>
        </w:tc>
        <w:tc>
          <w:tcPr>
            <w:tcW w:w="832" w:type="pct"/>
          </w:tcPr>
          <w:p w14:paraId="79EDE630" w14:textId="396018F4" w:rsidR="00CD6106" w:rsidRPr="00210AC6" w:rsidRDefault="00CD6106" w:rsidP="00CD6106">
            <w:pPr>
              <w:rPr>
                <w:rFonts w:cs="Arial"/>
                <w:szCs w:val="16"/>
              </w:rPr>
            </w:pPr>
            <w:r w:rsidRPr="00A55644">
              <w:t>1</w:t>
            </w:r>
          </w:p>
        </w:tc>
      </w:tr>
      <w:tr w:rsidR="00CD6106" w:rsidRPr="00210AC6" w14:paraId="03F7FEC0" w14:textId="77777777" w:rsidTr="00C452AB">
        <w:tc>
          <w:tcPr>
            <w:tcW w:w="2504" w:type="pct"/>
          </w:tcPr>
          <w:p w14:paraId="68339584" w14:textId="21FB775D" w:rsidR="00CD6106" w:rsidRPr="00744585" w:rsidRDefault="00CD6106" w:rsidP="00CD6106">
            <w:pPr>
              <w:rPr>
                <w:rFonts w:cs="Arial"/>
                <w:b/>
                <w:bCs/>
                <w:szCs w:val="16"/>
              </w:rPr>
            </w:pPr>
            <w:r w:rsidRPr="00744585">
              <w:rPr>
                <w:b/>
                <w:bCs/>
              </w:rPr>
              <w:t>Indicator 8C: Timely transition conference</w:t>
            </w:r>
          </w:p>
        </w:tc>
        <w:tc>
          <w:tcPr>
            <w:tcW w:w="832" w:type="pct"/>
          </w:tcPr>
          <w:p w14:paraId="1DFBC7AA" w14:textId="4ADC5371" w:rsidR="00CD6106" w:rsidRPr="00210AC6" w:rsidRDefault="00CD6106" w:rsidP="00CD6106">
            <w:pPr>
              <w:rPr>
                <w:rFonts w:cs="Arial"/>
                <w:szCs w:val="16"/>
              </w:rPr>
            </w:pPr>
            <w:r w:rsidRPr="00507C8C">
              <w:t>98.72%</w:t>
            </w:r>
          </w:p>
        </w:tc>
        <w:tc>
          <w:tcPr>
            <w:tcW w:w="832" w:type="pct"/>
          </w:tcPr>
          <w:p w14:paraId="5F278F03" w14:textId="64084F84" w:rsidR="00CD6106" w:rsidRPr="00210AC6" w:rsidRDefault="00CD6106" w:rsidP="00CD6106">
            <w:pPr>
              <w:rPr>
                <w:rFonts w:cs="Arial"/>
                <w:szCs w:val="16"/>
              </w:rPr>
            </w:pPr>
            <w:r w:rsidRPr="00952E24">
              <w:t>N/A</w:t>
            </w:r>
          </w:p>
        </w:tc>
        <w:tc>
          <w:tcPr>
            <w:tcW w:w="832" w:type="pct"/>
          </w:tcPr>
          <w:p w14:paraId="0BA64028" w14:textId="34BADFBB" w:rsidR="00CD6106" w:rsidRPr="00210AC6" w:rsidRDefault="00CD6106" w:rsidP="00CD6106">
            <w:pPr>
              <w:rPr>
                <w:rFonts w:cs="Arial"/>
                <w:szCs w:val="16"/>
              </w:rPr>
            </w:pPr>
            <w:r w:rsidRPr="00A55644">
              <w:t>2</w:t>
            </w:r>
          </w:p>
        </w:tc>
      </w:tr>
      <w:tr w:rsidR="00CD6106" w:rsidRPr="00210AC6" w14:paraId="32E4E6F4" w14:textId="77777777" w:rsidTr="00CD6106">
        <w:tc>
          <w:tcPr>
            <w:tcW w:w="2504" w:type="pct"/>
          </w:tcPr>
          <w:p w14:paraId="5BF4B269" w14:textId="077DB3CA" w:rsidR="00CD6106" w:rsidRPr="00744585" w:rsidRDefault="00CD6106" w:rsidP="00CD6106">
            <w:pPr>
              <w:rPr>
                <w:rFonts w:cs="Arial"/>
                <w:b/>
                <w:bCs/>
                <w:szCs w:val="16"/>
              </w:rPr>
            </w:pPr>
            <w:r w:rsidRPr="00744585">
              <w:rPr>
                <w:b/>
                <w:bCs/>
              </w:rPr>
              <w:t>Timely and Accurate State-Reported Data</w:t>
            </w:r>
          </w:p>
        </w:tc>
        <w:tc>
          <w:tcPr>
            <w:tcW w:w="832" w:type="pct"/>
          </w:tcPr>
          <w:p w14:paraId="556D5BDB" w14:textId="6626AD04" w:rsidR="00CD6106" w:rsidRPr="00210AC6" w:rsidRDefault="00CD6106" w:rsidP="00CD6106">
            <w:pPr>
              <w:rPr>
                <w:rFonts w:cs="Arial"/>
                <w:szCs w:val="16"/>
              </w:rPr>
            </w:pPr>
            <w:r w:rsidRPr="00507C8C">
              <w:t>100.00%</w:t>
            </w:r>
          </w:p>
        </w:tc>
        <w:tc>
          <w:tcPr>
            <w:tcW w:w="832" w:type="pct"/>
            <w:shd w:val="clear" w:color="auto" w:fill="BFBFBF" w:themeFill="background1" w:themeFillShade="BF"/>
          </w:tcPr>
          <w:p w14:paraId="5F69C81C" w14:textId="724484CE" w:rsidR="00CD6106" w:rsidRPr="00210AC6" w:rsidRDefault="00CD6106" w:rsidP="00CD6106">
            <w:pPr>
              <w:rPr>
                <w:rFonts w:cs="Arial"/>
                <w:szCs w:val="16"/>
              </w:rPr>
            </w:pPr>
          </w:p>
        </w:tc>
        <w:tc>
          <w:tcPr>
            <w:tcW w:w="832" w:type="pct"/>
          </w:tcPr>
          <w:p w14:paraId="782EB50F" w14:textId="48C7E70F" w:rsidR="00CD6106" w:rsidRPr="00210AC6" w:rsidRDefault="00CD6106" w:rsidP="00CD6106">
            <w:pPr>
              <w:rPr>
                <w:rFonts w:cs="Arial"/>
                <w:szCs w:val="16"/>
              </w:rPr>
            </w:pPr>
            <w:r w:rsidRPr="00A55644">
              <w:t>2</w:t>
            </w:r>
          </w:p>
        </w:tc>
      </w:tr>
      <w:tr w:rsidR="00CD6106" w:rsidRPr="00210AC6" w14:paraId="7F568EB3" w14:textId="77777777" w:rsidTr="00CD6106">
        <w:tc>
          <w:tcPr>
            <w:tcW w:w="2504" w:type="pct"/>
          </w:tcPr>
          <w:p w14:paraId="127CE4B4" w14:textId="176F6137" w:rsidR="00CD6106" w:rsidRPr="00744585" w:rsidRDefault="00CD6106" w:rsidP="00CD6106">
            <w:pPr>
              <w:rPr>
                <w:rFonts w:cs="Arial"/>
                <w:b/>
                <w:bCs/>
                <w:szCs w:val="16"/>
              </w:rPr>
            </w:pPr>
            <w:r w:rsidRPr="00744585">
              <w:rPr>
                <w:b/>
                <w:bCs/>
              </w:rPr>
              <w:t>Timely State Complaint Decisions</w:t>
            </w:r>
          </w:p>
        </w:tc>
        <w:tc>
          <w:tcPr>
            <w:tcW w:w="832" w:type="pct"/>
          </w:tcPr>
          <w:p w14:paraId="5C5E7A7F" w14:textId="544E66B7" w:rsidR="00CD6106" w:rsidRPr="00210AC6" w:rsidRDefault="00CD6106" w:rsidP="00CD6106">
            <w:pPr>
              <w:rPr>
                <w:rFonts w:cs="Arial"/>
                <w:szCs w:val="16"/>
              </w:rPr>
            </w:pPr>
            <w:r w:rsidRPr="00507C8C">
              <w:t>100.00%</w:t>
            </w:r>
          </w:p>
        </w:tc>
        <w:tc>
          <w:tcPr>
            <w:tcW w:w="832" w:type="pct"/>
            <w:shd w:val="clear" w:color="auto" w:fill="BFBFBF" w:themeFill="background1" w:themeFillShade="BF"/>
          </w:tcPr>
          <w:p w14:paraId="2F8E4150" w14:textId="77777777" w:rsidR="00CD6106" w:rsidRPr="00210AC6" w:rsidRDefault="00CD6106" w:rsidP="00CD6106">
            <w:pPr>
              <w:rPr>
                <w:rFonts w:cs="Arial"/>
                <w:szCs w:val="16"/>
              </w:rPr>
            </w:pPr>
          </w:p>
        </w:tc>
        <w:tc>
          <w:tcPr>
            <w:tcW w:w="832" w:type="pct"/>
            <w:shd w:val="clear" w:color="auto" w:fill="auto"/>
          </w:tcPr>
          <w:p w14:paraId="7F6C7878" w14:textId="71F5AE25" w:rsidR="00CD6106" w:rsidRPr="00210AC6" w:rsidRDefault="00CD6106" w:rsidP="00CD6106">
            <w:pPr>
              <w:rPr>
                <w:rFonts w:cs="Arial"/>
                <w:szCs w:val="16"/>
              </w:rPr>
            </w:pPr>
            <w:r w:rsidRPr="00A55644">
              <w:t>2</w:t>
            </w:r>
          </w:p>
        </w:tc>
      </w:tr>
      <w:tr w:rsidR="00CD6106" w:rsidRPr="00210AC6" w14:paraId="6477FACC" w14:textId="77777777" w:rsidTr="00CD6106">
        <w:tc>
          <w:tcPr>
            <w:tcW w:w="2504" w:type="pct"/>
          </w:tcPr>
          <w:p w14:paraId="36AD53A7" w14:textId="10A96C7C" w:rsidR="00CD6106" w:rsidRPr="00744585" w:rsidRDefault="00CD6106" w:rsidP="00CD6106">
            <w:pPr>
              <w:rPr>
                <w:rFonts w:cs="Arial"/>
                <w:b/>
                <w:bCs/>
                <w:szCs w:val="16"/>
              </w:rPr>
            </w:pPr>
            <w:r w:rsidRPr="00744585">
              <w:rPr>
                <w:b/>
                <w:bCs/>
              </w:rPr>
              <w:t>Timely Due Process Hearing Decisions</w:t>
            </w:r>
          </w:p>
        </w:tc>
        <w:tc>
          <w:tcPr>
            <w:tcW w:w="832" w:type="pct"/>
          </w:tcPr>
          <w:p w14:paraId="326EF36D" w14:textId="1E4E29EA" w:rsidR="00CD6106" w:rsidRPr="00210AC6" w:rsidRDefault="00CD6106" w:rsidP="00CD6106">
            <w:pPr>
              <w:rPr>
                <w:rFonts w:cs="Arial"/>
                <w:szCs w:val="16"/>
              </w:rPr>
            </w:pPr>
            <w:r w:rsidRPr="00507C8C">
              <w:t>N/A</w:t>
            </w:r>
          </w:p>
        </w:tc>
        <w:tc>
          <w:tcPr>
            <w:tcW w:w="832" w:type="pct"/>
            <w:shd w:val="clear" w:color="auto" w:fill="BFBFBF" w:themeFill="background1" w:themeFillShade="BF"/>
          </w:tcPr>
          <w:p w14:paraId="657D7A8E" w14:textId="77777777" w:rsidR="00CD6106" w:rsidRPr="00210AC6" w:rsidRDefault="00CD6106" w:rsidP="00CD6106">
            <w:pPr>
              <w:rPr>
                <w:rFonts w:cs="Arial"/>
                <w:szCs w:val="16"/>
              </w:rPr>
            </w:pPr>
          </w:p>
        </w:tc>
        <w:tc>
          <w:tcPr>
            <w:tcW w:w="832" w:type="pct"/>
            <w:shd w:val="clear" w:color="auto" w:fill="auto"/>
          </w:tcPr>
          <w:p w14:paraId="19D39140" w14:textId="66532830" w:rsidR="00CD6106" w:rsidRPr="00210AC6" w:rsidRDefault="00CD6106" w:rsidP="00CD6106">
            <w:pPr>
              <w:rPr>
                <w:rFonts w:cs="Arial"/>
                <w:szCs w:val="16"/>
              </w:rPr>
            </w:pPr>
            <w:r w:rsidRPr="00A55644">
              <w:t>N/A</w:t>
            </w:r>
          </w:p>
        </w:tc>
      </w:tr>
      <w:tr w:rsidR="00CD6106" w:rsidRPr="00210AC6" w14:paraId="2D259B5E" w14:textId="77777777" w:rsidTr="00CD6106">
        <w:tc>
          <w:tcPr>
            <w:tcW w:w="2504" w:type="pct"/>
          </w:tcPr>
          <w:p w14:paraId="69DD46F0" w14:textId="59E403D9" w:rsidR="00CD6106" w:rsidRPr="00744585" w:rsidRDefault="00CD6106" w:rsidP="00CD6106">
            <w:pPr>
              <w:rPr>
                <w:rFonts w:cs="Arial"/>
                <w:b/>
                <w:bCs/>
                <w:szCs w:val="16"/>
              </w:rPr>
            </w:pPr>
            <w:r w:rsidRPr="00744585">
              <w:rPr>
                <w:b/>
                <w:bCs/>
              </w:rPr>
              <w:t>Longstanding Noncompliance</w:t>
            </w:r>
          </w:p>
        </w:tc>
        <w:tc>
          <w:tcPr>
            <w:tcW w:w="832" w:type="pct"/>
            <w:shd w:val="clear" w:color="auto" w:fill="BFBFBF" w:themeFill="background1" w:themeFillShade="BF"/>
          </w:tcPr>
          <w:p w14:paraId="68F7556E" w14:textId="6A0D323C" w:rsidR="00CD6106" w:rsidRPr="00210AC6" w:rsidRDefault="00CD6106" w:rsidP="00CD6106">
            <w:pPr>
              <w:rPr>
                <w:rFonts w:cs="Arial"/>
                <w:szCs w:val="16"/>
              </w:rPr>
            </w:pPr>
          </w:p>
        </w:tc>
        <w:tc>
          <w:tcPr>
            <w:tcW w:w="832" w:type="pct"/>
            <w:shd w:val="clear" w:color="auto" w:fill="BFBFBF" w:themeFill="background1" w:themeFillShade="BF"/>
          </w:tcPr>
          <w:p w14:paraId="73953A8B" w14:textId="77777777" w:rsidR="00CD6106" w:rsidRPr="00210AC6" w:rsidRDefault="00CD6106" w:rsidP="00CD6106">
            <w:pPr>
              <w:rPr>
                <w:rFonts w:cs="Arial"/>
                <w:szCs w:val="16"/>
              </w:rPr>
            </w:pPr>
          </w:p>
        </w:tc>
        <w:tc>
          <w:tcPr>
            <w:tcW w:w="832" w:type="pct"/>
            <w:shd w:val="clear" w:color="auto" w:fill="auto"/>
          </w:tcPr>
          <w:p w14:paraId="3EF3E1AE" w14:textId="134BF8A5" w:rsidR="00CD6106" w:rsidRPr="00210AC6" w:rsidRDefault="00CD6106" w:rsidP="00CD6106">
            <w:pPr>
              <w:rPr>
                <w:rFonts w:cs="Arial"/>
                <w:szCs w:val="16"/>
              </w:rPr>
            </w:pPr>
            <w:r w:rsidRPr="00A55644">
              <w:t>2</w:t>
            </w:r>
          </w:p>
        </w:tc>
      </w:tr>
      <w:tr w:rsidR="00D37150" w:rsidRPr="00210AC6" w14:paraId="45A6B561" w14:textId="77777777" w:rsidTr="00CD6106">
        <w:tc>
          <w:tcPr>
            <w:tcW w:w="2504" w:type="pct"/>
          </w:tcPr>
          <w:p w14:paraId="16C61FBF" w14:textId="5F88057F" w:rsidR="00D37150" w:rsidRPr="00744585" w:rsidRDefault="00D37150" w:rsidP="00CC7B98">
            <w:pPr>
              <w:ind w:left="720"/>
              <w:rPr>
                <w:rFonts w:cs="Arial"/>
                <w:b/>
                <w:bCs/>
                <w:szCs w:val="16"/>
              </w:rPr>
            </w:pPr>
            <w:r w:rsidRPr="00744585">
              <w:rPr>
                <w:b/>
                <w:bCs/>
              </w:rPr>
              <w:t>Specific Conditions</w:t>
            </w:r>
          </w:p>
        </w:tc>
        <w:tc>
          <w:tcPr>
            <w:tcW w:w="832" w:type="pct"/>
            <w:shd w:val="clear" w:color="auto" w:fill="auto"/>
          </w:tcPr>
          <w:p w14:paraId="49BC9783" w14:textId="031D5B46" w:rsidR="00D37150" w:rsidRPr="00210AC6" w:rsidRDefault="00D37150" w:rsidP="00D37150">
            <w:pPr>
              <w:rPr>
                <w:rFonts w:cs="Arial"/>
                <w:szCs w:val="16"/>
              </w:rPr>
            </w:pPr>
            <w:r w:rsidRPr="003511D1">
              <w:t>None</w:t>
            </w:r>
          </w:p>
        </w:tc>
        <w:tc>
          <w:tcPr>
            <w:tcW w:w="832" w:type="pct"/>
            <w:shd w:val="clear" w:color="auto" w:fill="BFBFBF" w:themeFill="background1" w:themeFillShade="BF"/>
          </w:tcPr>
          <w:p w14:paraId="630D4E1C" w14:textId="77777777" w:rsidR="00D37150" w:rsidRPr="00210AC6" w:rsidRDefault="00D37150" w:rsidP="00D37150">
            <w:pPr>
              <w:rPr>
                <w:rFonts w:cs="Arial"/>
                <w:szCs w:val="16"/>
              </w:rPr>
            </w:pPr>
          </w:p>
        </w:tc>
        <w:tc>
          <w:tcPr>
            <w:tcW w:w="832" w:type="pct"/>
            <w:shd w:val="clear" w:color="auto" w:fill="BFBFBF" w:themeFill="background1" w:themeFillShade="BF"/>
          </w:tcPr>
          <w:p w14:paraId="107A79FE" w14:textId="08CF9082" w:rsidR="00D37150" w:rsidRPr="00210AC6" w:rsidRDefault="00D37150" w:rsidP="00D37150">
            <w:pPr>
              <w:rPr>
                <w:rFonts w:cs="Arial"/>
                <w:szCs w:val="16"/>
              </w:rPr>
            </w:pPr>
          </w:p>
        </w:tc>
      </w:tr>
      <w:tr w:rsidR="00D37150" w:rsidRPr="00210AC6" w14:paraId="60E83BF7" w14:textId="77777777" w:rsidTr="00CD6106">
        <w:tc>
          <w:tcPr>
            <w:tcW w:w="2504" w:type="pct"/>
          </w:tcPr>
          <w:p w14:paraId="2789153E" w14:textId="5D7586C7" w:rsidR="00D37150" w:rsidRPr="00744585" w:rsidRDefault="00D37150" w:rsidP="00CC7B98">
            <w:pPr>
              <w:ind w:left="720"/>
              <w:rPr>
                <w:rFonts w:cs="Arial"/>
                <w:b/>
                <w:bCs/>
                <w:szCs w:val="16"/>
              </w:rPr>
            </w:pPr>
            <w:r w:rsidRPr="00744585">
              <w:rPr>
                <w:b/>
                <w:bCs/>
              </w:rPr>
              <w:t>Uncorrected identified noncompliance</w:t>
            </w:r>
          </w:p>
        </w:tc>
        <w:tc>
          <w:tcPr>
            <w:tcW w:w="832" w:type="pct"/>
          </w:tcPr>
          <w:p w14:paraId="5100BE8B" w14:textId="38FD3580" w:rsidR="00D37150" w:rsidRPr="00210AC6" w:rsidRDefault="00D37150" w:rsidP="00D37150">
            <w:pPr>
              <w:rPr>
                <w:rFonts w:cs="Arial"/>
                <w:szCs w:val="16"/>
              </w:rPr>
            </w:pPr>
            <w:r w:rsidRPr="003511D1">
              <w:t>None</w:t>
            </w:r>
          </w:p>
        </w:tc>
        <w:tc>
          <w:tcPr>
            <w:tcW w:w="832" w:type="pct"/>
            <w:shd w:val="clear" w:color="auto" w:fill="BFBFBF" w:themeFill="background1" w:themeFillShade="BF"/>
          </w:tcPr>
          <w:p w14:paraId="249ABE3A" w14:textId="77777777" w:rsidR="00D37150" w:rsidRPr="00210AC6" w:rsidRDefault="00D37150" w:rsidP="00D37150">
            <w:pPr>
              <w:rPr>
                <w:rFonts w:cs="Arial"/>
                <w:szCs w:val="16"/>
              </w:rPr>
            </w:pPr>
          </w:p>
        </w:tc>
        <w:tc>
          <w:tcPr>
            <w:tcW w:w="832" w:type="pct"/>
            <w:shd w:val="clear" w:color="auto" w:fill="BFBFBF" w:themeFill="background1" w:themeFillShade="BF"/>
          </w:tcPr>
          <w:p w14:paraId="5F8087D7" w14:textId="77777777" w:rsidR="00D37150" w:rsidRPr="00210AC6" w:rsidRDefault="00D37150" w:rsidP="00D37150">
            <w:pPr>
              <w:rPr>
                <w:rFonts w:cs="Arial"/>
                <w:szCs w:val="16"/>
              </w:rPr>
            </w:pPr>
          </w:p>
        </w:tc>
      </w:tr>
    </w:tbl>
    <w:p w14:paraId="39D2862A" w14:textId="4289FC32" w:rsidR="002D7557" w:rsidRDefault="002D7557" w:rsidP="000135C2">
      <w:pPr>
        <w:rPr>
          <w:rFonts w:cs="Arial"/>
          <w:b/>
          <w:szCs w:val="16"/>
        </w:rPr>
      </w:pPr>
    </w:p>
    <w:p w14:paraId="429CF3AA" w14:textId="77777777" w:rsidR="002D7557" w:rsidRDefault="002D7557">
      <w:pPr>
        <w:spacing w:before="0" w:after="200" w:line="276" w:lineRule="auto"/>
        <w:rPr>
          <w:rFonts w:cs="Arial"/>
          <w:b/>
          <w:szCs w:val="16"/>
        </w:rPr>
      </w:pPr>
      <w:r>
        <w:rPr>
          <w:rFonts w:cs="Arial"/>
          <w:b/>
          <w:szCs w:val="16"/>
        </w:rPr>
        <w:br w:type="page"/>
      </w:r>
    </w:p>
    <w:p w14:paraId="32684C73" w14:textId="77777777" w:rsidR="0081611B" w:rsidRPr="0081611B" w:rsidRDefault="0081611B" w:rsidP="0081611B">
      <w:pPr>
        <w:rPr>
          <w:rFonts w:cs="Arial"/>
          <w:b/>
          <w:bCs/>
          <w:szCs w:val="16"/>
        </w:rPr>
      </w:pPr>
      <w:r w:rsidRPr="0081611B">
        <w:rPr>
          <w:rFonts w:cs="Arial"/>
          <w:b/>
          <w:bCs/>
          <w:szCs w:val="16"/>
        </w:rPr>
        <w:lastRenderedPageBreak/>
        <w:t>Appendix A</w:t>
      </w:r>
    </w:p>
    <w:p w14:paraId="67239D8E" w14:textId="77777777" w:rsidR="00E34D8D" w:rsidRDefault="00E34D8D" w:rsidP="0081611B">
      <w:pPr>
        <w:rPr>
          <w:rFonts w:cs="Arial"/>
          <w:b/>
          <w:bCs/>
          <w:szCs w:val="16"/>
        </w:rPr>
      </w:pPr>
    </w:p>
    <w:p w14:paraId="286DC182" w14:textId="77777777" w:rsidR="00A67CEE" w:rsidRDefault="0081611B" w:rsidP="0081611B">
      <w:pPr>
        <w:rPr>
          <w:rFonts w:cs="Arial"/>
          <w:b/>
          <w:bCs/>
          <w:szCs w:val="16"/>
        </w:rPr>
      </w:pPr>
      <w:r w:rsidRPr="0081611B">
        <w:rPr>
          <w:rFonts w:cs="Arial"/>
          <w:b/>
          <w:bCs/>
          <w:szCs w:val="16"/>
        </w:rPr>
        <w:t xml:space="preserve">I. (a) Data Completeness: </w:t>
      </w:r>
    </w:p>
    <w:p w14:paraId="6649A1BB" w14:textId="16788407" w:rsidR="0081611B" w:rsidRPr="0081611B" w:rsidRDefault="0081611B" w:rsidP="0081611B">
      <w:pPr>
        <w:rPr>
          <w:rFonts w:cs="Arial"/>
          <w:b/>
          <w:bCs/>
          <w:szCs w:val="16"/>
        </w:rPr>
      </w:pPr>
      <w:r w:rsidRPr="0081611B">
        <w:rPr>
          <w:rFonts w:cs="Arial"/>
          <w:b/>
          <w:bCs/>
          <w:szCs w:val="16"/>
        </w:rPr>
        <w:t>The Percent of Children Included in your State's 2021 Outcomes Data (Indicator C3)</w:t>
      </w:r>
    </w:p>
    <w:p w14:paraId="31CE677D" w14:textId="7BC0D5BF" w:rsidR="0081611B" w:rsidRPr="00E34D8D" w:rsidRDefault="0081611B" w:rsidP="0081611B">
      <w:pPr>
        <w:rPr>
          <w:rFonts w:cs="Arial"/>
          <w:bCs/>
          <w:szCs w:val="16"/>
        </w:rPr>
      </w:pPr>
      <w:r w:rsidRPr="00E34D8D">
        <w:rPr>
          <w:rFonts w:cs="Arial"/>
          <w:bCs/>
          <w:szCs w:val="16"/>
        </w:rPr>
        <w:t>Data completeness was calculated using the total number of Part C children who were included in your State’s FFY 2021 Outcomes Data (C3) and the total number of children your State reported in its FFY 2021 IDEA Section 618 data. A percentage for your State was computed by dividing the number of children reported in your State’s Indicator C3 data by the number of children your State reported exited during FFY 2021 in the State’s FFY 2021 IDEA Section 618 Exit Data.</w:t>
      </w:r>
    </w:p>
    <w:tbl>
      <w:tblPr>
        <w:tblStyle w:val="TableGrid1"/>
        <w:tblW w:w="5010" w:type="pct"/>
        <w:tblLook w:val="04A0" w:firstRow="1" w:lastRow="0" w:firstColumn="1" w:lastColumn="0" w:noHBand="0" w:noVBand="1"/>
        <w:tblCaption w:val="CAPPASCR"/>
        <w:tblDescription w:val="Data Completeness Score"/>
      </w:tblPr>
      <w:tblGrid>
        <w:gridCol w:w="3170"/>
        <w:gridCol w:w="7642"/>
      </w:tblGrid>
      <w:tr w:rsidR="0081611B" w:rsidRPr="0081611B" w14:paraId="1E828877" w14:textId="77777777" w:rsidTr="0081611B">
        <w:tc>
          <w:tcPr>
            <w:tcW w:w="1466" w:type="pct"/>
            <w:hideMark/>
          </w:tcPr>
          <w:p w14:paraId="5664F71B" w14:textId="77777777" w:rsidR="0081611B" w:rsidRPr="0081611B" w:rsidRDefault="0081611B" w:rsidP="0081611B">
            <w:pPr>
              <w:rPr>
                <w:rFonts w:cs="Arial"/>
                <w:b/>
                <w:szCs w:val="16"/>
              </w:rPr>
            </w:pPr>
            <w:r w:rsidRPr="0081611B">
              <w:rPr>
                <w:rFonts w:cs="Arial"/>
                <w:b/>
                <w:szCs w:val="16"/>
              </w:rPr>
              <w:t>Data Completeness Score</w:t>
            </w:r>
          </w:p>
        </w:tc>
        <w:tc>
          <w:tcPr>
            <w:tcW w:w="3534" w:type="pct"/>
            <w:hideMark/>
          </w:tcPr>
          <w:p w14:paraId="7A68B8B2" w14:textId="77777777" w:rsidR="0081611B" w:rsidRPr="0081611B" w:rsidRDefault="0081611B" w:rsidP="0081611B">
            <w:pPr>
              <w:rPr>
                <w:rFonts w:cs="Arial"/>
                <w:b/>
                <w:szCs w:val="16"/>
              </w:rPr>
            </w:pPr>
            <w:r w:rsidRPr="0081611B">
              <w:rPr>
                <w:rFonts w:cs="Arial"/>
                <w:b/>
                <w:szCs w:val="16"/>
              </w:rPr>
              <w:t>Percent of Part C Children included in Outcomes Data (C3) and 618 Data</w:t>
            </w:r>
          </w:p>
        </w:tc>
      </w:tr>
      <w:tr w:rsidR="0081611B" w:rsidRPr="0081611B" w14:paraId="5E16B78F" w14:textId="77777777" w:rsidTr="0081611B">
        <w:tc>
          <w:tcPr>
            <w:tcW w:w="1466" w:type="pct"/>
            <w:noWrap/>
            <w:hideMark/>
          </w:tcPr>
          <w:p w14:paraId="10BA0431" w14:textId="77777777" w:rsidR="0081611B" w:rsidRPr="0081611B" w:rsidRDefault="0081611B" w:rsidP="0081611B">
            <w:pPr>
              <w:rPr>
                <w:rFonts w:cs="Arial"/>
                <w:b/>
                <w:szCs w:val="16"/>
              </w:rPr>
            </w:pPr>
            <w:r w:rsidRPr="0081611B">
              <w:rPr>
                <w:rFonts w:cs="Arial"/>
                <w:b/>
                <w:szCs w:val="16"/>
              </w:rPr>
              <w:t>0</w:t>
            </w:r>
          </w:p>
        </w:tc>
        <w:tc>
          <w:tcPr>
            <w:tcW w:w="3534" w:type="pct"/>
            <w:noWrap/>
            <w:hideMark/>
          </w:tcPr>
          <w:p w14:paraId="4B3F7FCD" w14:textId="77777777" w:rsidR="0081611B" w:rsidRPr="0081611B" w:rsidRDefault="0081611B" w:rsidP="0081611B">
            <w:pPr>
              <w:rPr>
                <w:rFonts w:cs="Arial"/>
                <w:b/>
                <w:szCs w:val="16"/>
              </w:rPr>
            </w:pPr>
            <w:r w:rsidRPr="0081611B">
              <w:rPr>
                <w:rFonts w:cs="Arial"/>
                <w:b/>
                <w:szCs w:val="16"/>
              </w:rPr>
              <w:t>Lower than 34%</w:t>
            </w:r>
          </w:p>
        </w:tc>
      </w:tr>
      <w:tr w:rsidR="0081611B" w:rsidRPr="0081611B" w14:paraId="7E26AC3E" w14:textId="77777777" w:rsidTr="0081611B">
        <w:tc>
          <w:tcPr>
            <w:tcW w:w="1466" w:type="pct"/>
            <w:noWrap/>
            <w:hideMark/>
          </w:tcPr>
          <w:p w14:paraId="288CCBDB" w14:textId="77777777" w:rsidR="0081611B" w:rsidRPr="0081611B" w:rsidRDefault="0081611B" w:rsidP="0081611B">
            <w:pPr>
              <w:rPr>
                <w:rFonts w:cs="Arial"/>
                <w:b/>
                <w:szCs w:val="16"/>
              </w:rPr>
            </w:pPr>
            <w:r w:rsidRPr="0081611B">
              <w:rPr>
                <w:rFonts w:cs="Arial"/>
                <w:b/>
                <w:szCs w:val="16"/>
              </w:rPr>
              <w:t>1</w:t>
            </w:r>
          </w:p>
        </w:tc>
        <w:tc>
          <w:tcPr>
            <w:tcW w:w="3534" w:type="pct"/>
            <w:noWrap/>
            <w:hideMark/>
          </w:tcPr>
          <w:p w14:paraId="3C756168" w14:textId="77777777" w:rsidR="0081611B" w:rsidRPr="0081611B" w:rsidRDefault="0081611B" w:rsidP="0081611B">
            <w:pPr>
              <w:rPr>
                <w:rFonts w:cs="Arial"/>
                <w:b/>
                <w:szCs w:val="16"/>
              </w:rPr>
            </w:pPr>
            <w:r w:rsidRPr="0081611B">
              <w:rPr>
                <w:rFonts w:cs="Arial"/>
                <w:b/>
                <w:szCs w:val="16"/>
              </w:rPr>
              <w:t>34% through 64%</w:t>
            </w:r>
          </w:p>
        </w:tc>
      </w:tr>
      <w:tr w:rsidR="0081611B" w:rsidRPr="0081611B" w14:paraId="2E5D2190" w14:textId="77777777" w:rsidTr="0081611B">
        <w:tc>
          <w:tcPr>
            <w:tcW w:w="1466" w:type="pct"/>
            <w:noWrap/>
            <w:hideMark/>
          </w:tcPr>
          <w:p w14:paraId="2CAAC215" w14:textId="77777777" w:rsidR="0081611B" w:rsidRPr="0081611B" w:rsidRDefault="0081611B" w:rsidP="0081611B">
            <w:pPr>
              <w:rPr>
                <w:rFonts w:cs="Arial"/>
                <w:b/>
                <w:szCs w:val="16"/>
              </w:rPr>
            </w:pPr>
            <w:r w:rsidRPr="0081611B">
              <w:rPr>
                <w:rFonts w:cs="Arial"/>
                <w:b/>
                <w:szCs w:val="16"/>
              </w:rPr>
              <w:t>2</w:t>
            </w:r>
          </w:p>
        </w:tc>
        <w:tc>
          <w:tcPr>
            <w:tcW w:w="3534" w:type="pct"/>
            <w:noWrap/>
            <w:hideMark/>
          </w:tcPr>
          <w:p w14:paraId="2DE46756" w14:textId="77777777" w:rsidR="0081611B" w:rsidRPr="0081611B" w:rsidRDefault="0081611B" w:rsidP="0081611B">
            <w:pPr>
              <w:rPr>
                <w:rFonts w:cs="Arial"/>
                <w:b/>
                <w:szCs w:val="16"/>
              </w:rPr>
            </w:pPr>
            <w:r w:rsidRPr="0081611B">
              <w:rPr>
                <w:rFonts w:cs="Arial"/>
                <w:b/>
                <w:szCs w:val="16"/>
              </w:rPr>
              <w:t>65% and above</w:t>
            </w:r>
          </w:p>
        </w:tc>
      </w:tr>
    </w:tbl>
    <w:p w14:paraId="5C71BF9D" w14:textId="5406494D" w:rsidR="00A241E8" w:rsidRDefault="00A241E8" w:rsidP="0081611B">
      <w:pPr>
        <w:rPr>
          <w:rFonts w:cs="Arial"/>
          <w:b/>
          <w:szCs w:val="16"/>
        </w:rPr>
      </w:pPr>
    </w:p>
    <w:p w14:paraId="1036E871" w14:textId="77777777" w:rsidR="00A241E8" w:rsidRDefault="00A241E8">
      <w:pPr>
        <w:spacing w:before="0" w:after="200" w:line="276" w:lineRule="auto"/>
        <w:rPr>
          <w:rFonts w:cs="Arial"/>
          <w:b/>
          <w:szCs w:val="16"/>
        </w:rPr>
      </w:pPr>
      <w:r>
        <w:rPr>
          <w:rFonts w:cs="Arial"/>
          <w:b/>
          <w:szCs w:val="16"/>
        </w:rPr>
        <w:br w:type="page"/>
      </w:r>
    </w:p>
    <w:p w14:paraId="01561F3A" w14:textId="13C66607" w:rsidR="002F672B" w:rsidRDefault="002F672B" w:rsidP="002F672B">
      <w:pPr>
        <w:rPr>
          <w:rFonts w:cs="Arial"/>
          <w:b/>
          <w:bCs/>
          <w:szCs w:val="16"/>
        </w:rPr>
      </w:pPr>
      <w:r w:rsidRPr="002F672B">
        <w:rPr>
          <w:rFonts w:cs="Arial"/>
          <w:b/>
          <w:bCs/>
          <w:szCs w:val="16"/>
        </w:rPr>
        <w:lastRenderedPageBreak/>
        <w:t>Appendix B</w:t>
      </w:r>
    </w:p>
    <w:p w14:paraId="3D44E82B" w14:textId="77777777" w:rsidR="00A67CEE" w:rsidRPr="002F672B" w:rsidRDefault="00A67CEE" w:rsidP="002F672B">
      <w:pPr>
        <w:rPr>
          <w:rFonts w:cs="Arial"/>
          <w:b/>
          <w:bCs/>
          <w:szCs w:val="16"/>
        </w:rPr>
      </w:pPr>
    </w:p>
    <w:p w14:paraId="42BD0C32" w14:textId="77777777" w:rsidR="00A67CEE" w:rsidRDefault="002F672B" w:rsidP="002F672B">
      <w:pPr>
        <w:rPr>
          <w:rFonts w:cs="Arial"/>
          <w:b/>
          <w:bCs/>
          <w:szCs w:val="16"/>
        </w:rPr>
      </w:pPr>
      <w:r w:rsidRPr="002F672B">
        <w:rPr>
          <w:rFonts w:cs="Arial"/>
          <w:b/>
          <w:bCs/>
          <w:szCs w:val="16"/>
        </w:rPr>
        <w:t xml:space="preserve">I. (b) Data Quality: </w:t>
      </w:r>
    </w:p>
    <w:p w14:paraId="5FF8ACA4" w14:textId="041C0A1F" w:rsidR="002F672B" w:rsidRPr="002F672B" w:rsidRDefault="002F672B" w:rsidP="002F672B">
      <w:pPr>
        <w:rPr>
          <w:rFonts w:cs="Arial"/>
          <w:b/>
          <w:bCs/>
          <w:szCs w:val="16"/>
        </w:rPr>
      </w:pPr>
      <w:r w:rsidRPr="002F672B">
        <w:rPr>
          <w:rFonts w:cs="Arial"/>
          <w:b/>
          <w:bCs/>
          <w:szCs w:val="16"/>
        </w:rPr>
        <w:t>Anomalies in Your State's FFY 2021 Outcomes Data</w:t>
      </w:r>
    </w:p>
    <w:p w14:paraId="6203EEBD" w14:textId="77777777" w:rsidR="002F672B" w:rsidRPr="00A67CEE" w:rsidRDefault="002F672B" w:rsidP="002F672B">
      <w:pPr>
        <w:rPr>
          <w:rFonts w:cs="Arial"/>
          <w:bCs/>
          <w:szCs w:val="16"/>
        </w:rPr>
      </w:pPr>
      <w:r w:rsidRPr="00A67CEE">
        <w:rPr>
          <w:rFonts w:cs="Arial"/>
          <w:bCs/>
          <w:szCs w:val="16"/>
        </w:rPr>
        <w:t>This score represents a summary of the data anomalies in the FFY 2021 Indicator 3 Outcomes Data reported by your State. Publicly available data for the preceding four years reported by and across all States for each of 15 progress categories under Indicator 3 (in the FFY 2017 – FFY 2020 APRs) were used to determine an expected range of responses for each progress category under Outcomes A, B, and C. For each of the 15 progress categories, a mean was calculated using the publicly available data and a lower and upper scoring percentage was set 1 standard deviation above and below the mean for category a, and 2 standard deviations above and below the mean for categories b through e</w:t>
      </w:r>
      <w:r w:rsidRPr="00A67CEE">
        <w:rPr>
          <w:rFonts w:cs="Arial"/>
          <w:bCs/>
          <w:szCs w:val="16"/>
          <w:vertAlign w:val="superscript"/>
        </w:rPr>
        <w:footnoteReference w:id="8"/>
      </w:r>
      <w:r w:rsidRPr="00A67CEE">
        <w:rPr>
          <w:rFonts w:cs="Arial"/>
          <w:bCs/>
          <w:szCs w:val="16"/>
          <w:vertAlign w:val="superscript"/>
        </w:rPr>
        <w:footnoteReference w:id="9"/>
      </w:r>
      <w:r w:rsidRPr="00A67CEE">
        <w:rPr>
          <w:rFonts w:cs="Arial"/>
          <w:bCs/>
          <w:szCs w:val="16"/>
        </w:rPr>
        <w:t>. In any case where the low scoring percentage set from 1 or 2 standard deviations below the mean resulted in a negative number, the low scoring percentage is equal to 0.</w:t>
      </w:r>
    </w:p>
    <w:p w14:paraId="4BEAA1D3" w14:textId="58B3B0E6" w:rsidR="002F672B" w:rsidRDefault="002F672B" w:rsidP="002F672B">
      <w:pPr>
        <w:rPr>
          <w:rFonts w:cs="Arial"/>
          <w:bCs/>
          <w:szCs w:val="16"/>
        </w:rPr>
      </w:pPr>
      <w:r w:rsidRPr="00A67CEE">
        <w:rPr>
          <w:rFonts w:cs="Arial"/>
          <w:bCs/>
          <w:szCs w:val="16"/>
        </w:rPr>
        <w:t>If your State's FFY 2021 data reported in a progress category fell below the calculated "low percentage" or above the "high percentage" for that progress category for all States, the data in that particular category are statistically improbable outliers and considered an anomaly for that progress category. If your State’s data in a particular progress category was identified as an anomaly, the State received a 0 for that category. A percentage that is equal to or between the low percentage and high percentage for each progress category received 1 point. A State could receive a total number of points between 0 and 15. Thus, a point total of 0 indicates that all 15 progress categories contained data anomalies and a point total of 15 indicates that there were no data anomalies in all 15 progress categories in the State's data. An overall data anomaly score of 0, 1, or 2 is based on the total points awarded.</w:t>
      </w:r>
    </w:p>
    <w:p w14:paraId="00964931" w14:textId="77777777" w:rsidR="00B05769" w:rsidRPr="002F672B" w:rsidRDefault="00B05769" w:rsidP="002F672B">
      <w:pPr>
        <w:rPr>
          <w:rFonts w:cs="Arial"/>
          <w:b/>
          <w:szCs w:val="16"/>
        </w:rPr>
      </w:pPr>
    </w:p>
    <w:tbl>
      <w:tblPr>
        <w:tblStyle w:val="TableGrid"/>
        <w:tblW w:w="0" w:type="auto"/>
        <w:tblCellMar>
          <w:top w:w="29" w:type="dxa"/>
          <w:left w:w="115" w:type="dxa"/>
          <w:bottom w:w="29" w:type="dxa"/>
          <w:right w:w="115" w:type="dxa"/>
        </w:tblCellMar>
        <w:tblLook w:val="04A0" w:firstRow="1" w:lastRow="0" w:firstColumn="1" w:lastColumn="0" w:noHBand="0" w:noVBand="1"/>
        <w:tblCaption w:val="CAPPBOTC"/>
        <w:tblDescription w:val="Outcomes"/>
      </w:tblPr>
      <w:tblGrid>
        <w:gridCol w:w="1728"/>
        <w:gridCol w:w="3600"/>
      </w:tblGrid>
      <w:tr w:rsidR="002F672B" w:rsidRPr="002F672B" w14:paraId="72879646" w14:textId="77777777" w:rsidTr="00FB10DF">
        <w:trPr>
          <w:cantSplit/>
        </w:trPr>
        <w:tc>
          <w:tcPr>
            <w:tcW w:w="1728" w:type="dxa"/>
            <w:hideMark/>
          </w:tcPr>
          <w:p w14:paraId="034EFB57" w14:textId="77777777" w:rsidR="002F672B" w:rsidRPr="002F672B" w:rsidRDefault="002F672B" w:rsidP="002F672B">
            <w:pPr>
              <w:rPr>
                <w:rFonts w:cs="Arial"/>
                <w:b/>
                <w:szCs w:val="16"/>
              </w:rPr>
            </w:pPr>
            <w:r w:rsidRPr="002F672B">
              <w:rPr>
                <w:rFonts w:cs="Arial"/>
                <w:b/>
                <w:szCs w:val="16"/>
              </w:rPr>
              <w:t>Outcome A</w:t>
            </w:r>
          </w:p>
        </w:tc>
        <w:tc>
          <w:tcPr>
            <w:tcW w:w="3600" w:type="dxa"/>
            <w:hideMark/>
          </w:tcPr>
          <w:p w14:paraId="080CEA5D" w14:textId="77777777" w:rsidR="002F672B" w:rsidRPr="002F672B" w:rsidRDefault="002F672B" w:rsidP="002F672B">
            <w:pPr>
              <w:rPr>
                <w:rFonts w:cs="Arial"/>
                <w:b/>
                <w:szCs w:val="16"/>
              </w:rPr>
            </w:pPr>
            <w:r w:rsidRPr="002F672B">
              <w:rPr>
                <w:rFonts w:cs="Arial"/>
                <w:b/>
                <w:szCs w:val="16"/>
              </w:rPr>
              <w:t>Positive Social Relationships</w:t>
            </w:r>
          </w:p>
        </w:tc>
      </w:tr>
      <w:tr w:rsidR="002F672B" w:rsidRPr="002F672B" w14:paraId="0334207A" w14:textId="77777777" w:rsidTr="00FB10DF">
        <w:trPr>
          <w:cantSplit/>
        </w:trPr>
        <w:tc>
          <w:tcPr>
            <w:tcW w:w="1728" w:type="dxa"/>
            <w:hideMark/>
          </w:tcPr>
          <w:p w14:paraId="569CFDDF" w14:textId="77777777" w:rsidR="002F672B" w:rsidRPr="002F672B" w:rsidRDefault="002F672B" w:rsidP="002F672B">
            <w:pPr>
              <w:rPr>
                <w:rFonts w:cs="Arial"/>
                <w:b/>
                <w:szCs w:val="16"/>
              </w:rPr>
            </w:pPr>
            <w:r w:rsidRPr="002F672B">
              <w:rPr>
                <w:rFonts w:cs="Arial"/>
                <w:b/>
                <w:szCs w:val="16"/>
              </w:rPr>
              <w:t>Outcome B</w:t>
            </w:r>
          </w:p>
        </w:tc>
        <w:tc>
          <w:tcPr>
            <w:tcW w:w="3600" w:type="dxa"/>
            <w:hideMark/>
          </w:tcPr>
          <w:p w14:paraId="5FC427B4" w14:textId="77777777" w:rsidR="002F672B" w:rsidRPr="002F672B" w:rsidRDefault="002F672B" w:rsidP="002F672B">
            <w:pPr>
              <w:rPr>
                <w:rFonts w:cs="Arial"/>
                <w:b/>
                <w:szCs w:val="16"/>
              </w:rPr>
            </w:pPr>
            <w:r w:rsidRPr="002F672B">
              <w:rPr>
                <w:rFonts w:cs="Arial"/>
                <w:b/>
                <w:szCs w:val="16"/>
              </w:rPr>
              <w:t>Knowledge and Skills</w:t>
            </w:r>
          </w:p>
        </w:tc>
      </w:tr>
      <w:tr w:rsidR="002F672B" w:rsidRPr="002F672B" w14:paraId="36AB8E6A" w14:textId="77777777" w:rsidTr="00FB10DF">
        <w:trPr>
          <w:cantSplit/>
        </w:trPr>
        <w:tc>
          <w:tcPr>
            <w:tcW w:w="1728" w:type="dxa"/>
            <w:hideMark/>
          </w:tcPr>
          <w:p w14:paraId="01CE9402" w14:textId="77777777" w:rsidR="002F672B" w:rsidRPr="002F672B" w:rsidRDefault="002F672B" w:rsidP="002F672B">
            <w:pPr>
              <w:rPr>
                <w:rFonts w:cs="Arial"/>
                <w:b/>
                <w:szCs w:val="16"/>
              </w:rPr>
            </w:pPr>
            <w:r w:rsidRPr="002F672B">
              <w:rPr>
                <w:rFonts w:cs="Arial"/>
                <w:b/>
                <w:szCs w:val="16"/>
              </w:rPr>
              <w:t>Outcome C</w:t>
            </w:r>
          </w:p>
        </w:tc>
        <w:tc>
          <w:tcPr>
            <w:tcW w:w="3600" w:type="dxa"/>
            <w:hideMark/>
          </w:tcPr>
          <w:p w14:paraId="6D10C03B" w14:textId="77777777" w:rsidR="002F672B" w:rsidRPr="002F672B" w:rsidRDefault="002F672B" w:rsidP="002F672B">
            <w:pPr>
              <w:rPr>
                <w:rFonts w:cs="Arial"/>
                <w:b/>
                <w:szCs w:val="16"/>
              </w:rPr>
            </w:pPr>
            <w:r w:rsidRPr="002F672B">
              <w:rPr>
                <w:rFonts w:cs="Arial"/>
                <w:b/>
                <w:szCs w:val="16"/>
              </w:rPr>
              <w:t>Actions to Meet Needs</w:t>
            </w:r>
          </w:p>
        </w:tc>
      </w:tr>
    </w:tbl>
    <w:p w14:paraId="6E835BEF" w14:textId="77777777" w:rsidR="002F672B" w:rsidRPr="002F672B" w:rsidRDefault="002F672B" w:rsidP="002F672B">
      <w:pPr>
        <w:rPr>
          <w:rFonts w:cs="Arial"/>
          <w:b/>
          <w:szCs w:val="16"/>
        </w:rPr>
      </w:pPr>
    </w:p>
    <w:tbl>
      <w:tblPr>
        <w:tblStyle w:val="TableGrid"/>
        <w:tblW w:w="10800" w:type="dxa"/>
        <w:tblCellMar>
          <w:top w:w="29" w:type="dxa"/>
          <w:left w:w="115" w:type="dxa"/>
          <w:bottom w:w="29" w:type="dxa"/>
          <w:right w:w="115" w:type="dxa"/>
        </w:tblCellMar>
        <w:tblLook w:val="04A0" w:firstRow="1" w:lastRow="0" w:firstColumn="1" w:lastColumn="0" w:noHBand="0" w:noVBand="1"/>
        <w:tblCaption w:val="CAPPBOTCCATS"/>
        <w:tblDescription w:val="Categories"/>
      </w:tblPr>
      <w:tblGrid>
        <w:gridCol w:w="1728"/>
        <w:gridCol w:w="9072"/>
      </w:tblGrid>
      <w:tr w:rsidR="002F672B" w:rsidRPr="002F672B" w14:paraId="489C3909" w14:textId="77777777" w:rsidTr="00C452AB">
        <w:trPr>
          <w:cantSplit/>
        </w:trPr>
        <w:tc>
          <w:tcPr>
            <w:tcW w:w="1728" w:type="dxa"/>
            <w:hideMark/>
          </w:tcPr>
          <w:p w14:paraId="406AE173" w14:textId="77777777" w:rsidR="002F672B" w:rsidRPr="002F672B" w:rsidRDefault="002F672B" w:rsidP="002F672B">
            <w:pPr>
              <w:rPr>
                <w:rFonts w:cs="Arial"/>
                <w:b/>
                <w:szCs w:val="16"/>
              </w:rPr>
            </w:pPr>
            <w:r w:rsidRPr="002F672B">
              <w:rPr>
                <w:rFonts w:cs="Arial"/>
                <w:b/>
                <w:szCs w:val="16"/>
              </w:rPr>
              <w:t>Category a</w:t>
            </w:r>
          </w:p>
        </w:tc>
        <w:tc>
          <w:tcPr>
            <w:tcW w:w="9072" w:type="dxa"/>
            <w:hideMark/>
          </w:tcPr>
          <w:p w14:paraId="5F57DBE8" w14:textId="77777777" w:rsidR="002F672B" w:rsidRPr="002F672B" w:rsidRDefault="002F672B" w:rsidP="002F672B">
            <w:pPr>
              <w:rPr>
                <w:rFonts w:cs="Arial"/>
                <w:b/>
                <w:szCs w:val="16"/>
              </w:rPr>
            </w:pPr>
            <w:r w:rsidRPr="002F672B">
              <w:rPr>
                <w:rFonts w:cs="Arial"/>
                <w:b/>
                <w:szCs w:val="16"/>
              </w:rPr>
              <w:t>Percent of infants and toddlers who did not improve functioning</w:t>
            </w:r>
          </w:p>
        </w:tc>
      </w:tr>
      <w:tr w:rsidR="002F672B" w:rsidRPr="002F672B" w14:paraId="756D2571" w14:textId="77777777" w:rsidTr="00C452AB">
        <w:trPr>
          <w:cantSplit/>
        </w:trPr>
        <w:tc>
          <w:tcPr>
            <w:tcW w:w="1728" w:type="dxa"/>
            <w:hideMark/>
          </w:tcPr>
          <w:p w14:paraId="2C44DB5F" w14:textId="77777777" w:rsidR="002F672B" w:rsidRPr="002F672B" w:rsidRDefault="002F672B" w:rsidP="002F672B">
            <w:pPr>
              <w:rPr>
                <w:rFonts w:cs="Arial"/>
                <w:b/>
                <w:szCs w:val="16"/>
              </w:rPr>
            </w:pPr>
            <w:r w:rsidRPr="002F672B">
              <w:rPr>
                <w:rFonts w:cs="Arial"/>
                <w:b/>
                <w:szCs w:val="16"/>
              </w:rPr>
              <w:t>Category b</w:t>
            </w:r>
          </w:p>
        </w:tc>
        <w:tc>
          <w:tcPr>
            <w:tcW w:w="9072" w:type="dxa"/>
            <w:hideMark/>
          </w:tcPr>
          <w:p w14:paraId="68A0A1D4" w14:textId="77777777" w:rsidR="002F672B" w:rsidRPr="002F672B" w:rsidRDefault="002F672B" w:rsidP="002F672B">
            <w:pPr>
              <w:rPr>
                <w:rFonts w:cs="Arial"/>
                <w:b/>
                <w:szCs w:val="16"/>
              </w:rPr>
            </w:pPr>
            <w:r w:rsidRPr="002F672B">
              <w:rPr>
                <w:rFonts w:cs="Arial"/>
                <w:b/>
                <w:szCs w:val="16"/>
              </w:rPr>
              <w:t>Percent of infants and toddlers who improved functioning but not sufficient to move nearer to functioning comparable to same-aged peers</w:t>
            </w:r>
          </w:p>
        </w:tc>
      </w:tr>
      <w:tr w:rsidR="002F672B" w:rsidRPr="002F672B" w14:paraId="3EC0B8A6" w14:textId="77777777" w:rsidTr="00C452AB">
        <w:trPr>
          <w:cantSplit/>
        </w:trPr>
        <w:tc>
          <w:tcPr>
            <w:tcW w:w="1728" w:type="dxa"/>
            <w:hideMark/>
          </w:tcPr>
          <w:p w14:paraId="774261AC" w14:textId="77777777" w:rsidR="002F672B" w:rsidRPr="002F672B" w:rsidRDefault="002F672B" w:rsidP="002F672B">
            <w:pPr>
              <w:rPr>
                <w:rFonts w:cs="Arial"/>
                <w:b/>
                <w:szCs w:val="16"/>
              </w:rPr>
            </w:pPr>
            <w:r w:rsidRPr="002F672B">
              <w:rPr>
                <w:rFonts w:cs="Arial"/>
                <w:b/>
                <w:szCs w:val="16"/>
              </w:rPr>
              <w:t>Category c</w:t>
            </w:r>
          </w:p>
        </w:tc>
        <w:tc>
          <w:tcPr>
            <w:tcW w:w="9072" w:type="dxa"/>
            <w:hideMark/>
          </w:tcPr>
          <w:p w14:paraId="48AA0CFA" w14:textId="77777777" w:rsidR="002F672B" w:rsidRPr="002F672B" w:rsidRDefault="002F672B" w:rsidP="002F672B">
            <w:pPr>
              <w:rPr>
                <w:rFonts w:cs="Arial"/>
                <w:b/>
                <w:szCs w:val="16"/>
              </w:rPr>
            </w:pPr>
            <w:r w:rsidRPr="002F672B">
              <w:rPr>
                <w:rFonts w:cs="Arial"/>
                <w:b/>
                <w:szCs w:val="16"/>
              </w:rPr>
              <w:t>Percent of infants and toddlers who improved functioning to a level nearer to same-aged peers but did not reach it</w:t>
            </w:r>
          </w:p>
        </w:tc>
      </w:tr>
      <w:tr w:rsidR="002F672B" w:rsidRPr="002F672B" w14:paraId="61D1C358" w14:textId="77777777" w:rsidTr="00C452AB">
        <w:trPr>
          <w:cantSplit/>
        </w:trPr>
        <w:tc>
          <w:tcPr>
            <w:tcW w:w="1728" w:type="dxa"/>
            <w:hideMark/>
          </w:tcPr>
          <w:p w14:paraId="02788C61" w14:textId="77777777" w:rsidR="002F672B" w:rsidRPr="002F672B" w:rsidRDefault="002F672B" w:rsidP="002F672B">
            <w:pPr>
              <w:rPr>
                <w:rFonts w:cs="Arial"/>
                <w:b/>
                <w:szCs w:val="16"/>
              </w:rPr>
            </w:pPr>
            <w:r w:rsidRPr="002F672B">
              <w:rPr>
                <w:rFonts w:cs="Arial"/>
                <w:b/>
                <w:szCs w:val="16"/>
              </w:rPr>
              <w:t>Category d</w:t>
            </w:r>
          </w:p>
        </w:tc>
        <w:tc>
          <w:tcPr>
            <w:tcW w:w="9072" w:type="dxa"/>
            <w:hideMark/>
          </w:tcPr>
          <w:p w14:paraId="65AE1112" w14:textId="77777777" w:rsidR="002F672B" w:rsidRPr="002F672B" w:rsidRDefault="002F672B" w:rsidP="002F672B">
            <w:pPr>
              <w:rPr>
                <w:rFonts w:cs="Arial"/>
                <w:b/>
                <w:szCs w:val="16"/>
              </w:rPr>
            </w:pPr>
            <w:r w:rsidRPr="002F672B">
              <w:rPr>
                <w:rFonts w:cs="Arial"/>
                <w:b/>
                <w:szCs w:val="16"/>
              </w:rPr>
              <w:t>Percent of infants and toddlers who improved functioning to reach a level comparable to same-aged peers</w:t>
            </w:r>
          </w:p>
        </w:tc>
      </w:tr>
      <w:tr w:rsidR="002F672B" w:rsidRPr="002F672B" w14:paraId="642349E5" w14:textId="77777777" w:rsidTr="00C452AB">
        <w:trPr>
          <w:cantSplit/>
        </w:trPr>
        <w:tc>
          <w:tcPr>
            <w:tcW w:w="1728" w:type="dxa"/>
            <w:hideMark/>
          </w:tcPr>
          <w:p w14:paraId="473FF5B6" w14:textId="77777777" w:rsidR="002F672B" w:rsidRPr="002F672B" w:rsidRDefault="002F672B" w:rsidP="002F672B">
            <w:pPr>
              <w:rPr>
                <w:rFonts w:cs="Arial"/>
                <w:b/>
                <w:szCs w:val="16"/>
              </w:rPr>
            </w:pPr>
            <w:r w:rsidRPr="002F672B">
              <w:rPr>
                <w:rFonts w:cs="Arial"/>
                <w:b/>
                <w:szCs w:val="16"/>
              </w:rPr>
              <w:t>Category e</w:t>
            </w:r>
          </w:p>
        </w:tc>
        <w:tc>
          <w:tcPr>
            <w:tcW w:w="9072" w:type="dxa"/>
            <w:hideMark/>
          </w:tcPr>
          <w:p w14:paraId="7BC232C9" w14:textId="77777777" w:rsidR="002F672B" w:rsidRPr="002F672B" w:rsidRDefault="002F672B" w:rsidP="002F672B">
            <w:pPr>
              <w:rPr>
                <w:rFonts w:cs="Arial"/>
                <w:b/>
                <w:szCs w:val="16"/>
              </w:rPr>
            </w:pPr>
            <w:r w:rsidRPr="002F672B">
              <w:rPr>
                <w:rFonts w:cs="Arial"/>
                <w:b/>
                <w:szCs w:val="16"/>
              </w:rPr>
              <w:t>Percent of infants and toddlers who maintained functioning at a level comparable to same-aged peers</w:t>
            </w:r>
          </w:p>
        </w:tc>
      </w:tr>
    </w:tbl>
    <w:p w14:paraId="2B683B32" w14:textId="494CFD40" w:rsidR="00AA07A0" w:rsidRDefault="00AA07A0" w:rsidP="002F672B">
      <w:pPr>
        <w:rPr>
          <w:rFonts w:cs="Arial"/>
          <w:b/>
          <w:bCs/>
          <w:szCs w:val="16"/>
        </w:rPr>
      </w:pPr>
    </w:p>
    <w:p w14:paraId="299C4DBA" w14:textId="77777777" w:rsidR="00AA07A0" w:rsidRDefault="00AA07A0">
      <w:pPr>
        <w:spacing w:before="0" w:after="200" w:line="276" w:lineRule="auto"/>
        <w:rPr>
          <w:rFonts w:cs="Arial"/>
          <w:b/>
          <w:bCs/>
          <w:szCs w:val="16"/>
        </w:rPr>
      </w:pPr>
      <w:r>
        <w:rPr>
          <w:rFonts w:cs="Arial"/>
          <w:b/>
          <w:bCs/>
          <w:szCs w:val="16"/>
        </w:rPr>
        <w:br w:type="page"/>
      </w:r>
    </w:p>
    <w:p w14:paraId="1B0FD437" w14:textId="77777777" w:rsidR="00B05769" w:rsidRDefault="00B05769" w:rsidP="002F672B">
      <w:pPr>
        <w:rPr>
          <w:rFonts w:cs="Arial"/>
          <w:b/>
          <w:bCs/>
          <w:szCs w:val="16"/>
        </w:rPr>
      </w:pPr>
    </w:p>
    <w:p w14:paraId="38D6C037" w14:textId="1001AD76" w:rsidR="002F672B" w:rsidRPr="002F672B" w:rsidRDefault="002F672B" w:rsidP="002F672B">
      <w:pPr>
        <w:rPr>
          <w:rFonts w:cs="Arial"/>
          <w:b/>
          <w:bCs/>
          <w:szCs w:val="16"/>
        </w:rPr>
      </w:pPr>
      <w:r w:rsidRPr="002F672B">
        <w:rPr>
          <w:rFonts w:cs="Arial"/>
          <w:b/>
          <w:bCs/>
          <w:szCs w:val="16"/>
        </w:rPr>
        <w:t>Expected Range of Responses for Each Outcome and Category, FFY 2021</w:t>
      </w:r>
    </w:p>
    <w:tbl>
      <w:tblPr>
        <w:tblStyle w:val="TableGrid1"/>
        <w:tblW w:w="5008" w:type="pct"/>
        <w:tblLook w:val="04A0" w:firstRow="1" w:lastRow="0" w:firstColumn="1" w:lastColumn="0" w:noHBand="0" w:noVBand="1"/>
        <w:tblCaption w:val="CAPPBOTCCATRNG"/>
        <w:tblDescription w:val="Outcome\Category"/>
      </w:tblPr>
      <w:tblGrid>
        <w:gridCol w:w="2883"/>
        <w:gridCol w:w="1976"/>
        <w:gridCol w:w="1991"/>
        <w:gridCol w:w="1986"/>
        <w:gridCol w:w="1971"/>
      </w:tblGrid>
      <w:tr w:rsidR="002F672B" w:rsidRPr="002F672B" w14:paraId="557DBA42" w14:textId="77777777" w:rsidTr="002F672B">
        <w:tc>
          <w:tcPr>
            <w:tcW w:w="1334" w:type="pct"/>
            <w:noWrap/>
            <w:hideMark/>
          </w:tcPr>
          <w:p w14:paraId="2198D8A5" w14:textId="77777777" w:rsidR="002F672B" w:rsidRPr="002F672B" w:rsidRDefault="002F672B" w:rsidP="002F672B">
            <w:pPr>
              <w:rPr>
                <w:rFonts w:cs="Arial"/>
                <w:b/>
                <w:szCs w:val="16"/>
              </w:rPr>
            </w:pPr>
            <w:r w:rsidRPr="002F672B">
              <w:rPr>
                <w:rFonts w:cs="Arial"/>
                <w:b/>
                <w:bCs/>
                <w:szCs w:val="16"/>
              </w:rPr>
              <w:t>Outcome\Category</w:t>
            </w:r>
          </w:p>
        </w:tc>
        <w:tc>
          <w:tcPr>
            <w:tcW w:w="914" w:type="pct"/>
            <w:noWrap/>
            <w:hideMark/>
          </w:tcPr>
          <w:p w14:paraId="7FBC0389" w14:textId="77777777" w:rsidR="002F672B" w:rsidRPr="002F672B" w:rsidRDefault="002F672B" w:rsidP="002F672B">
            <w:pPr>
              <w:rPr>
                <w:rFonts w:cs="Arial"/>
                <w:b/>
                <w:bCs/>
                <w:szCs w:val="16"/>
              </w:rPr>
            </w:pPr>
            <w:r w:rsidRPr="002F672B">
              <w:rPr>
                <w:rFonts w:cs="Arial"/>
                <w:b/>
                <w:bCs/>
                <w:szCs w:val="16"/>
              </w:rPr>
              <w:t>Mean</w:t>
            </w:r>
          </w:p>
        </w:tc>
        <w:tc>
          <w:tcPr>
            <w:tcW w:w="921" w:type="pct"/>
            <w:noWrap/>
            <w:hideMark/>
          </w:tcPr>
          <w:p w14:paraId="6AE0978D" w14:textId="77777777" w:rsidR="002F672B" w:rsidRPr="002F672B" w:rsidRDefault="002F672B" w:rsidP="002F672B">
            <w:pPr>
              <w:rPr>
                <w:rFonts w:cs="Arial"/>
                <w:b/>
                <w:bCs/>
                <w:szCs w:val="16"/>
              </w:rPr>
            </w:pPr>
            <w:r w:rsidRPr="002F672B">
              <w:rPr>
                <w:rFonts w:cs="Arial"/>
                <w:b/>
                <w:bCs/>
                <w:szCs w:val="16"/>
              </w:rPr>
              <w:t>StDev</w:t>
            </w:r>
          </w:p>
        </w:tc>
        <w:tc>
          <w:tcPr>
            <w:tcW w:w="919" w:type="pct"/>
            <w:noWrap/>
            <w:hideMark/>
          </w:tcPr>
          <w:p w14:paraId="4522F4EF" w14:textId="77777777" w:rsidR="002F672B" w:rsidRPr="002F672B" w:rsidRDefault="002F672B" w:rsidP="002F672B">
            <w:pPr>
              <w:rPr>
                <w:rFonts w:cs="Arial"/>
                <w:b/>
                <w:bCs/>
                <w:szCs w:val="16"/>
              </w:rPr>
            </w:pPr>
            <w:r w:rsidRPr="002F672B">
              <w:rPr>
                <w:rFonts w:cs="Arial"/>
                <w:b/>
                <w:bCs/>
                <w:szCs w:val="16"/>
              </w:rPr>
              <w:t>-1SD</w:t>
            </w:r>
          </w:p>
        </w:tc>
        <w:tc>
          <w:tcPr>
            <w:tcW w:w="912" w:type="pct"/>
            <w:noWrap/>
            <w:hideMark/>
          </w:tcPr>
          <w:p w14:paraId="691B4046" w14:textId="77777777" w:rsidR="002F672B" w:rsidRPr="002F672B" w:rsidRDefault="002F672B" w:rsidP="002F672B">
            <w:pPr>
              <w:rPr>
                <w:rFonts w:cs="Arial"/>
                <w:b/>
                <w:bCs/>
                <w:szCs w:val="16"/>
              </w:rPr>
            </w:pPr>
            <w:r w:rsidRPr="002F672B">
              <w:rPr>
                <w:rFonts w:cs="Arial"/>
                <w:b/>
                <w:bCs/>
                <w:szCs w:val="16"/>
              </w:rPr>
              <w:t>+1SD</w:t>
            </w:r>
          </w:p>
        </w:tc>
      </w:tr>
      <w:tr w:rsidR="00013420" w:rsidRPr="002F672B" w14:paraId="29B2661E" w14:textId="77777777" w:rsidTr="00013420">
        <w:tc>
          <w:tcPr>
            <w:tcW w:w="1334" w:type="pct"/>
            <w:noWrap/>
            <w:hideMark/>
          </w:tcPr>
          <w:p w14:paraId="535F6758" w14:textId="77777777" w:rsidR="00013420" w:rsidRPr="002F672B" w:rsidRDefault="00013420" w:rsidP="00013420">
            <w:pPr>
              <w:rPr>
                <w:rFonts w:cs="Arial"/>
                <w:b/>
                <w:bCs/>
                <w:szCs w:val="16"/>
              </w:rPr>
            </w:pPr>
            <w:r w:rsidRPr="002F672B">
              <w:rPr>
                <w:rFonts w:cs="Arial"/>
                <w:b/>
                <w:bCs/>
                <w:szCs w:val="16"/>
              </w:rPr>
              <w:t>Outcome A\Category a</w:t>
            </w:r>
          </w:p>
        </w:tc>
        <w:tc>
          <w:tcPr>
            <w:tcW w:w="914" w:type="pct"/>
            <w:noWrap/>
          </w:tcPr>
          <w:p w14:paraId="0E0C6DFE" w14:textId="4F8735C5" w:rsidR="00013420" w:rsidRPr="002F672B" w:rsidRDefault="00013420" w:rsidP="00013420">
            <w:pPr>
              <w:rPr>
                <w:rFonts w:cs="Arial"/>
                <w:b/>
                <w:szCs w:val="16"/>
              </w:rPr>
            </w:pPr>
            <w:r w:rsidRPr="00757DFD">
              <w:t>1.43</w:t>
            </w:r>
          </w:p>
        </w:tc>
        <w:tc>
          <w:tcPr>
            <w:tcW w:w="921" w:type="pct"/>
            <w:noWrap/>
          </w:tcPr>
          <w:p w14:paraId="0DE466A5" w14:textId="1126B5D7" w:rsidR="00013420" w:rsidRPr="002F672B" w:rsidRDefault="00013420" w:rsidP="00013420">
            <w:pPr>
              <w:rPr>
                <w:rFonts w:cs="Arial"/>
                <w:b/>
                <w:szCs w:val="16"/>
              </w:rPr>
            </w:pPr>
            <w:r w:rsidRPr="00757DFD">
              <w:t>1.62</w:t>
            </w:r>
          </w:p>
        </w:tc>
        <w:tc>
          <w:tcPr>
            <w:tcW w:w="919" w:type="pct"/>
            <w:noWrap/>
          </w:tcPr>
          <w:p w14:paraId="0E42725B" w14:textId="151AA278" w:rsidR="00013420" w:rsidRPr="002F672B" w:rsidRDefault="00013420" w:rsidP="00013420">
            <w:pPr>
              <w:rPr>
                <w:rFonts w:cs="Arial"/>
                <w:b/>
                <w:szCs w:val="16"/>
              </w:rPr>
            </w:pPr>
            <w:r w:rsidRPr="00757DFD">
              <w:t>-0.19</w:t>
            </w:r>
          </w:p>
        </w:tc>
        <w:tc>
          <w:tcPr>
            <w:tcW w:w="912" w:type="pct"/>
            <w:noWrap/>
          </w:tcPr>
          <w:p w14:paraId="2629B931" w14:textId="39D79343" w:rsidR="00013420" w:rsidRPr="002F672B" w:rsidRDefault="00013420" w:rsidP="00013420">
            <w:pPr>
              <w:rPr>
                <w:rFonts w:cs="Arial"/>
                <w:b/>
                <w:szCs w:val="16"/>
              </w:rPr>
            </w:pPr>
            <w:r w:rsidRPr="00757DFD">
              <w:t>3.05</w:t>
            </w:r>
          </w:p>
        </w:tc>
      </w:tr>
      <w:tr w:rsidR="00013420" w:rsidRPr="002F672B" w14:paraId="57470D2E" w14:textId="77777777" w:rsidTr="00013420">
        <w:tc>
          <w:tcPr>
            <w:tcW w:w="1334" w:type="pct"/>
            <w:noWrap/>
            <w:hideMark/>
          </w:tcPr>
          <w:p w14:paraId="3C045428" w14:textId="77777777" w:rsidR="00013420" w:rsidRPr="002F672B" w:rsidRDefault="00013420" w:rsidP="00013420">
            <w:pPr>
              <w:rPr>
                <w:rFonts w:cs="Arial"/>
                <w:b/>
                <w:bCs/>
                <w:szCs w:val="16"/>
              </w:rPr>
            </w:pPr>
            <w:r w:rsidRPr="002F672B">
              <w:rPr>
                <w:rFonts w:cs="Arial"/>
                <w:b/>
                <w:bCs/>
                <w:szCs w:val="16"/>
              </w:rPr>
              <w:t>Outcome B\Category a</w:t>
            </w:r>
          </w:p>
        </w:tc>
        <w:tc>
          <w:tcPr>
            <w:tcW w:w="914" w:type="pct"/>
            <w:noWrap/>
          </w:tcPr>
          <w:p w14:paraId="0D1D5269" w14:textId="1E3937A0" w:rsidR="00013420" w:rsidRPr="002F672B" w:rsidRDefault="00013420" w:rsidP="00013420">
            <w:pPr>
              <w:rPr>
                <w:rFonts w:cs="Arial"/>
                <w:b/>
                <w:szCs w:val="16"/>
              </w:rPr>
            </w:pPr>
            <w:r w:rsidRPr="00757DFD">
              <w:t>1.26</w:t>
            </w:r>
          </w:p>
        </w:tc>
        <w:tc>
          <w:tcPr>
            <w:tcW w:w="921" w:type="pct"/>
            <w:noWrap/>
          </w:tcPr>
          <w:p w14:paraId="38EF2B62" w14:textId="1417B724" w:rsidR="00013420" w:rsidRPr="002F672B" w:rsidRDefault="00013420" w:rsidP="00013420">
            <w:pPr>
              <w:rPr>
                <w:rFonts w:cs="Arial"/>
                <w:b/>
                <w:szCs w:val="16"/>
              </w:rPr>
            </w:pPr>
            <w:r w:rsidRPr="00757DFD">
              <w:t>2.27</w:t>
            </w:r>
          </w:p>
        </w:tc>
        <w:tc>
          <w:tcPr>
            <w:tcW w:w="919" w:type="pct"/>
            <w:noWrap/>
          </w:tcPr>
          <w:p w14:paraId="4A603301" w14:textId="6CD99487" w:rsidR="00013420" w:rsidRPr="002F672B" w:rsidRDefault="00013420" w:rsidP="00013420">
            <w:pPr>
              <w:rPr>
                <w:rFonts w:cs="Arial"/>
                <w:b/>
                <w:szCs w:val="16"/>
              </w:rPr>
            </w:pPr>
            <w:r w:rsidRPr="00757DFD">
              <w:t>-1.01</w:t>
            </w:r>
          </w:p>
        </w:tc>
        <w:tc>
          <w:tcPr>
            <w:tcW w:w="912" w:type="pct"/>
            <w:noWrap/>
          </w:tcPr>
          <w:p w14:paraId="6791967C" w14:textId="7223DE93" w:rsidR="00013420" w:rsidRPr="002F672B" w:rsidRDefault="00013420" w:rsidP="00013420">
            <w:pPr>
              <w:rPr>
                <w:rFonts w:cs="Arial"/>
                <w:b/>
                <w:szCs w:val="16"/>
              </w:rPr>
            </w:pPr>
            <w:r w:rsidRPr="00757DFD">
              <w:t>3.53</w:t>
            </w:r>
          </w:p>
        </w:tc>
      </w:tr>
      <w:tr w:rsidR="00013420" w:rsidRPr="002F672B" w14:paraId="00171CFD" w14:textId="77777777" w:rsidTr="00013420">
        <w:tc>
          <w:tcPr>
            <w:tcW w:w="1334" w:type="pct"/>
            <w:noWrap/>
            <w:hideMark/>
          </w:tcPr>
          <w:p w14:paraId="5BD17A65" w14:textId="77777777" w:rsidR="00013420" w:rsidRPr="002F672B" w:rsidRDefault="00013420" w:rsidP="00013420">
            <w:pPr>
              <w:rPr>
                <w:rFonts w:cs="Arial"/>
                <w:b/>
                <w:bCs/>
                <w:szCs w:val="16"/>
              </w:rPr>
            </w:pPr>
            <w:r w:rsidRPr="002F672B">
              <w:rPr>
                <w:rFonts w:cs="Arial"/>
                <w:b/>
                <w:bCs/>
                <w:szCs w:val="16"/>
              </w:rPr>
              <w:t>Outcome C\Category a</w:t>
            </w:r>
          </w:p>
        </w:tc>
        <w:tc>
          <w:tcPr>
            <w:tcW w:w="914" w:type="pct"/>
            <w:noWrap/>
          </w:tcPr>
          <w:p w14:paraId="0E5168FC" w14:textId="651E9E05" w:rsidR="00013420" w:rsidRPr="002F672B" w:rsidRDefault="00013420" w:rsidP="00013420">
            <w:pPr>
              <w:rPr>
                <w:rFonts w:cs="Arial"/>
                <w:b/>
                <w:szCs w:val="16"/>
              </w:rPr>
            </w:pPr>
            <w:r w:rsidRPr="00757DFD">
              <w:t>1.14</w:t>
            </w:r>
          </w:p>
        </w:tc>
        <w:tc>
          <w:tcPr>
            <w:tcW w:w="921" w:type="pct"/>
            <w:noWrap/>
          </w:tcPr>
          <w:p w14:paraId="64353B6D" w14:textId="62A0FFF4" w:rsidR="00013420" w:rsidRPr="002F672B" w:rsidRDefault="00013420" w:rsidP="00013420">
            <w:pPr>
              <w:rPr>
                <w:rFonts w:cs="Arial"/>
                <w:b/>
                <w:szCs w:val="16"/>
              </w:rPr>
            </w:pPr>
            <w:r w:rsidRPr="00757DFD">
              <w:t>1.59</w:t>
            </w:r>
          </w:p>
        </w:tc>
        <w:tc>
          <w:tcPr>
            <w:tcW w:w="919" w:type="pct"/>
            <w:noWrap/>
          </w:tcPr>
          <w:p w14:paraId="6935A10F" w14:textId="5588212F" w:rsidR="00013420" w:rsidRPr="002F672B" w:rsidRDefault="00013420" w:rsidP="00013420">
            <w:pPr>
              <w:rPr>
                <w:rFonts w:cs="Arial"/>
                <w:b/>
                <w:szCs w:val="16"/>
              </w:rPr>
            </w:pPr>
            <w:r w:rsidRPr="00757DFD">
              <w:t>-0.45</w:t>
            </w:r>
          </w:p>
        </w:tc>
        <w:tc>
          <w:tcPr>
            <w:tcW w:w="912" w:type="pct"/>
            <w:noWrap/>
          </w:tcPr>
          <w:p w14:paraId="49709BD5" w14:textId="626DF757" w:rsidR="00013420" w:rsidRPr="002F672B" w:rsidRDefault="00013420" w:rsidP="00013420">
            <w:pPr>
              <w:rPr>
                <w:rFonts w:cs="Arial"/>
                <w:b/>
                <w:szCs w:val="16"/>
              </w:rPr>
            </w:pPr>
            <w:r w:rsidRPr="00757DFD">
              <w:t>2.73</w:t>
            </w:r>
          </w:p>
        </w:tc>
      </w:tr>
    </w:tbl>
    <w:p w14:paraId="20396AF9" w14:textId="77777777" w:rsidR="00891EAC" w:rsidRDefault="00891EAC" w:rsidP="0081611B">
      <w:pPr>
        <w:rPr>
          <w:rFonts w:cs="Arial"/>
          <w:b/>
          <w:szCs w:val="16"/>
        </w:rPr>
      </w:pPr>
    </w:p>
    <w:tbl>
      <w:tblPr>
        <w:tblStyle w:val="TableGrid"/>
        <w:tblW w:w="5012" w:type="pct"/>
        <w:tblLook w:val="04A0" w:firstRow="1" w:lastRow="0" w:firstColumn="1" w:lastColumn="0" w:noHBand="0" w:noVBand="1"/>
        <w:tblCaption w:val="CAPPBOTCCATSD"/>
        <w:tblDescription w:val="Outcome\Category"/>
      </w:tblPr>
      <w:tblGrid>
        <w:gridCol w:w="2886"/>
        <w:gridCol w:w="1977"/>
        <w:gridCol w:w="1988"/>
        <w:gridCol w:w="1990"/>
        <w:gridCol w:w="1975"/>
      </w:tblGrid>
      <w:tr w:rsidR="00891EAC" w:rsidRPr="00F83501" w14:paraId="431F7150" w14:textId="77777777" w:rsidTr="00891EAC">
        <w:tc>
          <w:tcPr>
            <w:tcW w:w="1334" w:type="pct"/>
            <w:noWrap/>
            <w:hideMark/>
          </w:tcPr>
          <w:p w14:paraId="55C98841" w14:textId="77777777" w:rsidR="00891EAC" w:rsidRPr="00B05769" w:rsidRDefault="00891EAC" w:rsidP="00C452AB">
            <w:pPr>
              <w:keepNext/>
              <w:rPr>
                <w:rFonts w:cs="Arial"/>
                <w:b/>
                <w:bCs/>
                <w:szCs w:val="16"/>
              </w:rPr>
            </w:pPr>
            <w:r w:rsidRPr="00B05769">
              <w:rPr>
                <w:rFonts w:cs="Arial"/>
                <w:b/>
                <w:bCs/>
                <w:szCs w:val="16"/>
              </w:rPr>
              <w:t>Outcome\Category</w:t>
            </w:r>
          </w:p>
        </w:tc>
        <w:tc>
          <w:tcPr>
            <w:tcW w:w="914" w:type="pct"/>
            <w:noWrap/>
            <w:hideMark/>
          </w:tcPr>
          <w:p w14:paraId="2F7D0F7D" w14:textId="77777777" w:rsidR="00891EAC" w:rsidRPr="00B05769" w:rsidRDefault="00891EAC" w:rsidP="00C452AB">
            <w:pPr>
              <w:keepNext/>
              <w:jc w:val="center"/>
              <w:rPr>
                <w:rFonts w:cs="Arial"/>
                <w:b/>
                <w:bCs/>
                <w:szCs w:val="16"/>
              </w:rPr>
            </w:pPr>
            <w:r w:rsidRPr="00B05769">
              <w:rPr>
                <w:rFonts w:cs="Arial"/>
                <w:b/>
                <w:bCs/>
                <w:szCs w:val="16"/>
              </w:rPr>
              <w:t>Mean</w:t>
            </w:r>
          </w:p>
        </w:tc>
        <w:tc>
          <w:tcPr>
            <w:tcW w:w="919" w:type="pct"/>
            <w:noWrap/>
            <w:hideMark/>
          </w:tcPr>
          <w:p w14:paraId="6BC7FB22" w14:textId="77777777" w:rsidR="00891EAC" w:rsidRPr="00B05769" w:rsidRDefault="00891EAC" w:rsidP="00C452AB">
            <w:pPr>
              <w:keepNext/>
              <w:jc w:val="center"/>
              <w:rPr>
                <w:rFonts w:cs="Arial"/>
                <w:b/>
                <w:bCs/>
                <w:szCs w:val="16"/>
              </w:rPr>
            </w:pPr>
            <w:r w:rsidRPr="00B05769">
              <w:rPr>
                <w:rFonts w:cs="Arial"/>
                <w:b/>
                <w:bCs/>
                <w:szCs w:val="16"/>
              </w:rPr>
              <w:t>StDev</w:t>
            </w:r>
          </w:p>
        </w:tc>
        <w:tc>
          <w:tcPr>
            <w:tcW w:w="920" w:type="pct"/>
            <w:noWrap/>
            <w:hideMark/>
          </w:tcPr>
          <w:p w14:paraId="71FA478D" w14:textId="77777777" w:rsidR="00891EAC" w:rsidRPr="00B05769" w:rsidRDefault="00891EAC" w:rsidP="00C452AB">
            <w:pPr>
              <w:keepNext/>
              <w:jc w:val="center"/>
              <w:rPr>
                <w:rFonts w:cs="Arial"/>
                <w:b/>
                <w:bCs/>
                <w:szCs w:val="16"/>
              </w:rPr>
            </w:pPr>
            <w:r w:rsidRPr="00B05769">
              <w:rPr>
                <w:rFonts w:cs="Arial"/>
                <w:b/>
                <w:bCs/>
                <w:szCs w:val="16"/>
              </w:rPr>
              <w:t>-2SD</w:t>
            </w:r>
          </w:p>
        </w:tc>
        <w:tc>
          <w:tcPr>
            <w:tcW w:w="913" w:type="pct"/>
            <w:noWrap/>
            <w:hideMark/>
          </w:tcPr>
          <w:p w14:paraId="2997E456" w14:textId="77777777" w:rsidR="00891EAC" w:rsidRPr="00B05769" w:rsidRDefault="00891EAC" w:rsidP="00C452AB">
            <w:pPr>
              <w:keepNext/>
              <w:jc w:val="center"/>
              <w:rPr>
                <w:rFonts w:cs="Arial"/>
                <w:b/>
                <w:bCs/>
                <w:szCs w:val="16"/>
              </w:rPr>
            </w:pPr>
            <w:r w:rsidRPr="00B05769">
              <w:rPr>
                <w:rFonts w:cs="Arial"/>
                <w:b/>
                <w:bCs/>
                <w:szCs w:val="16"/>
              </w:rPr>
              <w:t>+2SD</w:t>
            </w:r>
          </w:p>
        </w:tc>
      </w:tr>
      <w:tr w:rsidR="00013420" w:rsidRPr="00F83501" w14:paraId="215401CF" w14:textId="77777777" w:rsidTr="00891EAC">
        <w:tc>
          <w:tcPr>
            <w:tcW w:w="1334" w:type="pct"/>
            <w:noWrap/>
            <w:hideMark/>
          </w:tcPr>
          <w:p w14:paraId="284ADB23" w14:textId="77777777" w:rsidR="00013420" w:rsidRPr="00B05769" w:rsidRDefault="00013420" w:rsidP="00013420">
            <w:pPr>
              <w:keepNext/>
              <w:rPr>
                <w:rFonts w:cs="Arial"/>
                <w:b/>
                <w:bCs/>
                <w:szCs w:val="16"/>
              </w:rPr>
            </w:pPr>
            <w:r w:rsidRPr="00B05769">
              <w:rPr>
                <w:rFonts w:cs="Arial"/>
                <w:b/>
                <w:bCs/>
                <w:szCs w:val="16"/>
              </w:rPr>
              <w:t>Outcome A\ Category b</w:t>
            </w:r>
          </w:p>
        </w:tc>
        <w:tc>
          <w:tcPr>
            <w:tcW w:w="914" w:type="pct"/>
            <w:noWrap/>
            <w:hideMark/>
          </w:tcPr>
          <w:p w14:paraId="5AC595B8" w14:textId="55ED1F20" w:rsidR="00013420" w:rsidRPr="00B05769" w:rsidRDefault="00013420" w:rsidP="00013420">
            <w:pPr>
              <w:keepNext/>
              <w:tabs>
                <w:tab w:val="decimal" w:pos="882"/>
              </w:tabs>
              <w:rPr>
                <w:rFonts w:cs="Arial"/>
                <w:color w:val="000000"/>
                <w:szCs w:val="16"/>
              </w:rPr>
            </w:pPr>
            <w:r w:rsidRPr="003751A6">
              <w:t>23.62</w:t>
            </w:r>
          </w:p>
        </w:tc>
        <w:tc>
          <w:tcPr>
            <w:tcW w:w="919" w:type="pct"/>
            <w:noWrap/>
            <w:hideMark/>
          </w:tcPr>
          <w:p w14:paraId="690DA309" w14:textId="37102F29" w:rsidR="00013420" w:rsidRPr="00B05769" w:rsidRDefault="00013420" w:rsidP="00013420">
            <w:pPr>
              <w:keepNext/>
              <w:tabs>
                <w:tab w:val="decimal" w:pos="886"/>
              </w:tabs>
              <w:rPr>
                <w:rFonts w:cs="Arial"/>
                <w:color w:val="000000"/>
                <w:szCs w:val="16"/>
              </w:rPr>
            </w:pPr>
            <w:r w:rsidRPr="003751A6">
              <w:t>8.94</w:t>
            </w:r>
          </w:p>
        </w:tc>
        <w:tc>
          <w:tcPr>
            <w:tcW w:w="920" w:type="pct"/>
            <w:noWrap/>
            <w:hideMark/>
          </w:tcPr>
          <w:p w14:paraId="4B347F63" w14:textId="03561D86" w:rsidR="00013420" w:rsidRPr="00B05769" w:rsidRDefault="00013420" w:rsidP="00013420">
            <w:pPr>
              <w:keepNext/>
              <w:tabs>
                <w:tab w:val="decimal" w:pos="886"/>
              </w:tabs>
              <w:rPr>
                <w:rFonts w:cs="Arial"/>
                <w:color w:val="000000"/>
                <w:szCs w:val="16"/>
              </w:rPr>
            </w:pPr>
            <w:r w:rsidRPr="003751A6">
              <w:t>5.75</w:t>
            </w:r>
          </w:p>
        </w:tc>
        <w:tc>
          <w:tcPr>
            <w:tcW w:w="913" w:type="pct"/>
            <w:noWrap/>
            <w:hideMark/>
          </w:tcPr>
          <w:p w14:paraId="3807E11E" w14:textId="27A3205C" w:rsidR="00013420" w:rsidRPr="00B05769" w:rsidRDefault="00013420" w:rsidP="00013420">
            <w:pPr>
              <w:keepNext/>
              <w:tabs>
                <w:tab w:val="decimal" w:pos="946"/>
              </w:tabs>
              <w:rPr>
                <w:rFonts w:cs="Arial"/>
                <w:color w:val="000000"/>
                <w:szCs w:val="16"/>
              </w:rPr>
            </w:pPr>
            <w:r w:rsidRPr="003751A6">
              <w:t>41.49</w:t>
            </w:r>
          </w:p>
        </w:tc>
      </w:tr>
      <w:tr w:rsidR="00013420" w:rsidRPr="00F83501" w14:paraId="42540E9E" w14:textId="77777777" w:rsidTr="00891EAC">
        <w:tc>
          <w:tcPr>
            <w:tcW w:w="1334" w:type="pct"/>
            <w:noWrap/>
            <w:hideMark/>
          </w:tcPr>
          <w:p w14:paraId="2ED627BC" w14:textId="77777777" w:rsidR="00013420" w:rsidRPr="00B05769" w:rsidRDefault="00013420" w:rsidP="00013420">
            <w:pPr>
              <w:keepNext/>
              <w:rPr>
                <w:rFonts w:cs="Arial"/>
                <w:b/>
                <w:bCs/>
                <w:szCs w:val="16"/>
              </w:rPr>
            </w:pPr>
            <w:r w:rsidRPr="00B05769">
              <w:rPr>
                <w:rFonts w:cs="Arial"/>
                <w:b/>
                <w:bCs/>
                <w:szCs w:val="16"/>
              </w:rPr>
              <w:t>Outcome A\ Category c</w:t>
            </w:r>
          </w:p>
        </w:tc>
        <w:tc>
          <w:tcPr>
            <w:tcW w:w="914" w:type="pct"/>
            <w:noWrap/>
            <w:hideMark/>
          </w:tcPr>
          <w:p w14:paraId="68BF205A" w14:textId="53A8621C" w:rsidR="00013420" w:rsidRPr="00B05769" w:rsidRDefault="00013420" w:rsidP="00013420">
            <w:pPr>
              <w:keepNext/>
              <w:tabs>
                <w:tab w:val="decimal" w:pos="882"/>
              </w:tabs>
              <w:rPr>
                <w:rFonts w:cs="Arial"/>
                <w:color w:val="000000"/>
                <w:szCs w:val="16"/>
              </w:rPr>
            </w:pPr>
            <w:r w:rsidRPr="003751A6">
              <w:t>20.32</w:t>
            </w:r>
          </w:p>
        </w:tc>
        <w:tc>
          <w:tcPr>
            <w:tcW w:w="919" w:type="pct"/>
            <w:noWrap/>
            <w:hideMark/>
          </w:tcPr>
          <w:p w14:paraId="0748FA5C" w14:textId="166A4932" w:rsidR="00013420" w:rsidRPr="00B05769" w:rsidRDefault="00013420" w:rsidP="00013420">
            <w:pPr>
              <w:keepNext/>
              <w:tabs>
                <w:tab w:val="decimal" w:pos="886"/>
              </w:tabs>
              <w:rPr>
                <w:rFonts w:cs="Arial"/>
                <w:color w:val="000000"/>
                <w:szCs w:val="16"/>
              </w:rPr>
            </w:pPr>
            <w:r w:rsidRPr="003751A6">
              <w:t>12.69</w:t>
            </w:r>
          </w:p>
        </w:tc>
        <w:tc>
          <w:tcPr>
            <w:tcW w:w="920" w:type="pct"/>
            <w:noWrap/>
            <w:hideMark/>
          </w:tcPr>
          <w:p w14:paraId="15B950D9" w14:textId="795300A9" w:rsidR="00013420" w:rsidRPr="00B05769" w:rsidRDefault="00013420" w:rsidP="00013420">
            <w:pPr>
              <w:keepNext/>
              <w:tabs>
                <w:tab w:val="decimal" w:pos="886"/>
              </w:tabs>
              <w:rPr>
                <w:rFonts w:cs="Arial"/>
                <w:color w:val="000000"/>
                <w:szCs w:val="16"/>
              </w:rPr>
            </w:pPr>
            <w:r w:rsidRPr="003751A6">
              <w:t>-5.05</w:t>
            </w:r>
          </w:p>
        </w:tc>
        <w:tc>
          <w:tcPr>
            <w:tcW w:w="913" w:type="pct"/>
            <w:noWrap/>
            <w:hideMark/>
          </w:tcPr>
          <w:p w14:paraId="015F5BDE" w14:textId="30A130EF" w:rsidR="00013420" w:rsidRPr="00B05769" w:rsidRDefault="00013420" w:rsidP="00013420">
            <w:pPr>
              <w:keepNext/>
              <w:tabs>
                <w:tab w:val="decimal" w:pos="946"/>
              </w:tabs>
              <w:rPr>
                <w:rFonts w:cs="Arial"/>
                <w:color w:val="000000"/>
                <w:szCs w:val="16"/>
              </w:rPr>
            </w:pPr>
            <w:r w:rsidRPr="003751A6">
              <w:t>45.69</w:t>
            </w:r>
          </w:p>
        </w:tc>
      </w:tr>
      <w:tr w:rsidR="00013420" w:rsidRPr="00F83501" w14:paraId="17F6CB09" w14:textId="77777777" w:rsidTr="00891EAC">
        <w:tc>
          <w:tcPr>
            <w:tcW w:w="1334" w:type="pct"/>
            <w:noWrap/>
            <w:hideMark/>
          </w:tcPr>
          <w:p w14:paraId="2DC19B5E" w14:textId="77777777" w:rsidR="00013420" w:rsidRPr="00B05769" w:rsidRDefault="00013420" w:rsidP="00013420">
            <w:pPr>
              <w:keepNext/>
              <w:rPr>
                <w:rFonts w:cs="Arial"/>
                <w:b/>
                <w:bCs/>
                <w:szCs w:val="16"/>
              </w:rPr>
            </w:pPr>
            <w:r w:rsidRPr="00B05769">
              <w:rPr>
                <w:rFonts w:cs="Arial"/>
                <w:b/>
                <w:bCs/>
                <w:szCs w:val="16"/>
              </w:rPr>
              <w:t>Outcome A\ Category d</w:t>
            </w:r>
          </w:p>
        </w:tc>
        <w:tc>
          <w:tcPr>
            <w:tcW w:w="914" w:type="pct"/>
            <w:noWrap/>
            <w:hideMark/>
          </w:tcPr>
          <w:p w14:paraId="77722D87" w14:textId="33EF2D3D" w:rsidR="00013420" w:rsidRPr="00B05769" w:rsidRDefault="00013420" w:rsidP="00013420">
            <w:pPr>
              <w:keepNext/>
              <w:tabs>
                <w:tab w:val="decimal" w:pos="882"/>
              </w:tabs>
              <w:rPr>
                <w:rFonts w:cs="Arial"/>
                <w:color w:val="000000"/>
                <w:szCs w:val="16"/>
              </w:rPr>
            </w:pPr>
            <w:r w:rsidRPr="003751A6">
              <w:t>27.33</w:t>
            </w:r>
          </w:p>
        </w:tc>
        <w:tc>
          <w:tcPr>
            <w:tcW w:w="919" w:type="pct"/>
            <w:noWrap/>
            <w:hideMark/>
          </w:tcPr>
          <w:p w14:paraId="72497FB6" w14:textId="240389B3" w:rsidR="00013420" w:rsidRPr="00B05769" w:rsidRDefault="00013420" w:rsidP="00013420">
            <w:pPr>
              <w:keepNext/>
              <w:tabs>
                <w:tab w:val="decimal" w:pos="886"/>
              </w:tabs>
              <w:rPr>
                <w:rFonts w:cs="Arial"/>
                <w:color w:val="000000"/>
                <w:szCs w:val="16"/>
              </w:rPr>
            </w:pPr>
            <w:r w:rsidRPr="003751A6">
              <w:t>9.46</w:t>
            </w:r>
          </w:p>
        </w:tc>
        <w:tc>
          <w:tcPr>
            <w:tcW w:w="920" w:type="pct"/>
            <w:noWrap/>
            <w:hideMark/>
          </w:tcPr>
          <w:p w14:paraId="08B56A13" w14:textId="73480322" w:rsidR="00013420" w:rsidRPr="00B05769" w:rsidRDefault="00013420" w:rsidP="00013420">
            <w:pPr>
              <w:keepNext/>
              <w:tabs>
                <w:tab w:val="decimal" w:pos="886"/>
              </w:tabs>
              <w:rPr>
                <w:rFonts w:cs="Arial"/>
                <w:color w:val="000000"/>
                <w:szCs w:val="16"/>
              </w:rPr>
            </w:pPr>
            <w:r w:rsidRPr="003751A6">
              <w:t>8.42</w:t>
            </w:r>
          </w:p>
        </w:tc>
        <w:tc>
          <w:tcPr>
            <w:tcW w:w="913" w:type="pct"/>
            <w:noWrap/>
            <w:hideMark/>
          </w:tcPr>
          <w:p w14:paraId="32B2FF3E" w14:textId="07A7D322" w:rsidR="00013420" w:rsidRPr="00B05769" w:rsidRDefault="00013420" w:rsidP="00013420">
            <w:pPr>
              <w:keepNext/>
              <w:tabs>
                <w:tab w:val="decimal" w:pos="946"/>
              </w:tabs>
              <w:rPr>
                <w:rFonts w:cs="Arial"/>
                <w:color w:val="000000"/>
                <w:szCs w:val="16"/>
              </w:rPr>
            </w:pPr>
            <w:r w:rsidRPr="003751A6">
              <w:t>46.24</w:t>
            </w:r>
          </w:p>
        </w:tc>
      </w:tr>
      <w:tr w:rsidR="00013420" w:rsidRPr="00F83501" w14:paraId="4D3CF099" w14:textId="77777777" w:rsidTr="00891EAC">
        <w:tc>
          <w:tcPr>
            <w:tcW w:w="1334" w:type="pct"/>
            <w:noWrap/>
            <w:hideMark/>
          </w:tcPr>
          <w:p w14:paraId="71D7E61E" w14:textId="77777777" w:rsidR="00013420" w:rsidRPr="00B05769" w:rsidRDefault="00013420" w:rsidP="00013420">
            <w:pPr>
              <w:keepNext/>
              <w:rPr>
                <w:rFonts w:cs="Arial"/>
                <w:b/>
                <w:bCs/>
                <w:szCs w:val="16"/>
              </w:rPr>
            </w:pPr>
            <w:r w:rsidRPr="00B05769">
              <w:rPr>
                <w:rFonts w:cs="Arial"/>
                <w:b/>
                <w:bCs/>
                <w:szCs w:val="16"/>
              </w:rPr>
              <w:t>Outcome A\ Category e</w:t>
            </w:r>
          </w:p>
        </w:tc>
        <w:tc>
          <w:tcPr>
            <w:tcW w:w="914" w:type="pct"/>
            <w:noWrap/>
            <w:hideMark/>
          </w:tcPr>
          <w:p w14:paraId="02A4028A" w14:textId="6D98866F" w:rsidR="00013420" w:rsidRPr="00B05769" w:rsidRDefault="00013420" w:rsidP="00013420">
            <w:pPr>
              <w:keepNext/>
              <w:tabs>
                <w:tab w:val="decimal" w:pos="882"/>
              </w:tabs>
              <w:rPr>
                <w:rFonts w:cs="Arial"/>
                <w:color w:val="000000"/>
                <w:szCs w:val="16"/>
              </w:rPr>
            </w:pPr>
            <w:r w:rsidRPr="003751A6">
              <w:t>27.3</w:t>
            </w:r>
          </w:p>
        </w:tc>
        <w:tc>
          <w:tcPr>
            <w:tcW w:w="919" w:type="pct"/>
            <w:noWrap/>
            <w:hideMark/>
          </w:tcPr>
          <w:p w14:paraId="69022280" w14:textId="77EBB2E6" w:rsidR="00013420" w:rsidRPr="00B05769" w:rsidRDefault="00013420" w:rsidP="00013420">
            <w:pPr>
              <w:keepNext/>
              <w:tabs>
                <w:tab w:val="decimal" w:pos="886"/>
              </w:tabs>
              <w:rPr>
                <w:rFonts w:cs="Arial"/>
                <w:color w:val="000000"/>
                <w:szCs w:val="16"/>
              </w:rPr>
            </w:pPr>
            <w:r w:rsidRPr="003751A6">
              <w:t>15.11</w:t>
            </w:r>
          </w:p>
        </w:tc>
        <w:tc>
          <w:tcPr>
            <w:tcW w:w="920" w:type="pct"/>
            <w:noWrap/>
            <w:hideMark/>
          </w:tcPr>
          <w:p w14:paraId="11F27574" w14:textId="7F88016D" w:rsidR="00013420" w:rsidRPr="00B05769" w:rsidRDefault="00013420" w:rsidP="00013420">
            <w:pPr>
              <w:keepNext/>
              <w:tabs>
                <w:tab w:val="decimal" w:pos="886"/>
              </w:tabs>
              <w:rPr>
                <w:rFonts w:cs="Arial"/>
                <w:color w:val="000000"/>
                <w:szCs w:val="16"/>
              </w:rPr>
            </w:pPr>
            <w:r w:rsidRPr="003751A6">
              <w:t>-2.92</w:t>
            </w:r>
          </w:p>
        </w:tc>
        <w:tc>
          <w:tcPr>
            <w:tcW w:w="913" w:type="pct"/>
            <w:noWrap/>
            <w:hideMark/>
          </w:tcPr>
          <w:p w14:paraId="1D908B4E" w14:textId="15DAF81F" w:rsidR="00013420" w:rsidRPr="00B05769" w:rsidRDefault="00013420" w:rsidP="00013420">
            <w:pPr>
              <w:keepNext/>
              <w:tabs>
                <w:tab w:val="decimal" w:pos="946"/>
              </w:tabs>
              <w:rPr>
                <w:rFonts w:cs="Arial"/>
                <w:color w:val="000000"/>
                <w:szCs w:val="16"/>
              </w:rPr>
            </w:pPr>
            <w:r w:rsidRPr="003751A6">
              <w:t>57.52</w:t>
            </w:r>
          </w:p>
        </w:tc>
      </w:tr>
      <w:tr w:rsidR="00013420" w:rsidRPr="00F83501" w14:paraId="3C0B2AD9" w14:textId="77777777" w:rsidTr="00891EAC">
        <w:tc>
          <w:tcPr>
            <w:tcW w:w="1334" w:type="pct"/>
            <w:noWrap/>
            <w:hideMark/>
          </w:tcPr>
          <w:p w14:paraId="35E6FF70" w14:textId="77777777" w:rsidR="00013420" w:rsidRPr="00B05769" w:rsidRDefault="00013420" w:rsidP="00013420">
            <w:pPr>
              <w:keepNext/>
              <w:rPr>
                <w:rFonts w:cs="Arial"/>
                <w:b/>
                <w:bCs/>
                <w:szCs w:val="16"/>
              </w:rPr>
            </w:pPr>
            <w:r w:rsidRPr="00B05769">
              <w:rPr>
                <w:rFonts w:cs="Arial"/>
                <w:b/>
                <w:bCs/>
                <w:szCs w:val="16"/>
              </w:rPr>
              <w:t>Outcome B\ Category b</w:t>
            </w:r>
          </w:p>
        </w:tc>
        <w:tc>
          <w:tcPr>
            <w:tcW w:w="914" w:type="pct"/>
            <w:noWrap/>
            <w:hideMark/>
          </w:tcPr>
          <w:p w14:paraId="79E24E11" w14:textId="5E28ED38" w:rsidR="00013420" w:rsidRPr="00B05769" w:rsidRDefault="00013420" w:rsidP="00013420">
            <w:pPr>
              <w:keepNext/>
              <w:tabs>
                <w:tab w:val="decimal" w:pos="882"/>
              </w:tabs>
              <w:rPr>
                <w:rFonts w:cs="Arial"/>
                <w:color w:val="000000"/>
                <w:szCs w:val="16"/>
              </w:rPr>
            </w:pPr>
            <w:r w:rsidRPr="003751A6">
              <w:t>25.16</w:t>
            </w:r>
          </w:p>
        </w:tc>
        <w:tc>
          <w:tcPr>
            <w:tcW w:w="919" w:type="pct"/>
            <w:noWrap/>
            <w:hideMark/>
          </w:tcPr>
          <w:p w14:paraId="79D9CEF8" w14:textId="11905272" w:rsidR="00013420" w:rsidRPr="00B05769" w:rsidRDefault="00013420" w:rsidP="00013420">
            <w:pPr>
              <w:keepNext/>
              <w:tabs>
                <w:tab w:val="decimal" w:pos="886"/>
              </w:tabs>
              <w:rPr>
                <w:rFonts w:cs="Arial"/>
                <w:color w:val="000000"/>
                <w:szCs w:val="16"/>
              </w:rPr>
            </w:pPr>
            <w:r w:rsidRPr="003751A6">
              <w:t>9.76</w:t>
            </w:r>
          </w:p>
        </w:tc>
        <w:tc>
          <w:tcPr>
            <w:tcW w:w="920" w:type="pct"/>
            <w:noWrap/>
            <w:hideMark/>
          </w:tcPr>
          <w:p w14:paraId="33E5F668" w14:textId="68E67FD4" w:rsidR="00013420" w:rsidRPr="00B05769" w:rsidRDefault="00013420" w:rsidP="00013420">
            <w:pPr>
              <w:keepNext/>
              <w:tabs>
                <w:tab w:val="decimal" w:pos="886"/>
              </w:tabs>
              <w:rPr>
                <w:rFonts w:cs="Arial"/>
                <w:color w:val="000000"/>
                <w:szCs w:val="16"/>
              </w:rPr>
            </w:pPr>
            <w:r w:rsidRPr="003751A6">
              <w:t>5.65</w:t>
            </w:r>
          </w:p>
        </w:tc>
        <w:tc>
          <w:tcPr>
            <w:tcW w:w="913" w:type="pct"/>
            <w:noWrap/>
            <w:hideMark/>
          </w:tcPr>
          <w:p w14:paraId="182AC66E" w14:textId="6892E6AE" w:rsidR="00013420" w:rsidRPr="00B05769" w:rsidRDefault="00013420" w:rsidP="00013420">
            <w:pPr>
              <w:keepNext/>
              <w:tabs>
                <w:tab w:val="decimal" w:pos="946"/>
              </w:tabs>
              <w:rPr>
                <w:rFonts w:cs="Arial"/>
                <w:color w:val="000000"/>
                <w:szCs w:val="16"/>
              </w:rPr>
            </w:pPr>
            <w:r w:rsidRPr="003751A6">
              <w:t>44.68</w:t>
            </w:r>
          </w:p>
        </w:tc>
      </w:tr>
      <w:tr w:rsidR="00013420" w:rsidRPr="00F83501" w14:paraId="19CCC4BA" w14:textId="77777777" w:rsidTr="00891EAC">
        <w:tc>
          <w:tcPr>
            <w:tcW w:w="1334" w:type="pct"/>
            <w:noWrap/>
            <w:hideMark/>
          </w:tcPr>
          <w:p w14:paraId="1377AC37" w14:textId="77777777" w:rsidR="00013420" w:rsidRPr="00B05769" w:rsidRDefault="00013420" w:rsidP="00013420">
            <w:pPr>
              <w:keepNext/>
              <w:rPr>
                <w:rFonts w:cs="Arial"/>
                <w:b/>
                <w:bCs/>
                <w:szCs w:val="16"/>
              </w:rPr>
            </w:pPr>
            <w:r w:rsidRPr="00B05769">
              <w:rPr>
                <w:rFonts w:cs="Arial"/>
                <w:b/>
                <w:bCs/>
                <w:szCs w:val="16"/>
              </w:rPr>
              <w:t>Outcome B\ Category c</w:t>
            </w:r>
          </w:p>
        </w:tc>
        <w:tc>
          <w:tcPr>
            <w:tcW w:w="914" w:type="pct"/>
            <w:noWrap/>
            <w:hideMark/>
          </w:tcPr>
          <w:p w14:paraId="7116643D" w14:textId="699966FA" w:rsidR="00013420" w:rsidRPr="00B05769" w:rsidRDefault="00013420" w:rsidP="00013420">
            <w:pPr>
              <w:keepNext/>
              <w:tabs>
                <w:tab w:val="decimal" w:pos="882"/>
              </w:tabs>
              <w:rPr>
                <w:rFonts w:cs="Arial"/>
                <w:color w:val="000000"/>
                <w:szCs w:val="16"/>
              </w:rPr>
            </w:pPr>
            <w:r w:rsidRPr="003751A6">
              <w:t>28.73</w:t>
            </w:r>
          </w:p>
        </w:tc>
        <w:tc>
          <w:tcPr>
            <w:tcW w:w="919" w:type="pct"/>
            <w:noWrap/>
            <w:hideMark/>
          </w:tcPr>
          <w:p w14:paraId="03106316" w14:textId="3BEEDE52" w:rsidR="00013420" w:rsidRPr="00B05769" w:rsidRDefault="00013420" w:rsidP="00013420">
            <w:pPr>
              <w:keepNext/>
              <w:tabs>
                <w:tab w:val="decimal" w:pos="886"/>
              </w:tabs>
              <w:rPr>
                <w:rFonts w:cs="Arial"/>
                <w:color w:val="000000"/>
                <w:szCs w:val="16"/>
              </w:rPr>
            </w:pPr>
            <w:r w:rsidRPr="003751A6">
              <w:t>12.11</w:t>
            </w:r>
          </w:p>
        </w:tc>
        <w:tc>
          <w:tcPr>
            <w:tcW w:w="920" w:type="pct"/>
            <w:noWrap/>
            <w:hideMark/>
          </w:tcPr>
          <w:p w14:paraId="26B5FE43" w14:textId="37E2830F" w:rsidR="00013420" w:rsidRPr="00B05769" w:rsidRDefault="00013420" w:rsidP="00013420">
            <w:pPr>
              <w:keepNext/>
              <w:tabs>
                <w:tab w:val="decimal" w:pos="886"/>
              </w:tabs>
              <w:rPr>
                <w:rFonts w:cs="Arial"/>
                <w:color w:val="000000"/>
                <w:szCs w:val="16"/>
              </w:rPr>
            </w:pPr>
            <w:r w:rsidRPr="003751A6">
              <w:t>4.5</w:t>
            </w:r>
          </w:p>
        </w:tc>
        <w:tc>
          <w:tcPr>
            <w:tcW w:w="913" w:type="pct"/>
            <w:noWrap/>
            <w:hideMark/>
          </w:tcPr>
          <w:p w14:paraId="2EE81DD2" w14:textId="051C2118" w:rsidR="00013420" w:rsidRPr="00B05769" w:rsidRDefault="00013420" w:rsidP="00013420">
            <w:pPr>
              <w:keepNext/>
              <w:tabs>
                <w:tab w:val="decimal" w:pos="946"/>
              </w:tabs>
              <w:rPr>
                <w:rFonts w:cs="Arial"/>
                <w:color w:val="000000"/>
                <w:szCs w:val="16"/>
              </w:rPr>
            </w:pPr>
            <w:r w:rsidRPr="003751A6">
              <w:t>52.95</w:t>
            </w:r>
          </w:p>
        </w:tc>
      </w:tr>
      <w:tr w:rsidR="00013420" w:rsidRPr="00F83501" w14:paraId="05C7D05D" w14:textId="77777777" w:rsidTr="00891EAC">
        <w:tc>
          <w:tcPr>
            <w:tcW w:w="1334" w:type="pct"/>
            <w:noWrap/>
            <w:hideMark/>
          </w:tcPr>
          <w:p w14:paraId="5FA3D954" w14:textId="77777777" w:rsidR="00013420" w:rsidRPr="00B05769" w:rsidRDefault="00013420" w:rsidP="00013420">
            <w:pPr>
              <w:keepNext/>
              <w:rPr>
                <w:rFonts w:cs="Arial"/>
                <w:b/>
                <w:bCs/>
                <w:szCs w:val="16"/>
              </w:rPr>
            </w:pPr>
            <w:r w:rsidRPr="00B05769">
              <w:rPr>
                <w:rFonts w:cs="Arial"/>
                <w:b/>
                <w:bCs/>
                <w:szCs w:val="16"/>
              </w:rPr>
              <w:t>Outcome B\ Category d</w:t>
            </w:r>
          </w:p>
        </w:tc>
        <w:tc>
          <w:tcPr>
            <w:tcW w:w="914" w:type="pct"/>
            <w:noWrap/>
            <w:hideMark/>
          </w:tcPr>
          <w:p w14:paraId="2BD5497A" w14:textId="422DCFAA" w:rsidR="00013420" w:rsidRPr="00B05769" w:rsidRDefault="00013420" w:rsidP="00013420">
            <w:pPr>
              <w:keepNext/>
              <w:tabs>
                <w:tab w:val="decimal" w:pos="882"/>
              </w:tabs>
              <w:rPr>
                <w:rFonts w:cs="Arial"/>
                <w:color w:val="000000"/>
                <w:szCs w:val="16"/>
              </w:rPr>
            </w:pPr>
            <w:r w:rsidRPr="003751A6">
              <w:t>31.76</w:t>
            </w:r>
          </w:p>
        </w:tc>
        <w:tc>
          <w:tcPr>
            <w:tcW w:w="919" w:type="pct"/>
            <w:noWrap/>
            <w:hideMark/>
          </w:tcPr>
          <w:p w14:paraId="30709E9E" w14:textId="5F6641B0" w:rsidR="00013420" w:rsidRPr="00B05769" w:rsidRDefault="00013420" w:rsidP="00013420">
            <w:pPr>
              <w:keepNext/>
              <w:tabs>
                <w:tab w:val="decimal" w:pos="886"/>
              </w:tabs>
              <w:rPr>
                <w:rFonts w:cs="Arial"/>
                <w:color w:val="000000"/>
                <w:szCs w:val="16"/>
              </w:rPr>
            </w:pPr>
            <w:r w:rsidRPr="003751A6">
              <w:t>8.06</w:t>
            </w:r>
          </w:p>
        </w:tc>
        <w:tc>
          <w:tcPr>
            <w:tcW w:w="920" w:type="pct"/>
            <w:noWrap/>
            <w:hideMark/>
          </w:tcPr>
          <w:p w14:paraId="6B81F04F" w14:textId="2EECE48D" w:rsidR="00013420" w:rsidRPr="00B05769" w:rsidRDefault="00013420" w:rsidP="00013420">
            <w:pPr>
              <w:keepNext/>
              <w:tabs>
                <w:tab w:val="decimal" w:pos="886"/>
              </w:tabs>
              <w:rPr>
                <w:rFonts w:cs="Arial"/>
                <w:color w:val="000000"/>
                <w:szCs w:val="16"/>
              </w:rPr>
            </w:pPr>
            <w:r w:rsidRPr="003751A6">
              <w:t>15.64</w:t>
            </w:r>
          </w:p>
        </w:tc>
        <w:tc>
          <w:tcPr>
            <w:tcW w:w="913" w:type="pct"/>
            <w:noWrap/>
            <w:hideMark/>
          </w:tcPr>
          <w:p w14:paraId="72ECE987" w14:textId="5ACB612C" w:rsidR="00013420" w:rsidRPr="00B05769" w:rsidRDefault="00013420" w:rsidP="00013420">
            <w:pPr>
              <w:keepNext/>
              <w:tabs>
                <w:tab w:val="decimal" w:pos="946"/>
              </w:tabs>
              <w:rPr>
                <w:rFonts w:cs="Arial"/>
                <w:color w:val="000000"/>
                <w:szCs w:val="16"/>
              </w:rPr>
            </w:pPr>
            <w:r w:rsidRPr="003751A6">
              <w:t>47.87</w:t>
            </w:r>
          </w:p>
        </w:tc>
      </w:tr>
      <w:tr w:rsidR="00013420" w:rsidRPr="00F83501" w14:paraId="327D4090" w14:textId="77777777" w:rsidTr="00891EAC">
        <w:tc>
          <w:tcPr>
            <w:tcW w:w="1334" w:type="pct"/>
            <w:noWrap/>
            <w:hideMark/>
          </w:tcPr>
          <w:p w14:paraId="5D913E0D" w14:textId="77777777" w:rsidR="00013420" w:rsidRPr="00B05769" w:rsidRDefault="00013420" w:rsidP="00013420">
            <w:pPr>
              <w:keepNext/>
              <w:rPr>
                <w:rFonts w:cs="Arial"/>
                <w:b/>
                <w:bCs/>
                <w:szCs w:val="16"/>
              </w:rPr>
            </w:pPr>
            <w:r w:rsidRPr="00B05769">
              <w:rPr>
                <w:rFonts w:cs="Arial"/>
                <w:b/>
                <w:bCs/>
                <w:szCs w:val="16"/>
              </w:rPr>
              <w:t>Outcome B\ Category e</w:t>
            </w:r>
          </w:p>
        </w:tc>
        <w:tc>
          <w:tcPr>
            <w:tcW w:w="914" w:type="pct"/>
            <w:noWrap/>
            <w:hideMark/>
          </w:tcPr>
          <w:p w14:paraId="28065064" w14:textId="24C45584" w:rsidR="00013420" w:rsidRPr="00B05769" w:rsidRDefault="00013420" w:rsidP="00013420">
            <w:pPr>
              <w:keepNext/>
              <w:tabs>
                <w:tab w:val="decimal" w:pos="882"/>
              </w:tabs>
              <w:rPr>
                <w:rFonts w:cs="Arial"/>
                <w:color w:val="000000"/>
                <w:szCs w:val="16"/>
              </w:rPr>
            </w:pPr>
            <w:r w:rsidRPr="003751A6">
              <w:t>13.09</w:t>
            </w:r>
          </w:p>
        </w:tc>
        <w:tc>
          <w:tcPr>
            <w:tcW w:w="919" w:type="pct"/>
            <w:noWrap/>
            <w:hideMark/>
          </w:tcPr>
          <w:p w14:paraId="1546D3BD" w14:textId="04363816" w:rsidR="00013420" w:rsidRPr="00B05769" w:rsidRDefault="00013420" w:rsidP="00013420">
            <w:pPr>
              <w:keepNext/>
              <w:tabs>
                <w:tab w:val="decimal" w:pos="886"/>
              </w:tabs>
              <w:rPr>
                <w:rFonts w:cs="Arial"/>
                <w:color w:val="000000"/>
                <w:szCs w:val="16"/>
              </w:rPr>
            </w:pPr>
            <w:r w:rsidRPr="003751A6">
              <w:t>8.56</w:t>
            </w:r>
          </w:p>
        </w:tc>
        <w:tc>
          <w:tcPr>
            <w:tcW w:w="920" w:type="pct"/>
            <w:noWrap/>
            <w:hideMark/>
          </w:tcPr>
          <w:p w14:paraId="5935B11B" w14:textId="6BF7BC2E" w:rsidR="00013420" w:rsidRPr="00B05769" w:rsidRDefault="00013420" w:rsidP="00013420">
            <w:pPr>
              <w:keepNext/>
              <w:tabs>
                <w:tab w:val="decimal" w:pos="886"/>
              </w:tabs>
              <w:rPr>
                <w:rFonts w:cs="Arial"/>
                <w:color w:val="000000"/>
                <w:szCs w:val="16"/>
              </w:rPr>
            </w:pPr>
            <w:r w:rsidRPr="003751A6">
              <w:t>-4.02</w:t>
            </w:r>
          </w:p>
        </w:tc>
        <w:tc>
          <w:tcPr>
            <w:tcW w:w="913" w:type="pct"/>
            <w:noWrap/>
            <w:hideMark/>
          </w:tcPr>
          <w:p w14:paraId="7BD84287" w14:textId="51DE71CB" w:rsidR="00013420" w:rsidRPr="00B05769" w:rsidRDefault="00013420" w:rsidP="00013420">
            <w:pPr>
              <w:keepNext/>
              <w:tabs>
                <w:tab w:val="decimal" w:pos="946"/>
              </w:tabs>
              <w:rPr>
                <w:rFonts w:cs="Arial"/>
                <w:color w:val="000000"/>
                <w:szCs w:val="16"/>
              </w:rPr>
            </w:pPr>
            <w:r w:rsidRPr="003751A6">
              <w:t>30.21</w:t>
            </w:r>
          </w:p>
        </w:tc>
      </w:tr>
      <w:tr w:rsidR="00013420" w:rsidRPr="00F83501" w14:paraId="4B5BB26D" w14:textId="77777777" w:rsidTr="00891EAC">
        <w:tc>
          <w:tcPr>
            <w:tcW w:w="1334" w:type="pct"/>
            <w:noWrap/>
            <w:hideMark/>
          </w:tcPr>
          <w:p w14:paraId="0A22902F" w14:textId="77777777" w:rsidR="00013420" w:rsidRPr="00B05769" w:rsidRDefault="00013420" w:rsidP="00013420">
            <w:pPr>
              <w:keepNext/>
              <w:rPr>
                <w:rFonts w:cs="Arial"/>
                <w:b/>
                <w:bCs/>
                <w:szCs w:val="16"/>
              </w:rPr>
            </w:pPr>
            <w:r w:rsidRPr="00B05769">
              <w:rPr>
                <w:rFonts w:cs="Arial"/>
                <w:b/>
                <w:bCs/>
                <w:szCs w:val="16"/>
              </w:rPr>
              <w:t>Outcome C\ Category b</w:t>
            </w:r>
          </w:p>
        </w:tc>
        <w:tc>
          <w:tcPr>
            <w:tcW w:w="914" w:type="pct"/>
            <w:noWrap/>
            <w:hideMark/>
          </w:tcPr>
          <w:p w14:paraId="6B021391" w14:textId="35E53966" w:rsidR="00013420" w:rsidRPr="00B05769" w:rsidRDefault="00013420" w:rsidP="00013420">
            <w:pPr>
              <w:keepNext/>
              <w:tabs>
                <w:tab w:val="decimal" w:pos="882"/>
              </w:tabs>
              <w:rPr>
                <w:rFonts w:cs="Arial"/>
                <w:color w:val="000000"/>
                <w:szCs w:val="16"/>
              </w:rPr>
            </w:pPr>
            <w:r w:rsidRPr="003751A6">
              <w:t>20.27</w:t>
            </w:r>
          </w:p>
        </w:tc>
        <w:tc>
          <w:tcPr>
            <w:tcW w:w="919" w:type="pct"/>
            <w:noWrap/>
            <w:hideMark/>
          </w:tcPr>
          <w:p w14:paraId="49B5A03B" w14:textId="32A23376" w:rsidR="00013420" w:rsidRPr="00B05769" w:rsidRDefault="00013420" w:rsidP="00013420">
            <w:pPr>
              <w:keepNext/>
              <w:tabs>
                <w:tab w:val="decimal" w:pos="886"/>
              </w:tabs>
              <w:rPr>
                <w:rFonts w:cs="Arial"/>
                <w:color w:val="000000"/>
                <w:szCs w:val="16"/>
              </w:rPr>
            </w:pPr>
            <w:r w:rsidRPr="003751A6">
              <w:t>8.49</w:t>
            </w:r>
          </w:p>
        </w:tc>
        <w:tc>
          <w:tcPr>
            <w:tcW w:w="920" w:type="pct"/>
            <w:noWrap/>
            <w:hideMark/>
          </w:tcPr>
          <w:p w14:paraId="57D0C954" w14:textId="0B060937" w:rsidR="00013420" w:rsidRPr="00B05769" w:rsidRDefault="00013420" w:rsidP="00013420">
            <w:pPr>
              <w:keepNext/>
              <w:tabs>
                <w:tab w:val="decimal" w:pos="886"/>
              </w:tabs>
              <w:rPr>
                <w:rFonts w:cs="Arial"/>
                <w:color w:val="000000"/>
                <w:szCs w:val="16"/>
              </w:rPr>
            </w:pPr>
            <w:r w:rsidRPr="003751A6">
              <w:t>3.29</w:t>
            </w:r>
          </w:p>
        </w:tc>
        <w:tc>
          <w:tcPr>
            <w:tcW w:w="913" w:type="pct"/>
            <w:noWrap/>
            <w:hideMark/>
          </w:tcPr>
          <w:p w14:paraId="7FC889CE" w14:textId="60AB5AA2" w:rsidR="00013420" w:rsidRPr="00B05769" w:rsidRDefault="00013420" w:rsidP="00013420">
            <w:pPr>
              <w:keepNext/>
              <w:tabs>
                <w:tab w:val="decimal" w:pos="946"/>
              </w:tabs>
              <w:rPr>
                <w:rFonts w:cs="Arial"/>
                <w:color w:val="000000"/>
                <w:szCs w:val="16"/>
              </w:rPr>
            </w:pPr>
            <w:r w:rsidRPr="003751A6">
              <w:t>37.26</w:t>
            </w:r>
          </w:p>
        </w:tc>
      </w:tr>
      <w:tr w:rsidR="00013420" w:rsidRPr="00F83501" w14:paraId="347FD79F" w14:textId="77777777" w:rsidTr="00891EAC">
        <w:tc>
          <w:tcPr>
            <w:tcW w:w="1334" w:type="pct"/>
            <w:noWrap/>
            <w:hideMark/>
          </w:tcPr>
          <w:p w14:paraId="17D8CC8D" w14:textId="77777777" w:rsidR="00013420" w:rsidRPr="00B05769" w:rsidRDefault="00013420" w:rsidP="00013420">
            <w:pPr>
              <w:keepNext/>
              <w:rPr>
                <w:rFonts w:cs="Arial"/>
                <w:b/>
                <w:bCs/>
                <w:szCs w:val="16"/>
              </w:rPr>
            </w:pPr>
            <w:r w:rsidRPr="00B05769">
              <w:rPr>
                <w:rFonts w:cs="Arial"/>
                <w:b/>
                <w:bCs/>
                <w:szCs w:val="16"/>
              </w:rPr>
              <w:t>Outcome C\ Category c</w:t>
            </w:r>
          </w:p>
        </w:tc>
        <w:tc>
          <w:tcPr>
            <w:tcW w:w="914" w:type="pct"/>
            <w:noWrap/>
            <w:hideMark/>
          </w:tcPr>
          <w:p w14:paraId="732C059A" w14:textId="088ACB80" w:rsidR="00013420" w:rsidRPr="00B05769" w:rsidRDefault="00013420" w:rsidP="00013420">
            <w:pPr>
              <w:keepNext/>
              <w:tabs>
                <w:tab w:val="decimal" w:pos="882"/>
              </w:tabs>
              <w:rPr>
                <w:rFonts w:cs="Arial"/>
                <w:color w:val="000000"/>
                <w:szCs w:val="16"/>
              </w:rPr>
            </w:pPr>
            <w:r w:rsidRPr="003751A6">
              <w:t>23.01</w:t>
            </w:r>
          </w:p>
        </w:tc>
        <w:tc>
          <w:tcPr>
            <w:tcW w:w="919" w:type="pct"/>
            <w:noWrap/>
            <w:hideMark/>
          </w:tcPr>
          <w:p w14:paraId="7ADFD09D" w14:textId="53FC9D5F" w:rsidR="00013420" w:rsidRPr="00B05769" w:rsidRDefault="00013420" w:rsidP="00013420">
            <w:pPr>
              <w:keepNext/>
              <w:tabs>
                <w:tab w:val="decimal" w:pos="886"/>
              </w:tabs>
              <w:rPr>
                <w:rFonts w:cs="Arial"/>
                <w:color w:val="000000"/>
                <w:szCs w:val="16"/>
              </w:rPr>
            </w:pPr>
            <w:r w:rsidRPr="003751A6">
              <w:t>13.08</w:t>
            </w:r>
          </w:p>
        </w:tc>
        <w:tc>
          <w:tcPr>
            <w:tcW w:w="920" w:type="pct"/>
            <w:noWrap/>
            <w:hideMark/>
          </w:tcPr>
          <w:p w14:paraId="775317FC" w14:textId="0C05A1ED" w:rsidR="00013420" w:rsidRPr="00B05769" w:rsidRDefault="00013420" w:rsidP="00013420">
            <w:pPr>
              <w:keepNext/>
              <w:tabs>
                <w:tab w:val="decimal" w:pos="886"/>
              </w:tabs>
              <w:rPr>
                <w:rFonts w:cs="Arial"/>
                <w:color w:val="000000"/>
                <w:szCs w:val="16"/>
              </w:rPr>
            </w:pPr>
            <w:r w:rsidRPr="003751A6">
              <w:t>-3.16</w:t>
            </w:r>
          </w:p>
        </w:tc>
        <w:tc>
          <w:tcPr>
            <w:tcW w:w="913" w:type="pct"/>
            <w:noWrap/>
            <w:hideMark/>
          </w:tcPr>
          <w:p w14:paraId="49CC0F9D" w14:textId="59980E67" w:rsidR="00013420" w:rsidRPr="00B05769" w:rsidRDefault="00013420" w:rsidP="00013420">
            <w:pPr>
              <w:keepNext/>
              <w:tabs>
                <w:tab w:val="decimal" w:pos="946"/>
              </w:tabs>
              <w:rPr>
                <w:rFonts w:cs="Arial"/>
                <w:color w:val="000000"/>
                <w:szCs w:val="16"/>
              </w:rPr>
            </w:pPr>
            <w:r w:rsidRPr="003751A6">
              <w:t>49.17</w:t>
            </w:r>
          </w:p>
        </w:tc>
      </w:tr>
      <w:tr w:rsidR="00013420" w:rsidRPr="00F83501" w14:paraId="226F2021" w14:textId="77777777" w:rsidTr="00891EAC">
        <w:tc>
          <w:tcPr>
            <w:tcW w:w="1334" w:type="pct"/>
            <w:noWrap/>
            <w:hideMark/>
          </w:tcPr>
          <w:p w14:paraId="277FC395" w14:textId="77777777" w:rsidR="00013420" w:rsidRPr="00B05769" w:rsidRDefault="00013420" w:rsidP="00013420">
            <w:pPr>
              <w:keepNext/>
              <w:rPr>
                <w:rFonts w:cs="Arial"/>
                <w:b/>
                <w:bCs/>
                <w:szCs w:val="16"/>
              </w:rPr>
            </w:pPr>
            <w:r w:rsidRPr="00B05769">
              <w:rPr>
                <w:rFonts w:cs="Arial"/>
                <w:b/>
                <w:bCs/>
                <w:szCs w:val="16"/>
              </w:rPr>
              <w:t>Outcome C\ Category d</w:t>
            </w:r>
          </w:p>
        </w:tc>
        <w:tc>
          <w:tcPr>
            <w:tcW w:w="914" w:type="pct"/>
            <w:noWrap/>
            <w:hideMark/>
          </w:tcPr>
          <w:p w14:paraId="6B7EF648" w14:textId="361F9F4D" w:rsidR="00013420" w:rsidRPr="00B05769" w:rsidRDefault="00013420" w:rsidP="00013420">
            <w:pPr>
              <w:keepNext/>
              <w:tabs>
                <w:tab w:val="decimal" w:pos="882"/>
              </w:tabs>
              <w:rPr>
                <w:rFonts w:cs="Arial"/>
                <w:color w:val="000000"/>
                <w:szCs w:val="16"/>
              </w:rPr>
            </w:pPr>
            <w:r w:rsidRPr="003751A6">
              <w:t>34.09</w:t>
            </w:r>
          </w:p>
        </w:tc>
        <w:tc>
          <w:tcPr>
            <w:tcW w:w="919" w:type="pct"/>
            <w:noWrap/>
            <w:hideMark/>
          </w:tcPr>
          <w:p w14:paraId="00BB091E" w14:textId="098F0FA3" w:rsidR="00013420" w:rsidRPr="00B05769" w:rsidRDefault="00013420" w:rsidP="00013420">
            <w:pPr>
              <w:keepNext/>
              <w:tabs>
                <w:tab w:val="decimal" w:pos="886"/>
              </w:tabs>
              <w:rPr>
                <w:rFonts w:cs="Arial"/>
                <w:color w:val="000000"/>
                <w:szCs w:val="16"/>
              </w:rPr>
            </w:pPr>
            <w:r w:rsidRPr="003751A6">
              <w:t>8.09</w:t>
            </w:r>
          </w:p>
        </w:tc>
        <w:tc>
          <w:tcPr>
            <w:tcW w:w="920" w:type="pct"/>
            <w:noWrap/>
            <w:hideMark/>
          </w:tcPr>
          <w:p w14:paraId="2259792D" w14:textId="48B8D6C5" w:rsidR="00013420" w:rsidRPr="00B05769" w:rsidRDefault="00013420" w:rsidP="00013420">
            <w:pPr>
              <w:keepNext/>
              <w:tabs>
                <w:tab w:val="decimal" w:pos="886"/>
              </w:tabs>
              <w:rPr>
                <w:rFonts w:cs="Arial"/>
                <w:color w:val="000000"/>
                <w:szCs w:val="16"/>
              </w:rPr>
            </w:pPr>
            <w:r w:rsidRPr="003751A6">
              <w:t>17.9</w:t>
            </w:r>
          </w:p>
        </w:tc>
        <w:tc>
          <w:tcPr>
            <w:tcW w:w="913" w:type="pct"/>
            <w:noWrap/>
            <w:hideMark/>
          </w:tcPr>
          <w:p w14:paraId="5D8A6C71" w14:textId="7B4EC0BF" w:rsidR="00013420" w:rsidRPr="00B05769" w:rsidRDefault="00013420" w:rsidP="00013420">
            <w:pPr>
              <w:keepNext/>
              <w:tabs>
                <w:tab w:val="decimal" w:pos="946"/>
              </w:tabs>
              <w:rPr>
                <w:rFonts w:cs="Arial"/>
                <w:color w:val="000000"/>
                <w:szCs w:val="16"/>
              </w:rPr>
            </w:pPr>
            <w:r w:rsidRPr="003751A6">
              <w:t>50.28</w:t>
            </w:r>
          </w:p>
        </w:tc>
      </w:tr>
      <w:tr w:rsidR="00013420" w:rsidRPr="00F83501" w14:paraId="5F41BC1C" w14:textId="77777777" w:rsidTr="00891EAC">
        <w:tc>
          <w:tcPr>
            <w:tcW w:w="1334" w:type="pct"/>
            <w:noWrap/>
            <w:hideMark/>
          </w:tcPr>
          <w:p w14:paraId="1C305188" w14:textId="77777777" w:rsidR="00013420" w:rsidRPr="00B05769" w:rsidRDefault="00013420" w:rsidP="00013420">
            <w:pPr>
              <w:rPr>
                <w:rFonts w:cs="Arial"/>
                <w:b/>
                <w:bCs/>
                <w:szCs w:val="16"/>
              </w:rPr>
            </w:pPr>
            <w:r w:rsidRPr="00B05769">
              <w:rPr>
                <w:rFonts w:cs="Arial"/>
                <w:b/>
                <w:bCs/>
                <w:szCs w:val="16"/>
              </w:rPr>
              <w:t>Outcome C\ Category e</w:t>
            </w:r>
          </w:p>
        </w:tc>
        <w:tc>
          <w:tcPr>
            <w:tcW w:w="914" w:type="pct"/>
            <w:noWrap/>
            <w:hideMark/>
          </w:tcPr>
          <w:p w14:paraId="04B48316" w14:textId="58B39528" w:rsidR="00013420" w:rsidRPr="00B05769" w:rsidRDefault="00013420" w:rsidP="00013420">
            <w:pPr>
              <w:keepNext/>
              <w:tabs>
                <w:tab w:val="decimal" w:pos="882"/>
              </w:tabs>
              <w:rPr>
                <w:rFonts w:cs="Arial"/>
                <w:color w:val="000000"/>
                <w:szCs w:val="16"/>
              </w:rPr>
            </w:pPr>
            <w:r w:rsidRPr="003751A6">
              <w:t>21.49</w:t>
            </w:r>
          </w:p>
        </w:tc>
        <w:tc>
          <w:tcPr>
            <w:tcW w:w="919" w:type="pct"/>
            <w:noWrap/>
            <w:hideMark/>
          </w:tcPr>
          <w:p w14:paraId="1C158AB5" w14:textId="243509F8" w:rsidR="00013420" w:rsidRPr="00B05769" w:rsidRDefault="00013420" w:rsidP="00013420">
            <w:pPr>
              <w:keepNext/>
              <w:tabs>
                <w:tab w:val="decimal" w:pos="886"/>
              </w:tabs>
              <w:rPr>
                <w:rFonts w:cs="Arial"/>
                <w:color w:val="000000"/>
                <w:szCs w:val="16"/>
              </w:rPr>
            </w:pPr>
            <w:r w:rsidRPr="003751A6">
              <w:t>15.06</w:t>
            </w:r>
          </w:p>
        </w:tc>
        <w:tc>
          <w:tcPr>
            <w:tcW w:w="920" w:type="pct"/>
            <w:noWrap/>
            <w:hideMark/>
          </w:tcPr>
          <w:p w14:paraId="0176FF93" w14:textId="2F9649DE" w:rsidR="00013420" w:rsidRPr="00B05769" w:rsidRDefault="00013420" w:rsidP="00013420">
            <w:pPr>
              <w:keepNext/>
              <w:tabs>
                <w:tab w:val="decimal" w:pos="886"/>
              </w:tabs>
              <w:rPr>
                <w:rFonts w:cs="Arial"/>
                <w:color w:val="000000"/>
                <w:szCs w:val="16"/>
              </w:rPr>
            </w:pPr>
            <w:r w:rsidRPr="003751A6">
              <w:t>-8.62</w:t>
            </w:r>
          </w:p>
        </w:tc>
        <w:tc>
          <w:tcPr>
            <w:tcW w:w="913" w:type="pct"/>
            <w:noWrap/>
            <w:hideMark/>
          </w:tcPr>
          <w:p w14:paraId="4D375842" w14:textId="1910DCEA" w:rsidR="00013420" w:rsidRPr="00B05769" w:rsidRDefault="00013420" w:rsidP="00013420">
            <w:pPr>
              <w:keepNext/>
              <w:tabs>
                <w:tab w:val="decimal" w:pos="946"/>
              </w:tabs>
              <w:rPr>
                <w:rFonts w:cs="Arial"/>
                <w:color w:val="000000"/>
                <w:szCs w:val="16"/>
              </w:rPr>
            </w:pPr>
            <w:r w:rsidRPr="003751A6">
              <w:t>51.6</w:t>
            </w:r>
          </w:p>
        </w:tc>
      </w:tr>
    </w:tbl>
    <w:p w14:paraId="77DA6532" w14:textId="77777777" w:rsidR="00891EAC" w:rsidRPr="00F83501" w:rsidRDefault="00891EAC" w:rsidP="00891EAC">
      <w:pPr>
        <w:spacing w:after="0"/>
      </w:pPr>
    </w:p>
    <w:tbl>
      <w:tblPr>
        <w:tblStyle w:val="TableGrid"/>
        <w:tblW w:w="5010" w:type="pct"/>
        <w:tblLook w:val="04A0" w:firstRow="1" w:lastRow="0" w:firstColumn="1" w:lastColumn="0" w:noHBand="0" w:noVBand="1"/>
        <w:tblCaption w:val="CAPPBANOMSCR"/>
        <w:tblDescription w:val="Data Anomalies Score"/>
      </w:tblPr>
      <w:tblGrid>
        <w:gridCol w:w="3170"/>
        <w:gridCol w:w="7642"/>
      </w:tblGrid>
      <w:tr w:rsidR="00891EAC" w:rsidRPr="00F83501" w14:paraId="35292F17" w14:textId="77777777" w:rsidTr="00891EAC">
        <w:tc>
          <w:tcPr>
            <w:tcW w:w="1466" w:type="pct"/>
            <w:hideMark/>
          </w:tcPr>
          <w:p w14:paraId="10692601" w14:textId="77777777" w:rsidR="00891EAC" w:rsidRPr="00891EAC" w:rsidRDefault="00891EAC" w:rsidP="00C452AB">
            <w:pPr>
              <w:keepNext/>
              <w:rPr>
                <w:b/>
                <w:bCs/>
              </w:rPr>
            </w:pPr>
            <w:r w:rsidRPr="00891EAC">
              <w:rPr>
                <w:b/>
                <w:bCs/>
              </w:rPr>
              <w:t>Data Anomalies Score</w:t>
            </w:r>
          </w:p>
        </w:tc>
        <w:tc>
          <w:tcPr>
            <w:tcW w:w="3534" w:type="pct"/>
            <w:hideMark/>
          </w:tcPr>
          <w:p w14:paraId="2CE3AB23" w14:textId="77777777" w:rsidR="00891EAC" w:rsidRPr="00891EAC" w:rsidRDefault="00891EAC" w:rsidP="00C452AB">
            <w:pPr>
              <w:keepNext/>
              <w:rPr>
                <w:b/>
                <w:bCs/>
              </w:rPr>
            </w:pPr>
            <w:r w:rsidRPr="00891EAC">
              <w:rPr>
                <w:b/>
                <w:bCs/>
              </w:rPr>
              <w:t>Total Points Received in All Progress Areas</w:t>
            </w:r>
          </w:p>
        </w:tc>
      </w:tr>
      <w:tr w:rsidR="00891EAC" w:rsidRPr="00F83501" w14:paraId="10BCDA77" w14:textId="77777777" w:rsidTr="00891EAC">
        <w:tc>
          <w:tcPr>
            <w:tcW w:w="1466" w:type="pct"/>
            <w:noWrap/>
            <w:hideMark/>
          </w:tcPr>
          <w:p w14:paraId="080042E0" w14:textId="77777777" w:rsidR="00891EAC" w:rsidRPr="00F83501" w:rsidRDefault="00891EAC" w:rsidP="00C452AB">
            <w:pPr>
              <w:keepNext/>
              <w:jc w:val="center"/>
            </w:pPr>
            <w:r w:rsidRPr="00F83501">
              <w:t>0</w:t>
            </w:r>
          </w:p>
        </w:tc>
        <w:tc>
          <w:tcPr>
            <w:tcW w:w="3534" w:type="pct"/>
            <w:noWrap/>
            <w:hideMark/>
          </w:tcPr>
          <w:p w14:paraId="0D1243B9" w14:textId="77777777" w:rsidR="00891EAC" w:rsidRPr="00F83501" w:rsidRDefault="00891EAC" w:rsidP="00C452AB">
            <w:pPr>
              <w:keepNext/>
            </w:pPr>
            <w:r w:rsidRPr="00F83501">
              <w:t>0 through 9 points</w:t>
            </w:r>
          </w:p>
        </w:tc>
      </w:tr>
      <w:tr w:rsidR="00891EAC" w:rsidRPr="00F83501" w14:paraId="0A9A03AA" w14:textId="77777777" w:rsidTr="00891EAC">
        <w:tc>
          <w:tcPr>
            <w:tcW w:w="1466" w:type="pct"/>
            <w:noWrap/>
            <w:hideMark/>
          </w:tcPr>
          <w:p w14:paraId="3815BAEF" w14:textId="77777777" w:rsidR="00891EAC" w:rsidRPr="00F83501" w:rsidRDefault="00891EAC" w:rsidP="00C452AB">
            <w:pPr>
              <w:keepNext/>
              <w:jc w:val="center"/>
            </w:pPr>
            <w:r w:rsidRPr="00F83501">
              <w:t>1</w:t>
            </w:r>
          </w:p>
        </w:tc>
        <w:tc>
          <w:tcPr>
            <w:tcW w:w="3534" w:type="pct"/>
            <w:noWrap/>
            <w:hideMark/>
          </w:tcPr>
          <w:p w14:paraId="34B1230A" w14:textId="77777777" w:rsidR="00891EAC" w:rsidRPr="00F83501" w:rsidRDefault="00891EAC" w:rsidP="00C452AB">
            <w:pPr>
              <w:keepNext/>
            </w:pPr>
            <w:r w:rsidRPr="00F83501">
              <w:t>10 through 12 points</w:t>
            </w:r>
          </w:p>
        </w:tc>
      </w:tr>
      <w:tr w:rsidR="00891EAC" w:rsidRPr="007F5570" w14:paraId="73CF834A" w14:textId="77777777" w:rsidTr="00891EAC">
        <w:tc>
          <w:tcPr>
            <w:tcW w:w="1466" w:type="pct"/>
            <w:noWrap/>
            <w:hideMark/>
          </w:tcPr>
          <w:p w14:paraId="518B39BE" w14:textId="77777777" w:rsidR="00891EAC" w:rsidRPr="00F83501" w:rsidRDefault="00891EAC" w:rsidP="00C452AB">
            <w:pPr>
              <w:jc w:val="center"/>
            </w:pPr>
            <w:r w:rsidRPr="00F83501">
              <w:t>2</w:t>
            </w:r>
          </w:p>
        </w:tc>
        <w:tc>
          <w:tcPr>
            <w:tcW w:w="3534" w:type="pct"/>
            <w:noWrap/>
            <w:hideMark/>
          </w:tcPr>
          <w:p w14:paraId="65331593" w14:textId="77777777" w:rsidR="00891EAC" w:rsidRPr="007F5570" w:rsidRDefault="00891EAC" w:rsidP="00C452AB">
            <w:r w:rsidRPr="00F83501">
              <w:t>13 through 15 points</w:t>
            </w:r>
          </w:p>
        </w:tc>
      </w:tr>
    </w:tbl>
    <w:p w14:paraId="18CA1F90" w14:textId="77777777" w:rsidR="00A67CEE" w:rsidRDefault="00A67CEE" w:rsidP="00B25161">
      <w:pPr>
        <w:rPr>
          <w:rFonts w:cs="Arial"/>
          <w:b/>
          <w:szCs w:val="16"/>
        </w:rPr>
      </w:pPr>
    </w:p>
    <w:p w14:paraId="5ED22CA3" w14:textId="5EAF7221" w:rsidR="00AA07A0" w:rsidRDefault="00AA07A0">
      <w:pPr>
        <w:spacing w:before="0" w:after="200" w:line="276" w:lineRule="auto"/>
        <w:rPr>
          <w:rFonts w:cs="Arial"/>
          <w:b/>
          <w:bCs/>
          <w:szCs w:val="16"/>
        </w:rPr>
      </w:pPr>
      <w:r>
        <w:rPr>
          <w:rFonts w:cs="Arial"/>
          <w:b/>
          <w:bCs/>
          <w:szCs w:val="16"/>
        </w:rPr>
        <w:br w:type="page"/>
      </w:r>
    </w:p>
    <w:p w14:paraId="0BBA3678" w14:textId="77777777" w:rsidR="00A67CEE" w:rsidRDefault="00A67CEE" w:rsidP="00B25161">
      <w:pPr>
        <w:rPr>
          <w:rFonts w:cs="Arial"/>
          <w:b/>
          <w:bCs/>
          <w:szCs w:val="16"/>
        </w:rPr>
      </w:pPr>
    </w:p>
    <w:p w14:paraId="72935D2D" w14:textId="1D2991FC" w:rsidR="00B25161" w:rsidRPr="00B25161" w:rsidRDefault="00B25161" w:rsidP="00B25161">
      <w:pPr>
        <w:rPr>
          <w:rFonts w:cs="Arial"/>
          <w:b/>
          <w:bCs/>
          <w:szCs w:val="16"/>
        </w:rPr>
      </w:pPr>
      <w:r w:rsidRPr="00B25161">
        <w:rPr>
          <w:rFonts w:cs="Arial"/>
          <w:b/>
          <w:bCs/>
          <w:szCs w:val="16"/>
        </w:rPr>
        <w:t>Anomalies in Your State’s Outcomes Data FFY 2021</w:t>
      </w:r>
    </w:p>
    <w:tbl>
      <w:tblPr>
        <w:tblStyle w:val="TableGrid1"/>
        <w:tblW w:w="10800" w:type="dxa"/>
        <w:tblLook w:val="04A0" w:firstRow="1" w:lastRow="0" w:firstColumn="1" w:lastColumn="0" w:noHBand="0" w:noVBand="1"/>
        <w:tblCaption w:val="C03ANOMOTC"/>
      </w:tblPr>
      <w:tblGrid>
        <w:gridCol w:w="5400"/>
        <w:gridCol w:w="5400"/>
      </w:tblGrid>
      <w:tr w:rsidR="00B25161" w:rsidRPr="00B25161" w14:paraId="09BD0AD1" w14:textId="77777777" w:rsidTr="00B25161">
        <w:tc>
          <w:tcPr>
            <w:tcW w:w="5400" w:type="dxa"/>
          </w:tcPr>
          <w:p w14:paraId="1A6A6C94" w14:textId="77777777" w:rsidR="00B25161" w:rsidRPr="00B25161" w:rsidRDefault="00B25161" w:rsidP="00B25161">
            <w:pPr>
              <w:rPr>
                <w:rFonts w:cs="Arial"/>
                <w:b/>
                <w:szCs w:val="16"/>
              </w:rPr>
            </w:pPr>
            <w:r w:rsidRPr="00B25161">
              <w:rPr>
                <w:rFonts w:cs="Arial"/>
                <w:b/>
                <w:szCs w:val="16"/>
              </w:rPr>
              <w:t>Number of Infants and Toddlers with IFSP’s Assessed in your State</w:t>
            </w:r>
          </w:p>
        </w:tc>
        <w:tc>
          <w:tcPr>
            <w:tcW w:w="5400" w:type="dxa"/>
          </w:tcPr>
          <w:p w14:paraId="7FD42C86" w14:textId="77777777" w:rsidR="00B25161" w:rsidRPr="00B25161" w:rsidRDefault="00B25161" w:rsidP="00B25161">
            <w:pPr>
              <w:rPr>
                <w:rFonts w:cs="Arial"/>
                <w:b/>
                <w:szCs w:val="16"/>
              </w:rPr>
            </w:pPr>
            <w:r w:rsidRPr="00B25161">
              <w:rPr>
                <w:rFonts w:cs="Arial"/>
                <w:b/>
                <w:szCs w:val="16"/>
              </w:rPr>
              <w:t>2,756</w:t>
            </w:r>
          </w:p>
        </w:tc>
      </w:tr>
    </w:tbl>
    <w:p w14:paraId="3454AA66" w14:textId="77777777" w:rsidR="00B25161" w:rsidRPr="00B25161" w:rsidRDefault="00B25161" w:rsidP="00B25161">
      <w:pPr>
        <w:rPr>
          <w:rFonts w:cs="Arial"/>
          <w:b/>
          <w:szCs w:val="16"/>
        </w:rPr>
      </w:pPr>
    </w:p>
    <w:tbl>
      <w:tblPr>
        <w:tblStyle w:val="TableGrid1"/>
        <w:tblW w:w="5013" w:type="pct"/>
        <w:tblLayout w:type="fixed"/>
        <w:tblLook w:val="04A0" w:firstRow="1" w:lastRow="0" w:firstColumn="1" w:lastColumn="0" w:noHBand="0" w:noVBand="1"/>
        <w:tblCaption w:val="C03OTCASTAT"/>
      </w:tblPr>
      <w:tblGrid>
        <w:gridCol w:w="1803"/>
        <w:gridCol w:w="1802"/>
        <w:gridCol w:w="1802"/>
        <w:gridCol w:w="1802"/>
        <w:gridCol w:w="1802"/>
        <w:gridCol w:w="1807"/>
      </w:tblGrid>
      <w:tr w:rsidR="00B25161" w:rsidRPr="00B25161" w14:paraId="317DB6C8" w14:textId="77777777" w:rsidTr="004A2E39">
        <w:trPr>
          <w:tblHeader/>
        </w:trPr>
        <w:tc>
          <w:tcPr>
            <w:tcW w:w="833" w:type="pct"/>
          </w:tcPr>
          <w:p w14:paraId="2F19E6EB" w14:textId="77777777" w:rsidR="00B25161" w:rsidRPr="00B25161" w:rsidRDefault="00B25161" w:rsidP="00B25161">
            <w:pPr>
              <w:rPr>
                <w:rFonts w:cs="Arial"/>
                <w:b/>
                <w:szCs w:val="16"/>
              </w:rPr>
            </w:pPr>
            <w:r w:rsidRPr="00B25161">
              <w:rPr>
                <w:rFonts w:cs="Arial"/>
                <w:b/>
                <w:szCs w:val="16"/>
              </w:rPr>
              <w:t>Outcome A — Positive Social Relationships</w:t>
            </w:r>
          </w:p>
        </w:tc>
        <w:tc>
          <w:tcPr>
            <w:tcW w:w="833" w:type="pct"/>
          </w:tcPr>
          <w:p w14:paraId="0FBC9360" w14:textId="77777777" w:rsidR="00B25161" w:rsidRPr="00B25161" w:rsidRDefault="00B25161" w:rsidP="00B25161">
            <w:pPr>
              <w:rPr>
                <w:rFonts w:cs="Arial"/>
                <w:b/>
                <w:szCs w:val="16"/>
              </w:rPr>
            </w:pPr>
            <w:r w:rsidRPr="00B25161">
              <w:rPr>
                <w:rFonts w:cs="Arial"/>
                <w:b/>
                <w:szCs w:val="16"/>
              </w:rPr>
              <w:t>Category a</w:t>
            </w:r>
          </w:p>
        </w:tc>
        <w:tc>
          <w:tcPr>
            <w:tcW w:w="833" w:type="pct"/>
          </w:tcPr>
          <w:p w14:paraId="506E80B9" w14:textId="77777777" w:rsidR="00B25161" w:rsidRPr="00B25161" w:rsidRDefault="00B25161" w:rsidP="00B25161">
            <w:pPr>
              <w:rPr>
                <w:rFonts w:cs="Arial"/>
                <w:b/>
                <w:szCs w:val="16"/>
              </w:rPr>
            </w:pPr>
            <w:r w:rsidRPr="00B25161">
              <w:rPr>
                <w:rFonts w:cs="Arial"/>
                <w:b/>
                <w:szCs w:val="16"/>
              </w:rPr>
              <w:t>Category b</w:t>
            </w:r>
          </w:p>
        </w:tc>
        <w:tc>
          <w:tcPr>
            <w:tcW w:w="833" w:type="pct"/>
          </w:tcPr>
          <w:p w14:paraId="3A4D118C" w14:textId="77777777" w:rsidR="00B25161" w:rsidRPr="00B25161" w:rsidRDefault="00B25161" w:rsidP="00B25161">
            <w:pPr>
              <w:rPr>
                <w:rFonts w:cs="Arial"/>
                <w:b/>
                <w:szCs w:val="16"/>
              </w:rPr>
            </w:pPr>
            <w:r w:rsidRPr="00B25161">
              <w:rPr>
                <w:rFonts w:cs="Arial"/>
                <w:b/>
                <w:szCs w:val="16"/>
              </w:rPr>
              <w:t>Category c</w:t>
            </w:r>
          </w:p>
        </w:tc>
        <w:tc>
          <w:tcPr>
            <w:tcW w:w="833" w:type="pct"/>
          </w:tcPr>
          <w:p w14:paraId="39A7079E" w14:textId="77777777" w:rsidR="00B25161" w:rsidRPr="00B25161" w:rsidRDefault="00B25161" w:rsidP="00B25161">
            <w:pPr>
              <w:rPr>
                <w:rFonts w:cs="Arial"/>
                <w:b/>
                <w:szCs w:val="16"/>
              </w:rPr>
            </w:pPr>
            <w:r w:rsidRPr="00B25161">
              <w:rPr>
                <w:rFonts w:cs="Arial"/>
                <w:b/>
                <w:szCs w:val="16"/>
              </w:rPr>
              <w:t>Category d</w:t>
            </w:r>
          </w:p>
        </w:tc>
        <w:tc>
          <w:tcPr>
            <w:tcW w:w="835" w:type="pct"/>
          </w:tcPr>
          <w:p w14:paraId="57DC177B" w14:textId="77777777" w:rsidR="00B25161" w:rsidRPr="00B25161" w:rsidRDefault="00B25161" w:rsidP="00B25161">
            <w:pPr>
              <w:rPr>
                <w:rFonts w:cs="Arial"/>
                <w:b/>
                <w:szCs w:val="16"/>
              </w:rPr>
            </w:pPr>
            <w:r w:rsidRPr="00B25161">
              <w:rPr>
                <w:rFonts w:cs="Arial"/>
                <w:b/>
                <w:szCs w:val="16"/>
              </w:rPr>
              <w:t>Category e</w:t>
            </w:r>
          </w:p>
        </w:tc>
      </w:tr>
      <w:tr w:rsidR="00B25161" w:rsidRPr="00B25161" w14:paraId="42746A82" w14:textId="77777777" w:rsidTr="00B25161">
        <w:tc>
          <w:tcPr>
            <w:tcW w:w="833" w:type="pct"/>
          </w:tcPr>
          <w:p w14:paraId="3ED9DC1D"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46DE2CFC" w14:textId="77777777" w:rsidR="00B25161" w:rsidRPr="00E0465B" w:rsidRDefault="00B25161" w:rsidP="00B25161">
            <w:pPr>
              <w:rPr>
                <w:rFonts w:cs="Arial"/>
                <w:bCs/>
                <w:szCs w:val="16"/>
              </w:rPr>
            </w:pPr>
            <w:r w:rsidRPr="00E0465B">
              <w:rPr>
                <w:rFonts w:cs="Arial"/>
                <w:bCs/>
                <w:szCs w:val="16"/>
              </w:rPr>
              <w:t>55</w:t>
            </w:r>
          </w:p>
        </w:tc>
        <w:tc>
          <w:tcPr>
            <w:tcW w:w="833" w:type="pct"/>
          </w:tcPr>
          <w:p w14:paraId="5470A154" w14:textId="77777777" w:rsidR="00B25161" w:rsidRPr="00E0465B" w:rsidRDefault="00B25161" w:rsidP="00B25161">
            <w:pPr>
              <w:rPr>
                <w:rFonts w:cs="Arial"/>
                <w:bCs/>
                <w:szCs w:val="16"/>
              </w:rPr>
            </w:pPr>
            <w:r w:rsidRPr="00E0465B">
              <w:rPr>
                <w:rFonts w:cs="Arial"/>
                <w:bCs/>
                <w:szCs w:val="16"/>
              </w:rPr>
              <w:t>801</w:t>
            </w:r>
          </w:p>
        </w:tc>
        <w:tc>
          <w:tcPr>
            <w:tcW w:w="833" w:type="pct"/>
          </w:tcPr>
          <w:p w14:paraId="7FE9EEED" w14:textId="77777777" w:rsidR="00B25161" w:rsidRPr="00E0465B" w:rsidRDefault="00B25161" w:rsidP="00B25161">
            <w:pPr>
              <w:rPr>
                <w:rFonts w:cs="Arial"/>
                <w:bCs/>
                <w:szCs w:val="16"/>
              </w:rPr>
            </w:pPr>
            <w:r w:rsidRPr="00E0465B">
              <w:rPr>
                <w:rFonts w:cs="Arial"/>
                <w:bCs/>
                <w:szCs w:val="16"/>
              </w:rPr>
              <w:t>217</w:t>
            </w:r>
          </w:p>
        </w:tc>
        <w:tc>
          <w:tcPr>
            <w:tcW w:w="833" w:type="pct"/>
          </w:tcPr>
          <w:p w14:paraId="4C7FEB04" w14:textId="77777777" w:rsidR="00B25161" w:rsidRPr="00E0465B" w:rsidRDefault="00B25161" w:rsidP="00B25161">
            <w:pPr>
              <w:rPr>
                <w:rFonts w:cs="Arial"/>
                <w:bCs/>
                <w:szCs w:val="16"/>
              </w:rPr>
            </w:pPr>
            <w:r w:rsidRPr="00E0465B">
              <w:rPr>
                <w:rFonts w:cs="Arial"/>
                <w:bCs/>
                <w:szCs w:val="16"/>
              </w:rPr>
              <w:t>641</w:t>
            </w:r>
          </w:p>
        </w:tc>
        <w:tc>
          <w:tcPr>
            <w:tcW w:w="835" w:type="pct"/>
          </w:tcPr>
          <w:p w14:paraId="6267C81A" w14:textId="77777777" w:rsidR="00B25161" w:rsidRPr="00E0465B" w:rsidRDefault="00B25161" w:rsidP="00B25161">
            <w:pPr>
              <w:rPr>
                <w:rFonts w:cs="Arial"/>
                <w:bCs/>
                <w:szCs w:val="16"/>
              </w:rPr>
            </w:pPr>
            <w:r w:rsidRPr="00E0465B">
              <w:rPr>
                <w:rFonts w:cs="Arial"/>
                <w:bCs/>
                <w:szCs w:val="16"/>
              </w:rPr>
              <w:t>1,042</w:t>
            </w:r>
          </w:p>
        </w:tc>
      </w:tr>
      <w:tr w:rsidR="00B25161" w:rsidRPr="00B25161" w14:paraId="2DCA894B" w14:textId="77777777" w:rsidTr="00B25161">
        <w:tc>
          <w:tcPr>
            <w:tcW w:w="833" w:type="pct"/>
          </w:tcPr>
          <w:p w14:paraId="0726C7A2" w14:textId="77777777" w:rsidR="00B25161" w:rsidRPr="00B25161" w:rsidRDefault="00B25161" w:rsidP="00B25161">
            <w:pPr>
              <w:rPr>
                <w:rFonts w:cs="Arial"/>
                <w:b/>
                <w:szCs w:val="16"/>
              </w:rPr>
            </w:pPr>
            <w:r w:rsidRPr="00B25161">
              <w:rPr>
                <w:rFonts w:cs="Arial"/>
                <w:b/>
                <w:szCs w:val="16"/>
              </w:rPr>
              <w:t>Performance (%)</w:t>
            </w:r>
          </w:p>
        </w:tc>
        <w:tc>
          <w:tcPr>
            <w:tcW w:w="833" w:type="pct"/>
          </w:tcPr>
          <w:p w14:paraId="75C5537C" w14:textId="0A2FA0E7" w:rsidR="00B25161" w:rsidRPr="00E0465B" w:rsidRDefault="00B25161" w:rsidP="00B25161">
            <w:pPr>
              <w:rPr>
                <w:rFonts w:cs="Arial"/>
                <w:bCs/>
                <w:szCs w:val="16"/>
              </w:rPr>
            </w:pPr>
            <w:r w:rsidRPr="00E0465B">
              <w:rPr>
                <w:rFonts w:cs="Arial"/>
                <w:bCs/>
                <w:szCs w:val="16"/>
              </w:rPr>
              <w:t>2.00%</w:t>
            </w:r>
          </w:p>
        </w:tc>
        <w:tc>
          <w:tcPr>
            <w:tcW w:w="833" w:type="pct"/>
          </w:tcPr>
          <w:p w14:paraId="2E20C0BF" w14:textId="0AF39490" w:rsidR="00B25161" w:rsidRPr="00E0465B" w:rsidRDefault="00B25161" w:rsidP="00B25161">
            <w:pPr>
              <w:rPr>
                <w:rFonts w:cs="Arial"/>
                <w:bCs/>
                <w:szCs w:val="16"/>
              </w:rPr>
            </w:pPr>
            <w:r w:rsidRPr="00E0465B">
              <w:rPr>
                <w:rFonts w:cs="Arial"/>
                <w:bCs/>
                <w:szCs w:val="16"/>
              </w:rPr>
              <w:t>29.06%</w:t>
            </w:r>
          </w:p>
        </w:tc>
        <w:tc>
          <w:tcPr>
            <w:tcW w:w="833" w:type="pct"/>
          </w:tcPr>
          <w:p w14:paraId="398F2D3D" w14:textId="68B45EA5" w:rsidR="00B25161" w:rsidRPr="00E0465B" w:rsidRDefault="00B25161" w:rsidP="00B25161">
            <w:pPr>
              <w:rPr>
                <w:rFonts w:cs="Arial"/>
                <w:bCs/>
                <w:szCs w:val="16"/>
              </w:rPr>
            </w:pPr>
            <w:r w:rsidRPr="00E0465B">
              <w:rPr>
                <w:rFonts w:cs="Arial"/>
                <w:bCs/>
                <w:szCs w:val="16"/>
              </w:rPr>
              <w:t>7.87%</w:t>
            </w:r>
          </w:p>
        </w:tc>
        <w:tc>
          <w:tcPr>
            <w:tcW w:w="833" w:type="pct"/>
          </w:tcPr>
          <w:p w14:paraId="44C74C6F" w14:textId="0FC8FB40" w:rsidR="00B25161" w:rsidRPr="00E0465B" w:rsidRDefault="00B25161" w:rsidP="00B25161">
            <w:pPr>
              <w:rPr>
                <w:rFonts w:cs="Arial"/>
                <w:bCs/>
                <w:szCs w:val="16"/>
              </w:rPr>
            </w:pPr>
            <w:r w:rsidRPr="00E0465B">
              <w:rPr>
                <w:rFonts w:cs="Arial"/>
                <w:bCs/>
                <w:szCs w:val="16"/>
              </w:rPr>
              <w:t>23.26%</w:t>
            </w:r>
          </w:p>
        </w:tc>
        <w:tc>
          <w:tcPr>
            <w:tcW w:w="835" w:type="pct"/>
          </w:tcPr>
          <w:p w14:paraId="2CCC1EE9" w14:textId="4C738514" w:rsidR="00B25161" w:rsidRPr="00E0465B" w:rsidRDefault="00B25161" w:rsidP="00B25161">
            <w:pPr>
              <w:rPr>
                <w:rFonts w:cs="Arial"/>
                <w:bCs/>
                <w:szCs w:val="16"/>
              </w:rPr>
            </w:pPr>
            <w:r w:rsidRPr="00E0465B">
              <w:rPr>
                <w:rFonts w:cs="Arial"/>
                <w:bCs/>
                <w:szCs w:val="16"/>
              </w:rPr>
              <w:t>37.81%</w:t>
            </w:r>
          </w:p>
        </w:tc>
      </w:tr>
      <w:tr w:rsidR="00B25161" w:rsidRPr="00B25161" w14:paraId="5C0C30A4" w14:textId="77777777" w:rsidTr="00B25161">
        <w:tc>
          <w:tcPr>
            <w:tcW w:w="833" w:type="pct"/>
          </w:tcPr>
          <w:p w14:paraId="4E01C202" w14:textId="77777777" w:rsidR="00B25161" w:rsidRPr="00B25161" w:rsidRDefault="00B25161" w:rsidP="00B25161">
            <w:pPr>
              <w:rPr>
                <w:rFonts w:cs="Arial"/>
                <w:b/>
                <w:szCs w:val="16"/>
              </w:rPr>
            </w:pPr>
            <w:r w:rsidRPr="00B25161">
              <w:rPr>
                <w:rFonts w:cs="Arial"/>
                <w:b/>
                <w:szCs w:val="16"/>
              </w:rPr>
              <w:t>Scores</w:t>
            </w:r>
          </w:p>
        </w:tc>
        <w:tc>
          <w:tcPr>
            <w:tcW w:w="833" w:type="pct"/>
          </w:tcPr>
          <w:p w14:paraId="347CB6AC" w14:textId="77777777" w:rsidR="00B25161" w:rsidRPr="00E0465B" w:rsidRDefault="00B25161" w:rsidP="00B25161">
            <w:pPr>
              <w:rPr>
                <w:rFonts w:cs="Arial"/>
                <w:bCs/>
                <w:szCs w:val="16"/>
              </w:rPr>
            </w:pPr>
            <w:r w:rsidRPr="00E0465B">
              <w:rPr>
                <w:rFonts w:cs="Arial"/>
                <w:bCs/>
                <w:szCs w:val="16"/>
              </w:rPr>
              <w:t>1</w:t>
            </w:r>
          </w:p>
        </w:tc>
        <w:tc>
          <w:tcPr>
            <w:tcW w:w="833" w:type="pct"/>
          </w:tcPr>
          <w:p w14:paraId="2F78A633" w14:textId="77777777" w:rsidR="00B25161" w:rsidRPr="00E0465B" w:rsidRDefault="00B25161" w:rsidP="00B25161">
            <w:pPr>
              <w:rPr>
                <w:rFonts w:cs="Arial"/>
                <w:bCs/>
                <w:szCs w:val="16"/>
              </w:rPr>
            </w:pPr>
            <w:r w:rsidRPr="00E0465B">
              <w:rPr>
                <w:rFonts w:cs="Arial"/>
                <w:bCs/>
                <w:szCs w:val="16"/>
              </w:rPr>
              <w:t>1</w:t>
            </w:r>
          </w:p>
        </w:tc>
        <w:tc>
          <w:tcPr>
            <w:tcW w:w="833" w:type="pct"/>
          </w:tcPr>
          <w:p w14:paraId="428CB178" w14:textId="77777777" w:rsidR="00B25161" w:rsidRPr="00E0465B" w:rsidRDefault="00B25161" w:rsidP="00B25161">
            <w:pPr>
              <w:rPr>
                <w:rFonts w:cs="Arial"/>
                <w:bCs/>
                <w:szCs w:val="16"/>
              </w:rPr>
            </w:pPr>
            <w:r w:rsidRPr="00E0465B">
              <w:rPr>
                <w:rFonts w:cs="Arial"/>
                <w:bCs/>
                <w:szCs w:val="16"/>
              </w:rPr>
              <w:t>1</w:t>
            </w:r>
          </w:p>
        </w:tc>
        <w:tc>
          <w:tcPr>
            <w:tcW w:w="833" w:type="pct"/>
          </w:tcPr>
          <w:p w14:paraId="2A811240" w14:textId="77777777" w:rsidR="00B25161" w:rsidRPr="00E0465B" w:rsidRDefault="00B25161" w:rsidP="00B25161">
            <w:pPr>
              <w:rPr>
                <w:rFonts w:cs="Arial"/>
                <w:bCs/>
                <w:szCs w:val="16"/>
              </w:rPr>
            </w:pPr>
            <w:r w:rsidRPr="00E0465B">
              <w:rPr>
                <w:rFonts w:cs="Arial"/>
                <w:bCs/>
                <w:szCs w:val="16"/>
              </w:rPr>
              <w:t>1</w:t>
            </w:r>
          </w:p>
        </w:tc>
        <w:tc>
          <w:tcPr>
            <w:tcW w:w="835" w:type="pct"/>
          </w:tcPr>
          <w:p w14:paraId="34A5E9EE" w14:textId="77777777" w:rsidR="00B25161" w:rsidRPr="00E0465B" w:rsidRDefault="00B25161" w:rsidP="00B25161">
            <w:pPr>
              <w:rPr>
                <w:rFonts w:cs="Arial"/>
                <w:bCs/>
                <w:szCs w:val="16"/>
              </w:rPr>
            </w:pPr>
            <w:r w:rsidRPr="00E0465B">
              <w:rPr>
                <w:rFonts w:cs="Arial"/>
                <w:bCs/>
                <w:szCs w:val="16"/>
              </w:rPr>
              <w:t>1</w:t>
            </w:r>
          </w:p>
        </w:tc>
      </w:tr>
    </w:tbl>
    <w:p w14:paraId="5AB2F3F8" w14:textId="77777777" w:rsidR="00B25161" w:rsidRPr="00B25161" w:rsidRDefault="00B25161" w:rsidP="00B25161">
      <w:pPr>
        <w:rPr>
          <w:rFonts w:cs="Arial"/>
          <w:b/>
          <w:szCs w:val="16"/>
        </w:rPr>
      </w:pPr>
    </w:p>
    <w:tbl>
      <w:tblPr>
        <w:tblStyle w:val="TableGrid1"/>
        <w:tblW w:w="5008" w:type="pct"/>
        <w:tblLayout w:type="fixed"/>
        <w:tblLook w:val="04A0" w:firstRow="1" w:lastRow="0" w:firstColumn="1" w:lastColumn="0" w:noHBand="0" w:noVBand="1"/>
        <w:tblCaption w:val="C03OTCBSTAT"/>
      </w:tblPr>
      <w:tblGrid>
        <w:gridCol w:w="1804"/>
        <w:gridCol w:w="1801"/>
        <w:gridCol w:w="1801"/>
        <w:gridCol w:w="1801"/>
        <w:gridCol w:w="1800"/>
        <w:gridCol w:w="1800"/>
      </w:tblGrid>
      <w:tr w:rsidR="00B25161" w:rsidRPr="00B25161" w14:paraId="16DEAE31" w14:textId="77777777" w:rsidTr="004A2E39">
        <w:trPr>
          <w:tblHeader/>
        </w:trPr>
        <w:tc>
          <w:tcPr>
            <w:tcW w:w="834" w:type="pct"/>
          </w:tcPr>
          <w:p w14:paraId="1E465C9E" w14:textId="77777777" w:rsidR="00B25161" w:rsidRPr="00B25161" w:rsidRDefault="00B25161" w:rsidP="00B25161">
            <w:pPr>
              <w:rPr>
                <w:rFonts w:cs="Arial"/>
                <w:b/>
                <w:szCs w:val="16"/>
              </w:rPr>
            </w:pPr>
            <w:r w:rsidRPr="00B25161">
              <w:rPr>
                <w:rFonts w:cs="Arial"/>
                <w:b/>
                <w:szCs w:val="16"/>
              </w:rPr>
              <w:t>Outcome B — Knowledge and Skills</w:t>
            </w:r>
          </w:p>
        </w:tc>
        <w:tc>
          <w:tcPr>
            <w:tcW w:w="833" w:type="pct"/>
          </w:tcPr>
          <w:p w14:paraId="0C5BE5FB" w14:textId="77777777" w:rsidR="00B25161" w:rsidRPr="00B25161" w:rsidRDefault="00B25161" w:rsidP="00B25161">
            <w:pPr>
              <w:rPr>
                <w:rFonts w:cs="Arial"/>
                <w:b/>
                <w:szCs w:val="16"/>
              </w:rPr>
            </w:pPr>
            <w:r w:rsidRPr="00B25161">
              <w:rPr>
                <w:rFonts w:cs="Arial"/>
                <w:b/>
                <w:szCs w:val="16"/>
              </w:rPr>
              <w:t>Category a</w:t>
            </w:r>
          </w:p>
        </w:tc>
        <w:tc>
          <w:tcPr>
            <w:tcW w:w="833" w:type="pct"/>
          </w:tcPr>
          <w:p w14:paraId="3C9273B9" w14:textId="77777777" w:rsidR="00B25161" w:rsidRPr="00B25161" w:rsidRDefault="00B25161" w:rsidP="00B25161">
            <w:pPr>
              <w:rPr>
                <w:rFonts w:cs="Arial"/>
                <w:b/>
                <w:szCs w:val="16"/>
              </w:rPr>
            </w:pPr>
            <w:r w:rsidRPr="00B25161">
              <w:rPr>
                <w:rFonts w:cs="Arial"/>
                <w:b/>
                <w:szCs w:val="16"/>
              </w:rPr>
              <w:t>Category b</w:t>
            </w:r>
          </w:p>
        </w:tc>
        <w:tc>
          <w:tcPr>
            <w:tcW w:w="833" w:type="pct"/>
          </w:tcPr>
          <w:p w14:paraId="596E5A1F" w14:textId="77777777" w:rsidR="00B25161" w:rsidRPr="00B25161" w:rsidRDefault="00B25161" w:rsidP="00B25161">
            <w:pPr>
              <w:rPr>
                <w:rFonts w:cs="Arial"/>
                <w:b/>
                <w:szCs w:val="16"/>
              </w:rPr>
            </w:pPr>
            <w:r w:rsidRPr="00B25161">
              <w:rPr>
                <w:rFonts w:cs="Arial"/>
                <w:b/>
                <w:szCs w:val="16"/>
              </w:rPr>
              <w:t>Category c</w:t>
            </w:r>
          </w:p>
        </w:tc>
        <w:tc>
          <w:tcPr>
            <w:tcW w:w="833" w:type="pct"/>
          </w:tcPr>
          <w:p w14:paraId="79842FE6" w14:textId="77777777" w:rsidR="00B25161" w:rsidRPr="00B25161" w:rsidRDefault="00B25161" w:rsidP="00B25161">
            <w:pPr>
              <w:rPr>
                <w:rFonts w:cs="Arial"/>
                <w:b/>
                <w:szCs w:val="16"/>
              </w:rPr>
            </w:pPr>
            <w:r w:rsidRPr="00B25161">
              <w:rPr>
                <w:rFonts w:cs="Arial"/>
                <w:b/>
                <w:szCs w:val="16"/>
              </w:rPr>
              <w:t>Category d</w:t>
            </w:r>
          </w:p>
        </w:tc>
        <w:tc>
          <w:tcPr>
            <w:tcW w:w="833" w:type="pct"/>
          </w:tcPr>
          <w:p w14:paraId="5F2E862F" w14:textId="77777777" w:rsidR="00B25161" w:rsidRPr="00B25161" w:rsidRDefault="00B25161" w:rsidP="00B25161">
            <w:pPr>
              <w:rPr>
                <w:rFonts w:cs="Arial"/>
                <w:b/>
                <w:szCs w:val="16"/>
              </w:rPr>
            </w:pPr>
            <w:r w:rsidRPr="00B25161">
              <w:rPr>
                <w:rFonts w:cs="Arial"/>
                <w:b/>
                <w:szCs w:val="16"/>
              </w:rPr>
              <w:t>Category e</w:t>
            </w:r>
          </w:p>
        </w:tc>
      </w:tr>
      <w:tr w:rsidR="00B25161" w:rsidRPr="00B25161" w14:paraId="197327FC" w14:textId="77777777" w:rsidTr="00B25161">
        <w:tc>
          <w:tcPr>
            <w:tcW w:w="834" w:type="pct"/>
          </w:tcPr>
          <w:p w14:paraId="77CD3D9A"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17C138CE" w14:textId="77777777" w:rsidR="00B25161" w:rsidRPr="00E0465B" w:rsidRDefault="00B25161" w:rsidP="00B25161">
            <w:pPr>
              <w:rPr>
                <w:rFonts w:cs="Arial"/>
                <w:bCs/>
                <w:szCs w:val="16"/>
              </w:rPr>
            </w:pPr>
            <w:r w:rsidRPr="00E0465B">
              <w:rPr>
                <w:rFonts w:cs="Arial"/>
                <w:bCs/>
                <w:szCs w:val="16"/>
              </w:rPr>
              <w:t>34</w:t>
            </w:r>
          </w:p>
        </w:tc>
        <w:tc>
          <w:tcPr>
            <w:tcW w:w="833" w:type="pct"/>
          </w:tcPr>
          <w:p w14:paraId="6AACF40D" w14:textId="77777777" w:rsidR="00B25161" w:rsidRPr="00E0465B" w:rsidRDefault="00B25161" w:rsidP="00B25161">
            <w:pPr>
              <w:rPr>
                <w:rFonts w:cs="Arial"/>
                <w:bCs/>
                <w:szCs w:val="16"/>
              </w:rPr>
            </w:pPr>
            <w:r w:rsidRPr="00E0465B">
              <w:rPr>
                <w:rFonts w:cs="Arial"/>
                <w:bCs/>
                <w:szCs w:val="16"/>
              </w:rPr>
              <w:t>592</w:t>
            </w:r>
          </w:p>
        </w:tc>
        <w:tc>
          <w:tcPr>
            <w:tcW w:w="833" w:type="pct"/>
          </w:tcPr>
          <w:p w14:paraId="081B7FED" w14:textId="77777777" w:rsidR="00B25161" w:rsidRPr="00E0465B" w:rsidRDefault="00B25161" w:rsidP="00B25161">
            <w:pPr>
              <w:rPr>
                <w:rFonts w:cs="Arial"/>
                <w:bCs/>
                <w:szCs w:val="16"/>
              </w:rPr>
            </w:pPr>
            <w:r w:rsidRPr="00E0465B">
              <w:rPr>
                <w:rFonts w:cs="Arial"/>
                <w:bCs/>
                <w:szCs w:val="16"/>
              </w:rPr>
              <w:t>1,269</w:t>
            </w:r>
          </w:p>
        </w:tc>
        <w:tc>
          <w:tcPr>
            <w:tcW w:w="833" w:type="pct"/>
          </w:tcPr>
          <w:p w14:paraId="22075B7A" w14:textId="77777777" w:rsidR="00B25161" w:rsidRPr="00E0465B" w:rsidRDefault="00B25161" w:rsidP="00B25161">
            <w:pPr>
              <w:rPr>
                <w:rFonts w:cs="Arial"/>
                <w:bCs/>
                <w:szCs w:val="16"/>
              </w:rPr>
            </w:pPr>
            <w:r w:rsidRPr="00E0465B">
              <w:rPr>
                <w:rFonts w:cs="Arial"/>
                <w:bCs/>
                <w:szCs w:val="16"/>
              </w:rPr>
              <w:t>641</w:t>
            </w:r>
          </w:p>
        </w:tc>
        <w:tc>
          <w:tcPr>
            <w:tcW w:w="833" w:type="pct"/>
          </w:tcPr>
          <w:p w14:paraId="0F4D0987" w14:textId="77777777" w:rsidR="00B25161" w:rsidRPr="00E0465B" w:rsidRDefault="00B25161" w:rsidP="00B25161">
            <w:pPr>
              <w:rPr>
                <w:rFonts w:cs="Arial"/>
                <w:bCs/>
                <w:szCs w:val="16"/>
              </w:rPr>
            </w:pPr>
            <w:r w:rsidRPr="00E0465B">
              <w:rPr>
                <w:rFonts w:cs="Arial"/>
                <w:bCs/>
                <w:szCs w:val="16"/>
              </w:rPr>
              <w:t>220</w:t>
            </w:r>
          </w:p>
        </w:tc>
      </w:tr>
      <w:tr w:rsidR="00B25161" w:rsidRPr="00B25161" w14:paraId="6BFF2365" w14:textId="77777777" w:rsidTr="00B25161">
        <w:tc>
          <w:tcPr>
            <w:tcW w:w="834" w:type="pct"/>
          </w:tcPr>
          <w:p w14:paraId="71D19AE7" w14:textId="77777777" w:rsidR="00B25161" w:rsidRPr="00B25161" w:rsidRDefault="00B25161" w:rsidP="00B25161">
            <w:pPr>
              <w:rPr>
                <w:rFonts w:cs="Arial"/>
                <w:b/>
                <w:szCs w:val="16"/>
              </w:rPr>
            </w:pPr>
            <w:r w:rsidRPr="00B25161">
              <w:rPr>
                <w:rFonts w:cs="Arial"/>
                <w:b/>
                <w:szCs w:val="16"/>
              </w:rPr>
              <w:t>Performance (%)</w:t>
            </w:r>
          </w:p>
        </w:tc>
        <w:tc>
          <w:tcPr>
            <w:tcW w:w="833" w:type="pct"/>
          </w:tcPr>
          <w:p w14:paraId="11307E24" w14:textId="32B4B61D" w:rsidR="00B25161" w:rsidRPr="00E0465B" w:rsidRDefault="00B25161" w:rsidP="00B25161">
            <w:pPr>
              <w:rPr>
                <w:rFonts w:cs="Arial"/>
                <w:bCs/>
                <w:szCs w:val="16"/>
              </w:rPr>
            </w:pPr>
            <w:r w:rsidRPr="00E0465B">
              <w:rPr>
                <w:rFonts w:cs="Arial"/>
                <w:bCs/>
                <w:szCs w:val="16"/>
              </w:rPr>
              <w:t>1.23%</w:t>
            </w:r>
          </w:p>
        </w:tc>
        <w:tc>
          <w:tcPr>
            <w:tcW w:w="833" w:type="pct"/>
          </w:tcPr>
          <w:p w14:paraId="0C63E60D" w14:textId="01DF065D" w:rsidR="00B25161" w:rsidRPr="00E0465B" w:rsidRDefault="00B25161" w:rsidP="00B25161">
            <w:pPr>
              <w:rPr>
                <w:rFonts w:cs="Arial"/>
                <w:bCs/>
                <w:szCs w:val="16"/>
              </w:rPr>
            </w:pPr>
            <w:r w:rsidRPr="00E0465B">
              <w:rPr>
                <w:rFonts w:cs="Arial"/>
                <w:bCs/>
                <w:szCs w:val="16"/>
              </w:rPr>
              <w:t>21.48%</w:t>
            </w:r>
          </w:p>
        </w:tc>
        <w:tc>
          <w:tcPr>
            <w:tcW w:w="833" w:type="pct"/>
          </w:tcPr>
          <w:p w14:paraId="6F7D3253" w14:textId="7E946AA3" w:rsidR="00B25161" w:rsidRPr="00E0465B" w:rsidRDefault="00B25161" w:rsidP="00B25161">
            <w:pPr>
              <w:rPr>
                <w:rFonts w:cs="Arial"/>
                <w:bCs/>
                <w:szCs w:val="16"/>
              </w:rPr>
            </w:pPr>
            <w:r w:rsidRPr="00E0465B">
              <w:rPr>
                <w:rFonts w:cs="Arial"/>
                <w:bCs/>
                <w:szCs w:val="16"/>
              </w:rPr>
              <w:t>46.04%</w:t>
            </w:r>
          </w:p>
        </w:tc>
        <w:tc>
          <w:tcPr>
            <w:tcW w:w="833" w:type="pct"/>
          </w:tcPr>
          <w:p w14:paraId="31007D6F" w14:textId="0DE6AD7D" w:rsidR="00B25161" w:rsidRPr="00E0465B" w:rsidRDefault="00B25161" w:rsidP="00B25161">
            <w:pPr>
              <w:rPr>
                <w:rFonts w:cs="Arial"/>
                <w:bCs/>
                <w:szCs w:val="16"/>
              </w:rPr>
            </w:pPr>
            <w:r w:rsidRPr="00E0465B">
              <w:rPr>
                <w:rFonts w:cs="Arial"/>
                <w:bCs/>
                <w:szCs w:val="16"/>
              </w:rPr>
              <w:t>23.26%</w:t>
            </w:r>
          </w:p>
        </w:tc>
        <w:tc>
          <w:tcPr>
            <w:tcW w:w="833" w:type="pct"/>
          </w:tcPr>
          <w:p w14:paraId="7AD8D8B9" w14:textId="6DC41E9B" w:rsidR="00B25161" w:rsidRPr="00E0465B" w:rsidRDefault="00B25161" w:rsidP="00B25161">
            <w:pPr>
              <w:rPr>
                <w:rFonts w:cs="Arial"/>
                <w:bCs/>
                <w:szCs w:val="16"/>
              </w:rPr>
            </w:pPr>
            <w:r w:rsidRPr="00E0465B">
              <w:rPr>
                <w:rFonts w:cs="Arial"/>
                <w:bCs/>
                <w:szCs w:val="16"/>
              </w:rPr>
              <w:t>7.98%</w:t>
            </w:r>
          </w:p>
        </w:tc>
      </w:tr>
      <w:tr w:rsidR="00B25161" w:rsidRPr="00B25161" w14:paraId="6F91944D" w14:textId="77777777" w:rsidTr="00B25161">
        <w:tc>
          <w:tcPr>
            <w:tcW w:w="834" w:type="pct"/>
          </w:tcPr>
          <w:p w14:paraId="35FDD300" w14:textId="77777777" w:rsidR="00B25161" w:rsidRPr="00B25161" w:rsidRDefault="00B25161" w:rsidP="00B25161">
            <w:pPr>
              <w:rPr>
                <w:rFonts w:cs="Arial"/>
                <w:b/>
                <w:szCs w:val="16"/>
              </w:rPr>
            </w:pPr>
            <w:r w:rsidRPr="00B25161">
              <w:rPr>
                <w:rFonts w:cs="Arial"/>
                <w:b/>
                <w:szCs w:val="16"/>
              </w:rPr>
              <w:t>Scores</w:t>
            </w:r>
          </w:p>
        </w:tc>
        <w:tc>
          <w:tcPr>
            <w:tcW w:w="833" w:type="pct"/>
          </w:tcPr>
          <w:p w14:paraId="659483D6" w14:textId="77777777" w:rsidR="00B25161" w:rsidRPr="00E0465B" w:rsidRDefault="00B25161" w:rsidP="00B25161">
            <w:pPr>
              <w:rPr>
                <w:rFonts w:cs="Arial"/>
                <w:bCs/>
                <w:szCs w:val="16"/>
              </w:rPr>
            </w:pPr>
            <w:r w:rsidRPr="00E0465B">
              <w:rPr>
                <w:rFonts w:cs="Arial"/>
                <w:bCs/>
                <w:szCs w:val="16"/>
              </w:rPr>
              <w:t>1</w:t>
            </w:r>
          </w:p>
        </w:tc>
        <w:tc>
          <w:tcPr>
            <w:tcW w:w="833" w:type="pct"/>
          </w:tcPr>
          <w:p w14:paraId="0D92849C" w14:textId="77777777" w:rsidR="00B25161" w:rsidRPr="00E0465B" w:rsidRDefault="00B25161" w:rsidP="00B25161">
            <w:pPr>
              <w:rPr>
                <w:rFonts w:cs="Arial"/>
                <w:bCs/>
                <w:szCs w:val="16"/>
              </w:rPr>
            </w:pPr>
            <w:r w:rsidRPr="00E0465B">
              <w:rPr>
                <w:rFonts w:cs="Arial"/>
                <w:bCs/>
                <w:szCs w:val="16"/>
              </w:rPr>
              <w:t>1</w:t>
            </w:r>
          </w:p>
        </w:tc>
        <w:tc>
          <w:tcPr>
            <w:tcW w:w="833" w:type="pct"/>
          </w:tcPr>
          <w:p w14:paraId="48F5FC4F" w14:textId="77777777" w:rsidR="00B25161" w:rsidRPr="00E0465B" w:rsidRDefault="00B25161" w:rsidP="00B25161">
            <w:pPr>
              <w:rPr>
                <w:rFonts w:cs="Arial"/>
                <w:bCs/>
                <w:szCs w:val="16"/>
              </w:rPr>
            </w:pPr>
            <w:r w:rsidRPr="00E0465B">
              <w:rPr>
                <w:rFonts w:cs="Arial"/>
                <w:bCs/>
                <w:szCs w:val="16"/>
              </w:rPr>
              <w:t>1</w:t>
            </w:r>
          </w:p>
        </w:tc>
        <w:tc>
          <w:tcPr>
            <w:tcW w:w="833" w:type="pct"/>
          </w:tcPr>
          <w:p w14:paraId="1FDD3FEA" w14:textId="77777777" w:rsidR="00B25161" w:rsidRPr="00E0465B" w:rsidRDefault="00B25161" w:rsidP="00B25161">
            <w:pPr>
              <w:rPr>
                <w:rFonts w:cs="Arial"/>
                <w:bCs/>
                <w:szCs w:val="16"/>
              </w:rPr>
            </w:pPr>
            <w:r w:rsidRPr="00E0465B">
              <w:rPr>
                <w:rFonts w:cs="Arial"/>
                <w:bCs/>
                <w:szCs w:val="16"/>
              </w:rPr>
              <w:t>1</w:t>
            </w:r>
          </w:p>
        </w:tc>
        <w:tc>
          <w:tcPr>
            <w:tcW w:w="833" w:type="pct"/>
          </w:tcPr>
          <w:p w14:paraId="05E9A5FD" w14:textId="77777777" w:rsidR="00B25161" w:rsidRPr="00E0465B" w:rsidRDefault="00B25161" w:rsidP="00B25161">
            <w:pPr>
              <w:rPr>
                <w:rFonts w:cs="Arial"/>
                <w:bCs/>
                <w:szCs w:val="16"/>
              </w:rPr>
            </w:pPr>
            <w:r w:rsidRPr="00E0465B">
              <w:rPr>
                <w:rFonts w:cs="Arial"/>
                <w:bCs/>
                <w:szCs w:val="16"/>
              </w:rPr>
              <w:t>1</w:t>
            </w:r>
          </w:p>
        </w:tc>
      </w:tr>
    </w:tbl>
    <w:p w14:paraId="3EF3536C" w14:textId="77777777" w:rsidR="00B25161" w:rsidRPr="00B25161" w:rsidRDefault="00B25161" w:rsidP="00B25161">
      <w:pPr>
        <w:rPr>
          <w:rFonts w:cs="Arial"/>
          <w:b/>
          <w:szCs w:val="16"/>
        </w:rPr>
      </w:pPr>
    </w:p>
    <w:tbl>
      <w:tblPr>
        <w:tblStyle w:val="TableGrid1"/>
        <w:tblW w:w="5008" w:type="pct"/>
        <w:tblLayout w:type="fixed"/>
        <w:tblLook w:val="04A0" w:firstRow="1" w:lastRow="0" w:firstColumn="1" w:lastColumn="0" w:noHBand="0" w:noVBand="1"/>
        <w:tblCaption w:val="C03OTCCSTAT"/>
      </w:tblPr>
      <w:tblGrid>
        <w:gridCol w:w="1804"/>
        <w:gridCol w:w="1801"/>
        <w:gridCol w:w="1801"/>
        <w:gridCol w:w="1801"/>
        <w:gridCol w:w="1800"/>
        <w:gridCol w:w="1800"/>
      </w:tblGrid>
      <w:tr w:rsidR="00B25161" w:rsidRPr="00B25161" w14:paraId="65E382DE" w14:textId="77777777" w:rsidTr="004A2E39">
        <w:trPr>
          <w:tblHeader/>
        </w:trPr>
        <w:tc>
          <w:tcPr>
            <w:tcW w:w="834" w:type="pct"/>
          </w:tcPr>
          <w:p w14:paraId="17D41D0B" w14:textId="77777777" w:rsidR="00B25161" w:rsidRPr="00B25161" w:rsidRDefault="00B25161" w:rsidP="00B25161">
            <w:pPr>
              <w:rPr>
                <w:rFonts w:cs="Arial"/>
                <w:b/>
                <w:szCs w:val="16"/>
              </w:rPr>
            </w:pPr>
            <w:r w:rsidRPr="00B25161">
              <w:rPr>
                <w:rFonts w:cs="Arial"/>
                <w:b/>
                <w:szCs w:val="16"/>
              </w:rPr>
              <w:t>Outcome C — Actions to Meet Needs</w:t>
            </w:r>
          </w:p>
        </w:tc>
        <w:tc>
          <w:tcPr>
            <w:tcW w:w="833" w:type="pct"/>
          </w:tcPr>
          <w:p w14:paraId="3F6AFB6C" w14:textId="77777777" w:rsidR="00B25161" w:rsidRPr="00B25161" w:rsidRDefault="00B25161" w:rsidP="00B25161">
            <w:pPr>
              <w:rPr>
                <w:rFonts w:cs="Arial"/>
                <w:b/>
                <w:szCs w:val="16"/>
              </w:rPr>
            </w:pPr>
            <w:r w:rsidRPr="00B25161">
              <w:rPr>
                <w:rFonts w:cs="Arial"/>
                <w:b/>
                <w:szCs w:val="16"/>
              </w:rPr>
              <w:t>Category a</w:t>
            </w:r>
          </w:p>
        </w:tc>
        <w:tc>
          <w:tcPr>
            <w:tcW w:w="833" w:type="pct"/>
          </w:tcPr>
          <w:p w14:paraId="063C4291" w14:textId="77777777" w:rsidR="00B25161" w:rsidRPr="00B25161" w:rsidRDefault="00B25161" w:rsidP="00B25161">
            <w:pPr>
              <w:rPr>
                <w:rFonts w:cs="Arial"/>
                <w:b/>
                <w:szCs w:val="16"/>
              </w:rPr>
            </w:pPr>
            <w:r w:rsidRPr="00B25161">
              <w:rPr>
                <w:rFonts w:cs="Arial"/>
                <w:b/>
                <w:szCs w:val="16"/>
              </w:rPr>
              <w:t>Category b</w:t>
            </w:r>
          </w:p>
        </w:tc>
        <w:tc>
          <w:tcPr>
            <w:tcW w:w="833" w:type="pct"/>
          </w:tcPr>
          <w:p w14:paraId="50D27078" w14:textId="77777777" w:rsidR="00B25161" w:rsidRPr="00B25161" w:rsidRDefault="00B25161" w:rsidP="00B25161">
            <w:pPr>
              <w:rPr>
                <w:rFonts w:cs="Arial"/>
                <w:b/>
                <w:szCs w:val="16"/>
              </w:rPr>
            </w:pPr>
            <w:r w:rsidRPr="00B25161">
              <w:rPr>
                <w:rFonts w:cs="Arial"/>
                <w:b/>
                <w:szCs w:val="16"/>
              </w:rPr>
              <w:t>Category c</w:t>
            </w:r>
          </w:p>
        </w:tc>
        <w:tc>
          <w:tcPr>
            <w:tcW w:w="833" w:type="pct"/>
          </w:tcPr>
          <w:p w14:paraId="3431837C" w14:textId="77777777" w:rsidR="00B25161" w:rsidRPr="00B25161" w:rsidRDefault="00B25161" w:rsidP="00B25161">
            <w:pPr>
              <w:rPr>
                <w:rFonts w:cs="Arial"/>
                <w:b/>
                <w:szCs w:val="16"/>
              </w:rPr>
            </w:pPr>
            <w:r w:rsidRPr="00B25161">
              <w:rPr>
                <w:rFonts w:cs="Arial"/>
                <w:b/>
                <w:szCs w:val="16"/>
              </w:rPr>
              <w:t>Category d</w:t>
            </w:r>
          </w:p>
        </w:tc>
        <w:tc>
          <w:tcPr>
            <w:tcW w:w="833" w:type="pct"/>
          </w:tcPr>
          <w:p w14:paraId="6A8E085B" w14:textId="77777777" w:rsidR="00B25161" w:rsidRPr="00B25161" w:rsidRDefault="00B25161" w:rsidP="00B25161">
            <w:pPr>
              <w:rPr>
                <w:rFonts w:cs="Arial"/>
                <w:b/>
                <w:szCs w:val="16"/>
              </w:rPr>
            </w:pPr>
            <w:r w:rsidRPr="00B25161">
              <w:rPr>
                <w:rFonts w:cs="Arial"/>
                <w:b/>
                <w:szCs w:val="16"/>
              </w:rPr>
              <w:t>Category e</w:t>
            </w:r>
          </w:p>
        </w:tc>
      </w:tr>
      <w:tr w:rsidR="00B25161" w:rsidRPr="00B25161" w14:paraId="73389F83" w14:textId="77777777" w:rsidTr="00B25161">
        <w:tc>
          <w:tcPr>
            <w:tcW w:w="834" w:type="pct"/>
          </w:tcPr>
          <w:p w14:paraId="6420697F" w14:textId="77777777" w:rsidR="00B25161" w:rsidRPr="00B25161" w:rsidRDefault="00B25161" w:rsidP="00B25161">
            <w:pPr>
              <w:rPr>
                <w:rFonts w:cs="Arial"/>
                <w:b/>
                <w:szCs w:val="16"/>
              </w:rPr>
            </w:pPr>
            <w:r w:rsidRPr="00B25161">
              <w:rPr>
                <w:rFonts w:cs="Arial"/>
                <w:b/>
                <w:szCs w:val="16"/>
              </w:rPr>
              <w:t>State Performance</w:t>
            </w:r>
          </w:p>
        </w:tc>
        <w:tc>
          <w:tcPr>
            <w:tcW w:w="833" w:type="pct"/>
          </w:tcPr>
          <w:p w14:paraId="4A7C07BA" w14:textId="77777777" w:rsidR="00B25161" w:rsidRPr="00E0465B" w:rsidRDefault="00B25161" w:rsidP="00B25161">
            <w:pPr>
              <w:rPr>
                <w:rFonts w:cs="Arial"/>
                <w:bCs/>
                <w:szCs w:val="16"/>
              </w:rPr>
            </w:pPr>
            <w:r w:rsidRPr="00E0465B">
              <w:rPr>
                <w:rFonts w:cs="Arial"/>
                <w:bCs/>
                <w:szCs w:val="16"/>
              </w:rPr>
              <w:t>27</w:t>
            </w:r>
          </w:p>
        </w:tc>
        <w:tc>
          <w:tcPr>
            <w:tcW w:w="833" w:type="pct"/>
          </w:tcPr>
          <w:p w14:paraId="13413534" w14:textId="77777777" w:rsidR="00B25161" w:rsidRPr="00E0465B" w:rsidRDefault="00B25161" w:rsidP="00B25161">
            <w:pPr>
              <w:rPr>
                <w:rFonts w:cs="Arial"/>
                <w:bCs/>
                <w:szCs w:val="16"/>
              </w:rPr>
            </w:pPr>
            <w:r w:rsidRPr="00E0465B">
              <w:rPr>
                <w:rFonts w:cs="Arial"/>
                <w:bCs/>
                <w:szCs w:val="16"/>
              </w:rPr>
              <w:t>282</w:t>
            </w:r>
          </w:p>
        </w:tc>
        <w:tc>
          <w:tcPr>
            <w:tcW w:w="833" w:type="pct"/>
          </w:tcPr>
          <w:p w14:paraId="47A2BC12" w14:textId="77777777" w:rsidR="00B25161" w:rsidRPr="00E0465B" w:rsidRDefault="00B25161" w:rsidP="00B25161">
            <w:pPr>
              <w:rPr>
                <w:rFonts w:cs="Arial"/>
                <w:bCs/>
                <w:szCs w:val="16"/>
              </w:rPr>
            </w:pPr>
            <w:r w:rsidRPr="00E0465B">
              <w:rPr>
                <w:rFonts w:cs="Arial"/>
                <w:bCs/>
                <w:szCs w:val="16"/>
              </w:rPr>
              <w:t>1,088</w:t>
            </w:r>
          </w:p>
        </w:tc>
        <w:tc>
          <w:tcPr>
            <w:tcW w:w="833" w:type="pct"/>
          </w:tcPr>
          <w:p w14:paraId="4915D083" w14:textId="77777777" w:rsidR="00B25161" w:rsidRPr="00E0465B" w:rsidRDefault="00B25161" w:rsidP="00B25161">
            <w:pPr>
              <w:rPr>
                <w:rFonts w:cs="Arial"/>
                <w:bCs/>
                <w:szCs w:val="16"/>
              </w:rPr>
            </w:pPr>
            <w:r w:rsidRPr="00E0465B">
              <w:rPr>
                <w:rFonts w:cs="Arial"/>
                <w:bCs/>
                <w:szCs w:val="16"/>
              </w:rPr>
              <w:t>867</w:t>
            </w:r>
          </w:p>
        </w:tc>
        <w:tc>
          <w:tcPr>
            <w:tcW w:w="833" w:type="pct"/>
          </w:tcPr>
          <w:p w14:paraId="64ED007D" w14:textId="77777777" w:rsidR="00B25161" w:rsidRPr="00E0465B" w:rsidRDefault="00B25161" w:rsidP="00B25161">
            <w:pPr>
              <w:rPr>
                <w:rFonts w:cs="Arial"/>
                <w:bCs/>
                <w:szCs w:val="16"/>
              </w:rPr>
            </w:pPr>
            <w:r w:rsidRPr="00E0465B">
              <w:rPr>
                <w:rFonts w:cs="Arial"/>
                <w:bCs/>
                <w:szCs w:val="16"/>
              </w:rPr>
              <w:t>492</w:t>
            </w:r>
          </w:p>
        </w:tc>
      </w:tr>
      <w:tr w:rsidR="00B25161" w:rsidRPr="00B25161" w14:paraId="176CF908" w14:textId="77777777" w:rsidTr="00B25161">
        <w:tc>
          <w:tcPr>
            <w:tcW w:w="834" w:type="pct"/>
          </w:tcPr>
          <w:p w14:paraId="5E4C5834" w14:textId="77777777" w:rsidR="00B25161" w:rsidRPr="00B25161" w:rsidRDefault="00B25161" w:rsidP="00B25161">
            <w:pPr>
              <w:rPr>
                <w:rFonts w:cs="Arial"/>
                <w:b/>
                <w:szCs w:val="16"/>
              </w:rPr>
            </w:pPr>
            <w:r w:rsidRPr="00B25161">
              <w:rPr>
                <w:rFonts w:cs="Arial"/>
                <w:b/>
                <w:szCs w:val="16"/>
              </w:rPr>
              <w:t>Performance (%)</w:t>
            </w:r>
          </w:p>
        </w:tc>
        <w:tc>
          <w:tcPr>
            <w:tcW w:w="833" w:type="pct"/>
          </w:tcPr>
          <w:p w14:paraId="31E0A739" w14:textId="2F0AA12C" w:rsidR="00B25161" w:rsidRPr="00E0465B" w:rsidRDefault="00B25161" w:rsidP="00B25161">
            <w:pPr>
              <w:rPr>
                <w:rFonts w:cs="Arial"/>
                <w:bCs/>
                <w:szCs w:val="16"/>
              </w:rPr>
            </w:pPr>
            <w:r w:rsidRPr="00E0465B">
              <w:rPr>
                <w:rFonts w:cs="Arial"/>
                <w:bCs/>
                <w:szCs w:val="16"/>
              </w:rPr>
              <w:t>0.98%</w:t>
            </w:r>
          </w:p>
        </w:tc>
        <w:tc>
          <w:tcPr>
            <w:tcW w:w="833" w:type="pct"/>
          </w:tcPr>
          <w:p w14:paraId="127BF181" w14:textId="3BECFE2D" w:rsidR="00B25161" w:rsidRPr="00E0465B" w:rsidRDefault="00B25161" w:rsidP="00B25161">
            <w:pPr>
              <w:rPr>
                <w:rFonts w:cs="Arial"/>
                <w:bCs/>
                <w:szCs w:val="16"/>
              </w:rPr>
            </w:pPr>
            <w:r w:rsidRPr="00E0465B">
              <w:rPr>
                <w:rFonts w:cs="Arial"/>
                <w:bCs/>
                <w:szCs w:val="16"/>
              </w:rPr>
              <w:t>10.23%</w:t>
            </w:r>
          </w:p>
        </w:tc>
        <w:tc>
          <w:tcPr>
            <w:tcW w:w="833" w:type="pct"/>
          </w:tcPr>
          <w:p w14:paraId="37EC9364" w14:textId="61A07A7E" w:rsidR="00B25161" w:rsidRPr="00E0465B" w:rsidRDefault="00B25161" w:rsidP="00B25161">
            <w:pPr>
              <w:rPr>
                <w:rFonts w:cs="Arial"/>
                <w:bCs/>
                <w:szCs w:val="16"/>
              </w:rPr>
            </w:pPr>
            <w:r w:rsidRPr="00E0465B">
              <w:rPr>
                <w:rFonts w:cs="Arial"/>
                <w:bCs/>
                <w:szCs w:val="16"/>
              </w:rPr>
              <w:t>39.48%</w:t>
            </w:r>
          </w:p>
        </w:tc>
        <w:tc>
          <w:tcPr>
            <w:tcW w:w="833" w:type="pct"/>
          </w:tcPr>
          <w:p w14:paraId="09DF3FA5" w14:textId="57617973" w:rsidR="00B25161" w:rsidRPr="00E0465B" w:rsidRDefault="00B25161" w:rsidP="00B25161">
            <w:pPr>
              <w:rPr>
                <w:rFonts w:cs="Arial"/>
                <w:bCs/>
                <w:szCs w:val="16"/>
              </w:rPr>
            </w:pPr>
            <w:r w:rsidRPr="00E0465B">
              <w:rPr>
                <w:rFonts w:cs="Arial"/>
                <w:bCs/>
                <w:szCs w:val="16"/>
              </w:rPr>
              <w:t>31.46%</w:t>
            </w:r>
          </w:p>
        </w:tc>
        <w:tc>
          <w:tcPr>
            <w:tcW w:w="833" w:type="pct"/>
          </w:tcPr>
          <w:p w14:paraId="54994806" w14:textId="468B6FDF" w:rsidR="00B25161" w:rsidRPr="00E0465B" w:rsidRDefault="00B25161" w:rsidP="00B25161">
            <w:pPr>
              <w:rPr>
                <w:rFonts w:cs="Arial"/>
                <w:bCs/>
                <w:szCs w:val="16"/>
              </w:rPr>
            </w:pPr>
            <w:r w:rsidRPr="00E0465B">
              <w:rPr>
                <w:rFonts w:cs="Arial"/>
                <w:bCs/>
                <w:szCs w:val="16"/>
              </w:rPr>
              <w:t>17.85%</w:t>
            </w:r>
          </w:p>
        </w:tc>
      </w:tr>
      <w:tr w:rsidR="00B25161" w:rsidRPr="00B25161" w14:paraId="3FE1F63B" w14:textId="77777777" w:rsidTr="00B25161">
        <w:tc>
          <w:tcPr>
            <w:tcW w:w="834" w:type="pct"/>
          </w:tcPr>
          <w:p w14:paraId="4A9A5C22" w14:textId="77777777" w:rsidR="00B25161" w:rsidRPr="00B25161" w:rsidRDefault="00B25161" w:rsidP="00B25161">
            <w:pPr>
              <w:rPr>
                <w:rFonts w:cs="Arial"/>
                <w:b/>
                <w:szCs w:val="16"/>
              </w:rPr>
            </w:pPr>
            <w:r w:rsidRPr="00B25161">
              <w:rPr>
                <w:rFonts w:cs="Arial"/>
                <w:b/>
                <w:szCs w:val="16"/>
              </w:rPr>
              <w:t>Scores</w:t>
            </w:r>
          </w:p>
        </w:tc>
        <w:tc>
          <w:tcPr>
            <w:tcW w:w="833" w:type="pct"/>
          </w:tcPr>
          <w:p w14:paraId="1ECD4EFC" w14:textId="77777777" w:rsidR="00B25161" w:rsidRPr="00E0465B" w:rsidRDefault="00B25161" w:rsidP="00B25161">
            <w:pPr>
              <w:rPr>
                <w:rFonts w:cs="Arial"/>
                <w:bCs/>
                <w:szCs w:val="16"/>
              </w:rPr>
            </w:pPr>
            <w:r w:rsidRPr="00E0465B">
              <w:rPr>
                <w:rFonts w:cs="Arial"/>
                <w:bCs/>
                <w:szCs w:val="16"/>
              </w:rPr>
              <w:t>1</w:t>
            </w:r>
          </w:p>
        </w:tc>
        <w:tc>
          <w:tcPr>
            <w:tcW w:w="833" w:type="pct"/>
          </w:tcPr>
          <w:p w14:paraId="455BC9BA" w14:textId="77777777" w:rsidR="00B25161" w:rsidRPr="00E0465B" w:rsidRDefault="00B25161" w:rsidP="00B25161">
            <w:pPr>
              <w:rPr>
                <w:rFonts w:cs="Arial"/>
                <w:bCs/>
                <w:szCs w:val="16"/>
              </w:rPr>
            </w:pPr>
            <w:r w:rsidRPr="00E0465B">
              <w:rPr>
                <w:rFonts w:cs="Arial"/>
                <w:bCs/>
                <w:szCs w:val="16"/>
              </w:rPr>
              <w:t>1</w:t>
            </w:r>
          </w:p>
        </w:tc>
        <w:tc>
          <w:tcPr>
            <w:tcW w:w="833" w:type="pct"/>
          </w:tcPr>
          <w:p w14:paraId="6D56B68A" w14:textId="77777777" w:rsidR="00B25161" w:rsidRPr="00E0465B" w:rsidRDefault="00B25161" w:rsidP="00B25161">
            <w:pPr>
              <w:rPr>
                <w:rFonts w:cs="Arial"/>
                <w:bCs/>
                <w:szCs w:val="16"/>
              </w:rPr>
            </w:pPr>
            <w:r w:rsidRPr="00E0465B">
              <w:rPr>
                <w:rFonts w:cs="Arial"/>
                <w:bCs/>
                <w:szCs w:val="16"/>
              </w:rPr>
              <w:t>1</w:t>
            </w:r>
          </w:p>
        </w:tc>
        <w:tc>
          <w:tcPr>
            <w:tcW w:w="833" w:type="pct"/>
          </w:tcPr>
          <w:p w14:paraId="32A5C166" w14:textId="77777777" w:rsidR="00B25161" w:rsidRPr="00E0465B" w:rsidRDefault="00B25161" w:rsidP="00B25161">
            <w:pPr>
              <w:rPr>
                <w:rFonts w:cs="Arial"/>
                <w:bCs/>
                <w:szCs w:val="16"/>
              </w:rPr>
            </w:pPr>
            <w:r w:rsidRPr="00E0465B">
              <w:rPr>
                <w:rFonts w:cs="Arial"/>
                <w:bCs/>
                <w:szCs w:val="16"/>
              </w:rPr>
              <w:t>1</w:t>
            </w:r>
          </w:p>
        </w:tc>
        <w:tc>
          <w:tcPr>
            <w:tcW w:w="833" w:type="pct"/>
          </w:tcPr>
          <w:p w14:paraId="1BF923E0" w14:textId="77777777" w:rsidR="00B25161" w:rsidRPr="00E0465B" w:rsidRDefault="00B25161" w:rsidP="00B25161">
            <w:pPr>
              <w:rPr>
                <w:rFonts w:cs="Arial"/>
                <w:bCs/>
                <w:szCs w:val="16"/>
              </w:rPr>
            </w:pPr>
            <w:r w:rsidRPr="00E0465B">
              <w:rPr>
                <w:rFonts w:cs="Arial"/>
                <w:bCs/>
                <w:szCs w:val="16"/>
              </w:rPr>
              <w:t>1</w:t>
            </w:r>
          </w:p>
        </w:tc>
      </w:tr>
    </w:tbl>
    <w:p w14:paraId="5AB01591" w14:textId="77777777" w:rsidR="00B25161" w:rsidRPr="00B25161" w:rsidRDefault="00B25161" w:rsidP="00B25161">
      <w:pPr>
        <w:rPr>
          <w:rFonts w:cs="Arial"/>
          <w:b/>
          <w:szCs w:val="16"/>
        </w:rPr>
      </w:pPr>
    </w:p>
    <w:tbl>
      <w:tblPr>
        <w:tblStyle w:val="TableGrid1"/>
        <w:tblW w:w="0" w:type="auto"/>
        <w:tblLook w:val="04A0" w:firstRow="1" w:lastRow="0" w:firstColumn="1" w:lastColumn="0" w:noHBand="0" w:noVBand="1"/>
        <w:tblCaption w:val="C03OTCFNL"/>
      </w:tblPr>
      <w:tblGrid>
        <w:gridCol w:w="2880"/>
        <w:gridCol w:w="2938"/>
      </w:tblGrid>
      <w:tr w:rsidR="00B25161" w:rsidRPr="00B25161" w14:paraId="1B488901" w14:textId="77777777" w:rsidTr="004A2E39">
        <w:trPr>
          <w:trHeight w:val="272"/>
          <w:tblHeader/>
        </w:trPr>
        <w:tc>
          <w:tcPr>
            <w:tcW w:w="2880" w:type="dxa"/>
          </w:tcPr>
          <w:p w14:paraId="3038373D" w14:textId="77777777" w:rsidR="00B25161" w:rsidRPr="00B25161" w:rsidRDefault="00B25161" w:rsidP="00B25161">
            <w:pPr>
              <w:rPr>
                <w:rFonts w:cs="Arial"/>
                <w:b/>
                <w:szCs w:val="16"/>
              </w:rPr>
            </w:pPr>
          </w:p>
        </w:tc>
        <w:tc>
          <w:tcPr>
            <w:tcW w:w="1932" w:type="dxa"/>
          </w:tcPr>
          <w:p w14:paraId="77ABF7A6" w14:textId="77777777" w:rsidR="00B25161" w:rsidRPr="00B25161" w:rsidRDefault="00B25161" w:rsidP="00B25161">
            <w:pPr>
              <w:rPr>
                <w:rFonts w:cs="Arial"/>
                <w:b/>
                <w:szCs w:val="16"/>
              </w:rPr>
            </w:pPr>
            <w:r w:rsidRPr="00B25161">
              <w:rPr>
                <w:rFonts w:cs="Arial"/>
                <w:b/>
                <w:szCs w:val="16"/>
              </w:rPr>
              <w:t>Total Score</w:t>
            </w:r>
          </w:p>
        </w:tc>
      </w:tr>
      <w:tr w:rsidR="00B25161" w:rsidRPr="00B25161" w14:paraId="2D9A730F" w14:textId="77777777" w:rsidTr="00B25161">
        <w:trPr>
          <w:trHeight w:val="272"/>
        </w:trPr>
        <w:tc>
          <w:tcPr>
            <w:tcW w:w="2880" w:type="dxa"/>
          </w:tcPr>
          <w:p w14:paraId="48BC9BD7" w14:textId="77777777" w:rsidR="00B25161" w:rsidRPr="00B25161" w:rsidRDefault="00B25161" w:rsidP="00B25161">
            <w:pPr>
              <w:rPr>
                <w:rFonts w:cs="Arial"/>
                <w:b/>
                <w:szCs w:val="16"/>
              </w:rPr>
            </w:pPr>
            <w:r w:rsidRPr="00B25161">
              <w:rPr>
                <w:rFonts w:cs="Arial"/>
                <w:b/>
                <w:szCs w:val="16"/>
              </w:rPr>
              <w:t>Outcome A</w:t>
            </w:r>
          </w:p>
        </w:tc>
        <w:tc>
          <w:tcPr>
            <w:tcW w:w="1932" w:type="dxa"/>
          </w:tcPr>
          <w:p w14:paraId="06B374F4" w14:textId="687DD5CE" w:rsidR="00B25161" w:rsidRPr="00E0465B" w:rsidRDefault="00B25161" w:rsidP="00B25161">
            <w:pPr>
              <w:rPr>
                <w:rFonts w:cs="Arial"/>
                <w:bCs/>
                <w:szCs w:val="16"/>
              </w:rPr>
            </w:pPr>
            <w:r w:rsidRPr="00E0465B">
              <w:rPr>
                <w:rFonts w:cs="Arial"/>
                <w:bCs/>
                <w:szCs w:val="16"/>
              </w:rPr>
              <w:t>5</w:t>
            </w:r>
          </w:p>
        </w:tc>
      </w:tr>
      <w:tr w:rsidR="00B25161" w:rsidRPr="00B25161" w14:paraId="75C871C9" w14:textId="77777777" w:rsidTr="00B25161">
        <w:trPr>
          <w:trHeight w:val="272"/>
        </w:trPr>
        <w:tc>
          <w:tcPr>
            <w:tcW w:w="2880" w:type="dxa"/>
          </w:tcPr>
          <w:p w14:paraId="193CC5B1" w14:textId="77777777" w:rsidR="00B25161" w:rsidRPr="00B25161" w:rsidRDefault="00B25161" w:rsidP="00B25161">
            <w:pPr>
              <w:rPr>
                <w:rFonts w:cs="Arial"/>
                <w:b/>
                <w:szCs w:val="16"/>
              </w:rPr>
            </w:pPr>
            <w:r w:rsidRPr="00B25161">
              <w:rPr>
                <w:rFonts w:cs="Arial"/>
                <w:b/>
                <w:szCs w:val="16"/>
              </w:rPr>
              <w:t>Outcome B</w:t>
            </w:r>
          </w:p>
        </w:tc>
        <w:tc>
          <w:tcPr>
            <w:tcW w:w="1932" w:type="dxa"/>
          </w:tcPr>
          <w:p w14:paraId="4B78D677" w14:textId="57794493" w:rsidR="00B25161" w:rsidRPr="00E0465B" w:rsidRDefault="00B25161" w:rsidP="00B25161">
            <w:pPr>
              <w:rPr>
                <w:rFonts w:cs="Arial"/>
                <w:bCs/>
                <w:szCs w:val="16"/>
              </w:rPr>
            </w:pPr>
            <w:r w:rsidRPr="00E0465B">
              <w:rPr>
                <w:rFonts w:cs="Arial"/>
                <w:bCs/>
                <w:szCs w:val="16"/>
              </w:rPr>
              <w:t>5</w:t>
            </w:r>
          </w:p>
        </w:tc>
      </w:tr>
      <w:tr w:rsidR="00B25161" w:rsidRPr="00B25161" w14:paraId="45EE0999" w14:textId="77777777" w:rsidTr="00B25161">
        <w:trPr>
          <w:trHeight w:val="272"/>
        </w:trPr>
        <w:tc>
          <w:tcPr>
            <w:tcW w:w="2880" w:type="dxa"/>
          </w:tcPr>
          <w:p w14:paraId="25C23511" w14:textId="77777777" w:rsidR="00B25161" w:rsidRPr="00B25161" w:rsidRDefault="00B25161" w:rsidP="00B25161">
            <w:pPr>
              <w:rPr>
                <w:rFonts w:cs="Arial"/>
                <w:b/>
                <w:szCs w:val="16"/>
              </w:rPr>
            </w:pPr>
            <w:r w:rsidRPr="00B25161">
              <w:rPr>
                <w:rFonts w:cs="Arial"/>
                <w:b/>
                <w:szCs w:val="16"/>
              </w:rPr>
              <w:t>Outcome C</w:t>
            </w:r>
          </w:p>
        </w:tc>
        <w:tc>
          <w:tcPr>
            <w:tcW w:w="1932" w:type="dxa"/>
          </w:tcPr>
          <w:p w14:paraId="267A8932" w14:textId="15899D96" w:rsidR="00B25161" w:rsidRPr="00E0465B" w:rsidRDefault="00B25161" w:rsidP="00B25161">
            <w:pPr>
              <w:rPr>
                <w:rFonts w:cs="Arial"/>
                <w:bCs/>
                <w:szCs w:val="16"/>
              </w:rPr>
            </w:pPr>
            <w:r w:rsidRPr="00E0465B">
              <w:rPr>
                <w:rFonts w:cs="Arial"/>
                <w:bCs/>
                <w:szCs w:val="16"/>
              </w:rPr>
              <w:t>5</w:t>
            </w:r>
          </w:p>
        </w:tc>
      </w:tr>
      <w:tr w:rsidR="00B25161" w:rsidRPr="00B25161" w14:paraId="581A701A" w14:textId="77777777" w:rsidTr="00B25161">
        <w:trPr>
          <w:trHeight w:val="272"/>
        </w:trPr>
        <w:tc>
          <w:tcPr>
            <w:tcW w:w="2880" w:type="dxa"/>
          </w:tcPr>
          <w:p w14:paraId="57F30288" w14:textId="77777777" w:rsidR="00B25161" w:rsidRPr="00B25161" w:rsidRDefault="00B25161" w:rsidP="00B25161">
            <w:pPr>
              <w:rPr>
                <w:rFonts w:cs="Arial"/>
                <w:b/>
                <w:szCs w:val="16"/>
              </w:rPr>
            </w:pPr>
            <w:r w:rsidRPr="00B25161">
              <w:rPr>
                <w:rFonts w:cs="Arial"/>
                <w:b/>
                <w:szCs w:val="16"/>
              </w:rPr>
              <w:t>Outcomes A-C</w:t>
            </w:r>
          </w:p>
        </w:tc>
        <w:tc>
          <w:tcPr>
            <w:tcW w:w="1932" w:type="dxa"/>
          </w:tcPr>
          <w:p w14:paraId="20B4EDFB" w14:textId="5665A534" w:rsidR="00B25161" w:rsidRPr="00E0465B" w:rsidRDefault="00B25161" w:rsidP="00B25161">
            <w:pPr>
              <w:rPr>
                <w:rFonts w:cs="Arial"/>
                <w:bCs/>
                <w:szCs w:val="16"/>
              </w:rPr>
            </w:pPr>
            <w:r w:rsidRPr="00E0465B">
              <w:rPr>
                <w:rFonts w:cs="Arial"/>
                <w:bCs/>
                <w:szCs w:val="16"/>
              </w:rPr>
              <w:t>15</w:t>
            </w:r>
          </w:p>
        </w:tc>
      </w:tr>
    </w:tbl>
    <w:p w14:paraId="094B7EF3" w14:textId="77777777" w:rsidR="00B25161" w:rsidRPr="00B25161" w:rsidRDefault="00B25161" w:rsidP="00B25161">
      <w:pPr>
        <w:rPr>
          <w:rFonts w:cs="Arial"/>
          <w:b/>
          <w:szCs w:val="16"/>
        </w:rPr>
      </w:pPr>
    </w:p>
    <w:tbl>
      <w:tblPr>
        <w:tblStyle w:val="TableGrid1"/>
        <w:tblW w:w="0" w:type="auto"/>
        <w:tblLook w:val="04A0" w:firstRow="1" w:lastRow="0" w:firstColumn="1" w:lastColumn="0" w:noHBand="0" w:noVBand="1"/>
        <w:tblCaption w:val="C03ANOMFNL"/>
      </w:tblPr>
      <w:tblGrid>
        <w:gridCol w:w="2880"/>
        <w:gridCol w:w="2880"/>
      </w:tblGrid>
      <w:tr w:rsidR="00B25161" w:rsidRPr="00B25161" w14:paraId="4A0FEA67" w14:textId="77777777" w:rsidTr="00B25161">
        <w:tc>
          <w:tcPr>
            <w:tcW w:w="2880" w:type="dxa"/>
          </w:tcPr>
          <w:p w14:paraId="3051DA2A" w14:textId="77777777" w:rsidR="00B25161" w:rsidRPr="00B25161" w:rsidRDefault="00B25161" w:rsidP="00B25161">
            <w:pPr>
              <w:rPr>
                <w:rFonts w:cs="Arial"/>
                <w:b/>
                <w:szCs w:val="16"/>
              </w:rPr>
            </w:pPr>
            <w:r w:rsidRPr="00B25161">
              <w:rPr>
                <w:rFonts w:cs="Arial"/>
                <w:b/>
                <w:szCs w:val="16"/>
              </w:rPr>
              <w:t>Data Anomalies Score</w:t>
            </w:r>
          </w:p>
        </w:tc>
        <w:tc>
          <w:tcPr>
            <w:tcW w:w="2880" w:type="dxa"/>
          </w:tcPr>
          <w:p w14:paraId="4F2B4557" w14:textId="77777777" w:rsidR="00B25161" w:rsidRPr="00E0465B" w:rsidRDefault="00B25161" w:rsidP="00B25161">
            <w:pPr>
              <w:rPr>
                <w:rFonts w:cs="Arial"/>
                <w:bCs/>
                <w:szCs w:val="16"/>
              </w:rPr>
            </w:pPr>
            <w:r w:rsidRPr="00E0465B">
              <w:rPr>
                <w:rFonts w:cs="Arial"/>
                <w:bCs/>
                <w:szCs w:val="16"/>
              </w:rPr>
              <w:t>2</w:t>
            </w:r>
          </w:p>
        </w:tc>
      </w:tr>
    </w:tbl>
    <w:p w14:paraId="5EF02BB7" w14:textId="77777777" w:rsidR="00716DBD" w:rsidRDefault="00716DBD" w:rsidP="0081611B">
      <w:pPr>
        <w:rPr>
          <w:rFonts w:cs="Arial"/>
          <w:b/>
          <w:szCs w:val="16"/>
        </w:rPr>
      </w:pPr>
    </w:p>
    <w:p w14:paraId="5246613C" w14:textId="77777777" w:rsidR="00B25161" w:rsidRDefault="00B25161" w:rsidP="0081611B">
      <w:pPr>
        <w:rPr>
          <w:rFonts w:cs="Arial"/>
          <w:b/>
          <w:szCs w:val="16"/>
        </w:rPr>
      </w:pPr>
    </w:p>
    <w:p w14:paraId="1E89FB21" w14:textId="77777777" w:rsidR="00B25161" w:rsidRDefault="00B25161" w:rsidP="0081611B">
      <w:pPr>
        <w:rPr>
          <w:rFonts w:cs="Arial"/>
          <w:b/>
          <w:szCs w:val="16"/>
        </w:rPr>
      </w:pPr>
    </w:p>
    <w:p w14:paraId="2FCF86B1" w14:textId="77777777" w:rsidR="00B25161" w:rsidRDefault="00B25161" w:rsidP="0081611B">
      <w:pPr>
        <w:rPr>
          <w:rFonts w:cs="Arial"/>
          <w:b/>
          <w:szCs w:val="16"/>
        </w:rPr>
      </w:pPr>
    </w:p>
    <w:p w14:paraId="09FA12B4" w14:textId="77777777" w:rsidR="00B25161" w:rsidRDefault="00B25161" w:rsidP="0081611B">
      <w:pPr>
        <w:rPr>
          <w:rFonts w:cs="Arial"/>
          <w:b/>
          <w:szCs w:val="16"/>
        </w:rPr>
      </w:pPr>
    </w:p>
    <w:p w14:paraId="3E5A38FA" w14:textId="77777777" w:rsidR="00B25161" w:rsidRDefault="00B25161" w:rsidP="0081611B">
      <w:pPr>
        <w:rPr>
          <w:rFonts w:cs="Arial"/>
          <w:b/>
          <w:szCs w:val="16"/>
        </w:rPr>
      </w:pPr>
    </w:p>
    <w:p w14:paraId="17852D5C" w14:textId="77777777" w:rsidR="00E0465B" w:rsidRDefault="00E0465B">
      <w:pPr>
        <w:spacing w:before="0" w:after="200" w:line="276" w:lineRule="auto"/>
        <w:rPr>
          <w:rFonts w:cs="Arial"/>
          <w:b/>
          <w:bCs/>
          <w:szCs w:val="16"/>
        </w:rPr>
      </w:pPr>
      <w:r>
        <w:rPr>
          <w:rFonts w:cs="Arial"/>
          <w:b/>
          <w:bCs/>
          <w:szCs w:val="16"/>
        </w:rPr>
        <w:br w:type="page"/>
      </w:r>
    </w:p>
    <w:p w14:paraId="51A974EF" w14:textId="5528C11C" w:rsidR="009F37D6" w:rsidRPr="009F37D6" w:rsidRDefault="009F37D6" w:rsidP="009F37D6">
      <w:pPr>
        <w:rPr>
          <w:rFonts w:cs="Arial"/>
          <w:b/>
          <w:bCs/>
          <w:szCs w:val="16"/>
        </w:rPr>
      </w:pPr>
      <w:r w:rsidRPr="009F37D6">
        <w:rPr>
          <w:rFonts w:cs="Arial"/>
          <w:b/>
          <w:bCs/>
          <w:szCs w:val="16"/>
        </w:rPr>
        <w:lastRenderedPageBreak/>
        <w:t>Appendix C</w:t>
      </w:r>
    </w:p>
    <w:p w14:paraId="170A9CB5" w14:textId="77777777" w:rsidR="00A67CEE" w:rsidRDefault="00A67CEE" w:rsidP="009F37D6">
      <w:pPr>
        <w:rPr>
          <w:rFonts w:cs="Arial"/>
          <w:b/>
          <w:bCs/>
          <w:szCs w:val="16"/>
        </w:rPr>
      </w:pPr>
    </w:p>
    <w:p w14:paraId="6354287C" w14:textId="2EA1FA43" w:rsidR="00A67CEE" w:rsidRDefault="009F37D6" w:rsidP="009F37D6">
      <w:pPr>
        <w:rPr>
          <w:rFonts w:cs="Arial"/>
          <w:b/>
          <w:bCs/>
          <w:szCs w:val="16"/>
        </w:rPr>
      </w:pPr>
      <w:r w:rsidRPr="009F37D6">
        <w:rPr>
          <w:rFonts w:cs="Arial"/>
          <w:b/>
          <w:bCs/>
          <w:szCs w:val="16"/>
        </w:rPr>
        <w:t xml:space="preserve">II. (a) Data Comparison: </w:t>
      </w:r>
    </w:p>
    <w:p w14:paraId="6CF7C333" w14:textId="0062A4AD" w:rsidR="009F37D6" w:rsidRPr="009F37D6" w:rsidRDefault="009F37D6" w:rsidP="009F37D6">
      <w:pPr>
        <w:rPr>
          <w:rFonts w:cs="Arial"/>
          <w:b/>
          <w:bCs/>
          <w:szCs w:val="16"/>
        </w:rPr>
      </w:pPr>
      <w:r w:rsidRPr="009F37D6">
        <w:rPr>
          <w:rFonts w:cs="Arial"/>
          <w:b/>
          <w:bCs/>
          <w:szCs w:val="16"/>
        </w:rPr>
        <w:t>Comparing Your State’s 2021 Outcomes Data to Other States’ 2021 Outcome Data</w:t>
      </w:r>
    </w:p>
    <w:p w14:paraId="78086C37" w14:textId="77777777" w:rsidR="009F37D6" w:rsidRPr="00A67CEE" w:rsidRDefault="009F37D6" w:rsidP="009F37D6">
      <w:pPr>
        <w:rPr>
          <w:rFonts w:cs="Arial"/>
          <w:bCs/>
          <w:szCs w:val="16"/>
        </w:rPr>
      </w:pPr>
      <w:r w:rsidRPr="00A67CEE">
        <w:rPr>
          <w:rFonts w:cs="Arial"/>
          <w:bCs/>
          <w:szCs w:val="16"/>
        </w:rPr>
        <w:t>This score represents how your State's FFY 2021 Outcomes data compares to other States' FFY 2021 Outcomes Data. Your State received a score for the distribution of the 6 Summary Statements for your State compared to the distribution of the 6 Summary Statements in all other States. The 10th and 90th percentile for each of the 6 Summary Statements was identified and used to assign points to performance outcome data for each Summary Statement</w:t>
      </w:r>
      <w:r w:rsidRPr="00A67CEE">
        <w:rPr>
          <w:rFonts w:cs="Arial"/>
          <w:bCs/>
          <w:szCs w:val="16"/>
          <w:vertAlign w:val="superscript"/>
        </w:rPr>
        <w:footnoteReference w:id="10"/>
      </w:r>
      <w:r w:rsidRPr="00A67CEE">
        <w:rPr>
          <w:rFonts w:cs="Arial"/>
          <w:bCs/>
          <w:szCs w:val="16"/>
        </w:rPr>
        <w:t>. Each Summary Statement outcome was assigned 0, 1, or 2 points. If your State's Summary Statement value fell at or below the 10th percentile, that Summary Statement was assigned 0 points. If your State's Summary Statement value fell between the 10th and 90th percentile, the Summary Statement was assigned 1 point, and if your State's Summary Statement value fell at or above the 90th percentile the Summary Statement was assigned 2 points. The points were added up across the 6 Summary Statements. A State can receive a total number of points between 0 and 12, with 0 points indicating all 6 Summary Statement values were at or below the 10th percentile and 12 points indicating all 6 Summary Statements were at or above the 90th percentile. An overall comparison Summary Statement score of 0, 1, or 2 was based on the total points awarded.</w:t>
      </w:r>
    </w:p>
    <w:p w14:paraId="762C815F" w14:textId="77777777" w:rsidR="009F37D6" w:rsidRPr="00A67CEE" w:rsidRDefault="009F37D6" w:rsidP="009F37D6">
      <w:pPr>
        <w:rPr>
          <w:rFonts w:cs="Arial"/>
          <w:bCs/>
          <w:i/>
          <w:iCs/>
          <w:szCs w:val="16"/>
        </w:rPr>
      </w:pPr>
      <w:r w:rsidRPr="00A67CEE">
        <w:rPr>
          <w:rFonts w:cs="Arial"/>
          <w:bCs/>
          <w:i/>
          <w:iCs/>
          <w:szCs w:val="16"/>
        </w:rPr>
        <w:t>Summary Statement 1: Of those infants and toddlers who entered or exited early intervention below age expectations in each Outcome, the percent who substantially increased their rate of growth by the time they turned 3 years of age or exited the program.</w:t>
      </w:r>
    </w:p>
    <w:p w14:paraId="246C2268" w14:textId="77777777" w:rsidR="009F37D6" w:rsidRPr="009F37D6" w:rsidRDefault="009F37D6" w:rsidP="009F37D6">
      <w:pPr>
        <w:rPr>
          <w:rFonts w:cs="Arial"/>
          <w:b/>
          <w:i/>
          <w:iCs/>
          <w:szCs w:val="16"/>
        </w:rPr>
      </w:pPr>
      <w:r w:rsidRPr="00A67CEE">
        <w:rPr>
          <w:rFonts w:cs="Arial"/>
          <w:bCs/>
          <w:i/>
          <w:iCs/>
          <w:szCs w:val="16"/>
        </w:rPr>
        <w:t>Summary Statement 2: The percent of infants and toddlers who were functioning within age expectations in each Outcome by the time they turned 3 years of age or exited the program.</w:t>
      </w:r>
    </w:p>
    <w:p w14:paraId="328AEA2B" w14:textId="77777777" w:rsidR="00A67CEE" w:rsidRDefault="00A67CEE" w:rsidP="009F37D6">
      <w:pPr>
        <w:rPr>
          <w:rFonts w:cs="Arial"/>
          <w:b/>
          <w:bCs/>
          <w:szCs w:val="16"/>
        </w:rPr>
      </w:pPr>
    </w:p>
    <w:p w14:paraId="6370C439" w14:textId="16463590" w:rsidR="009F37D6" w:rsidRPr="009F37D6" w:rsidRDefault="009F37D6" w:rsidP="009F37D6">
      <w:pPr>
        <w:rPr>
          <w:rFonts w:cs="Arial"/>
          <w:b/>
          <w:bCs/>
          <w:szCs w:val="16"/>
        </w:rPr>
      </w:pPr>
      <w:r w:rsidRPr="009F37D6">
        <w:rPr>
          <w:rFonts w:cs="Arial"/>
          <w:b/>
          <w:bCs/>
          <w:szCs w:val="16"/>
        </w:rPr>
        <w:t>Scoring Percentages for the 10th and 90th Percentile for Each Outcome and Summary Statement, FFY 2021</w:t>
      </w:r>
    </w:p>
    <w:tbl>
      <w:tblPr>
        <w:tblStyle w:val="TableGrid1"/>
        <w:tblW w:w="0" w:type="auto"/>
        <w:tblLayout w:type="fixed"/>
        <w:tblLook w:val="04A0" w:firstRow="1" w:lastRow="0" w:firstColumn="1" w:lastColumn="0" w:noHBand="0" w:noVBand="1"/>
        <w:tblCaption w:val="C03OTCPERC"/>
      </w:tblPr>
      <w:tblGrid>
        <w:gridCol w:w="1540"/>
        <w:gridCol w:w="1540"/>
        <w:gridCol w:w="1540"/>
        <w:gridCol w:w="1540"/>
        <w:gridCol w:w="1540"/>
        <w:gridCol w:w="1540"/>
        <w:gridCol w:w="1540"/>
      </w:tblGrid>
      <w:tr w:rsidR="009F37D6" w:rsidRPr="009F37D6" w14:paraId="69A45AE2" w14:textId="77777777" w:rsidTr="004A2E39">
        <w:trPr>
          <w:tblHeader/>
        </w:trPr>
        <w:tc>
          <w:tcPr>
            <w:tcW w:w="1540" w:type="dxa"/>
          </w:tcPr>
          <w:p w14:paraId="7824B3BE" w14:textId="77777777" w:rsidR="009F37D6" w:rsidRPr="009F37D6" w:rsidRDefault="009F37D6" w:rsidP="009F37D6">
            <w:pPr>
              <w:rPr>
                <w:rFonts w:cs="Arial"/>
                <w:b/>
                <w:szCs w:val="16"/>
              </w:rPr>
            </w:pPr>
            <w:r w:rsidRPr="009F37D6">
              <w:rPr>
                <w:rFonts w:cs="Arial"/>
                <w:b/>
                <w:szCs w:val="16"/>
              </w:rPr>
              <w:t>Percentiles</w:t>
            </w:r>
          </w:p>
        </w:tc>
        <w:tc>
          <w:tcPr>
            <w:tcW w:w="1540" w:type="dxa"/>
          </w:tcPr>
          <w:p w14:paraId="33107596" w14:textId="77777777" w:rsidR="009F37D6" w:rsidRPr="009F37D6" w:rsidRDefault="009F37D6" w:rsidP="009F37D6">
            <w:pPr>
              <w:rPr>
                <w:rFonts w:cs="Arial"/>
                <w:b/>
                <w:szCs w:val="16"/>
              </w:rPr>
            </w:pPr>
            <w:r w:rsidRPr="009F37D6">
              <w:rPr>
                <w:rFonts w:cs="Arial"/>
                <w:b/>
                <w:szCs w:val="16"/>
              </w:rPr>
              <w:t>Outcome A SS1</w:t>
            </w:r>
          </w:p>
        </w:tc>
        <w:tc>
          <w:tcPr>
            <w:tcW w:w="1540" w:type="dxa"/>
          </w:tcPr>
          <w:p w14:paraId="197BD52F" w14:textId="77777777" w:rsidR="009F37D6" w:rsidRPr="009F37D6" w:rsidRDefault="009F37D6" w:rsidP="009F37D6">
            <w:pPr>
              <w:rPr>
                <w:rFonts w:cs="Arial"/>
                <w:b/>
                <w:szCs w:val="16"/>
              </w:rPr>
            </w:pPr>
            <w:r w:rsidRPr="009F37D6">
              <w:rPr>
                <w:rFonts w:cs="Arial"/>
                <w:b/>
                <w:szCs w:val="16"/>
              </w:rPr>
              <w:t>Outcome A SS2</w:t>
            </w:r>
          </w:p>
        </w:tc>
        <w:tc>
          <w:tcPr>
            <w:tcW w:w="1540" w:type="dxa"/>
          </w:tcPr>
          <w:p w14:paraId="3EAE2FCF" w14:textId="77777777" w:rsidR="009F37D6" w:rsidRPr="009F37D6" w:rsidRDefault="009F37D6" w:rsidP="009F37D6">
            <w:pPr>
              <w:rPr>
                <w:rFonts w:cs="Arial"/>
                <w:b/>
                <w:szCs w:val="16"/>
              </w:rPr>
            </w:pPr>
            <w:r w:rsidRPr="009F37D6">
              <w:rPr>
                <w:rFonts w:cs="Arial"/>
                <w:b/>
                <w:szCs w:val="16"/>
              </w:rPr>
              <w:t>Outcome B SS1</w:t>
            </w:r>
          </w:p>
        </w:tc>
        <w:tc>
          <w:tcPr>
            <w:tcW w:w="1540" w:type="dxa"/>
          </w:tcPr>
          <w:p w14:paraId="3B6CF9D5" w14:textId="77777777" w:rsidR="009F37D6" w:rsidRPr="009F37D6" w:rsidRDefault="009F37D6" w:rsidP="009F37D6">
            <w:pPr>
              <w:rPr>
                <w:rFonts w:cs="Arial"/>
                <w:b/>
                <w:szCs w:val="16"/>
              </w:rPr>
            </w:pPr>
            <w:r w:rsidRPr="009F37D6">
              <w:rPr>
                <w:rFonts w:cs="Arial"/>
                <w:b/>
                <w:szCs w:val="16"/>
              </w:rPr>
              <w:t>Outcome B SS2</w:t>
            </w:r>
          </w:p>
        </w:tc>
        <w:tc>
          <w:tcPr>
            <w:tcW w:w="1540" w:type="dxa"/>
          </w:tcPr>
          <w:p w14:paraId="5EB92DDA" w14:textId="77777777" w:rsidR="009F37D6" w:rsidRPr="009F37D6" w:rsidRDefault="009F37D6" w:rsidP="009F37D6">
            <w:pPr>
              <w:rPr>
                <w:rFonts w:cs="Arial"/>
                <w:b/>
                <w:szCs w:val="16"/>
              </w:rPr>
            </w:pPr>
            <w:r w:rsidRPr="009F37D6">
              <w:rPr>
                <w:rFonts w:cs="Arial"/>
                <w:b/>
                <w:szCs w:val="16"/>
              </w:rPr>
              <w:t>Outcome C SS1</w:t>
            </w:r>
          </w:p>
        </w:tc>
        <w:tc>
          <w:tcPr>
            <w:tcW w:w="1540" w:type="dxa"/>
          </w:tcPr>
          <w:p w14:paraId="0120FD5C" w14:textId="77777777" w:rsidR="009F37D6" w:rsidRPr="009F37D6" w:rsidRDefault="009F37D6" w:rsidP="009F37D6">
            <w:pPr>
              <w:rPr>
                <w:rFonts w:cs="Arial"/>
                <w:b/>
                <w:szCs w:val="16"/>
              </w:rPr>
            </w:pPr>
            <w:r w:rsidRPr="009F37D6">
              <w:rPr>
                <w:rFonts w:cs="Arial"/>
                <w:b/>
                <w:szCs w:val="16"/>
              </w:rPr>
              <w:t>Outcome C SS2</w:t>
            </w:r>
          </w:p>
        </w:tc>
      </w:tr>
      <w:tr w:rsidR="009F37D6" w:rsidRPr="009F37D6" w14:paraId="6D70AD4B" w14:textId="77777777" w:rsidTr="009F37D6">
        <w:tc>
          <w:tcPr>
            <w:tcW w:w="1540" w:type="dxa"/>
          </w:tcPr>
          <w:p w14:paraId="613F6D3D" w14:textId="77777777" w:rsidR="009F37D6" w:rsidRPr="009F37D6" w:rsidRDefault="009F37D6" w:rsidP="009F37D6">
            <w:pPr>
              <w:rPr>
                <w:rFonts w:cs="Arial"/>
                <w:b/>
                <w:szCs w:val="16"/>
              </w:rPr>
            </w:pPr>
            <w:r w:rsidRPr="009F37D6">
              <w:rPr>
                <w:rFonts w:cs="Arial"/>
                <w:b/>
                <w:szCs w:val="16"/>
              </w:rPr>
              <w:t>10</w:t>
            </w:r>
          </w:p>
        </w:tc>
        <w:tc>
          <w:tcPr>
            <w:tcW w:w="1540" w:type="dxa"/>
          </w:tcPr>
          <w:p w14:paraId="594E99FF" w14:textId="77777777" w:rsidR="009F37D6" w:rsidRPr="009F37D6" w:rsidRDefault="009F37D6" w:rsidP="009F37D6">
            <w:pPr>
              <w:rPr>
                <w:rFonts w:cs="Arial"/>
                <w:bCs/>
                <w:szCs w:val="16"/>
              </w:rPr>
            </w:pPr>
            <w:r w:rsidRPr="009F37D6">
              <w:rPr>
                <w:rFonts w:cs="Arial"/>
                <w:bCs/>
                <w:szCs w:val="16"/>
              </w:rPr>
              <w:t>43.42%</w:t>
            </w:r>
          </w:p>
        </w:tc>
        <w:tc>
          <w:tcPr>
            <w:tcW w:w="1540" w:type="dxa"/>
          </w:tcPr>
          <w:p w14:paraId="3776A780" w14:textId="77777777" w:rsidR="009F37D6" w:rsidRPr="009F37D6" w:rsidRDefault="009F37D6" w:rsidP="009F37D6">
            <w:pPr>
              <w:rPr>
                <w:rFonts w:cs="Arial"/>
                <w:bCs/>
                <w:szCs w:val="16"/>
              </w:rPr>
            </w:pPr>
            <w:r w:rsidRPr="009F37D6">
              <w:rPr>
                <w:rFonts w:cs="Arial"/>
                <w:bCs/>
                <w:szCs w:val="16"/>
              </w:rPr>
              <w:t>36.60%</w:t>
            </w:r>
          </w:p>
        </w:tc>
        <w:tc>
          <w:tcPr>
            <w:tcW w:w="1540" w:type="dxa"/>
          </w:tcPr>
          <w:p w14:paraId="5E04A780" w14:textId="77777777" w:rsidR="009F37D6" w:rsidRPr="009F37D6" w:rsidRDefault="009F37D6" w:rsidP="009F37D6">
            <w:pPr>
              <w:rPr>
                <w:rFonts w:cs="Arial"/>
                <w:bCs/>
                <w:szCs w:val="16"/>
              </w:rPr>
            </w:pPr>
            <w:r w:rsidRPr="009F37D6">
              <w:rPr>
                <w:rFonts w:cs="Arial"/>
                <w:bCs/>
                <w:szCs w:val="16"/>
              </w:rPr>
              <w:t>54.62%</w:t>
            </w:r>
          </w:p>
        </w:tc>
        <w:tc>
          <w:tcPr>
            <w:tcW w:w="1540" w:type="dxa"/>
          </w:tcPr>
          <w:p w14:paraId="739AB6B5" w14:textId="77777777" w:rsidR="009F37D6" w:rsidRPr="009F37D6" w:rsidRDefault="009F37D6" w:rsidP="009F37D6">
            <w:pPr>
              <w:rPr>
                <w:rFonts w:cs="Arial"/>
                <w:bCs/>
                <w:szCs w:val="16"/>
              </w:rPr>
            </w:pPr>
            <w:r w:rsidRPr="009F37D6">
              <w:rPr>
                <w:rFonts w:cs="Arial"/>
                <w:bCs/>
                <w:szCs w:val="16"/>
              </w:rPr>
              <w:t>29.02%</w:t>
            </w:r>
          </w:p>
        </w:tc>
        <w:tc>
          <w:tcPr>
            <w:tcW w:w="1540" w:type="dxa"/>
          </w:tcPr>
          <w:p w14:paraId="11603C76" w14:textId="77777777" w:rsidR="009F37D6" w:rsidRPr="009F37D6" w:rsidRDefault="009F37D6" w:rsidP="009F37D6">
            <w:pPr>
              <w:rPr>
                <w:rFonts w:cs="Arial"/>
                <w:bCs/>
                <w:szCs w:val="16"/>
              </w:rPr>
            </w:pPr>
            <w:r w:rsidRPr="009F37D6">
              <w:rPr>
                <w:rFonts w:cs="Arial"/>
                <w:bCs/>
                <w:szCs w:val="16"/>
              </w:rPr>
              <w:t>55.14%</w:t>
            </w:r>
          </w:p>
        </w:tc>
        <w:tc>
          <w:tcPr>
            <w:tcW w:w="1540" w:type="dxa"/>
          </w:tcPr>
          <w:p w14:paraId="33FC3457" w14:textId="77777777" w:rsidR="009F37D6" w:rsidRPr="009F37D6" w:rsidRDefault="009F37D6" w:rsidP="009F37D6">
            <w:pPr>
              <w:rPr>
                <w:rFonts w:cs="Arial"/>
                <w:bCs/>
                <w:szCs w:val="16"/>
              </w:rPr>
            </w:pPr>
            <w:r w:rsidRPr="009F37D6">
              <w:rPr>
                <w:rFonts w:cs="Arial"/>
                <w:bCs/>
                <w:szCs w:val="16"/>
              </w:rPr>
              <w:t>36.15%</w:t>
            </w:r>
          </w:p>
        </w:tc>
      </w:tr>
      <w:tr w:rsidR="009F37D6" w:rsidRPr="009F37D6" w14:paraId="5351DBD5" w14:textId="77777777" w:rsidTr="009F37D6">
        <w:tc>
          <w:tcPr>
            <w:tcW w:w="1540" w:type="dxa"/>
          </w:tcPr>
          <w:p w14:paraId="16B4FF39" w14:textId="77777777" w:rsidR="009F37D6" w:rsidRPr="009F37D6" w:rsidRDefault="009F37D6" w:rsidP="009F37D6">
            <w:pPr>
              <w:rPr>
                <w:rFonts w:cs="Arial"/>
                <w:b/>
                <w:szCs w:val="16"/>
              </w:rPr>
            </w:pPr>
            <w:r w:rsidRPr="009F37D6">
              <w:rPr>
                <w:rFonts w:cs="Arial"/>
                <w:b/>
                <w:szCs w:val="16"/>
              </w:rPr>
              <w:t>90</w:t>
            </w:r>
          </w:p>
        </w:tc>
        <w:tc>
          <w:tcPr>
            <w:tcW w:w="1540" w:type="dxa"/>
          </w:tcPr>
          <w:p w14:paraId="38AFF39E" w14:textId="77777777" w:rsidR="009F37D6" w:rsidRPr="009F37D6" w:rsidRDefault="009F37D6" w:rsidP="009F37D6">
            <w:pPr>
              <w:rPr>
                <w:rFonts w:cs="Arial"/>
                <w:bCs/>
                <w:szCs w:val="16"/>
              </w:rPr>
            </w:pPr>
            <w:r w:rsidRPr="009F37D6">
              <w:rPr>
                <w:rFonts w:cs="Arial"/>
                <w:bCs/>
                <w:szCs w:val="16"/>
              </w:rPr>
              <w:t>82.74%</w:t>
            </w:r>
          </w:p>
        </w:tc>
        <w:tc>
          <w:tcPr>
            <w:tcW w:w="1540" w:type="dxa"/>
          </w:tcPr>
          <w:p w14:paraId="5121B9EE" w14:textId="77777777" w:rsidR="009F37D6" w:rsidRPr="009F37D6" w:rsidRDefault="009F37D6" w:rsidP="009F37D6">
            <w:pPr>
              <w:rPr>
                <w:rFonts w:cs="Arial"/>
                <w:bCs/>
                <w:szCs w:val="16"/>
              </w:rPr>
            </w:pPr>
            <w:r w:rsidRPr="009F37D6">
              <w:rPr>
                <w:rFonts w:cs="Arial"/>
                <w:bCs/>
                <w:szCs w:val="16"/>
              </w:rPr>
              <w:t>69.30%</w:t>
            </w:r>
          </w:p>
        </w:tc>
        <w:tc>
          <w:tcPr>
            <w:tcW w:w="1540" w:type="dxa"/>
          </w:tcPr>
          <w:p w14:paraId="15E6CEE2" w14:textId="77777777" w:rsidR="009F37D6" w:rsidRPr="009F37D6" w:rsidRDefault="009F37D6" w:rsidP="009F37D6">
            <w:pPr>
              <w:rPr>
                <w:rFonts w:cs="Arial"/>
                <w:bCs/>
                <w:szCs w:val="16"/>
              </w:rPr>
            </w:pPr>
            <w:r w:rsidRPr="009F37D6">
              <w:rPr>
                <w:rFonts w:cs="Arial"/>
                <w:bCs/>
                <w:szCs w:val="16"/>
              </w:rPr>
              <w:t>79.34%</w:t>
            </w:r>
          </w:p>
        </w:tc>
        <w:tc>
          <w:tcPr>
            <w:tcW w:w="1540" w:type="dxa"/>
          </w:tcPr>
          <w:p w14:paraId="529B6B66" w14:textId="77777777" w:rsidR="009F37D6" w:rsidRPr="009F37D6" w:rsidRDefault="009F37D6" w:rsidP="009F37D6">
            <w:pPr>
              <w:rPr>
                <w:rFonts w:cs="Arial"/>
                <w:bCs/>
                <w:szCs w:val="16"/>
              </w:rPr>
            </w:pPr>
            <w:r w:rsidRPr="009F37D6">
              <w:rPr>
                <w:rFonts w:cs="Arial"/>
                <w:bCs/>
                <w:szCs w:val="16"/>
              </w:rPr>
              <w:t>55.52%</w:t>
            </w:r>
          </w:p>
        </w:tc>
        <w:tc>
          <w:tcPr>
            <w:tcW w:w="1540" w:type="dxa"/>
          </w:tcPr>
          <w:p w14:paraId="2F7403D8" w14:textId="77777777" w:rsidR="009F37D6" w:rsidRPr="009F37D6" w:rsidRDefault="009F37D6" w:rsidP="009F37D6">
            <w:pPr>
              <w:rPr>
                <w:rFonts w:cs="Arial"/>
                <w:bCs/>
                <w:szCs w:val="16"/>
              </w:rPr>
            </w:pPr>
            <w:r w:rsidRPr="009F37D6">
              <w:rPr>
                <w:rFonts w:cs="Arial"/>
                <w:bCs/>
                <w:szCs w:val="16"/>
              </w:rPr>
              <w:t>85.72%</w:t>
            </w:r>
          </w:p>
        </w:tc>
        <w:tc>
          <w:tcPr>
            <w:tcW w:w="1540" w:type="dxa"/>
          </w:tcPr>
          <w:p w14:paraId="10C43C81" w14:textId="77777777" w:rsidR="009F37D6" w:rsidRPr="009F37D6" w:rsidRDefault="009F37D6" w:rsidP="009F37D6">
            <w:pPr>
              <w:rPr>
                <w:rFonts w:cs="Arial"/>
                <w:bCs/>
                <w:szCs w:val="16"/>
              </w:rPr>
            </w:pPr>
            <w:r w:rsidRPr="009F37D6">
              <w:rPr>
                <w:rFonts w:cs="Arial"/>
                <w:bCs/>
                <w:szCs w:val="16"/>
              </w:rPr>
              <w:t>76.15%</w:t>
            </w:r>
          </w:p>
        </w:tc>
      </w:tr>
    </w:tbl>
    <w:p w14:paraId="066B5259" w14:textId="77777777" w:rsidR="009F37D6" w:rsidRPr="009F37D6" w:rsidRDefault="009F37D6" w:rsidP="009F37D6">
      <w:pPr>
        <w:rPr>
          <w:rFonts w:cs="Arial"/>
          <w:b/>
          <w:szCs w:val="16"/>
        </w:rPr>
      </w:pPr>
    </w:p>
    <w:tbl>
      <w:tblPr>
        <w:tblStyle w:val="TableGrid1"/>
        <w:tblW w:w="5006" w:type="pct"/>
        <w:tblLook w:val="04A0" w:firstRow="1" w:lastRow="0" w:firstColumn="1" w:lastColumn="0" w:noHBand="0" w:noVBand="1"/>
        <w:tblCaption w:val="CAPPCSCR"/>
        <w:tblDescription w:val="Data Comparison Score"/>
      </w:tblPr>
      <w:tblGrid>
        <w:gridCol w:w="3163"/>
        <w:gridCol w:w="7640"/>
      </w:tblGrid>
      <w:tr w:rsidR="009F37D6" w:rsidRPr="009F37D6" w14:paraId="07C5CBA1" w14:textId="77777777" w:rsidTr="005B7427">
        <w:tc>
          <w:tcPr>
            <w:tcW w:w="1464" w:type="pct"/>
            <w:hideMark/>
          </w:tcPr>
          <w:p w14:paraId="5E42DD3F" w14:textId="77777777" w:rsidR="009F37D6" w:rsidRPr="009F37D6" w:rsidRDefault="009F37D6" w:rsidP="009F37D6">
            <w:pPr>
              <w:rPr>
                <w:rFonts w:cs="Arial"/>
                <w:b/>
                <w:szCs w:val="16"/>
              </w:rPr>
            </w:pPr>
            <w:r w:rsidRPr="009F37D6">
              <w:rPr>
                <w:rFonts w:cs="Arial"/>
                <w:b/>
                <w:szCs w:val="16"/>
              </w:rPr>
              <w:t>Data Comparison Score</w:t>
            </w:r>
          </w:p>
        </w:tc>
        <w:tc>
          <w:tcPr>
            <w:tcW w:w="3536" w:type="pct"/>
            <w:hideMark/>
          </w:tcPr>
          <w:p w14:paraId="462EAD93" w14:textId="77777777" w:rsidR="009F37D6" w:rsidRPr="009F37D6" w:rsidRDefault="009F37D6" w:rsidP="009F37D6">
            <w:pPr>
              <w:rPr>
                <w:rFonts w:cs="Arial"/>
                <w:b/>
                <w:szCs w:val="16"/>
              </w:rPr>
            </w:pPr>
            <w:r w:rsidRPr="009F37D6">
              <w:rPr>
                <w:rFonts w:cs="Arial"/>
                <w:b/>
                <w:szCs w:val="16"/>
              </w:rPr>
              <w:t>Total Points Received Across SS1 and SS2</w:t>
            </w:r>
          </w:p>
        </w:tc>
      </w:tr>
      <w:tr w:rsidR="009F37D6" w:rsidRPr="009F37D6" w14:paraId="5CCCFDDA" w14:textId="77777777" w:rsidTr="005B7427">
        <w:tc>
          <w:tcPr>
            <w:tcW w:w="1464" w:type="pct"/>
            <w:noWrap/>
            <w:hideMark/>
          </w:tcPr>
          <w:p w14:paraId="4A219031" w14:textId="77777777" w:rsidR="009F37D6" w:rsidRPr="009F37D6" w:rsidRDefault="009F37D6" w:rsidP="009F37D6">
            <w:pPr>
              <w:rPr>
                <w:rFonts w:cs="Arial"/>
                <w:b/>
                <w:szCs w:val="16"/>
              </w:rPr>
            </w:pPr>
            <w:r w:rsidRPr="009F37D6">
              <w:rPr>
                <w:rFonts w:cs="Arial"/>
                <w:b/>
                <w:szCs w:val="16"/>
              </w:rPr>
              <w:t>0</w:t>
            </w:r>
          </w:p>
        </w:tc>
        <w:tc>
          <w:tcPr>
            <w:tcW w:w="3536" w:type="pct"/>
            <w:noWrap/>
            <w:hideMark/>
          </w:tcPr>
          <w:p w14:paraId="04A58431" w14:textId="77777777" w:rsidR="009F37D6" w:rsidRPr="009F37D6" w:rsidRDefault="009F37D6" w:rsidP="009F37D6">
            <w:pPr>
              <w:rPr>
                <w:rFonts w:cs="Arial"/>
                <w:bCs/>
                <w:szCs w:val="16"/>
              </w:rPr>
            </w:pPr>
            <w:r w:rsidRPr="009F37D6">
              <w:rPr>
                <w:rFonts w:cs="Arial"/>
                <w:bCs/>
                <w:szCs w:val="16"/>
              </w:rPr>
              <w:t>0 through 4 points</w:t>
            </w:r>
          </w:p>
        </w:tc>
      </w:tr>
      <w:tr w:rsidR="009F37D6" w:rsidRPr="009F37D6" w14:paraId="4A78BC22" w14:textId="77777777" w:rsidTr="005B7427">
        <w:tc>
          <w:tcPr>
            <w:tcW w:w="1464" w:type="pct"/>
            <w:noWrap/>
            <w:hideMark/>
          </w:tcPr>
          <w:p w14:paraId="3F337AEC" w14:textId="77777777" w:rsidR="009F37D6" w:rsidRPr="009F37D6" w:rsidRDefault="009F37D6" w:rsidP="009F37D6">
            <w:pPr>
              <w:rPr>
                <w:rFonts w:cs="Arial"/>
                <w:b/>
                <w:szCs w:val="16"/>
              </w:rPr>
            </w:pPr>
            <w:r w:rsidRPr="009F37D6">
              <w:rPr>
                <w:rFonts w:cs="Arial"/>
                <w:b/>
                <w:szCs w:val="16"/>
              </w:rPr>
              <w:t>1</w:t>
            </w:r>
          </w:p>
        </w:tc>
        <w:tc>
          <w:tcPr>
            <w:tcW w:w="3536" w:type="pct"/>
            <w:noWrap/>
            <w:hideMark/>
          </w:tcPr>
          <w:p w14:paraId="34FF8AB3" w14:textId="77777777" w:rsidR="009F37D6" w:rsidRPr="009F37D6" w:rsidRDefault="009F37D6" w:rsidP="009F37D6">
            <w:pPr>
              <w:rPr>
                <w:rFonts w:cs="Arial"/>
                <w:bCs/>
                <w:szCs w:val="16"/>
              </w:rPr>
            </w:pPr>
            <w:r w:rsidRPr="009F37D6">
              <w:rPr>
                <w:rFonts w:cs="Arial"/>
                <w:bCs/>
                <w:szCs w:val="16"/>
              </w:rPr>
              <w:t>5 through 8 points</w:t>
            </w:r>
          </w:p>
        </w:tc>
      </w:tr>
      <w:tr w:rsidR="009F37D6" w:rsidRPr="009F37D6" w14:paraId="5C9A633E" w14:textId="77777777" w:rsidTr="005B7427">
        <w:tc>
          <w:tcPr>
            <w:tcW w:w="1464" w:type="pct"/>
            <w:noWrap/>
            <w:hideMark/>
          </w:tcPr>
          <w:p w14:paraId="14D64CA8" w14:textId="77777777" w:rsidR="009F37D6" w:rsidRPr="009F37D6" w:rsidRDefault="009F37D6" w:rsidP="009F37D6">
            <w:pPr>
              <w:rPr>
                <w:rFonts w:cs="Arial"/>
                <w:b/>
                <w:szCs w:val="16"/>
              </w:rPr>
            </w:pPr>
            <w:r w:rsidRPr="009F37D6">
              <w:rPr>
                <w:rFonts w:cs="Arial"/>
                <w:b/>
                <w:szCs w:val="16"/>
              </w:rPr>
              <w:t>2</w:t>
            </w:r>
          </w:p>
        </w:tc>
        <w:tc>
          <w:tcPr>
            <w:tcW w:w="3536" w:type="pct"/>
            <w:noWrap/>
            <w:hideMark/>
          </w:tcPr>
          <w:p w14:paraId="7C477682" w14:textId="77777777" w:rsidR="009F37D6" w:rsidRPr="009F37D6" w:rsidRDefault="009F37D6" w:rsidP="009F37D6">
            <w:pPr>
              <w:rPr>
                <w:rFonts w:cs="Arial"/>
                <w:bCs/>
                <w:szCs w:val="16"/>
              </w:rPr>
            </w:pPr>
            <w:r w:rsidRPr="009F37D6">
              <w:rPr>
                <w:rFonts w:cs="Arial"/>
                <w:bCs/>
                <w:szCs w:val="16"/>
              </w:rPr>
              <w:t>9 through 12 points</w:t>
            </w:r>
          </w:p>
        </w:tc>
      </w:tr>
    </w:tbl>
    <w:p w14:paraId="69838966" w14:textId="77777777" w:rsidR="00A67CEE" w:rsidRDefault="00A67CEE" w:rsidP="009F37D6">
      <w:pPr>
        <w:rPr>
          <w:rFonts w:cs="Arial"/>
          <w:b/>
          <w:bCs/>
          <w:szCs w:val="16"/>
        </w:rPr>
      </w:pPr>
    </w:p>
    <w:p w14:paraId="29DE31D8" w14:textId="1E8182CC" w:rsidR="009F37D6" w:rsidRPr="009F37D6" w:rsidRDefault="009F37D6" w:rsidP="009F37D6">
      <w:pPr>
        <w:rPr>
          <w:rFonts w:cs="Arial"/>
          <w:b/>
          <w:bCs/>
          <w:szCs w:val="16"/>
        </w:rPr>
      </w:pPr>
      <w:r w:rsidRPr="009F37D6">
        <w:rPr>
          <w:rFonts w:cs="Arial"/>
          <w:b/>
          <w:bCs/>
          <w:szCs w:val="16"/>
        </w:rPr>
        <w:t>Your State’s Summary Statement Performance FFY 2021</w:t>
      </w:r>
    </w:p>
    <w:tbl>
      <w:tblPr>
        <w:tblStyle w:val="TableGrid1"/>
        <w:tblW w:w="10790" w:type="dxa"/>
        <w:tblLayout w:type="fixed"/>
        <w:tblLook w:val="04A0" w:firstRow="1" w:lastRow="0" w:firstColumn="1" w:lastColumn="0" w:noHBand="0" w:noVBand="1"/>
        <w:tblCaption w:val="C03STESSP"/>
      </w:tblPr>
      <w:tblGrid>
        <w:gridCol w:w="1541"/>
        <w:gridCol w:w="1541"/>
        <w:gridCol w:w="1542"/>
        <w:gridCol w:w="1541"/>
        <w:gridCol w:w="1542"/>
        <w:gridCol w:w="1541"/>
        <w:gridCol w:w="1542"/>
      </w:tblGrid>
      <w:tr w:rsidR="009F37D6" w:rsidRPr="009F37D6" w14:paraId="004F0D78" w14:textId="77777777" w:rsidTr="004A2E39">
        <w:trPr>
          <w:tblHeader/>
        </w:trPr>
        <w:tc>
          <w:tcPr>
            <w:tcW w:w="1541" w:type="dxa"/>
          </w:tcPr>
          <w:p w14:paraId="4C2AE9A9" w14:textId="77777777" w:rsidR="009F37D6" w:rsidRPr="009F37D6" w:rsidRDefault="009F37D6" w:rsidP="009F37D6">
            <w:pPr>
              <w:rPr>
                <w:rFonts w:cs="Arial"/>
                <w:b/>
                <w:szCs w:val="16"/>
              </w:rPr>
            </w:pPr>
            <w:r w:rsidRPr="009F37D6">
              <w:rPr>
                <w:rFonts w:cs="Arial"/>
                <w:b/>
                <w:szCs w:val="16"/>
              </w:rPr>
              <w:t>Summary Statement (SS)</w:t>
            </w:r>
          </w:p>
        </w:tc>
        <w:tc>
          <w:tcPr>
            <w:tcW w:w="1541" w:type="dxa"/>
          </w:tcPr>
          <w:p w14:paraId="2552C918" w14:textId="77777777" w:rsidR="009F37D6" w:rsidRPr="009F37D6" w:rsidRDefault="009F37D6" w:rsidP="009F37D6">
            <w:pPr>
              <w:rPr>
                <w:rFonts w:cs="Arial"/>
                <w:b/>
                <w:szCs w:val="16"/>
              </w:rPr>
            </w:pPr>
            <w:r w:rsidRPr="009F37D6">
              <w:rPr>
                <w:rFonts w:cs="Arial"/>
                <w:b/>
                <w:szCs w:val="16"/>
              </w:rPr>
              <w:t>Outcome A: Positive Social Relationships SS1</w:t>
            </w:r>
          </w:p>
        </w:tc>
        <w:tc>
          <w:tcPr>
            <w:tcW w:w="1542" w:type="dxa"/>
          </w:tcPr>
          <w:p w14:paraId="73F9693E" w14:textId="77777777" w:rsidR="009F37D6" w:rsidRPr="009F37D6" w:rsidRDefault="009F37D6" w:rsidP="009F37D6">
            <w:pPr>
              <w:rPr>
                <w:rFonts w:cs="Arial"/>
                <w:b/>
                <w:szCs w:val="16"/>
              </w:rPr>
            </w:pPr>
            <w:r w:rsidRPr="009F37D6">
              <w:rPr>
                <w:rFonts w:cs="Arial"/>
                <w:b/>
                <w:szCs w:val="16"/>
              </w:rPr>
              <w:t>Outcome A: Positive Social Relationships SS2</w:t>
            </w:r>
          </w:p>
        </w:tc>
        <w:tc>
          <w:tcPr>
            <w:tcW w:w="1541" w:type="dxa"/>
          </w:tcPr>
          <w:p w14:paraId="42477353" w14:textId="77777777" w:rsidR="009F37D6" w:rsidRPr="009F37D6" w:rsidRDefault="009F37D6" w:rsidP="009F37D6">
            <w:pPr>
              <w:rPr>
                <w:rFonts w:cs="Arial"/>
                <w:b/>
                <w:szCs w:val="16"/>
              </w:rPr>
            </w:pPr>
            <w:r w:rsidRPr="009F37D6">
              <w:rPr>
                <w:rFonts w:cs="Arial"/>
                <w:b/>
                <w:szCs w:val="16"/>
              </w:rPr>
              <w:t>Outcome B: Knowledge and Skills SS1</w:t>
            </w:r>
          </w:p>
        </w:tc>
        <w:tc>
          <w:tcPr>
            <w:tcW w:w="1542" w:type="dxa"/>
          </w:tcPr>
          <w:p w14:paraId="4A1FFE1C" w14:textId="77777777" w:rsidR="009F37D6" w:rsidRPr="009F37D6" w:rsidRDefault="009F37D6" w:rsidP="009F37D6">
            <w:pPr>
              <w:rPr>
                <w:rFonts w:cs="Arial"/>
                <w:b/>
                <w:szCs w:val="16"/>
              </w:rPr>
            </w:pPr>
            <w:r w:rsidRPr="009F37D6">
              <w:rPr>
                <w:rFonts w:cs="Arial"/>
                <w:b/>
                <w:szCs w:val="16"/>
              </w:rPr>
              <w:t>Outcome B: Knowledge and Skills SS2</w:t>
            </w:r>
          </w:p>
        </w:tc>
        <w:tc>
          <w:tcPr>
            <w:tcW w:w="1541" w:type="dxa"/>
          </w:tcPr>
          <w:p w14:paraId="48645289" w14:textId="77777777" w:rsidR="009F37D6" w:rsidRPr="009F37D6" w:rsidRDefault="009F37D6" w:rsidP="009F37D6">
            <w:pPr>
              <w:rPr>
                <w:rFonts w:cs="Arial"/>
                <w:b/>
                <w:szCs w:val="16"/>
              </w:rPr>
            </w:pPr>
            <w:r w:rsidRPr="009F37D6">
              <w:rPr>
                <w:rFonts w:cs="Arial"/>
                <w:b/>
                <w:szCs w:val="16"/>
              </w:rPr>
              <w:t>Outcome C: Actions to meet needs SS1</w:t>
            </w:r>
          </w:p>
        </w:tc>
        <w:tc>
          <w:tcPr>
            <w:tcW w:w="1542" w:type="dxa"/>
          </w:tcPr>
          <w:p w14:paraId="4BBF2DDB" w14:textId="77777777" w:rsidR="009F37D6" w:rsidRPr="009F37D6" w:rsidRDefault="009F37D6" w:rsidP="009F37D6">
            <w:pPr>
              <w:rPr>
                <w:rFonts w:cs="Arial"/>
                <w:b/>
                <w:szCs w:val="16"/>
              </w:rPr>
            </w:pPr>
            <w:r w:rsidRPr="009F37D6">
              <w:rPr>
                <w:rFonts w:cs="Arial"/>
                <w:b/>
                <w:szCs w:val="16"/>
              </w:rPr>
              <w:t>Outcome C: Actions to meet needs SS2</w:t>
            </w:r>
          </w:p>
        </w:tc>
      </w:tr>
      <w:tr w:rsidR="009F37D6" w:rsidRPr="009F37D6" w14:paraId="7D8923E2" w14:textId="77777777" w:rsidTr="00B80BA1">
        <w:tc>
          <w:tcPr>
            <w:tcW w:w="1541" w:type="dxa"/>
          </w:tcPr>
          <w:p w14:paraId="73C45F13" w14:textId="77777777" w:rsidR="009F37D6" w:rsidRPr="009F37D6" w:rsidRDefault="009F37D6" w:rsidP="009F37D6">
            <w:pPr>
              <w:rPr>
                <w:rFonts w:cs="Arial"/>
                <w:b/>
                <w:szCs w:val="16"/>
              </w:rPr>
            </w:pPr>
            <w:r w:rsidRPr="009F37D6">
              <w:rPr>
                <w:rFonts w:cs="Arial"/>
                <w:b/>
                <w:szCs w:val="16"/>
              </w:rPr>
              <w:t>Performance (%)</w:t>
            </w:r>
          </w:p>
        </w:tc>
        <w:tc>
          <w:tcPr>
            <w:tcW w:w="1541" w:type="dxa"/>
          </w:tcPr>
          <w:p w14:paraId="4F805BBB" w14:textId="7CC98BA7" w:rsidR="009F37D6" w:rsidRPr="009F37D6" w:rsidRDefault="009F37D6" w:rsidP="009F37D6">
            <w:pPr>
              <w:rPr>
                <w:rFonts w:cs="Arial"/>
                <w:bCs/>
                <w:szCs w:val="16"/>
              </w:rPr>
            </w:pPr>
            <w:r w:rsidRPr="009F37D6">
              <w:rPr>
                <w:rFonts w:cs="Arial"/>
                <w:bCs/>
                <w:szCs w:val="16"/>
              </w:rPr>
              <w:t>50.06%</w:t>
            </w:r>
          </w:p>
        </w:tc>
        <w:tc>
          <w:tcPr>
            <w:tcW w:w="1542" w:type="dxa"/>
          </w:tcPr>
          <w:p w14:paraId="0A4BF884" w14:textId="147273C9" w:rsidR="009F37D6" w:rsidRPr="009F37D6" w:rsidRDefault="009F37D6" w:rsidP="009F37D6">
            <w:pPr>
              <w:rPr>
                <w:rFonts w:cs="Arial"/>
                <w:bCs/>
                <w:szCs w:val="16"/>
              </w:rPr>
            </w:pPr>
            <w:r w:rsidRPr="009F37D6">
              <w:rPr>
                <w:rFonts w:cs="Arial"/>
                <w:bCs/>
                <w:szCs w:val="16"/>
              </w:rPr>
              <w:t>61.07%</w:t>
            </w:r>
          </w:p>
        </w:tc>
        <w:tc>
          <w:tcPr>
            <w:tcW w:w="1541" w:type="dxa"/>
          </w:tcPr>
          <w:p w14:paraId="1F89A2CB" w14:textId="2D305F3C" w:rsidR="009F37D6" w:rsidRPr="009F37D6" w:rsidRDefault="009F37D6" w:rsidP="009F37D6">
            <w:pPr>
              <w:rPr>
                <w:rFonts w:cs="Arial"/>
                <w:bCs/>
                <w:szCs w:val="16"/>
              </w:rPr>
            </w:pPr>
            <w:r w:rsidRPr="009F37D6">
              <w:rPr>
                <w:rFonts w:cs="Arial"/>
                <w:bCs/>
                <w:szCs w:val="16"/>
              </w:rPr>
              <w:t>75.32%</w:t>
            </w:r>
          </w:p>
        </w:tc>
        <w:tc>
          <w:tcPr>
            <w:tcW w:w="1542" w:type="dxa"/>
          </w:tcPr>
          <w:p w14:paraId="7E36FA1E" w14:textId="3FFCA954" w:rsidR="009F37D6" w:rsidRPr="009F37D6" w:rsidRDefault="009F37D6" w:rsidP="009F37D6">
            <w:pPr>
              <w:rPr>
                <w:rFonts w:cs="Arial"/>
                <w:bCs/>
                <w:szCs w:val="16"/>
              </w:rPr>
            </w:pPr>
            <w:r w:rsidRPr="009F37D6">
              <w:rPr>
                <w:rFonts w:cs="Arial"/>
                <w:bCs/>
                <w:szCs w:val="16"/>
              </w:rPr>
              <w:t>31.24%</w:t>
            </w:r>
          </w:p>
        </w:tc>
        <w:tc>
          <w:tcPr>
            <w:tcW w:w="1541" w:type="dxa"/>
          </w:tcPr>
          <w:p w14:paraId="1E264FD4" w14:textId="18CA2277" w:rsidR="009F37D6" w:rsidRPr="009F37D6" w:rsidRDefault="009F37D6" w:rsidP="009F37D6">
            <w:pPr>
              <w:rPr>
                <w:rFonts w:cs="Arial"/>
                <w:bCs/>
                <w:szCs w:val="16"/>
              </w:rPr>
            </w:pPr>
            <w:r w:rsidRPr="009F37D6">
              <w:rPr>
                <w:rFonts w:cs="Arial"/>
                <w:bCs/>
                <w:szCs w:val="16"/>
              </w:rPr>
              <w:t>86.35%</w:t>
            </w:r>
          </w:p>
        </w:tc>
        <w:tc>
          <w:tcPr>
            <w:tcW w:w="1542" w:type="dxa"/>
          </w:tcPr>
          <w:p w14:paraId="3ED14677" w14:textId="0D242C98" w:rsidR="009F37D6" w:rsidRPr="009F37D6" w:rsidRDefault="009F37D6" w:rsidP="009F37D6">
            <w:pPr>
              <w:rPr>
                <w:rFonts w:cs="Arial"/>
                <w:bCs/>
                <w:szCs w:val="16"/>
              </w:rPr>
            </w:pPr>
            <w:r w:rsidRPr="009F37D6">
              <w:rPr>
                <w:rFonts w:cs="Arial"/>
                <w:bCs/>
                <w:szCs w:val="16"/>
              </w:rPr>
              <w:t>49.31%</w:t>
            </w:r>
          </w:p>
        </w:tc>
      </w:tr>
      <w:tr w:rsidR="009F37D6" w:rsidRPr="009F37D6" w14:paraId="5BB68048" w14:textId="77777777" w:rsidTr="00B80BA1">
        <w:tc>
          <w:tcPr>
            <w:tcW w:w="1541" w:type="dxa"/>
          </w:tcPr>
          <w:p w14:paraId="1132A172" w14:textId="77777777" w:rsidR="009F37D6" w:rsidRPr="009F37D6" w:rsidRDefault="009F37D6" w:rsidP="009F37D6">
            <w:pPr>
              <w:rPr>
                <w:rFonts w:cs="Arial"/>
                <w:b/>
                <w:szCs w:val="16"/>
              </w:rPr>
            </w:pPr>
            <w:r w:rsidRPr="009F37D6">
              <w:rPr>
                <w:rFonts w:cs="Arial"/>
                <w:b/>
                <w:szCs w:val="16"/>
              </w:rPr>
              <w:t>Points</w:t>
            </w:r>
          </w:p>
        </w:tc>
        <w:tc>
          <w:tcPr>
            <w:tcW w:w="1541" w:type="dxa"/>
          </w:tcPr>
          <w:p w14:paraId="5E684E21" w14:textId="77777777" w:rsidR="009F37D6" w:rsidRPr="009F37D6" w:rsidRDefault="009F37D6" w:rsidP="009F37D6">
            <w:pPr>
              <w:rPr>
                <w:rFonts w:cs="Arial"/>
                <w:bCs/>
                <w:szCs w:val="16"/>
              </w:rPr>
            </w:pPr>
            <w:r w:rsidRPr="009F37D6">
              <w:rPr>
                <w:rFonts w:cs="Arial"/>
                <w:bCs/>
                <w:szCs w:val="16"/>
              </w:rPr>
              <w:t>1</w:t>
            </w:r>
          </w:p>
        </w:tc>
        <w:tc>
          <w:tcPr>
            <w:tcW w:w="1542" w:type="dxa"/>
          </w:tcPr>
          <w:p w14:paraId="628A3F46" w14:textId="77777777" w:rsidR="009F37D6" w:rsidRPr="009F37D6" w:rsidRDefault="009F37D6" w:rsidP="009F37D6">
            <w:pPr>
              <w:rPr>
                <w:rFonts w:cs="Arial"/>
                <w:bCs/>
                <w:szCs w:val="16"/>
              </w:rPr>
            </w:pPr>
            <w:r w:rsidRPr="009F37D6">
              <w:rPr>
                <w:rFonts w:cs="Arial"/>
                <w:bCs/>
                <w:szCs w:val="16"/>
              </w:rPr>
              <w:t>1</w:t>
            </w:r>
          </w:p>
        </w:tc>
        <w:tc>
          <w:tcPr>
            <w:tcW w:w="1541" w:type="dxa"/>
          </w:tcPr>
          <w:p w14:paraId="6CAA40DC" w14:textId="77777777" w:rsidR="009F37D6" w:rsidRPr="009F37D6" w:rsidRDefault="009F37D6" w:rsidP="009F37D6">
            <w:pPr>
              <w:rPr>
                <w:rFonts w:cs="Arial"/>
                <w:bCs/>
                <w:szCs w:val="16"/>
              </w:rPr>
            </w:pPr>
            <w:r w:rsidRPr="009F37D6">
              <w:rPr>
                <w:rFonts w:cs="Arial"/>
                <w:bCs/>
                <w:szCs w:val="16"/>
              </w:rPr>
              <w:t>1</w:t>
            </w:r>
          </w:p>
        </w:tc>
        <w:tc>
          <w:tcPr>
            <w:tcW w:w="1542" w:type="dxa"/>
          </w:tcPr>
          <w:p w14:paraId="5A872F5B" w14:textId="77777777" w:rsidR="009F37D6" w:rsidRPr="009F37D6" w:rsidRDefault="009F37D6" w:rsidP="009F37D6">
            <w:pPr>
              <w:rPr>
                <w:rFonts w:cs="Arial"/>
                <w:bCs/>
                <w:szCs w:val="16"/>
              </w:rPr>
            </w:pPr>
            <w:r w:rsidRPr="009F37D6">
              <w:rPr>
                <w:rFonts w:cs="Arial"/>
                <w:bCs/>
                <w:szCs w:val="16"/>
              </w:rPr>
              <w:t>1</w:t>
            </w:r>
          </w:p>
        </w:tc>
        <w:tc>
          <w:tcPr>
            <w:tcW w:w="1541" w:type="dxa"/>
          </w:tcPr>
          <w:p w14:paraId="0F30A495" w14:textId="77777777" w:rsidR="009F37D6" w:rsidRPr="009F37D6" w:rsidRDefault="009F37D6" w:rsidP="009F37D6">
            <w:pPr>
              <w:rPr>
                <w:rFonts w:cs="Arial"/>
                <w:bCs/>
                <w:szCs w:val="16"/>
              </w:rPr>
            </w:pPr>
            <w:r w:rsidRPr="009F37D6">
              <w:rPr>
                <w:rFonts w:cs="Arial"/>
                <w:bCs/>
                <w:szCs w:val="16"/>
              </w:rPr>
              <w:t>2</w:t>
            </w:r>
          </w:p>
        </w:tc>
        <w:tc>
          <w:tcPr>
            <w:tcW w:w="1542" w:type="dxa"/>
          </w:tcPr>
          <w:p w14:paraId="58269888" w14:textId="77777777" w:rsidR="009F37D6" w:rsidRPr="009F37D6" w:rsidRDefault="009F37D6" w:rsidP="009F37D6">
            <w:pPr>
              <w:rPr>
                <w:rFonts w:cs="Arial"/>
                <w:bCs/>
                <w:szCs w:val="16"/>
              </w:rPr>
            </w:pPr>
            <w:r w:rsidRPr="009F37D6">
              <w:rPr>
                <w:rFonts w:cs="Arial"/>
                <w:bCs/>
                <w:szCs w:val="16"/>
              </w:rPr>
              <w:t>1</w:t>
            </w:r>
          </w:p>
        </w:tc>
      </w:tr>
    </w:tbl>
    <w:p w14:paraId="0364330F" w14:textId="77777777" w:rsidR="009F37D6" w:rsidRPr="009F37D6" w:rsidRDefault="009F37D6" w:rsidP="009F37D6">
      <w:pPr>
        <w:rPr>
          <w:rFonts w:cs="Arial"/>
          <w:b/>
          <w:szCs w:val="16"/>
        </w:rPr>
      </w:pPr>
    </w:p>
    <w:tbl>
      <w:tblPr>
        <w:tblStyle w:val="TableGrid1"/>
        <w:tblW w:w="10800" w:type="dxa"/>
        <w:tblLook w:val="04A0" w:firstRow="1" w:lastRow="0" w:firstColumn="1" w:lastColumn="0" w:noHBand="0" w:noVBand="1"/>
        <w:tblCaption w:val="C03SSPTPFNL"/>
      </w:tblPr>
      <w:tblGrid>
        <w:gridCol w:w="5400"/>
        <w:gridCol w:w="5400"/>
      </w:tblGrid>
      <w:tr w:rsidR="009F37D6" w:rsidRPr="009F37D6" w14:paraId="59592056" w14:textId="77777777" w:rsidTr="00B80BA1">
        <w:tc>
          <w:tcPr>
            <w:tcW w:w="5400" w:type="dxa"/>
          </w:tcPr>
          <w:p w14:paraId="36078551" w14:textId="77777777" w:rsidR="009F37D6" w:rsidRPr="009F37D6" w:rsidRDefault="009F37D6" w:rsidP="009F37D6">
            <w:pPr>
              <w:rPr>
                <w:rFonts w:cs="Arial"/>
                <w:b/>
                <w:szCs w:val="16"/>
              </w:rPr>
            </w:pPr>
            <w:r w:rsidRPr="009F37D6">
              <w:rPr>
                <w:rFonts w:cs="Arial"/>
                <w:b/>
                <w:szCs w:val="16"/>
              </w:rPr>
              <w:t>Total Points Across SS1 and SS2(*)</w:t>
            </w:r>
          </w:p>
        </w:tc>
        <w:tc>
          <w:tcPr>
            <w:tcW w:w="5400" w:type="dxa"/>
          </w:tcPr>
          <w:p w14:paraId="5992371C" w14:textId="77777777" w:rsidR="009F37D6" w:rsidRPr="009F37D6" w:rsidRDefault="009F37D6" w:rsidP="009F37D6">
            <w:pPr>
              <w:rPr>
                <w:rFonts w:cs="Arial"/>
                <w:bCs/>
                <w:szCs w:val="16"/>
              </w:rPr>
            </w:pPr>
            <w:r w:rsidRPr="009F37D6">
              <w:rPr>
                <w:rFonts w:cs="Arial"/>
                <w:bCs/>
                <w:szCs w:val="16"/>
              </w:rPr>
              <w:t>7</w:t>
            </w:r>
          </w:p>
        </w:tc>
      </w:tr>
    </w:tbl>
    <w:p w14:paraId="4B3A640D" w14:textId="77777777" w:rsidR="009F37D6" w:rsidRPr="009F37D6" w:rsidRDefault="009F37D6" w:rsidP="009F37D6">
      <w:pPr>
        <w:rPr>
          <w:rFonts w:cs="Arial"/>
          <w:b/>
          <w:szCs w:val="16"/>
        </w:rPr>
      </w:pPr>
    </w:p>
    <w:tbl>
      <w:tblPr>
        <w:tblStyle w:val="TableGrid1"/>
        <w:tblW w:w="10800" w:type="dxa"/>
        <w:tblLook w:val="04A0" w:firstRow="1" w:lastRow="0" w:firstColumn="1" w:lastColumn="0" w:noHBand="0" w:noVBand="1"/>
        <w:tblCaption w:val="C03STECOMPFNL"/>
      </w:tblPr>
      <w:tblGrid>
        <w:gridCol w:w="5400"/>
        <w:gridCol w:w="5400"/>
      </w:tblGrid>
      <w:tr w:rsidR="009F37D6" w:rsidRPr="009F37D6" w14:paraId="4E1197DE" w14:textId="77777777" w:rsidTr="00B80BA1">
        <w:tc>
          <w:tcPr>
            <w:tcW w:w="5400" w:type="dxa"/>
          </w:tcPr>
          <w:p w14:paraId="1A1D1447" w14:textId="77777777" w:rsidR="009F37D6" w:rsidRPr="009F37D6" w:rsidRDefault="009F37D6" w:rsidP="009F37D6">
            <w:pPr>
              <w:rPr>
                <w:rFonts w:cs="Arial"/>
                <w:b/>
                <w:szCs w:val="16"/>
              </w:rPr>
            </w:pPr>
            <w:r w:rsidRPr="009F37D6">
              <w:rPr>
                <w:rFonts w:cs="Arial"/>
                <w:b/>
                <w:szCs w:val="16"/>
              </w:rPr>
              <w:t>Your State’s Data Comparison Score</w:t>
            </w:r>
          </w:p>
        </w:tc>
        <w:tc>
          <w:tcPr>
            <w:tcW w:w="5400" w:type="dxa"/>
          </w:tcPr>
          <w:p w14:paraId="689F9B31" w14:textId="77777777" w:rsidR="009F37D6" w:rsidRPr="009F37D6" w:rsidRDefault="009F37D6" w:rsidP="009F37D6">
            <w:pPr>
              <w:rPr>
                <w:rFonts w:cs="Arial"/>
                <w:bCs/>
                <w:szCs w:val="16"/>
              </w:rPr>
            </w:pPr>
            <w:r w:rsidRPr="009F37D6">
              <w:rPr>
                <w:rFonts w:cs="Arial"/>
                <w:bCs/>
                <w:szCs w:val="16"/>
              </w:rPr>
              <w:t>1</w:t>
            </w:r>
          </w:p>
        </w:tc>
      </w:tr>
    </w:tbl>
    <w:p w14:paraId="5B723B46" w14:textId="07471B67" w:rsidR="002E52E1" w:rsidRDefault="002E52E1" w:rsidP="001E51FC">
      <w:pPr>
        <w:rPr>
          <w:rFonts w:cs="Arial"/>
          <w:b/>
          <w:bCs/>
          <w:szCs w:val="16"/>
        </w:rPr>
      </w:pPr>
    </w:p>
    <w:p w14:paraId="691FE2A7" w14:textId="7F3ECCF1" w:rsidR="006D2754" w:rsidRDefault="002E52E1" w:rsidP="002E52E1">
      <w:pPr>
        <w:spacing w:before="0" w:after="200" w:line="276" w:lineRule="auto"/>
        <w:rPr>
          <w:rFonts w:cs="Arial"/>
          <w:b/>
          <w:bCs/>
          <w:szCs w:val="16"/>
        </w:rPr>
      </w:pPr>
      <w:r>
        <w:rPr>
          <w:rFonts w:cs="Arial"/>
          <w:b/>
          <w:bCs/>
          <w:szCs w:val="16"/>
        </w:rPr>
        <w:br w:type="page"/>
      </w:r>
    </w:p>
    <w:p w14:paraId="0FC96435" w14:textId="4858C119" w:rsidR="001E51FC" w:rsidRPr="001E51FC" w:rsidRDefault="001E51FC" w:rsidP="001E51FC">
      <w:pPr>
        <w:rPr>
          <w:rFonts w:cs="Arial"/>
          <w:b/>
          <w:bCs/>
          <w:szCs w:val="16"/>
        </w:rPr>
      </w:pPr>
      <w:r w:rsidRPr="001E51FC">
        <w:rPr>
          <w:rFonts w:cs="Arial"/>
          <w:b/>
          <w:bCs/>
          <w:szCs w:val="16"/>
        </w:rPr>
        <w:lastRenderedPageBreak/>
        <w:t>Appendix D</w:t>
      </w:r>
    </w:p>
    <w:p w14:paraId="5F13077F" w14:textId="77777777" w:rsidR="00A67CEE" w:rsidRDefault="00A67CEE" w:rsidP="001E51FC">
      <w:pPr>
        <w:rPr>
          <w:rFonts w:cs="Arial"/>
          <w:b/>
          <w:bCs/>
          <w:szCs w:val="16"/>
        </w:rPr>
      </w:pPr>
    </w:p>
    <w:p w14:paraId="763323B9" w14:textId="77777777" w:rsidR="00A67CEE" w:rsidRDefault="001E51FC" w:rsidP="001E51FC">
      <w:pPr>
        <w:rPr>
          <w:rFonts w:cs="Arial"/>
          <w:b/>
          <w:bCs/>
          <w:szCs w:val="16"/>
        </w:rPr>
      </w:pPr>
      <w:r w:rsidRPr="001E51FC">
        <w:rPr>
          <w:rFonts w:cs="Arial"/>
          <w:b/>
          <w:bCs/>
          <w:szCs w:val="16"/>
        </w:rPr>
        <w:t xml:space="preserve">II. (b) Performance Change Over Time: </w:t>
      </w:r>
    </w:p>
    <w:p w14:paraId="3C16071E" w14:textId="154AEB57" w:rsidR="001E51FC" w:rsidRPr="001E51FC" w:rsidRDefault="001E51FC" w:rsidP="001E51FC">
      <w:pPr>
        <w:rPr>
          <w:rFonts w:cs="Arial"/>
          <w:b/>
          <w:bCs/>
          <w:szCs w:val="16"/>
        </w:rPr>
      </w:pPr>
      <w:r w:rsidRPr="001E51FC">
        <w:rPr>
          <w:rFonts w:cs="Arial"/>
          <w:b/>
          <w:bCs/>
          <w:szCs w:val="16"/>
        </w:rPr>
        <w:t>Comparing your State’s FFY 2021 data to your State’s FFY 2020 data</w:t>
      </w:r>
    </w:p>
    <w:p w14:paraId="341BD6C7" w14:textId="3AD128A8" w:rsidR="001E51FC" w:rsidRPr="00A67CEE" w:rsidRDefault="001E51FC" w:rsidP="001E51FC">
      <w:pPr>
        <w:rPr>
          <w:rFonts w:cs="Arial"/>
          <w:bCs/>
          <w:szCs w:val="16"/>
        </w:rPr>
      </w:pPr>
      <w:r w:rsidRPr="00A67CEE">
        <w:rPr>
          <w:rFonts w:cs="Arial"/>
          <w:bCs/>
          <w:szCs w:val="16"/>
        </w:rPr>
        <w:t>The Summary Statement percentages in each Outcomes Area from the previous year’s reporting (FFY 2020) is compared to the current year (FFY 2021) using the test of proportional difference to determine whether there is a statistically significant (or meaningful) growth or decline in child achievement based upon a significance level of p&lt;=.05. The data in each Outcome Area is assigned a value of 0 if there was a statistically significant decrease from one year to the next, a value of 1 if there was no significant change, and a value of 2 if there was a statistically significant increase across the years. The scores from all 6 Outcome Areas are totaled, resulting in a score from 0 – 12. The Overall Performance Change Score for this results element of ‘0’, ‘1’, or ‘2’ for each State is based on the total points awarded. Where OSEP has approved a State’s reestablishment of its Indicator C3 Outcome Area baseline data the State received a score of ‘N/A’ for this element.</w:t>
      </w:r>
    </w:p>
    <w:p w14:paraId="6CB65421" w14:textId="77777777" w:rsidR="00A67CEE" w:rsidRDefault="00A67CEE" w:rsidP="001E51FC">
      <w:pPr>
        <w:rPr>
          <w:rFonts w:cs="Arial"/>
          <w:b/>
          <w:bCs/>
          <w:szCs w:val="16"/>
        </w:rPr>
      </w:pPr>
    </w:p>
    <w:p w14:paraId="2B0B51B5" w14:textId="6E707E9E" w:rsidR="001E51FC" w:rsidRPr="001E51FC" w:rsidRDefault="001E51FC" w:rsidP="001E51FC">
      <w:pPr>
        <w:rPr>
          <w:rFonts w:cs="Arial"/>
          <w:b/>
          <w:bCs/>
          <w:szCs w:val="16"/>
        </w:rPr>
      </w:pPr>
      <w:r w:rsidRPr="001E51FC">
        <w:rPr>
          <w:rFonts w:cs="Arial"/>
          <w:b/>
          <w:bCs/>
          <w:szCs w:val="16"/>
        </w:rPr>
        <w:t>Test of Proportional Difference Calculation Overview</w:t>
      </w:r>
    </w:p>
    <w:p w14:paraId="6C4A562E" w14:textId="77777777" w:rsidR="001E51FC" w:rsidRPr="00A67CEE" w:rsidRDefault="001E51FC" w:rsidP="001E51FC">
      <w:pPr>
        <w:rPr>
          <w:rFonts w:cs="Arial"/>
          <w:bCs/>
          <w:szCs w:val="16"/>
        </w:rPr>
      </w:pPr>
      <w:r w:rsidRPr="00A67CEE">
        <w:rPr>
          <w:rFonts w:cs="Arial"/>
          <w:bCs/>
          <w:szCs w:val="16"/>
        </w:rPr>
        <w:t>The summary statement percentages from the previous year’s reporting were compared to the current year using an accepted formula (test of proportional difference) to determine whether the difference between the two percentages is statistically significant (or meaningful), based upon a significance level of p&lt;=.05. The statistical test has several steps.</w:t>
      </w:r>
    </w:p>
    <w:p w14:paraId="0BBD088B" w14:textId="77777777" w:rsidR="00A67CEE" w:rsidRDefault="00A67CEE" w:rsidP="001E51FC">
      <w:pPr>
        <w:rPr>
          <w:rFonts w:cs="Arial"/>
          <w:bCs/>
          <w:szCs w:val="16"/>
        </w:rPr>
      </w:pPr>
    </w:p>
    <w:p w14:paraId="373542AE" w14:textId="77777777" w:rsidR="007B0FF2" w:rsidRPr="00A67CEE" w:rsidRDefault="007B0FF2" w:rsidP="007B0FF2">
      <w:pPr>
        <w:rPr>
          <w:rFonts w:cs="Arial"/>
          <w:bCs/>
          <w:szCs w:val="16"/>
        </w:rPr>
      </w:pPr>
      <w:r w:rsidRPr="00A67CEE">
        <w:rPr>
          <w:rFonts w:cs="Arial"/>
          <w:bCs/>
          <w:szCs w:val="16"/>
        </w:rPr>
        <w:t>Step 1: Compute the difference between the FFY 2021 and FFY 2020 summary statements.</w:t>
      </w:r>
    </w:p>
    <w:p w14:paraId="114BDD3D" w14:textId="77777777" w:rsidR="007B0FF2" w:rsidRPr="00A67CEE" w:rsidRDefault="007B0FF2" w:rsidP="007B0FF2">
      <w:pPr>
        <w:ind w:firstLine="720"/>
        <w:rPr>
          <w:rFonts w:cs="Arial"/>
          <w:bCs/>
          <w:szCs w:val="16"/>
        </w:rPr>
      </w:pPr>
      <w:r w:rsidRPr="00A67CEE">
        <w:rPr>
          <w:rFonts w:cs="Arial"/>
          <w:bCs/>
          <w:szCs w:val="16"/>
        </w:rPr>
        <w:t>e.g., C3A FFY2021% - C3A FFY2020% = Difference in proportions</w:t>
      </w:r>
    </w:p>
    <w:p w14:paraId="26732057" w14:textId="77777777" w:rsidR="007B0FF2" w:rsidRDefault="007B0FF2" w:rsidP="007B0FF2">
      <w:pPr>
        <w:rPr>
          <w:rFonts w:cs="Arial"/>
          <w:bCs/>
          <w:szCs w:val="16"/>
        </w:rPr>
      </w:pPr>
    </w:p>
    <w:p w14:paraId="4E6FA3E0" w14:textId="5E6A0D45" w:rsidR="006F3905" w:rsidRPr="006F3905" w:rsidRDefault="007B0FF2" w:rsidP="006F3905">
      <w:pPr>
        <w:spacing w:after="120"/>
        <w:ind w:left="720" w:hanging="720"/>
        <w:rPr>
          <w:rFonts w:cs="Arial"/>
          <w:szCs w:val="16"/>
        </w:rPr>
      </w:pPr>
      <w:r w:rsidRPr="00A67CEE">
        <w:rPr>
          <w:rFonts w:cs="Arial"/>
          <w:bCs/>
          <w:szCs w:val="16"/>
        </w:rPr>
        <w:t>Step 2:</w:t>
      </w:r>
      <w:r w:rsidR="006F3905">
        <w:rPr>
          <w:rFonts w:cs="Arial"/>
          <w:bCs/>
          <w:szCs w:val="16"/>
        </w:rPr>
        <w:t xml:space="preserve"> </w:t>
      </w:r>
      <w:r w:rsidRPr="006F3905">
        <w:rPr>
          <w:rFonts w:cs="Arial"/>
          <w:szCs w:val="16"/>
        </w:rPr>
        <w:t>Compute the standard error of the difference in proportions using the following formula which takes into account the value of the summary statement from both years and the number of children that the summary statement is based on</w:t>
      </w:r>
      <w:r w:rsidRPr="001C4B22">
        <w:rPr>
          <w:rFonts w:cs="Arial"/>
          <w:szCs w:val="16"/>
          <w:vertAlign w:val="superscript"/>
        </w:rPr>
        <w:footnoteReference w:id="11"/>
      </w:r>
    </w:p>
    <w:p w14:paraId="54D4DC4A" w14:textId="46E9E955" w:rsidR="007B0FF2" w:rsidRPr="006F3905" w:rsidRDefault="006F3905" w:rsidP="006F3905">
      <w:pPr>
        <w:ind w:left="720"/>
        <w:rPr>
          <w:rFonts w:cs="Arial"/>
          <w:color w:val="000000" w:themeColor="text1"/>
          <w:szCs w:val="16"/>
        </w:rPr>
      </w:pPr>
      <w:r w:rsidRPr="001C4B22">
        <w:rPr>
          <w:rFonts w:cs="Arial"/>
          <w:color w:val="000000" w:themeColor="text1"/>
          <w:szCs w:val="16"/>
        </w:rPr>
        <w:t xml:space="preserve">Sqrt[([FFY2021% * (1-FFY2021%)] / FFY2021N) + ([FFY2022% * (1-FFY2022%)] / FFY2022N)] = </w:t>
      </w:r>
      <w:r w:rsidRPr="006F3905">
        <w:rPr>
          <w:rFonts w:cs="Arial"/>
          <w:color w:val="000000" w:themeColor="text1"/>
          <w:szCs w:val="16"/>
        </w:rPr>
        <w:t>S</w:t>
      </w:r>
      <w:r w:rsidR="007B0FF2" w:rsidRPr="001C4B22">
        <w:rPr>
          <w:rFonts w:cs="Arial"/>
          <w:color w:val="000000" w:themeColor="text1"/>
          <w:szCs w:val="16"/>
        </w:rPr>
        <w:t>tandard Error of Difference in Proportions</w:t>
      </w:r>
    </w:p>
    <w:p w14:paraId="6B46120F" w14:textId="77777777" w:rsidR="006F3905" w:rsidRPr="001C4B22" w:rsidRDefault="006F3905" w:rsidP="001C4B22">
      <w:pPr>
        <w:ind w:left="720"/>
        <w:rPr>
          <w:rFonts w:cs="Arial"/>
          <w:color w:val="000000" w:themeColor="text1"/>
          <w:szCs w:val="16"/>
        </w:rPr>
      </w:pPr>
    </w:p>
    <w:p w14:paraId="0513F5FA" w14:textId="77777777" w:rsidR="007B0FF2" w:rsidRPr="00A67CEE" w:rsidRDefault="007B0FF2" w:rsidP="007B0FF2">
      <w:pPr>
        <w:rPr>
          <w:rFonts w:cs="Arial"/>
          <w:bCs/>
          <w:szCs w:val="16"/>
        </w:rPr>
      </w:pPr>
      <w:r w:rsidRPr="006F3905">
        <w:rPr>
          <w:rFonts w:cs="Arial"/>
          <w:bCs/>
          <w:szCs w:val="16"/>
        </w:rPr>
        <w:t>Step 3: The difference in</w:t>
      </w:r>
      <w:r w:rsidRPr="00A67CEE">
        <w:rPr>
          <w:rFonts w:cs="Arial"/>
          <w:bCs/>
          <w:szCs w:val="16"/>
        </w:rPr>
        <w:t xml:space="preserve"> proportions is then divided by the standard error of the difference to compute a z score. </w:t>
      </w:r>
    </w:p>
    <w:p w14:paraId="69D02B4B" w14:textId="77777777" w:rsidR="007B0FF2" w:rsidRPr="00A67CEE" w:rsidRDefault="007B0FF2" w:rsidP="007B0FF2">
      <w:pPr>
        <w:ind w:firstLine="720"/>
        <w:rPr>
          <w:rFonts w:cs="Arial"/>
          <w:bCs/>
          <w:szCs w:val="16"/>
        </w:rPr>
      </w:pPr>
      <w:r w:rsidRPr="00A67CEE">
        <w:rPr>
          <w:rFonts w:cs="Arial"/>
          <w:bCs/>
          <w:szCs w:val="16"/>
        </w:rPr>
        <w:t>Difference in proportions /standard error of the difference in proportions = z score </w:t>
      </w:r>
    </w:p>
    <w:p w14:paraId="7219D447" w14:textId="77777777" w:rsidR="007B0FF2" w:rsidRDefault="007B0FF2" w:rsidP="007B0FF2">
      <w:pPr>
        <w:rPr>
          <w:rFonts w:cs="Arial"/>
          <w:bCs/>
          <w:szCs w:val="16"/>
        </w:rPr>
      </w:pPr>
    </w:p>
    <w:p w14:paraId="63F1A78B" w14:textId="77777777" w:rsidR="007B0FF2" w:rsidRPr="00A67CEE" w:rsidRDefault="007B0FF2" w:rsidP="007B0FF2">
      <w:pPr>
        <w:rPr>
          <w:rFonts w:cs="Arial"/>
          <w:bCs/>
          <w:szCs w:val="16"/>
        </w:rPr>
      </w:pPr>
      <w:r w:rsidRPr="00A67CEE">
        <w:rPr>
          <w:rFonts w:cs="Arial"/>
          <w:bCs/>
          <w:szCs w:val="16"/>
        </w:rPr>
        <w:t xml:space="preserve">Step 4: The statistical significance of the z score is located within a table and the </w:t>
      </w:r>
      <w:r w:rsidRPr="00A67CEE">
        <w:rPr>
          <w:rFonts w:cs="Arial"/>
          <w:bCs/>
          <w:i/>
          <w:iCs/>
          <w:szCs w:val="16"/>
        </w:rPr>
        <w:t>p</w:t>
      </w:r>
      <w:r w:rsidRPr="00A67CEE">
        <w:rPr>
          <w:rFonts w:cs="Arial"/>
          <w:bCs/>
          <w:szCs w:val="16"/>
        </w:rPr>
        <w:t xml:space="preserve"> value is determined. </w:t>
      </w:r>
    </w:p>
    <w:p w14:paraId="48B57429" w14:textId="77777777" w:rsidR="007B0FF2" w:rsidRDefault="007B0FF2" w:rsidP="007B0FF2">
      <w:pPr>
        <w:rPr>
          <w:rFonts w:cs="Arial"/>
          <w:bCs/>
          <w:szCs w:val="16"/>
        </w:rPr>
      </w:pPr>
    </w:p>
    <w:p w14:paraId="74361B9D" w14:textId="77777777" w:rsidR="007B0FF2" w:rsidRDefault="007B0FF2" w:rsidP="007B0FF2">
      <w:pPr>
        <w:rPr>
          <w:rFonts w:cs="Arial"/>
          <w:bCs/>
          <w:szCs w:val="16"/>
        </w:rPr>
      </w:pPr>
      <w:r w:rsidRPr="00A67CEE">
        <w:rPr>
          <w:rFonts w:cs="Arial"/>
          <w:bCs/>
          <w:szCs w:val="16"/>
        </w:rPr>
        <w:t xml:space="preserve">Step 5: The difference in proportions is coded as statistically significant if the </w:t>
      </w:r>
      <w:r w:rsidRPr="00A67CEE">
        <w:rPr>
          <w:rFonts w:cs="Arial"/>
          <w:bCs/>
          <w:i/>
          <w:iCs/>
          <w:szCs w:val="16"/>
        </w:rPr>
        <w:t xml:space="preserve">p </w:t>
      </w:r>
      <w:r w:rsidRPr="00A67CEE">
        <w:rPr>
          <w:rFonts w:cs="Arial"/>
          <w:bCs/>
          <w:szCs w:val="16"/>
        </w:rPr>
        <w:t>value is it is less than or equal to .05.</w:t>
      </w:r>
    </w:p>
    <w:p w14:paraId="5ACE4441" w14:textId="77777777" w:rsidR="007B0FF2" w:rsidRPr="00333DBB" w:rsidRDefault="007B0FF2" w:rsidP="007B0FF2">
      <w:pPr>
        <w:rPr>
          <w:rFonts w:cs="Arial"/>
          <w:bCs/>
          <w:sz w:val="14"/>
          <w:szCs w:val="14"/>
        </w:rPr>
      </w:pPr>
    </w:p>
    <w:p w14:paraId="361D52F2" w14:textId="77777777" w:rsidR="007B0FF2" w:rsidRPr="00333DBB" w:rsidRDefault="007B0FF2" w:rsidP="007B0FF2">
      <w:pPr>
        <w:spacing w:after="0"/>
        <w:ind w:left="720" w:hanging="720"/>
        <w:rPr>
          <w:szCs w:val="16"/>
        </w:rPr>
      </w:pPr>
      <w:r w:rsidRPr="00333DBB">
        <w:rPr>
          <w:szCs w:val="16"/>
        </w:rPr>
        <w:t>Step 6: Information about the statistical significance of the change and the direction of the change are combined to arrive at a score for the summary statement using the following criteria</w:t>
      </w:r>
    </w:p>
    <w:p w14:paraId="1E03E5E2" w14:textId="77777777" w:rsidR="007B0FF2" w:rsidRPr="00333DBB" w:rsidRDefault="007B0FF2" w:rsidP="007B0FF2">
      <w:pPr>
        <w:spacing w:after="0"/>
        <w:ind w:left="720"/>
        <w:rPr>
          <w:szCs w:val="16"/>
        </w:rPr>
      </w:pPr>
      <w:r w:rsidRPr="00333DBB">
        <w:rPr>
          <w:szCs w:val="16"/>
        </w:rPr>
        <w:t>0 = statistically significant decrease from FFY 2020 to FFY 2021</w:t>
      </w:r>
    </w:p>
    <w:p w14:paraId="1696CC05" w14:textId="77777777" w:rsidR="007B0FF2" w:rsidRPr="00333DBB" w:rsidRDefault="007B0FF2" w:rsidP="007B0FF2">
      <w:pPr>
        <w:spacing w:after="0"/>
        <w:ind w:left="720"/>
        <w:rPr>
          <w:szCs w:val="16"/>
        </w:rPr>
      </w:pPr>
      <w:r w:rsidRPr="00333DBB">
        <w:rPr>
          <w:szCs w:val="16"/>
        </w:rPr>
        <w:t>1 = No statistically significant change</w:t>
      </w:r>
    </w:p>
    <w:p w14:paraId="321DA925" w14:textId="77777777" w:rsidR="007B0FF2" w:rsidRPr="00333DBB" w:rsidRDefault="007B0FF2" w:rsidP="007B0FF2">
      <w:pPr>
        <w:ind w:left="720"/>
        <w:rPr>
          <w:szCs w:val="16"/>
        </w:rPr>
      </w:pPr>
      <w:r w:rsidRPr="00333DBB">
        <w:rPr>
          <w:szCs w:val="16"/>
        </w:rPr>
        <w:t>2= statistically significant increase from FFY 2020 to FFY 2021</w:t>
      </w:r>
    </w:p>
    <w:p w14:paraId="36EEB54D" w14:textId="77777777" w:rsidR="007B0FF2" w:rsidRDefault="007B0FF2" w:rsidP="007B0FF2">
      <w:pPr>
        <w:rPr>
          <w:rFonts w:cs="Arial"/>
          <w:bCs/>
          <w:szCs w:val="16"/>
        </w:rPr>
      </w:pPr>
    </w:p>
    <w:p w14:paraId="7EAE2209" w14:textId="77777777" w:rsidR="007B0FF2" w:rsidRPr="00333DBB" w:rsidRDefault="007B0FF2" w:rsidP="007B0FF2">
      <w:pPr>
        <w:spacing w:after="120"/>
        <w:ind w:left="720" w:hanging="720"/>
        <w:rPr>
          <w:szCs w:val="16"/>
        </w:rPr>
      </w:pPr>
      <w:r w:rsidRPr="00333DBB">
        <w:rPr>
          <w:szCs w:val="16"/>
        </w:rPr>
        <w:t>Step 7: The score for each summary statement and outcome is summed to create a total score with a minimum of 0 and a maximum of 12. The score for the test of proportional difference is assigned a score for the Indicator 3 Overall Performance Change Score based on the following cut points:</w:t>
      </w:r>
    </w:p>
    <w:p w14:paraId="642FF550" w14:textId="77777777" w:rsidR="00A67CEE" w:rsidRPr="001E51FC" w:rsidRDefault="00A67CEE" w:rsidP="001E51FC">
      <w:pPr>
        <w:rPr>
          <w:rFonts w:cs="Arial"/>
          <w:b/>
          <w:szCs w:val="16"/>
        </w:rPr>
      </w:pPr>
    </w:p>
    <w:tbl>
      <w:tblPr>
        <w:tblStyle w:val="TableGrid1"/>
        <w:tblW w:w="5010" w:type="pct"/>
        <w:tblLook w:val="04A0" w:firstRow="1" w:lastRow="0" w:firstColumn="1" w:lastColumn="0" w:noHBand="0" w:noVBand="1"/>
        <w:tblCaption w:val="CAPPDSCR"/>
        <w:tblDescription w:val="Indicator 2 Overall Performance Change Score"/>
      </w:tblPr>
      <w:tblGrid>
        <w:gridCol w:w="3955"/>
        <w:gridCol w:w="6857"/>
      </w:tblGrid>
      <w:tr w:rsidR="001E51FC" w:rsidRPr="001E51FC" w14:paraId="37490DAE" w14:textId="77777777" w:rsidTr="00B05769">
        <w:tc>
          <w:tcPr>
            <w:tcW w:w="1829" w:type="pct"/>
            <w:hideMark/>
          </w:tcPr>
          <w:p w14:paraId="0865BD08" w14:textId="77777777" w:rsidR="001E51FC" w:rsidRPr="001E51FC" w:rsidRDefault="001E51FC" w:rsidP="001E51FC">
            <w:pPr>
              <w:rPr>
                <w:rFonts w:cs="Arial"/>
                <w:b/>
                <w:szCs w:val="16"/>
              </w:rPr>
            </w:pPr>
            <w:r w:rsidRPr="001E51FC">
              <w:rPr>
                <w:rFonts w:cs="Arial"/>
                <w:b/>
                <w:szCs w:val="16"/>
              </w:rPr>
              <w:t>Indicator 3 Overall Performance Change Score</w:t>
            </w:r>
          </w:p>
        </w:tc>
        <w:tc>
          <w:tcPr>
            <w:tcW w:w="3171" w:type="pct"/>
            <w:hideMark/>
          </w:tcPr>
          <w:p w14:paraId="42119334" w14:textId="77777777" w:rsidR="001E51FC" w:rsidRPr="001E51FC" w:rsidRDefault="001E51FC" w:rsidP="001E51FC">
            <w:pPr>
              <w:rPr>
                <w:rFonts w:cs="Arial"/>
                <w:b/>
                <w:szCs w:val="16"/>
              </w:rPr>
            </w:pPr>
            <w:r w:rsidRPr="001E51FC">
              <w:rPr>
                <w:rFonts w:cs="Arial"/>
                <w:b/>
                <w:szCs w:val="16"/>
              </w:rPr>
              <w:t>Cut Points for Change Over Time in Summary Statements Total Score</w:t>
            </w:r>
          </w:p>
        </w:tc>
      </w:tr>
      <w:tr w:rsidR="001E51FC" w:rsidRPr="001E51FC" w14:paraId="40A5B386" w14:textId="77777777" w:rsidTr="00B05769">
        <w:tc>
          <w:tcPr>
            <w:tcW w:w="1829" w:type="pct"/>
            <w:noWrap/>
            <w:hideMark/>
          </w:tcPr>
          <w:p w14:paraId="089E933F" w14:textId="77777777" w:rsidR="001E51FC" w:rsidRPr="001E51FC" w:rsidRDefault="001E51FC" w:rsidP="00B05769">
            <w:pPr>
              <w:jc w:val="center"/>
              <w:rPr>
                <w:rFonts w:cs="Arial"/>
                <w:b/>
                <w:szCs w:val="16"/>
              </w:rPr>
            </w:pPr>
            <w:r w:rsidRPr="001E51FC">
              <w:rPr>
                <w:rFonts w:cs="Arial"/>
                <w:b/>
                <w:szCs w:val="16"/>
              </w:rPr>
              <w:t>0</w:t>
            </w:r>
          </w:p>
        </w:tc>
        <w:tc>
          <w:tcPr>
            <w:tcW w:w="3171" w:type="pct"/>
            <w:noWrap/>
            <w:hideMark/>
          </w:tcPr>
          <w:p w14:paraId="468392DB" w14:textId="77777777" w:rsidR="001E51FC" w:rsidRPr="001E51FC" w:rsidRDefault="001E51FC" w:rsidP="001E51FC">
            <w:pPr>
              <w:rPr>
                <w:rFonts w:cs="Arial"/>
                <w:bCs/>
                <w:szCs w:val="16"/>
              </w:rPr>
            </w:pPr>
            <w:r w:rsidRPr="001E51FC">
              <w:rPr>
                <w:rFonts w:cs="Arial"/>
                <w:bCs/>
                <w:szCs w:val="16"/>
              </w:rPr>
              <w:t>Lowest score through 3</w:t>
            </w:r>
          </w:p>
        </w:tc>
      </w:tr>
      <w:tr w:rsidR="001E51FC" w:rsidRPr="001E51FC" w14:paraId="07BFA187" w14:textId="77777777" w:rsidTr="00B05769">
        <w:tc>
          <w:tcPr>
            <w:tcW w:w="1829" w:type="pct"/>
            <w:noWrap/>
            <w:hideMark/>
          </w:tcPr>
          <w:p w14:paraId="2FE4FEF6" w14:textId="77777777" w:rsidR="001E51FC" w:rsidRPr="001E51FC" w:rsidRDefault="001E51FC" w:rsidP="00B05769">
            <w:pPr>
              <w:jc w:val="center"/>
              <w:rPr>
                <w:rFonts w:cs="Arial"/>
                <w:b/>
                <w:szCs w:val="16"/>
              </w:rPr>
            </w:pPr>
            <w:r w:rsidRPr="001E51FC">
              <w:rPr>
                <w:rFonts w:cs="Arial"/>
                <w:b/>
                <w:szCs w:val="16"/>
              </w:rPr>
              <w:t>1</w:t>
            </w:r>
          </w:p>
        </w:tc>
        <w:tc>
          <w:tcPr>
            <w:tcW w:w="3171" w:type="pct"/>
            <w:noWrap/>
            <w:hideMark/>
          </w:tcPr>
          <w:p w14:paraId="7F15F0B1" w14:textId="77777777" w:rsidR="001E51FC" w:rsidRPr="001E51FC" w:rsidRDefault="001E51FC" w:rsidP="001E51FC">
            <w:pPr>
              <w:rPr>
                <w:rFonts w:cs="Arial"/>
                <w:bCs/>
                <w:szCs w:val="16"/>
              </w:rPr>
            </w:pPr>
            <w:r w:rsidRPr="001E51FC">
              <w:rPr>
                <w:rFonts w:cs="Arial"/>
                <w:bCs/>
                <w:szCs w:val="16"/>
              </w:rPr>
              <w:t>4 through 7</w:t>
            </w:r>
          </w:p>
        </w:tc>
      </w:tr>
      <w:tr w:rsidR="001E51FC" w:rsidRPr="001E51FC" w14:paraId="0EA2453D" w14:textId="77777777" w:rsidTr="00B05769">
        <w:tc>
          <w:tcPr>
            <w:tcW w:w="1829" w:type="pct"/>
            <w:noWrap/>
            <w:hideMark/>
          </w:tcPr>
          <w:p w14:paraId="5DA468D2" w14:textId="77777777" w:rsidR="001E51FC" w:rsidRPr="001E51FC" w:rsidRDefault="001E51FC" w:rsidP="00B05769">
            <w:pPr>
              <w:jc w:val="center"/>
              <w:rPr>
                <w:rFonts w:cs="Arial"/>
                <w:b/>
                <w:szCs w:val="16"/>
              </w:rPr>
            </w:pPr>
            <w:r w:rsidRPr="001E51FC">
              <w:rPr>
                <w:rFonts w:cs="Arial"/>
                <w:b/>
                <w:szCs w:val="16"/>
              </w:rPr>
              <w:t>2</w:t>
            </w:r>
          </w:p>
        </w:tc>
        <w:tc>
          <w:tcPr>
            <w:tcW w:w="3171" w:type="pct"/>
            <w:noWrap/>
            <w:hideMark/>
          </w:tcPr>
          <w:p w14:paraId="075623A6" w14:textId="77777777" w:rsidR="001E51FC" w:rsidRPr="001E51FC" w:rsidRDefault="001E51FC" w:rsidP="001E51FC">
            <w:pPr>
              <w:rPr>
                <w:rFonts w:cs="Arial"/>
                <w:bCs/>
                <w:szCs w:val="16"/>
              </w:rPr>
            </w:pPr>
            <w:r w:rsidRPr="001E51FC">
              <w:rPr>
                <w:rFonts w:cs="Arial"/>
                <w:bCs/>
                <w:szCs w:val="16"/>
              </w:rPr>
              <w:t>8 through highest</w:t>
            </w:r>
          </w:p>
        </w:tc>
      </w:tr>
    </w:tbl>
    <w:p w14:paraId="088D50B4" w14:textId="36839911" w:rsidR="002E52E1" w:rsidRDefault="002E52E1" w:rsidP="0081611B">
      <w:pPr>
        <w:rPr>
          <w:rFonts w:cs="Arial"/>
          <w:b/>
          <w:szCs w:val="16"/>
        </w:rPr>
      </w:pPr>
    </w:p>
    <w:p w14:paraId="719400B5" w14:textId="77777777" w:rsidR="002E52E1" w:rsidRDefault="002E52E1">
      <w:pPr>
        <w:spacing w:before="0" w:after="200" w:line="276" w:lineRule="auto"/>
        <w:rPr>
          <w:rFonts w:cs="Arial"/>
          <w:b/>
          <w:szCs w:val="16"/>
        </w:rPr>
      </w:pPr>
      <w:r>
        <w:rPr>
          <w:rFonts w:cs="Arial"/>
          <w:b/>
          <w:szCs w:val="16"/>
        </w:rPr>
        <w:br w:type="page"/>
      </w:r>
    </w:p>
    <w:p w14:paraId="15033136" w14:textId="77777777" w:rsidR="002163B7" w:rsidRDefault="002163B7" w:rsidP="0081611B">
      <w:pPr>
        <w:rPr>
          <w:rFonts w:cs="Arial"/>
          <w:b/>
          <w:szCs w:val="16"/>
        </w:rPr>
      </w:pPr>
    </w:p>
    <w:tbl>
      <w:tblPr>
        <w:tblStyle w:val="TableGrid1"/>
        <w:tblW w:w="5186" w:type="pct"/>
        <w:tblLayout w:type="fixed"/>
        <w:tblLook w:val="04A0" w:firstRow="1" w:lastRow="0" w:firstColumn="1" w:lastColumn="0" w:noHBand="0" w:noVBand="1"/>
        <w:tblCaption w:val="C03SSCOYTYSTAT"/>
        <w:tblDescription w:val=" "/>
      </w:tblPr>
      <w:tblGrid>
        <w:gridCol w:w="1304"/>
        <w:gridCol w:w="915"/>
        <w:gridCol w:w="1009"/>
        <w:gridCol w:w="915"/>
        <w:gridCol w:w="1009"/>
        <w:gridCol w:w="1296"/>
        <w:gridCol w:w="864"/>
        <w:gridCol w:w="864"/>
        <w:gridCol w:w="864"/>
        <w:gridCol w:w="864"/>
        <w:gridCol w:w="1287"/>
      </w:tblGrid>
      <w:tr w:rsidR="007B0FF2" w:rsidRPr="002163B7" w14:paraId="67AD5D58" w14:textId="77777777" w:rsidTr="007B0FF2">
        <w:trPr>
          <w:tblHeader/>
        </w:trPr>
        <w:tc>
          <w:tcPr>
            <w:tcW w:w="582" w:type="pct"/>
          </w:tcPr>
          <w:p w14:paraId="5023293D" w14:textId="3A8A1044" w:rsidR="002163B7" w:rsidRPr="002163B7" w:rsidRDefault="002163B7" w:rsidP="002163B7">
            <w:pPr>
              <w:rPr>
                <w:rFonts w:cs="Arial"/>
                <w:b/>
                <w:bCs/>
                <w:szCs w:val="16"/>
              </w:rPr>
            </w:pPr>
            <w:r w:rsidRPr="002163B7">
              <w:rPr>
                <w:rFonts w:cs="Arial"/>
                <w:b/>
                <w:bCs/>
                <w:szCs w:val="16"/>
              </w:rPr>
              <w:t>Summary Statement/</w:t>
            </w:r>
            <w:r w:rsidR="00FD2AA0">
              <w:rPr>
                <w:rFonts w:cs="Arial"/>
                <w:b/>
                <w:bCs/>
                <w:szCs w:val="16"/>
              </w:rPr>
              <w:t xml:space="preserve"> </w:t>
            </w:r>
            <w:r w:rsidRPr="002163B7">
              <w:rPr>
                <w:rFonts w:cs="Arial"/>
                <w:b/>
                <w:bCs/>
                <w:szCs w:val="16"/>
              </w:rPr>
              <w:t>Child Outcome</w:t>
            </w:r>
          </w:p>
        </w:tc>
        <w:tc>
          <w:tcPr>
            <w:tcW w:w="409" w:type="pct"/>
          </w:tcPr>
          <w:p w14:paraId="6FF1FC19" w14:textId="77777777" w:rsidR="002163B7" w:rsidRPr="002163B7" w:rsidRDefault="002163B7" w:rsidP="002163B7">
            <w:pPr>
              <w:rPr>
                <w:rFonts w:cs="Arial"/>
                <w:b/>
                <w:bCs/>
                <w:szCs w:val="16"/>
              </w:rPr>
            </w:pPr>
            <w:r w:rsidRPr="002163B7">
              <w:rPr>
                <w:rFonts w:cs="Arial"/>
                <w:b/>
                <w:bCs/>
                <w:szCs w:val="16"/>
              </w:rPr>
              <w:t>FFY 2020 N</w:t>
            </w:r>
          </w:p>
        </w:tc>
        <w:tc>
          <w:tcPr>
            <w:tcW w:w="451" w:type="pct"/>
          </w:tcPr>
          <w:p w14:paraId="31613D59" w14:textId="77777777" w:rsidR="002163B7" w:rsidRPr="002163B7" w:rsidRDefault="002163B7" w:rsidP="002163B7">
            <w:pPr>
              <w:rPr>
                <w:rFonts w:cs="Arial"/>
                <w:b/>
                <w:bCs/>
                <w:szCs w:val="16"/>
              </w:rPr>
            </w:pPr>
            <w:r w:rsidRPr="002163B7">
              <w:rPr>
                <w:rFonts w:cs="Arial"/>
                <w:b/>
                <w:bCs/>
                <w:szCs w:val="16"/>
              </w:rPr>
              <w:t>FFY 2020 Summary Statement (%)</w:t>
            </w:r>
          </w:p>
        </w:tc>
        <w:tc>
          <w:tcPr>
            <w:tcW w:w="409" w:type="pct"/>
          </w:tcPr>
          <w:p w14:paraId="7A7B5951" w14:textId="77777777" w:rsidR="002163B7" w:rsidRPr="002163B7" w:rsidRDefault="002163B7" w:rsidP="002163B7">
            <w:pPr>
              <w:rPr>
                <w:rFonts w:cs="Arial"/>
                <w:b/>
                <w:bCs/>
                <w:szCs w:val="16"/>
              </w:rPr>
            </w:pPr>
            <w:r w:rsidRPr="002163B7">
              <w:rPr>
                <w:rFonts w:cs="Arial"/>
                <w:b/>
                <w:bCs/>
                <w:szCs w:val="16"/>
              </w:rPr>
              <w:t>FFY 2021 N</w:t>
            </w:r>
          </w:p>
        </w:tc>
        <w:tc>
          <w:tcPr>
            <w:tcW w:w="451" w:type="pct"/>
          </w:tcPr>
          <w:p w14:paraId="691E7E65" w14:textId="77777777" w:rsidR="002163B7" w:rsidRPr="002163B7" w:rsidRDefault="002163B7" w:rsidP="002163B7">
            <w:pPr>
              <w:rPr>
                <w:rFonts w:cs="Arial"/>
                <w:b/>
                <w:bCs/>
                <w:szCs w:val="16"/>
              </w:rPr>
            </w:pPr>
            <w:r w:rsidRPr="002163B7">
              <w:rPr>
                <w:rFonts w:cs="Arial"/>
                <w:b/>
                <w:bCs/>
                <w:szCs w:val="16"/>
              </w:rPr>
              <w:t>FFY 2021 Summary Statement (%)</w:t>
            </w:r>
          </w:p>
        </w:tc>
        <w:tc>
          <w:tcPr>
            <w:tcW w:w="579" w:type="pct"/>
          </w:tcPr>
          <w:p w14:paraId="51E3E034" w14:textId="77777777" w:rsidR="002163B7" w:rsidRPr="002163B7" w:rsidRDefault="002163B7" w:rsidP="002163B7">
            <w:pPr>
              <w:rPr>
                <w:rFonts w:cs="Arial"/>
                <w:b/>
                <w:bCs/>
                <w:szCs w:val="16"/>
              </w:rPr>
            </w:pPr>
            <w:r w:rsidRPr="002163B7">
              <w:rPr>
                <w:rFonts w:cs="Arial"/>
                <w:b/>
                <w:bCs/>
                <w:szCs w:val="16"/>
              </w:rPr>
              <w:t>Difference between Percentages (%)</w:t>
            </w:r>
          </w:p>
        </w:tc>
        <w:tc>
          <w:tcPr>
            <w:tcW w:w="386" w:type="pct"/>
          </w:tcPr>
          <w:p w14:paraId="2E1CF9DE" w14:textId="77777777" w:rsidR="002163B7" w:rsidRPr="002163B7" w:rsidRDefault="002163B7" w:rsidP="002163B7">
            <w:pPr>
              <w:rPr>
                <w:rFonts w:cs="Arial"/>
                <w:b/>
                <w:bCs/>
                <w:szCs w:val="16"/>
              </w:rPr>
            </w:pPr>
            <w:r w:rsidRPr="002163B7">
              <w:rPr>
                <w:rFonts w:cs="Arial"/>
                <w:b/>
                <w:bCs/>
                <w:szCs w:val="16"/>
              </w:rPr>
              <w:t>Std Error</w:t>
            </w:r>
          </w:p>
        </w:tc>
        <w:tc>
          <w:tcPr>
            <w:tcW w:w="386" w:type="pct"/>
          </w:tcPr>
          <w:p w14:paraId="28AA7E5C" w14:textId="77777777" w:rsidR="002163B7" w:rsidRPr="002163B7" w:rsidRDefault="002163B7" w:rsidP="002163B7">
            <w:pPr>
              <w:rPr>
                <w:rFonts w:cs="Arial"/>
                <w:b/>
                <w:bCs/>
                <w:szCs w:val="16"/>
              </w:rPr>
            </w:pPr>
            <w:r w:rsidRPr="002163B7">
              <w:rPr>
                <w:rFonts w:cs="Arial"/>
                <w:b/>
                <w:bCs/>
                <w:szCs w:val="16"/>
              </w:rPr>
              <w:t>z value</w:t>
            </w:r>
          </w:p>
        </w:tc>
        <w:tc>
          <w:tcPr>
            <w:tcW w:w="386" w:type="pct"/>
          </w:tcPr>
          <w:p w14:paraId="2FBE588E" w14:textId="77777777" w:rsidR="002163B7" w:rsidRPr="002163B7" w:rsidRDefault="002163B7" w:rsidP="002163B7">
            <w:pPr>
              <w:rPr>
                <w:rFonts w:cs="Arial"/>
                <w:b/>
                <w:bCs/>
                <w:szCs w:val="16"/>
              </w:rPr>
            </w:pPr>
            <w:r w:rsidRPr="002163B7">
              <w:rPr>
                <w:rFonts w:cs="Arial"/>
                <w:b/>
                <w:bCs/>
                <w:szCs w:val="16"/>
              </w:rPr>
              <w:t>p-value</w:t>
            </w:r>
          </w:p>
        </w:tc>
        <w:tc>
          <w:tcPr>
            <w:tcW w:w="386" w:type="pct"/>
          </w:tcPr>
          <w:p w14:paraId="3457FDDA" w14:textId="77777777" w:rsidR="002163B7" w:rsidRPr="002163B7" w:rsidRDefault="002163B7" w:rsidP="002163B7">
            <w:pPr>
              <w:rPr>
                <w:rFonts w:cs="Arial"/>
                <w:b/>
                <w:bCs/>
                <w:szCs w:val="16"/>
              </w:rPr>
            </w:pPr>
            <w:r w:rsidRPr="002163B7">
              <w:rPr>
                <w:rFonts w:cs="Arial"/>
                <w:b/>
                <w:bCs/>
                <w:szCs w:val="16"/>
              </w:rPr>
              <w:t>p&lt;=.05</w:t>
            </w:r>
          </w:p>
        </w:tc>
        <w:tc>
          <w:tcPr>
            <w:tcW w:w="575" w:type="pct"/>
          </w:tcPr>
          <w:p w14:paraId="636653E5" w14:textId="13168F62" w:rsidR="002163B7" w:rsidRPr="002163B7" w:rsidRDefault="002163B7" w:rsidP="002163B7">
            <w:pPr>
              <w:rPr>
                <w:rFonts w:cs="Arial"/>
                <w:b/>
                <w:bCs/>
                <w:szCs w:val="16"/>
              </w:rPr>
            </w:pPr>
            <w:r w:rsidRPr="002163B7">
              <w:rPr>
                <w:rFonts w:cs="Arial"/>
                <w:b/>
                <w:bCs/>
                <w:szCs w:val="16"/>
              </w:rPr>
              <w:t>Score: 0 = significant decrease</w:t>
            </w:r>
            <w:r w:rsidR="00FD2AA0">
              <w:rPr>
                <w:rFonts w:cs="Arial"/>
                <w:b/>
                <w:bCs/>
                <w:szCs w:val="16"/>
              </w:rPr>
              <w:t xml:space="preserve">; </w:t>
            </w:r>
            <w:r w:rsidRPr="002163B7">
              <w:rPr>
                <w:rFonts w:cs="Arial"/>
                <w:b/>
                <w:bCs/>
                <w:szCs w:val="16"/>
              </w:rPr>
              <w:t>1 = no significant change</w:t>
            </w:r>
            <w:r w:rsidR="00FD2AA0">
              <w:rPr>
                <w:rFonts w:cs="Arial"/>
                <w:b/>
                <w:bCs/>
                <w:szCs w:val="16"/>
              </w:rPr>
              <w:t>;</w:t>
            </w:r>
            <w:r w:rsidRPr="002163B7">
              <w:rPr>
                <w:rFonts w:cs="Arial"/>
                <w:b/>
                <w:bCs/>
                <w:szCs w:val="16"/>
              </w:rPr>
              <w:t xml:space="preserve"> 2 = significant increase</w:t>
            </w:r>
          </w:p>
        </w:tc>
      </w:tr>
      <w:tr w:rsidR="007B0FF2" w:rsidRPr="002163B7" w14:paraId="562524D0" w14:textId="77777777" w:rsidTr="007B0FF2">
        <w:tc>
          <w:tcPr>
            <w:tcW w:w="582" w:type="pct"/>
          </w:tcPr>
          <w:p w14:paraId="00E2F20F" w14:textId="77777777" w:rsidR="002163B7" w:rsidRPr="002163B7" w:rsidRDefault="002163B7" w:rsidP="002163B7">
            <w:pPr>
              <w:rPr>
                <w:rFonts w:cs="Arial"/>
                <w:b/>
                <w:bCs/>
                <w:szCs w:val="16"/>
              </w:rPr>
            </w:pPr>
            <w:r w:rsidRPr="002163B7">
              <w:rPr>
                <w:rFonts w:cs="Arial"/>
                <w:b/>
                <w:bCs/>
                <w:szCs w:val="16"/>
              </w:rPr>
              <w:t>SS1/Outcome A: Positive Social Relationships</w:t>
            </w:r>
          </w:p>
        </w:tc>
        <w:tc>
          <w:tcPr>
            <w:tcW w:w="409" w:type="pct"/>
          </w:tcPr>
          <w:p w14:paraId="1D6CCAF2" w14:textId="7D18DEAE" w:rsidR="002163B7" w:rsidRPr="002163B7" w:rsidRDefault="002163B7" w:rsidP="002163B7">
            <w:pPr>
              <w:rPr>
                <w:rFonts w:cs="Arial"/>
                <w:bCs/>
                <w:szCs w:val="16"/>
              </w:rPr>
            </w:pPr>
            <w:r w:rsidRPr="002163B7">
              <w:rPr>
                <w:rFonts w:cs="Arial"/>
                <w:bCs/>
                <w:szCs w:val="16"/>
              </w:rPr>
              <w:t>2,663</w:t>
            </w:r>
          </w:p>
        </w:tc>
        <w:tc>
          <w:tcPr>
            <w:tcW w:w="451" w:type="pct"/>
          </w:tcPr>
          <w:p w14:paraId="71B260CE" w14:textId="08E9F3B4" w:rsidR="002163B7" w:rsidRPr="002163B7" w:rsidRDefault="002163B7" w:rsidP="002163B7">
            <w:pPr>
              <w:rPr>
                <w:rFonts w:cs="Arial"/>
                <w:bCs/>
                <w:szCs w:val="16"/>
              </w:rPr>
            </w:pPr>
            <w:r w:rsidRPr="002163B7">
              <w:rPr>
                <w:rFonts w:cs="Arial"/>
                <w:bCs/>
                <w:szCs w:val="16"/>
              </w:rPr>
              <w:t>49.31%</w:t>
            </w:r>
          </w:p>
        </w:tc>
        <w:tc>
          <w:tcPr>
            <w:tcW w:w="409" w:type="pct"/>
          </w:tcPr>
          <w:p w14:paraId="6338C1B2" w14:textId="7BC386DE" w:rsidR="002163B7" w:rsidRPr="002163B7" w:rsidRDefault="002163B7" w:rsidP="002163B7">
            <w:pPr>
              <w:rPr>
                <w:rFonts w:cs="Arial"/>
                <w:bCs/>
                <w:szCs w:val="16"/>
              </w:rPr>
            </w:pPr>
            <w:r w:rsidRPr="002163B7">
              <w:rPr>
                <w:rFonts w:cs="Arial"/>
                <w:bCs/>
                <w:szCs w:val="16"/>
              </w:rPr>
              <w:t>1,714</w:t>
            </w:r>
          </w:p>
        </w:tc>
        <w:tc>
          <w:tcPr>
            <w:tcW w:w="451" w:type="pct"/>
          </w:tcPr>
          <w:p w14:paraId="136BBFD4" w14:textId="1CEB9412" w:rsidR="002163B7" w:rsidRPr="002163B7" w:rsidRDefault="002163B7" w:rsidP="002163B7">
            <w:pPr>
              <w:rPr>
                <w:rFonts w:cs="Arial"/>
                <w:bCs/>
                <w:szCs w:val="16"/>
              </w:rPr>
            </w:pPr>
            <w:r w:rsidRPr="002163B7">
              <w:rPr>
                <w:rFonts w:cs="Arial"/>
                <w:bCs/>
                <w:szCs w:val="16"/>
              </w:rPr>
              <w:t>50.06%</w:t>
            </w:r>
          </w:p>
        </w:tc>
        <w:tc>
          <w:tcPr>
            <w:tcW w:w="579" w:type="pct"/>
          </w:tcPr>
          <w:p w14:paraId="27AAECA7" w14:textId="77777777" w:rsidR="002163B7" w:rsidRPr="002163B7" w:rsidRDefault="002163B7" w:rsidP="002163B7">
            <w:pPr>
              <w:rPr>
                <w:rFonts w:cs="Arial"/>
                <w:bCs/>
                <w:szCs w:val="16"/>
              </w:rPr>
            </w:pPr>
            <w:r w:rsidRPr="002163B7">
              <w:rPr>
                <w:rFonts w:cs="Arial"/>
                <w:bCs/>
                <w:szCs w:val="16"/>
              </w:rPr>
              <w:t>0.75</w:t>
            </w:r>
          </w:p>
        </w:tc>
        <w:tc>
          <w:tcPr>
            <w:tcW w:w="386" w:type="pct"/>
          </w:tcPr>
          <w:p w14:paraId="634584D4" w14:textId="77777777" w:rsidR="002163B7" w:rsidRPr="002163B7" w:rsidRDefault="002163B7" w:rsidP="002163B7">
            <w:pPr>
              <w:rPr>
                <w:rFonts w:cs="Arial"/>
                <w:bCs/>
                <w:szCs w:val="16"/>
              </w:rPr>
            </w:pPr>
            <w:r w:rsidRPr="002163B7">
              <w:rPr>
                <w:rFonts w:cs="Arial"/>
                <w:bCs/>
                <w:szCs w:val="16"/>
              </w:rPr>
              <w:t>0.0155</w:t>
            </w:r>
          </w:p>
        </w:tc>
        <w:tc>
          <w:tcPr>
            <w:tcW w:w="386" w:type="pct"/>
          </w:tcPr>
          <w:p w14:paraId="7D05A1C3" w14:textId="77777777" w:rsidR="002163B7" w:rsidRPr="002163B7" w:rsidRDefault="002163B7" w:rsidP="002163B7">
            <w:pPr>
              <w:rPr>
                <w:rFonts w:cs="Arial"/>
                <w:bCs/>
                <w:szCs w:val="16"/>
              </w:rPr>
            </w:pPr>
            <w:r w:rsidRPr="002163B7">
              <w:rPr>
                <w:rFonts w:cs="Arial"/>
                <w:bCs/>
                <w:szCs w:val="16"/>
              </w:rPr>
              <w:t>0.4864</w:t>
            </w:r>
          </w:p>
        </w:tc>
        <w:tc>
          <w:tcPr>
            <w:tcW w:w="386" w:type="pct"/>
          </w:tcPr>
          <w:p w14:paraId="5C1BB37E" w14:textId="77777777" w:rsidR="002163B7" w:rsidRPr="002163B7" w:rsidRDefault="002163B7" w:rsidP="002163B7">
            <w:pPr>
              <w:rPr>
                <w:rFonts w:cs="Arial"/>
                <w:bCs/>
                <w:szCs w:val="16"/>
              </w:rPr>
            </w:pPr>
            <w:r w:rsidRPr="002163B7">
              <w:rPr>
                <w:rFonts w:cs="Arial"/>
                <w:bCs/>
                <w:szCs w:val="16"/>
              </w:rPr>
              <w:t>0.6267</w:t>
            </w:r>
          </w:p>
        </w:tc>
        <w:tc>
          <w:tcPr>
            <w:tcW w:w="386" w:type="pct"/>
          </w:tcPr>
          <w:p w14:paraId="2DC1DA24" w14:textId="77777777" w:rsidR="002163B7" w:rsidRPr="002163B7" w:rsidRDefault="002163B7" w:rsidP="002163B7">
            <w:pPr>
              <w:rPr>
                <w:rFonts w:cs="Arial"/>
                <w:bCs/>
                <w:szCs w:val="16"/>
              </w:rPr>
            </w:pPr>
            <w:r w:rsidRPr="002163B7">
              <w:rPr>
                <w:rFonts w:cs="Arial"/>
                <w:bCs/>
                <w:szCs w:val="16"/>
              </w:rPr>
              <w:t>NO</w:t>
            </w:r>
          </w:p>
        </w:tc>
        <w:tc>
          <w:tcPr>
            <w:tcW w:w="575" w:type="pct"/>
          </w:tcPr>
          <w:p w14:paraId="00DA6A1A" w14:textId="77777777" w:rsidR="002163B7" w:rsidRPr="002163B7" w:rsidRDefault="002163B7" w:rsidP="002163B7">
            <w:pPr>
              <w:rPr>
                <w:rFonts w:cs="Arial"/>
                <w:bCs/>
                <w:szCs w:val="16"/>
              </w:rPr>
            </w:pPr>
            <w:r w:rsidRPr="002163B7">
              <w:rPr>
                <w:rFonts w:cs="Arial"/>
                <w:bCs/>
                <w:szCs w:val="16"/>
              </w:rPr>
              <w:t>1</w:t>
            </w:r>
          </w:p>
        </w:tc>
      </w:tr>
      <w:tr w:rsidR="007B0FF2" w:rsidRPr="002163B7" w14:paraId="7815C981" w14:textId="77777777" w:rsidTr="007B0FF2">
        <w:tc>
          <w:tcPr>
            <w:tcW w:w="582" w:type="pct"/>
          </w:tcPr>
          <w:p w14:paraId="6A021056" w14:textId="77777777" w:rsidR="002163B7" w:rsidRPr="002163B7" w:rsidRDefault="002163B7" w:rsidP="002163B7">
            <w:pPr>
              <w:rPr>
                <w:rFonts w:cs="Arial"/>
                <w:b/>
                <w:bCs/>
                <w:szCs w:val="16"/>
              </w:rPr>
            </w:pPr>
            <w:r w:rsidRPr="002163B7">
              <w:rPr>
                <w:rFonts w:cs="Arial"/>
                <w:b/>
                <w:bCs/>
                <w:szCs w:val="16"/>
              </w:rPr>
              <w:t>SS1/Outcome B: Knowledge and Skills</w:t>
            </w:r>
          </w:p>
        </w:tc>
        <w:tc>
          <w:tcPr>
            <w:tcW w:w="409" w:type="pct"/>
          </w:tcPr>
          <w:p w14:paraId="6C399133" w14:textId="5B4F7274" w:rsidR="002163B7" w:rsidRPr="002163B7" w:rsidRDefault="002163B7" w:rsidP="002163B7">
            <w:pPr>
              <w:rPr>
                <w:rFonts w:cs="Arial"/>
                <w:bCs/>
                <w:szCs w:val="16"/>
              </w:rPr>
            </w:pPr>
            <w:r w:rsidRPr="002163B7">
              <w:rPr>
                <w:rFonts w:cs="Arial"/>
                <w:bCs/>
                <w:szCs w:val="16"/>
              </w:rPr>
              <w:t>4,394</w:t>
            </w:r>
          </w:p>
        </w:tc>
        <w:tc>
          <w:tcPr>
            <w:tcW w:w="451" w:type="pct"/>
          </w:tcPr>
          <w:p w14:paraId="7784492F" w14:textId="617B5A37" w:rsidR="002163B7" w:rsidRPr="002163B7" w:rsidRDefault="002163B7" w:rsidP="002163B7">
            <w:pPr>
              <w:rPr>
                <w:rFonts w:cs="Arial"/>
                <w:bCs/>
                <w:szCs w:val="16"/>
              </w:rPr>
            </w:pPr>
            <w:r w:rsidRPr="002163B7">
              <w:rPr>
                <w:rFonts w:cs="Arial"/>
                <w:bCs/>
                <w:szCs w:val="16"/>
              </w:rPr>
              <w:t>77.63%</w:t>
            </w:r>
          </w:p>
        </w:tc>
        <w:tc>
          <w:tcPr>
            <w:tcW w:w="409" w:type="pct"/>
          </w:tcPr>
          <w:p w14:paraId="28F8936D" w14:textId="5A09EDE1" w:rsidR="002163B7" w:rsidRPr="002163B7" w:rsidRDefault="002163B7" w:rsidP="002163B7">
            <w:pPr>
              <w:rPr>
                <w:rFonts w:cs="Arial"/>
                <w:bCs/>
                <w:szCs w:val="16"/>
              </w:rPr>
            </w:pPr>
            <w:r w:rsidRPr="002163B7">
              <w:rPr>
                <w:rFonts w:cs="Arial"/>
                <w:bCs/>
                <w:szCs w:val="16"/>
              </w:rPr>
              <w:t>2,536</w:t>
            </w:r>
          </w:p>
        </w:tc>
        <w:tc>
          <w:tcPr>
            <w:tcW w:w="451" w:type="pct"/>
          </w:tcPr>
          <w:p w14:paraId="633C801B" w14:textId="4A295D67" w:rsidR="002163B7" w:rsidRPr="002163B7" w:rsidRDefault="002163B7" w:rsidP="002163B7">
            <w:pPr>
              <w:rPr>
                <w:rFonts w:cs="Arial"/>
                <w:bCs/>
                <w:szCs w:val="16"/>
              </w:rPr>
            </w:pPr>
            <w:r w:rsidRPr="002163B7">
              <w:rPr>
                <w:rFonts w:cs="Arial"/>
                <w:bCs/>
                <w:szCs w:val="16"/>
              </w:rPr>
              <w:t>75.32%</w:t>
            </w:r>
          </w:p>
        </w:tc>
        <w:tc>
          <w:tcPr>
            <w:tcW w:w="579" w:type="pct"/>
          </w:tcPr>
          <w:p w14:paraId="230B7EE7" w14:textId="77777777" w:rsidR="002163B7" w:rsidRPr="002163B7" w:rsidRDefault="002163B7" w:rsidP="002163B7">
            <w:pPr>
              <w:rPr>
                <w:rFonts w:cs="Arial"/>
                <w:bCs/>
                <w:szCs w:val="16"/>
              </w:rPr>
            </w:pPr>
            <w:r w:rsidRPr="002163B7">
              <w:rPr>
                <w:rFonts w:cs="Arial"/>
                <w:bCs/>
                <w:szCs w:val="16"/>
              </w:rPr>
              <w:t>-2.31</w:t>
            </w:r>
          </w:p>
        </w:tc>
        <w:tc>
          <w:tcPr>
            <w:tcW w:w="386" w:type="pct"/>
          </w:tcPr>
          <w:p w14:paraId="0B101766" w14:textId="77777777" w:rsidR="002163B7" w:rsidRPr="002163B7" w:rsidRDefault="002163B7" w:rsidP="002163B7">
            <w:pPr>
              <w:rPr>
                <w:rFonts w:cs="Arial"/>
                <w:bCs/>
                <w:szCs w:val="16"/>
              </w:rPr>
            </w:pPr>
            <w:r w:rsidRPr="002163B7">
              <w:rPr>
                <w:rFonts w:cs="Arial"/>
                <w:bCs/>
                <w:szCs w:val="16"/>
              </w:rPr>
              <w:t>0.0106</w:t>
            </w:r>
          </w:p>
        </w:tc>
        <w:tc>
          <w:tcPr>
            <w:tcW w:w="386" w:type="pct"/>
          </w:tcPr>
          <w:p w14:paraId="035E4F5E" w14:textId="77777777" w:rsidR="002163B7" w:rsidRPr="002163B7" w:rsidRDefault="002163B7" w:rsidP="002163B7">
            <w:pPr>
              <w:rPr>
                <w:rFonts w:cs="Arial"/>
                <w:bCs/>
                <w:szCs w:val="16"/>
              </w:rPr>
            </w:pPr>
            <w:r w:rsidRPr="002163B7">
              <w:rPr>
                <w:rFonts w:cs="Arial"/>
                <w:bCs/>
                <w:szCs w:val="16"/>
              </w:rPr>
              <w:t>-2.1776</w:t>
            </w:r>
          </w:p>
        </w:tc>
        <w:tc>
          <w:tcPr>
            <w:tcW w:w="386" w:type="pct"/>
          </w:tcPr>
          <w:p w14:paraId="54177C2C" w14:textId="77777777" w:rsidR="002163B7" w:rsidRPr="002163B7" w:rsidRDefault="002163B7" w:rsidP="002163B7">
            <w:pPr>
              <w:rPr>
                <w:rFonts w:cs="Arial"/>
                <w:bCs/>
                <w:szCs w:val="16"/>
              </w:rPr>
            </w:pPr>
            <w:r w:rsidRPr="002163B7">
              <w:rPr>
                <w:rFonts w:cs="Arial"/>
                <w:bCs/>
                <w:szCs w:val="16"/>
              </w:rPr>
              <w:t>0.0294</w:t>
            </w:r>
          </w:p>
        </w:tc>
        <w:tc>
          <w:tcPr>
            <w:tcW w:w="386" w:type="pct"/>
          </w:tcPr>
          <w:p w14:paraId="24039893" w14:textId="77777777" w:rsidR="002163B7" w:rsidRPr="002163B7" w:rsidRDefault="002163B7" w:rsidP="002163B7">
            <w:pPr>
              <w:rPr>
                <w:rFonts w:cs="Arial"/>
                <w:bCs/>
                <w:szCs w:val="16"/>
              </w:rPr>
            </w:pPr>
            <w:r w:rsidRPr="002163B7">
              <w:rPr>
                <w:rFonts w:cs="Arial"/>
                <w:bCs/>
                <w:szCs w:val="16"/>
              </w:rPr>
              <w:t>YES</w:t>
            </w:r>
          </w:p>
        </w:tc>
        <w:tc>
          <w:tcPr>
            <w:tcW w:w="575" w:type="pct"/>
          </w:tcPr>
          <w:p w14:paraId="39010B28" w14:textId="77777777" w:rsidR="002163B7" w:rsidRPr="002163B7" w:rsidRDefault="002163B7" w:rsidP="002163B7">
            <w:pPr>
              <w:rPr>
                <w:rFonts w:cs="Arial"/>
                <w:bCs/>
                <w:szCs w:val="16"/>
              </w:rPr>
            </w:pPr>
            <w:r w:rsidRPr="002163B7">
              <w:rPr>
                <w:rFonts w:cs="Arial"/>
                <w:bCs/>
                <w:szCs w:val="16"/>
              </w:rPr>
              <w:t>0</w:t>
            </w:r>
          </w:p>
        </w:tc>
      </w:tr>
      <w:tr w:rsidR="007B0FF2" w:rsidRPr="002163B7" w14:paraId="0778F602" w14:textId="77777777" w:rsidTr="007B0FF2">
        <w:tc>
          <w:tcPr>
            <w:tcW w:w="582" w:type="pct"/>
          </w:tcPr>
          <w:p w14:paraId="76E0611B" w14:textId="77777777" w:rsidR="002163B7" w:rsidRPr="002163B7" w:rsidRDefault="002163B7" w:rsidP="002163B7">
            <w:pPr>
              <w:rPr>
                <w:rFonts w:cs="Arial"/>
                <w:b/>
                <w:bCs/>
                <w:szCs w:val="16"/>
              </w:rPr>
            </w:pPr>
            <w:r w:rsidRPr="002163B7">
              <w:rPr>
                <w:rFonts w:cs="Arial"/>
                <w:b/>
                <w:bCs/>
                <w:szCs w:val="16"/>
              </w:rPr>
              <w:t>SS1/Outcome C: Actions to meet needs</w:t>
            </w:r>
          </w:p>
        </w:tc>
        <w:tc>
          <w:tcPr>
            <w:tcW w:w="409" w:type="pct"/>
          </w:tcPr>
          <w:p w14:paraId="18FA43C5" w14:textId="3DAB1DB0" w:rsidR="002163B7" w:rsidRPr="002163B7" w:rsidRDefault="002163B7" w:rsidP="002163B7">
            <w:pPr>
              <w:rPr>
                <w:rFonts w:cs="Arial"/>
                <w:bCs/>
                <w:szCs w:val="16"/>
              </w:rPr>
            </w:pPr>
            <w:r w:rsidRPr="002163B7">
              <w:rPr>
                <w:rFonts w:cs="Arial"/>
                <w:bCs/>
                <w:szCs w:val="16"/>
              </w:rPr>
              <w:t>3,791</w:t>
            </w:r>
          </w:p>
        </w:tc>
        <w:tc>
          <w:tcPr>
            <w:tcW w:w="451" w:type="pct"/>
          </w:tcPr>
          <w:p w14:paraId="540692E3" w14:textId="56E6F3CD" w:rsidR="002163B7" w:rsidRPr="002163B7" w:rsidRDefault="002163B7" w:rsidP="002163B7">
            <w:pPr>
              <w:rPr>
                <w:rFonts w:cs="Arial"/>
                <w:bCs/>
                <w:szCs w:val="16"/>
              </w:rPr>
            </w:pPr>
            <w:r w:rsidRPr="002163B7">
              <w:rPr>
                <w:rFonts w:cs="Arial"/>
                <w:bCs/>
                <w:szCs w:val="16"/>
              </w:rPr>
              <w:t>84.04%</w:t>
            </w:r>
          </w:p>
        </w:tc>
        <w:tc>
          <w:tcPr>
            <w:tcW w:w="409" w:type="pct"/>
          </w:tcPr>
          <w:p w14:paraId="1B3E02C2" w14:textId="2CE8465F" w:rsidR="002163B7" w:rsidRPr="002163B7" w:rsidRDefault="002163B7" w:rsidP="002163B7">
            <w:pPr>
              <w:rPr>
                <w:rFonts w:cs="Arial"/>
                <w:bCs/>
                <w:szCs w:val="16"/>
              </w:rPr>
            </w:pPr>
            <w:r w:rsidRPr="002163B7">
              <w:rPr>
                <w:rFonts w:cs="Arial"/>
                <w:bCs/>
                <w:szCs w:val="16"/>
              </w:rPr>
              <w:t>2,264</w:t>
            </w:r>
          </w:p>
        </w:tc>
        <w:tc>
          <w:tcPr>
            <w:tcW w:w="451" w:type="pct"/>
          </w:tcPr>
          <w:p w14:paraId="34FC7C5B" w14:textId="5058C880" w:rsidR="002163B7" w:rsidRPr="002163B7" w:rsidRDefault="002163B7" w:rsidP="002163B7">
            <w:pPr>
              <w:rPr>
                <w:rFonts w:cs="Arial"/>
                <w:bCs/>
                <w:szCs w:val="16"/>
              </w:rPr>
            </w:pPr>
            <w:r w:rsidRPr="002163B7">
              <w:rPr>
                <w:rFonts w:cs="Arial"/>
                <w:bCs/>
                <w:szCs w:val="16"/>
              </w:rPr>
              <w:t>86.35%</w:t>
            </w:r>
          </w:p>
        </w:tc>
        <w:tc>
          <w:tcPr>
            <w:tcW w:w="579" w:type="pct"/>
          </w:tcPr>
          <w:p w14:paraId="553B8B85" w14:textId="77777777" w:rsidR="002163B7" w:rsidRPr="002163B7" w:rsidRDefault="002163B7" w:rsidP="002163B7">
            <w:pPr>
              <w:rPr>
                <w:rFonts w:cs="Arial"/>
                <w:bCs/>
                <w:szCs w:val="16"/>
              </w:rPr>
            </w:pPr>
            <w:r w:rsidRPr="002163B7">
              <w:rPr>
                <w:rFonts w:cs="Arial"/>
                <w:bCs/>
                <w:szCs w:val="16"/>
              </w:rPr>
              <w:t>2.31</w:t>
            </w:r>
          </w:p>
        </w:tc>
        <w:tc>
          <w:tcPr>
            <w:tcW w:w="386" w:type="pct"/>
          </w:tcPr>
          <w:p w14:paraId="68644CB3" w14:textId="77777777" w:rsidR="002163B7" w:rsidRPr="002163B7" w:rsidRDefault="002163B7" w:rsidP="002163B7">
            <w:pPr>
              <w:rPr>
                <w:rFonts w:cs="Arial"/>
                <w:bCs/>
                <w:szCs w:val="16"/>
              </w:rPr>
            </w:pPr>
            <w:r w:rsidRPr="002163B7">
              <w:rPr>
                <w:rFonts w:cs="Arial"/>
                <w:bCs/>
                <w:szCs w:val="16"/>
              </w:rPr>
              <w:t>0.0094</w:t>
            </w:r>
          </w:p>
        </w:tc>
        <w:tc>
          <w:tcPr>
            <w:tcW w:w="386" w:type="pct"/>
          </w:tcPr>
          <w:p w14:paraId="6ADF51A1" w14:textId="77777777" w:rsidR="002163B7" w:rsidRPr="002163B7" w:rsidRDefault="002163B7" w:rsidP="002163B7">
            <w:pPr>
              <w:rPr>
                <w:rFonts w:cs="Arial"/>
                <w:bCs/>
                <w:szCs w:val="16"/>
              </w:rPr>
            </w:pPr>
            <w:r w:rsidRPr="002163B7">
              <w:rPr>
                <w:rFonts w:cs="Arial"/>
                <w:bCs/>
                <w:szCs w:val="16"/>
              </w:rPr>
              <w:t>2.4709</w:t>
            </w:r>
          </w:p>
        </w:tc>
        <w:tc>
          <w:tcPr>
            <w:tcW w:w="386" w:type="pct"/>
          </w:tcPr>
          <w:p w14:paraId="144B8F31" w14:textId="77777777" w:rsidR="002163B7" w:rsidRPr="002163B7" w:rsidRDefault="002163B7" w:rsidP="002163B7">
            <w:pPr>
              <w:rPr>
                <w:rFonts w:cs="Arial"/>
                <w:bCs/>
                <w:szCs w:val="16"/>
              </w:rPr>
            </w:pPr>
            <w:r w:rsidRPr="002163B7">
              <w:rPr>
                <w:rFonts w:cs="Arial"/>
                <w:bCs/>
                <w:szCs w:val="16"/>
              </w:rPr>
              <w:t>0.0135</w:t>
            </w:r>
          </w:p>
        </w:tc>
        <w:tc>
          <w:tcPr>
            <w:tcW w:w="386" w:type="pct"/>
          </w:tcPr>
          <w:p w14:paraId="31C10E76" w14:textId="77777777" w:rsidR="002163B7" w:rsidRPr="002163B7" w:rsidRDefault="002163B7" w:rsidP="002163B7">
            <w:pPr>
              <w:rPr>
                <w:rFonts w:cs="Arial"/>
                <w:bCs/>
                <w:szCs w:val="16"/>
              </w:rPr>
            </w:pPr>
            <w:r w:rsidRPr="002163B7">
              <w:rPr>
                <w:rFonts w:cs="Arial"/>
                <w:bCs/>
                <w:szCs w:val="16"/>
              </w:rPr>
              <w:t>YES</w:t>
            </w:r>
          </w:p>
        </w:tc>
        <w:tc>
          <w:tcPr>
            <w:tcW w:w="575" w:type="pct"/>
          </w:tcPr>
          <w:p w14:paraId="56549F88" w14:textId="77777777" w:rsidR="002163B7" w:rsidRPr="002163B7" w:rsidRDefault="002163B7" w:rsidP="002163B7">
            <w:pPr>
              <w:rPr>
                <w:rFonts w:cs="Arial"/>
                <w:bCs/>
                <w:szCs w:val="16"/>
              </w:rPr>
            </w:pPr>
            <w:r w:rsidRPr="002163B7">
              <w:rPr>
                <w:rFonts w:cs="Arial"/>
                <w:bCs/>
                <w:szCs w:val="16"/>
              </w:rPr>
              <w:t>2</w:t>
            </w:r>
          </w:p>
        </w:tc>
      </w:tr>
      <w:tr w:rsidR="007B0FF2" w:rsidRPr="002163B7" w14:paraId="05E5DA9C" w14:textId="77777777" w:rsidTr="007B0FF2">
        <w:tc>
          <w:tcPr>
            <w:tcW w:w="582" w:type="pct"/>
          </w:tcPr>
          <w:p w14:paraId="468256C9" w14:textId="77777777" w:rsidR="002163B7" w:rsidRPr="002163B7" w:rsidRDefault="002163B7" w:rsidP="002163B7">
            <w:pPr>
              <w:rPr>
                <w:rFonts w:cs="Arial"/>
                <w:b/>
                <w:bCs/>
                <w:szCs w:val="16"/>
              </w:rPr>
            </w:pPr>
            <w:r w:rsidRPr="002163B7">
              <w:rPr>
                <w:rFonts w:cs="Arial"/>
                <w:b/>
                <w:bCs/>
                <w:szCs w:val="16"/>
              </w:rPr>
              <w:t>SS2/Outcome A: Positive Social Relationships</w:t>
            </w:r>
          </w:p>
        </w:tc>
        <w:tc>
          <w:tcPr>
            <w:tcW w:w="409" w:type="pct"/>
          </w:tcPr>
          <w:p w14:paraId="11482F5E" w14:textId="7117244E" w:rsidR="002163B7" w:rsidRPr="002163B7" w:rsidRDefault="002163B7" w:rsidP="002163B7">
            <w:pPr>
              <w:rPr>
                <w:rFonts w:cs="Arial"/>
                <w:bCs/>
                <w:szCs w:val="16"/>
              </w:rPr>
            </w:pPr>
            <w:r w:rsidRPr="002163B7">
              <w:rPr>
                <w:rFonts w:cs="Arial"/>
                <w:bCs/>
                <w:szCs w:val="16"/>
              </w:rPr>
              <w:t>4,606</w:t>
            </w:r>
          </w:p>
        </w:tc>
        <w:tc>
          <w:tcPr>
            <w:tcW w:w="451" w:type="pct"/>
          </w:tcPr>
          <w:p w14:paraId="194DF487" w14:textId="7DCD0747" w:rsidR="002163B7" w:rsidRPr="002163B7" w:rsidRDefault="002163B7" w:rsidP="002163B7">
            <w:pPr>
              <w:rPr>
                <w:rFonts w:cs="Arial"/>
                <w:bCs/>
                <w:szCs w:val="16"/>
              </w:rPr>
            </w:pPr>
            <w:r w:rsidRPr="002163B7">
              <w:rPr>
                <w:rFonts w:cs="Arial"/>
                <w:bCs/>
                <w:szCs w:val="16"/>
              </w:rPr>
              <w:t>64.37%</w:t>
            </w:r>
          </w:p>
        </w:tc>
        <w:tc>
          <w:tcPr>
            <w:tcW w:w="409" w:type="pct"/>
          </w:tcPr>
          <w:p w14:paraId="5EAAAE8A" w14:textId="57AB6E77" w:rsidR="002163B7" w:rsidRPr="002163B7" w:rsidRDefault="002163B7" w:rsidP="002163B7">
            <w:pPr>
              <w:rPr>
                <w:rFonts w:cs="Arial"/>
                <w:bCs/>
                <w:szCs w:val="16"/>
              </w:rPr>
            </w:pPr>
            <w:r w:rsidRPr="002163B7">
              <w:rPr>
                <w:rFonts w:cs="Arial"/>
                <w:bCs/>
                <w:szCs w:val="16"/>
              </w:rPr>
              <w:t>2,756</w:t>
            </w:r>
          </w:p>
        </w:tc>
        <w:tc>
          <w:tcPr>
            <w:tcW w:w="451" w:type="pct"/>
          </w:tcPr>
          <w:p w14:paraId="54F6D99F" w14:textId="0EE83B30" w:rsidR="002163B7" w:rsidRPr="002163B7" w:rsidRDefault="002163B7" w:rsidP="002163B7">
            <w:pPr>
              <w:rPr>
                <w:rFonts w:cs="Arial"/>
                <w:bCs/>
                <w:szCs w:val="16"/>
              </w:rPr>
            </w:pPr>
            <w:r w:rsidRPr="002163B7">
              <w:rPr>
                <w:rFonts w:cs="Arial"/>
                <w:bCs/>
                <w:szCs w:val="16"/>
              </w:rPr>
              <w:t>61.07%</w:t>
            </w:r>
          </w:p>
        </w:tc>
        <w:tc>
          <w:tcPr>
            <w:tcW w:w="579" w:type="pct"/>
          </w:tcPr>
          <w:p w14:paraId="1D077B69" w14:textId="77777777" w:rsidR="002163B7" w:rsidRPr="002163B7" w:rsidRDefault="002163B7" w:rsidP="002163B7">
            <w:pPr>
              <w:rPr>
                <w:rFonts w:cs="Arial"/>
                <w:bCs/>
                <w:szCs w:val="16"/>
              </w:rPr>
            </w:pPr>
            <w:r w:rsidRPr="002163B7">
              <w:rPr>
                <w:rFonts w:cs="Arial"/>
                <w:bCs/>
                <w:szCs w:val="16"/>
              </w:rPr>
              <w:t>-3.31</w:t>
            </w:r>
          </w:p>
        </w:tc>
        <w:tc>
          <w:tcPr>
            <w:tcW w:w="386" w:type="pct"/>
          </w:tcPr>
          <w:p w14:paraId="43162C08" w14:textId="77777777" w:rsidR="002163B7" w:rsidRPr="002163B7" w:rsidRDefault="002163B7" w:rsidP="002163B7">
            <w:pPr>
              <w:rPr>
                <w:rFonts w:cs="Arial"/>
                <w:bCs/>
                <w:szCs w:val="16"/>
              </w:rPr>
            </w:pPr>
            <w:r w:rsidRPr="002163B7">
              <w:rPr>
                <w:rFonts w:cs="Arial"/>
                <w:bCs/>
                <w:szCs w:val="16"/>
              </w:rPr>
              <w:t>0.0117</w:t>
            </w:r>
          </w:p>
        </w:tc>
        <w:tc>
          <w:tcPr>
            <w:tcW w:w="386" w:type="pct"/>
          </w:tcPr>
          <w:p w14:paraId="44A41449" w14:textId="77777777" w:rsidR="002163B7" w:rsidRPr="002163B7" w:rsidRDefault="002163B7" w:rsidP="002163B7">
            <w:pPr>
              <w:rPr>
                <w:rFonts w:cs="Arial"/>
                <w:bCs/>
                <w:szCs w:val="16"/>
              </w:rPr>
            </w:pPr>
            <w:r w:rsidRPr="002163B7">
              <w:rPr>
                <w:rFonts w:cs="Arial"/>
                <w:bCs/>
                <w:szCs w:val="16"/>
              </w:rPr>
              <w:t>-2.8341</w:t>
            </w:r>
          </w:p>
        </w:tc>
        <w:tc>
          <w:tcPr>
            <w:tcW w:w="386" w:type="pct"/>
          </w:tcPr>
          <w:p w14:paraId="65AB0524" w14:textId="77777777" w:rsidR="002163B7" w:rsidRPr="002163B7" w:rsidRDefault="002163B7" w:rsidP="002163B7">
            <w:pPr>
              <w:rPr>
                <w:rFonts w:cs="Arial"/>
                <w:bCs/>
                <w:szCs w:val="16"/>
              </w:rPr>
            </w:pPr>
            <w:r w:rsidRPr="002163B7">
              <w:rPr>
                <w:rFonts w:cs="Arial"/>
                <w:bCs/>
                <w:szCs w:val="16"/>
              </w:rPr>
              <w:t>0.0046</w:t>
            </w:r>
          </w:p>
        </w:tc>
        <w:tc>
          <w:tcPr>
            <w:tcW w:w="386" w:type="pct"/>
          </w:tcPr>
          <w:p w14:paraId="6CF12100" w14:textId="77777777" w:rsidR="002163B7" w:rsidRPr="002163B7" w:rsidRDefault="002163B7" w:rsidP="002163B7">
            <w:pPr>
              <w:rPr>
                <w:rFonts w:cs="Arial"/>
                <w:bCs/>
                <w:szCs w:val="16"/>
              </w:rPr>
            </w:pPr>
            <w:r w:rsidRPr="002163B7">
              <w:rPr>
                <w:rFonts w:cs="Arial"/>
                <w:bCs/>
                <w:szCs w:val="16"/>
              </w:rPr>
              <w:t>YES</w:t>
            </w:r>
          </w:p>
        </w:tc>
        <w:tc>
          <w:tcPr>
            <w:tcW w:w="575" w:type="pct"/>
          </w:tcPr>
          <w:p w14:paraId="798BDE8E" w14:textId="77777777" w:rsidR="002163B7" w:rsidRPr="002163B7" w:rsidRDefault="002163B7" w:rsidP="002163B7">
            <w:pPr>
              <w:rPr>
                <w:rFonts w:cs="Arial"/>
                <w:bCs/>
                <w:szCs w:val="16"/>
              </w:rPr>
            </w:pPr>
            <w:r w:rsidRPr="002163B7">
              <w:rPr>
                <w:rFonts w:cs="Arial"/>
                <w:bCs/>
                <w:szCs w:val="16"/>
              </w:rPr>
              <w:t>0</w:t>
            </w:r>
          </w:p>
        </w:tc>
      </w:tr>
      <w:tr w:rsidR="007B0FF2" w:rsidRPr="002163B7" w14:paraId="30DB6BCD" w14:textId="77777777" w:rsidTr="007B0FF2">
        <w:tc>
          <w:tcPr>
            <w:tcW w:w="582" w:type="pct"/>
          </w:tcPr>
          <w:p w14:paraId="5E00513C" w14:textId="77777777" w:rsidR="002163B7" w:rsidRPr="002163B7" w:rsidRDefault="002163B7" w:rsidP="002163B7">
            <w:pPr>
              <w:rPr>
                <w:rFonts w:cs="Arial"/>
                <w:b/>
                <w:bCs/>
                <w:szCs w:val="16"/>
              </w:rPr>
            </w:pPr>
            <w:r w:rsidRPr="002163B7">
              <w:rPr>
                <w:rFonts w:cs="Arial"/>
                <w:b/>
                <w:bCs/>
                <w:szCs w:val="16"/>
              </w:rPr>
              <w:t>SS2/Outcome B: Knowledge and Skills</w:t>
            </w:r>
          </w:p>
        </w:tc>
        <w:tc>
          <w:tcPr>
            <w:tcW w:w="409" w:type="pct"/>
          </w:tcPr>
          <w:p w14:paraId="4D395E56" w14:textId="7D237C82" w:rsidR="002163B7" w:rsidRPr="002163B7" w:rsidRDefault="002163B7" w:rsidP="002163B7">
            <w:pPr>
              <w:rPr>
                <w:rFonts w:cs="Arial"/>
                <w:bCs/>
                <w:szCs w:val="16"/>
              </w:rPr>
            </w:pPr>
            <w:r w:rsidRPr="002163B7">
              <w:rPr>
                <w:rFonts w:cs="Arial"/>
                <w:bCs/>
                <w:szCs w:val="16"/>
              </w:rPr>
              <w:t>4,606</w:t>
            </w:r>
          </w:p>
        </w:tc>
        <w:tc>
          <w:tcPr>
            <w:tcW w:w="451" w:type="pct"/>
          </w:tcPr>
          <w:p w14:paraId="2CE4E688" w14:textId="5431A696" w:rsidR="002163B7" w:rsidRPr="002163B7" w:rsidRDefault="002163B7" w:rsidP="002163B7">
            <w:pPr>
              <w:rPr>
                <w:rFonts w:cs="Arial"/>
                <w:bCs/>
                <w:szCs w:val="16"/>
              </w:rPr>
            </w:pPr>
            <w:r w:rsidRPr="002163B7">
              <w:rPr>
                <w:rFonts w:cs="Arial"/>
                <w:bCs/>
                <w:szCs w:val="16"/>
              </w:rPr>
              <w:t>19.89%</w:t>
            </w:r>
          </w:p>
        </w:tc>
        <w:tc>
          <w:tcPr>
            <w:tcW w:w="409" w:type="pct"/>
          </w:tcPr>
          <w:p w14:paraId="646CA85A" w14:textId="3C895BAE" w:rsidR="002163B7" w:rsidRPr="002163B7" w:rsidRDefault="002163B7" w:rsidP="002163B7">
            <w:pPr>
              <w:rPr>
                <w:rFonts w:cs="Arial"/>
                <w:bCs/>
                <w:szCs w:val="16"/>
              </w:rPr>
            </w:pPr>
            <w:r w:rsidRPr="002163B7">
              <w:rPr>
                <w:rFonts w:cs="Arial"/>
                <w:bCs/>
                <w:szCs w:val="16"/>
              </w:rPr>
              <w:t>2,756</w:t>
            </w:r>
          </w:p>
        </w:tc>
        <w:tc>
          <w:tcPr>
            <w:tcW w:w="451" w:type="pct"/>
          </w:tcPr>
          <w:p w14:paraId="37836055" w14:textId="1351FC3C" w:rsidR="002163B7" w:rsidRPr="002163B7" w:rsidRDefault="002163B7" w:rsidP="002163B7">
            <w:pPr>
              <w:rPr>
                <w:rFonts w:cs="Arial"/>
                <w:bCs/>
                <w:szCs w:val="16"/>
              </w:rPr>
            </w:pPr>
            <w:r w:rsidRPr="002163B7">
              <w:rPr>
                <w:rFonts w:cs="Arial"/>
                <w:bCs/>
                <w:szCs w:val="16"/>
              </w:rPr>
              <w:t>31.24%</w:t>
            </w:r>
          </w:p>
        </w:tc>
        <w:tc>
          <w:tcPr>
            <w:tcW w:w="579" w:type="pct"/>
          </w:tcPr>
          <w:p w14:paraId="46137C56" w14:textId="77777777" w:rsidR="002163B7" w:rsidRPr="002163B7" w:rsidRDefault="002163B7" w:rsidP="002163B7">
            <w:pPr>
              <w:rPr>
                <w:rFonts w:cs="Arial"/>
                <w:bCs/>
                <w:szCs w:val="16"/>
              </w:rPr>
            </w:pPr>
            <w:r w:rsidRPr="002163B7">
              <w:rPr>
                <w:rFonts w:cs="Arial"/>
                <w:bCs/>
                <w:szCs w:val="16"/>
              </w:rPr>
              <w:t>11.35</w:t>
            </w:r>
          </w:p>
        </w:tc>
        <w:tc>
          <w:tcPr>
            <w:tcW w:w="386" w:type="pct"/>
          </w:tcPr>
          <w:p w14:paraId="7495D8D0" w14:textId="77777777" w:rsidR="002163B7" w:rsidRPr="002163B7" w:rsidRDefault="002163B7" w:rsidP="002163B7">
            <w:pPr>
              <w:rPr>
                <w:rFonts w:cs="Arial"/>
                <w:bCs/>
                <w:szCs w:val="16"/>
              </w:rPr>
            </w:pPr>
            <w:r w:rsidRPr="002163B7">
              <w:rPr>
                <w:rFonts w:cs="Arial"/>
                <w:bCs/>
                <w:szCs w:val="16"/>
              </w:rPr>
              <w:t>0.0106</w:t>
            </w:r>
          </w:p>
        </w:tc>
        <w:tc>
          <w:tcPr>
            <w:tcW w:w="386" w:type="pct"/>
          </w:tcPr>
          <w:p w14:paraId="33ABA125" w14:textId="77777777" w:rsidR="002163B7" w:rsidRPr="002163B7" w:rsidRDefault="002163B7" w:rsidP="002163B7">
            <w:pPr>
              <w:rPr>
                <w:rFonts w:cs="Arial"/>
                <w:bCs/>
                <w:szCs w:val="16"/>
              </w:rPr>
            </w:pPr>
            <w:r w:rsidRPr="002163B7">
              <w:rPr>
                <w:rFonts w:cs="Arial"/>
                <w:bCs/>
                <w:szCs w:val="16"/>
              </w:rPr>
              <w:t>10.7029</w:t>
            </w:r>
          </w:p>
        </w:tc>
        <w:tc>
          <w:tcPr>
            <w:tcW w:w="386" w:type="pct"/>
          </w:tcPr>
          <w:p w14:paraId="5A51CC66" w14:textId="77777777" w:rsidR="002163B7" w:rsidRPr="002163B7" w:rsidRDefault="002163B7" w:rsidP="002163B7">
            <w:pPr>
              <w:rPr>
                <w:rFonts w:cs="Arial"/>
                <w:bCs/>
                <w:szCs w:val="16"/>
              </w:rPr>
            </w:pPr>
            <w:r w:rsidRPr="002163B7">
              <w:rPr>
                <w:rFonts w:cs="Arial"/>
                <w:bCs/>
                <w:szCs w:val="16"/>
              </w:rPr>
              <w:t>&lt;.0001</w:t>
            </w:r>
          </w:p>
        </w:tc>
        <w:tc>
          <w:tcPr>
            <w:tcW w:w="386" w:type="pct"/>
          </w:tcPr>
          <w:p w14:paraId="0F1B5B98" w14:textId="77777777" w:rsidR="002163B7" w:rsidRPr="002163B7" w:rsidRDefault="002163B7" w:rsidP="002163B7">
            <w:pPr>
              <w:rPr>
                <w:rFonts w:cs="Arial"/>
                <w:bCs/>
                <w:szCs w:val="16"/>
              </w:rPr>
            </w:pPr>
            <w:r w:rsidRPr="002163B7">
              <w:rPr>
                <w:rFonts w:cs="Arial"/>
                <w:bCs/>
                <w:szCs w:val="16"/>
              </w:rPr>
              <w:t>YES</w:t>
            </w:r>
          </w:p>
        </w:tc>
        <w:tc>
          <w:tcPr>
            <w:tcW w:w="575" w:type="pct"/>
          </w:tcPr>
          <w:p w14:paraId="27959755" w14:textId="77777777" w:rsidR="002163B7" w:rsidRPr="002163B7" w:rsidRDefault="002163B7" w:rsidP="002163B7">
            <w:pPr>
              <w:rPr>
                <w:rFonts w:cs="Arial"/>
                <w:bCs/>
                <w:szCs w:val="16"/>
              </w:rPr>
            </w:pPr>
            <w:r w:rsidRPr="002163B7">
              <w:rPr>
                <w:rFonts w:cs="Arial"/>
                <w:bCs/>
                <w:szCs w:val="16"/>
              </w:rPr>
              <w:t>2</w:t>
            </w:r>
          </w:p>
        </w:tc>
      </w:tr>
      <w:tr w:rsidR="007B0FF2" w:rsidRPr="002163B7" w14:paraId="00C318DD" w14:textId="77777777" w:rsidTr="007B0FF2">
        <w:trPr>
          <w:trHeight w:val="31"/>
        </w:trPr>
        <w:tc>
          <w:tcPr>
            <w:tcW w:w="582" w:type="pct"/>
          </w:tcPr>
          <w:p w14:paraId="6CC35BBB" w14:textId="77777777" w:rsidR="002163B7" w:rsidRPr="002163B7" w:rsidRDefault="002163B7" w:rsidP="002163B7">
            <w:pPr>
              <w:rPr>
                <w:rFonts w:cs="Arial"/>
                <w:b/>
                <w:bCs/>
                <w:szCs w:val="16"/>
              </w:rPr>
            </w:pPr>
            <w:r w:rsidRPr="002163B7">
              <w:rPr>
                <w:rFonts w:cs="Arial"/>
                <w:b/>
                <w:bCs/>
                <w:szCs w:val="16"/>
              </w:rPr>
              <w:t>SS2/Outcome C: Actions to meet needs</w:t>
            </w:r>
          </w:p>
        </w:tc>
        <w:tc>
          <w:tcPr>
            <w:tcW w:w="409" w:type="pct"/>
          </w:tcPr>
          <w:p w14:paraId="1DA300FC" w14:textId="14FAE9CD" w:rsidR="002163B7" w:rsidRPr="002163B7" w:rsidRDefault="002163B7" w:rsidP="002163B7">
            <w:pPr>
              <w:rPr>
                <w:rFonts w:cs="Arial"/>
                <w:bCs/>
                <w:szCs w:val="16"/>
              </w:rPr>
            </w:pPr>
            <w:r w:rsidRPr="002163B7">
              <w:rPr>
                <w:rFonts w:cs="Arial"/>
                <w:bCs/>
                <w:szCs w:val="16"/>
              </w:rPr>
              <w:t>4,606</w:t>
            </w:r>
          </w:p>
        </w:tc>
        <w:tc>
          <w:tcPr>
            <w:tcW w:w="451" w:type="pct"/>
          </w:tcPr>
          <w:p w14:paraId="11697454" w14:textId="54436DC8" w:rsidR="002163B7" w:rsidRPr="002163B7" w:rsidRDefault="002163B7" w:rsidP="002163B7">
            <w:pPr>
              <w:rPr>
                <w:rFonts w:cs="Arial"/>
                <w:bCs/>
                <w:szCs w:val="16"/>
              </w:rPr>
            </w:pPr>
            <w:r w:rsidRPr="002163B7">
              <w:rPr>
                <w:rFonts w:cs="Arial"/>
                <w:bCs/>
                <w:szCs w:val="16"/>
              </w:rPr>
              <w:t>41.97%</w:t>
            </w:r>
          </w:p>
        </w:tc>
        <w:tc>
          <w:tcPr>
            <w:tcW w:w="409" w:type="pct"/>
          </w:tcPr>
          <w:p w14:paraId="15A07783" w14:textId="7CD02A10" w:rsidR="002163B7" w:rsidRPr="002163B7" w:rsidRDefault="002163B7" w:rsidP="002163B7">
            <w:pPr>
              <w:rPr>
                <w:rFonts w:cs="Arial"/>
                <w:bCs/>
                <w:szCs w:val="16"/>
              </w:rPr>
            </w:pPr>
            <w:r w:rsidRPr="002163B7">
              <w:rPr>
                <w:rFonts w:cs="Arial"/>
                <w:bCs/>
                <w:szCs w:val="16"/>
              </w:rPr>
              <w:t>2,756</w:t>
            </w:r>
          </w:p>
        </w:tc>
        <w:tc>
          <w:tcPr>
            <w:tcW w:w="451" w:type="pct"/>
          </w:tcPr>
          <w:p w14:paraId="48158A85" w14:textId="5FA103FF" w:rsidR="002163B7" w:rsidRPr="002163B7" w:rsidRDefault="002163B7" w:rsidP="002163B7">
            <w:pPr>
              <w:rPr>
                <w:rFonts w:cs="Arial"/>
                <w:bCs/>
                <w:szCs w:val="16"/>
              </w:rPr>
            </w:pPr>
            <w:r w:rsidRPr="002163B7">
              <w:rPr>
                <w:rFonts w:cs="Arial"/>
                <w:bCs/>
                <w:szCs w:val="16"/>
              </w:rPr>
              <w:t>49.31%</w:t>
            </w:r>
          </w:p>
        </w:tc>
        <w:tc>
          <w:tcPr>
            <w:tcW w:w="579" w:type="pct"/>
          </w:tcPr>
          <w:p w14:paraId="7D6FF76A" w14:textId="77777777" w:rsidR="002163B7" w:rsidRPr="002163B7" w:rsidRDefault="002163B7" w:rsidP="002163B7">
            <w:pPr>
              <w:rPr>
                <w:rFonts w:cs="Arial"/>
                <w:bCs/>
                <w:szCs w:val="16"/>
              </w:rPr>
            </w:pPr>
            <w:r w:rsidRPr="002163B7">
              <w:rPr>
                <w:rFonts w:cs="Arial"/>
                <w:bCs/>
                <w:szCs w:val="16"/>
              </w:rPr>
              <w:t>7.34</w:t>
            </w:r>
          </w:p>
        </w:tc>
        <w:tc>
          <w:tcPr>
            <w:tcW w:w="386" w:type="pct"/>
          </w:tcPr>
          <w:p w14:paraId="4B739B50" w14:textId="77777777" w:rsidR="002163B7" w:rsidRPr="002163B7" w:rsidRDefault="002163B7" w:rsidP="002163B7">
            <w:pPr>
              <w:rPr>
                <w:rFonts w:cs="Arial"/>
                <w:bCs/>
                <w:szCs w:val="16"/>
              </w:rPr>
            </w:pPr>
            <w:r w:rsidRPr="002163B7">
              <w:rPr>
                <w:rFonts w:cs="Arial"/>
                <w:bCs/>
                <w:szCs w:val="16"/>
              </w:rPr>
              <w:t>0.0120</w:t>
            </w:r>
          </w:p>
        </w:tc>
        <w:tc>
          <w:tcPr>
            <w:tcW w:w="386" w:type="pct"/>
          </w:tcPr>
          <w:p w14:paraId="2D1A2501" w14:textId="77777777" w:rsidR="002163B7" w:rsidRPr="002163B7" w:rsidRDefault="002163B7" w:rsidP="002163B7">
            <w:pPr>
              <w:rPr>
                <w:rFonts w:cs="Arial"/>
                <w:bCs/>
                <w:szCs w:val="16"/>
              </w:rPr>
            </w:pPr>
            <w:r w:rsidRPr="002163B7">
              <w:rPr>
                <w:rFonts w:cs="Arial"/>
                <w:bCs/>
                <w:szCs w:val="16"/>
              </w:rPr>
              <w:t>6.1288</w:t>
            </w:r>
          </w:p>
        </w:tc>
        <w:tc>
          <w:tcPr>
            <w:tcW w:w="386" w:type="pct"/>
          </w:tcPr>
          <w:p w14:paraId="5F0A6224" w14:textId="77777777" w:rsidR="002163B7" w:rsidRPr="002163B7" w:rsidRDefault="002163B7" w:rsidP="002163B7">
            <w:pPr>
              <w:rPr>
                <w:rFonts w:cs="Arial"/>
                <w:bCs/>
                <w:szCs w:val="16"/>
              </w:rPr>
            </w:pPr>
            <w:r w:rsidRPr="002163B7">
              <w:rPr>
                <w:rFonts w:cs="Arial"/>
                <w:bCs/>
                <w:szCs w:val="16"/>
              </w:rPr>
              <w:t>&lt;.0001</w:t>
            </w:r>
          </w:p>
        </w:tc>
        <w:tc>
          <w:tcPr>
            <w:tcW w:w="386" w:type="pct"/>
          </w:tcPr>
          <w:p w14:paraId="2C63E38F" w14:textId="77777777" w:rsidR="002163B7" w:rsidRPr="002163B7" w:rsidRDefault="002163B7" w:rsidP="002163B7">
            <w:pPr>
              <w:rPr>
                <w:rFonts w:cs="Arial"/>
                <w:bCs/>
                <w:szCs w:val="16"/>
              </w:rPr>
            </w:pPr>
            <w:r w:rsidRPr="002163B7">
              <w:rPr>
                <w:rFonts w:cs="Arial"/>
                <w:bCs/>
                <w:szCs w:val="16"/>
              </w:rPr>
              <w:t>YES</w:t>
            </w:r>
          </w:p>
        </w:tc>
        <w:tc>
          <w:tcPr>
            <w:tcW w:w="575" w:type="pct"/>
          </w:tcPr>
          <w:p w14:paraId="0F1DAEAF" w14:textId="77777777" w:rsidR="002163B7" w:rsidRPr="002163B7" w:rsidRDefault="002163B7" w:rsidP="002163B7">
            <w:pPr>
              <w:rPr>
                <w:rFonts w:cs="Arial"/>
                <w:bCs/>
                <w:szCs w:val="16"/>
              </w:rPr>
            </w:pPr>
            <w:r w:rsidRPr="002163B7">
              <w:rPr>
                <w:rFonts w:cs="Arial"/>
                <w:bCs/>
                <w:szCs w:val="16"/>
              </w:rPr>
              <w:t>2</w:t>
            </w:r>
          </w:p>
        </w:tc>
      </w:tr>
    </w:tbl>
    <w:p w14:paraId="579D8CFB" w14:textId="77777777" w:rsidR="002163B7" w:rsidRPr="002163B7" w:rsidRDefault="002163B7" w:rsidP="002163B7">
      <w:pPr>
        <w:rPr>
          <w:rFonts w:cs="Arial"/>
          <w:b/>
          <w:szCs w:val="16"/>
        </w:rPr>
      </w:pPr>
    </w:p>
    <w:tbl>
      <w:tblPr>
        <w:tblStyle w:val="TableGrid1"/>
        <w:tblW w:w="10898" w:type="dxa"/>
        <w:tblLook w:val="04A0" w:firstRow="1" w:lastRow="0" w:firstColumn="1" w:lastColumn="0" w:noHBand="0" w:noVBand="1"/>
        <w:tblCaption w:val="C03SSCOYTYFNL"/>
      </w:tblPr>
      <w:tblGrid>
        <w:gridCol w:w="5449"/>
        <w:gridCol w:w="5449"/>
      </w:tblGrid>
      <w:tr w:rsidR="002163B7" w:rsidRPr="002163B7" w14:paraId="5F238957" w14:textId="77777777" w:rsidTr="008F04FB">
        <w:trPr>
          <w:trHeight w:val="314"/>
        </w:trPr>
        <w:tc>
          <w:tcPr>
            <w:tcW w:w="5449" w:type="dxa"/>
          </w:tcPr>
          <w:p w14:paraId="523669F3" w14:textId="77777777" w:rsidR="002163B7" w:rsidRPr="002163B7" w:rsidRDefault="002163B7" w:rsidP="002163B7">
            <w:pPr>
              <w:rPr>
                <w:rFonts w:cs="Arial"/>
                <w:b/>
                <w:bCs/>
                <w:szCs w:val="16"/>
              </w:rPr>
            </w:pPr>
            <w:r w:rsidRPr="002163B7">
              <w:rPr>
                <w:rFonts w:cs="Arial"/>
                <w:b/>
                <w:bCs/>
                <w:szCs w:val="16"/>
              </w:rPr>
              <w:t>Total Points Across SS1 and SS2</w:t>
            </w:r>
          </w:p>
        </w:tc>
        <w:tc>
          <w:tcPr>
            <w:tcW w:w="5449" w:type="dxa"/>
          </w:tcPr>
          <w:p w14:paraId="0C8B82BF" w14:textId="3C567D8C" w:rsidR="002163B7" w:rsidRPr="002163B7" w:rsidRDefault="002163B7" w:rsidP="002163B7">
            <w:pPr>
              <w:rPr>
                <w:rFonts w:cs="Arial"/>
                <w:b/>
                <w:bCs/>
                <w:szCs w:val="16"/>
              </w:rPr>
            </w:pPr>
            <w:r w:rsidRPr="002163B7">
              <w:rPr>
                <w:rFonts w:cs="Arial"/>
                <w:b/>
                <w:bCs/>
                <w:szCs w:val="16"/>
              </w:rPr>
              <w:t>7</w:t>
            </w:r>
          </w:p>
        </w:tc>
      </w:tr>
    </w:tbl>
    <w:p w14:paraId="7158B208" w14:textId="77777777" w:rsidR="002163B7" w:rsidRPr="002163B7" w:rsidRDefault="002163B7" w:rsidP="002163B7">
      <w:pPr>
        <w:rPr>
          <w:rFonts w:cs="Arial"/>
          <w:b/>
          <w:szCs w:val="16"/>
        </w:rPr>
      </w:pPr>
    </w:p>
    <w:tbl>
      <w:tblPr>
        <w:tblStyle w:val="TableGrid1"/>
        <w:tblW w:w="10909" w:type="dxa"/>
        <w:tblLook w:val="04A0" w:firstRow="1" w:lastRow="0" w:firstColumn="1" w:lastColumn="0" w:noHBand="0" w:noVBand="1"/>
        <w:tblCaption w:val="C03STEPRMFNL"/>
      </w:tblPr>
      <w:tblGrid>
        <w:gridCol w:w="5440"/>
        <w:gridCol w:w="5469"/>
      </w:tblGrid>
      <w:tr w:rsidR="002163B7" w:rsidRPr="002163B7" w14:paraId="24A56F99" w14:textId="77777777" w:rsidTr="008F04FB">
        <w:trPr>
          <w:trHeight w:val="342"/>
        </w:trPr>
        <w:tc>
          <w:tcPr>
            <w:tcW w:w="5440" w:type="dxa"/>
          </w:tcPr>
          <w:p w14:paraId="72B2DE88" w14:textId="77777777" w:rsidR="002163B7" w:rsidRPr="002163B7" w:rsidRDefault="002163B7" w:rsidP="002163B7">
            <w:pPr>
              <w:rPr>
                <w:rFonts w:cs="Arial"/>
                <w:b/>
                <w:bCs/>
                <w:szCs w:val="16"/>
              </w:rPr>
            </w:pPr>
            <w:r w:rsidRPr="002163B7">
              <w:rPr>
                <w:rFonts w:cs="Arial"/>
                <w:b/>
                <w:bCs/>
                <w:szCs w:val="16"/>
              </w:rPr>
              <w:t>Your State’s Performance Change Score</w:t>
            </w:r>
          </w:p>
        </w:tc>
        <w:tc>
          <w:tcPr>
            <w:tcW w:w="5469" w:type="dxa"/>
          </w:tcPr>
          <w:p w14:paraId="530FEA89" w14:textId="77BEFD58" w:rsidR="002163B7" w:rsidRPr="002163B7" w:rsidRDefault="002163B7" w:rsidP="002163B7">
            <w:pPr>
              <w:rPr>
                <w:rFonts w:cs="Arial"/>
                <w:b/>
                <w:bCs/>
                <w:szCs w:val="16"/>
              </w:rPr>
            </w:pPr>
            <w:r w:rsidRPr="002163B7">
              <w:rPr>
                <w:rFonts w:cs="Arial"/>
                <w:b/>
                <w:bCs/>
                <w:szCs w:val="16"/>
              </w:rPr>
              <w:t>1</w:t>
            </w:r>
          </w:p>
        </w:tc>
      </w:tr>
    </w:tbl>
    <w:p w14:paraId="568AEF09" w14:textId="77777777" w:rsidR="00A241E8" w:rsidRDefault="00A241E8">
      <w:pPr>
        <w:spacing w:before="0" w:after="200" w:line="276" w:lineRule="auto"/>
      </w:pPr>
      <w:r>
        <w:br w:type="page"/>
      </w:r>
    </w:p>
    <w:p w14:paraId="095BF10D" w14:textId="6E117F05" w:rsidR="000135C2" w:rsidRDefault="000135C2" w:rsidP="000135C2">
      <w:pPr>
        <w:pStyle w:val="Heading2"/>
      </w:pPr>
      <w:r w:rsidRPr="003E43D9">
        <w:lastRenderedPageBreak/>
        <w:t>Data Rubric</w:t>
      </w:r>
    </w:p>
    <w:p w14:paraId="60B91978" w14:textId="2DD731EE" w:rsidR="00DC6D97" w:rsidRPr="003445A2" w:rsidRDefault="003445A2" w:rsidP="003445A2">
      <w:pPr>
        <w:jc w:val="center"/>
      </w:pPr>
      <w:r w:rsidRPr="006B69D7">
        <w:rPr>
          <w:b/>
          <w:bCs/>
        </w:rPr>
        <w:t>FFY 2021 APR</w:t>
      </w:r>
      <w:r w:rsidR="00F2466D">
        <w:rPr>
          <w:rStyle w:val="FootnoteReference"/>
        </w:rPr>
        <w:footnoteReference w:id="12"/>
      </w:r>
    </w:p>
    <w:tbl>
      <w:tblPr>
        <w:tblStyle w:val="TableGrid1"/>
        <w:tblW w:w="9824" w:type="dxa"/>
        <w:tblLook w:val="04A0" w:firstRow="1" w:lastRow="0" w:firstColumn="1" w:lastColumn="0" w:noHBand="0" w:noVBand="1"/>
        <w:tblCaption w:val="CRUBCFFYINDVRSTAT"/>
      </w:tblPr>
      <w:tblGrid>
        <w:gridCol w:w="1866"/>
        <w:gridCol w:w="5260"/>
        <w:gridCol w:w="2698"/>
      </w:tblGrid>
      <w:tr w:rsidR="000135C2" w:rsidRPr="00210AC6" w14:paraId="7FA48B8E" w14:textId="77777777" w:rsidTr="00A47616">
        <w:trPr>
          <w:trHeight w:val="440"/>
          <w:tblHeader/>
        </w:trPr>
        <w:tc>
          <w:tcPr>
            <w:tcW w:w="1866" w:type="dxa"/>
            <w:hideMark/>
          </w:tcPr>
          <w:p w14:paraId="273B47E1" w14:textId="77777777" w:rsidR="000135C2" w:rsidRPr="00210AC6" w:rsidRDefault="000135C2" w:rsidP="00A47616">
            <w:pPr>
              <w:spacing w:before="0" w:after="0"/>
              <w:jc w:val="center"/>
              <w:rPr>
                <w:rFonts w:eastAsia="Times New Roman" w:cs="Arial"/>
                <w:szCs w:val="16"/>
              </w:rPr>
            </w:pPr>
          </w:p>
        </w:tc>
        <w:tc>
          <w:tcPr>
            <w:tcW w:w="5260" w:type="dxa"/>
          </w:tcPr>
          <w:p w14:paraId="28415982" w14:textId="4D3D4A3E" w:rsidR="000135C2" w:rsidRPr="00210AC6" w:rsidRDefault="000135C2" w:rsidP="00A47616">
            <w:pPr>
              <w:spacing w:before="0" w:after="0"/>
              <w:jc w:val="center"/>
              <w:rPr>
                <w:rFonts w:eastAsia="Times New Roman" w:cs="Arial"/>
                <w:szCs w:val="16"/>
              </w:rPr>
            </w:pPr>
            <w:r w:rsidRPr="00210AC6">
              <w:rPr>
                <w:rFonts w:eastAsia="Times New Roman" w:cs="Arial"/>
                <w:b/>
                <w:bCs/>
                <w:szCs w:val="16"/>
              </w:rPr>
              <w:t>Part C Timely and Accurate Data -- SPP/APR Data</w:t>
            </w:r>
          </w:p>
        </w:tc>
        <w:tc>
          <w:tcPr>
            <w:tcW w:w="2698" w:type="dxa"/>
          </w:tcPr>
          <w:p w14:paraId="6E1390BD" w14:textId="77777777" w:rsidR="000135C2" w:rsidRPr="00210AC6" w:rsidRDefault="000135C2" w:rsidP="00A47616">
            <w:pPr>
              <w:spacing w:before="0" w:after="0"/>
              <w:jc w:val="center"/>
              <w:rPr>
                <w:rFonts w:eastAsia="Times New Roman" w:cs="Arial"/>
                <w:b/>
                <w:bCs/>
                <w:szCs w:val="16"/>
              </w:rPr>
            </w:pPr>
          </w:p>
        </w:tc>
      </w:tr>
      <w:tr w:rsidR="000135C2" w:rsidRPr="00210AC6" w14:paraId="7644F667" w14:textId="77777777" w:rsidTr="00A47616">
        <w:trPr>
          <w:trHeight w:val="440"/>
        </w:trPr>
        <w:tc>
          <w:tcPr>
            <w:tcW w:w="1866" w:type="dxa"/>
            <w:hideMark/>
          </w:tcPr>
          <w:p w14:paraId="668AD22D"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APR Indicator</w:t>
            </w:r>
          </w:p>
        </w:tc>
        <w:tc>
          <w:tcPr>
            <w:tcW w:w="5260" w:type="dxa"/>
            <w:hideMark/>
          </w:tcPr>
          <w:p w14:paraId="76ADF178"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Valid and Reliable</w:t>
            </w:r>
          </w:p>
        </w:tc>
        <w:tc>
          <w:tcPr>
            <w:tcW w:w="2698" w:type="dxa"/>
            <w:hideMark/>
          </w:tcPr>
          <w:p w14:paraId="0A1582BB"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Total</w:t>
            </w:r>
          </w:p>
        </w:tc>
      </w:tr>
      <w:tr w:rsidR="00CC21DE" w:rsidRPr="00210AC6" w14:paraId="4BDCC11C" w14:textId="77777777" w:rsidTr="00A47616">
        <w:trPr>
          <w:trHeight w:val="440"/>
        </w:trPr>
        <w:tc>
          <w:tcPr>
            <w:tcW w:w="1866" w:type="dxa"/>
            <w:hideMark/>
          </w:tcPr>
          <w:p w14:paraId="4EADCFA5" w14:textId="4576C419" w:rsidR="00CC21DE" w:rsidRPr="00CC21DE" w:rsidRDefault="00CC21DE" w:rsidP="00A47616">
            <w:pPr>
              <w:spacing w:before="0" w:after="0"/>
              <w:jc w:val="center"/>
              <w:rPr>
                <w:rFonts w:eastAsia="Times New Roman" w:cs="Arial"/>
                <w:b/>
                <w:bCs/>
                <w:szCs w:val="16"/>
              </w:rPr>
            </w:pPr>
            <w:r w:rsidRPr="00CC21DE">
              <w:rPr>
                <w:b/>
                <w:bCs/>
              </w:rPr>
              <w:t>1</w:t>
            </w:r>
          </w:p>
        </w:tc>
        <w:tc>
          <w:tcPr>
            <w:tcW w:w="5260" w:type="dxa"/>
            <w:hideMark/>
          </w:tcPr>
          <w:p w14:paraId="7D03BB17" w14:textId="1F605F90" w:rsidR="00CC21DE" w:rsidRPr="00210AC6" w:rsidRDefault="00CC21DE" w:rsidP="00A47616">
            <w:pPr>
              <w:spacing w:before="0" w:after="0"/>
              <w:jc w:val="center"/>
              <w:rPr>
                <w:rFonts w:eastAsia="Times New Roman" w:cs="Arial"/>
                <w:szCs w:val="16"/>
              </w:rPr>
            </w:pPr>
            <w:r>
              <w:t>1</w:t>
            </w:r>
          </w:p>
        </w:tc>
        <w:tc>
          <w:tcPr>
            <w:tcW w:w="2698" w:type="dxa"/>
            <w:hideMark/>
          </w:tcPr>
          <w:p w14:paraId="132D4C82" w14:textId="723349EC" w:rsidR="00CC21DE" w:rsidRPr="00210AC6" w:rsidRDefault="00CC21DE" w:rsidP="00A47616">
            <w:pPr>
              <w:spacing w:before="0" w:after="0"/>
              <w:jc w:val="center"/>
              <w:rPr>
                <w:rFonts w:eastAsia="Times New Roman" w:cs="Arial"/>
                <w:szCs w:val="16"/>
              </w:rPr>
            </w:pPr>
            <w:r>
              <w:t>1</w:t>
            </w:r>
          </w:p>
        </w:tc>
      </w:tr>
      <w:tr w:rsidR="00CC21DE" w:rsidRPr="00210AC6" w14:paraId="253B684B" w14:textId="77777777" w:rsidTr="00A47616">
        <w:trPr>
          <w:trHeight w:val="440"/>
        </w:trPr>
        <w:tc>
          <w:tcPr>
            <w:tcW w:w="1866" w:type="dxa"/>
            <w:hideMark/>
          </w:tcPr>
          <w:p w14:paraId="6EE93D9D" w14:textId="5987E4C1" w:rsidR="00CC21DE" w:rsidRPr="00CC21DE" w:rsidRDefault="00CC21DE" w:rsidP="00A47616">
            <w:pPr>
              <w:spacing w:before="0" w:after="0"/>
              <w:jc w:val="center"/>
              <w:rPr>
                <w:rFonts w:eastAsia="Times New Roman" w:cs="Arial"/>
                <w:b/>
                <w:bCs/>
                <w:szCs w:val="16"/>
              </w:rPr>
            </w:pPr>
            <w:r w:rsidRPr="00CC21DE">
              <w:rPr>
                <w:b/>
                <w:bCs/>
              </w:rPr>
              <w:t>2</w:t>
            </w:r>
          </w:p>
        </w:tc>
        <w:tc>
          <w:tcPr>
            <w:tcW w:w="5260" w:type="dxa"/>
            <w:hideMark/>
          </w:tcPr>
          <w:p w14:paraId="04EDA633" w14:textId="3B3AC7E9" w:rsidR="00CC21DE" w:rsidRPr="00210AC6" w:rsidRDefault="00CC21DE" w:rsidP="00A47616">
            <w:pPr>
              <w:spacing w:before="0" w:after="0"/>
              <w:jc w:val="center"/>
              <w:rPr>
                <w:rFonts w:eastAsia="Times New Roman" w:cs="Arial"/>
                <w:szCs w:val="16"/>
              </w:rPr>
            </w:pPr>
            <w:r>
              <w:t>1</w:t>
            </w:r>
          </w:p>
        </w:tc>
        <w:tc>
          <w:tcPr>
            <w:tcW w:w="2698" w:type="dxa"/>
            <w:hideMark/>
          </w:tcPr>
          <w:p w14:paraId="2C0DB73D" w14:textId="27A8A3B6" w:rsidR="00CC21DE" w:rsidRPr="00210AC6" w:rsidRDefault="00CC21DE" w:rsidP="00A47616">
            <w:pPr>
              <w:spacing w:before="0" w:after="0"/>
              <w:jc w:val="center"/>
              <w:rPr>
                <w:rFonts w:eastAsia="Times New Roman" w:cs="Arial"/>
                <w:szCs w:val="16"/>
              </w:rPr>
            </w:pPr>
            <w:r>
              <w:t>1</w:t>
            </w:r>
          </w:p>
        </w:tc>
      </w:tr>
      <w:tr w:rsidR="00CC21DE" w:rsidRPr="00210AC6" w14:paraId="4D7B3C27" w14:textId="77777777" w:rsidTr="00A47616">
        <w:trPr>
          <w:trHeight w:val="440"/>
        </w:trPr>
        <w:tc>
          <w:tcPr>
            <w:tcW w:w="1866" w:type="dxa"/>
            <w:hideMark/>
          </w:tcPr>
          <w:p w14:paraId="731CC382" w14:textId="67E6F435" w:rsidR="00CC21DE" w:rsidRPr="00CC21DE" w:rsidRDefault="00CC21DE" w:rsidP="00A47616">
            <w:pPr>
              <w:spacing w:before="0" w:after="0"/>
              <w:jc w:val="center"/>
              <w:rPr>
                <w:rFonts w:eastAsia="Times New Roman" w:cs="Arial"/>
                <w:b/>
                <w:bCs/>
                <w:szCs w:val="16"/>
              </w:rPr>
            </w:pPr>
            <w:r w:rsidRPr="00CC21DE">
              <w:rPr>
                <w:b/>
                <w:bCs/>
              </w:rPr>
              <w:t>3</w:t>
            </w:r>
          </w:p>
        </w:tc>
        <w:tc>
          <w:tcPr>
            <w:tcW w:w="5260" w:type="dxa"/>
            <w:hideMark/>
          </w:tcPr>
          <w:p w14:paraId="31855042" w14:textId="729A0E98" w:rsidR="00CC21DE" w:rsidRPr="00210AC6" w:rsidRDefault="00CC21DE" w:rsidP="00A47616">
            <w:pPr>
              <w:spacing w:before="0" w:after="0"/>
              <w:jc w:val="center"/>
              <w:rPr>
                <w:rFonts w:eastAsia="Times New Roman" w:cs="Arial"/>
                <w:szCs w:val="16"/>
              </w:rPr>
            </w:pPr>
            <w:r>
              <w:t>1</w:t>
            </w:r>
          </w:p>
        </w:tc>
        <w:tc>
          <w:tcPr>
            <w:tcW w:w="2698" w:type="dxa"/>
            <w:hideMark/>
          </w:tcPr>
          <w:p w14:paraId="6264BB88" w14:textId="2D0CB2F7" w:rsidR="00CC21DE" w:rsidRPr="00210AC6" w:rsidRDefault="00CC21DE" w:rsidP="00A47616">
            <w:pPr>
              <w:spacing w:before="0" w:after="0"/>
              <w:jc w:val="center"/>
              <w:rPr>
                <w:rFonts w:eastAsia="Times New Roman" w:cs="Arial"/>
                <w:szCs w:val="16"/>
              </w:rPr>
            </w:pPr>
            <w:r>
              <w:t>1</w:t>
            </w:r>
          </w:p>
        </w:tc>
      </w:tr>
      <w:tr w:rsidR="00CC21DE" w:rsidRPr="00210AC6" w14:paraId="6F6A3652" w14:textId="77777777" w:rsidTr="00A47616">
        <w:trPr>
          <w:trHeight w:val="440"/>
        </w:trPr>
        <w:tc>
          <w:tcPr>
            <w:tcW w:w="1866" w:type="dxa"/>
            <w:hideMark/>
          </w:tcPr>
          <w:p w14:paraId="0BBF85A7" w14:textId="2C95623C" w:rsidR="00CC21DE" w:rsidRPr="00CC21DE" w:rsidRDefault="00CC21DE" w:rsidP="00A47616">
            <w:pPr>
              <w:spacing w:before="0" w:after="0"/>
              <w:jc w:val="center"/>
              <w:rPr>
                <w:rFonts w:eastAsia="Times New Roman" w:cs="Arial"/>
                <w:b/>
                <w:bCs/>
                <w:szCs w:val="16"/>
              </w:rPr>
            </w:pPr>
            <w:r w:rsidRPr="00CC21DE">
              <w:rPr>
                <w:b/>
                <w:bCs/>
              </w:rPr>
              <w:t>4</w:t>
            </w:r>
          </w:p>
        </w:tc>
        <w:tc>
          <w:tcPr>
            <w:tcW w:w="5260" w:type="dxa"/>
            <w:hideMark/>
          </w:tcPr>
          <w:p w14:paraId="4D771735" w14:textId="6E815A88" w:rsidR="00CC21DE" w:rsidRPr="00210AC6" w:rsidRDefault="00CC21DE" w:rsidP="00A47616">
            <w:pPr>
              <w:spacing w:before="0" w:after="0"/>
              <w:jc w:val="center"/>
              <w:rPr>
                <w:rFonts w:eastAsia="Times New Roman" w:cs="Arial"/>
                <w:szCs w:val="16"/>
              </w:rPr>
            </w:pPr>
            <w:r>
              <w:t>1</w:t>
            </w:r>
          </w:p>
        </w:tc>
        <w:tc>
          <w:tcPr>
            <w:tcW w:w="2698" w:type="dxa"/>
            <w:hideMark/>
          </w:tcPr>
          <w:p w14:paraId="6CC2274A" w14:textId="6ACC931F" w:rsidR="00CC21DE" w:rsidRPr="00210AC6" w:rsidRDefault="00CC21DE" w:rsidP="00A47616">
            <w:pPr>
              <w:spacing w:before="0" w:after="0"/>
              <w:jc w:val="center"/>
              <w:rPr>
                <w:rFonts w:eastAsia="Times New Roman" w:cs="Arial"/>
                <w:szCs w:val="16"/>
              </w:rPr>
            </w:pPr>
            <w:r>
              <w:t>1</w:t>
            </w:r>
          </w:p>
        </w:tc>
      </w:tr>
      <w:tr w:rsidR="00CC21DE" w:rsidRPr="00210AC6" w14:paraId="18A61206" w14:textId="77777777" w:rsidTr="00A47616">
        <w:trPr>
          <w:trHeight w:val="440"/>
        </w:trPr>
        <w:tc>
          <w:tcPr>
            <w:tcW w:w="1866" w:type="dxa"/>
            <w:hideMark/>
          </w:tcPr>
          <w:p w14:paraId="58B2CC1E" w14:textId="155AF1A7" w:rsidR="00CC21DE" w:rsidRPr="00CC21DE" w:rsidRDefault="00CC21DE" w:rsidP="00A47616">
            <w:pPr>
              <w:spacing w:before="0" w:after="0"/>
              <w:jc w:val="center"/>
              <w:rPr>
                <w:rFonts w:eastAsia="Times New Roman" w:cs="Arial"/>
                <w:b/>
                <w:bCs/>
                <w:szCs w:val="16"/>
              </w:rPr>
            </w:pPr>
            <w:r w:rsidRPr="00CC21DE">
              <w:rPr>
                <w:b/>
                <w:bCs/>
              </w:rPr>
              <w:t>5</w:t>
            </w:r>
          </w:p>
        </w:tc>
        <w:tc>
          <w:tcPr>
            <w:tcW w:w="5260" w:type="dxa"/>
            <w:hideMark/>
          </w:tcPr>
          <w:p w14:paraId="5E4D7D21" w14:textId="53363ECC" w:rsidR="00CC21DE" w:rsidRPr="00210AC6" w:rsidRDefault="00CC21DE" w:rsidP="00A47616">
            <w:pPr>
              <w:spacing w:before="0" w:after="0"/>
              <w:jc w:val="center"/>
              <w:rPr>
                <w:rFonts w:eastAsia="Times New Roman" w:cs="Arial"/>
                <w:szCs w:val="16"/>
              </w:rPr>
            </w:pPr>
            <w:r>
              <w:t>1</w:t>
            </w:r>
          </w:p>
        </w:tc>
        <w:tc>
          <w:tcPr>
            <w:tcW w:w="2698" w:type="dxa"/>
            <w:hideMark/>
          </w:tcPr>
          <w:p w14:paraId="5DC639D9" w14:textId="1B748DB6" w:rsidR="00CC21DE" w:rsidRPr="00210AC6" w:rsidRDefault="00CC21DE" w:rsidP="00A47616">
            <w:pPr>
              <w:spacing w:before="0" w:after="0"/>
              <w:jc w:val="center"/>
              <w:rPr>
                <w:rFonts w:eastAsia="Times New Roman" w:cs="Arial"/>
                <w:szCs w:val="16"/>
              </w:rPr>
            </w:pPr>
            <w:r>
              <w:t>1</w:t>
            </w:r>
          </w:p>
        </w:tc>
      </w:tr>
      <w:tr w:rsidR="00CC21DE" w:rsidRPr="00210AC6" w14:paraId="6B821000" w14:textId="77777777" w:rsidTr="00A47616">
        <w:trPr>
          <w:trHeight w:val="440"/>
        </w:trPr>
        <w:tc>
          <w:tcPr>
            <w:tcW w:w="1866" w:type="dxa"/>
            <w:hideMark/>
          </w:tcPr>
          <w:p w14:paraId="360E4201" w14:textId="4AC81051" w:rsidR="00CC21DE" w:rsidRPr="00CC21DE" w:rsidRDefault="00CC21DE" w:rsidP="00A47616">
            <w:pPr>
              <w:spacing w:before="0" w:after="0"/>
              <w:jc w:val="center"/>
              <w:rPr>
                <w:rFonts w:eastAsia="Times New Roman" w:cs="Arial"/>
                <w:b/>
                <w:bCs/>
                <w:szCs w:val="16"/>
              </w:rPr>
            </w:pPr>
            <w:r w:rsidRPr="00CC21DE">
              <w:rPr>
                <w:b/>
                <w:bCs/>
              </w:rPr>
              <w:t>6</w:t>
            </w:r>
          </w:p>
        </w:tc>
        <w:tc>
          <w:tcPr>
            <w:tcW w:w="5260" w:type="dxa"/>
            <w:hideMark/>
          </w:tcPr>
          <w:p w14:paraId="5C06E153" w14:textId="0DD158FD" w:rsidR="00CC21DE" w:rsidRPr="00210AC6" w:rsidRDefault="00CC21DE" w:rsidP="00A47616">
            <w:pPr>
              <w:spacing w:before="0" w:after="0"/>
              <w:jc w:val="center"/>
              <w:rPr>
                <w:rFonts w:eastAsia="Times New Roman" w:cs="Arial"/>
                <w:szCs w:val="16"/>
              </w:rPr>
            </w:pPr>
            <w:r>
              <w:t>1</w:t>
            </w:r>
          </w:p>
        </w:tc>
        <w:tc>
          <w:tcPr>
            <w:tcW w:w="2698" w:type="dxa"/>
            <w:hideMark/>
          </w:tcPr>
          <w:p w14:paraId="0EFF1981" w14:textId="385CBECF" w:rsidR="00CC21DE" w:rsidRPr="00210AC6" w:rsidRDefault="00CC21DE" w:rsidP="00A47616">
            <w:pPr>
              <w:spacing w:before="0" w:after="0"/>
              <w:jc w:val="center"/>
              <w:rPr>
                <w:rFonts w:eastAsia="Times New Roman" w:cs="Arial"/>
                <w:szCs w:val="16"/>
              </w:rPr>
            </w:pPr>
            <w:r>
              <w:t>1</w:t>
            </w:r>
          </w:p>
        </w:tc>
      </w:tr>
      <w:tr w:rsidR="00CC21DE" w:rsidRPr="00210AC6" w14:paraId="21E963EB" w14:textId="77777777" w:rsidTr="00A47616">
        <w:trPr>
          <w:trHeight w:val="440"/>
        </w:trPr>
        <w:tc>
          <w:tcPr>
            <w:tcW w:w="1866" w:type="dxa"/>
            <w:hideMark/>
          </w:tcPr>
          <w:p w14:paraId="77ACBB4B" w14:textId="04E52CA3" w:rsidR="00CC21DE" w:rsidRPr="00CC21DE" w:rsidRDefault="00CC21DE" w:rsidP="00A47616">
            <w:pPr>
              <w:spacing w:before="0" w:after="0"/>
              <w:jc w:val="center"/>
              <w:rPr>
                <w:rFonts w:eastAsia="Times New Roman" w:cs="Arial"/>
                <w:b/>
                <w:bCs/>
                <w:szCs w:val="16"/>
              </w:rPr>
            </w:pPr>
            <w:r w:rsidRPr="00CC21DE">
              <w:rPr>
                <w:b/>
                <w:bCs/>
              </w:rPr>
              <w:t>7</w:t>
            </w:r>
          </w:p>
        </w:tc>
        <w:tc>
          <w:tcPr>
            <w:tcW w:w="5260" w:type="dxa"/>
            <w:hideMark/>
          </w:tcPr>
          <w:p w14:paraId="389A30A5" w14:textId="10E8F435" w:rsidR="00CC21DE" w:rsidRPr="00210AC6" w:rsidRDefault="00CC21DE" w:rsidP="00A47616">
            <w:pPr>
              <w:spacing w:before="0" w:after="0"/>
              <w:jc w:val="center"/>
              <w:rPr>
                <w:rFonts w:eastAsia="Times New Roman" w:cs="Arial"/>
                <w:szCs w:val="16"/>
              </w:rPr>
            </w:pPr>
            <w:r>
              <w:t>1</w:t>
            </w:r>
          </w:p>
        </w:tc>
        <w:tc>
          <w:tcPr>
            <w:tcW w:w="2698" w:type="dxa"/>
            <w:hideMark/>
          </w:tcPr>
          <w:p w14:paraId="0E490249" w14:textId="78496123" w:rsidR="00CC21DE" w:rsidRPr="00210AC6" w:rsidRDefault="00CC21DE" w:rsidP="00A47616">
            <w:pPr>
              <w:spacing w:before="0" w:after="0"/>
              <w:jc w:val="center"/>
              <w:rPr>
                <w:rFonts w:eastAsia="Times New Roman" w:cs="Arial"/>
                <w:szCs w:val="16"/>
              </w:rPr>
            </w:pPr>
            <w:r>
              <w:t>1</w:t>
            </w:r>
          </w:p>
        </w:tc>
      </w:tr>
      <w:tr w:rsidR="00CC21DE" w:rsidRPr="00210AC6" w14:paraId="67AE1B08" w14:textId="77777777" w:rsidTr="00A47616">
        <w:trPr>
          <w:trHeight w:val="440"/>
        </w:trPr>
        <w:tc>
          <w:tcPr>
            <w:tcW w:w="1866" w:type="dxa"/>
            <w:hideMark/>
          </w:tcPr>
          <w:p w14:paraId="11AAE718" w14:textId="731967D2" w:rsidR="00CC21DE" w:rsidRPr="00CC21DE" w:rsidRDefault="00CC21DE" w:rsidP="00A47616">
            <w:pPr>
              <w:spacing w:before="0" w:after="0"/>
              <w:jc w:val="center"/>
              <w:rPr>
                <w:rFonts w:eastAsia="Times New Roman" w:cs="Arial"/>
                <w:b/>
                <w:bCs/>
                <w:szCs w:val="16"/>
              </w:rPr>
            </w:pPr>
            <w:r w:rsidRPr="00CC21DE">
              <w:rPr>
                <w:b/>
                <w:bCs/>
              </w:rPr>
              <w:t>8A</w:t>
            </w:r>
          </w:p>
        </w:tc>
        <w:tc>
          <w:tcPr>
            <w:tcW w:w="5260" w:type="dxa"/>
            <w:hideMark/>
          </w:tcPr>
          <w:p w14:paraId="64704A73" w14:textId="5122FE92" w:rsidR="00CC21DE" w:rsidRPr="00210AC6" w:rsidRDefault="00CC21DE" w:rsidP="00A47616">
            <w:pPr>
              <w:spacing w:before="0" w:after="0"/>
              <w:jc w:val="center"/>
              <w:rPr>
                <w:rFonts w:eastAsia="Times New Roman" w:cs="Arial"/>
                <w:szCs w:val="16"/>
              </w:rPr>
            </w:pPr>
            <w:r>
              <w:t>1</w:t>
            </w:r>
          </w:p>
        </w:tc>
        <w:tc>
          <w:tcPr>
            <w:tcW w:w="2698" w:type="dxa"/>
            <w:hideMark/>
          </w:tcPr>
          <w:p w14:paraId="42E50999" w14:textId="235E56C6" w:rsidR="00CC21DE" w:rsidRPr="00210AC6" w:rsidRDefault="00CC21DE" w:rsidP="00A47616">
            <w:pPr>
              <w:spacing w:before="0" w:after="0"/>
              <w:jc w:val="center"/>
              <w:rPr>
                <w:rFonts w:eastAsia="Times New Roman" w:cs="Arial"/>
                <w:szCs w:val="16"/>
              </w:rPr>
            </w:pPr>
            <w:r>
              <w:t>1</w:t>
            </w:r>
          </w:p>
        </w:tc>
      </w:tr>
      <w:tr w:rsidR="00CC21DE" w:rsidRPr="00210AC6" w14:paraId="3C6FF3D3" w14:textId="77777777" w:rsidTr="00A47616">
        <w:trPr>
          <w:trHeight w:val="440"/>
        </w:trPr>
        <w:tc>
          <w:tcPr>
            <w:tcW w:w="1866" w:type="dxa"/>
            <w:hideMark/>
          </w:tcPr>
          <w:p w14:paraId="1D4FE3B1" w14:textId="0AD54464" w:rsidR="00CC21DE" w:rsidRPr="00CC21DE" w:rsidRDefault="00CC21DE" w:rsidP="00A47616">
            <w:pPr>
              <w:spacing w:before="0" w:after="0"/>
              <w:jc w:val="center"/>
              <w:rPr>
                <w:rFonts w:eastAsia="Times New Roman" w:cs="Arial"/>
                <w:b/>
                <w:bCs/>
                <w:szCs w:val="16"/>
              </w:rPr>
            </w:pPr>
            <w:r w:rsidRPr="00CC21DE">
              <w:rPr>
                <w:b/>
                <w:bCs/>
              </w:rPr>
              <w:t>8B</w:t>
            </w:r>
          </w:p>
        </w:tc>
        <w:tc>
          <w:tcPr>
            <w:tcW w:w="5260" w:type="dxa"/>
            <w:hideMark/>
          </w:tcPr>
          <w:p w14:paraId="1CDEB25A" w14:textId="2B2540E0" w:rsidR="00CC21DE" w:rsidRPr="00210AC6" w:rsidRDefault="00CC21DE" w:rsidP="00A47616">
            <w:pPr>
              <w:spacing w:before="0" w:after="0"/>
              <w:jc w:val="center"/>
              <w:rPr>
                <w:rFonts w:eastAsia="Times New Roman" w:cs="Arial"/>
                <w:szCs w:val="16"/>
              </w:rPr>
            </w:pPr>
            <w:r>
              <w:t>1</w:t>
            </w:r>
          </w:p>
        </w:tc>
        <w:tc>
          <w:tcPr>
            <w:tcW w:w="2698" w:type="dxa"/>
            <w:hideMark/>
          </w:tcPr>
          <w:p w14:paraId="266CF140" w14:textId="59248533" w:rsidR="00CC21DE" w:rsidRPr="00210AC6" w:rsidRDefault="00CC21DE" w:rsidP="00A47616">
            <w:pPr>
              <w:spacing w:before="0" w:after="0"/>
              <w:jc w:val="center"/>
              <w:rPr>
                <w:rFonts w:eastAsia="Times New Roman" w:cs="Arial"/>
                <w:szCs w:val="16"/>
              </w:rPr>
            </w:pPr>
            <w:r>
              <w:t>1</w:t>
            </w:r>
          </w:p>
        </w:tc>
      </w:tr>
      <w:tr w:rsidR="00CC21DE" w:rsidRPr="00210AC6" w14:paraId="714ABEFF" w14:textId="77777777" w:rsidTr="00A47616">
        <w:trPr>
          <w:trHeight w:val="440"/>
        </w:trPr>
        <w:tc>
          <w:tcPr>
            <w:tcW w:w="1866" w:type="dxa"/>
            <w:hideMark/>
          </w:tcPr>
          <w:p w14:paraId="2DE9BBBF" w14:textId="3EDDDE66" w:rsidR="00CC21DE" w:rsidRPr="00CC21DE" w:rsidRDefault="00CC21DE" w:rsidP="00A47616">
            <w:pPr>
              <w:spacing w:before="0" w:after="0"/>
              <w:jc w:val="center"/>
              <w:rPr>
                <w:rFonts w:eastAsia="Times New Roman" w:cs="Arial"/>
                <w:b/>
                <w:bCs/>
                <w:szCs w:val="16"/>
              </w:rPr>
            </w:pPr>
            <w:r w:rsidRPr="00CC21DE">
              <w:rPr>
                <w:b/>
                <w:bCs/>
              </w:rPr>
              <w:t>8C</w:t>
            </w:r>
          </w:p>
        </w:tc>
        <w:tc>
          <w:tcPr>
            <w:tcW w:w="5260" w:type="dxa"/>
            <w:hideMark/>
          </w:tcPr>
          <w:p w14:paraId="7AD45CE9" w14:textId="7EBDB560" w:rsidR="00CC21DE" w:rsidRPr="00210AC6" w:rsidRDefault="00CC21DE" w:rsidP="00A47616">
            <w:pPr>
              <w:spacing w:before="0" w:after="0"/>
              <w:jc w:val="center"/>
              <w:rPr>
                <w:rFonts w:eastAsia="Times New Roman" w:cs="Arial"/>
                <w:szCs w:val="16"/>
              </w:rPr>
            </w:pPr>
            <w:r>
              <w:t>1</w:t>
            </w:r>
          </w:p>
        </w:tc>
        <w:tc>
          <w:tcPr>
            <w:tcW w:w="2698" w:type="dxa"/>
            <w:hideMark/>
          </w:tcPr>
          <w:p w14:paraId="3FFD3E45" w14:textId="2ED2B025" w:rsidR="00CC21DE" w:rsidRPr="00210AC6" w:rsidRDefault="00CC21DE" w:rsidP="00A47616">
            <w:pPr>
              <w:spacing w:before="0" w:after="0"/>
              <w:jc w:val="center"/>
              <w:rPr>
                <w:rFonts w:eastAsia="Times New Roman" w:cs="Arial"/>
                <w:szCs w:val="16"/>
              </w:rPr>
            </w:pPr>
            <w:r>
              <w:t>1</w:t>
            </w:r>
          </w:p>
        </w:tc>
      </w:tr>
      <w:tr w:rsidR="00CC21DE" w:rsidRPr="00210AC6" w14:paraId="6752A9E2" w14:textId="77777777" w:rsidTr="00A47616">
        <w:trPr>
          <w:trHeight w:val="440"/>
        </w:trPr>
        <w:tc>
          <w:tcPr>
            <w:tcW w:w="1866" w:type="dxa"/>
            <w:hideMark/>
          </w:tcPr>
          <w:p w14:paraId="5B8E25FC" w14:textId="43BDFD13" w:rsidR="00CC21DE" w:rsidRPr="00CC21DE" w:rsidRDefault="00CC21DE" w:rsidP="00A47616">
            <w:pPr>
              <w:spacing w:before="0" w:after="0"/>
              <w:jc w:val="center"/>
              <w:rPr>
                <w:rFonts w:eastAsia="Times New Roman" w:cs="Arial"/>
                <w:b/>
                <w:bCs/>
                <w:szCs w:val="16"/>
              </w:rPr>
            </w:pPr>
            <w:r w:rsidRPr="00CC21DE">
              <w:rPr>
                <w:b/>
                <w:bCs/>
              </w:rPr>
              <w:t>9</w:t>
            </w:r>
          </w:p>
        </w:tc>
        <w:tc>
          <w:tcPr>
            <w:tcW w:w="5260" w:type="dxa"/>
            <w:hideMark/>
          </w:tcPr>
          <w:p w14:paraId="77541D5E" w14:textId="1ED64135" w:rsidR="00CC21DE" w:rsidRPr="00210AC6" w:rsidRDefault="00CC21DE" w:rsidP="00A47616">
            <w:pPr>
              <w:spacing w:before="0" w:after="0"/>
              <w:jc w:val="center"/>
              <w:rPr>
                <w:rFonts w:eastAsia="Times New Roman" w:cs="Arial"/>
                <w:szCs w:val="16"/>
              </w:rPr>
            </w:pPr>
            <w:r>
              <w:t>N/A</w:t>
            </w:r>
          </w:p>
        </w:tc>
        <w:tc>
          <w:tcPr>
            <w:tcW w:w="2698" w:type="dxa"/>
            <w:hideMark/>
          </w:tcPr>
          <w:p w14:paraId="70F7A3C5" w14:textId="487A1B59" w:rsidR="00CC21DE" w:rsidRPr="00210AC6" w:rsidRDefault="00CC21DE" w:rsidP="00A47616">
            <w:pPr>
              <w:spacing w:before="0" w:after="0"/>
              <w:jc w:val="center"/>
              <w:rPr>
                <w:rFonts w:eastAsia="Times New Roman" w:cs="Arial"/>
                <w:szCs w:val="16"/>
              </w:rPr>
            </w:pPr>
            <w:r>
              <w:t>0</w:t>
            </w:r>
          </w:p>
        </w:tc>
      </w:tr>
      <w:tr w:rsidR="00CC21DE" w:rsidRPr="00210AC6" w14:paraId="34EBFDBF" w14:textId="77777777" w:rsidTr="00A47616">
        <w:trPr>
          <w:trHeight w:val="440"/>
        </w:trPr>
        <w:tc>
          <w:tcPr>
            <w:tcW w:w="1866" w:type="dxa"/>
            <w:hideMark/>
          </w:tcPr>
          <w:p w14:paraId="694C43E7" w14:textId="7D710058" w:rsidR="00CC21DE" w:rsidRPr="00CC21DE" w:rsidRDefault="00CC21DE" w:rsidP="00A47616">
            <w:pPr>
              <w:spacing w:before="0" w:after="0"/>
              <w:jc w:val="center"/>
              <w:rPr>
                <w:rFonts w:eastAsia="Times New Roman" w:cs="Arial"/>
                <w:b/>
                <w:bCs/>
                <w:szCs w:val="16"/>
              </w:rPr>
            </w:pPr>
            <w:r w:rsidRPr="00CC21DE">
              <w:rPr>
                <w:b/>
                <w:bCs/>
              </w:rPr>
              <w:t>10</w:t>
            </w:r>
          </w:p>
        </w:tc>
        <w:tc>
          <w:tcPr>
            <w:tcW w:w="5260" w:type="dxa"/>
            <w:hideMark/>
          </w:tcPr>
          <w:p w14:paraId="2DD5D7F9" w14:textId="6897ADAD" w:rsidR="00CC21DE" w:rsidRPr="00210AC6" w:rsidRDefault="00CC21DE" w:rsidP="00A47616">
            <w:pPr>
              <w:spacing w:before="0" w:after="0"/>
              <w:jc w:val="center"/>
              <w:rPr>
                <w:rFonts w:eastAsia="Times New Roman" w:cs="Arial"/>
                <w:szCs w:val="16"/>
              </w:rPr>
            </w:pPr>
            <w:r>
              <w:t>1</w:t>
            </w:r>
          </w:p>
        </w:tc>
        <w:tc>
          <w:tcPr>
            <w:tcW w:w="2698" w:type="dxa"/>
            <w:hideMark/>
          </w:tcPr>
          <w:p w14:paraId="7FCB4A3D" w14:textId="0B793628" w:rsidR="00CC21DE" w:rsidRPr="00210AC6" w:rsidRDefault="00CC21DE" w:rsidP="00A47616">
            <w:pPr>
              <w:spacing w:before="0" w:after="0"/>
              <w:jc w:val="center"/>
              <w:rPr>
                <w:rFonts w:eastAsia="Times New Roman" w:cs="Arial"/>
                <w:szCs w:val="16"/>
              </w:rPr>
            </w:pPr>
            <w:r>
              <w:t>1</w:t>
            </w:r>
          </w:p>
        </w:tc>
      </w:tr>
      <w:tr w:rsidR="00CC21DE" w:rsidRPr="00210AC6" w14:paraId="03742C31" w14:textId="77777777" w:rsidTr="00A47616">
        <w:trPr>
          <w:trHeight w:val="440"/>
        </w:trPr>
        <w:tc>
          <w:tcPr>
            <w:tcW w:w="1866" w:type="dxa"/>
            <w:hideMark/>
          </w:tcPr>
          <w:p w14:paraId="5C725E54" w14:textId="410E1E21" w:rsidR="00CC21DE" w:rsidRPr="00CC21DE" w:rsidRDefault="00CC21DE" w:rsidP="00A47616">
            <w:pPr>
              <w:spacing w:before="0" w:after="0"/>
              <w:jc w:val="center"/>
              <w:rPr>
                <w:rFonts w:eastAsia="Times New Roman" w:cs="Arial"/>
                <w:b/>
                <w:bCs/>
                <w:szCs w:val="16"/>
              </w:rPr>
            </w:pPr>
            <w:r w:rsidRPr="00CC21DE">
              <w:rPr>
                <w:b/>
                <w:bCs/>
              </w:rPr>
              <w:t>11</w:t>
            </w:r>
          </w:p>
        </w:tc>
        <w:tc>
          <w:tcPr>
            <w:tcW w:w="5260" w:type="dxa"/>
            <w:hideMark/>
          </w:tcPr>
          <w:p w14:paraId="2A99A378" w14:textId="6A33E948" w:rsidR="00CC21DE" w:rsidRPr="00210AC6" w:rsidRDefault="00CC21DE" w:rsidP="00A47616">
            <w:pPr>
              <w:spacing w:before="0" w:after="0"/>
              <w:jc w:val="center"/>
              <w:rPr>
                <w:rFonts w:eastAsia="Times New Roman" w:cs="Arial"/>
                <w:szCs w:val="16"/>
              </w:rPr>
            </w:pPr>
            <w:r>
              <w:t>1</w:t>
            </w:r>
          </w:p>
        </w:tc>
        <w:tc>
          <w:tcPr>
            <w:tcW w:w="2698" w:type="dxa"/>
            <w:hideMark/>
          </w:tcPr>
          <w:p w14:paraId="6320FC19" w14:textId="02021ABF" w:rsidR="00CC21DE" w:rsidRPr="00210AC6" w:rsidRDefault="00CC21DE" w:rsidP="00A47616">
            <w:pPr>
              <w:spacing w:before="0" w:after="0"/>
              <w:jc w:val="center"/>
              <w:rPr>
                <w:rFonts w:eastAsia="Times New Roman" w:cs="Arial"/>
                <w:szCs w:val="16"/>
              </w:rPr>
            </w:pPr>
            <w:r>
              <w:t>1</w:t>
            </w:r>
          </w:p>
        </w:tc>
      </w:tr>
      <w:tr w:rsidR="002E52E1" w:rsidRPr="00210AC6" w14:paraId="06D918E1" w14:textId="77777777" w:rsidTr="007E182E">
        <w:trPr>
          <w:trHeight w:val="440"/>
        </w:trPr>
        <w:tc>
          <w:tcPr>
            <w:tcW w:w="1866" w:type="dxa"/>
            <w:hideMark/>
          </w:tcPr>
          <w:p w14:paraId="0CC49880" w14:textId="6416C461" w:rsidR="002E52E1" w:rsidRPr="00210AC6" w:rsidRDefault="002E52E1" w:rsidP="00A47616">
            <w:pPr>
              <w:spacing w:before="0" w:after="0"/>
              <w:jc w:val="center"/>
              <w:rPr>
                <w:rFonts w:eastAsia="Times New Roman" w:cs="Arial"/>
                <w:szCs w:val="16"/>
              </w:rPr>
            </w:pPr>
          </w:p>
        </w:tc>
        <w:tc>
          <w:tcPr>
            <w:tcW w:w="5260" w:type="dxa"/>
            <w:hideMark/>
          </w:tcPr>
          <w:p w14:paraId="462781D1" w14:textId="3A11920A" w:rsidR="002E52E1" w:rsidRPr="00210AC6" w:rsidRDefault="002E52E1" w:rsidP="00A47616">
            <w:pPr>
              <w:spacing w:before="0" w:after="0"/>
              <w:jc w:val="center"/>
              <w:rPr>
                <w:rFonts w:eastAsia="Times New Roman" w:cs="Arial"/>
                <w:b/>
                <w:bCs/>
                <w:szCs w:val="16"/>
              </w:rPr>
            </w:pPr>
            <w:r>
              <w:rPr>
                <w:rFonts w:eastAsia="Times New Roman" w:cs="Arial"/>
                <w:b/>
                <w:bCs/>
                <w:szCs w:val="16"/>
              </w:rPr>
              <w:t>Subtotal</w:t>
            </w:r>
          </w:p>
        </w:tc>
        <w:tc>
          <w:tcPr>
            <w:tcW w:w="2698" w:type="dxa"/>
            <w:hideMark/>
          </w:tcPr>
          <w:p w14:paraId="74AC08C3" w14:textId="2EF7E8A8" w:rsidR="002E52E1" w:rsidRPr="00210AC6" w:rsidRDefault="002E52E1" w:rsidP="00A47616">
            <w:pPr>
              <w:spacing w:before="0" w:after="0"/>
              <w:jc w:val="center"/>
              <w:rPr>
                <w:rFonts w:eastAsia="Times New Roman" w:cs="Arial"/>
                <w:szCs w:val="16"/>
              </w:rPr>
            </w:pPr>
            <w:r>
              <w:t>12</w:t>
            </w:r>
          </w:p>
        </w:tc>
      </w:tr>
      <w:tr w:rsidR="000135C2" w:rsidRPr="00210AC6" w14:paraId="76E0A2EF" w14:textId="77777777" w:rsidTr="00A47616">
        <w:trPr>
          <w:trHeight w:val="735"/>
        </w:trPr>
        <w:tc>
          <w:tcPr>
            <w:tcW w:w="1866" w:type="dxa"/>
            <w:hideMark/>
          </w:tcPr>
          <w:p w14:paraId="519C22EA" w14:textId="77777777" w:rsidR="000135C2" w:rsidRPr="00210AC6" w:rsidRDefault="000135C2" w:rsidP="00A47616">
            <w:pPr>
              <w:spacing w:before="0" w:after="0"/>
              <w:jc w:val="center"/>
              <w:rPr>
                <w:rFonts w:eastAsia="Times New Roman" w:cs="Arial"/>
                <w:b/>
                <w:bCs/>
                <w:szCs w:val="16"/>
              </w:rPr>
            </w:pPr>
            <w:r w:rsidRPr="00210AC6">
              <w:rPr>
                <w:rFonts w:eastAsia="Times New Roman" w:cs="Arial"/>
                <w:b/>
                <w:bCs/>
                <w:szCs w:val="16"/>
              </w:rPr>
              <w:t>APR Score Calculation</w:t>
            </w:r>
          </w:p>
        </w:tc>
        <w:tc>
          <w:tcPr>
            <w:tcW w:w="5260" w:type="dxa"/>
            <w:hideMark/>
          </w:tcPr>
          <w:p w14:paraId="6DF4472B" w14:textId="77777777" w:rsidR="000135C2" w:rsidRPr="00210AC6" w:rsidRDefault="000135C2" w:rsidP="00A47616">
            <w:pPr>
              <w:spacing w:before="0" w:after="0"/>
              <w:rPr>
                <w:rFonts w:eastAsia="Times New Roman" w:cs="Arial"/>
                <w:b/>
                <w:bCs/>
                <w:szCs w:val="16"/>
              </w:rPr>
            </w:pPr>
            <w:r w:rsidRPr="00210AC6">
              <w:rPr>
                <w:rFonts w:eastAsia="Times New Roman" w:cs="Arial"/>
                <w:b/>
                <w:bCs/>
                <w:szCs w:val="16"/>
              </w:rPr>
              <w:t xml:space="preserve">Timely Submission Points </w:t>
            </w:r>
            <w:r w:rsidRPr="00210AC6">
              <w:rPr>
                <w:rFonts w:eastAsia="Times New Roman" w:cs="Arial"/>
                <w:szCs w:val="16"/>
              </w:rPr>
              <w:t>-  If the FFY 2021 APR was submitted  on-time, place the number 5 in the cell on the right.</w:t>
            </w:r>
          </w:p>
        </w:tc>
        <w:tc>
          <w:tcPr>
            <w:tcW w:w="2698" w:type="dxa"/>
            <w:hideMark/>
          </w:tcPr>
          <w:p w14:paraId="4F5B267F" w14:textId="19824D33" w:rsidR="000135C2" w:rsidRPr="00210AC6" w:rsidRDefault="007266A5" w:rsidP="00A47616">
            <w:pPr>
              <w:spacing w:before="0" w:after="0"/>
              <w:jc w:val="center"/>
              <w:rPr>
                <w:rFonts w:eastAsia="Times New Roman" w:cs="Arial"/>
                <w:szCs w:val="16"/>
              </w:rPr>
            </w:pPr>
            <w:r>
              <w:t>5</w:t>
            </w:r>
          </w:p>
        </w:tc>
      </w:tr>
      <w:tr w:rsidR="000135C2" w:rsidRPr="00210AC6" w14:paraId="7F7F2D97" w14:textId="77777777" w:rsidTr="00A47616">
        <w:trPr>
          <w:trHeight w:val="735"/>
        </w:trPr>
        <w:tc>
          <w:tcPr>
            <w:tcW w:w="1866" w:type="dxa"/>
            <w:hideMark/>
          </w:tcPr>
          <w:p w14:paraId="22D7B1FF" w14:textId="77777777" w:rsidR="000135C2" w:rsidRPr="00210AC6" w:rsidRDefault="000135C2" w:rsidP="00A47616">
            <w:pPr>
              <w:spacing w:before="0" w:after="0"/>
              <w:jc w:val="center"/>
              <w:rPr>
                <w:rFonts w:eastAsia="Times New Roman" w:cs="Arial"/>
                <w:b/>
                <w:bCs/>
                <w:szCs w:val="16"/>
              </w:rPr>
            </w:pPr>
          </w:p>
        </w:tc>
        <w:tc>
          <w:tcPr>
            <w:tcW w:w="5260" w:type="dxa"/>
            <w:hideMark/>
          </w:tcPr>
          <w:p w14:paraId="47D45130" w14:textId="638767C2" w:rsidR="000135C2" w:rsidRPr="00210AC6" w:rsidRDefault="000135C2" w:rsidP="00A47616">
            <w:pPr>
              <w:spacing w:before="0" w:after="0"/>
              <w:rPr>
                <w:rFonts w:eastAsia="Times New Roman" w:cs="Arial"/>
                <w:b/>
                <w:bCs/>
                <w:szCs w:val="16"/>
              </w:rPr>
            </w:pPr>
            <w:r w:rsidRPr="00210AC6">
              <w:rPr>
                <w:rFonts w:eastAsia="Times New Roman" w:cs="Arial"/>
                <w:b/>
                <w:bCs/>
                <w:szCs w:val="16"/>
              </w:rPr>
              <w:t>Grand Total</w:t>
            </w:r>
            <w:r w:rsidRPr="00210AC6">
              <w:rPr>
                <w:rFonts w:eastAsia="Times New Roman" w:cs="Arial"/>
                <w:szCs w:val="16"/>
              </w:rPr>
              <w:t xml:space="preserve"> - (Sum of </w:t>
            </w:r>
            <w:r w:rsidR="001907A4">
              <w:rPr>
                <w:rFonts w:eastAsia="Times New Roman" w:cs="Arial"/>
                <w:szCs w:val="16"/>
              </w:rPr>
              <w:t>S</w:t>
            </w:r>
            <w:r w:rsidRPr="00210AC6">
              <w:rPr>
                <w:rFonts w:eastAsia="Times New Roman" w:cs="Arial"/>
                <w:szCs w:val="16"/>
              </w:rPr>
              <w:t>ubtotal and Timely Submission Points) =</w:t>
            </w:r>
          </w:p>
        </w:tc>
        <w:tc>
          <w:tcPr>
            <w:tcW w:w="2698" w:type="dxa"/>
            <w:hideMark/>
          </w:tcPr>
          <w:p w14:paraId="373B7834" w14:textId="23B9A443" w:rsidR="000135C2" w:rsidRPr="00210AC6" w:rsidRDefault="007266A5" w:rsidP="00A47616">
            <w:pPr>
              <w:spacing w:before="0" w:after="0"/>
              <w:jc w:val="center"/>
              <w:rPr>
                <w:rFonts w:eastAsia="Times New Roman" w:cs="Arial"/>
                <w:szCs w:val="16"/>
              </w:rPr>
            </w:pPr>
            <w:r>
              <w:t>17</w:t>
            </w:r>
          </w:p>
        </w:tc>
      </w:tr>
    </w:tbl>
    <w:p w14:paraId="4A115913" w14:textId="7D7F5D85" w:rsidR="00AA07A0" w:rsidRDefault="00AA07A0" w:rsidP="000135C2">
      <w:pPr>
        <w:rPr>
          <w:rFonts w:cs="Arial"/>
          <w:szCs w:val="16"/>
        </w:rPr>
      </w:pPr>
    </w:p>
    <w:p w14:paraId="1A33A264" w14:textId="77777777" w:rsidR="00AA07A0" w:rsidRDefault="00AA07A0">
      <w:pPr>
        <w:spacing w:before="0" w:after="200" w:line="276" w:lineRule="auto"/>
        <w:rPr>
          <w:rFonts w:cs="Arial"/>
          <w:szCs w:val="16"/>
        </w:rPr>
      </w:pPr>
      <w:r>
        <w:rPr>
          <w:rFonts w:cs="Arial"/>
          <w:szCs w:val="16"/>
        </w:rPr>
        <w:br w:type="page"/>
      </w:r>
    </w:p>
    <w:p w14:paraId="7B476875" w14:textId="77777777" w:rsidR="00F2466D" w:rsidRPr="00210AC6" w:rsidRDefault="00F2466D" w:rsidP="000135C2">
      <w:pPr>
        <w:rPr>
          <w:rFonts w:cs="Arial"/>
          <w:szCs w:val="16"/>
        </w:rPr>
      </w:pPr>
    </w:p>
    <w:tbl>
      <w:tblPr>
        <w:tblStyle w:val="TableGrid1"/>
        <w:tblW w:w="9841" w:type="dxa"/>
        <w:tblLayout w:type="fixed"/>
        <w:tblLook w:val="04A0" w:firstRow="1" w:lastRow="0" w:firstColumn="1" w:lastColumn="0" w:noHBand="0" w:noVBand="1"/>
        <w:tblCaption w:val="CRUBCFFYCOLLSTAT"/>
      </w:tblPr>
      <w:tblGrid>
        <w:gridCol w:w="1968"/>
        <w:gridCol w:w="1968"/>
        <w:gridCol w:w="1968"/>
        <w:gridCol w:w="1968"/>
        <w:gridCol w:w="1969"/>
      </w:tblGrid>
      <w:tr w:rsidR="000135C2" w:rsidRPr="00210AC6" w14:paraId="1785D52C" w14:textId="77777777" w:rsidTr="00327D53">
        <w:trPr>
          <w:trHeight w:val="304"/>
          <w:tblHeader/>
        </w:trPr>
        <w:tc>
          <w:tcPr>
            <w:tcW w:w="1968" w:type="dxa"/>
            <w:noWrap/>
            <w:hideMark/>
          </w:tcPr>
          <w:p w14:paraId="5386BCC9" w14:textId="77777777" w:rsidR="000135C2" w:rsidRPr="00210AC6" w:rsidRDefault="000135C2" w:rsidP="00327D53">
            <w:pPr>
              <w:spacing w:before="0" w:after="0"/>
              <w:jc w:val="center"/>
              <w:rPr>
                <w:rFonts w:eastAsia="Times New Roman" w:cs="Arial"/>
                <w:b/>
                <w:bCs/>
                <w:szCs w:val="16"/>
              </w:rPr>
            </w:pPr>
          </w:p>
        </w:tc>
        <w:tc>
          <w:tcPr>
            <w:tcW w:w="1968" w:type="dxa"/>
          </w:tcPr>
          <w:p w14:paraId="73053A4A" w14:textId="77777777" w:rsidR="000135C2" w:rsidRPr="00210AC6" w:rsidRDefault="000135C2" w:rsidP="00327D53">
            <w:pPr>
              <w:spacing w:before="0" w:after="0"/>
              <w:jc w:val="center"/>
              <w:rPr>
                <w:rFonts w:eastAsia="Times New Roman" w:cs="Arial"/>
                <w:b/>
                <w:bCs/>
                <w:szCs w:val="16"/>
              </w:rPr>
            </w:pPr>
          </w:p>
        </w:tc>
        <w:tc>
          <w:tcPr>
            <w:tcW w:w="1968" w:type="dxa"/>
          </w:tcPr>
          <w:p w14:paraId="2A9A2FD5" w14:textId="21DF4136"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618 Data</w:t>
            </w:r>
            <w:r w:rsidR="00F253FF">
              <w:rPr>
                <w:rStyle w:val="FootnoteReference"/>
                <w:rFonts w:eastAsia="Times New Roman" w:cs="Arial"/>
                <w:b/>
                <w:bCs/>
                <w:szCs w:val="16"/>
              </w:rPr>
              <w:footnoteReference w:id="13"/>
            </w:r>
          </w:p>
        </w:tc>
        <w:tc>
          <w:tcPr>
            <w:tcW w:w="1968" w:type="dxa"/>
          </w:tcPr>
          <w:p w14:paraId="7829B719" w14:textId="77777777" w:rsidR="000135C2" w:rsidRPr="00210AC6" w:rsidRDefault="000135C2" w:rsidP="00327D53">
            <w:pPr>
              <w:spacing w:before="0" w:after="0"/>
              <w:jc w:val="center"/>
              <w:rPr>
                <w:rFonts w:eastAsia="Times New Roman" w:cs="Arial"/>
                <w:b/>
                <w:bCs/>
                <w:szCs w:val="16"/>
              </w:rPr>
            </w:pPr>
          </w:p>
        </w:tc>
        <w:tc>
          <w:tcPr>
            <w:tcW w:w="1969" w:type="dxa"/>
          </w:tcPr>
          <w:p w14:paraId="7362272D" w14:textId="77777777" w:rsidR="000135C2" w:rsidRPr="00210AC6" w:rsidRDefault="000135C2" w:rsidP="00327D53">
            <w:pPr>
              <w:spacing w:before="0" w:after="0"/>
              <w:jc w:val="center"/>
              <w:rPr>
                <w:rFonts w:eastAsia="Times New Roman" w:cs="Arial"/>
                <w:b/>
                <w:bCs/>
                <w:szCs w:val="16"/>
              </w:rPr>
            </w:pPr>
          </w:p>
        </w:tc>
      </w:tr>
      <w:tr w:rsidR="000135C2" w:rsidRPr="00210AC6" w14:paraId="7DB9D813" w14:textId="77777777" w:rsidTr="00327D53">
        <w:trPr>
          <w:trHeight w:val="458"/>
        </w:trPr>
        <w:tc>
          <w:tcPr>
            <w:tcW w:w="1968" w:type="dxa"/>
            <w:hideMark/>
          </w:tcPr>
          <w:p w14:paraId="044FBB2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Table</w:t>
            </w:r>
          </w:p>
        </w:tc>
        <w:tc>
          <w:tcPr>
            <w:tcW w:w="1968" w:type="dxa"/>
            <w:hideMark/>
          </w:tcPr>
          <w:p w14:paraId="01CB6332"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Timely</w:t>
            </w:r>
          </w:p>
        </w:tc>
        <w:tc>
          <w:tcPr>
            <w:tcW w:w="1968" w:type="dxa"/>
            <w:hideMark/>
          </w:tcPr>
          <w:p w14:paraId="72A92617"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Complete Data</w:t>
            </w:r>
          </w:p>
        </w:tc>
        <w:tc>
          <w:tcPr>
            <w:tcW w:w="1968" w:type="dxa"/>
            <w:hideMark/>
          </w:tcPr>
          <w:p w14:paraId="5E2731A6"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Passed Edit Check</w:t>
            </w:r>
          </w:p>
        </w:tc>
        <w:tc>
          <w:tcPr>
            <w:tcW w:w="1969" w:type="dxa"/>
            <w:hideMark/>
          </w:tcPr>
          <w:p w14:paraId="20A89070"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Total</w:t>
            </w:r>
          </w:p>
        </w:tc>
      </w:tr>
      <w:tr w:rsidR="008558B7" w:rsidRPr="00210AC6" w14:paraId="6B304846" w14:textId="77777777" w:rsidTr="00327D53">
        <w:trPr>
          <w:trHeight w:val="828"/>
        </w:trPr>
        <w:tc>
          <w:tcPr>
            <w:tcW w:w="1968" w:type="dxa"/>
            <w:hideMark/>
          </w:tcPr>
          <w:p w14:paraId="5DA3445E" w14:textId="266CCAF6" w:rsidR="008558B7" w:rsidRPr="00210AC6" w:rsidRDefault="008558B7" w:rsidP="008558B7">
            <w:pPr>
              <w:spacing w:before="0" w:after="0"/>
              <w:jc w:val="center"/>
              <w:rPr>
                <w:rFonts w:eastAsia="Times New Roman" w:cs="Arial"/>
                <w:b/>
                <w:bCs/>
                <w:szCs w:val="16"/>
              </w:rPr>
            </w:pPr>
            <w:r>
              <w:rPr>
                <w:rFonts w:cs="Arial"/>
                <w:b/>
                <w:bCs/>
              </w:rPr>
              <w:t xml:space="preserve"> Child Count/Settings</w:t>
            </w:r>
            <w:r w:rsidR="00FD2AA0">
              <w:rPr>
                <w:rFonts w:cs="Arial"/>
                <w:b/>
                <w:bCs/>
              </w:rPr>
              <w:t xml:space="preserve"> </w:t>
            </w:r>
            <w:r>
              <w:rPr>
                <w:rFonts w:cs="Arial"/>
                <w:b/>
                <w:bCs/>
              </w:rPr>
              <w:t>Due Date: 4/6/22</w:t>
            </w:r>
          </w:p>
        </w:tc>
        <w:tc>
          <w:tcPr>
            <w:tcW w:w="1968" w:type="dxa"/>
            <w:hideMark/>
          </w:tcPr>
          <w:p w14:paraId="5B82A08A" w14:textId="3E25A48E" w:rsidR="008558B7" w:rsidRPr="00210AC6" w:rsidRDefault="008558B7" w:rsidP="008558B7">
            <w:pPr>
              <w:spacing w:before="0" w:after="0"/>
              <w:jc w:val="center"/>
              <w:rPr>
                <w:rFonts w:eastAsia="Times New Roman" w:cs="Arial"/>
                <w:b/>
                <w:bCs/>
                <w:szCs w:val="16"/>
              </w:rPr>
            </w:pPr>
            <w:r>
              <w:t>1</w:t>
            </w:r>
          </w:p>
        </w:tc>
        <w:tc>
          <w:tcPr>
            <w:tcW w:w="1968" w:type="dxa"/>
            <w:hideMark/>
          </w:tcPr>
          <w:p w14:paraId="3D55B888" w14:textId="764AA7F4" w:rsidR="008558B7" w:rsidRPr="00210AC6" w:rsidRDefault="008558B7" w:rsidP="008558B7">
            <w:pPr>
              <w:spacing w:before="0" w:after="0"/>
              <w:jc w:val="center"/>
              <w:rPr>
                <w:rFonts w:eastAsia="Times New Roman" w:cs="Arial"/>
                <w:b/>
                <w:bCs/>
                <w:szCs w:val="16"/>
              </w:rPr>
            </w:pPr>
            <w:r>
              <w:t>1</w:t>
            </w:r>
          </w:p>
        </w:tc>
        <w:tc>
          <w:tcPr>
            <w:tcW w:w="1968" w:type="dxa"/>
            <w:hideMark/>
          </w:tcPr>
          <w:p w14:paraId="1C95108D" w14:textId="6A7A2D0D" w:rsidR="008558B7" w:rsidRPr="00210AC6" w:rsidRDefault="008558B7" w:rsidP="008558B7">
            <w:pPr>
              <w:spacing w:before="0" w:after="0"/>
              <w:jc w:val="center"/>
              <w:rPr>
                <w:rFonts w:eastAsia="Times New Roman" w:cs="Arial"/>
                <w:b/>
                <w:bCs/>
                <w:szCs w:val="16"/>
              </w:rPr>
            </w:pPr>
            <w:r>
              <w:t>1</w:t>
            </w:r>
          </w:p>
        </w:tc>
        <w:tc>
          <w:tcPr>
            <w:tcW w:w="1969" w:type="dxa"/>
            <w:noWrap/>
            <w:hideMark/>
          </w:tcPr>
          <w:p w14:paraId="1DA8AE37" w14:textId="0784CDF8" w:rsidR="008558B7" w:rsidRPr="00210AC6" w:rsidRDefault="008558B7" w:rsidP="008558B7">
            <w:pPr>
              <w:spacing w:before="0" w:after="0"/>
              <w:jc w:val="center"/>
              <w:rPr>
                <w:rFonts w:eastAsia="Times New Roman" w:cs="Arial"/>
                <w:b/>
                <w:bCs/>
                <w:szCs w:val="16"/>
              </w:rPr>
            </w:pPr>
            <w:r>
              <w:t>3</w:t>
            </w:r>
          </w:p>
        </w:tc>
      </w:tr>
      <w:tr w:rsidR="008558B7" w:rsidRPr="00210AC6" w14:paraId="716C8A41" w14:textId="77777777" w:rsidTr="00327D53">
        <w:trPr>
          <w:trHeight w:val="828"/>
        </w:trPr>
        <w:tc>
          <w:tcPr>
            <w:tcW w:w="1968" w:type="dxa"/>
            <w:hideMark/>
          </w:tcPr>
          <w:p w14:paraId="36518C88" w14:textId="2116883F" w:rsidR="008558B7" w:rsidRPr="00210AC6" w:rsidRDefault="008558B7" w:rsidP="008558B7">
            <w:pPr>
              <w:spacing w:before="0" w:after="0"/>
              <w:jc w:val="center"/>
              <w:rPr>
                <w:rFonts w:eastAsia="Times New Roman" w:cs="Arial"/>
                <w:b/>
                <w:bCs/>
                <w:szCs w:val="16"/>
              </w:rPr>
            </w:pPr>
            <w:r>
              <w:rPr>
                <w:rFonts w:cs="Arial"/>
                <w:b/>
                <w:bCs/>
              </w:rPr>
              <w:t>Exiting</w:t>
            </w:r>
            <w:r w:rsidR="00FD2AA0">
              <w:rPr>
                <w:rFonts w:cs="Arial"/>
                <w:b/>
                <w:bCs/>
              </w:rPr>
              <w:t xml:space="preserve"> </w:t>
            </w:r>
            <w:r>
              <w:rPr>
                <w:rFonts w:cs="Arial"/>
                <w:b/>
                <w:bCs/>
              </w:rPr>
              <w:t>Due Date: 11/2/22</w:t>
            </w:r>
          </w:p>
        </w:tc>
        <w:tc>
          <w:tcPr>
            <w:tcW w:w="1968" w:type="dxa"/>
            <w:hideMark/>
          </w:tcPr>
          <w:p w14:paraId="718914D8" w14:textId="02A5EED7" w:rsidR="008558B7" w:rsidRPr="00210AC6" w:rsidRDefault="008558B7" w:rsidP="008558B7">
            <w:pPr>
              <w:spacing w:before="0" w:after="0"/>
              <w:jc w:val="center"/>
              <w:rPr>
                <w:rFonts w:eastAsia="Times New Roman" w:cs="Arial"/>
                <w:b/>
                <w:bCs/>
                <w:szCs w:val="16"/>
              </w:rPr>
            </w:pPr>
            <w:r>
              <w:t>1</w:t>
            </w:r>
          </w:p>
        </w:tc>
        <w:tc>
          <w:tcPr>
            <w:tcW w:w="1968" w:type="dxa"/>
            <w:hideMark/>
          </w:tcPr>
          <w:p w14:paraId="32F1A1B3" w14:textId="4D9C140F" w:rsidR="008558B7" w:rsidRPr="00210AC6" w:rsidRDefault="008558B7" w:rsidP="008558B7">
            <w:pPr>
              <w:spacing w:before="0" w:after="0"/>
              <w:jc w:val="center"/>
              <w:rPr>
                <w:rFonts w:eastAsia="Times New Roman" w:cs="Arial"/>
                <w:b/>
                <w:bCs/>
                <w:szCs w:val="16"/>
              </w:rPr>
            </w:pPr>
            <w:r>
              <w:t>1</w:t>
            </w:r>
          </w:p>
        </w:tc>
        <w:tc>
          <w:tcPr>
            <w:tcW w:w="1968" w:type="dxa"/>
            <w:hideMark/>
          </w:tcPr>
          <w:p w14:paraId="7AD513FC" w14:textId="4590BAEC" w:rsidR="008558B7" w:rsidRPr="00210AC6" w:rsidRDefault="008558B7" w:rsidP="008558B7">
            <w:pPr>
              <w:spacing w:before="0" w:after="0"/>
              <w:jc w:val="center"/>
              <w:rPr>
                <w:rFonts w:eastAsia="Times New Roman" w:cs="Arial"/>
                <w:b/>
                <w:bCs/>
                <w:szCs w:val="16"/>
              </w:rPr>
            </w:pPr>
            <w:r>
              <w:t>1</w:t>
            </w:r>
          </w:p>
        </w:tc>
        <w:tc>
          <w:tcPr>
            <w:tcW w:w="1969" w:type="dxa"/>
            <w:noWrap/>
            <w:hideMark/>
          </w:tcPr>
          <w:p w14:paraId="5B6CA115" w14:textId="47FC989A" w:rsidR="008558B7" w:rsidRPr="00210AC6" w:rsidRDefault="008558B7" w:rsidP="008558B7">
            <w:pPr>
              <w:spacing w:before="0" w:after="0"/>
              <w:jc w:val="center"/>
              <w:rPr>
                <w:rFonts w:eastAsia="Times New Roman" w:cs="Arial"/>
                <w:b/>
                <w:bCs/>
                <w:szCs w:val="16"/>
              </w:rPr>
            </w:pPr>
            <w:r>
              <w:t>3</w:t>
            </w:r>
          </w:p>
        </w:tc>
      </w:tr>
      <w:tr w:rsidR="008558B7" w:rsidRPr="00210AC6" w14:paraId="24A33538" w14:textId="77777777" w:rsidTr="00327D53">
        <w:trPr>
          <w:trHeight w:val="828"/>
        </w:trPr>
        <w:tc>
          <w:tcPr>
            <w:tcW w:w="1968" w:type="dxa"/>
            <w:hideMark/>
          </w:tcPr>
          <w:p w14:paraId="6C00C178" w14:textId="5473F626" w:rsidR="008558B7" w:rsidRPr="00210AC6" w:rsidRDefault="008558B7" w:rsidP="008558B7">
            <w:pPr>
              <w:spacing w:before="0" w:after="0"/>
              <w:jc w:val="center"/>
              <w:rPr>
                <w:rFonts w:eastAsia="Times New Roman" w:cs="Arial"/>
                <w:b/>
                <w:bCs/>
                <w:szCs w:val="16"/>
              </w:rPr>
            </w:pPr>
            <w:r>
              <w:rPr>
                <w:rFonts w:cs="Arial"/>
                <w:b/>
                <w:bCs/>
              </w:rPr>
              <w:t>Dispute Resolution</w:t>
            </w:r>
            <w:r w:rsidR="00FD2AA0">
              <w:rPr>
                <w:rFonts w:cs="Arial"/>
                <w:b/>
                <w:bCs/>
              </w:rPr>
              <w:t xml:space="preserve"> </w:t>
            </w:r>
            <w:r>
              <w:rPr>
                <w:rFonts w:cs="Arial"/>
                <w:b/>
                <w:bCs/>
              </w:rPr>
              <w:t>Due Date: 11/2/22</w:t>
            </w:r>
          </w:p>
        </w:tc>
        <w:tc>
          <w:tcPr>
            <w:tcW w:w="1968" w:type="dxa"/>
            <w:hideMark/>
          </w:tcPr>
          <w:p w14:paraId="740AFB1F" w14:textId="62DE9166" w:rsidR="008558B7" w:rsidRPr="00210AC6" w:rsidRDefault="008558B7" w:rsidP="008558B7">
            <w:pPr>
              <w:spacing w:before="0" w:after="0"/>
              <w:jc w:val="center"/>
              <w:rPr>
                <w:rFonts w:eastAsia="Times New Roman" w:cs="Arial"/>
                <w:b/>
                <w:bCs/>
                <w:szCs w:val="16"/>
              </w:rPr>
            </w:pPr>
            <w:r>
              <w:t>1</w:t>
            </w:r>
          </w:p>
        </w:tc>
        <w:tc>
          <w:tcPr>
            <w:tcW w:w="1968" w:type="dxa"/>
            <w:hideMark/>
          </w:tcPr>
          <w:p w14:paraId="6450CF11" w14:textId="44E6B758" w:rsidR="008558B7" w:rsidRPr="00210AC6" w:rsidRDefault="008558B7" w:rsidP="008558B7">
            <w:pPr>
              <w:spacing w:before="0" w:after="0"/>
              <w:jc w:val="center"/>
              <w:rPr>
                <w:rFonts w:eastAsia="Times New Roman" w:cs="Arial"/>
                <w:b/>
                <w:bCs/>
                <w:szCs w:val="16"/>
              </w:rPr>
            </w:pPr>
            <w:r>
              <w:t>1</w:t>
            </w:r>
          </w:p>
        </w:tc>
        <w:tc>
          <w:tcPr>
            <w:tcW w:w="1968" w:type="dxa"/>
            <w:hideMark/>
          </w:tcPr>
          <w:p w14:paraId="0B24B44B" w14:textId="462122ED" w:rsidR="008558B7" w:rsidRPr="00210AC6" w:rsidRDefault="008558B7" w:rsidP="008558B7">
            <w:pPr>
              <w:spacing w:before="0" w:after="0"/>
              <w:jc w:val="center"/>
              <w:rPr>
                <w:rFonts w:eastAsia="Times New Roman" w:cs="Arial"/>
                <w:b/>
                <w:bCs/>
                <w:szCs w:val="16"/>
              </w:rPr>
            </w:pPr>
            <w:r>
              <w:t>1</w:t>
            </w:r>
          </w:p>
        </w:tc>
        <w:tc>
          <w:tcPr>
            <w:tcW w:w="1969" w:type="dxa"/>
            <w:noWrap/>
            <w:hideMark/>
          </w:tcPr>
          <w:p w14:paraId="1A25510E" w14:textId="334DE016" w:rsidR="008558B7" w:rsidRPr="00210AC6" w:rsidRDefault="008558B7" w:rsidP="008558B7">
            <w:pPr>
              <w:spacing w:before="0" w:after="0"/>
              <w:jc w:val="center"/>
              <w:rPr>
                <w:rFonts w:eastAsia="Times New Roman" w:cs="Arial"/>
                <w:b/>
                <w:bCs/>
                <w:szCs w:val="16"/>
              </w:rPr>
            </w:pPr>
            <w:r>
              <w:t>3</w:t>
            </w:r>
          </w:p>
        </w:tc>
      </w:tr>
      <w:tr w:rsidR="000135C2" w:rsidRPr="00210AC6" w14:paraId="3E8335BB" w14:textId="77777777" w:rsidTr="00327D53">
        <w:trPr>
          <w:trHeight w:val="828"/>
        </w:trPr>
        <w:tc>
          <w:tcPr>
            <w:tcW w:w="1968" w:type="dxa"/>
            <w:hideMark/>
          </w:tcPr>
          <w:p w14:paraId="56887EA0" w14:textId="69506086" w:rsidR="000135C2" w:rsidRPr="00210AC6" w:rsidRDefault="000135C2" w:rsidP="00327D53">
            <w:pPr>
              <w:spacing w:before="0" w:after="0"/>
              <w:jc w:val="center"/>
              <w:rPr>
                <w:rFonts w:eastAsia="Times New Roman" w:cs="Arial"/>
                <w:szCs w:val="16"/>
              </w:rPr>
            </w:pPr>
          </w:p>
        </w:tc>
        <w:tc>
          <w:tcPr>
            <w:tcW w:w="1968" w:type="dxa"/>
          </w:tcPr>
          <w:p w14:paraId="4D6E9B76" w14:textId="4B93EA04" w:rsidR="000135C2" w:rsidRPr="00210AC6" w:rsidRDefault="000135C2" w:rsidP="00327D53">
            <w:pPr>
              <w:spacing w:before="0" w:after="0"/>
              <w:jc w:val="center"/>
              <w:rPr>
                <w:rFonts w:eastAsia="Times New Roman" w:cs="Arial"/>
                <w:szCs w:val="16"/>
              </w:rPr>
            </w:pPr>
          </w:p>
        </w:tc>
        <w:tc>
          <w:tcPr>
            <w:tcW w:w="1968" w:type="dxa"/>
          </w:tcPr>
          <w:p w14:paraId="274EE7D1" w14:textId="04858688" w:rsidR="000135C2" w:rsidRPr="00210AC6" w:rsidRDefault="000135C2" w:rsidP="00327D53">
            <w:pPr>
              <w:spacing w:before="0" w:after="0"/>
              <w:jc w:val="center"/>
              <w:rPr>
                <w:rFonts w:eastAsia="Times New Roman" w:cs="Arial"/>
                <w:szCs w:val="16"/>
              </w:rPr>
            </w:pPr>
          </w:p>
        </w:tc>
        <w:tc>
          <w:tcPr>
            <w:tcW w:w="1968" w:type="dxa"/>
            <w:hideMark/>
          </w:tcPr>
          <w:p w14:paraId="192010A0"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Subtotal</w:t>
            </w:r>
          </w:p>
        </w:tc>
        <w:tc>
          <w:tcPr>
            <w:tcW w:w="1969" w:type="dxa"/>
            <w:noWrap/>
            <w:hideMark/>
          </w:tcPr>
          <w:p w14:paraId="7E2A797A" w14:textId="37A360E0" w:rsidR="000135C2" w:rsidRPr="00210AC6" w:rsidRDefault="004837DE" w:rsidP="00327D53">
            <w:pPr>
              <w:spacing w:before="0" w:after="0"/>
              <w:jc w:val="center"/>
              <w:rPr>
                <w:rFonts w:eastAsia="Times New Roman" w:cs="Arial"/>
                <w:szCs w:val="16"/>
              </w:rPr>
            </w:pPr>
            <w:r>
              <w:t>9</w:t>
            </w:r>
          </w:p>
        </w:tc>
      </w:tr>
      <w:tr w:rsidR="000135C2" w:rsidRPr="00210AC6" w14:paraId="6F371D2C" w14:textId="77777777" w:rsidTr="00327D53">
        <w:trPr>
          <w:trHeight w:val="828"/>
        </w:trPr>
        <w:tc>
          <w:tcPr>
            <w:tcW w:w="1968" w:type="dxa"/>
            <w:hideMark/>
          </w:tcPr>
          <w:p w14:paraId="4AB11CE0" w14:textId="77777777" w:rsidR="000135C2" w:rsidRPr="00210AC6" w:rsidRDefault="000135C2" w:rsidP="00327D53">
            <w:pPr>
              <w:spacing w:before="0" w:after="0"/>
              <w:jc w:val="center"/>
              <w:rPr>
                <w:rFonts w:eastAsia="Times New Roman" w:cs="Arial"/>
                <w:b/>
                <w:bCs/>
                <w:szCs w:val="16"/>
              </w:rPr>
            </w:pPr>
            <w:r w:rsidRPr="00210AC6">
              <w:rPr>
                <w:rFonts w:eastAsia="Times New Roman" w:cs="Arial"/>
                <w:b/>
                <w:bCs/>
                <w:szCs w:val="16"/>
              </w:rPr>
              <w:t>618 Score Calculation</w:t>
            </w:r>
          </w:p>
        </w:tc>
        <w:tc>
          <w:tcPr>
            <w:tcW w:w="1968" w:type="dxa"/>
          </w:tcPr>
          <w:p w14:paraId="07ADA455" w14:textId="77777777" w:rsidR="000135C2" w:rsidRPr="00210AC6" w:rsidRDefault="000135C2" w:rsidP="00327D53">
            <w:pPr>
              <w:spacing w:before="0" w:after="0"/>
              <w:jc w:val="center"/>
              <w:rPr>
                <w:rFonts w:eastAsia="Times New Roman" w:cs="Arial"/>
                <w:b/>
                <w:bCs/>
                <w:szCs w:val="16"/>
              </w:rPr>
            </w:pPr>
          </w:p>
        </w:tc>
        <w:tc>
          <w:tcPr>
            <w:tcW w:w="1968" w:type="dxa"/>
          </w:tcPr>
          <w:p w14:paraId="2B85F406" w14:textId="77777777" w:rsidR="000135C2" w:rsidRPr="00210AC6" w:rsidRDefault="000135C2" w:rsidP="00327D53">
            <w:pPr>
              <w:spacing w:before="0" w:after="0"/>
              <w:jc w:val="center"/>
              <w:rPr>
                <w:rFonts w:eastAsia="Times New Roman" w:cs="Arial"/>
                <w:b/>
                <w:bCs/>
                <w:szCs w:val="16"/>
              </w:rPr>
            </w:pPr>
          </w:p>
        </w:tc>
        <w:tc>
          <w:tcPr>
            <w:tcW w:w="1968" w:type="dxa"/>
            <w:hideMark/>
          </w:tcPr>
          <w:p w14:paraId="4CEF44EC" w14:textId="5CA4706A" w:rsidR="000135C2" w:rsidRPr="00210AC6" w:rsidRDefault="000135C2" w:rsidP="00FD2AA0">
            <w:pPr>
              <w:spacing w:before="0" w:after="0"/>
              <w:jc w:val="center"/>
              <w:rPr>
                <w:rFonts w:eastAsia="Times New Roman" w:cs="Arial"/>
                <w:b/>
                <w:bCs/>
                <w:szCs w:val="16"/>
              </w:rPr>
            </w:pPr>
            <w:r w:rsidRPr="00210AC6">
              <w:rPr>
                <w:rFonts w:eastAsia="Times New Roman" w:cs="Arial"/>
                <w:b/>
                <w:bCs/>
                <w:szCs w:val="16"/>
              </w:rPr>
              <w:t xml:space="preserve">Grand Total </w:t>
            </w:r>
            <w:r w:rsidRPr="00210AC6">
              <w:rPr>
                <w:rFonts w:eastAsia="Times New Roman" w:cs="Arial"/>
                <w:szCs w:val="16"/>
              </w:rPr>
              <w:t xml:space="preserve">(Subtotal X </w:t>
            </w:r>
            <w:r w:rsidR="003445A2">
              <w:rPr>
                <w:rFonts w:eastAsia="Times New Roman" w:cs="Arial"/>
                <w:szCs w:val="16"/>
              </w:rPr>
              <w:t>2</w:t>
            </w:r>
            <w:r w:rsidRPr="00210AC6">
              <w:rPr>
                <w:rFonts w:eastAsia="Times New Roman" w:cs="Arial"/>
                <w:szCs w:val="16"/>
              </w:rPr>
              <w:t>) =</w:t>
            </w:r>
          </w:p>
        </w:tc>
        <w:tc>
          <w:tcPr>
            <w:tcW w:w="1969" w:type="dxa"/>
            <w:noWrap/>
            <w:hideMark/>
          </w:tcPr>
          <w:p w14:paraId="1233FB29" w14:textId="4D282113" w:rsidR="000135C2" w:rsidRPr="00210AC6" w:rsidRDefault="004837DE" w:rsidP="00327D53">
            <w:pPr>
              <w:spacing w:before="0" w:after="0"/>
              <w:jc w:val="center"/>
              <w:rPr>
                <w:rFonts w:eastAsia="Times New Roman" w:cs="Arial"/>
                <w:szCs w:val="16"/>
              </w:rPr>
            </w:pPr>
            <w:r>
              <w:t>18.00</w:t>
            </w:r>
          </w:p>
        </w:tc>
      </w:tr>
    </w:tbl>
    <w:p w14:paraId="3067138D" w14:textId="77777777" w:rsidR="000135C2" w:rsidRPr="00210AC6" w:rsidRDefault="000135C2" w:rsidP="000135C2">
      <w:pPr>
        <w:rPr>
          <w:rFonts w:cs="Arial"/>
          <w:color w:val="000000" w:themeColor="text1"/>
          <w:szCs w:val="16"/>
        </w:rPr>
      </w:pPr>
    </w:p>
    <w:p w14:paraId="7D65D7B8" w14:textId="77777777" w:rsidR="000135C2" w:rsidRPr="00210AC6" w:rsidRDefault="000135C2" w:rsidP="000135C2">
      <w:pPr>
        <w:rPr>
          <w:rFonts w:cs="Arial"/>
          <w:color w:val="000000" w:themeColor="text1"/>
          <w:szCs w:val="16"/>
        </w:rPr>
      </w:pPr>
    </w:p>
    <w:tbl>
      <w:tblPr>
        <w:tblStyle w:val="TableGrid1"/>
        <w:tblW w:w="9839" w:type="dxa"/>
        <w:tblLook w:val="04A0" w:firstRow="1" w:lastRow="0" w:firstColumn="1" w:lastColumn="0" w:noHBand="0" w:noVBand="1"/>
        <w:tblCaption w:val="CRUBCFFYINDCALC"/>
      </w:tblPr>
      <w:tblGrid>
        <w:gridCol w:w="4919"/>
        <w:gridCol w:w="4920"/>
      </w:tblGrid>
      <w:tr w:rsidR="000135C2" w:rsidRPr="00210AC6" w14:paraId="2DD3E9EF" w14:textId="77777777" w:rsidTr="006D77BE">
        <w:trPr>
          <w:trHeight w:val="467"/>
          <w:tblHeader/>
        </w:trPr>
        <w:tc>
          <w:tcPr>
            <w:tcW w:w="4919" w:type="dxa"/>
            <w:hideMark/>
          </w:tcPr>
          <w:p w14:paraId="4711A355" w14:textId="77777777" w:rsidR="000135C2" w:rsidRPr="00210AC6" w:rsidRDefault="000135C2" w:rsidP="00C452AB">
            <w:pPr>
              <w:spacing w:before="0" w:after="0"/>
              <w:jc w:val="center"/>
              <w:rPr>
                <w:rFonts w:eastAsia="Times New Roman" w:cs="Arial"/>
                <w:b/>
                <w:bCs/>
                <w:szCs w:val="16"/>
              </w:rPr>
            </w:pPr>
            <w:r w:rsidRPr="00210AC6">
              <w:rPr>
                <w:rFonts w:eastAsia="Times New Roman" w:cs="Arial"/>
                <w:b/>
                <w:bCs/>
                <w:szCs w:val="16"/>
              </w:rPr>
              <w:t>Indicator Calculation</w:t>
            </w:r>
          </w:p>
        </w:tc>
        <w:tc>
          <w:tcPr>
            <w:tcW w:w="4920" w:type="dxa"/>
          </w:tcPr>
          <w:p w14:paraId="0AB3C687" w14:textId="77777777" w:rsidR="000135C2" w:rsidRPr="00210AC6" w:rsidRDefault="000135C2" w:rsidP="00C452AB">
            <w:pPr>
              <w:spacing w:before="0" w:after="0"/>
              <w:rPr>
                <w:rFonts w:eastAsia="Times New Roman" w:cs="Arial"/>
                <w:b/>
                <w:bCs/>
                <w:szCs w:val="16"/>
              </w:rPr>
            </w:pPr>
          </w:p>
        </w:tc>
      </w:tr>
      <w:tr w:rsidR="004A2E39" w:rsidRPr="00210AC6" w14:paraId="0B93867F" w14:textId="77777777" w:rsidTr="00C452AB">
        <w:trPr>
          <w:trHeight w:val="432"/>
        </w:trPr>
        <w:tc>
          <w:tcPr>
            <w:tcW w:w="4919" w:type="dxa"/>
            <w:hideMark/>
          </w:tcPr>
          <w:p w14:paraId="35C234D7" w14:textId="77777777" w:rsidR="004A2E39" w:rsidRPr="00210AC6" w:rsidRDefault="004A2E39" w:rsidP="004A2E39">
            <w:pPr>
              <w:spacing w:before="0" w:after="0"/>
              <w:rPr>
                <w:rFonts w:eastAsia="Times New Roman" w:cs="Arial"/>
                <w:szCs w:val="16"/>
              </w:rPr>
            </w:pPr>
            <w:r w:rsidRPr="00210AC6">
              <w:rPr>
                <w:rFonts w:eastAsia="Times New Roman" w:cs="Arial"/>
                <w:szCs w:val="16"/>
              </w:rPr>
              <w:t>A. APR Grand Total</w:t>
            </w:r>
          </w:p>
        </w:tc>
        <w:tc>
          <w:tcPr>
            <w:tcW w:w="4920" w:type="dxa"/>
            <w:hideMark/>
          </w:tcPr>
          <w:p w14:paraId="7671ECBA" w14:textId="73210BF7" w:rsidR="004A2E39" w:rsidRPr="00210AC6" w:rsidRDefault="004A2E39" w:rsidP="004A2E39">
            <w:pPr>
              <w:spacing w:before="0" w:after="0"/>
              <w:rPr>
                <w:rFonts w:eastAsia="Times New Roman" w:cs="Arial"/>
                <w:szCs w:val="16"/>
              </w:rPr>
            </w:pPr>
            <w:r>
              <w:t>17</w:t>
            </w:r>
          </w:p>
        </w:tc>
      </w:tr>
      <w:tr w:rsidR="004A2E39" w:rsidRPr="00210AC6" w14:paraId="539166C5" w14:textId="77777777" w:rsidTr="00C452AB">
        <w:trPr>
          <w:trHeight w:val="432"/>
        </w:trPr>
        <w:tc>
          <w:tcPr>
            <w:tcW w:w="4919" w:type="dxa"/>
            <w:hideMark/>
          </w:tcPr>
          <w:p w14:paraId="359B7168" w14:textId="77777777" w:rsidR="004A2E39" w:rsidRPr="00210AC6" w:rsidRDefault="004A2E39" w:rsidP="004A2E39">
            <w:pPr>
              <w:spacing w:before="0" w:after="0"/>
              <w:rPr>
                <w:rFonts w:eastAsia="Times New Roman" w:cs="Arial"/>
                <w:szCs w:val="16"/>
              </w:rPr>
            </w:pPr>
            <w:r w:rsidRPr="00210AC6">
              <w:rPr>
                <w:rFonts w:eastAsia="Times New Roman" w:cs="Arial"/>
                <w:szCs w:val="16"/>
              </w:rPr>
              <w:t>B. 618 Grand Total</w:t>
            </w:r>
          </w:p>
        </w:tc>
        <w:tc>
          <w:tcPr>
            <w:tcW w:w="4920" w:type="dxa"/>
            <w:hideMark/>
          </w:tcPr>
          <w:p w14:paraId="275A7042" w14:textId="2B5E9662" w:rsidR="004A2E39" w:rsidRPr="00210AC6" w:rsidRDefault="004A2E39" w:rsidP="004A2E39">
            <w:pPr>
              <w:spacing w:before="0" w:after="0"/>
              <w:rPr>
                <w:rFonts w:eastAsia="Times New Roman" w:cs="Arial"/>
                <w:szCs w:val="16"/>
              </w:rPr>
            </w:pPr>
            <w:r>
              <w:t>18.00</w:t>
            </w:r>
          </w:p>
        </w:tc>
      </w:tr>
      <w:tr w:rsidR="004A2E39" w:rsidRPr="00210AC6" w14:paraId="2F0D35A0" w14:textId="77777777" w:rsidTr="00C452AB">
        <w:trPr>
          <w:trHeight w:val="432"/>
        </w:trPr>
        <w:tc>
          <w:tcPr>
            <w:tcW w:w="4919" w:type="dxa"/>
            <w:hideMark/>
          </w:tcPr>
          <w:p w14:paraId="0C2088C2" w14:textId="77777777" w:rsidR="004A2E39" w:rsidRPr="00210AC6" w:rsidRDefault="004A2E39" w:rsidP="004A2E39">
            <w:pPr>
              <w:spacing w:before="0" w:after="0"/>
              <w:rPr>
                <w:rFonts w:eastAsia="Times New Roman" w:cs="Arial"/>
                <w:szCs w:val="16"/>
              </w:rPr>
            </w:pPr>
            <w:r w:rsidRPr="00210AC6">
              <w:rPr>
                <w:rFonts w:eastAsia="Times New Roman" w:cs="Arial"/>
                <w:szCs w:val="16"/>
              </w:rPr>
              <w:t>C. APR Grand Total (A) + 618 Grand Total (B) =</w:t>
            </w:r>
          </w:p>
        </w:tc>
        <w:tc>
          <w:tcPr>
            <w:tcW w:w="4920" w:type="dxa"/>
            <w:hideMark/>
          </w:tcPr>
          <w:p w14:paraId="572B3140" w14:textId="766A218C" w:rsidR="004A2E39" w:rsidRPr="00210AC6" w:rsidRDefault="004A2E39" w:rsidP="004A2E39">
            <w:pPr>
              <w:spacing w:before="0" w:after="0"/>
              <w:rPr>
                <w:rFonts w:eastAsia="Times New Roman" w:cs="Arial"/>
                <w:szCs w:val="16"/>
              </w:rPr>
            </w:pPr>
            <w:r>
              <w:t>35.00</w:t>
            </w:r>
          </w:p>
        </w:tc>
      </w:tr>
      <w:tr w:rsidR="004A2E39" w:rsidRPr="00210AC6" w14:paraId="66370322" w14:textId="77777777" w:rsidTr="00C452AB">
        <w:trPr>
          <w:trHeight w:val="432"/>
        </w:trPr>
        <w:tc>
          <w:tcPr>
            <w:tcW w:w="4919" w:type="dxa"/>
            <w:hideMark/>
          </w:tcPr>
          <w:p w14:paraId="28CEF8A5" w14:textId="2B7984C6" w:rsidR="004A2E39" w:rsidRPr="00210AC6" w:rsidRDefault="004A2E39" w:rsidP="004A2E39">
            <w:pPr>
              <w:spacing w:before="0" w:after="0"/>
              <w:jc w:val="right"/>
              <w:rPr>
                <w:rFonts w:eastAsia="Times New Roman" w:cs="Arial"/>
                <w:szCs w:val="16"/>
              </w:rPr>
            </w:pPr>
            <w:r w:rsidRPr="00210AC6">
              <w:rPr>
                <w:rFonts w:eastAsia="Times New Roman" w:cs="Arial"/>
                <w:szCs w:val="16"/>
              </w:rPr>
              <w:t>Total N</w:t>
            </w:r>
            <w:r w:rsidR="00A20642">
              <w:rPr>
                <w:rFonts w:eastAsia="Times New Roman" w:cs="Arial"/>
                <w:szCs w:val="16"/>
              </w:rPr>
              <w:t>/</w:t>
            </w:r>
            <w:r w:rsidRPr="00210AC6">
              <w:rPr>
                <w:rFonts w:eastAsia="Times New Roman" w:cs="Arial"/>
                <w:szCs w:val="16"/>
              </w:rPr>
              <w:t xml:space="preserve">A Points </w:t>
            </w:r>
            <w:r w:rsidR="00103CD3">
              <w:rPr>
                <w:rFonts w:eastAsia="Times New Roman" w:cs="Arial"/>
                <w:szCs w:val="16"/>
              </w:rPr>
              <w:t xml:space="preserve">in APR Data Table </w:t>
            </w:r>
            <w:r w:rsidRPr="00210AC6">
              <w:rPr>
                <w:rFonts w:eastAsia="Times New Roman" w:cs="Arial"/>
                <w:szCs w:val="16"/>
              </w:rPr>
              <w:t xml:space="preserve">Subtracted </w:t>
            </w:r>
            <w:r w:rsidR="00103CD3">
              <w:rPr>
                <w:rFonts w:eastAsia="Times New Roman" w:cs="Arial"/>
                <w:szCs w:val="16"/>
              </w:rPr>
              <w:t>from Denominator</w:t>
            </w:r>
          </w:p>
        </w:tc>
        <w:tc>
          <w:tcPr>
            <w:tcW w:w="4920" w:type="dxa"/>
            <w:hideMark/>
          </w:tcPr>
          <w:p w14:paraId="27258A4A" w14:textId="0023BF2F" w:rsidR="004A2E39" w:rsidRPr="00210AC6" w:rsidRDefault="004A2E39" w:rsidP="004A2E39">
            <w:pPr>
              <w:spacing w:before="0" w:after="0"/>
              <w:rPr>
                <w:rFonts w:eastAsia="Times New Roman" w:cs="Arial"/>
                <w:szCs w:val="16"/>
              </w:rPr>
            </w:pPr>
            <w:r>
              <w:t>1</w:t>
            </w:r>
          </w:p>
        </w:tc>
      </w:tr>
      <w:tr w:rsidR="004A2E39" w:rsidRPr="00210AC6" w14:paraId="485AF70A" w14:textId="77777777" w:rsidTr="00C452AB">
        <w:trPr>
          <w:trHeight w:val="432"/>
        </w:trPr>
        <w:tc>
          <w:tcPr>
            <w:tcW w:w="4919" w:type="dxa"/>
            <w:hideMark/>
          </w:tcPr>
          <w:p w14:paraId="67802FC7" w14:textId="6FE779D7" w:rsidR="004A2E39" w:rsidRPr="00210AC6" w:rsidRDefault="004A2E39" w:rsidP="004A2E39">
            <w:pPr>
              <w:spacing w:before="0" w:after="0"/>
              <w:jc w:val="right"/>
              <w:rPr>
                <w:rFonts w:eastAsia="Times New Roman" w:cs="Arial"/>
                <w:szCs w:val="16"/>
              </w:rPr>
            </w:pPr>
            <w:r w:rsidRPr="00210AC6">
              <w:rPr>
                <w:rFonts w:eastAsia="Times New Roman" w:cs="Arial"/>
                <w:szCs w:val="16"/>
              </w:rPr>
              <w:t>Total N</w:t>
            </w:r>
            <w:r w:rsidR="00A20642">
              <w:rPr>
                <w:rFonts w:eastAsia="Times New Roman" w:cs="Arial"/>
                <w:szCs w:val="16"/>
              </w:rPr>
              <w:t>/</w:t>
            </w:r>
            <w:r w:rsidRPr="00210AC6">
              <w:rPr>
                <w:rFonts w:eastAsia="Times New Roman" w:cs="Arial"/>
                <w:szCs w:val="16"/>
              </w:rPr>
              <w:t xml:space="preserve">A Points </w:t>
            </w:r>
            <w:r w:rsidR="00103CD3">
              <w:rPr>
                <w:rFonts w:eastAsia="Times New Roman" w:cs="Arial"/>
                <w:szCs w:val="16"/>
              </w:rPr>
              <w:t xml:space="preserve">in 618 Data Table </w:t>
            </w:r>
            <w:r w:rsidRPr="00210AC6">
              <w:rPr>
                <w:rFonts w:eastAsia="Times New Roman" w:cs="Arial"/>
                <w:szCs w:val="16"/>
              </w:rPr>
              <w:t xml:space="preserve">Subtracted </w:t>
            </w:r>
            <w:r w:rsidR="00103CD3">
              <w:rPr>
                <w:rFonts w:eastAsia="Times New Roman" w:cs="Arial"/>
                <w:szCs w:val="16"/>
              </w:rPr>
              <w:t>from Denominator</w:t>
            </w:r>
          </w:p>
        </w:tc>
        <w:tc>
          <w:tcPr>
            <w:tcW w:w="4920" w:type="dxa"/>
            <w:hideMark/>
          </w:tcPr>
          <w:p w14:paraId="3BB5CBDF" w14:textId="56484DCA" w:rsidR="004A2E39" w:rsidRPr="00210AC6" w:rsidRDefault="004A2E39" w:rsidP="004A2E39">
            <w:pPr>
              <w:spacing w:before="0" w:after="0"/>
              <w:rPr>
                <w:rFonts w:eastAsia="Times New Roman" w:cs="Arial"/>
                <w:szCs w:val="16"/>
              </w:rPr>
            </w:pPr>
            <w:r>
              <w:t>0.00</w:t>
            </w:r>
          </w:p>
        </w:tc>
      </w:tr>
      <w:tr w:rsidR="004A2E39" w:rsidRPr="00210AC6" w14:paraId="0BAB0C30" w14:textId="77777777" w:rsidTr="00C452AB">
        <w:trPr>
          <w:trHeight w:val="432"/>
        </w:trPr>
        <w:tc>
          <w:tcPr>
            <w:tcW w:w="4919" w:type="dxa"/>
            <w:hideMark/>
          </w:tcPr>
          <w:p w14:paraId="64C409FB" w14:textId="5C2CBD4A" w:rsidR="004A2E39" w:rsidRPr="00210AC6" w:rsidRDefault="003445A2" w:rsidP="004A2E39">
            <w:pPr>
              <w:spacing w:before="0" w:after="0"/>
              <w:jc w:val="right"/>
              <w:rPr>
                <w:rFonts w:eastAsia="Times New Roman" w:cs="Arial"/>
                <w:b/>
                <w:bCs/>
                <w:szCs w:val="16"/>
              </w:rPr>
            </w:pPr>
            <w:r>
              <w:rPr>
                <w:rFonts w:eastAsia="Times New Roman" w:cs="Arial"/>
                <w:b/>
                <w:bCs/>
                <w:szCs w:val="16"/>
              </w:rPr>
              <w:t>Denominator</w:t>
            </w:r>
          </w:p>
        </w:tc>
        <w:tc>
          <w:tcPr>
            <w:tcW w:w="4920" w:type="dxa"/>
            <w:hideMark/>
          </w:tcPr>
          <w:p w14:paraId="4FBFC9BC" w14:textId="04015575" w:rsidR="004A2E39" w:rsidRPr="00210AC6" w:rsidRDefault="004A2E39" w:rsidP="004A2E39">
            <w:pPr>
              <w:spacing w:before="0" w:after="0"/>
              <w:rPr>
                <w:rFonts w:eastAsia="Times New Roman" w:cs="Arial"/>
                <w:szCs w:val="16"/>
              </w:rPr>
            </w:pPr>
            <w:r>
              <w:t>35.00</w:t>
            </w:r>
          </w:p>
        </w:tc>
      </w:tr>
      <w:tr w:rsidR="004A2E39" w:rsidRPr="00210AC6" w14:paraId="313D2E20" w14:textId="77777777" w:rsidTr="00C452AB">
        <w:trPr>
          <w:trHeight w:val="432"/>
        </w:trPr>
        <w:tc>
          <w:tcPr>
            <w:tcW w:w="4919" w:type="dxa"/>
            <w:hideMark/>
          </w:tcPr>
          <w:p w14:paraId="3BFF4D94" w14:textId="796B2A94" w:rsidR="004A2E39" w:rsidRPr="00210AC6" w:rsidRDefault="004A2E39" w:rsidP="004A2E39">
            <w:pPr>
              <w:spacing w:before="0" w:after="0"/>
              <w:rPr>
                <w:rFonts w:eastAsia="Times New Roman" w:cs="Arial"/>
                <w:szCs w:val="16"/>
              </w:rPr>
            </w:pPr>
            <w:r w:rsidRPr="00210AC6">
              <w:rPr>
                <w:rFonts w:eastAsia="Times New Roman" w:cs="Arial"/>
                <w:szCs w:val="16"/>
              </w:rPr>
              <w:t>D. Subtotal (C divided by Denominator*) =</w:t>
            </w:r>
          </w:p>
        </w:tc>
        <w:tc>
          <w:tcPr>
            <w:tcW w:w="4920" w:type="dxa"/>
            <w:hideMark/>
          </w:tcPr>
          <w:p w14:paraId="4C4FECD3" w14:textId="6A98D3C6" w:rsidR="004A2E39" w:rsidRPr="00210AC6" w:rsidRDefault="004A2E39" w:rsidP="004A2E39">
            <w:pPr>
              <w:spacing w:before="0" w:after="0"/>
              <w:rPr>
                <w:rFonts w:eastAsia="Times New Roman" w:cs="Arial"/>
                <w:szCs w:val="16"/>
              </w:rPr>
            </w:pPr>
            <w:r>
              <w:t>1.0000</w:t>
            </w:r>
          </w:p>
        </w:tc>
      </w:tr>
      <w:tr w:rsidR="004A2E39" w:rsidRPr="00210AC6" w14:paraId="30E510D4" w14:textId="77777777" w:rsidTr="00C452AB">
        <w:trPr>
          <w:trHeight w:val="432"/>
        </w:trPr>
        <w:tc>
          <w:tcPr>
            <w:tcW w:w="4919" w:type="dxa"/>
            <w:hideMark/>
          </w:tcPr>
          <w:p w14:paraId="131F4271" w14:textId="77777777" w:rsidR="004A2E39" w:rsidRPr="00210AC6" w:rsidRDefault="004A2E39" w:rsidP="004A2E39">
            <w:pPr>
              <w:spacing w:before="0" w:after="0"/>
              <w:rPr>
                <w:rFonts w:eastAsia="Times New Roman" w:cs="Arial"/>
                <w:szCs w:val="16"/>
              </w:rPr>
            </w:pPr>
            <w:r w:rsidRPr="00210AC6">
              <w:rPr>
                <w:rFonts w:eastAsia="Times New Roman" w:cs="Arial"/>
                <w:szCs w:val="16"/>
              </w:rPr>
              <w:t>E. Indicator Score (Subtotal D x 100) =</w:t>
            </w:r>
          </w:p>
        </w:tc>
        <w:tc>
          <w:tcPr>
            <w:tcW w:w="4920" w:type="dxa"/>
            <w:hideMark/>
          </w:tcPr>
          <w:p w14:paraId="3144A119" w14:textId="2E9A2561" w:rsidR="004A2E39" w:rsidRPr="00210AC6" w:rsidRDefault="004A2E39" w:rsidP="004A2E39">
            <w:pPr>
              <w:spacing w:before="0" w:after="0"/>
              <w:rPr>
                <w:rFonts w:eastAsia="Times New Roman" w:cs="Arial"/>
                <w:szCs w:val="16"/>
              </w:rPr>
            </w:pPr>
            <w:r>
              <w:t>100.00</w:t>
            </w:r>
          </w:p>
        </w:tc>
      </w:tr>
    </w:tbl>
    <w:p w14:paraId="4A88E261" w14:textId="77777777" w:rsidR="001A0793" w:rsidRDefault="001A0793" w:rsidP="000135C2">
      <w:pPr>
        <w:rPr>
          <w:rFonts w:eastAsia="Times New Roman" w:cs="Arial"/>
          <w:b/>
          <w:bCs/>
          <w:szCs w:val="16"/>
        </w:rPr>
      </w:pPr>
    </w:p>
    <w:p w14:paraId="212B5E2E" w14:textId="08ACEF92" w:rsidR="002E0DD9" w:rsidRDefault="001A0793" w:rsidP="00DC6D97">
      <w:pPr>
        <w:rPr>
          <w:b/>
          <w:bCs/>
        </w:rPr>
      </w:pPr>
      <w:r w:rsidRPr="00DC6D97">
        <w:rPr>
          <w:b/>
          <w:bCs/>
        </w:rPr>
        <w:t xml:space="preserve">*Note </w:t>
      </w:r>
      <w:r w:rsidR="00103CD3">
        <w:rPr>
          <w:b/>
          <w:bCs/>
        </w:rPr>
        <w:t xml:space="preserve">that </w:t>
      </w:r>
      <w:r w:rsidRPr="00DC6D97">
        <w:rPr>
          <w:b/>
          <w:bCs/>
        </w:rPr>
        <w:t xml:space="preserve">any cell marked as N/A </w:t>
      </w:r>
      <w:r w:rsidR="00103CD3">
        <w:rPr>
          <w:b/>
          <w:bCs/>
        </w:rPr>
        <w:t xml:space="preserve">in the APR Data Table </w:t>
      </w:r>
      <w:r w:rsidRPr="00DC6D97">
        <w:rPr>
          <w:b/>
          <w:bCs/>
        </w:rPr>
        <w:t>will decrease the denominator by 1</w:t>
      </w:r>
      <w:r w:rsidR="00103CD3">
        <w:rPr>
          <w:b/>
          <w:bCs/>
        </w:rPr>
        <w:t>,</w:t>
      </w:r>
      <w:r w:rsidRPr="00DC6D97">
        <w:rPr>
          <w:b/>
          <w:bCs/>
        </w:rPr>
        <w:t xml:space="preserve"> and </w:t>
      </w:r>
      <w:r w:rsidR="00103CD3">
        <w:rPr>
          <w:b/>
          <w:bCs/>
        </w:rPr>
        <w:t xml:space="preserve">any cell marked as N/A in the 618 Data Table will decrease the denominator by </w:t>
      </w:r>
      <w:r w:rsidRPr="00DC6D97">
        <w:rPr>
          <w:b/>
          <w:bCs/>
        </w:rPr>
        <w:t>2</w:t>
      </w:r>
      <w:r w:rsidR="00103CD3">
        <w:rPr>
          <w:b/>
          <w:bCs/>
        </w:rPr>
        <w:t>.</w:t>
      </w:r>
    </w:p>
    <w:p w14:paraId="4D089C92" w14:textId="2A372189" w:rsidR="00FD2AA0" w:rsidRDefault="001C4B22" w:rsidP="00DC6D97">
      <w:pPr>
        <w:rPr>
          <w:b/>
          <w:bCs/>
        </w:rPr>
      </w:pPr>
      <w:r>
        <w:rPr>
          <w:b/>
          <w:bCs/>
        </w:rPr>
        <w:t>_________________________________________________________________________________________________________________________</w:t>
      </w:r>
      <w:bookmarkStart w:id="102" w:name="_GoBack"/>
      <w:bookmarkEnd w:id="102"/>
    </w:p>
    <w:p w14:paraId="5992F4B1" w14:textId="77777777" w:rsidR="00FD2AA0" w:rsidRDefault="00FD2AA0" w:rsidP="00DC6D97">
      <w:pPr>
        <w:rPr>
          <w:b/>
          <w:bCs/>
        </w:rPr>
      </w:pPr>
    </w:p>
    <w:p w14:paraId="7483F12B" w14:textId="77777777" w:rsidR="00FD2AA0" w:rsidRDefault="00FD2AA0" w:rsidP="00DC6D97">
      <w:pPr>
        <w:rPr>
          <w:b/>
          <w:bCs/>
        </w:rPr>
      </w:pPr>
    </w:p>
    <w:p w14:paraId="038DFFCF" w14:textId="77777777" w:rsidR="00FD2AA0" w:rsidRPr="00DC6D97" w:rsidRDefault="00FD2AA0" w:rsidP="00DC6D97">
      <w:pPr>
        <w:rPr>
          <w:b/>
          <w:bCs/>
        </w:rPr>
      </w:pPr>
    </w:p>
    <w:p w14:paraId="64D1AEC4" w14:textId="5B2A7F86" w:rsidR="00DC6D97" w:rsidRDefault="00DC6D97" w:rsidP="00DC6D97"/>
    <w:p w14:paraId="086B2E38" w14:textId="12D8DB76" w:rsidR="00DC6D97" w:rsidRDefault="00DC6D97" w:rsidP="00DC6D97"/>
    <w:p w14:paraId="2467EB6D" w14:textId="77777777" w:rsidR="00DC6D97" w:rsidRPr="00DC6D97" w:rsidRDefault="00DC6D97" w:rsidP="00DC6D97"/>
    <w:p w14:paraId="6752827D" w14:textId="2B0103CA" w:rsidR="00A241E8" w:rsidRDefault="00A241E8">
      <w:pPr>
        <w:spacing w:before="0" w:after="200" w:line="276" w:lineRule="auto"/>
      </w:pPr>
      <w:r>
        <w:br w:type="page"/>
      </w:r>
    </w:p>
    <w:p w14:paraId="5959AD1D" w14:textId="3C0EB096" w:rsidR="008A41E6" w:rsidRPr="008A41E6" w:rsidRDefault="008A41E6" w:rsidP="008A41E6">
      <w:pPr>
        <w:rPr>
          <w:b/>
          <w:bCs/>
          <w:sz w:val="20"/>
          <w:szCs w:val="28"/>
        </w:rPr>
      </w:pPr>
      <w:r w:rsidRPr="008A41E6">
        <w:rPr>
          <w:b/>
          <w:bCs/>
          <w:sz w:val="20"/>
          <w:szCs w:val="28"/>
        </w:rPr>
        <w:lastRenderedPageBreak/>
        <w:t>APR and 618 -Timely and Accurate State Reported Data</w:t>
      </w:r>
    </w:p>
    <w:p w14:paraId="1A994B3A" w14:textId="05E7B6A8" w:rsidR="008A41E6" w:rsidRDefault="008A41E6" w:rsidP="008A41E6"/>
    <w:p w14:paraId="2557028E" w14:textId="2D48FD44" w:rsidR="008A41E6" w:rsidRPr="008A41E6" w:rsidRDefault="008A41E6" w:rsidP="008A41E6">
      <w:pPr>
        <w:rPr>
          <w:b/>
          <w:bCs/>
        </w:rPr>
      </w:pPr>
      <w:r w:rsidRPr="008A41E6">
        <w:rPr>
          <w:b/>
          <w:bCs/>
        </w:rPr>
        <w:t>DATE: February 2023 Submission</w:t>
      </w:r>
    </w:p>
    <w:p w14:paraId="6428EBD3" w14:textId="10EBDA7E" w:rsidR="008A41E6" w:rsidRDefault="008A41E6" w:rsidP="008A41E6"/>
    <w:p w14:paraId="07678103" w14:textId="77777777" w:rsidR="004D63DC" w:rsidRDefault="004D63DC" w:rsidP="008A41E6">
      <w:pPr>
        <w:rPr>
          <w:b/>
          <w:bCs/>
        </w:rPr>
      </w:pPr>
      <w:r>
        <w:rPr>
          <w:b/>
          <w:bCs/>
        </w:rPr>
        <w:t>SPP/APR Data</w:t>
      </w:r>
    </w:p>
    <w:p w14:paraId="59D85CD3" w14:textId="77777777" w:rsidR="004D63DC" w:rsidRDefault="004D63DC" w:rsidP="008A41E6">
      <w:pPr>
        <w:rPr>
          <w:b/>
          <w:bCs/>
        </w:rPr>
      </w:pPr>
    </w:p>
    <w:p w14:paraId="4329C946" w14:textId="28CCF4CE" w:rsidR="008A41E6" w:rsidRDefault="008A41E6" w:rsidP="008A41E6">
      <w:r w:rsidRPr="008A41E6">
        <w:rPr>
          <w:b/>
          <w:bCs/>
        </w:rPr>
        <w:t>1) Valid and Reliable Data</w:t>
      </w:r>
      <w:r w:rsidRPr="008A41E6">
        <w:t xml:space="preserve"> - Data provided are from the correct time period, are consistent with 618 (when appropriate) and the measurement, and are consistent with previous indicator data (unless explained).</w:t>
      </w:r>
    </w:p>
    <w:p w14:paraId="09A8599A" w14:textId="1A822BB6" w:rsidR="008A41E6" w:rsidRDefault="008A41E6" w:rsidP="008A41E6"/>
    <w:p w14:paraId="0ED39287" w14:textId="4C5646EE" w:rsidR="008A41E6" w:rsidRDefault="008A41E6" w:rsidP="008A41E6">
      <w:r w:rsidRPr="008A41E6">
        <w:rPr>
          <w:b/>
          <w:bCs/>
        </w:rPr>
        <w:t>Part C 618 Data</w:t>
      </w:r>
    </w:p>
    <w:p w14:paraId="56DFAC4A" w14:textId="5DE17FC1" w:rsidR="008A41E6" w:rsidRDefault="008A41E6" w:rsidP="008A41E6"/>
    <w:p w14:paraId="2EEEE608" w14:textId="4E352E20" w:rsidR="008A41E6" w:rsidRDefault="008A41E6" w:rsidP="008A41E6">
      <w:r w:rsidRPr="008A41E6">
        <w:rPr>
          <w:b/>
          <w:bCs/>
        </w:rPr>
        <w:t>1) Timely</w:t>
      </w:r>
      <w:r w:rsidRPr="008A41E6">
        <w:t xml:space="preserve"> –   A State will receive one point if it submits counts/ responses for an entire EMAPS survey associated with the IDEA Section 618 data collection to ED by the initial due date for that collection (as described the table below).    </w:t>
      </w:r>
    </w:p>
    <w:p w14:paraId="69375CF6" w14:textId="0BF63352" w:rsidR="008A41E6" w:rsidRDefault="008A41E6" w:rsidP="008A41E6"/>
    <w:tbl>
      <w:tblPr>
        <w:tblStyle w:val="TableGrid"/>
        <w:tblW w:w="0" w:type="auto"/>
        <w:tblLook w:val="04A0" w:firstRow="1" w:lastRow="0" w:firstColumn="1" w:lastColumn="0" w:noHBand="0" w:noVBand="1"/>
        <w:tblCaption w:val="CRUBCFFYREADME"/>
      </w:tblPr>
      <w:tblGrid>
        <w:gridCol w:w="2785"/>
        <w:gridCol w:w="3615"/>
        <w:gridCol w:w="3230"/>
      </w:tblGrid>
      <w:tr w:rsidR="008A41E6" w:rsidRPr="008A41E6" w14:paraId="5C446AB4" w14:textId="77777777" w:rsidTr="008A41E6">
        <w:trPr>
          <w:trHeight w:val="290"/>
        </w:trPr>
        <w:tc>
          <w:tcPr>
            <w:tcW w:w="2785" w:type="dxa"/>
            <w:hideMark/>
          </w:tcPr>
          <w:p w14:paraId="7E9517B5" w14:textId="77777777" w:rsidR="008A41E6" w:rsidRPr="008A41E6" w:rsidRDefault="008A41E6" w:rsidP="008A41E6">
            <w:pPr>
              <w:rPr>
                <w:b/>
                <w:bCs/>
              </w:rPr>
            </w:pPr>
            <w:r w:rsidRPr="008A41E6">
              <w:rPr>
                <w:b/>
                <w:bCs/>
              </w:rPr>
              <w:t>618 Data Collection</w:t>
            </w:r>
          </w:p>
        </w:tc>
        <w:tc>
          <w:tcPr>
            <w:tcW w:w="3615" w:type="dxa"/>
            <w:hideMark/>
          </w:tcPr>
          <w:p w14:paraId="38BB8167" w14:textId="77777777" w:rsidR="008A41E6" w:rsidRPr="008A41E6" w:rsidRDefault="008A41E6">
            <w:pPr>
              <w:rPr>
                <w:b/>
                <w:bCs/>
              </w:rPr>
            </w:pPr>
            <w:r w:rsidRPr="008A41E6">
              <w:rPr>
                <w:b/>
                <w:bCs/>
              </w:rPr>
              <w:t>EMAPS Survey</w:t>
            </w:r>
          </w:p>
        </w:tc>
        <w:tc>
          <w:tcPr>
            <w:tcW w:w="3230" w:type="dxa"/>
            <w:hideMark/>
          </w:tcPr>
          <w:p w14:paraId="0C600FA2" w14:textId="77777777" w:rsidR="008A41E6" w:rsidRPr="008A41E6" w:rsidRDefault="008A41E6">
            <w:pPr>
              <w:rPr>
                <w:b/>
                <w:bCs/>
              </w:rPr>
            </w:pPr>
            <w:r w:rsidRPr="008A41E6">
              <w:rPr>
                <w:b/>
                <w:bCs/>
              </w:rPr>
              <w:t>Due Date</w:t>
            </w:r>
          </w:p>
        </w:tc>
      </w:tr>
      <w:tr w:rsidR="008A41E6" w:rsidRPr="008A41E6" w14:paraId="48B0EA70" w14:textId="77777777" w:rsidTr="008A41E6">
        <w:trPr>
          <w:trHeight w:val="340"/>
        </w:trPr>
        <w:tc>
          <w:tcPr>
            <w:tcW w:w="2785" w:type="dxa"/>
            <w:hideMark/>
          </w:tcPr>
          <w:p w14:paraId="47BE65B7" w14:textId="77777777" w:rsidR="008A41E6" w:rsidRPr="008A41E6" w:rsidRDefault="008A41E6">
            <w:r w:rsidRPr="008A41E6">
              <w:t>Part C Child Count and Setting</w:t>
            </w:r>
          </w:p>
        </w:tc>
        <w:tc>
          <w:tcPr>
            <w:tcW w:w="3615" w:type="dxa"/>
            <w:hideMark/>
          </w:tcPr>
          <w:p w14:paraId="6E50EDA7" w14:textId="77777777" w:rsidR="008A41E6" w:rsidRPr="008A41E6" w:rsidRDefault="008A41E6">
            <w:r w:rsidRPr="008A41E6">
              <w:t>Part C Child Count and Settings in EMAPS</w:t>
            </w:r>
          </w:p>
        </w:tc>
        <w:tc>
          <w:tcPr>
            <w:tcW w:w="3230" w:type="dxa"/>
            <w:hideMark/>
          </w:tcPr>
          <w:p w14:paraId="31BA0725" w14:textId="77777777" w:rsidR="008A41E6" w:rsidRPr="008A41E6" w:rsidRDefault="008A41E6">
            <w:r w:rsidRPr="008A41E6">
              <w:t>1</w:t>
            </w:r>
            <w:r w:rsidRPr="008A41E6">
              <w:rPr>
                <w:vertAlign w:val="superscript"/>
              </w:rPr>
              <w:t>st</w:t>
            </w:r>
            <w:r w:rsidRPr="008A41E6">
              <w:t xml:space="preserve"> Wednesday in April</w:t>
            </w:r>
          </w:p>
        </w:tc>
      </w:tr>
      <w:tr w:rsidR="008A41E6" w:rsidRPr="008A41E6" w14:paraId="1173D2B3" w14:textId="77777777" w:rsidTr="008A41E6">
        <w:trPr>
          <w:trHeight w:val="340"/>
        </w:trPr>
        <w:tc>
          <w:tcPr>
            <w:tcW w:w="2785" w:type="dxa"/>
            <w:hideMark/>
          </w:tcPr>
          <w:p w14:paraId="461E95EA" w14:textId="77777777" w:rsidR="008A41E6" w:rsidRPr="008A41E6" w:rsidRDefault="008A41E6">
            <w:r w:rsidRPr="008A41E6">
              <w:t>Part C Exiting</w:t>
            </w:r>
          </w:p>
        </w:tc>
        <w:tc>
          <w:tcPr>
            <w:tcW w:w="3615" w:type="dxa"/>
            <w:hideMark/>
          </w:tcPr>
          <w:p w14:paraId="1E6A19F0" w14:textId="77777777" w:rsidR="008A41E6" w:rsidRPr="008A41E6" w:rsidRDefault="008A41E6">
            <w:r w:rsidRPr="008A41E6">
              <w:t>Part C Exiting Collection in EMAPS</w:t>
            </w:r>
          </w:p>
        </w:tc>
        <w:tc>
          <w:tcPr>
            <w:tcW w:w="3230" w:type="dxa"/>
            <w:hideMark/>
          </w:tcPr>
          <w:p w14:paraId="6771BD30" w14:textId="77777777" w:rsidR="008A41E6" w:rsidRPr="008A41E6" w:rsidRDefault="008A41E6">
            <w:r w:rsidRPr="008A41E6">
              <w:t>1</w:t>
            </w:r>
            <w:r w:rsidRPr="008A41E6">
              <w:rPr>
                <w:vertAlign w:val="superscript"/>
              </w:rPr>
              <w:t>st</w:t>
            </w:r>
            <w:r w:rsidRPr="008A41E6">
              <w:t xml:space="preserve"> Wednesday in November</w:t>
            </w:r>
          </w:p>
        </w:tc>
      </w:tr>
      <w:tr w:rsidR="008A41E6" w:rsidRPr="008A41E6" w14:paraId="44C89D7A" w14:textId="77777777" w:rsidTr="008A41E6">
        <w:trPr>
          <w:trHeight w:val="340"/>
        </w:trPr>
        <w:tc>
          <w:tcPr>
            <w:tcW w:w="2785" w:type="dxa"/>
            <w:hideMark/>
          </w:tcPr>
          <w:p w14:paraId="2366E4F6" w14:textId="77777777" w:rsidR="008A41E6" w:rsidRPr="008A41E6" w:rsidRDefault="008A41E6">
            <w:r w:rsidRPr="008A41E6">
              <w:t xml:space="preserve">Part C Dispute Resolution </w:t>
            </w:r>
          </w:p>
        </w:tc>
        <w:tc>
          <w:tcPr>
            <w:tcW w:w="3615" w:type="dxa"/>
            <w:hideMark/>
          </w:tcPr>
          <w:p w14:paraId="3D6A733B" w14:textId="77777777" w:rsidR="008A41E6" w:rsidRPr="008A41E6" w:rsidRDefault="008A41E6">
            <w:r w:rsidRPr="008A41E6">
              <w:t>Part C Dispute Resolution Survey in EMAPS</w:t>
            </w:r>
          </w:p>
        </w:tc>
        <w:tc>
          <w:tcPr>
            <w:tcW w:w="3230" w:type="dxa"/>
            <w:hideMark/>
          </w:tcPr>
          <w:p w14:paraId="37D36B50" w14:textId="77777777" w:rsidR="008A41E6" w:rsidRPr="008A41E6" w:rsidRDefault="008A41E6">
            <w:r w:rsidRPr="008A41E6">
              <w:t>1</w:t>
            </w:r>
            <w:r w:rsidRPr="008A41E6">
              <w:rPr>
                <w:vertAlign w:val="superscript"/>
              </w:rPr>
              <w:t>st</w:t>
            </w:r>
            <w:r w:rsidRPr="008A41E6">
              <w:t xml:space="preserve"> Wednesday in November</w:t>
            </w:r>
          </w:p>
        </w:tc>
      </w:tr>
    </w:tbl>
    <w:p w14:paraId="7F1B7E1E" w14:textId="08E3DD99" w:rsidR="008A41E6" w:rsidRDefault="008A41E6" w:rsidP="008A41E6"/>
    <w:p w14:paraId="5A249D59" w14:textId="77777777" w:rsidR="008A41E6" w:rsidRPr="008A41E6" w:rsidRDefault="008A41E6" w:rsidP="008A41E6">
      <w:pPr>
        <w:rPr>
          <w:b/>
          <w:bCs/>
        </w:rPr>
      </w:pPr>
      <w:r w:rsidRPr="008A41E6">
        <w:rPr>
          <w:b/>
          <w:bCs/>
        </w:rPr>
        <w:t>2) Complete Data</w:t>
      </w:r>
      <w:r w:rsidRPr="008A41E6">
        <w:t xml:space="preserve"> – A State will receive one point if it submits data for all data elements, subtotals, totals as well as responses to all questions associated with a specific data collection by the initial due date. No data is reported as missing. No placeholder data is submitted. State-level data include data from all districts or agencies.</w:t>
      </w:r>
    </w:p>
    <w:p w14:paraId="28B8ED82" w14:textId="74CFF7DA" w:rsidR="008A41E6" w:rsidRDefault="008A41E6" w:rsidP="008A41E6"/>
    <w:p w14:paraId="2EA74A56" w14:textId="1FA06DB5" w:rsidR="008A41E6" w:rsidRPr="008A41E6" w:rsidRDefault="008A41E6" w:rsidP="008A41E6">
      <w:pPr>
        <w:rPr>
          <w:b/>
          <w:bCs/>
        </w:rPr>
      </w:pPr>
      <w:r w:rsidRPr="008A41E6">
        <w:rPr>
          <w:b/>
          <w:bCs/>
        </w:rPr>
        <w:t xml:space="preserve">3) Passed Edit Check – </w:t>
      </w:r>
      <w:r w:rsidRPr="008A41E6">
        <w:t xml:space="preserve">A State will receive one point if it submits data that meets all the edit checks related to the specific data collection by the initial due date. The counts included in 618 data submissions are internally consistent within a data collection. See the EMAPS User Guide for each of the Part C 618 Data Collections for a list of edit checks (available at: </w:t>
      </w:r>
      <w:hyperlink r:id="rId13" w:history="1">
        <w:r w:rsidRPr="008A41E6">
          <w:rPr>
            <w:rStyle w:val="Hyperlink"/>
          </w:rPr>
          <w:t>https://www2.ed.gov/about/inits/ed/edfacts/index.html</w:t>
        </w:r>
      </w:hyperlink>
      <w:r w:rsidRPr="008A41E6">
        <w:t xml:space="preserve">). </w:t>
      </w:r>
    </w:p>
    <w:p w14:paraId="69646AD1" w14:textId="77777777" w:rsidR="008A41E6" w:rsidRDefault="008A41E6" w:rsidP="008A41E6"/>
    <w:p w14:paraId="0A8D754F" w14:textId="6FDA0BB2" w:rsidR="008A41E6" w:rsidRPr="008A41E6" w:rsidRDefault="008A41E6" w:rsidP="008A41E6">
      <w:pPr>
        <w:spacing w:before="0" w:after="200" w:line="276" w:lineRule="auto"/>
      </w:pPr>
      <w:r>
        <w:br w:type="page"/>
      </w:r>
    </w:p>
    <w:p w14:paraId="6054DF11" w14:textId="041E1531" w:rsidR="00C571DA" w:rsidRDefault="00C571DA" w:rsidP="00C571DA">
      <w:pPr>
        <w:pStyle w:val="Heading2"/>
      </w:pPr>
      <w:r>
        <w:lastRenderedPageBreak/>
        <w:t>Dispute Resolution</w:t>
      </w:r>
    </w:p>
    <w:p w14:paraId="2D73293C" w14:textId="1B823240" w:rsidR="00A241E8" w:rsidRDefault="00A241E8">
      <w:pPr>
        <w:spacing w:before="0" w:after="200" w:line="276" w:lineRule="auto"/>
      </w:pPr>
      <w:r>
        <w:br w:type="page"/>
      </w:r>
    </w:p>
    <w:p w14:paraId="4F693312" w14:textId="07B49994" w:rsidR="000135C2" w:rsidRPr="00DC6D97" w:rsidRDefault="000135C2" w:rsidP="00C571DA">
      <w:pPr>
        <w:pStyle w:val="Heading2"/>
      </w:pPr>
      <w:r w:rsidRPr="00DC6D97">
        <w:lastRenderedPageBreak/>
        <w:t>How the Department Made Determinations</w:t>
      </w:r>
    </w:p>
    <w:p w14:paraId="1D58C3C5" w14:textId="77777777" w:rsidR="002D491B" w:rsidRPr="00852D39" w:rsidRDefault="002D491B" w:rsidP="00815E41">
      <w:pPr>
        <w:pStyle w:val="BodyText"/>
        <w:spacing w:before="7"/>
        <w:rPr>
          <w:rFonts w:ascii="Arial" w:eastAsia="Calibri" w:hAnsi="Arial" w:cs="Arial"/>
          <w:b/>
          <w:color w:val="20798E"/>
          <w:sz w:val="28"/>
          <w:szCs w:val="18"/>
          <w:u w:val="thick" w:color="8DB3E1"/>
        </w:rPr>
      </w:pPr>
    </w:p>
    <w:p w14:paraId="6264FEA6" w14:textId="77777777" w:rsidR="009E43D9" w:rsidRPr="004D63DC" w:rsidRDefault="009E43D9" w:rsidP="009E43D9">
      <w:pPr>
        <w:rPr>
          <w:rFonts w:cs="Arial"/>
          <w:szCs w:val="16"/>
        </w:rPr>
      </w:pPr>
      <w:r w:rsidRPr="004D63DC">
        <w:rPr>
          <w:rFonts w:cs="Arial"/>
          <w:szCs w:val="16"/>
        </w:rPr>
        <w:t>Below is the location of How the Department Made Determinations (HTDMD) on OSEP’s IDEA Website.  How the Department Made Determinations in 2023 will be posted in June 2023. Copy and paste the link below into a browser to view.</w:t>
      </w:r>
    </w:p>
    <w:p w14:paraId="325E4192" w14:textId="77777777" w:rsidR="002D491B" w:rsidRPr="004D63DC" w:rsidRDefault="002D491B" w:rsidP="002D491B">
      <w:pPr>
        <w:pStyle w:val="BodyText"/>
        <w:spacing w:before="7"/>
        <w:rPr>
          <w:rFonts w:ascii="Arial" w:eastAsia="Calibri" w:hAnsi="Arial" w:cs="Arial"/>
          <w:sz w:val="16"/>
          <w:szCs w:val="16"/>
        </w:rPr>
      </w:pPr>
    </w:p>
    <w:p w14:paraId="7B3F3D6E" w14:textId="14E72030" w:rsidR="00FD047C" w:rsidRPr="004D63DC" w:rsidRDefault="00C778B0" w:rsidP="002D491B">
      <w:pPr>
        <w:spacing w:before="0" w:after="200" w:line="276" w:lineRule="auto"/>
        <w:rPr>
          <w:rFonts w:cs="Arial"/>
          <w:b/>
          <w:bCs/>
          <w:szCs w:val="16"/>
        </w:rPr>
      </w:pPr>
      <w:hyperlink r:id="rId14" w:history="1">
        <w:r w:rsidR="00496C09" w:rsidRPr="004D63DC">
          <w:rPr>
            <w:rStyle w:val="Hyperlink"/>
            <w:szCs w:val="16"/>
          </w:rPr>
          <w:t>https://sites.ed.gov/idea/how-the-department-made-determinations/</w:t>
        </w:r>
      </w:hyperlink>
    </w:p>
    <w:sectPr w:rsidR="00FD047C" w:rsidRPr="004D63DC" w:rsidSect="00A20642">
      <w:footerReference w:type="default" r:id="rId15"/>
      <w:pgSz w:w="12240" w:h="15840"/>
      <w:pgMar w:top="720" w:right="720" w:bottom="720" w:left="720" w:header="0" w:footer="445" w:gutter="0"/>
      <w:cols w:space="720"/>
      <w:docGrid w:linePitch="21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C4381" w16cex:dateUtc="2023-06-08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F3922D2" w16cid:durableId="282C43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D74875" w14:textId="77777777" w:rsidR="00C778B0" w:rsidRDefault="00C778B0" w:rsidP="000802F7">
      <w:pPr>
        <w:spacing w:before="0" w:after="0"/>
      </w:pPr>
      <w:r>
        <w:separator/>
      </w:r>
    </w:p>
  </w:endnote>
  <w:endnote w:type="continuationSeparator" w:id="0">
    <w:p w14:paraId="72686F77" w14:textId="77777777" w:rsidR="00C778B0" w:rsidRDefault="00C778B0" w:rsidP="000802F7">
      <w:pPr>
        <w:spacing w:before="0" w:after="0"/>
      </w:pPr>
      <w:r>
        <w:continuationSeparator/>
      </w:r>
    </w:p>
  </w:endnote>
  <w:endnote w:type="continuationNotice" w:id="1">
    <w:p w14:paraId="4690AB47" w14:textId="77777777" w:rsidR="00C778B0" w:rsidRDefault="00C778B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447722"/>
      <w:docPartObj>
        <w:docPartGallery w:val="Page Numbers (Bottom of Page)"/>
        <w:docPartUnique/>
      </w:docPartObj>
    </w:sdtPr>
    <w:sdtEndPr>
      <w:rPr>
        <w:noProof/>
      </w:rPr>
    </w:sdtEndPr>
    <w:sdtContent>
      <w:sdt>
        <w:sdtPr>
          <w:id w:val="-1101716582"/>
          <w:docPartObj>
            <w:docPartGallery w:val="Page Numbers (Bottom of Page)"/>
            <w:docPartUnique/>
          </w:docPartObj>
        </w:sdtPr>
        <w:sdtEndPr>
          <w:rPr>
            <w:noProof/>
          </w:rPr>
        </w:sdtEndPr>
        <w:sdtContent>
          <w:p w14:paraId="57E60C7E" w14:textId="375FA555" w:rsidR="00F178A0" w:rsidRDefault="00F178A0" w:rsidP="00042EBF">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sidR="00B46E05">
              <w:rPr>
                <w:noProof/>
              </w:rPr>
              <w:t>43</w:t>
            </w:r>
            <w:r>
              <w:rPr>
                <w:noProof/>
              </w:rPr>
              <w:fldChar w:fldCharType="end"/>
            </w:r>
            <w:r>
              <w:rPr>
                <w:noProof/>
              </w:rPr>
              <w:ptab w:relativeTo="margin" w:alignment="right" w:leader="none"/>
            </w:r>
            <w:r>
              <w:rPr>
                <w:noProof/>
              </w:rPr>
              <w:t>Part C</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514675"/>
      <w:docPartObj>
        <w:docPartGallery w:val="Page Numbers (Bottom of Page)"/>
        <w:docPartUnique/>
      </w:docPartObj>
    </w:sdtPr>
    <w:sdtEndPr>
      <w:rPr>
        <w:noProof/>
      </w:rPr>
    </w:sdtEndPr>
    <w:sdtContent>
      <w:sdt>
        <w:sdtPr>
          <w:id w:val="667683106"/>
          <w:docPartObj>
            <w:docPartGallery w:val="Page Numbers (Bottom of Page)"/>
            <w:docPartUnique/>
          </w:docPartObj>
        </w:sdtPr>
        <w:sdtEndPr>
          <w:rPr>
            <w:noProof/>
          </w:rPr>
        </w:sdtEndPr>
        <w:sdtContent>
          <w:p w14:paraId="06E917B7" w14:textId="0F2B3510" w:rsidR="00D614DB" w:rsidRPr="00A20642" w:rsidRDefault="00A20642" w:rsidP="00A20642">
            <w:pPr>
              <w:pStyle w:val="Footer"/>
              <w:rPr>
                <w:noProof/>
              </w:rPr>
            </w:pPr>
            <w:r>
              <w:ptab w:relativeTo="margin" w:alignment="left" w:leader="none"/>
            </w:r>
            <w:r>
              <w:ptab w:relativeTo="margin" w:alignment="left" w:leader="none"/>
            </w:r>
            <w:r>
              <w:fldChar w:fldCharType="begin"/>
            </w:r>
            <w:r>
              <w:instrText xml:space="preserve"> PAGE   \* MERGEFORMAT </w:instrText>
            </w:r>
            <w:r>
              <w:fldChar w:fldCharType="separate"/>
            </w:r>
            <w:r w:rsidR="00B46E05">
              <w:rPr>
                <w:noProof/>
              </w:rPr>
              <w:t>68</w:t>
            </w:r>
            <w:r>
              <w:rPr>
                <w:noProof/>
              </w:rPr>
              <w:fldChar w:fldCharType="end"/>
            </w:r>
            <w:r>
              <w:rPr>
                <w:noProof/>
              </w:rPr>
              <w:ptab w:relativeTo="margin" w:alignment="right" w:leader="none"/>
            </w:r>
            <w:r>
              <w:rPr>
                <w:noProof/>
              </w:rPr>
              <w:t>Part C</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43422" w14:textId="77777777" w:rsidR="00C778B0" w:rsidRDefault="00C778B0" w:rsidP="000802F7">
      <w:pPr>
        <w:spacing w:before="0" w:after="0"/>
      </w:pPr>
      <w:r>
        <w:separator/>
      </w:r>
    </w:p>
  </w:footnote>
  <w:footnote w:type="continuationSeparator" w:id="0">
    <w:p w14:paraId="51077DB7" w14:textId="77777777" w:rsidR="00C778B0" w:rsidRDefault="00C778B0" w:rsidP="000802F7">
      <w:pPr>
        <w:spacing w:before="0" w:after="0"/>
      </w:pPr>
      <w:r>
        <w:continuationSeparator/>
      </w:r>
    </w:p>
  </w:footnote>
  <w:footnote w:type="continuationNotice" w:id="1">
    <w:p w14:paraId="5EF4CFAE" w14:textId="77777777" w:rsidR="00C778B0" w:rsidRDefault="00C778B0">
      <w:pPr>
        <w:spacing w:before="0" w:after="0"/>
      </w:pPr>
    </w:p>
  </w:footnote>
  <w:footnote w:id="2">
    <w:p w14:paraId="7B3620D7" w14:textId="4F418351" w:rsidR="000135C2" w:rsidRPr="00E34D8D" w:rsidRDefault="000135C2" w:rsidP="000135C2">
      <w:pPr>
        <w:pStyle w:val="FootnoteText"/>
        <w:spacing w:after="60"/>
        <w:ind w:left="180" w:hanging="180"/>
        <w:rPr>
          <w:sz w:val="16"/>
          <w:szCs w:val="16"/>
        </w:rPr>
      </w:pPr>
      <w:r w:rsidRPr="00E34D8D">
        <w:rPr>
          <w:rStyle w:val="FootnoteReference"/>
          <w:sz w:val="16"/>
          <w:szCs w:val="16"/>
        </w:rPr>
        <w:footnoteRef/>
      </w:r>
      <w:r w:rsidRPr="00E34D8D">
        <w:rPr>
          <w:sz w:val="16"/>
          <w:szCs w:val="16"/>
        </w:rPr>
        <w:t xml:space="preserve"> For a detailed explanation of how the Compliance Score, Results Score, and the Results-Driven Accountability Percentage and Determination were calculated, review "How the Department Made Determinations under Section 616(d) of the </w:t>
      </w:r>
      <w:r w:rsidRPr="00E34D8D">
        <w:rPr>
          <w:i/>
          <w:sz w:val="16"/>
          <w:szCs w:val="16"/>
        </w:rPr>
        <w:t>Individuals with Disabilities Education Act</w:t>
      </w:r>
      <w:r w:rsidRPr="00E34D8D">
        <w:rPr>
          <w:sz w:val="16"/>
          <w:szCs w:val="16"/>
        </w:rPr>
        <w:t xml:space="preserve"> in 2023: Part </w:t>
      </w:r>
      <w:r w:rsidR="00E34D8D" w:rsidRPr="00E34D8D">
        <w:rPr>
          <w:sz w:val="16"/>
          <w:szCs w:val="16"/>
        </w:rPr>
        <w:t>C</w:t>
      </w:r>
      <w:r w:rsidRPr="00E34D8D">
        <w:rPr>
          <w:sz w:val="16"/>
          <w:szCs w:val="16"/>
        </w:rPr>
        <w:t>."</w:t>
      </w:r>
    </w:p>
  </w:footnote>
  <w:footnote w:id="3">
    <w:p w14:paraId="0A26823E" w14:textId="77777777" w:rsidR="0025401C" w:rsidRPr="00E34D8D" w:rsidRDefault="0025401C" w:rsidP="00083FA7">
      <w:pPr>
        <w:pStyle w:val="FootnoteText"/>
        <w:spacing w:after="40"/>
        <w:rPr>
          <w:sz w:val="16"/>
          <w:szCs w:val="16"/>
        </w:rPr>
      </w:pPr>
      <w:r w:rsidRPr="00E34D8D">
        <w:rPr>
          <w:rStyle w:val="FootnoteReference"/>
          <w:sz w:val="16"/>
          <w:szCs w:val="16"/>
        </w:rPr>
        <w:footnoteRef/>
      </w:r>
      <w:r w:rsidRPr="00E34D8D">
        <w:rPr>
          <w:sz w:val="16"/>
          <w:szCs w:val="16"/>
        </w:rPr>
        <w:t xml:space="preserve"> Please see Appendix A for a detailed description of this calculation.</w:t>
      </w:r>
    </w:p>
  </w:footnote>
  <w:footnote w:id="4">
    <w:p w14:paraId="5E6925CB" w14:textId="77777777" w:rsidR="006362E6" w:rsidRPr="00E34D8D" w:rsidRDefault="006362E6" w:rsidP="006362E6">
      <w:pPr>
        <w:pStyle w:val="FootnoteText"/>
        <w:spacing w:after="40"/>
        <w:rPr>
          <w:rFonts w:asciiTheme="minorHAnsi" w:hAnsiTheme="minorHAnsi"/>
          <w:sz w:val="16"/>
          <w:szCs w:val="16"/>
        </w:rPr>
      </w:pPr>
      <w:r w:rsidRPr="00E34D8D">
        <w:rPr>
          <w:rStyle w:val="FootnoteReference"/>
          <w:sz w:val="16"/>
          <w:szCs w:val="16"/>
        </w:rPr>
        <w:footnoteRef/>
      </w:r>
      <w:r w:rsidRPr="00E34D8D">
        <w:rPr>
          <w:sz w:val="16"/>
          <w:szCs w:val="16"/>
        </w:rPr>
        <w:t xml:space="preserve"> Please see Appendix B for a detailed description of this calculation.</w:t>
      </w:r>
    </w:p>
  </w:footnote>
  <w:footnote w:id="5">
    <w:p w14:paraId="67566248" w14:textId="78DF570B" w:rsidR="007C3ED8" w:rsidRPr="00E34D8D" w:rsidRDefault="007C3ED8" w:rsidP="007C3ED8">
      <w:pPr>
        <w:pStyle w:val="FootnoteText"/>
        <w:spacing w:after="40"/>
        <w:rPr>
          <w:sz w:val="16"/>
          <w:szCs w:val="16"/>
        </w:rPr>
      </w:pPr>
      <w:r w:rsidRPr="00E34D8D">
        <w:rPr>
          <w:rStyle w:val="FootnoteReference"/>
          <w:sz w:val="16"/>
          <w:szCs w:val="16"/>
        </w:rPr>
        <w:footnoteRef/>
      </w:r>
      <w:r w:rsidRPr="00E34D8D">
        <w:rPr>
          <w:sz w:val="16"/>
          <w:szCs w:val="16"/>
        </w:rPr>
        <w:t xml:space="preserve"> Please see Appendix </w:t>
      </w:r>
      <w:r w:rsidR="00E34D8D">
        <w:rPr>
          <w:sz w:val="16"/>
          <w:szCs w:val="16"/>
        </w:rPr>
        <w:t>C</w:t>
      </w:r>
      <w:r w:rsidRPr="00E34D8D">
        <w:rPr>
          <w:sz w:val="16"/>
          <w:szCs w:val="16"/>
        </w:rPr>
        <w:t xml:space="preserve"> for a detailed description of this calculation.</w:t>
      </w:r>
    </w:p>
  </w:footnote>
  <w:footnote w:id="6">
    <w:p w14:paraId="31C02E8C" w14:textId="4F3F57AC" w:rsidR="00E34D8D" w:rsidRPr="00F83501" w:rsidRDefault="00E34D8D" w:rsidP="00E34D8D">
      <w:pPr>
        <w:pStyle w:val="FootnoteText"/>
        <w:spacing w:after="40"/>
        <w:rPr>
          <w:sz w:val="16"/>
          <w:szCs w:val="16"/>
        </w:rPr>
      </w:pPr>
      <w:r w:rsidRPr="00E34D8D">
        <w:rPr>
          <w:rStyle w:val="FootnoteReference"/>
          <w:sz w:val="16"/>
          <w:szCs w:val="16"/>
        </w:rPr>
        <w:footnoteRef/>
      </w:r>
      <w:r w:rsidRPr="00E34D8D">
        <w:rPr>
          <w:sz w:val="16"/>
          <w:szCs w:val="16"/>
        </w:rPr>
        <w:t xml:space="preserve"> Please see Appendix </w:t>
      </w:r>
      <w:r>
        <w:rPr>
          <w:sz w:val="16"/>
          <w:szCs w:val="16"/>
        </w:rPr>
        <w:t>D</w:t>
      </w:r>
      <w:r w:rsidRPr="00E34D8D">
        <w:rPr>
          <w:sz w:val="16"/>
          <w:szCs w:val="16"/>
        </w:rPr>
        <w:t xml:space="preserve"> for a detailed description of this calculation.</w:t>
      </w:r>
    </w:p>
  </w:footnote>
  <w:footnote w:id="7">
    <w:p w14:paraId="4217F5EA" w14:textId="52C5F556" w:rsidR="000135C2" w:rsidRDefault="000135C2" w:rsidP="000135C2">
      <w:pPr>
        <w:pStyle w:val="FootnoteText"/>
        <w:spacing w:after="60"/>
        <w:ind w:left="180" w:hanging="180"/>
      </w:pPr>
      <w:r w:rsidRPr="00E34D8D">
        <w:rPr>
          <w:rStyle w:val="FootnoteReference"/>
          <w:sz w:val="16"/>
          <w:szCs w:val="16"/>
        </w:rPr>
        <w:footnoteRef/>
      </w:r>
      <w:r w:rsidRPr="00E34D8D">
        <w:rPr>
          <w:sz w:val="16"/>
          <w:szCs w:val="16"/>
        </w:rPr>
        <w:t xml:space="preserve"> The complete language for each indicator is located in the Part </w:t>
      </w:r>
      <w:r w:rsidR="00983E83">
        <w:rPr>
          <w:sz w:val="16"/>
          <w:szCs w:val="16"/>
        </w:rPr>
        <w:t>C</w:t>
      </w:r>
      <w:r w:rsidRPr="00E34D8D">
        <w:rPr>
          <w:sz w:val="16"/>
          <w:szCs w:val="16"/>
        </w:rPr>
        <w:t xml:space="preserve"> SPP/APR Indicator Measurement Table at: </w:t>
      </w:r>
      <w:hyperlink w:history="1"/>
      <w:hyperlink r:id="rId1" w:history="1">
        <w:r w:rsidR="00E34D8D" w:rsidRPr="00E34D8D">
          <w:rPr>
            <w:rStyle w:val="Hyperlink"/>
            <w:sz w:val="16"/>
            <w:szCs w:val="16"/>
          </w:rPr>
          <w:t>https://sites.ed.gov/idea/files/2023_Part-C_SPP-APR_Measurement_Table.pdf</w:t>
        </w:r>
      </w:hyperlink>
      <w:r w:rsidRPr="00E34D8D">
        <w:rPr>
          <w:sz w:val="16"/>
          <w:szCs w:val="16"/>
        </w:rPr>
        <w:t xml:space="preserve"> </w:t>
      </w:r>
      <w:hyperlink w:history="1"/>
    </w:p>
  </w:footnote>
  <w:footnote w:id="8">
    <w:p w14:paraId="11BFCAE3" w14:textId="77777777" w:rsidR="002F672B" w:rsidRPr="007C05FD" w:rsidRDefault="002F672B" w:rsidP="002F672B">
      <w:pPr>
        <w:pStyle w:val="FootnoteText"/>
        <w:spacing w:after="40"/>
        <w:rPr>
          <w:sz w:val="16"/>
          <w:szCs w:val="16"/>
        </w:rPr>
      </w:pPr>
      <w:r w:rsidRPr="007C05FD">
        <w:rPr>
          <w:sz w:val="16"/>
          <w:szCs w:val="16"/>
          <w:vertAlign w:val="superscript"/>
        </w:rPr>
        <w:footnoteRef/>
      </w:r>
      <w:r w:rsidRPr="007C05FD">
        <w:rPr>
          <w:sz w:val="16"/>
          <w:szCs w:val="16"/>
          <w:vertAlign w:val="superscript"/>
        </w:rPr>
        <w:t xml:space="preserve"> </w:t>
      </w:r>
      <w:r w:rsidRPr="007C05FD">
        <w:rPr>
          <w:sz w:val="16"/>
          <w:szCs w:val="16"/>
        </w:rPr>
        <w:t>Numbers shown as rounded for display purposes.</w:t>
      </w:r>
    </w:p>
  </w:footnote>
  <w:footnote w:id="9">
    <w:p w14:paraId="05D72A0E" w14:textId="77777777" w:rsidR="002F672B" w:rsidRDefault="002F672B" w:rsidP="002F672B">
      <w:pPr>
        <w:pStyle w:val="FootnoteText"/>
        <w:spacing w:after="40"/>
      </w:pPr>
      <w:r w:rsidRPr="007C05FD">
        <w:rPr>
          <w:sz w:val="16"/>
          <w:szCs w:val="16"/>
          <w:vertAlign w:val="superscript"/>
        </w:rPr>
        <w:footnoteRef/>
      </w:r>
      <w:r w:rsidRPr="007C05FD">
        <w:rPr>
          <w:sz w:val="16"/>
          <w:szCs w:val="16"/>
        </w:rPr>
        <w:t xml:space="preserve"> Values based on </w:t>
      </w:r>
      <w:r>
        <w:rPr>
          <w:sz w:val="16"/>
          <w:szCs w:val="16"/>
        </w:rPr>
        <w:t xml:space="preserve">data for States with </w:t>
      </w:r>
      <w:r w:rsidRPr="007C05FD">
        <w:rPr>
          <w:sz w:val="16"/>
          <w:szCs w:val="16"/>
        </w:rPr>
        <w:t>summary statement denominator greater than 199 exiters.</w:t>
      </w:r>
    </w:p>
  </w:footnote>
  <w:footnote w:id="10">
    <w:p w14:paraId="3E99FDA9" w14:textId="77777777" w:rsidR="009F37D6" w:rsidRPr="002040DE" w:rsidRDefault="009F37D6" w:rsidP="009F37D6">
      <w:pPr>
        <w:pStyle w:val="FootnoteText"/>
        <w:spacing w:after="40"/>
        <w:rPr>
          <w:sz w:val="16"/>
          <w:szCs w:val="16"/>
        </w:rPr>
      </w:pPr>
      <w:r w:rsidRPr="002040DE">
        <w:rPr>
          <w:rStyle w:val="FootnoteReference"/>
        </w:rPr>
        <w:footnoteRef/>
      </w:r>
      <w:r w:rsidRPr="002040DE">
        <w:rPr>
          <w:sz w:val="16"/>
          <w:szCs w:val="16"/>
        </w:rPr>
        <w:t xml:space="preserve"> </w:t>
      </w:r>
      <w:r w:rsidRPr="007C05FD">
        <w:rPr>
          <w:sz w:val="16"/>
          <w:szCs w:val="16"/>
        </w:rPr>
        <w:t xml:space="preserve">Values based on </w:t>
      </w:r>
      <w:r>
        <w:rPr>
          <w:sz w:val="16"/>
          <w:szCs w:val="16"/>
        </w:rPr>
        <w:t xml:space="preserve">data for States with </w:t>
      </w:r>
      <w:r w:rsidRPr="007C05FD">
        <w:rPr>
          <w:sz w:val="16"/>
          <w:szCs w:val="16"/>
        </w:rPr>
        <w:t>summary statement denominator greater than 199 exiters</w:t>
      </w:r>
      <w:r w:rsidRPr="002040DE">
        <w:rPr>
          <w:sz w:val="16"/>
          <w:szCs w:val="16"/>
        </w:rPr>
        <w:t>.</w:t>
      </w:r>
    </w:p>
  </w:footnote>
  <w:footnote w:id="11">
    <w:p w14:paraId="795CB604" w14:textId="77777777" w:rsidR="007B0FF2" w:rsidRDefault="007B0FF2" w:rsidP="007B0FF2">
      <w:pPr>
        <w:pStyle w:val="FootnoteText"/>
        <w:spacing w:after="40"/>
      </w:pPr>
      <w:r>
        <w:rPr>
          <w:rStyle w:val="FootnoteReference"/>
        </w:rPr>
        <w:footnoteRef/>
      </w:r>
      <w:r w:rsidRPr="002040DE">
        <w:rPr>
          <w:sz w:val="16"/>
          <w:szCs w:val="16"/>
        </w:rPr>
        <w:t>Numbers shown as rounded for display purposes.</w:t>
      </w:r>
    </w:p>
  </w:footnote>
  <w:footnote w:id="12">
    <w:p w14:paraId="40866F79" w14:textId="115F273E" w:rsidR="00F2466D" w:rsidRDefault="00F2466D">
      <w:pPr>
        <w:pStyle w:val="FootnoteText"/>
      </w:pPr>
      <w:r>
        <w:rPr>
          <w:rStyle w:val="FootnoteReference"/>
        </w:rPr>
        <w:footnoteRef/>
      </w:r>
      <w:r>
        <w:t xml:space="preserve"> </w:t>
      </w:r>
      <w:r w:rsidR="00C67DD9" w:rsidRPr="00606A3B">
        <w:rPr>
          <w:rFonts w:eastAsia="Times New Roman" w:cs="Arial"/>
          <w:sz w:val="16"/>
          <w:szCs w:val="16"/>
        </w:rPr>
        <w:t>In the SPP</w:t>
      </w:r>
      <w:r w:rsidR="00621A58">
        <w:rPr>
          <w:rFonts w:eastAsia="Times New Roman" w:cs="Arial"/>
          <w:sz w:val="16"/>
          <w:szCs w:val="16"/>
        </w:rPr>
        <w:t>/</w:t>
      </w:r>
      <w:r w:rsidR="00C67DD9" w:rsidRPr="00606A3B">
        <w:rPr>
          <w:rFonts w:eastAsia="Times New Roman" w:cs="Arial"/>
          <w:sz w:val="16"/>
          <w:szCs w:val="16"/>
        </w:rPr>
        <w:t>APR Data table, where there is an N/A in the Valid and Reliable column, the Total column will display a 0. This is a change from prior years in display only; all calculation</w:t>
      </w:r>
      <w:r w:rsidR="001907A4">
        <w:rPr>
          <w:rFonts w:eastAsia="Times New Roman" w:cs="Arial"/>
          <w:sz w:val="16"/>
          <w:szCs w:val="16"/>
        </w:rPr>
        <w:t xml:space="preserve"> method</w:t>
      </w:r>
      <w:r w:rsidR="00C67DD9" w:rsidRPr="00606A3B">
        <w:rPr>
          <w:rFonts w:eastAsia="Times New Roman" w:cs="Arial"/>
          <w:sz w:val="16"/>
          <w:szCs w:val="16"/>
        </w:rPr>
        <w:t xml:space="preserve">s are unchanged. An N/A does not </w:t>
      </w:r>
      <w:r w:rsidR="001907A4">
        <w:rPr>
          <w:rFonts w:eastAsia="Times New Roman" w:cs="Arial"/>
          <w:sz w:val="16"/>
          <w:szCs w:val="16"/>
        </w:rPr>
        <w:t>negatively affect</w:t>
      </w:r>
      <w:r w:rsidR="00C67DD9" w:rsidRPr="00606A3B">
        <w:rPr>
          <w:rFonts w:eastAsia="Times New Roman" w:cs="Arial"/>
          <w:sz w:val="16"/>
          <w:szCs w:val="16"/>
        </w:rPr>
        <w:t xml:space="preserve"> a State's score</w:t>
      </w:r>
      <w:r w:rsidR="001907A4">
        <w:rPr>
          <w:rFonts w:eastAsia="Times New Roman" w:cs="Arial"/>
          <w:sz w:val="16"/>
          <w:szCs w:val="16"/>
        </w:rPr>
        <w:t>; this is because</w:t>
      </w:r>
      <w:r w:rsidR="008E135E">
        <w:rPr>
          <w:rFonts w:eastAsia="Times New Roman" w:cs="Arial"/>
          <w:sz w:val="16"/>
          <w:szCs w:val="16"/>
        </w:rPr>
        <w:t xml:space="preserve"> 1</w:t>
      </w:r>
      <w:r w:rsidR="00C67DD9" w:rsidRPr="00606A3B">
        <w:rPr>
          <w:rFonts w:eastAsia="Times New Roman" w:cs="Arial"/>
          <w:sz w:val="16"/>
          <w:szCs w:val="16"/>
        </w:rPr>
        <w:t xml:space="preserve"> point</w:t>
      </w:r>
      <w:r w:rsidR="008E135E">
        <w:rPr>
          <w:rFonts w:eastAsia="Times New Roman" w:cs="Arial"/>
          <w:sz w:val="16"/>
          <w:szCs w:val="16"/>
        </w:rPr>
        <w:t xml:space="preserve"> is</w:t>
      </w:r>
      <w:r w:rsidR="00C67DD9" w:rsidRPr="00606A3B">
        <w:rPr>
          <w:rFonts w:eastAsia="Times New Roman" w:cs="Arial"/>
          <w:sz w:val="16"/>
          <w:szCs w:val="16"/>
        </w:rPr>
        <w:t xml:space="preserve"> subtracted from the </w:t>
      </w:r>
      <w:r w:rsidR="008E135E">
        <w:rPr>
          <w:rFonts w:eastAsia="Times New Roman" w:cs="Arial"/>
          <w:sz w:val="16"/>
          <w:szCs w:val="16"/>
        </w:rPr>
        <w:t>Denominator</w:t>
      </w:r>
      <w:r w:rsidR="00C67DD9" w:rsidRPr="00606A3B">
        <w:rPr>
          <w:rFonts w:eastAsia="Times New Roman" w:cs="Arial"/>
          <w:sz w:val="16"/>
          <w:szCs w:val="16"/>
        </w:rPr>
        <w:t xml:space="preserve"> in the Indicator Calculation table</w:t>
      </w:r>
      <w:r w:rsidR="008E135E">
        <w:rPr>
          <w:rFonts w:eastAsia="Times New Roman" w:cs="Arial"/>
          <w:sz w:val="16"/>
          <w:szCs w:val="16"/>
        </w:rPr>
        <w:t xml:space="preserve"> for each cell marked as N/A in the SPP/APR Data table</w:t>
      </w:r>
      <w:r w:rsidR="00C67DD9" w:rsidRPr="00606A3B">
        <w:rPr>
          <w:rFonts w:eastAsia="Times New Roman" w:cs="Arial"/>
          <w:sz w:val="16"/>
          <w:szCs w:val="16"/>
        </w:rPr>
        <w:t>.</w:t>
      </w:r>
    </w:p>
  </w:footnote>
  <w:footnote w:id="13">
    <w:p w14:paraId="0CD57F79" w14:textId="71DAFCC0" w:rsidR="00F253FF" w:rsidRDefault="00F253FF">
      <w:pPr>
        <w:pStyle w:val="FootnoteText"/>
      </w:pPr>
      <w:r w:rsidRPr="00061896">
        <w:rPr>
          <w:rStyle w:val="FootnoteReference"/>
          <w:sz w:val="16"/>
          <w:szCs w:val="16"/>
        </w:rPr>
        <w:footnoteRef/>
      </w:r>
      <w:r w:rsidRPr="00061896">
        <w:rPr>
          <w:sz w:val="16"/>
          <w:szCs w:val="16"/>
        </w:rPr>
        <w:t xml:space="preserve"> </w:t>
      </w:r>
      <w:r w:rsidR="00061896" w:rsidRPr="00061896">
        <w:rPr>
          <w:color w:val="000000" w:themeColor="text1"/>
          <w:sz w:val="16"/>
          <w:szCs w:val="16"/>
        </w:rPr>
        <w:t xml:space="preserve">In the 618 Data table, when calculating the value in the Total column, any N/As in the Timely, Complete Data, or Passed Edit Checks columns are treated as a ‘0’. An N/A does not negatively affect a State's score; this is because </w:t>
      </w:r>
      <w:r w:rsidR="00061896">
        <w:rPr>
          <w:color w:val="000000" w:themeColor="text1"/>
          <w:sz w:val="16"/>
          <w:szCs w:val="16"/>
        </w:rPr>
        <w:t>2</w:t>
      </w:r>
      <w:r w:rsidR="00061896" w:rsidRPr="00061896">
        <w:rPr>
          <w:color w:val="000000" w:themeColor="text1"/>
          <w:sz w:val="16"/>
          <w:szCs w:val="16"/>
        </w:rPr>
        <w:t xml:space="preserve"> points is subtracted from the Denominator in the Indicator Calculation table for each cell marked as N/A in the 618 Data table.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pt;height:19pt;visibility:visible" o:bullet="t">
        <v:imagedata r:id="rId1" o:title="" croptop="12526f" cropbottom="7411f" cropleft="12045f" cropright="6359f"/>
      </v:shape>
    </w:pict>
  </w:numPicBullet>
  <w:abstractNum w:abstractNumId="0" w15:restartNumberingAfterBreak="0">
    <w:nsid w:val="0195615D"/>
    <w:multiLevelType w:val="hybridMultilevel"/>
    <w:tmpl w:val="FC944D1A"/>
    <w:lvl w:ilvl="0" w:tplc="35F68138">
      <w:start w:val="1"/>
      <w:numFmt w:val="decimal"/>
      <w:lvlText w:val="%1."/>
      <w:lvlJc w:val="left"/>
      <w:pPr>
        <w:ind w:left="451" w:hanging="180"/>
      </w:pPr>
      <w:rPr>
        <w:rFonts w:ascii="Calibri" w:eastAsia="Calibri" w:hAnsi="Calibri" w:cs="Calibri" w:hint="default"/>
        <w:w w:val="100"/>
        <w:sz w:val="18"/>
        <w:szCs w:val="18"/>
        <w:lang w:val="en-US" w:eastAsia="en-US" w:bidi="ar-SA"/>
      </w:rPr>
    </w:lvl>
    <w:lvl w:ilvl="1" w:tplc="B2D423C2">
      <w:numFmt w:val="bullet"/>
      <w:lvlText w:val="•"/>
      <w:lvlJc w:val="left"/>
      <w:pPr>
        <w:ind w:left="1365" w:hanging="180"/>
      </w:pPr>
      <w:rPr>
        <w:rFonts w:hint="default"/>
        <w:lang w:val="en-US" w:eastAsia="en-US" w:bidi="ar-SA"/>
      </w:rPr>
    </w:lvl>
    <w:lvl w:ilvl="2" w:tplc="23E800E6">
      <w:numFmt w:val="bullet"/>
      <w:lvlText w:val="•"/>
      <w:lvlJc w:val="left"/>
      <w:pPr>
        <w:ind w:left="2279" w:hanging="180"/>
      </w:pPr>
      <w:rPr>
        <w:rFonts w:hint="default"/>
        <w:lang w:val="en-US" w:eastAsia="en-US" w:bidi="ar-SA"/>
      </w:rPr>
    </w:lvl>
    <w:lvl w:ilvl="3" w:tplc="E3085B44">
      <w:numFmt w:val="bullet"/>
      <w:lvlText w:val="•"/>
      <w:lvlJc w:val="left"/>
      <w:pPr>
        <w:ind w:left="3193" w:hanging="180"/>
      </w:pPr>
      <w:rPr>
        <w:rFonts w:hint="default"/>
        <w:lang w:val="en-US" w:eastAsia="en-US" w:bidi="ar-SA"/>
      </w:rPr>
    </w:lvl>
    <w:lvl w:ilvl="4" w:tplc="DC9AA4B0">
      <w:numFmt w:val="bullet"/>
      <w:lvlText w:val="•"/>
      <w:lvlJc w:val="left"/>
      <w:pPr>
        <w:ind w:left="4107" w:hanging="180"/>
      </w:pPr>
      <w:rPr>
        <w:rFonts w:hint="default"/>
        <w:lang w:val="en-US" w:eastAsia="en-US" w:bidi="ar-SA"/>
      </w:rPr>
    </w:lvl>
    <w:lvl w:ilvl="5" w:tplc="9B628C62">
      <w:numFmt w:val="bullet"/>
      <w:lvlText w:val="•"/>
      <w:lvlJc w:val="left"/>
      <w:pPr>
        <w:ind w:left="5021" w:hanging="180"/>
      </w:pPr>
      <w:rPr>
        <w:rFonts w:hint="default"/>
        <w:lang w:val="en-US" w:eastAsia="en-US" w:bidi="ar-SA"/>
      </w:rPr>
    </w:lvl>
    <w:lvl w:ilvl="6" w:tplc="2D22CBF2">
      <w:numFmt w:val="bullet"/>
      <w:lvlText w:val="•"/>
      <w:lvlJc w:val="left"/>
      <w:pPr>
        <w:ind w:left="5935" w:hanging="180"/>
      </w:pPr>
      <w:rPr>
        <w:rFonts w:hint="default"/>
        <w:lang w:val="en-US" w:eastAsia="en-US" w:bidi="ar-SA"/>
      </w:rPr>
    </w:lvl>
    <w:lvl w:ilvl="7" w:tplc="7C8C7DC0">
      <w:numFmt w:val="bullet"/>
      <w:lvlText w:val="•"/>
      <w:lvlJc w:val="left"/>
      <w:pPr>
        <w:ind w:left="6849" w:hanging="180"/>
      </w:pPr>
      <w:rPr>
        <w:rFonts w:hint="default"/>
        <w:lang w:val="en-US" w:eastAsia="en-US" w:bidi="ar-SA"/>
      </w:rPr>
    </w:lvl>
    <w:lvl w:ilvl="8" w:tplc="96DACD4A">
      <w:numFmt w:val="bullet"/>
      <w:lvlText w:val="•"/>
      <w:lvlJc w:val="left"/>
      <w:pPr>
        <w:ind w:left="7763" w:hanging="180"/>
      </w:pPr>
      <w:rPr>
        <w:rFonts w:hint="default"/>
        <w:lang w:val="en-US" w:eastAsia="en-US" w:bidi="ar-SA"/>
      </w:rPr>
    </w:lvl>
  </w:abstractNum>
  <w:abstractNum w:abstractNumId="1" w15:restartNumberingAfterBreak="0">
    <w:nsid w:val="0A9D61CC"/>
    <w:multiLevelType w:val="hybridMultilevel"/>
    <w:tmpl w:val="26E6B21A"/>
    <w:lvl w:ilvl="0" w:tplc="41A26586">
      <w:start w:val="1"/>
      <w:numFmt w:val="lowerLetter"/>
      <w:lvlText w:val="%1."/>
      <w:lvlJc w:val="left"/>
      <w:pPr>
        <w:ind w:left="680" w:hanging="180"/>
      </w:pPr>
      <w:rPr>
        <w:rFonts w:ascii="Calibri" w:eastAsia="Calibri" w:hAnsi="Calibri" w:cs="Calibri" w:hint="default"/>
        <w:w w:val="99"/>
        <w:sz w:val="20"/>
        <w:szCs w:val="20"/>
        <w:lang w:val="en-US" w:eastAsia="en-US" w:bidi="ar-SA"/>
      </w:rPr>
    </w:lvl>
    <w:lvl w:ilvl="1" w:tplc="2FE48818">
      <w:numFmt w:val="bullet"/>
      <w:lvlText w:val="•"/>
      <w:lvlJc w:val="left"/>
      <w:pPr>
        <w:ind w:left="1576" w:hanging="180"/>
      </w:pPr>
      <w:rPr>
        <w:rFonts w:hint="default"/>
        <w:lang w:val="en-US" w:eastAsia="en-US" w:bidi="ar-SA"/>
      </w:rPr>
    </w:lvl>
    <w:lvl w:ilvl="2" w:tplc="984871E8">
      <w:numFmt w:val="bullet"/>
      <w:lvlText w:val="•"/>
      <w:lvlJc w:val="left"/>
      <w:pPr>
        <w:ind w:left="2472" w:hanging="180"/>
      </w:pPr>
      <w:rPr>
        <w:rFonts w:hint="default"/>
        <w:lang w:val="en-US" w:eastAsia="en-US" w:bidi="ar-SA"/>
      </w:rPr>
    </w:lvl>
    <w:lvl w:ilvl="3" w:tplc="42CAC4A6">
      <w:numFmt w:val="bullet"/>
      <w:lvlText w:val="•"/>
      <w:lvlJc w:val="left"/>
      <w:pPr>
        <w:ind w:left="3368" w:hanging="180"/>
      </w:pPr>
      <w:rPr>
        <w:rFonts w:hint="default"/>
        <w:lang w:val="en-US" w:eastAsia="en-US" w:bidi="ar-SA"/>
      </w:rPr>
    </w:lvl>
    <w:lvl w:ilvl="4" w:tplc="B302F33E">
      <w:numFmt w:val="bullet"/>
      <w:lvlText w:val="•"/>
      <w:lvlJc w:val="left"/>
      <w:pPr>
        <w:ind w:left="4264" w:hanging="180"/>
      </w:pPr>
      <w:rPr>
        <w:rFonts w:hint="default"/>
        <w:lang w:val="en-US" w:eastAsia="en-US" w:bidi="ar-SA"/>
      </w:rPr>
    </w:lvl>
    <w:lvl w:ilvl="5" w:tplc="4574C070">
      <w:numFmt w:val="bullet"/>
      <w:lvlText w:val="•"/>
      <w:lvlJc w:val="left"/>
      <w:pPr>
        <w:ind w:left="5160" w:hanging="180"/>
      </w:pPr>
      <w:rPr>
        <w:rFonts w:hint="default"/>
        <w:lang w:val="en-US" w:eastAsia="en-US" w:bidi="ar-SA"/>
      </w:rPr>
    </w:lvl>
    <w:lvl w:ilvl="6" w:tplc="420670D8">
      <w:numFmt w:val="bullet"/>
      <w:lvlText w:val="•"/>
      <w:lvlJc w:val="left"/>
      <w:pPr>
        <w:ind w:left="6056" w:hanging="180"/>
      </w:pPr>
      <w:rPr>
        <w:rFonts w:hint="default"/>
        <w:lang w:val="en-US" w:eastAsia="en-US" w:bidi="ar-SA"/>
      </w:rPr>
    </w:lvl>
    <w:lvl w:ilvl="7" w:tplc="8C02ACEE">
      <w:numFmt w:val="bullet"/>
      <w:lvlText w:val="•"/>
      <w:lvlJc w:val="left"/>
      <w:pPr>
        <w:ind w:left="6952" w:hanging="180"/>
      </w:pPr>
      <w:rPr>
        <w:rFonts w:hint="default"/>
        <w:lang w:val="en-US" w:eastAsia="en-US" w:bidi="ar-SA"/>
      </w:rPr>
    </w:lvl>
    <w:lvl w:ilvl="8" w:tplc="948AFAF6">
      <w:numFmt w:val="bullet"/>
      <w:lvlText w:val="•"/>
      <w:lvlJc w:val="left"/>
      <w:pPr>
        <w:ind w:left="7848" w:hanging="180"/>
      </w:pPr>
      <w:rPr>
        <w:rFonts w:hint="default"/>
        <w:lang w:val="en-US" w:eastAsia="en-US" w:bidi="ar-SA"/>
      </w:rPr>
    </w:lvl>
  </w:abstractNum>
  <w:abstractNum w:abstractNumId="2" w15:restartNumberingAfterBreak="0">
    <w:nsid w:val="213B0175"/>
    <w:multiLevelType w:val="hybridMultilevel"/>
    <w:tmpl w:val="9CE8104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702D98"/>
    <w:multiLevelType w:val="hybridMultilevel"/>
    <w:tmpl w:val="9A7024A4"/>
    <w:lvl w:ilvl="0" w:tplc="FA484848">
      <w:start w:val="1"/>
      <w:numFmt w:val="decimal"/>
      <w:lvlText w:val="(%1)"/>
      <w:lvlJc w:val="left"/>
      <w:pPr>
        <w:ind w:left="859" w:hanging="361"/>
      </w:pPr>
      <w:rPr>
        <w:rFonts w:ascii="Calibri" w:eastAsia="Calibri" w:hAnsi="Calibri" w:cs="Calibri" w:hint="default"/>
        <w:w w:val="100"/>
        <w:sz w:val="22"/>
        <w:szCs w:val="22"/>
        <w:lang w:val="en-US" w:eastAsia="en-US" w:bidi="ar-SA"/>
      </w:rPr>
    </w:lvl>
    <w:lvl w:ilvl="1" w:tplc="5F0813E0">
      <w:start w:val="1"/>
      <w:numFmt w:val="lowerLetter"/>
      <w:lvlText w:val="(%2)"/>
      <w:lvlJc w:val="left"/>
      <w:pPr>
        <w:ind w:left="1219" w:hanging="360"/>
      </w:pPr>
      <w:rPr>
        <w:rFonts w:ascii="Calibri" w:eastAsia="Calibri" w:hAnsi="Calibri" w:cs="Calibri" w:hint="default"/>
        <w:spacing w:val="-1"/>
        <w:w w:val="100"/>
        <w:sz w:val="22"/>
        <w:szCs w:val="22"/>
        <w:lang w:val="en-US" w:eastAsia="en-US" w:bidi="ar-SA"/>
      </w:rPr>
    </w:lvl>
    <w:lvl w:ilvl="2" w:tplc="FC2CA5B8">
      <w:numFmt w:val="bullet"/>
      <w:lvlText w:val="•"/>
      <w:lvlJc w:val="left"/>
      <w:pPr>
        <w:ind w:left="2155" w:hanging="360"/>
      </w:pPr>
      <w:rPr>
        <w:rFonts w:hint="default"/>
        <w:lang w:val="en-US" w:eastAsia="en-US" w:bidi="ar-SA"/>
      </w:rPr>
    </w:lvl>
    <w:lvl w:ilvl="3" w:tplc="FE104920">
      <w:numFmt w:val="bullet"/>
      <w:lvlText w:val="•"/>
      <w:lvlJc w:val="left"/>
      <w:pPr>
        <w:ind w:left="3091" w:hanging="360"/>
      </w:pPr>
      <w:rPr>
        <w:rFonts w:hint="default"/>
        <w:lang w:val="en-US" w:eastAsia="en-US" w:bidi="ar-SA"/>
      </w:rPr>
    </w:lvl>
    <w:lvl w:ilvl="4" w:tplc="C700DABA">
      <w:numFmt w:val="bullet"/>
      <w:lvlText w:val="•"/>
      <w:lvlJc w:val="left"/>
      <w:pPr>
        <w:ind w:left="4026" w:hanging="360"/>
      </w:pPr>
      <w:rPr>
        <w:rFonts w:hint="default"/>
        <w:lang w:val="en-US" w:eastAsia="en-US" w:bidi="ar-SA"/>
      </w:rPr>
    </w:lvl>
    <w:lvl w:ilvl="5" w:tplc="D44C0D6A">
      <w:numFmt w:val="bullet"/>
      <w:lvlText w:val="•"/>
      <w:lvlJc w:val="left"/>
      <w:pPr>
        <w:ind w:left="4962" w:hanging="360"/>
      </w:pPr>
      <w:rPr>
        <w:rFonts w:hint="default"/>
        <w:lang w:val="en-US" w:eastAsia="en-US" w:bidi="ar-SA"/>
      </w:rPr>
    </w:lvl>
    <w:lvl w:ilvl="6" w:tplc="194E45C6">
      <w:numFmt w:val="bullet"/>
      <w:lvlText w:val="•"/>
      <w:lvlJc w:val="left"/>
      <w:pPr>
        <w:ind w:left="5897" w:hanging="360"/>
      </w:pPr>
      <w:rPr>
        <w:rFonts w:hint="default"/>
        <w:lang w:val="en-US" w:eastAsia="en-US" w:bidi="ar-SA"/>
      </w:rPr>
    </w:lvl>
    <w:lvl w:ilvl="7" w:tplc="0E645416">
      <w:numFmt w:val="bullet"/>
      <w:lvlText w:val="•"/>
      <w:lvlJc w:val="left"/>
      <w:pPr>
        <w:ind w:left="6833" w:hanging="360"/>
      </w:pPr>
      <w:rPr>
        <w:rFonts w:hint="default"/>
        <w:lang w:val="en-US" w:eastAsia="en-US" w:bidi="ar-SA"/>
      </w:rPr>
    </w:lvl>
    <w:lvl w:ilvl="8" w:tplc="2F8670A4">
      <w:numFmt w:val="bullet"/>
      <w:lvlText w:val="•"/>
      <w:lvlJc w:val="left"/>
      <w:pPr>
        <w:ind w:left="7768" w:hanging="360"/>
      </w:pPr>
      <w:rPr>
        <w:rFonts w:hint="default"/>
        <w:lang w:val="en-US" w:eastAsia="en-US" w:bidi="ar-SA"/>
      </w:rPr>
    </w:lvl>
  </w:abstractNum>
  <w:abstractNum w:abstractNumId="4" w15:restartNumberingAfterBreak="0">
    <w:nsid w:val="24687444"/>
    <w:multiLevelType w:val="hybridMultilevel"/>
    <w:tmpl w:val="3A483B56"/>
    <w:lvl w:ilvl="0" w:tplc="89D40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7902EF"/>
    <w:multiLevelType w:val="hybridMultilevel"/>
    <w:tmpl w:val="8DEE4D5C"/>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4182B"/>
    <w:multiLevelType w:val="hybridMultilevel"/>
    <w:tmpl w:val="C884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10816"/>
    <w:multiLevelType w:val="hybridMultilevel"/>
    <w:tmpl w:val="62F02BE2"/>
    <w:lvl w:ilvl="0" w:tplc="D22C94C8">
      <w:start w:val="1"/>
      <w:numFmt w:val="bullet"/>
      <w:pStyle w:val="RadioButtonBullet"/>
      <w:lvlText w:val=""/>
      <w:lvlPicBulletId w:val="0"/>
      <w:lvlJc w:val="left"/>
      <w:pPr>
        <w:tabs>
          <w:tab w:val="num" w:pos="720"/>
        </w:tabs>
        <w:ind w:left="720" w:hanging="360"/>
      </w:pPr>
      <w:rPr>
        <w:rFonts w:ascii="Symbol" w:hAnsi="Symbol" w:hint="default"/>
      </w:rPr>
    </w:lvl>
    <w:lvl w:ilvl="1" w:tplc="199004C2">
      <w:start w:val="1"/>
      <w:numFmt w:val="bullet"/>
      <w:lvlText w:val=""/>
      <w:lvlJc w:val="left"/>
      <w:pPr>
        <w:tabs>
          <w:tab w:val="num" w:pos="1440"/>
        </w:tabs>
        <w:ind w:left="1440" w:hanging="360"/>
      </w:pPr>
      <w:rPr>
        <w:rFonts w:ascii="Symbol" w:hAnsi="Symbol" w:hint="default"/>
      </w:rPr>
    </w:lvl>
    <w:lvl w:ilvl="2" w:tplc="F45AB4D0" w:tentative="1">
      <w:start w:val="1"/>
      <w:numFmt w:val="bullet"/>
      <w:lvlText w:val=""/>
      <w:lvlJc w:val="left"/>
      <w:pPr>
        <w:tabs>
          <w:tab w:val="num" w:pos="2160"/>
        </w:tabs>
        <w:ind w:left="2160" w:hanging="360"/>
      </w:pPr>
      <w:rPr>
        <w:rFonts w:ascii="Symbol" w:hAnsi="Symbol" w:hint="default"/>
      </w:rPr>
    </w:lvl>
    <w:lvl w:ilvl="3" w:tplc="08340BBE" w:tentative="1">
      <w:start w:val="1"/>
      <w:numFmt w:val="bullet"/>
      <w:lvlText w:val=""/>
      <w:lvlJc w:val="left"/>
      <w:pPr>
        <w:tabs>
          <w:tab w:val="num" w:pos="2880"/>
        </w:tabs>
        <w:ind w:left="2880" w:hanging="360"/>
      </w:pPr>
      <w:rPr>
        <w:rFonts w:ascii="Symbol" w:hAnsi="Symbol" w:hint="default"/>
      </w:rPr>
    </w:lvl>
    <w:lvl w:ilvl="4" w:tplc="C38683EA" w:tentative="1">
      <w:start w:val="1"/>
      <w:numFmt w:val="bullet"/>
      <w:lvlText w:val=""/>
      <w:lvlJc w:val="left"/>
      <w:pPr>
        <w:tabs>
          <w:tab w:val="num" w:pos="3600"/>
        </w:tabs>
        <w:ind w:left="3600" w:hanging="360"/>
      </w:pPr>
      <w:rPr>
        <w:rFonts w:ascii="Symbol" w:hAnsi="Symbol" w:hint="default"/>
      </w:rPr>
    </w:lvl>
    <w:lvl w:ilvl="5" w:tplc="49D286D4" w:tentative="1">
      <w:start w:val="1"/>
      <w:numFmt w:val="bullet"/>
      <w:lvlText w:val=""/>
      <w:lvlJc w:val="left"/>
      <w:pPr>
        <w:tabs>
          <w:tab w:val="num" w:pos="4320"/>
        </w:tabs>
        <w:ind w:left="4320" w:hanging="360"/>
      </w:pPr>
      <w:rPr>
        <w:rFonts w:ascii="Symbol" w:hAnsi="Symbol" w:hint="default"/>
      </w:rPr>
    </w:lvl>
    <w:lvl w:ilvl="6" w:tplc="DDEC5CF2" w:tentative="1">
      <w:start w:val="1"/>
      <w:numFmt w:val="bullet"/>
      <w:lvlText w:val=""/>
      <w:lvlJc w:val="left"/>
      <w:pPr>
        <w:tabs>
          <w:tab w:val="num" w:pos="5040"/>
        </w:tabs>
        <w:ind w:left="5040" w:hanging="360"/>
      </w:pPr>
      <w:rPr>
        <w:rFonts w:ascii="Symbol" w:hAnsi="Symbol" w:hint="default"/>
      </w:rPr>
    </w:lvl>
    <w:lvl w:ilvl="7" w:tplc="1DE8D87A" w:tentative="1">
      <w:start w:val="1"/>
      <w:numFmt w:val="bullet"/>
      <w:lvlText w:val=""/>
      <w:lvlJc w:val="left"/>
      <w:pPr>
        <w:tabs>
          <w:tab w:val="num" w:pos="5760"/>
        </w:tabs>
        <w:ind w:left="5760" w:hanging="360"/>
      </w:pPr>
      <w:rPr>
        <w:rFonts w:ascii="Symbol" w:hAnsi="Symbol" w:hint="default"/>
      </w:rPr>
    </w:lvl>
    <w:lvl w:ilvl="8" w:tplc="772899E4"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A700A69"/>
    <w:multiLevelType w:val="hybridMultilevel"/>
    <w:tmpl w:val="1E02B890"/>
    <w:lvl w:ilvl="0" w:tplc="F5D21736">
      <w:start w:val="1"/>
      <w:numFmt w:val="decimal"/>
      <w:lvlText w:val="%1."/>
      <w:lvlJc w:val="left"/>
      <w:pPr>
        <w:ind w:left="500" w:hanging="360"/>
      </w:pPr>
      <w:rPr>
        <w:rFonts w:ascii="Cambria" w:eastAsia="Cambria" w:hAnsi="Cambria" w:cs="Cambria" w:hint="default"/>
        <w:b/>
        <w:bCs/>
        <w:color w:val="365F91"/>
        <w:spacing w:val="-1"/>
        <w:w w:val="100"/>
        <w:sz w:val="24"/>
        <w:szCs w:val="24"/>
        <w:lang w:val="en-US" w:eastAsia="en-US" w:bidi="ar-SA"/>
      </w:rPr>
    </w:lvl>
    <w:lvl w:ilvl="1" w:tplc="E6305D5A">
      <w:numFmt w:val="bullet"/>
      <w:lvlText w:val=""/>
      <w:lvlJc w:val="left"/>
      <w:pPr>
        <w:ind w:left="860" w:hanging="361"/>
      </w:pPr>
      <w:rPr>
        <w:rFonts w:ascii="Symbol" w:eastAsia="Symbol" w:hAnsi="Symbol" w:cs="Symbol" w:hint="default"/>
        <w:w w:val="100"/>
        <w:sz w:val="22"/>
        <w:szCs w:val="22"/>
        <w:lang w:val="en-US" w:eastAsia="en-US" w:bidi="ar-SA"/>
      </w:rPr>
    </w:lvl>
    <w:lvl w:ilvl="2" w:tplc="D3BC6818">
      <w:numFmt w:val="bullet"/>
      <w:lvlText w:val="o"/>
      <w:lvlJc w:val="left"/>
      <w:pPr>
        <w:ind w:left="1580" w:hanging="361"/>
      </w:pPr>
      <w:rPr>
        <w:rFonts w:ascii="Courier New" w:eastAsia="Courier New" w:hAnsi="Courier New" w:cs="Courier New" w:hint="default"/>
        <w:w w:val="100"/>
        <w:sz w:val="22"/>
        <w:szCs w:val="22"/>
        <w:lang w:val="en-US" w:eastAsia="en-US" w:bidi="ar-SA"/>
      </w:rPr>
    </w:lvl>
    <w:lvl w:ilvl="3" w:tplc="F1482010">
      <w:numFmt w:val="bullet"/>
      <w:lvlText w:val="•"/>
      <w:lvlJc w:val="left"/>
      <w:pPr>
        <w:ind w:left="2587" w:hanging="361"/>
      </w:pPr>
      <w:rPr>
        <w:rFonts w:hint="default"/>
        <w:lang w:val="en-US" w:eastAsia="en-US" w:bidi="ar-SA"/>
      </w:rPr>
    </w:lvl>
    <w:lvl w:ilvl="4" w:tplc="4FE8EF5C">
      <w:numFmt w:val="bullet"/>
      <w:lvlText w:val="•"/>
      <w:lvlJc w:val="left"/>
      <w:pPr>
        <w:ind w:left="3595" w:hanging="361"/>
      </w:pPr>
      <w:rPr>
        <w:rFonts w:hint="default"/>
        <w:lang w:val="en-US" w:eastAsia="en-US" w:bidi="ar-SA"/>
      </w:rPr>
    </w:lvl>
    <w:lvl w:ilvl="5" w:tplc="36C22FA8">
      <w:numFmt w:val="bullet"/>
      <w:lvlText w:val="•"/>
      <w:lvlJc w:val="left"/>
      <w:pPr>
        <w:ind w:left="4602" w:hanging="361"/>
      </w:pPr>
      <w:rPr>
        <w:rFonts w:hint="default"/>
        <w:lang w:val="en-US" w:eastAsia="en-US" w:bidi="ar-SA"/>
      </w:rPr>
    </w:lvl>
    <w:lvl w:ilvl="6" w:tplc="856CE130">
      <w:numFmt w:val="bullet"/>
      <w:lvlText w:val="•"/>
      <w:lvlJc w:val="left"/>
      <w:pPr>
        <w:ind w:left="5610" w:hanging="361"/>
      </w:pPr>
      <w:rPr>
        <w:rFonts w:hint="default"/>
        <w:lang w:val="en-US" w:eastAsia="en-US" w:bidi="ar-SA"/>
      </w:rPr>
    </w:lvl>
    <w:lvl w:ilvl="7" w:tplc="AADC63A0">
      <w:numFmt w:val="bullet"/>
      <w:lvlText w:val="•"/>
      <w:lvlJc w:val="left"/>
      <w:pPr>
        <w:ind w:left="6617" w:hanging="361"/>
      </w:pPr>
      <w:rPr>
        <w:rFonts w:hint="default"/>
        <w:lang w:val="en-US" w:eastAsia="en-US" w:bidi="ar-SA"/>
      </w:rPr>
    </w:lvl>
    <w:lvl w:ilvl="8" w:tplc="554A562E">
      <w:numFmt w:val="bullet"/>
      <w:lvlText w:val="•"/>
      <w:lvlJc w:val="left"/>
      <w:pPr>
        <w:ind w:left="7625" w:hanging="361"/>
      </w:pPr>
      <w:rPr>
        <w:rFonts w:hint="default"/>
        <w:lang w:val="en-US" w:eastAsia="en-US" w:bidi="ar-SA"/>
      </w:rPr>
    </w:lvl>
  </w:abstractNum>
  <w:abstractNum w:abstractNumId="9" w15:restartNumberingAfterBreak="0">
    <w:nsid w:val="3A965831"/>
    <w:multiLevelType w:val="hybridMultilevel"/>
    <w:tmpl w:val="31167B22"/>
    <w:lvl w:ilvl="0" w:tplc="4C76C600">
      <w:start w:val="1"/>
      <w:numFmt w:val="decimal"/>
      <w:lvlText w:val="(%1)"/>
      <w:lvlJc w:val="left"/>
      <w:pPr>
        <w:ind w:left="742" w:hanging="243"/>
      </w:pPr>
      <w:rPr>
        <w:rFonts w:ascii="Calibri" w:eastAsia="Calibri" w:hAnsi="Calibri" w:cs="Calibri" w:hint="default"/>
        <w:spacing w:val="-1"/>
        <w:w w:val="100"/>
        <w:sz w:val="18"/>
        <w:szCs w:val="18"/>
        <w:lang w:val="en-US" w:eastAsia="en-US" w:bidi="ar-SA"/>
      </w:rPr>
    </w:lvl>
    <w:lvl w:ilvl="1" w:tplc="7FB8318A">
      <w:numFmt w:val="bullet"/>
      <w:lvlText w:val="•"/>
      <w:lvlJc w:val="left"/>
      <w:pPr>
        <w:ind w:left="1630" w:hanging="243"/>
      </w:pPr>
      <w:rPr>
        <w:rFonts w:hint="default"/>
        <w:lang w:val="en-US" w:eastAsia="en-US" w:bidi="ar-SA"/>
      </w:rPr>
    </w:lvl>
    <w:lvl w:ilvl="2" w:tplc="0B645188">
      <w:numFmt w:val="bullet"/>
      <w:lvlText w:val="•"/>
      <w:lvlJc w:val="left"/>
      <w:pPr>
        <w:ind w:left="2520" w:hanging="243"/>
      </w:pPr>
      <w:rPr>
        <w:rFonts w:hint="default"/>
        <w:lang w:val="en-US" w:eastAsia="en-US" w:bidi="ar-SA"/>
      </w:rPr>
    </w:lvl>
    <w:lvl w:ilvl="3" w:tplc="2D265A84">
      <w:numFmt w:val="bullet"/>
      <w:lvlText w:val="•"/>
      <w:lvlJc w:val="left"/>
      <w:pPr>
        <w:ind w:left="3410" w:hanging="243"/>
      </w:pPr>
      <w:rPr>
        <w:rFonts w:hint="default"/>
        <w:lang w:val="en-US" w:eastAsia="en-US" w:bidi="ar-SA"/>
      </w:rPr>
    </w:lvl>
    <w:lvl w:ilvl="4" w:tplc="EC3405A6">
      <w:numFmt w:val="bullet"/>
      <w:lvlText w:val="•"/>
      <w:lvlJc w:val="left"/>
      <w:pPr>
        <w:ind w:left="4300" w:hanging="243"/>
      </w:pPr>
      <w:rPr>
        <w:rFonts w:hint="default"/>
        <w:lang w:val="en-US" w:eastAsia="en-US" w:bidi="ar-SA"/>
      </w:rPr>
    </w:lvl>
    <w:lvl w:ilvl="5" w:tplc="1A7453C2">
      <w:numFmt w:val="bullet"/>
      <w:lvlText w:val="•"/>
      <w:lvlJc w:val="left"/>
      <w:pPr>
        <w:ind w:left="5190" w:hanging="243"/>
      </w:pPr>
      <w:rPr>
        <w:rFonts w:hint="default"/>
        <w:lang w:val="en-US" w:eastAsia="en-US" w:bidi="ar-SA"/>
      </w:rPr>
    </w:lvl>
    <w:lvl w:ilvl="6" w:tplc="C08EBB80">
      <w:numFmt w:val="bullet"/>
      <w:lvlText w:val="•"/>
      <w:lvlJc w:val="left"/>
      <w:pPr>
        <w:ind w:left="6080" w:hanging="243"/>
      </w:pPr>
      <w:rPr>
        <w:rFonts w:hint="default"/>
        <w:lang w:val="en-US" w:eastAsia="en-US" w:bidi="ar-SA"/>
      </w:rPr>
    </w:lvl>
    <w:lvl w:ilvl="7" w:tplc="CEDC7EAC">
      <w:numFmt w:val="bullet"/>
      <w:lvlText w:val="•"/>
      <w:lvlJc w:val="left"/>
      <w:pPr>
        <w:ind w:left="6970" w:hanging="243"/>
      </w:pPr>
      <w:rPr>
        <w:rFonts w:hint="default"/>
        <w:lang w:val="en-US" w:eastAsia="en-US" w:bidi="ar-SA"/>
      </w:rPr>
    </w:lvl>
    <w:lvl w:ilvl="8" w:tplc="31E0B7AC">
      <w:numFmt w:val="bullet"/>
      <w:lvlText w:val="•"/>
      <w:lvlJc w:val="left"/>
      <w:pPr>
        <w:ind w:left="7860" w:hanging="243"/>
      </w:pPr>
      <w:rPr>
        <w:rFonts w:hint="default"/>
        <w:lang w:val="en-US" w:eastAsia="en-US" w:bidi="ar-SA"/>
      </w:rPr>
    </w:lvl>
  </w:abstractNum>
  <w:abstractNum w:abstractNumId="10" w15:restartNumberingAfterBreak="0">
    <w:nsid w:val="41EF272A"/>
    <w:multiLevelType w:val="hybridMultilevel"/>
    <w:tmpl w:val="D916B1AE"/>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754471"/>
    <w:multiLevelType w:val="hybridMultilevel"/>
    <w:tmpl w:val="92EE5A32"/>
    <w:lvl w:ilvl="0" w:tplc="3F88AF4C">
      <w:start w:val="1"/>
      <w:numFmt w:val="lowerLetter"/>
      <w:lvlText w:val="(%1)"/>
      <w:lvlJc w:val="left"/>
      <w:pPr>
        <w:ind w:left="859" w:hanging="360"/>
      </w:pPr>
      <w:rPr>
        <w:rFonts w:ascii="Calibri" w:eastAsia="Calibri" w:hAnsi="Calibri" w:cs="Calibri" w:hint="default"/>
        <w:b/>
        <w:bCs w:val="0"/>
        <w:spacing w:val="-1"/>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1A6F6E"/>
    <w:multiLevelType w:val="hybridMultilevel"/>
    <w:tmpl w:val="FE4AE33E"/>
    <w:lvl w:ilvl="0" w:tplc="0409000F">
      <w:start w:val="1"/>
      <w:numFmt w:val="decimal"/>
      <w:lvlText w:val="%1."/>
      <w:lvlJc w:val="left"/>
      <w:pPr>
        <w:ind w:left="859" w:hanging="360"/>
      </w:pPr>
      <w:rPr>
        <w:rFonts w:hint="default"/>
        <w:b/>
        <w:bCs w:val="0"/>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6E6247"/>
    <w:multiLevelType w:val="hybridMultilevel"/>
    <w:tmpl w:val="0ED2101C"/>
    <w:lvl w:ilvl="0" w:tplc="63F2C9E8">
      <w:start w:val="1"/>
      <w:numFmt w:val="decimal"/>
      <w:lvlText w:val="(%1)"/>
      <w:lvlJc w:val="left"/>
      <w:pPr>
        <w:ind w:left="858" w:hanging="361"/>
      </w:pPr>
      <w:rPr>
        <w:rFonts w:ascii="Calibri" w:eastAsia="Calibri" w:hAnsi="Calibri" w:cs="Calibri" w:hint="default"/>
        <w:w w:val="100"/>
        <w:sz w:val="22"/>
        <w:szCs w:val="22"/>
        <w:lang w:val="en-US" w:eastAsia="en-US" w:bidi="ar-SA"/>
      </w:rPr>
    </w:lvl>
    <w:lvl w:ilvl="1" w:tplc="6310C288">
      <w:start w:val="1"/>
      <w:numFmt w:val="upperLetter"/>
      <w:lvlText w:val="%2."/>
      <w:lvlJc w:val="left"/>
      <w:pPr>
        <w:ind w:left="1091" w:hanging="233"/>
      </w:pPr>
      <w:rPr>
        <w:rFonts w:ascii="Calibri" w:eastAsia="Calibri" w:hAnsi="Calibri" w:cs="Calibri" w:hint="default"/>
        <w:spacing w:val="-1"/>
        <w:w w:val="100"/>
        <w:sz w:val="22"/>
        <w:szCs w:val="22"/>
        <w:lang w:val="en-US" w:eastAsia="en-US" w:bidi="ar-SA"/>
      </w:rPr>
    </w:lvl>
    <w:lvl w:ilvl="2" w:tplc="76923070">
      <w:numFmt w:val="bullet"/>
      <w:lvlText w:val="•"/>
      <w:lvlJc w:val="left"/>
      <w:pPr>
        <w:ind w:left="2048" w:hanging="233"/>
      </w:pPr>
      <w:rPr>
        <w:rFonts w:hint="default"/>
        <w:lang w:val="en-US" w:eastAsia="en-US" w:bidi="ar-SA"/>
      </w:rPr>
    </w:lvl>
    <w:lvl w:ilvl="3" w:tplc="8612DC6A">
      <w:numFmt w:val="bullet"/>
      <w:lvlText w:val="•"/>
      <w:lvlJc w:val="left"/>
      <w:pPr>
        <w:ind w:left="2997" w:hanging="233"/>
      </w:pPr>
      <w:rPr>
        <w:rFonts w:hint="default"/>
        <w:lang w:val="en-US" w:eastAsia="en-US" w:bidi="ar-SA"/>
      </w:rPr>
    </w:lvl>
    <w:lvl w:ilvl="4" w:tplc="90C6A2D8">
      <w:numFmt w:val="bullet"/>
      <w:lvlText w:val="•"/>
      <w:lvlJc w:val="left"/>
      <w:pPr>
        <w:ind w:left="3946" w:hanging="233"/>
      </w:pPr>
      <w:rPr>
        <w:rFonts w:hint="default"/>
        <w:lang w:val="en-US" w:eastAsia="en-US" w:bidi="ar-SA"/>
      </w:rPr>
    </w:lvl>
    <w:lvl w:ilvl="5" w:tplc="BAC6C2C0">
      <w:numFmt w:val="bullet"/>
      <w:lvlText w:val="•"/>
      <w:lvlJc w:val="left"/>
      <w:pPr>
        <w:ind w:left="4895" w:hanging="233"/>
      </w:pPr>
      <w:rPr>
        <w:rFonts w:hint="default"/>
        <w:lang w:val="en-US" w:eastAsia="en-US" w:bidi="ar-SA"/>
      </w:rPr>
    </w:lvl>
    <w:lvl w:ilvl="6" w:tplc="F142F090">
      <w:numFmt w:val="bullet"/>
      <w:lvlText w:val="•"/>
      <w:lvlJc w:val="left"/>
      <w:pPr>
        <w:ind w:left="5844" w:hanging="233"/>
      </w:pPr>
      <w:rPr>
        <w:rFonts w:hint="default"/>
        <w:lang w:val="en-US" w:eastAsia="en-US" w:bidi="ar-SA"/>
      </w:rPr>
    </w:lvl>
    <w:lvl w:ilvl="7" w:tplc="481A9C0A">
      <w:numFmt w:val="bullet"/>
      <w:lvlText w:val="•"/>
      <w:lvlJc w:val="left"/>
      <w:pPr>
        <w:ind w:left="6793" w:hanging="233"/>
      </w:pPr>
      <w:rPr>
        <w:rFonts w:hint="default"/>
        <w:lang w:val="en-US" w:eastAsia="en-US" w:bidi="ar-SA"/>
      </w:rPr>
    </w:lvl>
    <w:lvl w:ilvl="8" w:tplc="A106D9BA">
      <w:numFmt w:val="bullet"/>
      <w:lvlText w:val="•"/>
      <w:lvlJc w:val="left"/>
      <w:pPr>
        <w:ind w:left="7742" w:hanging="233"/>
      </w:pPr>
      <w:rPr>
        <w:rFonts w:hint="default"/>
        <w:lang w:val="en-US" w:eastAsia="en-US" w:bidi="ar-SA"/>
      </w:rPr>
    </w:lvl>
  </w:abstractNum>
  <w:abstractNum w:abstractNumId="14" w15:restartNumberingAfterBreak="0">
    <w:nsid w:val="692E6741"/>
    <w:multiLevelType w:val="hybridMultilevel"/>
    <w:tmpl w:val="E28CD48C"/>
    <w:lvl w:ilvl="0" w:tplc="853CDF4E">
      <w:start w:val="1"/>
      <w:numFmt w:val="upperLetter"/>
      <w:lvlText w:val="%1."/>
      <w:lvlJc w:val="left"/>
      <w:pPr>
        <w:ind w:left="499" w:hanging="360"/>
      </w:pPr>
      <w:rPr>
        <w:rFonts w:ascii="Cambria" w:eastAsia="Cambria" w:hAnsi="Cambria" w:cs="Cambria" w:hint="default"/>
        <w:b/>
        <w:bCs/>
        <w:color w:val="365F91"/>
        <w:spacing w:val="-1"/>
        <w:w w:val="100"/>
        <w:sz w:val="28"/>
        <w:szCs w:val="28"/>
        <w:lang w:val="en-US" w:eastAsia="en-US" w:bidi="ar-SA"/>
      </w:rPr>
    </w:lvl>
    <w:lvl w:ilvl="1" w:tplc="3468C978">
      <w:start w:val="1"/>
      <w:numFmt w:val="decimal"/>
      <w:lvlText w:val="%2."/>
      <w:lvlJc w:val="left"/>
      <w:pPr>
        <w:ind w:left="450" w:hanging="360"/>
      </w:pPr>
      <w:rPr>
        <w:rFonts w:hint="default"/>
        <w:b/>
        <w:bCs/>
        <w:spacing w:val="-1"/>
        <w:w w:val="100"/>
        <w:lang w:val="en-US" w:eastAsia="en-US" w:bidi="ar-SA"/>
      </w:rPr>
    </w:lvl>
    <w:lvl w:ilvl="2" w:tplc="8DE061AC">
      <w:start w:val="1"/>
      <w:numFmt w:val="lowerLetter"/>
      <w:lvlText w:val="(%3)"/>
      <w:lvlJc w:val="left"/>
      <w:pPr>
        <w:ind w:left="859" w:hanging="360"/>
      </w:pPr>
      <w:rPr>
        <w:rFonts w:ascii="Calibri" w:eastAsia="Calibri" w:hAnsi="Calibri" w:cs="Calibri" w:hint="default"/>
        <w:spacing w:val="-1"/>
        <w:w w:val="100"/>
        <w:sz w:val="22"/>
        <w:szCs w:val="22"/>
        <w:lang w:val="en-US" w:eastAsia="en-US" w:bidi="ar-SA"/>
      </w:rPr>
    </w:lvl>
    <w:lvl w:ilvl="3" w:tplc="802214E2">
      <w:numFmt w:val="bullet"/>
      <w:lvlText w:val="•"/>
      <w:lvlJc w:val="left"/>
      <w:pPr>
        <w:ind w:left="2202" w:hanging="360"/>
      </w:pPr>
      <w:rPr>
        <w:rFonts w:hint="default"/>
        <w:lang w:val="en-US" w:eastAsia="en-US" w:bidi="ar-SA"/>
      </w:rPr>
    </w:lvl>
    <w:lvl w:ilvl="4" w:tplc="9E7445F2">
      <w:numFmt w:val="bullet"/>
      <w:lvlText w:val="•"/>
      <w:lvlJc w:val="left"/>
      <w:pPr>
        <w:ind w:left="3265" w:hanging="360"/>
      </w:pPr>
      <w:rPr>
        <w:rFonts w:hint="default"/>
        <w:lang w:val="en-US" w:eastAsia="en-US" w:bidi="ar-SA"/>
      </w:rPr>
    </w:lvl>
    <w:lvl w:ilvl="5" w:tplc="E8FA8016">
      <w:numFmt w:val="bullet"/>
      <w:lvlText w:val="•"/>
      <w:lvlJc w:val="left"/>
      <w:pPr>
        <w:ind w:left="4327" w:hanging="360"/>
      </w:pPr>
      <w:rPr>
        <w:rFonts w:hint="default"/>
        <w:lang w:val="en-US" w:eastAsia="en-US" w:bidi="ar-SA"/>
      </w:rPr>
    </w:lvl>
    <w:lvl w:ilvl="6" w:tplc="538801C2">
      <w:numFmt w:val="bullet"/>
      <w:lvlText w:val="•"/>
      <w:lvlJc w:val="left"/>
      <w:pPr>
        <w:ind w:left="5390" w:hanging="360"/>
      </w:pPr>
      <w:rPr>
        <w:rFonts w:hint="default"/>
        <w:lang w:val="en-US" w:eastAsia="en-US" w:bidi="ar-SA"/>
      </w:rPr>
    </w:lvl>
    <w:lvl w:ilvl="7" w:tplc="AB50C48C">
      <w:numFmt w:val="bullet"/>
      <w:lvlText w:val="•"/>
      <w:lvlJc w:val="left"/>
      <w:pPr>
        <w:ind w:left="6452" w:hanging="360"/>
      </w:pPr>
      <w:rPr>
        <w:rFonts w:hint="default"/>
        <w:lang w:val="en-US" w:eastAsia="en-US" w:bidi="ar-SA"/>
      </w:rPr>
    </w:lvl>
    <w:lvl w:ilvl="8" w:tplc="E43C8456">
      <w:numFmt w:val="bullet"/>
      <w:lvlText w:val="•"/>
      <w:lvlJc w:val="left"/>
      <w:pPr>
        <w:ind w:left="7515" w:hanging="360"/>
      </w:pPr>
      <w:rPr>
        <w:rFonts w:hint="default"/>
        <w:lang w:val="en-US" w:eastAsia="en-US" w:bidi="ar-SA"/>
      </w:rPr>
    </w:lvl>
  </w:abstractNum>
  <w:abstractNum w:abstractNumId="15" w15:restartNumberingAfterBreak="0">
    <w:nsid w:val="70B35EEE"/>
    <w:multiLevelType w:val="hybridMultilevel"/>
    <w:tmpl w:val="41584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1335C8"/>
    <w:multiLevelType w:val="hybridMultilevel"/>
    <w:tmpl w:val="FAF4F1C4"/>
    <w:lvl w:ilvl="0" w:tplc="AE4ACDC8">
      <w:start w:val="1"/>
      <w:numFmt w:val="decimal"/>
      <w:pStyle w:val="FigureCaption"/>
      <w:lvlText w:val="Figure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B23C1A"/>
    <w:multiLevelType w:val="hybridMultilevel"/>
    <w:tmpl w:val="CC46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DC7B84"/>
    <w:multiLevelType w:val="hybridMultilevel"/>
    <w:tmpl w:val="7550E538"/>
    <w:lvl w:ilvl="0" w:tplc="3132AB68">
      <w:start w:val="1"/>
      <w:numFmt w:val="lowerLetter"/>
      <w:lvlText w:val="%1."/>
      <w:lvlJc w:val="left"/>
      <w:pPr>
        <w:ind w:left="1579" w:hanging="360"/>
      </w:pPr>
      <w:rPr>
        <w:rFonts w:ascii="Calibri" w:eastAsia="Calibri" w:hAnsi="Calibri" w:cs="Calibri" w:hint="default"/>
        <w:w w:val="100"/>
        <w:sz w:val="24"/>
        <w:szCs w:val="24"/>
        <w:lang w:val="en-US" w:eastAsia="en-US" w:bidi="ar-SA"/>
      </w:rPr>
    </w:lvl>
    <w:lvl w:ilvl="1" w:tplc="1ECE41FA">
      <w:numFmt w:val="bullet"/>
      <w:lvlText w:val="•"/>
      <w:lvlJc w:val="left"/>
      <w:pPr>
        <w:ind w:left="2386" w:hanging="360"/>
      </w:pPr>
      <w:rPr>
        <w:rFonts w:hint="default"/>
        <w:lang w:val="en-US" w:eastAsia="en-US" w:bidi="ar-SA"/>
      </w:rPr>
    </w:lvl>
    <w:lvl w:ilvl="2" w:tplc="A40CFECA">
      <w:numFmt w:val="bullet"/>
      <w:lvlText w:val="•"/>
      <w:lvlJc w:val="left"/>
      <w:pPr>
        <w:ind w:left="3192" w:hanging="360"/>
      </w:pPr>
      <w:rPr>
        <w:rFonts w:hint="default"/>
        <w:lang w:val="en-US" w:eastAsia="en-US" w:bidi="ar-SA"/>
      </w:rPr>
    </w:lvl>
    <w:lvl w:ilvl="3" w:tplc="12B893B0">
      <w:numFmt w:val="bullet"/>
      <w:lvlText w:val="•"/>
      <w:lvlJc w:val="left"/>
      <w:pPr>
        <w:ind w:left="3998" w:hanging="360"/>
      </w:pPr>
      <w:rPr>
        <w:rFonts w:hint="default"/>
        <w:lang w:val="en-US" w:eastAsia="en-US" w:bidi="ar-SA"/>
      </w:rPr>
    </w:lvl>
    <w:lvl w:ilvl="4" w:tplc="40C29D00">
      <w:numFmt w:val="bullet"/>
      <w:lvlText w:val="•"/>
      <w:lvlJc w:val="left"/>
      <w:pPr>
        <w:ind w:left="4804" w:hanging="360"/>
      </w:pPr>
      <w:rPr>
        <w:rFonts w:hint="default"/>
        <w:lang w:val="en-US" w:eastAsia="en-US" w:bidi="ar-SA"/>
      </w:rPr>
    </w:lvl>
    <w:lvl w:ilvl="5" w:tplc="A6BE38EE">
      <w:numFmt w:val="bullet"/>
      <w:lvlText w:val="•"/>
      <w:lvlJc w:val="left"/>
      <w:pPr>
        <w:ind w:left="5610" w:hanging="360"/>
      </w:pPr>
      <w:rPr>
        <w:rFonts w:hint="default"/>
        <w:lang w:val="en-US" w:eastAsia="en-US" w:bidi="ar-SA"/>
      </w:rPr>
    </w:lvl>
    <w:lvl w:ilvl="6" w:tplc="8C1223C6">
      <w:numFmt w:val="bullet"/>
      <w:lvlText w:val="•"/>
      <w:lvlJc w:val="left"/>
      <w:pPr>
        <w:ind w:left="6416" w:hanging="360"/>
      </w:pPr>
      <w:rPr>
        <w:rFonts w:hint="default"/>
        <w:lang w:val="en-US" w:eastAsia="en-US" w:bidi="ar-SA"/>
      </w:rPr>
    </w:lvl>
    <w:lvl w:ilvl="7" w:tplc="E0AA7414">
      <w:numFmt w:val="bullet"/>
      <w:lvlText w:val="•"/>
      <w:lvlJc w:val="left"/>
      <w:pPr>
        <w:ind w:left="7222" w:hanging="360"/>
      </w:pPr>
      <w:rPr>
        <w:rFonts w:hint="default"/>
        <w:lang w:val="en-US" w:eastAsia="en-US" w:bidi="ar-SA"/>
      </w:rPr>
    </w:lvl>
    <w:lvl w:ilvl="8" w:tplc="AC6408C4">
      <w:numFmt w:val="bullet"/>
      <w:lvlText w:val="•"/>
      <w:lvlJc w:val="left"/>
      <w:pPr>
        <w:ind w:left="8028" w:hanging="360"/>
      </w:pPr>
      <w:rPr>
        <w:rFonts w:hint="default"/>
        <w:lang w:val="en-US" w:eastAsia="en-US" w:bidi="ar-SA"/>
      </w:rPr>
    </w:lvl>
  </w:abstractNum>
  <w:num w:numId="1">
    <w:abstractNumId w:val="7"/>
  </w:num>
  <w:num w:numId="2">
    <w:abstractNumId w:val="16"/>
  </w:num>
  <w:num w:numId="3">
    <w:abstractNumId w:val="9"/>
  </w:num>
  <w:num w:numId="4">
    <w:abstractNumId w:val="8"/>
  </w:num>
  <w:num w:numId="5">
    <w:abstractNumId w:val="18"/>
  </w:num>
  <w:num w:numId="6">
    <w:abstractNumId w:val="0"/>
  </w:num>
  <w:num w:numId="7">
    <w:abstractNumId w:val="1"/>
  </w:num>
  <w:num w:numId="8">
    <w:abstractNumId w:val="14"/>
  </w:num>
  <w:num w:numId="9">
    <w:abstractNumId w:val="13"/>
  </w:num>
  <w:num w:numId="10">
    <w:abstractNumId w:val="3"/>
  </w:num>
  <w:num w:numId="11">
    <w:abstractNumId w:val="2"/>
  </w:num>
  <w:num w:numId="12">
    <w:abstractNumId w:val="5"/>
  </w:num>
  <w:num w:numId="13">
    <w:abstractNumId w:val="11"/>
  </w:num>
  <w:num w:numId="14">
    <w:abstractNumId w:val="10"/>
  </w:num>
  <w:num w:numId="15">
    <w:abstractNumId w:val="12"/>
  </w:num>
  <w:num w:numId="16">
    <w:abstractNumId w:val="15"/>
  </w:num>
  <w:num w:numId="17">
    <w:abstractNumId w:val="4"/>
  </w:num>
  <w:num w:numId="18">
    <w:abstractNumId w:val="6"/>
  </w:num>
  <w:num w:numId="1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669"/>
    <w:rsid w:val="000007DF"/>
    <w:rsid w:val="00000E77"/>
    <w:rsid w:val="00001C5E"/>
    <w:rsid w:val="00001EAE"/>
    <w:rsid w:val="000032E5"/>
    <w:rsid w:val="00003894"/>
    <w:rsid w:val="0000398B"/>
    <w:rsid w:val="000039B6"/>
    <w:rsid w:val="00004700"/>
    <w:rsid w:val="00004E61"/>
    <w:rsid w:val="00006354"/>
    <w:rsid w:val="00010158"/>
    <w:rsid w:val="00011778"/>
    <w:rsid w:val="000123EB"/>
    <w:rsid w:val="0001275E"/>
    <w:rsid w:val="00012CFF"/>
    <w:rsid w:val="00012EB2"/>
    <w:rsid w:val="00012FE7"/>
    <w:rsid w:val="00013004"/>
    <w:rsid w:val="00013420"/>
    <w:rsid w:val="000135C2"/>
    <w:rsid w:val="00013989"/>
    <w:rsid w:val="00014550"/>
    <w:rsid w:val="00014552"/>
    <w:rsid w:val="0001550D"/>
    <w:rsid w:val="00015D55"/>
    <w:rsid w:val="0001707D"/>
    <w:rsid w:val="00017826"/>
    <w:rsid w:val="00017FA6"/>
    <w:rsid w:val="000209D6"/>
    <w:rsid w:val="00020C35"/>
    <w:rsid w:val="0002166F"/>
    <w:rsid w:val="000221B3"/>
    <w:rsid w:val="00023642"/>
    <w:rsid w:val="00023E62"/>
    <w:rsid w:val="0002435E"/>
    <w:rsid w:val="00024979"/>
    <w:rsid w:val="000251C4"/>
    <w:rsid w:val="000256D1"/>
    <w:rsid w:val="00025D8D"/>
    <w:rsid w:val="00026ADD"/>
    <w:rsid w:val="00027886"/>
    <w:rsid w:val="00027F39"/>
    <w:rsid w:val="00030B45"/>
    <w:rsid w:val="00030F20"/>
    <w:rsid w:val="00031560"/>
    <w:rsid w:val="00031C3A"/>
    <w:rsid w:val="00031E3A"/>
    <w:rsid w:val="00032548"/>
    <w:rsid w:val="00032DB1"/>
    <w:rsid w:val="00033474"/>
    <w:rsid w:val="0003461E"/>
    <w:rsid w:val="000360A5"/>
    <w:rsid w:val="00037032"/>
    <w:rsid w:val="000378F3"/>
    <w:rsid w:val="000379CD"/>
    <w:rsid w:val="000379F6"/>
    <w:rsid w:val="000406CD"/>
    <w:rsid w:val="00041E27"/>
    <w:rsid w:val="000420BE"/>
    <w:rsid w:val="000423B5"/>
    <w:rsid w:val="00042EBF"/>
    <w:rsid w:val="00043341"/>
    <w:rsid w:val="0004359A"/>
    <w:rsid w:val="000437FD"/>
    <w:rsid w:val="00044700"/>
    <w:rsid w:val="00044748"/>
    <w:rsid w:val="00044883"/>
    <w:rsid w:val="000477FF"/>
    <w:rsid w:val="00047BB6"/>
    <w:rsid w:val="00047DA0"/>
    <w:rsid w:val="0005031F"/>
    <w:rsid w:val="000533D7"/>
    <w:rsid w:val="00053A33"/>
    <w:rsid w:val="0005400A"/>
    <w:rsid w:val="00054582"/>
    <w:rsid w:val="000545D2"/>
    <w:rsid w:val="00054A60"/>
    <w:rsid w:val="00054FA8"/>
    <w:rsid w:val="00055FC7"/>
    <w:rsid w:val="000564AC"/>
    <w:rsid w:val="00061896"/>
    <w:rsid w:val="000618B4"/>
    <w:rsid w:val="00061AB2"/>
    <w:rsid w:val="00061F73"/>
    <w:rsid w:val="00063CB9"/>
    <w:rsid w:val="00064809"/>
    <w:rsid w:val="00064AB6"/>
    <w:rsid w:val="00064BA4"/>
    <w:rsid w:val="00067883"/>
    <w:rsid w:val="00067C04"/>
    <w:rsid w:val="00067F9F"/>
    <w:rsid w:val="000709B9"/>
    <w:rsid w:val="00072B99"/>
    <w:rsid w:val="00072FEE"/>
    <w:rsid w:val="00073047"/>
    <w:rsid w:val="00074237"/>
    <w:rsid w:val="000743D6"/>
    <w:rsid w:val="00075324"/>
    <w:rsid w:val="0007732B"/>
    <w:rsid w:val="000802F7"/>
    <w:rsid w:val="000806CC"/>
    <w:rsid w:val="00080D36"/>
    <w:rsid w:val="00080EBD"/>
    <w:rsid w:val="0008147F"/>
    <w:rsid w:val="00082236"/>
    <w:rsid w:val="00082667"/>
    <w:rsid w:val="000829BF"/>
    <w:rsid w:val="00082CFF"/>
    <w:rsid w:val="0008392B"/>
    <w:rsid w:val="00083FA7"/>
    <w:rsid w:val="0008402E"/>
    <w:rsid w:val="000847AD"/>
    <w:rsid w:val="00086F70"/>
    <w:rsid w:val="000901CC"/>
    <w:rsid w:val="00091E9A"/>
    <w:rsid w:val="000922BF"/>
    <w:rsid w:val="000923A7"/>
    <w:rsid w:val="00092E0A"/>
    <w:rsid w:val="0009453E"/>
    <w:rsid w:val="00094681"/>
    <w:rsid w:val="00094EAD"/>
    <w:rsid w:val="00095A95"/>
    <w:rsid w:val="000964F0"/>
    <w:rsid w:val="00097942"/>
    <w:rsid w:val="000A1594"/>
    <w:rsid w:val="000A170A"/>
    <w:rsid w:val="000A2477"/>
    <w:rsid w:val="000A2C40"/>
    <w:rsid w:val="000A2E95"/>
    <w:rsid w:val="000A364E"/>
    <w:rsid w:val="000A495D"/>
    <w:rsid w:val="000A4CDC"/>
    <w:rsid w:val="000A4FD8"/>
    <w:rsid w:val="000A62BB"/>
    <w:rsid w:val="000A6CA4"/>
    <w:rsid w:val="000A7001"/>
    <w:rsid w:val="000A70DC"/>
    <w:rsid w:val="000A730B"/>
    <w:rsid w:val="000B050E"/>
    <w:rsid w:val="000B10B1"/>
    <w:rsid w:val="000B1C67"/>
    <w:rsid w:val="000B2A1C"/>
    <w:rsid w:val="000B2C26"/>
    <w:rsid w:val="000B3A11"/>
    <w:rsid w:val="000B3B4A"/>
    <w:rsid w:val="000B4AE7"/>
    <w:rsid w:val="000B4BBE"/>
    <w:rsid w:val="000B4FD4"/>
    <w:rsid w:val="000B7462"/>
    <w:rsid w:val="000C0069"/>
    <w:rsid w:val="000C1C56"/>
    <w:rsid w:val="000C2AED"/>
    <w:rsid w:val="000C3421"/>
    <w:rsid w:val="000C57BE"/>
    <w:rsid w:val="000C5918"/>
    <w:rsid w:val="000C5A7A"/>
    <w:rsid w:val="000C6015"/>
    <w:rsid w:val="000C6763"/>
    <w:rsid w:val="000C688B"/>
    <w:rsid w:val="000C6B64"/>
    <w:rsid w:val="000D0117"/>
    <w:rsid w:val="000D1580"/>
    <w:rsid w:val="000D2FB8"/>
    <w:rsid w:val="000D37FC"/>
    <w:rsid w:val="000D4623"/>
    <w:rsid w:val="000D4947"/>
    <w:rsid w:val="000D4C8D"/>
    <w:rsid w:val="000D69E5"/>
    <w:rsid w:val="000D6C5B"/>
    <w:rsid w:val="000D6EC4"/>
    <w:rsid w:val="000D7858"/>
    <w:rsid w:val="000E0A7D"/>
    <w:rsid w:val="000E1C83"/>
    <w:rsid w:val="000E206D"/>
    <w:rsid w:val="000E30A8"/>
    <w:rsid w:val="000E3445"/>
    <w:rsid w:val="000E43BF"/>
    <w:rsid w:val="000E4B47"/>
    <w:rsid w:val="000E4B9A"/>
    <w:rsid w:val="000E54B5"/>
    <w:rsid w:val="000E56FA"/>
    <w:rsid w:val="000E5FA8"/>
    <w:rsid w:val="000E62E5"/>
    <w:rsid w:val="000E7688"/>
    <w:rsid w:val="000F0525"/>
    <w:rsid w:val="000F1686"/>
    <w:rsid w:val="000F1858"/>
    <w:rsid w:val="000F19D5"/>
    <w:rsid w:val="000F1FED"/>
    <w:rsid w:val="000F27DB"/>
    <w:rsid w:val="000F3CCC"/>
    <w:rsid w:val="000F435D"/>
    <w:rsid w:val="000F4F37"/>
    <w:rsid w:val="000F4FB0"/>
    <w:rsid w:val="000F5814"/>
    <w:rsid w:val="000F66B8"/>
    <w:rsid w:val="000F670E"/>
    <w:rsid w:val="000F7399"/>
    <w:rsid w:val="000F7CF3"/>
    <w:rsid w:val="000F7D53"/>
    <w:rsid w:val="001010F3"/>
    <w:rsid w:val="0010168C"/>
    <w:rsid w:val="00101CA5"/>
    <w:rsid w:val="00102695"/>
    <w:rsid w:val="00102C3C"/>
    <w:rsid w:val="00102F04"/>
    <w:rsid w:val="00103CD3"/>
    <w:rsid w:val="00104B17"/>
    <w:rsid w:val="00104E0D"/>
    <w:rsid w:val="0010504E"/>
    <w:rsid w:val="0010510A"/>
    <w:rsid w:val="00105DC4"/>
    <w:rsid w:val="001061C0"/>
    <w:rsid w:val="00106D71"/>
    <w:rsid w:val="0010731D"/>
    <w:rsid w:val="00107406"/>
    <w:rsid w:val="00107600"/>
    <w:rsid w:val="00111B71"/>
    <w:rsid w:val="00112DDC"/>
    <w:rsid w:val="00112F4D"/>
    <w:rsid w:val="00113CE9"/>
    <w:rsid w:val="00113E1E"/>
    <w:rsid w:val="00114A6C"/>
    <w:rsid w:val="00115277"/>
    <w:rsid w:val="001156D2"/>
    <w:rsid w:val="00115CDA"/>
    <w:rsid w:val="00116D0B"/>
    <w:rsid w:val="00116D8B"/>
    <w:rsid w:val="00117490"/>
    <w:rsid w:val="00117696"/>
    <w:rsid w:val="00117952"/>
    <w:rsid w:val="00120AE3"/>
    <w:rsid w:val="0012230D"/>
    <w:rsid w:val="001225CB"/>
    <w:rsid w:val="00124054"/>
    <w:rsid w:val="0012497F"/>
    <w:rsid w:val="00124DB5"/>
    <w:rsid w:val="00124E6A"/>
    <w:rsid w:val="00124ED5"/>
    <w:rsid w:val="00126853"/>
    <w:rsid w:val="00126FF9"/>
    <w:rsid w:val="001270B8"/>
    <w:rsid w:val="001273C6"/>
    <w:rsid w:val="00130AE9"/>
    <w:rsid w:val="00131E2C"/>
    <w:rsid w:val="00132EE9"/>
    <w:rsid w:val="00133698"/>
    <w:rsid w:val="00134C0C"/>
    <w:rsid w:val="00135576"/>
    <w:rsid w:val="00136BE2"/>
    <w:rsid w:val="0014028E"/>
    <w:rsid w:val="00140A8A"/>
    <w:rsid w:val="00141A33"/>
    <w:rsid w:val="00142117"/>
    <w:rsid w:val="00142347"/>
    <w:rsid w:val="0014261C"/>
    <w:rsid w:val="001430AA"/>
    <w:rsid w:val="0014399E"/>
    <w:rsid w:val="001445CE"/>
    <w:rsid w:val="00144EB2"/>
    <w:rsid w:val="00145F88"/>
    <w:rsid w:val="00146B79"/>
    <w:rsid w:val="00146FBA"/>
    <w:rsid w:val="00150B3B"/>
    <w:rsid w:val="00151612"/>
    <w:rsid w:val="00151989"/>
    <w:rsid w:val="00151F97"/>
    <w:rsid w:val="00153A6F"/>
    <w:rsid w:val="00153F2D"/>
    <w:rsid w:val="001542AE"/>
    <w:rsid w:val="00156264"/>
    <w:rsid w:val="0015671D"/>
    <w:rsid w:val="00156BF7"/>
    <w:rsid w:val="00157066"/>
    <w:rsid w:val="001600D9"/>
    <w:rsid w:val="001604F3"/>
    <w:rsid w:val="00160856"/>
    <w:rsid w:val="001634E7"/>
    <w:rsid w:val="0016375D"/>
    <w:rsid w:val="001638EB"/>
    <w:rsid w:val="00163BEE"/>
    <w:rsid w:val="00164B78"/>
    <w:rsid w:val="00164FFE"/>
    <w:rsid w:val="00165225"/>
    <w:rsid w:val="00165467"/>
    <w:rsid w:val="00167930"/>
    <w:rsid w:val="00170A9A"/>
    <w:rsid w:val="001721C0"/>
    <w:rsid w:val="00172F58"/>
    <w:rsid w:val="00172FC0"/>
    <w:rsid w:val="001744F9"/>
    <w:rsid w:val="00174585"/>
    <w:rsid w:val="00174B9B"/>
    <w:rsid w:val="00174E1C"/>
    <w:rsid w:val="00175DE4"/>
    <w:rsid w:val="00176006"/>
    <w:rsid w:val="0017668C"/>
    <w:rsid w:val="00177098"/>
    <w:rsid w:val="00177EC7"/>
    <w:rsid w:val="001806EA"/>
    <w:rsid w:val="00181DEB"/>
    <w:rsid w:val="0018238E"/>
    <w:rsid w:val="001829C9"/>
    <w:rsid w:val="00183E9B"/>
    <w:rsid w:val="0018469E"/>
    <w:rsid w:val="00186420"/>
    <w:rsid w:val="001866DE"/>
    <w:rsid w:val="001907A4"/>
    <w:rsid w:val="00190B59"/>
    <w:rsid w:val="00191350"/>
    <w:rsid w:val="0019150B"/>
    <w:rsid w:val="0019260C"/>
    <w:rsid w:val="00193E59"/>
    <w:rsid w:val="00195F78"/>
    <w:rsid w:val="001963DE"/>
    <w:rsid w:val="00197A4F"/>
    <w:rsid w:val="001A0637"/>
    <w:rsid w:val="001A0793"/>
    <w:rsid w:val="001A171A"/>
    <w:rsid w:val="001A192D"/>
    <w:rsid w:val="001A1DC6"/>
    <w:rsid w:val="001A2ACC"/>
    <w:rsid w:val="001A342F"/>
    <w:rsid w:val="001A3539"/>
    <w:rsid w:val="001A4B29"/>
    <w:rsid w:val="001A5652"/>
    <w:rsid w:val="001A582D"/>
    <w:rsid w:val="001A5EBA"/>
    <w:rsid w:val="001A6E55"/>
    <w:rsid w:val="001B0473"/>
    <w:rsid w:val="001B1139"/>
    <w:rsid w:val="001B12D3"/>
    <w:rsid w:val="001B1B38"/>
    <w:rsid w:val="001B2224"/>
    <w:rsid w:val="001B45DD"/>
    <w:rsid w:val="001B4677"/>
    <w:rsid w:val="001B6595"/>
    <w:rsid w:val="001B6A5C"/>
    <w:rsid w:val="001B6F43"/>
    <w:rsid w:val="001B6FC2"/>
    <w:rsid w:val="001B7654"/>
    <w:rsid w:val="001C006B"/>
    <w:rsid w:val="001C03C3"/>
    <w:rsid w:val="001C05DB"/>
    <w:rsid w:val="001C0D43"/>
    <w:rsid w:val="001C2162"/>
    <w:rsid w:val="001C22E3"/>
    <w:rsid w:val="001C23B6"/>
    <w:rsid w:val="001C2BF0"/>
    <w:rsid w:val="001C2C90"/>
    <w:rsid w:val="001C3D0E"/>
    <w:rsid w:val="001C4405"/>
    <w:rsid w:val="001C46CD"/>
    <w:rsid w:val="001C4B22"/>
    <w:rsid w:val="001C5219"/>
    <w:rsid w:val="001C53AA"/>
    <w:rsid w:val="001C5417"/>
    <w:rsid w:val="001C56E8"/>
    <w:rsid w:val="001C6627"/>
    <w:rsid w:val="001C7E55"/>
    <w:rsid w:val="001D144F"/>
    <w:rsid w:val="001D1A20"/>
    <w:rsid w:val="001D21D9"/>
    <w:rsid w:val="001D2E9B"/>
    <w:rsid w:val="001D44F7"/>
    <w:rsid w:val="001D4777"/>
    <w:rsid w:val="001D51D9"/>
    <w:rsid w:val="001D5656"/>
    <w:rsid w:val="001D5F4A"/>
    <w:rsid w:val="001D6BA5"/>
    <w:rsid w:val="001D6E02"/>
    <w:rsid w:val="001D7011"/>
    <w:rsid w:val="001D71B6"/>
    <w:rsid w:val="001D7755"/>
    <w:rsid w:val="001D7F3B"/>
    <w:rsid w:val="001E141D"/>
    <w:rsid w:val="001E22C1"/>
    <w:rsid w:val="001E2AFB"/>
    <w:rsid w:val="001E2E5A"/>
    <w:rsid w:val="001E39E3"/>
    <w:rsid w:val="001E3FEA"/>
    <w:rsid w:val="001E4908"/>
    <w:rsid w:val="001E51FC"/>
    <w:rsid w:val="001E5B13"/>
    <w:rsid w:val="001E5CEA"/>
    <w:rsid w:val="001F1285"/>
    <w:rsid w:val="001F1489"/>
    <w:rsid w:val="001F1E6E"/>
    <w:rsid w:val="001F2876"/>
    <w:rsid w:val="001F32F8"/>
    <w:rsid w:val="001F3A65"/>
    <w:rsid w:val="001F3FD2"/>
    <w:rsid w:val="001F4C9D"/>
    <w:rsid w:val="001F545F"/>
    <w:rsid w:val="001F5E3B"/>
    <w:rsid w:val="001F6B80"/>
    <w:rsid w:val="001F76D7"/>
    <w:rsid w:val="001F7A3C"/>
    <w:rsid w:val="00201DDB"/>
    <w:rsid w:val="00202113"/>
    <w:rsid w:val="00202778"/>
    <w:rsid w:val="00202A6D"/>
    <w:rsid w:val="00202E5C"/>
    <w:rsid w:val="00202F95"/>
    <w:rsid w:val="002044A7"/>
    <w:rsid w:val="00204735"/>
    <w:rsid w:val="00205039"/>
    <w:rsid w:val="00205239"/>
    <w:rsid w:val="00205324"/>
    <w:rsid w:val="0020548E"/>
    <w:rsid w:val="00205595"/>
    <w:rsid w:val="00205E6B"/>
    <w:rsid w:val="002060DB"/>
    <w:rsid w:val="0020799B"/>
    <w:rsid w:val="002107AA"/>
    <w:rsid w:val="00210D18"/>
    <w:rsid w:val="00211DCE"/>
    <w:rsid w:val="00212A97"/>
    <w:rsid w:val="00214AB0"/>
    <w:rsid w:val="0021508C"/>
    <w:rsid w:val="0021530B"/>
    <w:rsid w:val="00215A38"/>
    <w:rsid w:val="00215E6A"/>
    <w:rsid w:val="002163B7"/>
    <w:rsid w:val="002163F2"/>
    <w:rsid w:val="00217F33"/>
    <w:rsid w:val="00220217"/>
    <w:rsid w:val="00220285"/>
    <w:rsid w:val="00220B32"/>
    <w:rsid w:val="00220DE8"/>
    <w:rsid w:val="002210FB"/>
    <w:rsid w:val="0022161C"/>
    <w:rsid w:val="002223BB"/>
    <w:rsid w:val="00222B7B"/>
    <w:rsid w:val="00223A72"/>
    <w:rsid w:val="00224107"/>
    <w:rsid w:val="002242B8"/>
    <w:rsid w:val="00224D8B"/>
    <w:rsid w:val="00225C04"/>
    <w:rsid w:val="00227B50"/>
    <w:rsid w:val="00230E4A"/>
    <w:rsid w:val="00231199"/>
    <w:rsid w:val="002318C5"/>
    <w:rsid w:val="00233230"/>
    <w:rsid w:val="002332D6"/>
    <w:rsid w:val="00234503"/>
    <w:rsid w:val="00234750"/>
    <w:rsid w:val="0023661C"/>
    <w:rsid w:val="002374DE"/>
    <w:rsid w:val="0024014D"/>
    <w:rsid w:val="002404F9"/>
    <w:rsid w:val="00241D4B"/>
    <w:rsid w:val="00242B5A"/>
    <w:rsid w:val="002431E5"/>
    <w:rsid w:val="00243455"/>
    <w:rsid w:val="0024349D"/>
    <w:rsid w:val="0024351A"/>
    <w:rsid w:val="00243800"/>
    <w:rsid w:val="00243C7D"/>
    <w:rsid w:val="00244BFC"/>
    <w:rsid w:val="00244FA8"/>
    <w:rsid w:val="002451A6"/>
    <w:rsid w:val="002451DC"/>
    <w:rsid w:val="00245835"/>
    <w:rsid w:val="002458C0"/>
    <w:rsid w:val="00245D5D"/>
    <w:rsid w:val="002465B8"/>
    <w:rsid w:val="00246915"/>
    <w:rsid w:val="00246A4E"/>
    <w:rsid w:val="002477AC"/>
    <w:rsid w:val="00250728"/>
    <w:rsid w:val="002507BC"/>
    <w:rsid w:val="00250A97"/>
    <w:rsid w:val="00251098"/>
    <w:rsid w:val="002518F2"/>
    <w:rsid w:val="0025243E"/>
    <w:rsid w:val="0025260D"/>
    <w:rsid w:val="002534F0"/>
    <w:rsid w:val="00253D4F"/>
    <w:rsid w:val="0025401C"/>
    <w:rsid w:val="0025687D"/>
    <w:rsid w:val="00256998"/>
    <w:rsid w:val="002606CC"/>
    <w:rsid w:val="00260DBA"/>
    <w:rsid w:val="00260ED7"/>
    <w:rsid w:val="00261010"/>
    <w:rsid w:val="0026103E"/>
    <w:rsid w:val="00261D41"/>
    <w:rsid w:val="002639F2"/>
    <w:rsid w:val="00263BBD"/>
    <w:rsid w:val="00263DD7"/>
    <w:rsid w:val="00264607"/>
    <w:rsid w:val="00264AC4"/>
    <w:rsid w:val="00264D70"/>
    <w:rsid w:val="002651D2"/>
    <w:rsid w:val="0026532B"/>
    <w:rsid w:val="00265DF6"/>
    <w:rsid w:val="002667EA"/>
    <w:rsid w:val="0026684D"/>
    <w:rsid w:val="00267199"/>
    <w:rsid w:val="0026766C"/>
    <w:rsid w:val="002679EA"/>
    <w:rsid w:val="002707BD"/>
    <w:rsid w:val="00270952"/>
    <w:rsid w:val="00270F92"/>
    <w:rsid w:val="00271DCF"/>
    <w:rsid w:val="00271E37"/>
    <w:rsid w:val="0027224D"/>
    <w:rsid w:val="002733A2"/>
    <w:rsid w:val="00274768"/>
    <w:rsid w:val="002756A3"/>
    <w:rsid w:val="002760A3"/>
    <w:rsid w:val="002760BD"/>
    <w:rsid w:val="002764FB"/>
    <w:rsid w:val="002768DB"/>
    <w:rsid w:val="002772F4"/>
    <w:rsid w:val="002775D1"/>
    <w:rsid w:val="00277C0C"/>
    <w:rsid w:val="00280BE5"/>
    <w:rsid w:val="00280C06"/>
    <w:rsid w:val="0028126A"/>
    <w:rsid w:val="002813C2"/>
    <w:rsid w:val="0028232F"/>
    <w:rsid w:val="00282650"/>
    <w:rsid w:val="00282855"/>
    <w:rsid w:val="00283035"/>
    <w:rsid w:val="002838F3"/>
    <w:rsid w:val="00283A6E"/>
    <w:rsid w:val="00283E11"/>
    <w:rsid w:val="00283E7C"/>
    <w:rsid w:val="0028570E"/>
    <w:rsid w:val="00286019"/>
    <w:rsid w:val="00286847"/>
    <w:rsid w:val="00286999"/>
    <w:rsid w:val="00287B52"/>
    <w:rsid w:val="002908CD"/>
    <w:rsid w:val="00290C16"/>
    <w:rsid w:val="0029150F"/>
    <w:rsid w:val="00291D97"/>
    <w:rsid w:val="00291EA9"/>
    <w:rsid w:val="00292265"/>
    <w:rsid w:val="002931EC"/>
    <w:rsid w:val="0029367B"/>
    <w:rsid w:val="00293B59"/>
    <w:rsid w:val="00293C02"/>
    <w:rsid w:val="002959B0"/>
    <w:rsid w:val="00296604"/>
    <w:rsid w:val="00296A63"/>
    <w:rsid w:val="00296EF8"/>
    <w:rsid w:val="0029729C"/>
    <w:rsid w:val="002974C4"/>
    <w:rsid w:val="00297710"/>
    <w:rsid w:val="00297898"/>
    <w:rsid w:val="00297B2C"/>
    <w:rsid w:val="002A0900"/>
    <w:rsid w:val="002A1328"/>
    <w:rsid w:val="002A1E9E"/>
    <w:rsid w:val="002A1EAC"/>
    <w:rsid w:val="002A2503"/>
    <w:rsid w:val="002A2966"/>
    <w:rsid w:val="002A2A1B"/>
    <w:rsid w:val="002A43F7"/>
    <w:rsid w:val="002A476C"/>
    <w:rsid w:val="002A5A85"/>
    <w:rsid w:val="002A5ACF"/>
    <w:rsid w:val="002A5C3B"/>
    <w:rsid w:val="002A5E4E"/>
    <w:rsid w:val="002A6555"/>
    <w:rsid w:val="002A6E26"/>
    <w:rsid w:val="002A723A"/>
    <w:rsid w:val="002A7E5B"/>
    <w:rsid w:val="002B0B00"/>
    <w:rsid w:val="002B14DF"/>
    <w:rsid w:val="002B15AD"/>
    <w:rsid w:val="002B2055"/>
    <w:rsid w:val="002B3EAE"/>
    <w:rsid w:val="002B4034"/>
    <w:rsid w:val="002B49BF"/>
    <w:rsid w:val="002B5631"/>
    <w:rsid w:val="002B5671"/>
    <w:rsid w:val="002B5F4B"/>
    <w:rsid w:val="002B6555"/>
    <w:rsid w:val="002B659C"/>
    <w:rsid w:val="002B68F9"/>
    <w:rsid w:val="002C02F9"/>
    <w:rsid w:val="002C11D6"/>
    <w:rsid w:val="002C179A"/>
    <w:rsid w:val="002C32D7"/>
    <w:rsid w:val="002C3413"/>
    <w:rsid w:val="002C537D"/>
    <w:rsid w:val="002C56B1"/>
    <w:rsid w:val="002C5994"/>
    <w:rsid w:val="002C5BEF"/>
    <w:rsid w:val="002C68A2"/>
    <w:rsid w:val="002C72EA"/>
    <w:rsid w:val="002D0123"/>
    <w:rsid w:val="002D0922"/>
    <w:rsid w:val="002D491B"/>
    <w:rsid w:val="002D4D55"/>
    <w:rsid w:val="002D5A91"/>
    <w:rsid w:val="002D6723"/>
    <w:rsid w:val="002D6889"/>
    <w:rsid w:val="002D71EA"/>
    <w:rsid w:val="002D7557"/>
    <w:rsid w:val="002D7A24"/>
    <w:rsid w:val="002D7B2A"/>
    <w:rsid w:val="002D7C09"/>
    <w:rsid w:val="002E00D1"/>
    <w:rsid w:val="002E0DD9"/>
    <w:rsid w:val="002E11D8"/>
    <w:rsid w:val="002E1451"/>
    <w:rsid w:val="002E1B30"/>
    <w:rsid w:val="002E1E81"/>
    <w:rsid w:val="002E26E0"/>
    <w:rsid w:val="002E346C"/>
    <w:rsid w:val="002E4104"/>
    <w:rsid w:val="002E456C"/>
    <w:rsid w:val="002E5124"/>
    <w:rsid w:val="002E5136"/>
    <w:rsid w:val="002E52E1"/>
    <w:rsid w:val="002E64AF"/>
    <w:rsid w:val="002F0129"/>
    <w:rsid w:val="002F088C"/>
    <w:rsid w:val="002F0F0E"/>
    <w:rsid w:val="002F1A9A"/>
    <w:rsid w:val="002F1DE2"/>
    <w:rsid w:val="002F2336"/>
    <w:rsid w:val="002F26D8"/>
    <w:rsid w:val="002F27B8"/>
    <w:rsid w:val="002F48B9"/>
    <w:rsid w:val="002F5568"/>
    <w:rsid w:val="002F5A9E"/>
    <w:rsid w:val="002F5F54"/>
    <w:rsid w:val="002F672B"/>
    <w:rsid w:val="002F7D07"/>
    <w:rsid w:val="00300258"/>
    <w:rsid w:val="0030068A"/>
    <w:rsid w:val="00300CF4"/>
    <w:rsid w:val="00301085"/>
    <w:rsid w:val="00301362"/>
    <w:rsid w:val="003013C1"/>
    <w:rsid w:val="003020A9"/>
    <w:rsid w:val="00302CA6"/>
    <w:rsid w:val="003043F2"/>
    <w:rsid w:val="00304471"/>
    <w:rsid w:val="00305E79"/>
    <w:rsid w:val="00306032"/>
    <w:rsid w:val="0030619F"/>
    <w:rsid w:val="0030668A"/>
    <w:rsid w:val="003066D7"/>
    <w:rsid w:val="00306A86"/>
    <w:rsid w:val="003077CF"/>
    <w:rsid w:val="0031099B"/>
    <w:rsid w:val="00310D4A"/>
    <w:rsid w:val="003112BE"/>
    <w:rsid w:val="00312C1A"/>
    <w:rsid w:val="00312EB5"/>
    <w:rsid w:val="003136FD"/>
    <w:rsid w:val="00315173"/>
    <w:rsid w:val="0031546B"/>
    <w:rsid w:val="00315747"/>
    <w:rsid w:val="00317888"/>
    <w:rsid w:val="00320806"/>
    <w:rsid w:val="00321497"/>
    <w:rsid w:val="00321982"/>
    <w:rsid w:val="00321B65"/>
    <w:rsid w:val="00321D4A"/>
    <w:rsid w:val="00322EB5"/>
    <w:rsid w:val="00323065"/>
    <w:rsid w:val="00323BDD"/>
    <w:rsid w:val="00324430"/>
    <w:rsid w:val="00325F62"/>
    <w:rsid w:val="00326698"/>
    <w:rsid w:val="00327D53"/>
    <w:rsid w:val="00330231"/>
    <w:rsid w:val="00331137"/>
    <w:rsid w:val="00332054"/>
    <w:rsid w:val="003321D1"/>
    <w:rsid w:val="00332397"/>
    <w:rsid w:val="00332E23"/>
    <w:rsid w:val="00334953"/>
    <w:rsid w:val="00335139"/>
    <w:rsid w:val="00337015"/>
    <w:rsid w:val="00340115"/>
    <w:rsid w:val="00340484"/>
    <w:rsid w:val="0034074E"/>
    <w:rsid w:val="0034085B"/>
    <w:rsid w:val="00341650"/>
    <w:rsid w:val="00342627"/>
    <w:rsid w:val="00342BF9"/>
    <w:rsid w:val="00343A3C"/>
    <w:rsid w:val="00343E21"/>
    <w:rsid w:val="00343E32"/>
    <w:rsid w:val="003445A2"/>
    <w:rsid w:val="003447DC"/>
    <w:rsid w:val="00345385"/>
    <w:rsid w:val="00345912"/>
    <w:rsid w:val="00345EDF"/>
    <w:rsid w:val="003461DB"/>
    <w:rsid w:val="00346D66"/>
    <w:rsid w:val="00347516"/>
    <w:rsid w:val="00347F04"/>
    <w:rsid w:val="00350525"/>
    <w:rsid w:val="0035126E"/>
    <w:rsid w:val="0035249E"/>
    <w:rsid w:val="00352769"/>
    <w:rsid w:val="00352E0A"/>
    <w:rsid w:val="00352E68"/>
    <w:rsid w:val="003546A3"/>
    <w:rsid w:val="00355E23"/>
    <w:rsid w:val="003569A0"/>
    <w:rsid w:val="00361678"/>
    <w:rsid w:val="00361F62"/>
    <w:rsid w:val="00362018"/>
    <w:rsid w:val="00362834"/>
    <w:rsid w:val="0036311E"/>
    <w:rsid w:val="00363327"/>
    <w:rsid w:val="0036392C"/>
    <w:rsid w:val="00363AAB"/>
    <w:rsid w:val="00365CE4"/>
    <w:rsid w:val="00366764"/>
    <w:rsid w:val="00367835"/>
    <w:rsid w:val="00370225"/>
    <w:rsid w:val="00370888"/>
    <w:rsid w:val="00370A28"/>
    <w:rsid w:val="0037116A"/>
    <w:rsid w:val="003712B9"/>
    <w:rsid w:val="0037212A"/>
    <w:rsid w:val="0037347F"/>
    <w:rsid w:val="003739C5"/>
    <w:rsid w:val="00373CF8"/>
    <w:rsid w:val="00374399"/>
    <w:rsid w:val="003745FE"/>
    <w:rsid w:val="003747D0"/>
    <w:rsid w:val="00375DCE"/>
    <w:rsid w:val="00376282"/>
    <w:rsid w:val="00376AC6"/>
    <w:rsid w:val="003776AA"/>
    <w:rsid w:val="00377D5E"/>
    <w:rsid w:val="0038029B"/>
    <w:rsid w:val="003809AF"/>
    <w:rsid w:val="0038191F"/>
    <w:rsid w:val="003819CC"/>
    <w:rsid w:val="00382E34"/>
    <w:rsid w:val="00384541"/>
    <w:rsid w:val="00384D9E"/>
    <w:rsid w:val="00384DA6"/>
    <w:rsid w:val="00390CF9"/>
    <w:rsid w:val="003910BA"/>
    <w:rsid w:val="00391198"/>
    <w:rsid w:val="0039177A"/>
    <w:rsid w:val="00391C58"/>
    <w:rsid w:val="00391C9B"/>
    <w:rsid w:val="003923EF"/>
    <w:rsid w:val="00392D78"/>
    <w:rsid w:val="003940FE"/>
    <w:rsid w:val="003961AE"/>
    <w:rsid w:val="0039695A"/>
    <w:rsid w:val="003977D8"/>
    <w:rsid w:val="003A07BF"/>
    <w:rsid w:val="003A1055"/>
    <w:rsid w:val="003A12EA"/>
    <w:rsid w:val="003A2612"/>
    <w:rsid w:val="003A3693"/>
    <w:rsid w:val="003A380D"/>
    <w:rsid w:val="003A3BF0"/>
    <w:rsid w:val="003A3DF1"/>
    <w:rsid w:val="003A42F7"/>
    <w:rsid w:val="003A4794"/>
    <w:rsid w:val="003A4A57"/>
    <w:rsid w:val="003A4D11"/>
    <w:rsid w:val="003A4D77"/>
    <w:rsid w:val="003A51A7"/>
    <w:rsid w:val="003A5280"/>
    <w:rsid w:val="003A5701"/>
    <w:rsid w:val="003A59D9"/>
    <w:rsid w:val="003A6862"/>
    <w:rsid w:val="003A692D"/>
    <w:rsid w:val="003A712B"/>
    <w:rsid w:val="003A7D48"/>
    <w:rsid w:val="003B0BF4"/>
    <w:rsid w:val="003B1111"/>
    <w:rsid w:val="003B14F4"/>
    <w:rsid w:val="003B1FBF"/>
    <w:rsid w:val="003B21F7"/>
    <w:rsid w:val="003B2EFF"/>
    <w:rsid w:val="003B3666"/>
    <w:rsid w:val="003B3875"/>
    <w:rsid w:val="003B3A4E"/>
    <w:rsid w:val="003B41C7"/>
    <w:rsid w:val="003B496A"/>
    <w:rsid w:val="003B5256"/>
    <w:rsid w:val="003B5FA0"/>
    <w:rsid w:val="003B6047"/>
    <w:rsid w:val="003B693F"/>
    <w:rsid w:val="003B6ECC"/>
    <w:rsid w:val="003B71AB"/>
    <w:rsid w:val="003B7A6C"/>
    <w:rsid w:val="003B7E92"/>
    <w:rsid w:val="003C01AC"/>
    <w:rsid w:val="003C04A9"/>
    <w:rsid w:val="003C0D77"/>
    <w:rsid w:val="003C0FEC"/>
    <w:rsid w:val="003C10E1"/>
    <w:rsid w:val="003C1943"/>
    <w:rsid w:val="003C1A1A"/>
    <w:rsid w:val="003C1AB9"/>
    <w:rsid w:val="003C2214"/>
    <w:rsid w:val="003C2961"/>
    <w:rsid w:val="003C2B5C"/>
    <w:rsid w:val="003C4E4D"/>
    <w:rsid w:val="003C5493"/>
    <w:rsid w:val="003C6F87"/>
    <w:rsid w:val="003C7251"/>
    <w:rsid w:val="003C7719"/>
    <w:rsid w:val="003C776C"/>
    <w:rsid w:val="003D0040"/>
    <w:rsid w:val="003D02CD"/>
    <w:rsid w:val="003D3787"/>
    <w:rsid w:val="003D4AAD"/>
    <w:rsid w:val="003D5FD3"/>
    <w:rsid w:val="003D61B5"/>
    <w:rsid w:val="003D6CFB"/>
    <w:rsid w:val="003E037C"/>
    <w:rsid w:val="003E15B9"/>
    <w:rsid w:val="003E1D8E"/>
    <w:rsid w:val="003E28EB"/>
    <w:rsid w:val="003E3B30"/>
    <w:rsid w:val="003E53BB"/>
    <w:rsid w:val="003E5A6B"/>
    <w:rsid w:val="003E65F5"/>
    <w:rsid w:val="003F0F5F"/>
    <w:rsid w:val="003F14BD"/>
    <w:rsid w:val="003F1EF0"/>
    <w:rsid w:val="003F2DBE"/>
    <w:rsid w:val="003F4461"/>
    <w:rsid w:val="003F48B6"/>
    <w:rsid w:val="003F4A0E"/>
    <w:rsid w:val="003F589D"/>
    <w:rsid w:val="003F58AF"/>
    <w:rsid w:val="003F6728"/>
    <w:rsid w:val="003F6F4E"/>
    <w:rsid w:val="003F7F2F"/>
    <w:rsid w:val="00400F0F"/>
    <w:rsid w:val="0040136C"/>
    <w:rsid w:val="00401792"/>
    <w:rsid w:val="00402758"/>
    <w:rsid w:val="00402838"/>
    <w:rsid w:val="0040304B"/>
    <w:rsid w:val="0040325C"/>
    <w:rsid w:val="00404159"/>
    <w:rsid w:val="004043E9"/>
    <w:rsid w:val="00404967"/>
    <w:rsid w:val="004070B7"/>
    <w:rsid w:val="0041306A"/>
    <w:rsid w:val="0041349F"/>
    <w:rsid w:val="0041365C"/>
    <w:rsid w:val="00413C81"/>
    <w:rsid w:val="004143CB"/>
    <w:rsid w:val="00414FEA"/>
    <w:rsid w:val="0041514F"/>
    <w:rsid w:val="00415998"/>
    <w:rsid w:val="00416250"/>
    <w:rsid w:val="004170D0"/>
    <w:rsid w:val="00417A18"/>
    <w:rsid w:val="00420273"/>
    <w:rsid w:val="00420950"/>
    <w:rsid w:val="004216A9"/>
    <w:rsid w:val="00421726"/>
    <w:rsid w:val="00421CA3"/>
    <w:rsid w:val="00422FBD"/>
    <w:rsid w:val="00423A30"/>
    <w:rsid w:val="00423BCE"/>
    <w:rsid w:val="00424D45"/>
    <w:rsid w:val="00424E9C"/>
    <w:rsid w:val="00424EF0"/>
    <w:rsid w:val="004255C0"/>
    <w:rsid w:val="00426370"/>
    <w:rsid w:val="004278B3"/>
    <w:rsid w:val="00427DD6"/>
    <w:rsid w:val="0043130B"/>
    <w:rsid w:val="00431D4D"/>
    <w:rsid w:val="00433A7A"/>
    <w:rsid w:val="00433DB7"/>
    <w:rsid w:val="00433E14"/>
    <w:rsid w:val="00434298"/>
    <w:rsid w:val="00435119"/>
    <w:rsid w:val="0043678A"/>
    <w:rsid w:val="00436802"/>
    <w:rsid w:val="00437204"/>
    <w:rsid w:val="004374D6"/>
    <w:rsid w:val="00440EFA"/>
    <w:rsid w:val="004410A6"/>
    <w:rsid w:val="00441FB4"/>
    <w:rsid w:val="00442360"/>
    <w:rsid w:val="00442B92"/>
    <w:rsid w:val="004460A6"/>
    <w:rsid w:val="00446689"/>
    <w:rsid w:val="00446CF4"/>
    <w:rsid w:val="00447F6D"/>
    <w:rsid w:val="004501E0"/>
    <w:rsid w:val="004505AF"/>
    <w:rsid w:val="00450B45"/>
    <w:rsid w:val="00450DE8"/>
    <w:rsid w:val="004515C2"/>
    <w:rsid w:val="0045190D"/>
    <w:rsid w:val="00451ECB"/>
    <w:rsid w:val="00452060"/>
    <w:rsid w:val="0045234E"/>
    <w:rsid w:val="00452D94"/>
    <w:rsid w:val="004557DA"/>
    <w:rsid w:val="004559B9"/>
    <w:rsid w:val="00455DA6"/>
    <w:rsid w:val="00455E5A"/>
    <w:rsid w:val="0045699B"/>
    <w:rsid w:val="00456A3D"/>
    <w:rsid w:val="00456D75"/>
    <w:rsid w:val="004577C1"/>
    <w:rsid w:val="004578B2"/>
    <w:rsid w:val="004600BA"/>
    <w:rsid w:val="00462483"/>
    <w:rsid w:val="004624DE"/>
    <w:rsid w:val="004625A7"/>
    <w:rsid w:val="0046281F"/>
    <w:rsid w:val="00462D2D"/>
    <w:rsid w:val="004634EA"/>
    <w:rsid w:val="00463D01"/>
    <w:rsid w:val="0046405B"/>
    <w:rsid w:val="00464BA8"/>
    <w:rsid w:val="0046516A"/>
    <w:rsid w:val="004651E0"/>
    <w:rsid w:val="00465BA4"/>
    <w:rsid w:val="0046603A"/>
    <w:rsid w:val="0046611E"/>
    <w:rsid w:val="0046721A"/>
    <w:rsid w:val="00470774"/>
    <w:rsid w:val="0047086A"/>
    <w:rsid w:val="004713D1"/>
    <w:rsid w:val="00471D7F"/>
    <w:rsid w:val="00472138"/>
    <w:rsid w:val="00472221"/>
    <w:rsid w:val="004725E6"/>
    <w:rsid w:val="00473539"/>
    <w:rsid w:val="004737F0"/>
    <w:rsid w:val="00473AB0"/>
    <w:rsid w:val="00474848"/>
    <w:rsid w:val="00474989"/>
    <w:rsid w:val="00475880"/>
    <w:rsid w:val="00475E2D"/>
    <w:rsid w:val="004761C7"/>
    <w:rsid w:val="0047630E"/>
    <w:rsid w:val="004765BA"/>
    <w:rsid w:val="0047666D"/>
    <w:rsid w:val="00476A20"/>
    <w:rsid w:val="00476B4C"/>
    <w:rsid w:val="00480C58"/>
    <w:rsid w:val="0048106A"/>
    <w:rsid w:val="00482A0C"/>
    <w:rsid w:val="00482C64"/>
    <w:rsid w:val="00483791"/>
    <w:rsid w:val="004837DE"/>
    <w:rsid w:val="00483A7E"/>
    <w:rsid w:val="00484C42"/>
    <w:rsid w:val="00484E18"/>
    <w:rsid w:val="004855E0"/>
    <w:rsid w:val="00485BBF"/>
    <w:rsid w:val="0048675D"/>
    <w:rsid w:val="004868E8"/>
    <w:rsid w:val="00486CF4"/>
    <w:rsid w:val="0048717F"/>
    <w:rsid w:val="004871E4"/>
    <w:rsid w:val="00487F39"/>
    <w:rsid w:val="00490F6D"/>
    <w:rsid w:val="00492994"/>
    <w:rsid w:val="00494644"/>
    <w:rsid w:val="004952E2"/>
    <w:rsid w:val="00495547"/>
    <w:rsid w:val="004955D2"/>
    <w:rsid w:val="00496C09"/>
    <w:rsid w:val="00496FEA"/>
    <w:rsid w:val="0049743B"/>
    <w:rsid w:val="00497C4D"/>
    <w:rsid w:val="004A00BD"/>
    <w:rsid w:val="004A048F"/>
    <w:rsid w:val="004A1179"/>
    <w:rsid w:val="004A13F5"/>
    <w:rsid w:val="004A15B3"/>
    <w:rsid w:val="004A1709"/>
    <w:rsid w:val="004A2E39"/>
    <w:rsid w:val="004A38B9"/>
    <w:rsid w:val="004A3CF1"/>
    <w:rsid w:val="004A4483"/>
    <w:rsid w:val="004A476A"/>
    <w:rsid w:val="004A571B"/>
    <w:rsid w:val="004A5828"/>
    <w:rsid w:val="004A72AF"/>
    <w:rsid w:val="004A7446"/>
    <w:rsid w:val="004A7ECD"/>
    <w:rsid w:val="004A7F62"/>
    <w:rsid w:val="004B0B07"/>
    <w:rsid w:val="004B1014"/>
    <w:rsid w:val="004B11A4"/>
    <w:rsid w:val="004B2F3F"/>
    <w:rsid w:val="004B32D8"/>
    <w:rsid w:val="004B3BC6"/>
    <w:rsid w:val="004B3FD9"/>
    <w:rsid w:val="004B6512"/>
    <w:rsid w:val="004B69B2"/>
    <w:rsid w:val="004B6C0B"/>
    <w:rsid w:val="004B755C"/>
    <w:rsid w:val="004B782D"/>
    <w:rsid w:val="004C1866"/>
    <w:rsid w:val="004C1CEE"/>
    <w:rsid w:val="004C4C71"/>
    <w:rsid w:val="004C5545"/>
    <w:rsid w:val="004C6F4C"/>
    <w:rsid w:val="004C7EE6"/>
    <w:rsid w:val="004D055A"/>
    <w:rsid w:val="004D0C88"/>
    <w:rsid w:val="004D0ED6"/>
    <w:rsid w:val="004D12C4"/>
    <w:rsid w:val="004D140B"/>
    <w:rsid w:val="004D257E"/>
    <w:rsid w:val="004D2E91"/>
    <w:rsid w:val="004D364A"/>
    <w:rsid w:val="004D402E"/>
    <w:rsid w:val="004D494B"/>
    <w:rsid w:val="004D4BDA"/>
    <w:rsid w:val="004D63DC"/>
    <w:rsid w:val="004D6D75"/>
    <w:rsid w:val="004D7859"/>
    <w:rsid w:val="004D7C38"/>
    <w:rsid w:val="004E00C8"/>
    <w:rsid w:val="004E0350"/>
    <w:rsid w:val="004E087F"/>
    <w:rsid w:val="004E0F0B"/>
    <w:rsid w:val="004E1360"/>
    <w:rsid w:val="004E1471"/>
    <w:rsid w:val="004E1A9D"/>
    <w:rsid w:val="004E1AE0"/>
    <w:rsid w:val="004E393A"/>
    <w:rsid w:val="004E4074"/>
    <w:rsid w:val="004E4B8A"/>
    <w:rsid w:val="004E4D6B"/>
    <w:rsid w:val="004E5163"/>
    <w:rsid w:val="004E6EEC"/>
    <w:rsid w:val="004E7413"/>
    <w:rsid w:val="004E7E47"/>
    <w:rsid w:val="004F0C02"/>
    <w:rsid w:val="004F0C1C"/>
    <w:rsid w:val="004F1386"/>
    <w:rsid w:val="004F1483"/>
    <w:rsid w:val="004F1C60"/>
    <w:rsid w:val="004F20A4"/>
    <w:rsid w:val="004F2261"/>
    <w:rsid w:val="004F2A13"/>
    <w:rsid w:val="004F348D"/>
    <w:rsid w:val="004F34AB"/>
    <w:rsid w:val="004F3C7D"/>
    <w:rsid w:val="004F494A"/>
    <w:rsid w:val="004F53DE"/>
    <w:rsid w:val="004F5E31"/>
    <w:rsid w:val="004F64DD"/>
    <w:rsid w:val="004F7463"/>
    <w:rsid w:val="004F756B"/>
    <w:rsid w:val="004F7E56"/>
    <w:rsid w:val="005001A4"/>
    <w:rsid w:val="00500859"/>
    <w:rsid w:val="005010D8"/>
    <w:rsid w:val="005018AB"/>
    <w:rsid w:val="005024FD"/>
    <w:rsid w:val="005036AB"/>
    <w:rsid w:val="005040C8"/>
    <w:rsid w:val="00504107"/>
    <w:rsid w:val="0050420E"/>
    <w:rsid w:val="005046A6"/>
    <w:rsid w:val="00504809"/>
    <w:rsid w:val="00504D1A"/>
    <w:rsid w:val="00507091"/>
    <w:rsid w:val="00507464"/>
    <w:rsid w:val="00507A51"/>
    <w:rsid w:val="00510105"/>
    <w:rsid w:val="0051067B"/>
    <w:rsid w:val="0051074E"/>
    <w:rsid w:val="00511AB2"/>
    <w:rsid w:val="00511C1D"/>
    <w:rsid w:val="0051396A"/>
    <w:rsid w:val="00513985"/>
    <w:rsid w:val="00513D98"/>
    <w:rsid w:val="0051407E"/>
    <w:rsid w:val="00514367"/>
    <w:rsid w:val="00514C11"/>
    <w:rsid w:val="0051509A"/>
    <w:rsid w:val="0051534B"/>
    <w:rsid w:val="0051553C"/>
    <w:rsid w:val="005155CD"/>
    <w:rsid w:val="00515CD0"/>
    <w:rsid w:val="00516351"/>
    <w:rsid w:val="005165DF"/>
    <w:rsid w:val="00516737"/>
    <w:rsid w:val="005179CD"/>
    <w:rsid w:val="00517E39"/>
    <w:rsid w:val="00520619"/>
    <w:rsid w:val="00520D39"/>
    <w:rsid w:val="00520F5D"/>
    <w:rsid w:val="005217D0"/>
    <w:rsid w:val="00521E96"/>
    <w:rsid w:val="00521EAE"/>
    <w:rsid w:val="00522CFA"/>
    <w:rsid w:val="00523FAA"/>
    <w:rsid w:val="00524F62"/>
    <w:rsid w:val="005253AF"/>
    <w:rsid w:val="00525A27"/>
    <w:rsid w:val="00525B28"/>
    <w:rsid w:val="00525B5D"/>
    <w:rsid w:val="0052615D"/>
    <w:rsid w:val="005262C1"/>
    <w:rsid w:val="00526DC0"/>
    <w:rsid w:val="005272DB"/>
    <w:rsid w:val="00530769"/>
    <w:rsid w:val="00530F27"/>
    <w:rsid w:val="0053161B"/>
    <w:rsid w:val="0053197E"/>
    <w:rsid w:val="005319BD"/>
    <w:rsid w:val="005322E8"/>
    <w:rsid w:val="005331BB"/>
    <w:rsid w:val="00533B0C"/>
    <w:rsid w:val="00533E58"/>
    <w:rsid w:val="005340E9"/>
    <w:rsid w:val="00534663"/>
    <w:rsid w:val="00534F0F"/>
    <w:rsid w:val="00535B05"/>
    <w:rsid w:val="00536507"/>
    <w:rsid w:val="00536749"/>
    <w:rsid w:val="00536947"/>
    <w:rsid w:val="00536F59"/>
    <w:rsid w:val="00540BB9"/>
    <w:rsid w:val="00540BE5"/>
    <w:rsid w:val="00540D34"/>
    <w:rsid w:val="0054124F"/>
    <w:rsid w:val="0054138E"/>
    <w:rsid w:val="00542D94"/>
    <w:rsid w:val="005437D9"/>
    <w:rsid w:val="0054574A"/>
    <w:rsid w:val="005459A8"/>
    <w:rsid w:val="00545FA0"/>
    <w:rsid w:val="0054617E"/>
    <w:rsid w:val="005473C2"/>
    <w:rsid w:val="005507A9"/>
    <w:rsid w:val="0055088F"/>
    <w:rsid w:val="00550901"/>
    <w:rsid w:val="00550D9A"/>
    <w:rsid w:val="00550FC1"/>
    <w:rsid w:val="005510B1"/>
    <w:rsid w:val="00551ED1"/>
    <w:rsid w:val="00552C72"/>
    <w:rsid w:val="0055373D"/>
    <w:rsid w:val="00553ADE"/>
    <w:rsid w:val="00554311"/>
    <w:rsid w:val="00554715"/>
    <w:rsid w:val="00555729"/>
    <w:rsid w:val="005566A3"/>
    <w:rsid w:val="00556ACB"/>
    <w:rsid w:val="00556FC4"/>
    <w:rsid w:val="005573B3"/>
    <w:rsid w:val="005573BB"/>
    <w:rsid w:val="00557804"/>
    <w:rsid w:val="00557D06"/>
    <w:rsid w:val="00561068"/>
    <w:rsid w:val="00562F31"/>
    <w:rsid w:val="005630B4"/>
    <w:rsid w:val="00564357"/>
    <w:rsid w:val="005643BD"/>
    <w:rsid w:val="00564BFF"/>
    <w:rsid w:val="00565369"/>
    <w:rsid w:val="0056613A"/>
    <w:rsid w:val="0056654D"/>
    <w:rsid w:val="00566D6C"/>
    <w:rsid w:val="00571E72"/>
    <w:rsid w:val="00573310"/>
    <w:rsid w:val="005735FC"/>
    <w:rsid w:val="005740D8"/>
    <w:rsid w:val="00574250"/>
    <w:rsid w:val="00574970"/>
    <w:rsid w:val="00574BBB"/>
    <w:rsid w:val="0057557B"/>
    <w:rsid w:val="00575688"/>
    <w:rsid w:val="005756A5"/>
    <w:rsid w:val="00576416"/>
    <w:rsid w:val="00576498"/>
    <w:rsid w:val="00576F84"/>
    <w:rsid w:val="005772F7"/>
    <w:rsid w:val="00577A0F"/>
    <w:rsid w:val="00581329"/>
    <w:rsid w:val="00582C08"/>
    <w:rsid w:val="00582C70"/>
    <w:rsid w:val="00582D95"/>
    <w:rsid w:val="00582EFD"/>
    <w:rsid w:val="005838E8"/>
    <w:rsid w:val="00583FAD"/>
    <w:rsid w:val="005843B2"/>
    <w:rsid w:val="00585557"/>
    <w:rsid w:val="00585BC2"/>
    <w:rsid w:val="00585D34"/>
    <w:rsid w:val="00586C93"/>
    <w:rsid w:val="00586DCA"/>
    <w:rsid w:val="00587A22"/>
    <w:rsid w:val="00590614"/>
    <w:rsid w:val="005913D1"/>
    <w:rsid w:val="005918D1"/>
    <w:rsid w:val="00594011"/>
    <w:rsid w:val="005945C8"/>
    <w:rsid w:val="00595FD8"/>
    <w:rsid w:val="00597845"/>
    <w:rsid w:val="005A08D0"/>
    <w:rsid w:val="005A1138"/>
    <w:rsid w:val="005A1818"/>
    <w:rsid w:val="005A18E0"/>
    <w:rsid w:val="005A1CA1"/>
    <w:rsid w:val="005A2F13"/>
    <w:rsid w:val="005A3341"/>
    <w:rsid w:val="005A3A3E"/>
    <w:rsid w:val="005A3BF3"/>
    <w:rsid w:val="005A3EDC"/>
    <w:rsid w:val="005A43C0"/>
    <w:rsid w:val="005A4715"/>
    <w:rsid w:val="005A4830"/>
    <w:rsid w:val="005A4FE1"/>
    <w:rsid w:val="005A7BC0"/>
    <w:rsid w:val="005A7E73"/>
    <w:rsid w:val="005B0A78"/>
    <w:rsid w:val="005B188F"/>
    <w:rsid w:val="005B2415"/>
    <w:rsid w:val="005B2789"/>
    <w:rsid w:val="005B4004"/>
    <w:rsid w:val="005B4FBD"/>
    <w:rsid w:val="005B5169"/>
    <w:rsid w:val="005B6725"/>
    <w:rsid w:val="005B7427"/>
    <w:rsid w:val="005B7DDF"/>
    <w:rsid w:val="005C0C52"/>
    <w:rsid w:val="005C14C2"/>
    <w:rsid w:val="005C362A"/>
    <w:rsid w:val="005C3FFD"/>
    <w:rsid w:val="005C4311"/>
    <w:rsid w:val="005C6BF5"/>
    <w:rsid w:val="005C6DCB"/>
    <w:rsid w:val="005D0690"/>
    <w:rsid w:val="005D22B2"/>
    <w:rsid w:val="005D3F8B"/>
    <w:rsid w:val="005D5508"/>
    <w:rsid w:val="005D64BA"/>
    <w:rsid w:val="005D6D24"/>
    <w:rsid w:val="005D7714"/>
    <w:rsid w:val="005D799E"/>
    <w:rsid w:val="005E00AD"/>
    <w:rsid w:val="005E1087"/>
    <w:rsid w:val="005E2832"/>
    <w:rsid w:val="005E363D"/>
    <w:rsid w:val="005E3DB9"/>
    <w:rsid w:val="005E414F"/>
    <w:rsid w:val="005E5083"/>
    <w:rsid w:val="005E54D4"/>
    <w:rsid w:val="005E59DB"/>
    <w:rsid w:val="005E635B"/>
    <w:rsid w:val="005F00C3"/>
    <w:rsid w:val="005F2033"/>
    <w:rsid w:val="005F28F5"/>
    <w:rsid w:val="005F408F"/>
    <w:rsid w:val="005F4279"/>
    <w:rsid w:val="005F481B"/>
    <w:rsid w:val="005F5010"/>
    <w:rsid w:val="005F5034"/>
    <w:rsid w:val="005F61B8"/>
    <w:rsid w:val="005F6257"/>
    <w:rsid w:val="005F762F"/>
    <w:rsid w:val="005F7AB7"/>
    <w:rsid w:val="0060065D"/>
    <w:rsid w:val="006029F5"/>
    <w:rsid w:val="00603B42"/>
    <w:rsid w:val="00603E99"/>
    <w:rsid w:val="00604467"/>
    <w:rsid w:val="006051E2"/>
    <w:rsid w:val="0060541C"/>
    <w:rsid w:val="006055A0"/>
    <w:rsid w:val="00605E0D"/>
    <w:rsid w:val="00606346"/>
    <w:rsid w:val="00606607"/>
    <w:rsid w:val="00606705"/>
    <w:rsid w:val="006070BE"/>
    <w:rsid w:val="006073AD"/>
    <w:rsid w:val="006076E9"/>
    <w:rsid w:val="0061037F"/>
    <w:rsid w:val="006104B2"/>
    <w:rsid w:val="006111D4"/>
    <w:rsid w:val="006116B4"/>
    <w:rsid w:val="006122DB"/>
    <w:rsid w:val="00612978"/>
    <w:rsid w:val="006133A3"/>
    <w:rsid w:val="00613A18"/>
    <w:rsid w:val="006147C9"/>
    <w:rsid w:val="00614B2B"/>
    <w:rsid w:val="0061562D"/>
    <w:rsid w:val="00615BD0"/>
    <w:rsid w:val="006160D5"/>
    <w:rsid w:val="00616172"/>
    <w:rsid w:val="00616AB4"/>
    <w:rsid w:val="00617122"/>
    <w:rsid w:val="00617B1F"/>
    <w:rsid w:val="00617B8B"/>
    <w:rsid w:val="00617D05"/>
    <w:rsid w:val="00617F81"/>
    <w:rsid w:val="00620267"/>
    <w:rsid w:val="00621A58"/>
    <w:rsid w:val="00621DEC"/>
    <w:rsid w:val="00621E66"/>
    <w:rsid w:val="00622107"/>
    <w:rsid w:val="006221A4"/>
    <w:rsid w:val="00622F65"/>
    <w:rsid w:val="006237B0"/>
    <w:rsid w:val="00625011"/>
    <w:rsid w:val="006253B8"/>
    <w:rsid w:val="0062595D"/>
    <w:rsid w:val="00625AF2"/>
    <w:rsid w:val="0063007F"/>
    <w:rsid w:val="00630925"/>
    <w:rsid w:val="00631022"/>
    <w:rsid w:val="006315A8"/>
    <w:rsid w:val="006318FB"/>
    <w:rsid w:val="0063215B"/>
    <w:rsid w:val="00632DF6"/>
    <w:rsid w:val="00633452"/>
    <w:rsid w:val="00634A84"/>
    <w:rsid w:val="00634AD8"/>
    <w:rsid w:val="006362E6"/>
    <w:rsid w:val="00636B0E"/>
    <w:rsid w:val="00637BE2"/>
    <w:rsid w:val="00640856"/>
    <w:rsid w:val="00640F04"/>
    <w:rsid w:val="006414D9"/>
    <w:rsid w:val="00641AC8"/>
    <w:rsid w:val="00641BA0"/>
    <w:rsid w:val="00642FF1"/>
    <w:rsid w:val="0064369A"/>
    <w:rsid w:val="0064501C"/>
    <w:rsid w:val="00646642"/>
    <w:rsid w:val="00646E42"/>
    <w:rsid w:val="0064716E"/>
    <w:rsid w:val="00647F29"/>
    <w:rsid w:val="00650305"/>
    <w:rsid w:val="00650385"/>
    <w:rsid w:val="00650588"/>
    <w:rsid w:val="00650873"/>
    <w:rsid w:val="00650CF7"/>
    <w:rsid w:val="00650D52"/>
    <w:rsid w:val="00650E5B"/>
    <w:rsid w:val="006510EC"/>
    <w:rsid w:val="00651541"/>
    <w:rsid w:val="00652AA7"/>
    <w:rsid w:val="0065340E"/>
    <w:rsid w:val="006535AD"/>
    <w:rsid w:val="00653B49"/>
    <w:rsid w:val="00653D42"/>
    <w:rsid w:val="006544DF"/>
    <w:rsid w:val="0065474E"/>
    <w:rsid w:val="0065501F"/>
    <w:rsid w:val="00655963"/>
    <w:rsid w:val="0065643A"/>
    <w:rsid w:val="006566BC"/>
    <w:rsid w:val="006570CC"/>
    <w:rsid w:val="00657135"/>
    <w:rsid w:val="0065724F"/>
    <w:rsid w:val="00660214"/>
    <w:rsid w:val="00660BFE"/>
    <w:rsid w:val="00661A0F"/>
    <w:rsid w:val="006628E4"/>
    <w:rsid w:val="00664D35"/>
    <w:rsid w:val="00665097"/>
    <w:rsid w:val="00665E2F"/>
    <w:rsid w:val="0066646D"/>
    <w:rsid w:val="00666A8B"/>
    <w:rsid w:val="00667873"/>
    <w:rsid w:val="00671E7A"/>
    <w:rsid w:val="00672EE9"/>
    <w:rsid w:val="00674187"/>
    <w:rsid w:val="006746B1"/>
    <w:rsid w:val="00674A5C"/>
    <w:rsid w:val="0067594B"/>
    <w:rsid w:val="00676225"/>
    <w:rsid w:val="006766B1"/>
    <w:rsid w:val="006800AF"/>
    <w:rsid w:val="00680330"/>
    <w:rsid w:val="00681771"/>
    <w:rsid w:val="006822BE"/>
    <w:rsid w:val="00682424"/>
    <w:rsid w:val="006833AD"/>
    <w:rsid w:val="0068408E"/>
    <w:rsid w:val="00685039"/>
    <w:rsid w:val="006856E6"/>
    <w:rsid w:val="00685BA9"/>
    <w:rsid w:val="00686ABE"/>
    <w:rsid w:val="00687993"/>
    <w:rsid w:val="006902F0"/>
    <w:rsid w:val="006905D0"/>
    <w:rsid w:val="00690AC9"/>
    <w:rsid w:val="00691386"/>
    <w:rsid w:val="00692716"/>
    <w:rsid w:val="006935F4"/>
    <w:rsid w:val="00693A7B"/>
    <w:rsid w:val="00693B33"/>
    <w:rsid w:val="00694144"/>
    <w:rsid w:val="00695D5E"/>
    <w:rsid w:val="006973EB"/>
    <w:rsid w:val="0069761B"/>
    <w:rsid w:val="006A02EA"/>
    <w:rsid w:val="006A05A9"/>
    <w:rsid w:val="006A11BE"/>
    <w:rsid w:val="006A3544"/>
    <w:rsid w:val="006A36A8"/>
    <w:rsid w:val="006A36C0"/>
    <w:rsid w:val="006A3AA9"/>
    <w:rsid w:val="006A5203"/>
    <w:rsid w:val="006A6410"/>
    <w:rsid w:val="006A728F"/>
    <w:rsid w:val="006A75D3"/>
    <w:rsid w:val="006B0ACA"/>
    <w:rsid w:val="006B0F30"/>
    <w:rsid w:val="006B10DC"/>
    <w:rsid w:val="006B2A87"/>
    <w:rsid w:val="006B2FE9"/>
    <w:rsid w:val="006B33AE"/>
    <w:rsid w:val="006B3671"/>
    <w:rsid w:val="006B486C"/>
    <w:rsid w:val="006B4CA9"/>
    <w:rsid w:val="006B59B9"/>
    <w:rsid w:val="006B64EC"/>
    <w:rsid w:val="006B6952"/>
    <w:rsid w:val="006B69D7"/>
    <w:rsid w:val="006B7031"/>
    <w:rsid w:val="006B7B05"/>
    <w:rsid w:val="006C0CA1"/>
    <w:rsid w:val="006C100B"/>
    <w:rsid w:val="006C2507"/>
    <w:rsid w:val="006C28CF"/>
    <w:rsid w:val="006C3B7E"/>
    <w:rsid w:val="006C4BB8"/>
    <w:rsid w:val="006C6111"/>
    <w:rsid w:val="006C6B39"/>
    <w:rsid w:val="006C7125"/>
    <w:rsid w:val="006D0CD0"/>
    <w:rsid w:val="006D16E4"/>
    <w:rsid w:val="006D1912"/>
    <w:rsid w:val="006D1A2B"/>
    <w:rsid w:val="006D20B0"/>
    <w:rsid w:val="006D2754"/>
    <w:rsid w:val="006D275D"/>
    <w:rsid w:val="006D43D3"/>
    <w:rsid w:val="006D4925"/>
    <w:rsid w:val="006D4F8F"/>
    <w:rsid w:val="006D5982"/>
    <w:rsid w:val="006D5E8D"/>
    <w:rsid w:val="006D5F86"/>
    <w:rsid w:val="006D6023"/>
    <w:rsid w:val="006D773D"/>
    <w:rsid w:val="006D77BE"/>
    <w:rsid w:val="006D7F35"/>
    <w:rsid w:val="006E126C"/>
    <w:rsid w:val="006E1738"/>
    <w:rsid w:val="006E3226"/>
    <w:rsid w:val="006E322D"/>
    <w:rsid w:val="006E39C5"/>
    <w:rsid w:val="006E50D3"/>
    <w:rsid w:val="006E52F6"/>
    <w:rsid w:val="006F014A"/>
    <w:rsid w:val="006F0EFF"/>
    <w:rsid w:val="006F2318"/>
    <w:rsid w:val="006F2A7D"/>
    <w:rsid w:val="006F322B"/>
    <w:rsid w:val="006F3905"/>
    <w:rsid w:val="006F391E"/>
    <w:rsid w:val="006F4490"/>
    <w:rsid w:val="006F4A54"/>
    <w:rsid w:val="006F4BF7"/>
    <w:rsid w:val="006F5957"/>
    <w:rsid w:val="006F66A1"/>
    <w:rsid w:val="006F673C"/>
    <w:rsid w:val="006F6E86"/>
    <w:rsid w:val="006F7459"/>
    <w:rsid w:val="006F79FC"/>
    <w:rsid w:val="006F7BED"/>
    <w:rsid w:val="006F7D1B"/>
    <w:rsid w:val="0070083E"/>
    <w:rsid w:val="00700BCA"/>
    <w:rsid w:val="00700F54"/>
    <w:rsid w:val="007011EC"/>
    <w:rsid w:val="007016F6"/>
    <w:rsid w:val="00701B5B"/>
    <w:rsid w:val="00702A40"/>
    <w:rsid w:val="0070373C"/>
    <w:rsid w:val="00703FA0"/>
    <w:rsid w:val="00704C17"/>
    <w:rsid w:val="007059B2"/>
    <w:rsid w:val="007063F7"/>
    <w:rsid w:val="00706522"/>
    <w:rsid w:val="00707D22"/>
    <w:rsid w:val="0071007C"/>
    <w:rsid w:val="007104B6"/>
    <w:rsid w:val="007122B2"/>
    <w:rsid w:val="0071263E"/>
    <w:rsid w:val="007128D9"/>
    <w:rsid w:val="00712B99"/>
    <w:rsid w:val="007134D3"/>
    <w:rsid w:val="0071352E"/>
    <w:rsid w:val="00713972"/>
    <w:rsid w:val="00715709"/>
    <w:rsid w:val="00715B7C"/>
    <w:rsid w:val="00715CA8"/>
    <w:rsid w:val="007164C1"/>
    <w:rsid w:val="007166D8"/>
    <w:rsid w:val="007169DD"/>
    <w:rsid w:val="00716DBD"/>
    <w:rsid w:val="00717130"/>
    <w:rsid w:val="00717461"/>
    <w:rsid w:val="00717710"/>
    <w:rsid w:val="0072060C"/>
    <w:rsid w:val="00720D77"/>
    <w:rsid w:val="007227E3"/>
    <w:rsid w:val="00722E3B"/>
    <w:rsid w:val="0072398B"/>
    <w:rsid w:val="00723A08"/>
    <w:rsid w:val="007243C1"/>
    <w:rsid w:val="00724F2E"/>
    <w:rsid w:val="00725433"/>
    <w:rsid w:val="007266A5"/>
    <w:rsid w:val="00727644"/>
    <w:rsid w:val="007277EE"/>
    <w:rsid w:val="00727F8D"/>
    <w:rsid w:val="0073008A"/>
    <w:rsid w:val="00730959"/>
    <w:rsid w:val="0073226E"/>
    <w:rsid w:val="007327EA"/>
    <w:rsid w:val="007341C1"/>
    <w:rsid w:val="00734221"/>
    <w:rsid w:val="0073456C"/>
    <w:rsid w:val="007350D8"/>
    <w:rsid w:val="007362A1"/>
    <w:rsid w:val="00736E83"/>
    <w:rsid w:val="0073775B"/>
    <w:rsid w:val="00741C9B"/>
    <w:rsid w:val="00741E58"/>
    <w:rsid w:val="00742D40"/>
    <w:rsid w:val="00742E14"/>
    <w:rsid w:val="00743466"/>
    <w:rsid w:val="00743759"/>
    <w:rsid w:val="00744152"/>
    <w:rsid w:val="00744585"/>
    <w:rsid w:val="007450A5"/>
    <w:rsid w:val="007453E4"/>
    <w:rsid w:val="00745BF1"/>
    <w:rsid w:val="00746369"/>
    <w:rsid w:val="00746F3A"/>
    <w:rsid w:val="00747DFB"/>
    <w:rsid w:val="00750CD5"/>
    <w:rsid w:val="00751D4E"/>
    <w:rsid w:val="00752483"/>
    <w:rsid w:val="007529F4"/>
    <w:rsid w:val="00752FA3"/>
    <w:rsid w:val="00753E04"/>
    <w:rsid w:val="00754110"/>
    <w:rsid w:val="00754A1A"/>
    <w:rsid w:val="007555EC"/>
    <w:rsid w:val="0075665C"/>
    <w:rsid w:val="00756827"/>
    <w:rsid w:val="00756ABA"/>
    <w:rsid w:val="00760C8C"/>
    <w:rsid w:val="00761753"/>
    <w:rsid w:val="00762352"/>
    <w:rsid w:val="00762BBD"/>
    <w:rsid w:val="007637D6"/>
    <w:rsid w:val="00764625"/>
    <w:rsid w:val="00764FE1"/>
    <w:rsid w:val="00765C47"/>
    <w:rsid w:val="00767A2B"/>
    <w:rsid w:val="00770084"/>
    <w:rsid w:val="007700EC"/>
    <w:rsid w:val="0077028E"/>
    <w:rsid w:val="0077063D"/>
    <w:rsid w:val="007709B9"/>
    <w:rsid w:val="0077120F"/>
    <w:rsid w:val="007721A8"/>
    <w:rsid w:val="007730E3"/>
    <w:rsid w:val="00773230"/>
    <w:rsid w:val="00773304"/>
    <w:rsid w:val="00773D6B"/>
    <w:rsid w:val="00773DD2"/>
    <w:rsid w:val="00774A11"/>
    <w:rsid w:val="00774A90"/>
    <w:rsid w:val="00775707"/>
    <w:rsid w:val="007767D3"/>
    <w:rsid w:val="00776F26"/>
    <w:rsid w:val="007800BD"/>
    <w:rsid w:val="00780303"/>
    <w:rsid w:val="0078056F"/>
    <w:rsid w:val="00780A42"/>
    <w:rsid w:val="00780CF3"/>
    <w:rsid w:val="00781A26"/>
    <w:rsid w:val="00782110"/>
    <w:rsid w:val="0078252B"/>
    <w:rsid w:val="007825DE"/>
    <w:rsid w:val="00782908"/>
    <w:rsid w:val="00782B5F"/>
    <w:rsid w:val="0078491F"/>
    <w:rsid w:val="00784AAF"/>
    <w:rsid w:val="00786521"/>
    <w:rsid w:val="007874BB"/>
    <w:rsid w:val="00791ADA"/>
    <w:rsid w:val="00791DEB"/>
    <w:rsid w:val="00792528"/>
    <w:rsid w:val="0079360D"/>
    <w:rsid w:val="00793FF9"/>
    <w:rsid w:val="00794BA1"/>
    <w:rsid w:val="00796266"/>
    <w:rsid w:val="00797A93"/>
    <w:rsid w:val="007A009C"/>
    <w:rsid w:val="007A0BD2"/>
    <w:rsid w:val="007A1A42"/>
    <w:rsid w:val="007A1B2A"/>
    <w:rsid w:val="007A3672"/>
    <w:rsid w:val="007A396F"/>
    <w:rsid w:val="007A4872"/>
    <w:rsid w:val="007A4D2D"/>
    <w:rsid w:val="007A4E60"/>
    <w:rsid w:val="007A511A"/>
    <w:rsid w:val="007A6310"/>
    <w:rsid w:val="007A6B9D"/>
    <w:rsid w:val="007A715D"/>
    <w:rsid w:val="007A76EE"/>
    <w:rsid w:val="007A7DA4"/>
    <w:rsid w:val="007A7F27"/>
    <w:rsid w:val="007B0787"/>
    <w:rsid w:val="007B0A26"/>
    <w:rsid w:val="007B0FF2"/>
    <w:rsid w:val="007B1221"/>
    <w:rsid w:val="007B151D"/>
    <w:rsid w:val="007B1B7E"/>
    <w:rsid w:val="007B2B8D"/>
    <w:rsid w:val="007B46BF"/>
    <w:rsid w:val="007B5842"/>
    <w:rsid w:val="007B6D8E"/>
    <w:rsid w:val="007B7ACE"/>
    <w:rsid w:val="007B7B8F"/>
    <w:rsid w:val="007C08C2"/>
    <w:rsid w:val="007C0DC7"/>
    <w:rsid w:val="007C139C"/>
    <w:rsid w:val="007C1A22"/>
    <w:rsid w:val="007C1AC4"/>
    <w:rsid w:val="007C1FC9"/>
    <w:rsid w:val="007C2607"/>
    <w:rsid w:val="007C2A9F"/>
    <w:rsid w:val="007C3268"/>
    <w:rsid w:val="007C32E1"/>
    <w:rsid w:val="007C364C"/>
    <w:rsid w:val="007C3ED8"/>
    <w:rsid w:val="007C4262"/>
    <w:rsid w:val="007C454A"/>
    <w:rsid w:val="007C5CB2"/>
    <w:rsid w:val="007D12EA"/>
    <w:rsid w:val="007D1548"/>
    <w:rsid w:val="007D2CBD"/>
    <w:rsid w:val="007D374D"/>
    <w:rsid w:val="007D41F8"/>
    <w:rsid w:val="007D527A"/>
    <w:rsid w:val="007D6635"/>
    <w:rsid w:val="007D798F"/>
    <w:rsid w:val="007D7A3B"/>
    <w:rsid w:val="007E0FCC"/>
    <w:rsid w:val="007E14EE"/>
    <w:rsid w:val="007E1738"/>
    <w:rsid w:val="007E2AF5"/>
    <w:rsid w:val="007E4314"/>
    <w:rsid w:val="007E43DA"/>
    <w:rsid w:val="007E4D81"/>
    <w:rsid w:val="007E5038"/>
    <w:rsid w:val="007E57D2"/>
    <w:rsid w:val="007E58E3"/>
    <w:rsid w:val="007E5C06"/>
    <w:rsid w:val="007E5D64"/>
    <w:rsid w:val="007E64AD"/>
    <w:rsid w:val="007E6810"/>
    <w:rsid w:val="007E6F9F"/>
    <w:rsid w:val="007E7258"/>
    <w:rsid w:val="007E75CB"/>
    <w:rsid w:val="007E7AC4"/>
    <w:rsid w:val="007E7BCC"/>
    <w:rsid w:val="007E7C36"/>
    <w:rsid w:val="007F0969"/>
    <w:rsid w:val="007F0CEC"/>
    <w:rsid w:val="007F0DC5"/>
    <w:rsid w:val="007F0DF4"/>
    <w:rsid w:val="007F11D7"/>
    <w:rsid w:val="007F164B"/>
    <w:rsid w:val="007F3393"/>
    <w:rsid w:val="007F3BA1"/>
    <w:rsid w:val="007F3FCB"/>
    <w:rsid w:val="007F41FD"/>
    <w:rsid w:val="007F44DE"/>
    <w:rsid w:val="007F4671"/>
    <w:rsid w:val="007F55E8"/>
    <w:rsid w:val="007F6192"/>
    <w:rsid w:val="007F63D9"/>
    <w:rsid w:val="007F6AFF"/>
    <w:rsid w:val="0080086C"/>
    <w:rsid w:val="008012B6"/>
    <w:rsid w:val="00802016"/>
    <w:rsid w:val="00803AC9"/>
    <w:rsid w:val="00803FBB"/>
    <w:rsid w:val="00804222"/>
    <w:rsid w:val="0080439F"/>
    <w:rsid w:val="008043A8"/>
    <w:rsid w:val="00804BFA"/>
    <w:rsid w:val="00805DD3"/>
    <w:rsid w:val="008108AC"/>
    <w:rsid w:val="008115FD"/>
    <w:rsid w:val="00811A99"/>
    <w:rsid w:val="008124D7"/>
    <w:rsid w:val="0081430E"/>
    <w:rsid w:val="00814341"/>
    <w:rsid w:val="00814758"/>
    <w:rsid w:val="008149EF"/>
    <w:rsid w:val="00815A6D"/>
    <w:rsid w:val="00815E41"/>
    <w:rsid w:val="00815F2C"/>
    <w:rsid w:val="0081611B"/>
    <w:rsid w:val="008203B4"/>
    <w:rsid w:val="008221C1"/>
    <w:rsid w:val="00822D9C"/>
    <w:rsid w:val="0082342F"/>
    <w:rsid w:val="0082346B"/>
    <w:rsid w:val="00823672"/>
    <w:rsid w:val="00824331"/>
    <w:rsid w:val="008244BD"/>
    <w:rsid w:val="0082560D"/>
    <w:rsid w:val="0082574D"/>
    <w:rsid w:val="00826A26"/>
    <w:rsid w:val="00826D36"/>
    <w:rsid w:val="0082735C"/>
    <w:rsid w:val="008277E7"/>
    <w:rsid w:val="00827B5E"/>
    <w:rsid w:val="00827EE7"/>
    <w:rsid w:val="008305A8"/>
    <w:rsid w:val="00831891"/>
    <w:rsid w:val="008320B5"/>
    <w:rsid w:val="00832953"/>
    <w:rsid w:val="00833727"/>
    <w:rsid w:val="008345E5"/>
    <w:rsid w:val="00834E68"/>
    <w:rsid w:val="00834FB7"/>
    <w:rsid w:val="00835297"/>
    <w:rsid w:val="00835CCC"/>
    <w:rsid w:val="00836848"/>
    <w:rsid w:val="00837940"/>
    <w:rsid w:val="00837E94"/>
    <w:rsid w:val="0084029E"/>
    <w:rsid w:val="0084279D"/>
    <w:rsid w:val="00843E0F"/>
    <w:rsid w:val="00845096"/>
    <w:rsid w:val="0084674B"/>
    <w:rsid w:val="008469C7"/>
    <w:rsid w:val="00847916"/>
    <w:rsid w:val="00850278"/>
    <w:rsid w:val="00850BB0"/>
    <w:rsid w:val="0085119E"/>
    <w:rsid w:val="008517CB"/>
    <w:rsid w:val="00851CC5"/>
    <w:rsid w:val="008521F9"/>
    <w:rsid w:val="00852263"/>
    <w:rsid w:val="0085317B"/>
    <w:rsid w:val="0085496F"/>
    <w:rsid w:val="008558B7"/>
    <w:rsid w:val="00856A9E"/>
    <w:rsid w:val="00856C4E"/>
    <w:rsid w:val="0085716B"/>
    <w:rsid w:val="0085717E"/>
    <w:rsid w:val="00857210"/>
    <w:rsid w:val="0085799B"/>
    <w:rsid w:val="00860830"/>
    <w:rsid w:val="008610A8"/>
    <w:rsid w:val="00861FBA"/>
    <w:rsid w:val="0086206B"/>
    <w:rsid w:val="00862248"/>
    <w:rsid w:val="008626F6"/>
    <w:rsid w:val="00862ED0"/>
    <w:rsid w:val="0086314E"/>
    <w:rsid w:val="008639A1"/>
    <w:rsid w:val="00864B65"/>
    <w:rsid w:val="00864DD3"/>
    <w:rsid w:val="008652F1"/>
    <w:rsid w:val="008654C9"/>
    <w:rsid w:val="008655AA"/>
    <w:rsid w:val="008657CA"/>
    <w:rsid w:val="00866366"/>
    <w:rsid w:val="0087093B"/>
    <w:rsid w:val="00870B5A"/>
    <w:rsid w:val="00870D14"/>
    <w:rsid w:val="008719C4"/>
    <w:rsid w:val="00871AEE"/>
    <w:rsid w:val="0087345D"/>
    <w:rsid w:val="008748A5"/>
    <w:rsid w:val="00876657"/>
    <w:rsid w:val="00876817"/>
    <w:rsid w:val="00877614"/>
    <w:rsid w:val="00881450"/>
    <w:rsid w:val="00881D3B"/>
    <w:rsid w:val="00881F72"/>
    <w:rsid w:val="00883F13"/>
    <w:rsid w:val="0088492C"/>
    <w:rsid w:val="00885970"/>
    <w:rsid w:val="00885C62"/>
    <w:rsid w:val="00885EBA"/>
    <w:rsid w:val="0088607D"/>
    <w:rsid w:val="008872E7"/>
    <w:rsid w:val="0088758A"/>
    <w:rsid w:val="00887FBA"/>
    <w:rsid w:val="008901AF"/>
    <w:rsid w:val="00890E92"/>
    <w:rsid w:val="0089101A"/>
    <w:rsid w:val="00891027"/>
    <w:rsid w:val="008911DD"/>
    <w:rsid w:val="00891EAC"/>
    <w:rsid w:val="008942E7"/>
    <w:rsid w:val="00894456"/>
    <w:rsid w:val="0089571C"/>
    <w:rsid w:val="00896860"/>
    <w:rsid w:val="00897286"/>
    <w:rsid w:val="008974C3"/>
    <w:rsid w:val="00897554"/>
    <w:rsid w:val="008A0549"/>
    <w:rsid w:val="008A0798"/>
    <w:rsid w:val="008A11B1"/>
    <w:rsid w:val="008A1C07"/>
    <w:rsid w:val="008A28C4"/>
    <w:rsid w:val="008A290D"/>
    <w:rsid w:val="008A29C2"/>
    <w:rsid w:val="008A41E6"/>
    <w:rsid w:val="008A4FF2"/>
    <w:rsid w:val="008A517B"/>
    <w:rsid w:val="008A54C8"/>
    <w:rsid w:val="008A5873"/>
    <w:rsid w:val="008A663E"/>
    <w:rsid w:val="008A71D0"/>
    <w:rsid w:val="008A78AA"/>
    <w:rsid w:val="008B048F"/>
    <w:rsid w:val="008B0C67"/>
    <w:rsid w:val="008B1088"/>
    <w:rsid w:val="008B2127"/>
    <w:rsid w:val="008B230F"/>
    <w:rsid w:val="008B3094"/>
    <w:rsid w:val="008B3135"/>
    <w:rsid w:val="008B3495"/>
    <w:rsid w:val="008B3D40"/>
    <w:rsid w:val="008B60E2"/>
    <w:rsid w:val="008B741E"/>
    <w:rsid w:val="008B7475"/>
    <w:rsid w:val="008B7DBD"/>
    <w:rsid w:val="008B7DF5"/>
    <w:rsid w:val="008B7FDF"/>
    <w:rsid w:val="008C0A1F"/>
    <w:rsid w:val="008C1409"/>
    <w:rsid w:val="008C26A6"/>
    <w:rsid w:val="008C4470"/>
    <w:rsid w:val="008C5962"/>
    <w:rsid w:val="008C5AD3"/>
    <w:rsid w:val="008C5CBE"/>
    <w:rsid w:val="008C5DCD"/>
    <w:rsid w:val="008C5FD7"/>
    <w:rsid w:val="008C6D27"/>
    <w:rsid w:val="008C7D15"/>
    <w:rsid w:val="008C7DAC"/>
    <w:rsid w:val="008D0823"/>
    <w:rsid w:val="008D194B"/>
    <w:rsid w:val="008D29B0"/>
    <w:rsid w:val="008D3349"/>
    <w:rsid w:val="008D3482"/>
    <w:rsid w:val="008D369E"/>
    <w:rsid w:val="008D433F"/>
    <w:rsid w:val="008D559F"/>
    <w:rsid w:val="008D619C"/>
    <w:rsid w:val="008D66A2"/>
    <w:rsid w:val="008E135E"/>
    <w:rsid w:val="008E16F9"/>
    <w:rsid w:val="008E1C65"/>
    <w:rsid w:val="008E2491"/>
    <w:rsid w:val="008E2621"/>
    <w:rsid w:val="008E3889"/>
    <w:rsid w:val="008E3C49"/>
    <w:rsid w:val="008E452B"/>
    <w:rsid w:val="008E4F28"/>
    <w:rsid w:val="008E5E4F"/>
    <w:rsid w:val="008E6320"/>
    <w:rsid w:val="008E67B7"/>
    <w:rsid w:val="008E7B96"/>
    <w:rsid w:val="008F0291"/>
    <w:rsid w:val="008F04FB"/>
    <w:rsid w:val="008F1F71"/>
    <w:rsid w:val="008F221D"/>
    <w:rsid w:val="008F3DDD"/>
    <w:rsid w:val="008F4918"/>
    <w:rsid w:val="008F4F89"/>
    <w:rsid w:val="008F532E"/>
    <w:rsid w:val="008F5DB7"/>
    <w:rsid w:val="008F7ACA"/>
    <w:rsid w:val="009000CE"/>
    <w:rsid w:val="009007EE"/>
    <w:rsid w:val="00902308"/>
    <w:rsid w:val="009026F3"/>
    <w:rsid w:val="00902837"/>
    <w:rsid w:val="00903182"/>
    <w:rsid w:val="0090340B"/>
    <w:rsid w:val="00903774"/>
    <w:rsid w:val="0090384F"/>
    <w:rsid w:val="00903F23"/>
    <w:rsid w:val="00904932"/>
    <w:rsid w:val="00904E40"/>
    <w:rsid w:val="00905291"/>
    <w:rsid w:val="00905F26"/>
    <w:rsid w:val="00907A9B"/>
    <w:rsid w:val="009102B5"/>
    <w:rsid w:val="00910610"/>
    <w:rsid w:val="00911005"/>
    <w:rsid w:val="00911671"/>
    <w:rsid w:val="009116F0"/>
    <w:rsid w:val="00911700"/>
    <w:rsid w:val="009117F0"/>
    <w:rsid w:val="00911BA2"/>
    <w:rsid w:val="00911E06"/>
    <w:rsid w:val="00911F8E"/>
    <w:rsid w:val="00912B1B"/>
    <w:rsid w:val="00914D48"/>
    <w:rsid w:val="00915491"/>
    <w:rsid w:val="00915D46"/>
    <w:rsid w:val="009170DE"/>
    <w:rsid w:val="009172F2"/>
    <w:rsid w:val="00917FC3"/>
    <w:rsid w:val="00920AEA"/>
    <w:rsid w:val="00921339"/>
    <w:rsid w:val="00921F40"/>
    <w:rsid w:val="009228C1"/>
    <w:rsid w:val="00923F2E"/>
    <w:rsid w:val="00924DCE"/>
    <w:rsid w:val="009255E5"/>
    <w:rsid w:val="00925847"/>
    <w:rsid w:val="00926667"/>
    <w:rsid w:val="00927F90"/>
    <w:rsid w:val="00930011"/>
    <w:rsid w:val="009305F8"/>
    <w:rsid w:val="00930BAA"/>
    <w:rsid w:val="00930D2A"/>
    <w:rsid w:val="009331EF"/>
    <w:rsid w:val="009333BB"/>
    <w:rsid w:val="0093373D"/>
    <w:rsid w:val="0093456C"/>
    <w:rsid w:val="0093462D"/>
    <w:rsid w:val="00934778"/>
    <w:rsid w:val="0093491D"/>
    <w:rsid w:val="009356C1"/>
    <w:rsid w:val="00935B33"/>
    <w:rsid w:val="009415EB"/>
    <w:rsid w:val="00941BB7"/>
    <w:rsid w:val="009437E9"/>
    <w:rsid w:val="00943A67"/>
    <w:rsid w:val="00943BB1"/>
    <w:rsid w:val="00943EFA"/>
    <w:rsid w:val="00944FB4"/>
    <w:rsid w:val="0094630D"/>
    <w:rsid w:val="0094735E"/>
    <w:rsid w:val="0094743F"/>
    <w:rsid w:val="00947C07"/>
    <w:rsid w:val="00950161"/>
    <w:rsid w:val="00950382"/>
    <w:rsid w:val="00951443"/>
    <w:rsid w:val="0095159B"/>
    <w:rsid w:val="00951A0A"/>
    <w:rsid w:val="00951DA5"/>
    <w:rsid w:val="00952078"/>
    <w:rsid w:val="00952282"/>
    <w:rsid w:val="009526B8"/>
    <w:rsid w:val="00953446"/>
    <w:rsid w:val="009534CC"/>
    <w:rsid w:val="00953CA5"/>
    <w:rsid w:val="00954742"/>
    <w:rsid w:val="0095537B"/>
    <w:rsid w:val="009553C6"/>
    <w:rsid w:val="00955F2D"/>
    <w:rsid w:val="00956341"/>
    <w:rsid w:val="009566FF"/>
    <w:rsid w:val="00956F82"/>
    <w:rsid w:val="0095745C"/>
    <w:rsid w:val="00960CD0"/>
    <w:rsid w:val="00960F94"/>
    <w:rsid w:val="009611F2"/>
    <w:rsid w:val="00961E1B"/>
    <w:rsid w:val="009635E7"/>
    <w:rsid w:val="00963870"/>
    <w:rsid w:val="00963E16"/>
    <w:rsid w:val="00964467"/>
    <w:rsid w:val="00965010"/>
    <w:rsid w:val="00965C96"/>
    <w:rsid w:val="00965F4F"/>
    <w:rsid w:val="00966D46"/>
    <w:rsid w:val="009678F5"/>
    <w:rsid w:val="00967D30"/>
    <w:rsid w:val="00970341"/>
    <w:rsid w:val="009706B2"/>
    <w:rsid w:val="0097078D"/>
    <w:rsid w:val="009709BF"/>
    <w:rsid w:val="00972124"/>
    <w:rsid w:val="00972442"/>
    <w:rsid w:val="00974B9D"/>
    <w:rsid w:val="009754A0"/>
    <w:rsid w:val="00975876"/>
    <w:rsid w:val="00975A3C"/>
    <w:rsid w:val="0097671A"/>
    <w:rsid w:val="009774B8"/>
    <w:rsid w:val="0098003F"/>
    <w:rsid w:val="00980064"/>
    <w:rsid w:val="00980810"/>
    <w:rsid w:val="0098181B"/>
    <w:rsid w:val="009821AF"/>
    <w:rsid w:val="00982A58"/>
    <w:rsid w:val="00982D59"/>
    <w:rsid w:val="00983E83"/>
    <w:rsid w:val="00983FE2"/>
    <w:rsid w:val="00984301"/>
    <w:rsid w:val="009844B5"/>
    <w:rsid w:val="009846E6"/>
    <w:rsid w:val="00985804"/>
    <w:rsid w:val="00986037"/>
    <w:rsid w:val="00986244"/>
    <w:rsid w:val="009866DB"/>
    <w:rsid w:val="00986B99"/>
    <w:rsid w:val="0098712B"/>
    <w:rsid w:val="009901EF"/>
    <w:rsid w:val="009909CA"/>
    <w:rsid w:val="009914D8"/>
    <w:rsid w:val="009922FC"/>
    <w:rsid w:val="00992A44"/>
    <w:rsid w:val="009936FF"/>
    <w:rsid w:val="0099447D"/>
    <w:rsid w:val="00995398"/>
    <w:rsid w:val="00995746"/>
    <w:rsid w:val="00995E40"/>
    <w:rsid w:val="0099603A"/>
    <w:rsid w:val="00996DD5"/>
    <w:rsid w:val="00997807"/>
    <w:rsid w:val="00997B72"/>
    <w:rsid w:val="009A0216"/>
    <w:rsid w:val="009A02AB"/>
    <w:rsid w:val="009A0C0A"/>
    <w:rsid w:val="009A1058"/>
    <w:rsid w:val="009A157A"/>
    <w:rsid w:val="009A2965"/>
    <w:rsid w:val="009A3621"/>
    <w:rsid w:val="009A37D2"/>
    <w:rsid w:val="009A3EAF"/>
    <w:rsid w:val="009A49C9"/>
    <w:rsid w:val="009A4BAC"/>
    <w:rsid w:val="009A5641"/>
    <w:rsid w:val="009A5F4B"/>
    <w:rsid w:val="009A70E0"/>
    <w:rsid w:val="009A73FF"/>
    <w:rsid w:val="009B013E"/>
    <w:rsid w:val="009B0853"/>
    <w:rsid w:val="009B26D1"/>
    <w:rsid w:val="009B4FDA"/>
    <w:rsid w:val="009B5DB6"/>
    <w:rsid w:val="009B6005"/>
    <w:rsid w:val="009B6586"/>
    <w:rsid w:val="009B6C2A"/>
    <w:rsid w:val="009B739A"/>
    <w:rsid w:val="009C0E2A"/>
    <w:rsid w:val="009C1D42"/>
    <w:rsid w:val="009C2256"/>
    <w:rsid w:val="009C2B83"/>
    <w:rsid w:val="009C4033"/>
    <w:rsid w:val="009C5632"/>
    <w:rsid w:val="009C60CE"/>
    <w:rsid w:val="009D1412"/>
    <w:rsid w:val="009D1DF5"/>
    <w:rsid w:val="009D292D"/>
    <w:rsid w:val="009D378C"/>
    <w:rsid w:val="009D3860"/>
    <w:rsid w:val="009D5CE3"/>
    <w:rsid w:val="009D626D"/>
    <w:rsid w:val="009D6400"/>
    <w:rsid w:val="009D72C2"/>
    <w:rsid w:val="009E0726"/>
    <w:rsid w:val="009E08BB"/>
    <w:rsid w:val="009E2199"/>
    <w:rsid w:val="009E2382"/>
    <w:rsid w:val="009E3024"/>
    <w:rsid w:val="009E38AF"/>
    <w:rsid w:val="009E39EA"/>
    <w:rsid w:val="009E3CC2"/>
    <w:rsid w:val="009E4023"/>
    <w:rsid w:val="009E43D9"/>
    <w:rsid w:val="009E44CB"/>
    <w:rsid w:val="009E58E6"/>
    <w:rsid w:val="009E7157"/>
    <w:rsid w:val="009F181B"/>
    <w:rsid w:val="009F1D24"/>
    <w:rsid w:val="009F3208"/>
    <w:rsid w:val="009F348B"/>
    <w:rsid w:val="009F37D6"/>
    <w:rsid w:val="009F3F0F"/>
    <w:rsid w:val="009F415D"/>
    <w:rsid w:val="009F67E9"/>
    <w:rsid w:val="009F6D6C"/>
    <w:rsid w:val="009F79A2"/>
    <w:rsid w:val="00A017B3"/>
    <w:rsid w:val="00A01C3F"/>
    <w:rsid w:val="00A01E85"/>
    <w:rsid w:val="00A02C45"/>
    <w:rsid w:val="00A03EFA"/>
    <w:rsid w:val="00A042A8"/>
    <w:rsid w:val="00A06AB0"/>
    <w:rsid w:val="00A06C95"/>
    <w:rsid w:val="00A06EFB"/>
    <w:rsid w:val="00A10548"/>
    <w:rsid w:val="00A10714"/>
    <w:rsid w:val="00A117F6"/>
    <w:rsid w:val="00A120BC"/>
    <w:rsid w:val="00A12278"/>
    <w:rsid w:val="00A12638"/>
    <w:rsid w:val="00A13A83"/>
    <w:rsid w:val="00A13CE1"/>
    <w:rsid w:val="00A13E00"/>
    <w:rsid w:val="00A14932"/>
    <w:rsid w:val="00A1498C"/>
    <w:rsid w:val="00A14B29"/>
    <w:rsid w:val="00A1628F"/>
    <w:rsid w:val="00A163A2"/>
    <w:rsid w:val="00A16C89"/>
    <w:rsid w:val="00A171A9"/>
    <w:rsid w:val="00A17B7C"/>
    <w:rsid w:val="00A20096"/>
    <w:rsid w:val="00A20642"/>
    <w:rsid w:val="00A20643"/>
    <w:rsid w:val="00A217D2"/>
    <w:rsid w:val="00A21EF8"/>
    <w:rsid w:val="00A22677"/>
    <w:rsid w:val="00A23384"/>
    <w:rsid w:val="00A241E8"/>
    <w:rsid w:val="00A24479"/>
    <w:rsid w:val="00A26AB9"/>
    <w:rsid w:val="00A26EB1"/>
    <w:rsid w:val="00A27325"/>
    <w:rsid w:val="00A2772B"/>
    <w:rsid w:val="00A3031B"/>
    <w:rsid w:val="00A3056B"/>
    <w:rsid w:val="00A30602"/>
    <w:rsid w:val="00A327A7"/>
    <w:rsid w:val="00A32D79"/>
    <w:rsid w:val="00A33203"/>
    <w:rsid w:val="00A33C81"/>
    <w:rsid w:val="00A3455E"/>
    <w:rsid w:val="00A3674D"/>
    <w:rsid w:val="00A36770"/>
    <w:rsid w:val="00A37025"/>
    <w:rsid w:val="00A4096D"/>
    <w:rsid w:val="00A40EE1"/>
    <w:rsid w:val="00A40EE2"/>
    <w:rsid w:val="00A42D29"/>
    <w:rsid w:val="00A430B5"/>
    <w:rsid w:val="00A46D6B"/>
    <w:rsid w:val="00A47064"/>
    <w:rsid w:val="00A47616"/>
    <w:rsid w:val="00A47C7A"/>
    <w:rsid w:val="00A50F85"/>
    <w:rsid w:val="00A51737"/>
    <w:rsid w:val="00A51FF7"/>
    <w:rsid w:val="00A526BE"/>
    <w:rsid w:val="00A52ABB"/>
    <w:rsid w:val="00A52D95"/>
    <w:rsid w:val="00A52D97"/>
    <w:rsid w:val="00A534AF"/>
    <w:rsid w:val="00A540E9"/>
    <w:rsid w:val="00A55630"/>
    <w:rsid w:val="00A5616C"/>
    <w:rsid w:val="00A56320"/>
    <w:rsid w:val="00A564E2"/>
    <w:rsid w:val="00A56893"/>
    <w:rsid w:val="00A56AE9"/>
    <w:rsid w:val="00A56D10"/>
    <w:rsid w:val="00A5723B"/>
    <w:rsid w:val="00A57479"/>
    <w:rsid w:val="00A57F1B"/>
    <w:rsid w:val="00A6039B"/>
    <w:rsid w:val="00A6067D"/>
    <w:rsid w:val="00A60C3E"/>
    <w:rsid w:val="00A60CE6"/>
    <w:rsid w:val="00A619BE"/>
    <w:rsid w:val="00A62987"/>
    <w:rsid w:val="00A62C1E"/>
    <w:rsid w:val="00A62D75"/>
    <w:rsid w:val="00A62E72"/>
    <w:rsid w:val="00A63636"/>
    <w:rsid w:val="00A639B7"/>
    <w:rsid w:val="00A63D66"/>
    <w:rsid w:val="00A651F2"/>
    <w:rsid w:val="00A654B8"/>
    <w:rsid w:val="00A658E3"/>
    <w:rsid w:val="00A65E3A"/>
    <w:rsid w:val="00A66738"/>
    <w:rsid w:val="00A67B22"/>
    <w:rsid w:val="00A67CEE"/>
    <w:rsid w:val="00A70663"/>
    <w:rsid w:val="00A7106F"/>
    <w:rsid w:val="00A71F5F"/>
    <w:rsid w:val="00A725EA"/>
    <w:rsid w:val="00A73E5C"/>
    <w:rsid w:val="00A741CC"/>
    <w:rsid w:val="00A74AAC"/>
    <w:rsid w:val="00A74C59"/>
    <w:rsid w:val="00A761EF"/>
    <w:rsid w:val="00A76B10"/>
    <w:rsid w:val="00A801EB"/>
    <w:rsid w:val="00A80FEB"/>
    <w:rsid w:val="00A81191"/>
    <w:rsid w:val="00A813AC"/>
    <w:rsid w:val="00A813DA"/>
    <w:rsid w:val="00A850D2"/>
    <w:rsid w:val="00A85B3D"/>
    <w:rsid w:val="00A85B6E"/>
    <w:rsid w:val="00A863D5"/>
    <w:rsid w:val="00A86C9C"/>
    <w:rsid w:val="00A86E16"/>
    <w:rsid w:val="00A8716C"/>
    <w:rsid w:val="00A87560"/>
    <w:rsid w:val="00A87DE5"/>
    <w:rsid w:val="00A87E71"/>
    <w:rsid w:val="00A9009F"/>
    <w:rsid w:val="00A90364"/>
    <w:rsid w:val="00A90581"/>
    <w:rsid w:val="00A91940"/>
    <w:rsid w:val="00A91AFF"/>
    <w:rsid w:val="00A9216B"/>
    <w:rsid w:val="00A9217C"/>
    <w:rsid w:val="00A92650"/>
    <w:rsid w:val="00A928D3"/>
    <w:rsid w:val="00A92F94"/>
    <w:rsid w:val="00A93979"/>
    <w:rsid w:val="00A94C55"/>
    <w:rsid w:val="00A95533"/>
    <w:rsid w:val="00A95CF9"/>
    <w:rsid w:val="00A966A5"/>
    <w:rsid w:val="00A96A21"/>
    <w:rsid w:val="00A96CE2"/>
    <w:rsid w:val="00A97229"/>
    <w:rsid w:val="00A9742C"/>
    <w:rsid w:val="00AA010F"/>
    <w:rsid w:val="00AA07A0"/>
    <w:rsid w:val="00AA0F67"/>
    <w:rsid w:val="00AA1A12"/>
    <w:rsid w:val="00AA2BB8"/>
    <w:rsid w:val="00AA3463"/>
    <w:rsid w:val="00AA3A28"/>
    <w:rsid w:val="00AA5D23"/>
    <w:rsid w:val="00AA67C0"/>
    <w:rsid w:val="00AA76F1"/>
    <w:rsid w:val="00AB01E2"/>
    <w:rsid w:val="00AB0431"/>
    <w:rsid w:val="00AB08B1"/>
    <w:rsid w:val="00AB200C"/>
    <w:rsid w:val="00AB24A4"/>
    <w:rsid w:val="00AB3582"/>
    <w:rsid w:val="00AB380D"/>
    <w:rsid w:val="00AB38B4"/>
    <w:rsid w:val="00AB4BBB"/>
    <w:rsid w:val="00AB4C0E"/>
    <w:rsid w:val="00AB4C33"/>
    <w:rsid w:val="00AB4F35"/>
    <w:rsid w:val="00AB527A"/>
    <w:rsid w:val="00AB5291"/>
    <w:rsid w:val="00AB52AD"/>
    <w:rsid w:val="00AB5F48"/>
    <w:rsid w:val="00AB7284"/>
    <w:rsid w:val="00AB7B8B"/>
    <w:rsid w:val="00AB7E25"/>
    <w:rsid w:val="00AC0489"/>
    <w:rsid w:val="00AC0646"/>
    <w:rsid w:val="00AC1418"/>
    <w:rsid w:val="00AC161E"/>
    <w:rsid w:val="00AC2111"/>
    <w:rsid w:val="00AC23D5"/>
    <w:rsid w:val="00AC5429"/>
    <w:rsid w:val="00AC5922"/>
    <w:rsid w:val="00AC79E3"/>
    <w:rsid w:val="00AC7BB6"/>
    <w:rsid w:val="00AD0841"/>
    <w:rsid w:val="00AD10DA"/>
    <w:rsid w:val="00AD16DC"/>
    <w:rsid w:val="00AD1FBC"/>
    <w:rsid w:val="00AD282D"/>
    <w:rsid w:val="00AD3ABC"/>
    <w:rsid w:val="00AD5BCB"/>
    <w:rsid w:val="00AD634D"/>
    <w:rsid w:val="00AD67C2"/>
    <w:rsid w:val="00AD6891"/>
    <w:rsid w:val="00AD6DA0"/>
    <w:rsid w:val="00AD7470"/>
    <w:rsid w:val="00AD77EF"/>
    <w:rsid w:val="00AE0C10"/>
    <w:rsid w:val="00AE129E"/>
    <w:rsid w:val="00AE13A4"/>
    <w:rsid w:val="00AE1607"/>
    <w:rsid w:val="00AE1DB6"/>
    <w:rsid w:val="00AE2036"/>
    <w:rsid w:val="00AE232C"/>
    <w:rsid w:val="00AE24A6"/>
    <w:rsid w:val="00AE3220"/>
    <w:rsid w:val="00AE49DA"/>
    <w:rsid w:val="00AE621D"/>
    <w:rsid w:val="00AE62FE"/>
    <w:rsid w:val="00AE6466"/>
    <w:rsid w:val="00AE64F4"/>
    <w:rsid w:val="00AE6D30"/>
    <w:rsid w:val="00AE7123"/>
    <w:rsid w:val="00AE7452"/>
    <w:rsid w:val="00AE7952"/>
    <w:rsid w:val="00AE7F29"/>
    <w:rsid w:val="00AE7FC9"/>
    <w:rsid w:val="00AF101A"/>
    <w:rsid w:val="00AF11C2"/>
    <w:rsid w:val="00AF230A"/>
    <w:rsid w:val="00AF7190"/>
    <w:rsid w:val="00AF73DB"/>
    <w:rsid w:val="00B0123F"/>
    <w:rsid w:val="00B01334"/>
    <w:rsid w:val="00B01CEA"/>
    <w:rsid w:val="00B02670"/>
    <w:rsid w:val="00B02904"/>
    <w:rsid w:val="00B032DE"/>
    <w:rsid w:val="00B03B19"/>
    <w:rsid w:val="00B0414E"/>
    <w:rsid w:val="00B05769"/>
    <w:rsid w:val="00B06A84"/>
    <w:rsid w:val="00B06B7E"/>
    <w:rsid w:val="00B06C3E"/>
    <w:rsid w:val="00B073DB"/>
    <w:rsid w:val="00B07423"/>
    <w:rsid w:val="00B0758A"/>
    <w:rsid w:val="00B07595"/>
    <w:rsid w:val="00B12A6D"/>
    <w:rsid w:val="00B13554"/>
    <w:rsid w:val="00B15367"/>
    <w:rsid w:val="00B155D4"/>
    <w:rsid w:val="00B1599B"/>
    <w:rsid w:val="00B15FA1"/>
    <w:rsid w:val="00B20541"/>
    <w:rsid w:val="00B20856"/>
    <w:rsid w:val="00B20988"/>
    <w:rsid w:val="00B20D5E"/>
    <w:rsid w:val="00B22C72"/>
    <w:rsid w:val="00B2300A"/>
    <w:rsid w:val="00B2403F"/>
    <w:rsid w:val="00B240EA"/>
    <w:rsid w:val="00B24CA0"/>
    <w:rsid w:val="00B25161"/>
    <w:rsid w:val="00B25A9D"/>
    <w:rsid w:val="00B268B5"/>
    <w:rsid w:val="00B273D9"/>
    <w:rsid w:val="00B2754C"/>
    <w:rsid w:val="00B27BA5"/>
    <w:rsid w:val="00B312CC"/>
    <w:rsid w:val="00B33BA6"/>
    <w:rsid w:val="00B3462E"/>
    <w:rsid w:val="00B3489D"/>
    <w:rsid w:val="00B348A7"/>
    <w:rsid w:val="00B34D52"/>
    <w:rsid w:val="00B35A85"/>
    <w:rsid w:val="00B36ECA"/>
    <w:rsid w:val="00B37D47"/>
    <w:rsid w:val="00B40046"/>
    <w:rsid w:val="00B40185"/>
    <w:rsid w:val="00B408EE"/>
    <w:rsid w:val="00B409C3"/>
    <w:rsid w:val="00B40AB5"/>
    <w:rsid w:val="00B438CD"/>
    <w:rsid w:val="00B43A02"/>
    <w:rsid w:val="00B43B37"/>
    <w:rsid w:val="00B453D5"/>
    <w:rsid w:val="00B455C9"/>
    <w:rsid w:val="00B45AFC"/>
    <w:rsid w:val="00B46259"/>
    <w:rsid w:val="00B4665F"/>
    <w:rsid w:val="00B46857"/>
    <w:rsid w:val="00B46E05"/>
    <w:rsid w:val="00B505CD"/>
    <w:rsid w:val="00B50A83"/>
    <w:rsid w:val="00B50F8A"/>
    <w:rsid w:val="00B51029"/>
    <w:rsid w:val="00B5154D"/>
    <w:rsid w:val="00B51C5C"/>
    <w:rsid w:val="00B5226C"/>
    <w:rsid w:val="00B54491"/>
    <w:rsid w:val="00B54E6C"/>
    <w:rsid w:val="00B55C3D"/>
    <w:rsid w:val="00B56D0B"/>
    <w:rsid w:val="00B5712D"/>
    <w:rsid w:val="00B5766A"/>
    <w:rsid w:val="00B57976"/>
    <w:rsid w:val="00B605F5"/>
    <w:rsid w:val="00B60990"/>
    <w:rsid w:val="00B609A4"/>
    <w:rsid w:val="00B61551"/>
    <w:rsid w:val="00B61941"/>
    <w:rsid w:val="00B61DC4"/>
    <w:rsid w:val="00B63617"/>
    <w:rsid w:val="00B659D3"/>
    <w:rsid w:val="00B666CF"/>
    <w:rsid w:val="00B670DF"/>
    <w:rsid w:val="00B67B96"/>
    <w:rsid w:val="00B67F4C"/>
    <w:rsid w:val="00B709CA"/>
    <w:rsid w:val="00B70C7F"/>
    <w:rsid w:val="00B71866"/>
    <w:rsid w:val="00B71C5E"/>
    <w:rsid w:val="00B7212B"/>
    <w:rsid w:val="00B72189"/>
    <w:rsid w:val="00B72CF0"/>
    <w:rsid w:val="00B73BA4"/>
    <w:rsid w:val="00B73FC4"/>
    <w:rsid w:val="00B771D7"/>
    <w:rsid w:val="00B801B2"/>
    <w:rsid w:val="00B80BA1"/>
    <w:rsid w:val="00B8277D"/>
    <w:rsid w:val="00B83214"/>
    <w:rsid w:val="00B83404"/>
    <w:rsid w:val="00B842B5"/>
    <w:rsid w:val="00B8475D"/>
    <w:rsid w:val="00B84C5D"/>
    <w:rsid w:val="00B85251"/>
    <w:rsid w:val="00B853CC"/>
    <w:rsid w:val="00B8661E"/>
    <w:rsid w:val="00B86927"/>
    <w:rsid w:val="00B86B6B"/>
    <w:rsid w:val="00B86B8B"/>
    <w:rsid w:val="00B86E84"/>
    <w:rsid w:val="00B86E85"/>
    <w:rsid w:val="00B872D1"/>
    <w:rsid w:val="00B910B1"/>
    <w:rsid w:val="00B91988"/>
    <w:rsid w:val="00B9293C"/>
    <w:rsid w:val="00B934D2"/>
    <w:rsid w:val="00B93F6D"/>
    <w:rsid w:val="00B94815"/>
    <w:rsid w:val="00B95C14"/>
    <w:rsid w:val="00B97669"/>
    <w:rsid w:val="00BA0429"/>
    <w:rsid w:val="00BA1F3D"/>
    <w:rsid w:val="00BA2104"/>
    <w:rsid w:val="00BA306B"/>
    <w:rsid w:val="00BA3CAD"/>
    <w:rsid w:val="00BA43D9"/>
    <w:rsid w:val="00BA44D7"/>
    <w:rsid w:val="00BA4780"/>
    <w:rsid w:val="00BA480A"/>
    <w:rsid w:val="00BA5482"/>
    <w:rsid w:val="00BA55AE"/>
    <w:rsid w:val="00BA57AA"/>
    <w:rsid w:val="00BA6992"/>
    <w:rsid w:val="00BB07A1"/>
    <w:rsid w:val="00BB0ACE"/>
    <w:rsid w:val="00BB0D13"/>
    <w:rsid w:val="00BB32F3"/>
    <w:rsid w:val="00BB45A2"/>
    <w:rsid w:val="00BB6859"/>
    <w:rsid w:val="00BB6EA4"/>
    <w:rsid w:val="00BB78B5"/>
    <w:rsid w:val="00BB7A07"/>
    <w:rsid w:val="00BC060A"/>
    <w:rsid w:val="00BC0656"/>
    <w:rsid w:val="00BC08DD"/>
    <w:rsid w:val="00BC0C42"/>
    <w:rsid w:val="00BC114A"/>
    <w:rsid w:val="00BC1F7F"/>
    <w:rsid w:val="00BC2EF9"/>
    <w:rsid w:val="00BC3A91"/>
    <w:rsid w:val="00BC5979"/>
    <w:rsid w:val="00BC62E7"/>
    <w:rsid w:val="00BC6E1E"/>
    <w:rsid w:val="00BC6FE3"/>
    <w:rsid w:val="00BD0303"/>
    <w:rsid w:val="00BD0401"/>
    <w:rsid w:val="00BD1456"/>
    <w:rsid w:val="00BD181F"/>
    <w:rsid w:val="00BD18C1"/>
    <w:rsid w:val="00BD1AD5"/>
    <w:rsid w:val="00BD26F5"/>
    <w:rsid w:val="00BD2E91"/>
    <w:rsid w:val="00BD3B5B"/>
    <w:rsid w:val="00BD516D"/>
    <w:rsid w:val="00BD528E"/>
    <w:rsid w:val="00BD7718"/>
    <w:rsid w:val="00BD7835"/>
    <w:rsid w:val="00BE2F38"/>
    <w:rsid w:val="00BE326C"/>
    <w:rsid w:val="00BE4067"/>
    <w:rsid w:val="00BE571C"/>
    <w:rsid w:val="00BE6D35"/>
    <w:rsid w:val="00BE7036"/>
    <w:rsid w:val="00BE7103"/>
    <w:rsid w:val="00BE7A42"/>
    <w:rsid w:val="00BE7B1A"/>
    <w:rsid w:val="00BF006D"/>
    <w:rsid w:val="00BF00F3"/>
    <w:rsid w:val="00BF04FB"/>
    <w:rsid w:val="00BF0CF7"/>
    <w:rsid w:val="00BF1393"/>
    <w:rsid w:val="00BF2D9E"/>
    <w:rsid w:val="00BF3511"/>
    <w:rsid w:val="00BF4187"/>
    <w:rsid w:val="00BF45F7"/>
    <w:rsid w:val="00BF4652"/>
    <w:rsid w:val="00BF5B8F"/>
    <w:rsid w:val="00BF5EAB"/>
    <w:rsid w:val="00BF7CAB"/>
    <w:rsid w:val="00BF7D80"/>
    <w:rsid w:val="00C0025D"/>
    <w:rsid w:val="00C010E4"/>
    <w:rsid w:val="00C01C38"/>
    <w:rsid w:val="00C02692"/>
    <w:rsid w:val="00C02EB9"/>
    <w:rsid w:val="00C02F12"/>
    <w:rsid w:val="00C02FF5"/>
    <w:rsid w:val="00C03CB4"/>
    <w:rsid w:val="00C03EC6"/>
    <w:rsid w:val="00C041AB"/>
    <w:rsid w:val="00C05F32"/>
    <w:rsid w:val="00C06B8F"/>
    <w:rsid w:val="00C07084"/>
    <w:rsid w:val="00C07AB1"/>
    <w:rsid w:val="00C10A6D"/>
    <w:rsid w:val="00C11E87"/>
    <w:rsid w:val="00C12079"/>
    <w:rsid w:val="00C12403"/>
    <w:rsid w:val="00C12AD6"/>
    <w:rsid w:val="00C13FB5"/>
    <w:rsid w:val="00C146B3"/>
    <w:rsid w:val="00C149D9"/>
    <w:rsid w:val="00C14BC7"/>
    <w:rsid w:val="00C14F43"/>
    <w:rsid w:val="00C15786"/>
    <w:rsid w:val="00C1714A"/>
    <w:rsid w:val="00C17A3B"/>
    <w:rsid w:val="00C17E0E"/>
    <w:rsid w:val="00C2266A"/>
    <w:rsid w:val="00C227BD"/>
    <w:rsid w:val="00C23698"/>
    <w:rsid w:val="00C24E83"/>
    <w:rsid w:val="00C2539C"/>
    <w:rsid w:val="00C25621"/>
    <w:rsid w:val="00C25A87"/>
    <w:rsid w:val="00C25D8B"/>
    <w:rsid w:val="00C271E8"/>
    <w:rsid w:val="00C277AE"/>
    <w:rsid w:val="00C317C5"/>
    <w:rsid w:val="00C31AE4"/>
    <w:rsid w:val="00C31FA1"/>
    <w:rsid w:val="00C332B5"/>
    <w:rsid w:val="00C334F4"/>
    <w:rsid w:val="00C3392D"/>
    <w:rsid w:val="00C3396A"/>
    <w:rsid w:val="00C33ED6"/>
    <w:rsid w:val="00C3454D"/>
    <w:rsid w:val="00C3681D"/>
    <w:rsid w:val="00C369E6"/>
    <w:rsid w:val="00C36C23"/>
    <w:rsid w:val="00C375EA"/>
    <w:rsid w:val="00C408F8"/>
    <w:rsid w:val="00C40904"/>
    <w:rsid w:val="00C410ED"/>
    <w:rsid w:val="00C43AD8"/>
    <w:rsid w:val="00C453F5"/>
    <w:rsid w:val="00C463E3"/>
    <w:rsid w:val="00C469A5"/>
    <w:rsid w:val="00C47352"/>
    <w:rsid w:val="00C476A6"/>
    <w:rsid w:val="00C47E1D"/>
    <w:rsid w:val="00C510C6"/>
    <w:rsid w:val="00C519FB"/>
    <w:rsid w:val="00C5413F"/>
    <w:rsid w:val="00C54943"/>
    <w:rsid w:val="00C5522F"/>
    <w:rsid w:val="00C55A80"/>
    <w:rsid w:val="00C55B98"/>
    <w:rsid w:val="00C571DA"/>
    <w:rsid w:val="00C57490"/>
    <w:rsid w:val="00C57BB2"/>
    <w:rsid w:val="00C57F17"/>
    <w:rsid w:val="00C613F4"/>
    <w:rsid w:val="00C61C2E"/>
    <w:rsid w:val="00C6242A"/>
    <w:rsid w:val="00C625CF"/>
    <w:rsid w:val="00C62E1E"/>
    <w:rsid w:val="00C63075"/>
    <w:rsid w:val="00C65558"/>
    <w:rsid w:val="00C6758D"/>
    <w:rsid w:val="00C67DD9"/>
    <w:rsid w:val="00C71021"/>
    <w:rsid w:val="00C71446"/>
    <w:rsid w:val="00C71F0B"/>
    <w:rsid w:val="00C72C4A"/>
    <w:rsid w:val="00C73133"/>
    <w:rsid w:val="00C73A67"/>
    <w:rsid w:val="00C74691"/>
    <w:rsid w:val="00C74DA6"/>
    <w:rsid w:val="00C74E3D"/>
    <w:rsid w:val="00C74E4D"/>
    <w:rsid w:val="00C74EEA"/>
    <w:rsid w:val="00C75A4F"/>
    <w:rsid w:val="00C75C3F"/>
    <w:rsid w:val="00C75DB4"/>
    <w:rsid w:val="00C766CC"/>
    <w:rsid w:val="00C778B0"/>
    <w:rsid w:val="00C779B5"/>
    <w:rsid w:val="00C77A39"/>
    <w:rsid w:val="00C814C0"/>
    <w:rsid w:val="00C81DA9"/>
    <w:rsid w:val="00C81FBD"/>
    <w:rsid w:val="00C82955"/>
    <w:rsid w:val="00C83443"/>
    <w:rsid w:val="00C83769"/>
    <w:rsid w:val="00C83D00"/>
    <w:rsid w:val="00C8421D"/>
    <w:rsid w:val="00C84957"/>
    <w:rsid w:val="00C84CC8"/>
    <w:rsid w:val="00C85E4C"/>
    <w:rsid w:val="00C86149"/>
    <w:rsid w:val="00C86F8D"/>
    <w:rsid w:val="00C9207A"/>
    <w:rsid w:val="00C93FA8"/>
    <w:rsid w:val="00C94EBD"/>
    <w:rsid w:val="00C95503"/>
    <w:rsid w:val="00C958EA"/>
    <w:rsid w:val="00C96297"/>
    <w:rsid w:val="00C97484"/>
    <w:rsid w:val="00CA0148"/>
    <w:rsid w:val="00CA1448"/>
    <w:rsid w:val="00CA14C2"/>
    <w:rsid w:val="00CA15B6"/>
    <w:rsid w:val="00CA1CD9"/>
    <w:rsid w:val="00CA2834"/>
    <w:rsid w:val="00CA2A29"/>
    <w:rsid w:val="00CA32B2"/>
    <w:rsid w:val="00CA3CD2"/>
    <w:rsid w:val="00CA41C7"/>
    <w:rsid w:val="00CA4E1D"/>
    <w:rsid w:val="00CA5009"/>
    <w:rsid w:val="00CA64BC"/>
    <w:rsid w:val="00CA65C9"/>
    <w:rsid w:val="00CA7DE8"/>
    <w:rsid w:val="00CB0A72"/>
    <w:rsid w:val="00CB0DA3"/>
    <w:rsid w:val="00CB13C6"/>
    <w:rsid w:val="00CB18B4"/>
    <w:rsid w:val="00CB1ED7"/>
    <w:rsid w:val="00CB20E5"/>
    <w:rsid w:val="00CB34A2"/>
    <w:rsid w:val="00CB39E0"/>
    <w:rsid w:val="00CB3A6E"/>
    <w:rsid w:val="00CB50DD"/>
    <w:rsid w:val="00CB5BE6"/>
    <w:rsid w:val="00CB69D6"/>
    <w:rsid w:val="00CB6EE1"/>
    <w:rsid w:val="00CB7DBA"/>
    <w:rsid w:val="00CC00A0"/>
    <w:rsid w:val="00CC1408"/>
    <w:rsid w:val="00CC15AB"/>
    <w:rsid w:val="00CC190A"/>
    <w:rsid w:val="00CC21DE"/>
    <w:rsid w:val="00CC2356"/>
    <w:rsid w:val="00CC3F24"/>
    <w:rsid w:val="00CC3FED"/>
    <w:rsid w:val="00CC415E"/>
    <w:rsid w:val="00CC489E"/>
    <w:rsid w:val="00CC625A"/>
    <w:rsid w:val="00CC634E"/>
    <w:rsid w:val="00CC7263"/>
    <w:rsid w:val="00CC7B98"/>
    <w:rsid w:val="00CD0295"/>
    <w:rsid w:val="00CD071F"/>
    <w:rsid w:val="00CD0D03"/>
    <w:rsid w:val="00CD0FBC"/>
    <w:rsid w:val="00CD1148"/>
    <w:rsid w:val="00CD161C"/>
    <w:rsid w:val="00CD3D3A"/>
    <w:rsid w:val="00CD44AE"/>
    <w:rsid w:val="00CD4FE9"/>
    <w:rsid w:val="00CD6106"/>
    <w:rsid w:val="00CD6E4E"/>
    <w:rsid w:val="00CD73D9"/>
    <w:rsid w:val="00CD74B5"/>
    <w:rsid w:val="00CD79C5"/>
    <w:rsid w:val="00CE05AB"/>
    <w:rsid w:val="00CE100C"/>
    <w:rsid w:val="00CE1139"/>
    <w:rsid w:val="00CE1CE8"/>
    <w:rsid w:val="00CE2572"/>
    <w:rsid w:val="00CE25F8"/>
    <w:rsid w:val="00CE28F5"/>
    <w:rsid w:val="00CE2D39"/>
    <w:rsid w:val="00CE5122"/>
    <w:rsid w:val="00CE5A76"/>
    <w:rsid w:val="00CE61F3"/>
    <w:rsid w:val="00CE625C"/>
    <w:rsid w:val="00CE6EF5"/>
    <w:rsid w:val="00CE7219"/>
    <w:rsid w:val="00CE7EB2"/>
    <w:rsid w:val="00CF03E0"/>
    <w:rsid w:val="00CF0A94"/>
    <w:rsid w:val="00CF0AF1"/>
    <w:rsid w:val="00CF1749"/>
    <w:rsid w:val="00CF1E3D"/>
    <w:rsid w:val="00CF2696"/>
    <w:rsid w:val="00CF27C4"/>
    <w:rsid w:val="00CF289A"/>
    <w:rsid w:val="00CF3F95"/>
    <w:rsid w:val="00CF6299"/>
    <w:rsid w:val="00CF63C0"/>
    <w:rsid w:val="00CF69A7"/>
    <w:rsid w:val="00CF723B"/>
    <w:rsid w:val="00D001D3"/>
    <w:rsid w:val="00D00430"/>
    <w:rsid w:val="00D018D5"/>
    <w:rsid w:val="00D020C1"/>
    <w:rsid w:val="00D02CFA"/>
    <w:rsid w:val="00D03701"/>
    <w:rsid w:val="00D03ABE"/>
    <w:rsid w:val="00D03DFD"/>
    <w:rsid w:val="00D0432D"/>
    <w:rsid w:val="00D04712"/>
    <w:rsid w:val="00D0481B"/>
    <w:rsid w:val="00D04D78"/>
    <w:rsid w:val="00D055F1"/>
    <w:rsid w:val="00D06162"/>
    <w:rsid w:val="00D06420"/>
    <w:rsid w:val="00D0701F"/>
    <w:rsid w:val="00D077E3"/>
    <w:rsid w:val="00D07A59"/>
    <w:rsid w:val="00D11A66"/>
    <w:rsid w:val="00D12606"/>
    <w:rsid w:val="00D13146"/>
    <w:rsid w:val="00D131CE"/>
    <w:rsid w:val="00D15AA1"/>
    <w:rsid w:val="00D15B61"/>
    <w:rsid w:val="00D16794"/>
    <w:rsid w:val="00D17FD8"/>
    <w:rsid w:val="00D20529"/>
    <w:rsid w:val="00D20CBF"/>
    <w:rsid w:val="00D21052"/>
    <w:rsid w:val="00D21140"/>
    <w:rsid w:val="00D21EAA"/>
    <w:rsid w:val="00D228F8"/>
    <w:rsid w:val="00D22E02"/>
    <w:rsid w:val="00D2417D"/>
    <w:rsid w:val="00D24498"/>
    <w:rsid w:val="00D24615"/>
    <w:rsid w:val="00D24F15"/>
    <w:rsid w:val="00D25CBC"/>
    <w:rsid w:val="00D2679D"/>
    <w:rsid w:val="00D27467"/>
    <w:rsid w:val="00D300B3"/>
    <w:rsid w:val="00D30AF1"/>
    <w:rsid w:val="00D30F33"/>
    <w:rsid w:val="00D31457"/>
    <w:rsid w:val="00D31AB5"/>
    <w:rsid w:val="00D31E59"/>
    <w:rsid w:val="00D32975"/>
    <w:rsid w:val="00D34C54"/>
    <w:rsid w:val="00D3555C"/>
    <w:rsid w:val="00D3572A"/>
    <w:rsid w:val="00D35DEE"/>
    <w:rsid w:val="00D37150"/>
    <w:rsid w:val="00D37C0C"/>
    <w:rsid w:val="00D37FA9"/>
    <w:rsid w:val="00D40767"/>
    <w:rsid w:val="00D409A1"/>
    <w:rsid w:val="00D41EAD"/>
    <w:rsid w:val="00D42148"/>
    <w:rsid w:val="00D427E8"/>
    <w:rsid w:val="00D43B22"/>
    <w:rsid w:val="00D449C5"/>
    <w:rsid w:val="00D44E6F"/>
    <w:rsid w:val="00D44E98"/>
    <w:rsid w:val="00D453E5"/>
    <w:rsid w:val="00D45F98"/>
    <w:rsid w:val="00D4643F"/>
    <w:rsid w:val="00D4696A"/>
    <w:rsid w:val="00D4753F"/>
    <w:rsid w:val="00D475FE"/>
    <w:rsid w:val="00D50738"/>
    <w:rsid w:val="00D5103B"/>
    <w:rsid w:val="00D52AE0"/>
    <w:rsid w:val="00D53EE6"/>
    <w:rsid w:val="00D558DA"/>
    <w:rsid w:val="00D57298"/>
    <w:rsid w:val="00D57F7D"/>
    <w:rsid w:val="00D60294"/>
    <w:rsid w:val="00D60DDD"/>
    <w:rsid w:val="00D614DB"/>
    <w:rsid w:val="00D62A08"/>
    <w:rsid w:val="00D62BE4"/>
    <w:rsid w:val="00D62DBA"/>
    <w:rsid w:val="00D63102"/>
    <w:rsid w:val="00D647C5"/>
    <w:rsid w:val="00D64954"/>
    <w:rsid w:val="00D6512E"/>
    <w:rsid w:val="00D66260"/>
    <w:rsid w:val="00D6658E"/>
    <w:rsid w:val="00D70630"/>
    <w:rsid w:val="00D708DA"/>
    <w:rsid w:val="00D70C7E"/>
    <w:rsid w:val="00D71B7C"/>
    <w:rsid w:val="00D71E9A"/>
    <w:rsid w:val="00D74080"/>
    <w:rsid w:val="00D74CAD"/>
    <w:rsid w:val="00D75831"/>
    <w:rsid w:val="00D75CBE"/>
    <w:rsid w:val="00D76A05"/>
    <w:rsid w:val="00D76C40"/>
    <w:rsid w:val="00D76EC9"/>
    <w:rsid w:val="00D77E41"/>
    <w:rsid w:val="00D80AB4"/>
    <w:rsid w:val="00D81639"/>
    <w:rsid w:val="00D819BF"/>
    <w:rsid w:val="00D82204"/>
    <w:rsid w:val="00D825E5"/>
    <w:rsid w:val="00D8338E"/>
    <w:rsid w:val="00D84540"/>
    <w:rsid w:val="00D84B8F"/>
    <w:rsid w:val="00D84F8A"/>
    <w:rsid w:val="00D84FE3"/>
    <w:rsid w:val="00D85879"/>
    <w:rsid w:val="00D85F7F"/>
    <w:rsid w:val="00D8608C"/>
    <w:rsid w:val="00D873C6"/>
    <w:rsid w:val="00D900AD"/>
    <w:rsid w:val="00D908BC"/>
    <w:rsid w:val="00D90EE2"/>
    <w:rsid w:val="00D91210"/>
    <w:rsid w:val="00D91F0C"/>
    <w:rsid w:val="00D93619"/>
    <w:rsid w:val="00D936DF"/>
    <w:rsid w:val="00D942CD"/>
    <w:rsid w:val="00D95BF2"/>
    <w:rsid w:val="00D96393"/>
    <w:rsid w:val="00D96943"/>
    <w:rsid w:val="00D96E31"/>
    <w:rsid w:val="00D97289"/>
    <w:rsid w:val="00D974E1"/>
    <w:rsid w:val="00DA0126"/>
    <w:rsid w:val="00DA14A7"/>
    <w:rsid w:val="00DA1AA7"/>
    <w:rsid w:val="00DA2081"/>
    <w:rsid w:val="00DA2B33"/>
    <w:rsid w:val="00DA2BCE"/>
    <w:rsid w:val="00DA3835"/>
    <w:rsid w:val="00DA4947"/>
    <w:rsid w:val="00DA5777"/>
    <w:rsid w:val="00DA65FF"/>
    <w:rsid w:val="00DA662F"/>
    <w:rsid w:val="00DA6A6C"/>
    <w:rsid w:val="00DA79C9"/>
    <w:rsid w:val="00DA7CA0"/>
    <w:rsid w:val="00DB1D43"/>
    <w:rsid w:val="00DB27B0"/>
    <w:rsid w:val="00DB2B16"/>
    <w:rsid w:val="00DB2E4E"/>
    <w:rsid w:val="00DB3324"/>
    <w:rsid w:val="00DB4D82"/>
    <w:rsid w:val="00DB5063"/>
    <w:rsid w:val="00DB52AC"/>
    <w:rsid w:val="00DB5818"/>
    <w:rsid w:val="00DB61F6"/>
    <w:rsid w:val="00DB62B8"/>
    <w:rsid w:val="00DB635A"/>
    <w:rsid w:val="00DB7233"/>
    <w:rsid w:val="00DB7A74"/>
    <w:rsid w:val="00DC0682"/>
    <w:rsid w:val="00DC0E9B"/>
    <w:rsid w:val="00DC16A4"/>
    <w:rsid w:val="00DC1F76"/>
    <w:rsid w:val="00DC4B6C"/>
    <w:rsid w:val="00DC4D1E"/>
    <w:rsid w:val="00DC6125"/>
    <w:rsid w:val="00DC6D97"/>
    <w:rsid w:val="00DC7262"/>
    <w:rsid w:val="00DC7E05"/>
    <w:rsid w:val="00DD1311"/>
    <w:rsid w:val="00DD1D55"/>
    <w:rsid w:val="00DD1EE7"/>
    <w:rsid w:val="00DD2119"/>
    <w:rsid w:val="00DD311B"/>
    <w:rsid w:val="00DD4294"/>
    <w:rsid w:val="00DD6165"/>
    <w:rsid w:val="00DD6663"/>
    <w:rsid w:val="00DD6EB8"/>
    <w:rsid w:val="00DD7917"/>
    <w:rsid w:val="00DE01CB"/>
    <w:rsid w:val="00DE0E25"/>
    <w:rsid w:val="00DE189A"/>
    <w:rsid w:val="00DE3B9C"/>
    <w:rsid w:val="00DE5141"/>
    <w:rsid w:val="00DE58A0"/>
    <w:rsid w:val="00DE58DB"/>
    <w:rsid w:val="00DE5B71"/>
    <w:rsid w:val="00DE5B96"/>
    <w:rsid w:val="00DE6DA4"/>
    <w:rsid w:val="00DE73FB"/>
    <w:rsid w:val="00DF073E"/>
    <w:rsid w:val="00DF09CC"/>
    <w:rsid w:val="00DF14E7"/>
    <w:rsid w:val="00DF255B"/>
    <w:rsid w:val="00DF29F1"/>
    <w:rsid w:val="00DF2F4F"/>
    <w:rsid w:val="00DF3846"/>
    <w:rsid w:val="00DF4EB1"/>
    <w:rsid w:val="00DF52CD"/>
    <w:rsid w:val="00DF54BC"/>
    <w:rsid w:val="00DF64D2"/>
    <w:rsid w:val="00DF6698"/>
    <w:rsid w:val="00DF77C4"/>
    <w:rsid w:val="00E00BB6"/>
    <w:rsid w:val="00E01C49"/>
    <w:rsid w:val="00E021FF"/>
    <w:rsid w:val="00E02FC9"/>
    <w:rsid w:val="00E02FFE"/>
    <w:rsid w:val="00E03916"/>
    <w:rsid w:val="00E039A5"/>
    <w:rsid w:val="00E0457E"/>
    <w:rsid w:val="00E0465B"/>
    <w:rsid w:val="00E049BD"/>
    <w:rsid w:val="00E04A01"/>
    <w:rsid w:val="00E04ECE"/>
    <w:rsid w:val="00E05AE5"/>
    <w:rsid w:val="00E06C1E"/>
    <w:rsid w:val="00E06D3C"/>
    <w:rsid w:val="00E07671"/>
    <w:rsid w:val="00E0798F"/>
    <w:rsid w:val="00E102FF"/>
    <w:rsid w:val="00E1124C"/>
    <w:rsid w:val="00E11B8F"/>
    <w:rsid w:val="00E11BB1"/>
    <w:rsid w:val="00E13F29"/>
    <w:rsid w:val="00E16198"/>
    <w:rsid w:val="00E16AB4"/>
    <w:rsid w:val="00E16BAA"/>
    <w:rsid w:val="00E17F49"/>
    <w:rsid w:val="00E20418"/>
    <w:rsid w:val="00E21412"/>
    <w:rsid w:val="00E22486"/>
    <w:rsid w:val="00E22993"/>
    <w:rsid w:val="00E229A0"/>
    <w:rsid w:val="00E230CB"/>
    <w:rsid w:val="00E23D5F"/>
    <w:rsid w:val="00E23E25"/>
    <w:rsid w:val="00E24547"/>
    <w:rsid w:val="00E25577"/>
    <w:rsid w:val="00E257B1"/>
    <w:rsid w:val="00E25AC1"/>
    <w:rsid w:val="00E26920"/>
    <w:rsid w:val="00E27408"/>
    <w:rsid w:val="00E30474"/>
    <w:rsid w:val="00E30972"/>
    <w:rsid w:val="00E30C17"/>
    <w:rsid w:val="00E30D86"/>
    <w:rsid w:val="00E3160B"/>
    <w:rsid w:val="00E31684"/>
    <w:rsid w:val="00E316D5"/>
    <w:rsid w:val="00E31E0B"/>
    <w:rsid w:val="00E32435"/>
    <w:rsid w:val="00E32B9B"/>
    <w:rsid w:val="00E3369B"/>
    <w:rsid w:val="00E3423F"/>
    <w:rsid w:val="00E34CDC"/>
    <w:rsid w:val="00E34D8D"/>
    <w:rsid w:val="00E368B4"/>
    <w:rsid w:val="00E37592"/>
    <w:rsid w:val="00E37FDF"/>
    <w:rsid w:val="00E4039F"/>
    <w:rsid w:val="00E440C8"/>
    <w:rsid w:val="00E440FE"/>
    <w:rsid w:val="00E444AA"/>
    <w:rsid w:val="00E447C5"/>
    <w:rsid w:val="00E44845"/>
    <w:rsid w:val="00E44DFC"/>
    <w:rsid w:val="00E451B3"/>
    <w:rsid w:val="00E46B43"/>
    <w:rsid w:val="00E46F5E"/>
    <w:rsid w:val="00E470D9"/>
    <w:rsid w:val="00E50124"/>
    <w:rsid w:val="00E50B80"/>
    <w:rsid w:val="00E50C0E"/>
    <w:rsid w:val="00E50D17"/>
    <w:rsid w:val="00E524D8"/>
    <w:rsid w:val="00E52597"/>
    <w:rsid w:val="00E525CB"/>
    <w:rsid w:val="00E52CF6"/>
    <w:rsid w:val="00E535A8"/>
    <w:rsid w:val="00E538FF"/>
    <w:rsid w:val="00E539AB"/>
    <w:rsid w:val="00E54407"/>
    <w:rsid w:val="00E55520"/>
    <w:rsid w:val="00E56E48"/>
    <w:rsid w:val="00E5784B"/>
    <w:rsid w:val="00E57C92"/>
    <w:rsid w:val="00E6079D"/>
    <w:rsid w:val="00E614E8"/>
    <w:rsid w:val="00E6158C"/>
    <w:rsid w:val="00E6243E"/>
    <w:rsid w:val="00E626FE"/>
    <w:rsid w:val="00E62A8A"/>
    <w:rsid w:val="00E62B92"/>
    <w:rsid w:val="00E6417D"/>
    <w:rsid w:val="00E64945"/>
    <w:rsid w:val="00E66495"/>
    <w:rsid w:val="00E664BA"/>
    <w:rsid w:val="00E67F3E"/>
    <w:rsid w:val="00E700F8"/>
    <w:rsid w:val="00E70266"/>
    <w:rsid w:val="00E702C2"/>
    <w:rsid w:val="00E70C3A"/>
    <w:rsid w:val="00E70F15"/>
    <w:rsid w:val="00E718ED"/>
    <w:rsid w:val="00E7229A"/>
    <w:rsid w:val="00E73CA5"/>
    <w:rsid w:val="00E75248"/>
    <w:rsid w:val="00E75EC1"/>
    <w:rsid w:val="00E76B1A"/>
    <w:rsid w:val="00E7729E"/>
    <w:rsid w:val="00E804F0"/>
    <w:rsid w:val="00E80C37"/>
    <w:rsid w:val="00E81924"/>
    <w:rsid w:val="00E82CA4"/>
    <w:rsid w:val="00E82D58"/>
    <w:rsid w:val="00E84077"/>
    <w:rsid w:val="00E856C3"/>
    <w:rsid w:val="00E866D0"/>
    <w:rsid w:val="00E87031"/>
    <w:rsid w:val="00E872D3"/>
    <w:rsid w:val="00E87790"/>
    <w:rsid w:val="00E878D3"/>
    <w:rsid w:val="00E87D62"/>
    <w:rsid w:val="00E9116A"/>
    <w:rsid w:val="00E91570"/>
    <w:rsid w:val="00E928DD"/>
    <w:rsid w:val="00E93DFE"/>
    <w:rsid w:val="00E949DD"/>
    <w:rsid w:val="00E956A8"/>
    <w:rsid w:val="00E959A2"/>
    <w:rsid w:val="00E95FA9"/>
    <w:rsid w:val="00E9667F"/>
    <w:rsid w:val="00EA0143"/>
    <w:rsid w:val="00EA0390"/>
    <w:rsid w:val="00EA0E22"/>
    <w:rsid w:val="00EA12F7"/>
    <w:rsid w:val="00EA1891"/>
    <w:rsid w:val="00EA2918"/>
    <w:rsid w:val="00EA2984"/>
    <w:rsid w:val="00EA3E48"/>
    <w:rsid w:val="00EA4DAA"/>
    <w:rsid w:val="00EA5A14"/>
    <w:rsid w:val="00EA5BA9"/>
    <w:rsid w:val="00EA60FA"/>
    <w:rsid w:val="00EA65BC"/>
    <w:rsid w:val="00EA6A17"/>
    <w:rsid w:val="00EA7673"/>
    <w:rsid w:val="00EA7BE2"/>
    <w:rsid w:val="00EB0146"/>
    <w:rsid w:val="00EB057F"/>
    <w:rsid w:val="00EB1354"/>
    <w:rsid w:val="00EB2BB1"/>
    <w:rsid w:val="00EB2F6F"/>
    <w:rsid w:val="00EB381C"/>
    <w:rsid w:val="00EB446F"/>
    <w:rsid w:val="00EB4B7B"/>
    <w:rsid w:val="00EB66C5"/>
    <w:rsid w:val="00EB688A"/>
    <w:rsid w:val="00EB6C1F"/>
    <w:rsid w:val="00EB6D2B"/>
    <w:rsid w:val="00EB7CAF"/>
    <w:rsid w:val="00EC0636"/>
    <w:rsid w:val="00EC064D"/>
    <w:rsid w:val="00EC083A"/>
    <w:rsid w:val="00EC0F6D"/>
    <w:rsid w:val="00EC174C"/>
    <w:rsid w:val="00EC1ED8"/>
    <w:rsid w:val="00EC364B"/>
    <w:rsid w:val="00EC3746"/>
    <w:rsid w:val="00EC3FED"/>
    <w:rsid w:val="00EC41AA"/>
    <w:rsid w:val="00EC5281"/>
    <w:rsid w:val="00EC5A65"/>
    <w:rsid w:val="00EC5F63"/>
    <w:rsid w:val="00EC619B"/>
    <w:rsid w:val="00EC61AC"/>
    <w:rsid w:val="00EC63A2"/>
    <w:rsid w:val="00ED007C"/>
    <w:rsid w:val="00ED0C6A"/>
    <w:rsid w:val="00ED172B"/>
    <w:rsid w:val="00ED2071"/>
    <w:rsid w:val="00ED272C"/>
    <w:rsid w:val="00ED2DDD"/>
    <w:rsid w:val="00ED3BCC"/>
    <w:rsid w:val="00ED48DA"/>
    <w:rsid w:val="00ED509B"/>
    <w:rsid w:val="00ED55AA"/>
    <w:rsid w:val="00ED6E79"/>
    <w:rsid w:val="00ED712A"/>
    <w:rsid w:val="00ED74EE"/>
    <w:rsid w:val="00ED7D12"/>
    <w:rsid w:val="00EE0221"/>
    <w:rsid w:val="00EE05B7"/>
    <w:rsid w:val="00EE0C65"/>
    <w:rsid w:val="00EE1DD1"/>
    <w:rsid w:val="00EE4E0F"/>
    <w:rsid w:val="00EE50A8"/>
    <w:rsid w:val="00EE58C0"/>
    <w:rsid w:val="00EE6372"/>
    <w:rsid w:val="00EE6F42"/>
    <w:rsid w:val="00EE7144"/>
    <w:rsid w:val="00EE7829"/>
    <w:rsid w:val="00EF09DF"/>
    <w:rsid w:val="00EF1AEF"/>
    <w:rsid w:val="00EF3463"/>
    <w:rsid w:val="00EF36A1"/>
    <w:rsid w:val="00EF45CC"/>
    <w:rsid w:val="00EF4A30"/>
    <w:rsid w:val="00EF4E00"/>
    <w:rsid w:val="00EF651C"/>
    <w:rsid w:val="00EF76FE"/>
    <w:rsid w:val="00F0087F"/>
    <w:rsid w:val="00F008FE"/>
    <w:rsid w:val="00F00C86"/>
    <w:rsid w:val="00F0119D"/>
    <w:rsid w:val="00F01254"/>
    <w:rsid w:val="00F01A8D"/>
    <w:rsid w:val="00F024C7"/>
    <w:rsid w:val="00F02E8A"/>
    <w:rsid w:val="00F03286"/>
    <w:rsid w:val="00F03E46"/>
    <w:rsid w:val="00F0433A"/>
    <w:rsid w:val="00F046B6"/>
    <w:rsid w:val="00F04F23"/>
    <w:rsid w:val="00F05ED0"/>
    <w:rsid w:val="00F0619B"/>
    <w:rsid w:val="00F06ADC"/>
    <w:rsid w:val="00F06EF8"/>
    <w:rsid w:val="00F11700"/>
    <w:rsid w:val="00F11F45"/>
    <w:rsid w:val="00F129DF"/>
    <w:rsid w:val="00F13C0D"/>
    <w:rsid w:val="00F13F8C"/>
    <w:rsid w:val="00F143C2"/>
    <w:rsid w:val="00F144F9"/>
    <w:rsid w:val="00F147FA"/>
    <w:rsid w:val="00F14D0B"/>
    <w:rsid w:val="00F15AA8"/>
    <w:rsid w:val="00F1643E"/>
    <w:rsid w:val="00F178A0"/>
    <w:rsid w:val="00F20899"/>
    <w:rsid w:val="00F20E73"/>
    <w:rsid w:val="00F21D64"/>
    <w:rsid w:val="00F22006"/>
    <w:rsid w:val="00F2262B"/>
    <w:rsid w:val="00F22D09"/>
    <w:rsid w:val="00F2466D"/>
    <w:rsid w:val="00F24AC2"/>
    <w:rsid w:val="00F25214"/>
    <w:rsid w:val="00F253FF"/>
    <w:rsid w:val="00F2548E"/>
    <w:rsid w:val="00F255D2"/>
    <w:rsid w:val="00F25965"/>
    <w:rsid w:val="00F3080C"/>
    <w:rsid w:val="00F32724"/>
    <w:rsid w:val="00F32751"/>
    <w:rsid w:val="00F32B6D"/>
    <w:rsid w:val="00F339CE"/>
    <w:rsid w:val="00F33E0A"/>
    <w:rsid w:val="00F33E76"/>
    <w:rsid w:val="00F342F9"/>
    <w:rsid w:val="00F3511E"/>
    <w:rsid w:val="00F3516E"/>
    <w:rsid w:val="00F35698"/>
    <w:rsid w:val="00F35C0E"/>
    <w:rsid w:val="00F360F2"/>
    <w:rsid w:val="00F3615E"/>
    <w:rsid w:val="00F366A6"/>
    <w:rsid w:val="00F36848"/>
    <w:rsid w:val="00F37E58"/>
    <w:rsid w:val="00F40121"/>
    <w:rsid w:val="00F40C9F"/>
    <w:rsid w:val="00F4238C"/>
    <w:rsid w:val="00F42995"/>
    <w:rsid w:val="00F44638"/>
    <w:rsid w:val="00F4580C"/>
    <w:rsid w:val="00F45CB7"/>
    <w:rsid w:val="00F45CE5"/>
    <w:rsid w:val="00F47E58"/>
    <w:rsid w:val="00F507BE"/>
    <w:rsid w:val="00F50AD0"/>
    <w:rsid w:val="00F51011"/>
    <w:rsid w:val="00F51610"/>
    <w:rsid w:val="00F52B75"/>
    <w:rsid w:val="00F5303D"/>
    <w:rsid w:val="00F53631"/>
    <w:rsid w:val="00F53653"/>
    <w:rsid w:val="00F5435D"/>
    <w:rsid w:val="00F5460E"/>
    <w:rsid w:val="00F54F47"/>
    <w:rsid w:val="00F54FAA"/>
    <w:rsid w:val="00F55079"/>
    <w:rsid w:val="00F55CF9"/>
    <w:rsid w:val="00F563DA"/>
    <w:rsid w:val="00F571EB"/>
    <w:rsid w:val="00F607CC"/>
    <w:rsid w:val="00F61A89"/>
    <w:rsid w:val="00F627C0"/>
    <w:rsid w:val="00F63955"/>
    <w:rsid w:val="00F64287"/>
    <w:rsid w:val="00F651BC"/>
    <w:rsid w:val="00F66714"/>
    <w:rsid w:val="00F67355"/>
    <w:rsid w:val="00F67CCA"/>
    <w:rsid w:val="00F67FA4"/>
    <w:rsid w:val="00F702B4"/>
    <w:rsid w:val="00F703BF"/>
    <w:rsid w:val="00F70415"/>
    <w:rsid w:val="00F7071C"/>
    <w:rsid w:val="00F70AC4"/>
    <w:rsid w:val="00F70B2D"/>
    <w:rsid w:val="00F70B9C"/>
    <w:rsid w:val="00F71605"/>
    <w:rsid w:val="00F719E6"/>
    <w:rsid w:val="00F72C4B"/>
    <w:rsid w:val="00F74CF3"/>
    <w:rsid w:val="00F74E2A"/>
    <w:rsid w:val="00F754D5"/>
    <w:rsid w:val="00F75864"/>
    <w:rsid w:val="00F765B8"/>
    <w:rsid w:val="00F7673F"/>
    <w:rsid w:val="00F76753"/>
    <w:rsid w:val="00F77D8B"/>
    <w:rsid w:val="00F80505"/>
    <w:rsid w:val="00F807FB"/>
    <w:rsid w:val="00F80C9C"/>
    <w:rsid w:val="00F81858"/>
    <w:rsid w:val="00F81F86"/>
    <w:rsid w:val="00F825BA"/>
    <w:rsid w:val="00F82625"/>
    <w:rsid w:val="00F829C9"/>
    <w:rsid w:val="00F83228"/>
    <w:rsid w:val="00F83692"/>
    <w:rsid w:val="00F83727"/>
    <w:rsid w:val="00F83A6A"/>
    <w:rsid w:val="00F83F88"/>
    <w:rsid w:val="00F845CB"/>
    <w:rsid w:val="00F84A2C"/>
    <w:rsid w:val="00F84A82"/>
    <w:rsid w:val="00F84DDE"/>
    <w:rsid w:val="00F85027"/>
    <w:rsid w:val="00F857BB"/>
    <w:rsid w:val="00F85A5B"/>
    <w:rsid w:val="00F860F5"/>
    <w:rsid w:val="00F8685E"/>
    <w:rsid w:val="00F86861"/>
    <w:rsid w:val="00F872DC"/>
    <w:rsid w:val="00F9062E"/>
    <w:rsid w:val="00F90A32"/>
    <w:rsid w:val="00F90BF8"/>
    <w:rsid w:val="00F939F8"/>
    <w:rsid w:val="00F95744"/>
    <w:rsid w:val="00F95AA3"/>
    <w:rsid w:val="00F95FEA"/>
    <w:rsid w:val="00F9713C"/>
    <w:rsid w:val="00F97A57"/>
    <w:rsid w:val="00F97A99"/>
    <w:rsid w:val="00F97C7F"/>
    <w:rsid w:val="00FA1420"/>
    <w:rsid w:val="00FA2430"/>
    <w:rsid w:val="00FA283D"/>
    <w:rsid w:val="00FA30A3"/>
    <w:rsid w:val="00FA3375"/>
    <w:rsid w:val="00FA45A1"/>
    <w:rsid w:val="00FA46DF"/>
    <w:rsid w:val="00FA5E02"/>
    <w:rsid w:val="00FA69B8"/>
    <w:rsid w:val="00FA71CF"/>
    <w:rsid w:val="00FA7580"/>
    <w:rsid w:val="00FB10DF"/>
    <w:rsid w:val="00FB141D"/>
    <w:rsid w:val="00FB146D"/>
    <w:rsid w:val="00FB1F1C"/>
    <w:rsid w:val="00FB32A4"/>
    <w:rsid w:val="00FB39DD"/>
    <w:rsid w:val="00FB41C1"/>
    <w:rsid w:val="00FB483E"/>
    <w:rsid w:val="00FB4E79"/>
    <w:rsid w:val="00FB513B"/>
    <w:rsid w:val="00FB51A3"/>
    <w:rsid w:val="00FB5F22"/>
    <w:rsid w:val="00FB7AE9"/>
    <w:rsid w:val="00FC0549"/>
    <w:rsid w:val="00FC083E"/>
    <w:rsid w:val="00FC0A2B"/>
    <w:rsid w:val="00FC0AC7"/>
    <w:rsid w:val="00FC13CE"/>
    <w:rsid w:val="00FC1AA8"/>
    <w:rsid w:val="00FC1E9E"/>
    <w:rsid w:val="00FC298C"/>
    <w:rsid w:val="00FC2B12"/>
    <w:rsid w:val="00FC49D3"/>
    <w:rsid w:val="00FC5451"/>
    <w:rsid w:val="00FC576C"/>
    <w:rsid w:val="00FC5FCB"/>
    <w:rsid w:val="00FC6292"/>
    <w:rsid w:val="00FC727D"/>
    <w:rsid w:val="00FC769C"/>
    <w:rsid w:val="00FC7972"/>
    <w:rsid w:val="00FD047C"/>
    <w:rsid w:val="00FD059E"/>
    <w:rsid w:val="00FD18B2"/>
    <w:rsid w:val="00FD2AA0"/>
    <w:rsid w:val="00FD3C8C"/>
    <w:rsid w:val="00FD4802"/>
    <w:rsid w:val="00FD4A6F"/>
    <w:rsid w:val="00FD53C0"/>
    <w:rsid w:val="00FD59F0"/>
    <w:rsid w:val="00FD66D7"/>
    <w:rsid w:val="00FE122D"/>
    <w:rsid w:val="00FE1B3A"/>
    <w:rsid w:val="00FE27FA"/>
    <w:rsid w:val="00FE2991"/>
    <w:rsid w:val="00FE3AA6"/>
    <w:rsid w:val="00FE3F4C"/>
    <w:rsid w:val="00FE3F69"/>
    <w:rsid w:val="00FE403B"/>
    <w:rsid w:val="00FE4661"/>
    <w:rsid w:val="00FE6398"/>
    <w:rsid w:val="00FE6608"/>
    <w:rsid w:val="00FE7611"/>
    <w:rsid w:val="00FF026D"/>
    <w:rsid w:val="00FF155B"/>
    <w:rsid w:val="00FF2213"/>
    <w:rsid w:val="00FF244B"/>
    <w:rsid w:val="00FF2F0B"/>
    <w:rsid w:val="00FF3F3A"/>
    <w:rsid w:val="00FF4763"/>
    <w:rsid w:val="00FF54D0"/>
    <w:rsid w:val="00FF55B8"/>
    <w:rsid w:val="00FF5F8A"/>
    <w:rsid w:val="00FF6948"/>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38461D"/>
  <w15:docId w15:val="{B61F946E-EA9B-40D6-9661-37BE67C3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830"/>
    <w:pPr>
      <w:spacing w:before="60" w:after="60" w:line="240" w:lineRule="auto"/>
    </w:pPr>
    <w:rPr>
      <w:rFonts w:ascii="Arial" w:hAnsi="Arial"/>
      <w:sz w:val="16"/>
    </w:rPr>
  </w:style>
  <w:style w:type="paragraph" w:styleId="Heading1">
    <w:name w:val="heading 1"/>
    <w:basedOn w:val="Normal"/>
    <w:next w:val="Normal"/>
    <w:link w:val="Heading1Char"/>
    <w:uiPriority w:val="9"/>
    <w:qFormat/>
    <w:rsid w:val="0077063D"/>
    <w:pPr>
      <w:keepNext/>
      <w:keepLines/>
      <w:spacing w:before="240" w:after="0"/>
      <w:outlineLvl w:val="0"/>
    </w:pPr>
    <w:rPr>
      <w:rFonts w:eastAsiaTheme="majorEastAsia" w:cstheme="majorBidi"/>
      <w:b/>
      <w:bCs/>
      <w:sz w:val="22"/>
      <w:szCs w:val="28"/>
    </w:rPr>
  </w:style>
  <w:style w:type="paragraph" w:styleId="Heading2">
    <w:name w:val="heading 2"/>
    <w:basedOn w:val="Normal"/>
    <w:next w:val="Normal"/>
    <w:link w:val="Heading2Char"/>
    <w:uiPriority w:val="9"/>
    <w:unhideWhenUsed/>
    <w:qFormat/>
    <w:rsid w:val="00F563DA"/>
    <w:pPr>
      <w:keepNext/>
      <w:keepLines/>
      <w:spacing w:before="24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E64945"/>
    <w:pPr>
      <w:keepNext/>
      <w:keepLines/>
      <w:spacing w:before="120" w:after="0"/>
      <w:outlineLvl w:val="2"/>
    </w:pPr>
    <w:rPr>
      <w:rFonts w:asciiTheme="majorHAnsi" w:eastAsiaTheme="majorEastAsia" w:hAnsiTheme="majorHAnsi" w:cstheme="majorBidi"/>
      <w:b/>
      <w:bCs/>
      <w:color w:val="365F91" w:themeColor="accent1" w:themeShade="BF"/>
      <w:sz w:val="22"/>
    </w:rPr>
  </w:style>
  <w:style w:type="paragraph" w:styleId="Heading4">
    <w:name w:val="heading 4"/>
    <w:basedOn w:val="Normal"/>
    <w:next w:val="Normal"/>
    <w:link w:val="Heading4Char"/>
    <w:uiPriority w:val="9"/>
    <w:unhideWhenUsed/>
    <w:qFormat/>
    <w:rsid w:val="00E64945"/>
    <w:pPr>
      <w:keepNext/>
      <w:keepLines/>
      <w:spacing w:before="40" w:after="0"/>
      <w:outlineLvl w:val="3"/>
    </w:pPr>
    <w:rPr>
      <w:rFonts w:asciiTheme="majorHAnsi" w:eastAsiaTheme="majorEastAsia" w:hAnsiTheme="majorHAnsi" w:cstheme="majorBidi"/>
      <w:b/>
      <w:iCs/>
      <w:color w:val="365F91" w:themeColor="accent1" w:themeShade="BF"/>
      <w:sz w:val="22"/>
    </w:rPr>
  </w:style>
  <w:style w:type="paragraph" w:styleId="Heading5">
    <w:name w:val="heading 5"/>
    <w:basedOn w:val="Normal"/>
    <w:next w:val="Normal"/>
    <w:link w:val="Heading5Char"/>
    <w:uiPriority w:val="9"/>
    <w:semiHidden/>
    <w:unhideWhenUsed/>
    <w:qFormat/>
    <w:rsid w:val="006362E6"/>
    <w:pPr>
      <w:keepNext/>
      <w:keepLines/>
      <w:spacing w:before="40" w:after="0" w:line="276" w:lineRule="auto"/>
      <w:outlineLvl w:val="4"/>
    </w:pPr>
    <w:rPr>
      <w:rFonts w:asciiTheme="majorHAnsi" w:eastAsiaTheme="majorEastAsia" w:hAnsiTheme="majorHAnsi" w:cstheme="majorBidi"/>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63D"/>
    <w:rPr>
      <w:rFonts w:ascii="Arial" w:eastAsiaTheme="majorEastAsia" w:hAnsi="Arial" w:cstheme="majorBidi"/>
      <w:b/>
      <w:bCs/>
      <w:szCs w:val="28"/>
    </w:rPr>
  </w:style>
  <w:style w:type="character" w:customStyle="1" w:styleId="Heading2Char">
    <w:name w:val="Heading 2 Char"/>
    <w:basedOn w:val="DefaultParagraphFont"/>
    <w:link w:val="Heading2"/>
    <w:uiPriority w:val="9"/>
    <w:rsid w:val="00F563DA"/>
    <w:rPr>
      <w:rFonts w:ascii="Arial" w:eastAsiaTheme="majorEastAsia" w:hAnsi="Arial" w:cstheme="majorBidi"/>
      <w:b/>
      <w:bCs/>
      <w:sz w:val="20"/>
      <w:szCs w:val="26"/>
    </w:rPr>
  </w:style>
  <w:style w:type="character" w:customStyle="1" w:styleId="Heading3Char">
    <w:name w:val="Heading 3 Char"/>
    <w:basedOn w:val="DefaultParagraphFont"/>
    <w:link w:val="Heading3"/>
    <w:uiPriority w:val="9"/>
    <w:rsid w:val="00E64945"/>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B976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97669"/>
    <w:pPr>
      <w:spacing w:after="0"/>
    </w:pPr>
    <w:rPr>
      <w:rFonts w:ascii="Tahoma" w:hAnsi="Tahoma" w:cs="Tahoma"/>
      <w:szCs w:val="16"/>
    </w:rPr>
  </w:style>
  <w:style w:type="character" w:customStyle="1" w:styleId="BalloonTextChar">
    <w:name w:val="Balloon Text Char"/>
    <w:basedOn w:val="DefaultParagraphFont"/>
    <w:link w:val="BalloonText"/>
    <w:uiPriority w:val="99"/>
    <w:semiHidden/>
    <w:rsid w:val="00B97669"/>
    <w:rPr>
      <w:rFonts w:ascii="Tahoma" w:hAnsi="Tahoma" w:cs="Tahoma"/>
      <w:sz w:val="16"/>
      <w:szCs w:val="16"/>
    </w:rPr>
  </w:style>
  <w:style w:type="paragraph" w:styleId="Header">
    <w:name w:val="header"/>
    <w:basedOn w:val="Normal"/>
    <w:link w:val="HeaderChar"/>
    <w:uiPriority w:val="99"/>
    <w:rsid w:val="00E02FFE"/>
    <w:pPr>
      <w:tabs>
        <w:tab w:val="center" w:pos="4320"/>
        <w:tab w:val="right" w:pos="8640"/>
      </w:tabs>
      <w:spacing w:after="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02FFE"/>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90AC9"/>
    <w:pPr>
      <w:pBdr>
        <w:top w:val="single" w:sz="8" w:space="1" w:color="4F81BD" w:themeColor="accent1"/>
        <w:bottom w:val="single" w:sz="8" w:space="4" w:color="4F81BD" w:themeColor="accent1"/>
      </w:pBdr>
      <w:spacing w:before="360" w:after="120"/>
      <w:contextualSpacing/>
    </w:pPr>
    <w:rPr>
      <w:rFonts w:asciiTheme="majorHAnsi" w:eastAsiaTheme="majorEastAsia" w:hAnsiTheme="majorHAnsi"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690AC9"/>
    <w:rPr>
      <w:rFonts w:asciiTheme="majorHAnsi" w:eastAsiaTheme="majorEastAsia" w:hAnsiTheme="majorHAnsi" w:cstheme="majorBidi"/>
      <w:color w:val="17365D" w:themeColor="text2" w:themeShade="BF"/>
      <w:spacing w:val="5"/>
      <w:kern w:val="28"/>
      <w:sz w:val="32"/>
      <w:szCs w:val="52"/>
    </w:rPr>
  </w:style>
  <w:style w:type="paragraph" w:styleId="Subtitle">
    <w:name w:val="Subtitle"/>
    <w:basedOn w:val="Normal"/>
    <w:next w:val="Normal"/>
    <w:link w:val="SubtitleChar"/>
    <w:uiPriority w:val="11"/>
    <w:qFormat/>
    <w:rsid w:val="00E02FF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02FFE"/>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1"/>
    <w:qFormat/>
    <w:rsid w:val="0041365C"/>
    <w:pPr>
      <w:ind w:left="720"/>
      <w:contextualSpacing/>
    </w:pPr>
  </w:style>
  <w:style w:type="paragraph" w:styleId="Footer">
    <w:name w:val="footer"/>
    <w:basedOn w:val="Normal"/>
    <w:link w:val="FooterChar"/>
    <w:uiPriority w:val="99"/>
    <w:unhideWhenUsed/>
    <w:rsid w:val="000802F7"/>
    <w:pPr>
      <w:tabs>
        <w:tab w:val="center" w:pos="4680"/>
        <w:tab w:val="right" w:pos="9360"/>
      </w:tabs>
      <w:spacing w:before="0" w:after="0"/>
    </w:pPr>
  </w:style>
  <w:style w:type="character" w:customStyle="1" w:styleId="FooterChar">
    <w:name w:val="Footer Char"/>
    <w:basedOn w:val="DefaultParagraphFont"/>
    <w:link w:val="Footer"/>
    <w:uiPriority w:val="99"/>
    <w:rsid w:val="000802F7"/>
  </w:style>
  <w:style w:type="character" w:styleId="CommentReference">
    <w:name w:val="annotation reference"/>
    <w:basedOn w:val="DefaultParagraphFont"/>
    <w:uiPriority w:val="99"/>
    <w:unhideWhenUsed/>
    <w:rsid w:val="001D7011"/>
    <w:rPr>
      <w:sz w:val="16"/>
      <w:szCs w:val="16"/>
    </w:rPr>
  </w:style>
  <w:style w:type="paragraph" w:styleId="CommentText">
    <w:name w:val="annotation text"/>
    <w:basedOn w:val="Normal"/>
    <w:link w:val="CommentTextChar"/>
    <w:uiPriority w:val="99"/>
    <w:unhideWhenUsed/>
    <w:rsid w:val="001D7011"/>
    <w:rPr>
      <w:sz w:val="20"/>
      <w:szCs w:val="20"/>
    </w:rPr>
  </w:style>
  <w:style w:type="character" w:customStyle="1" w:styleId="CommentTextChar">
    <w:name w:val="Comment Text Char"/>
    <w:basedOn w:val="DefaultParagraphFont"/>
    <w:link w:val="CommentText"/>
    <w:uiPriority w:val="99"/>
    <w:rsid w:val="001D7011"/>
    <w:rPr>
      <w:sz w:val="20"/>
      <w:szCs w:val="20"/>
    </w:rPr>
  </w:style>
  <w:style w:type="paragraph" w:styleId="CommentSubject">
    <w:name w:val="annotation subject"/>
    <w:basedOn w:val="CommentText"/>
    <w:next w:val="CommentText"/>
    <w:link w:val="CommentSubjectChar"/>
    <w:uiPriority w:val="99"/>
    <w:semiHidden/>
    <w:unhideWhenUsed/>
    <w:rsid w:val="001D7011"/>
    <w:rPr>
      <w:b/>
      <w:bCs/>
    </w:rPr>
  </w:style>
  <w:style w:type="character" w:customStyle="1" w:styleId="CommentSubjectChar">
    <w:name w:val="Comment Subject Char"/>
    <w:basedOn w:val="CommentTextChar"/>
    <w:link w:val="CommentSubject"/>
    <w:uiPriority w:val="99"/>
    <w:semiHidden/>
    <w:rsid w:val="001D7011"/>
    <w:rPr>
      <w:b/>
      <w:bCs/>
      <w:sz w:val="20"/>
      <w:szCs w:val="20"/>
    </w:rPr>
  </w:style>
  <w:style w:type="character" w:styleId="Hyperlink">
    <w:name w:val="Hyperlink"/>
    <w:basedOn w:val="DefaultParagraphFont"/>
    <w:uiPriority w:val="99"/>
    <w:unhideWhenUsed/>
    <w:rsid w:val="00CC2356"/>
    <w:rPr>
      <w:color w:val="0000FF" w:themeColor="hyperlink"/>
      <w:u w:val="single"/>
    </w:rPr>
  </w:style>
  <w:style w:type="paragraph" w:styleId="FootnoteText">
    <w:name w:val="footnote text"/>
    <w:basedOn w:val="Normal"/>
    <w:link w:val="FootnoteTextChar"/>
    <w:uiPriority w:val="99"/>
    <w:semiHidden/>
    <w:unhideWhenUsed/>
    <w:rsid w:val="006D5E8D"/>
    <w:pPr>
      <w:spacing w:before="0" w:after="0"/>
    </w:pPr>
    <w:rPr>
      <w:sz w:val="20"/>
      <w:szCs w:val="20"/>
    </w:rPr>
  </w:style>
  <w:style w:type="character" w:customStyle="1" w:styleId="FootnoteTextChar">
    <w:name w:val="Footnote Text Char"/>
    <w:basedOn w:val="DefaultParagraphFont"/>
    <w:link w:val="FootnoteText"/>
    <w:uiPriority w:val="99"/>
    <w:semiHidden/>
    <w:rsid w:val="006D5E8D"/>
    <w:rPr>
      <w:sz w:val="20"/>
      <w:szCs w:val="20"/>
    </w:rPr>
  </w:style>
  <w:style w:type="character" w:styleId="FootnoteReference">
    <w:name w:val="footnote reference"/>
    <w:basedOn w:val="DefaultParagraphFont"/>
    <w:uiPriority w:val="99"/>
    <w:semiHidden/>
    <w:unhideWhenUsed/>
    <w:rsid w:val="006D5E8D"/>
    <w:rPr>
      <w:vertAlign w:val="superscript"/>
    </w:rPr>
  </w:style>
  <w:style w:type="paragraph" w:styleId="TOCHeading">
    <w:name w:val="TOC Heading"/>
    <w:basedOn w:val="Heading1"/>
    <w:next w:val="Normal"/>
    <w:uiPriority w:val="39"/>
    <w:unhideWhenUsed/>
    <w:qFormat/>
    <w:rsid w:val="00D21EAA"/>
    <w:pPr>
      <w:spacing w:line="259" w:lineRule="auto"/>
      <w:outlineLvl w:val="9"/>
    </w:pPr>
    <w:rPr>
      <w:b w:val="0"/>
      <w:bCs w:val="0"/>
      <w:sz w:val="32"/>
      <w:szCs w:val="32"/>
    </w:rPr>
  </w:style>
  <w:style w:type="paragraph" w:styleId="TOC1">
    <w:name w:val="toc 1"/>
    <w:basedOn w:val="Normal"/>
    <w:next w:val="Normal"/>
    <w:autoRedefine/>
    <w:uiPriority w:val="39"/>
    <w:unhideWhenUsed/>
    <w:rsid w:val="006B7031"/>
    <w:pPr>
      <w:tabs>
        <w:tab w:val="right" w:leader="dot" w:pos="10790"/>
      </w:tabs>
      <w:spacing w:before="120" w:after="0"/>
    </w:pPr>
  </w:style>
  <w:style w:type="paragraph" w:styleId="TOC2">
    <w:name w:val="toc 2"/>
    <w:basedOn w:val="Normal"/>
    <w:next w:val="Normal"/>
    <w:autoRedefine/>
    <w:uiPriority w:val="39"/>
    <w:unhideWhenUsed/>
    <w:rsid w:val="006B7031"/>
    <w:pPr>
      <w:spacing w:before="0" w:after="0"/>
      <w:ind w:left="216"/>
    </w:pPr>
  </w:style>
  <w:style w:type="paragraph" w:customStyle="1" w:styleId="PropNorm">
    <w:name w:val="PropNorm"/>
    <w:link w:val="PropNormChar"/>
    <w:rsid w:val="00441FB4"/>
    <w:pPr>
      <w:spacing w:after="180" w:line="240" w:lineRule="auto"/>
    </w:pPr>
    <w:rPr>
      <w:rFonts w:ascii="Times New Roman" w:eastAsia="Times New Roman" w:hAnsi="Times New Roman" w:cs="Times New Roman"/>
      <w:sz w:val="24"/>
      <w:szCs w:val="20"/>
    </w:rPr>
  </w:style>
  <w:style w:type="character" w:customStyle="1" w:styleId="PropNormChar">
    <w:name w:val="PropNorm Char"/>
    <w:basedOn w:val="DefaultParagraphFont"/>
    <w:link w:val="PropNorm"/>
    <w:locked/>
    <w:rsid w:val="00441FB4"/>
    <w:rPr>
      <w:rFonts w:ascii="Times New Roman" w:eastAsia="Times New Roman" w:hAnsi="Times New Roman" w:cs="Times New Roman"/>
      <w:sz w:val="24"/>
      <w:szCs w:val="20"/>
    </w:rPr>
  </w:style>
  <w:style w:type="paragraph" w:styleId="TOAHeading">
    <w:name w:val="toa heading"/>
    <w:basedOn w:val="Normal"/>
    <w:next w:val="Normal"/>
    <w:semiHidden/>
    <w:rsid w:val="00441FB4"/>
    <w:pPr>
      <w:tabs>
        <w:tab w:val="right" w:pos="9360"/>
      </w:tabs>
      <w:suppressAutoHyphens/>
      <w:spacing w:after="240"/>
    </w:pPr>
    <w:rPr>
      <w:rFonts w:ascii="Times New Roman" w:eastAsia="Times New Roman" w:hAnsi="Times New Roman" w:cs="Times New Roman"/>
      <w:szCs w:val="20"/>
    </w:rPr>
  </w:style>
  <w:style w:type="paragraph" w:customStyle="1" w:styleId="Technical4">
    <w:name w:val="Technical 4"/>
    <w:rsid w:val="00441FB4"/>
    <w:pPr>
      <w:tabs>
        <w:tab w:val="left" w:pos="-720"/>
      </w:tabs>
      <w:suppressAutoHyphens/>
      <w:spacing w:after="0" w:line="240" w:lineRule="auto"/>
    </w:pPr>
    <w:rPr>
      <w:rFonts w:ascii="Times New Roman" w:eastAsia="Times New Roman" w:hAnsi="Times New Roman" w:cs="Times New Roman"/>
      <w:b/>
      <w:sz w:val="24"/>
      <w:szCs w:val="20"/>
    </w:rPr>
  </w:style>
  <w:style w:type="character" w:styleId="PlaceholderText">
    <w:name w:val="Placeholder Text"/>
    <w:basedOn w:val="DefaultParagraphFont"/>
    <w:uiPriority w:val="99"/>
    <w:semiHidden/>
    <w:rsid w:val="00F0619B"/>
    <w:rPr>
      <w:color w:val="808080"/>
    </w:rPr>
  </w:style>
  <w:style w:type="paragraph" w:customStyle="1" w:styleId="RadioButtonBullet">
    <w:name w:val="Radio Button Bullet"/>
    <w:basedOn w:val="ListParagraph"/>
    <w:qFormat/>
    <w:rsid w:val="00D03701"/>
    <w:pPr>
      <w:numPr>
        <w:numId w:val="1"/>
      </w:numPr>
      <w:ind w:left="360"/>
    </w:pPr>
  </w:style>
  <w:style w:type="paragraph" w:customStyle="1" w:styleId="Title-notfirst">
    <w:name w:val="Title - not first"/>
    <w:basedOn w:val="Title"/>
    <w:qFormat/>
    <w:rsid w:val="00D03701"/>
    <w:pPr>
      <w:spacing w:before="60"/>
    </w:pPr>
  </w:style>
  <w:style w:type="paragraph" w:customStyle="1" w:styleId="Figure">
    <w:name w:val="Figure"/>
    <w:basedOn w:val="Normal"/>
    <w:next w:val="Normal"/>
    <w:qFormat/>
    <w:rsid w:val="00D03701"/>
    <w:pPr>
      <w:spacing w:before="0" w:after="0"/>
      <w:jc w:val="center"/>
    </w:pPr>
    <w:rPr>
      <w:noProof/>
    </w:rPr>
  </w:style>
  <w:style w:type="paragraph" w:customStyle="1" w:styleId="FigureCaption">
    <w:name w:val="Figure Caption"/>
    <w:basedOn w:val="Figure"/>
    <w:next w:val="Normal"/>
    <w:qFormat/>
    <w:rsid w:val="00D03701"/>
    <w:pPr>
      <w:numPr>
        <w:numId w:val="2"/>
      </w:numPr>
      <w:spacing w:after="240"/>
      <w:ind w:left="360"/>
    </w:pPr>
    <w:rPr>
      <w:b/>
      <w:i/>
      <w:sz w:val="20"/>
    </w:rPr>
  </w:style>
  <w:style w:type="paragraph" w:customStyle="1" w:styleId="SysNote">
    <w:name w:val="SysNote"/>
    <w:basedOn w:val="Normal"/>
    <w:link w:val="SysNoteChar"/>
    <w:qFormat/>
    <w:rsid w:val="009D3860"/>
    <w:rPr>
      <w:i/>
    </w:rPr>
  </w:style>
  <w:style w:type="character" w:customStyle="1" w:styleId="SysNoteChar">
    <w:name w:val="SysNote Char"/>
    <w:basedOn w:val="DefaultParagraphFont"/>
    <w:link w:val="SysNote"/>
    <w:rsid w:val="009D3860"/>
    <w:rPr>
      <w:i/>
    </w:rPr>
  </w:style>
  <w:style w:type="table" w:customStyle="1" w:styleId="TableGrid1">
    <w:name w:val="Table Grid1"/>
    <w:basedOn w:val="TableNormal"/>
    <w:next w:val="TableGrid"/>
    <w:uiPriority w:val="59"/>
    <w:rsid w:val="007B5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icator-section-title">
    <w:name w:val="indicator-section-title"/>
    <w:basedOn w:val="Normal"/>
    <w:rsid w:val="00D16794"/>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D16794"/>
    <w:pPr>
      <w:spacing w:before="100" w:beforeAutospacing="1" w:after="100" w:afterAutospacing="1"/>
    </w:pPr>
    <w:rPr>
      <w:rFonts w:ascii="Times New Roman" w:eastAsia="Times New Roman" w:hAnsi="Times New Roman" w:cs="Times New Roman"/>
      <w:sz w:val="24"/>
      <w:szCs w:val="24"/>
    </w:rPr>
  </w:style>
  <w:style w:type="paragraph" w:customStyle="1" w:styleId="panel-header">
    <w:name w:val="panel-header"/>
    <w:basedOn w:val="Normal"/>
    <w:rsid w:val="006628E4"/>
    <w:pPr>
      <w:spacing w:before="100" w:beforeAutospacing="1" w:after="100" w:afterAutospacing="1"/>
    </w:pPr>
    <w:rPr>
      <w:rFonts w:ascii="Times New Roman" w:eastAsia="Times New Roman" w:hAnsi="Times New Roman" w:cs="Times New Roman"/>
      <w:sz w:val="24"/>
      <w:szCs w:val="24"/>
    </w:rPr>
  </w:style>
  <w:style w:type="character" w:customStyle="1" w:styleId="panel-sub">
    <w:name w:val="panel-sub"/>
    <w:basedOn w:val="DefaultParagraphFont"/>
    <w:rsid w:val="00F83F88"/>
  </w:style>
  <w:style w:type="paragraph" w:customStyle="1" w:styleId="panel-sub1">
    <w:name w:val="panel-sub1"/>
    <w:basedOn w:val="Normal"/>
    <w:rsid w:val="00F83F88"/>
    <w:pPr>
      <w:spacing w:before="100" w:beforeAutospacing="1" w:after="100" w:afterAutospacing="1"/>
    </w:pPr>
    <w:rPr>
      <w:rFonts w:ascii="Times New Roman" w:eastAsia="Times New Roman" w:hAnsi="Times New Roman" w:cs="Times New Roman"/>
      <w:sz w:val="24"/>
      <w:szCs w:val="24"/>
    </w:rPr>
  </w:style>
  <w:style w:type="paragraph" w:customStyle="1" w:styleId="instruction-heading">
    <w:name w:val="instruction-heading"/>
    <w:basedOn w:val="Normal"/>
    <w:rsid w:val="006F7D1B"/>
    <w:pPr>
      <w:spacing w:before="100" w:beforeAutospacing="1" w:after="100" w:afterAutospacing="1"/>
    </w:pPr>
    <w:rPr>
      <w:rFonts w:ascii="Times New Roman" w:eastAsia="Times New Roman" w:hAnsi="Times New Roman" w:cs="Times New Roman"/>
      <w:sz w:val="24"/>
      <w:szCs w:val="24"/>
    </w:rPr>
  </w:style>
  <w:style w:type="paragraph" w:customStyle="1" w:styleId="Subhed">
    <w:name w:val="Subhed"/>
    <w:basedOn w:val="Normal"/>
    <w:next w:val="Normal"/>
    <w:qFormat/>
    <w:rsid w:val="00042EBF"/>
    <w:pPr>
      <w:keepNext/>
      <w:spacing w:after="0"/>
    </w:pPr>
    <w:rPr>
      <w:rFonts w:cs="Arial"/>
      <w:b/>
      <w:szCs w:val="16"/>
    </w:rPr>
  </w:style>
  <w:style w:type="paragraph" w:customStyle="1" w:styleId="Italic">
    <w:name w:val="Italic"/>
    <w:basedOn w:val="Normal"/>
    <w:next w:val="Normal"/>
    <w:qFormat/>
    <w:rsid w:val="00133698"/>
    <w:pPr>
      <w:keepNext/>
    </w:pPr>
    <w:rPr>
      <w:i/>
    </w:rPr>
  </w:style>
  <w:style w:type="paragraph" w:customStyle="1" w:styleId="Explain">
    <w:name w:val="Explain"/>
    <w:basedOn w:val="Normal"/>
    <w:qFormat/>
    <w:rsid w:val="002A2966"/>
    <w:rPr>
      <w:color w:val="C00000"/>
    </w:rPr>
  </w:style>
  <w:style w:type="paragraph" w:customStyle="1" w:styleId="TableHead">
    <w:name w:val="Table Head"/>
    <w:basedOn w:val="Normal"/>
    <w:qFormat/>
    <w:rsid w:val="00715B7C"/>
    <w:pPr>
      <w:jc w:val="center"/>
    </w:pPr>
    <w:rPr>
      <w:rFonts w:cs="Arial"/>
      <w:b/>
      <w:szCs w:val="16"/>
    </w:rPr>
  </w:style>
  <w:style w:type="paragraph" w:styleId="Revision">
    <w:name w:val="Revision"/>
    <w:hidden/>
    <w:uiPriority w:val="99"/>
    <w:semiHidden/>
    <w:rsid w:val="00D37FA9"/>
    <w:pPr>
      <w:spacing w:after="0" w:line="240" w:lineRule="auto"/>
    </w:pPr>
    <w:rPr>
      <w:rFonts w:ascii="Arial" w:hAnsi="Arial"/>
      <w:sz w:val="18"/>
    </w:rPr>
  </w:style>
  <w:style w:type="paragraph" w:customStyle="1" w:styleId="Bold">
    <w:name w:val="Bold"/>
    <w:basedOn w:val="Normal"/>
    <w:qFormat/>
    <w:rsid w:val="002F1A9A"/>
    <w:pPr>
      <w:keepNext/>
      <w:spacing w:after="0"/>
    </w:pPr>
    <w:rPr>
      <w:b/>
    </w:rPr>
  </w:style>
  <w:style w:type="character" w:styleId="Strong">
    <w:name w:val="Strong"/>
    <w:basedOn w:val="DefaultParagraphFont"/>
    <w:uiPriority w:val="22"/>
    <w:qFormat/>
    <w:rsid w:val="00DC16A4"/>
    <w:rPr>
      <w:b/>
      <w:bCs/>
    </w:rPr>
  </w:style>
  <w:style w:type="character" w:customStyle="1" w:styleId="UnresolvedMention">
    <w:name w:val="Unresolved Mention"/>
    <w:basedOn w:val="DefaultParagraphFont"/>
    <w:uiPriority w:val="99"/>
    <w:semiHidden/>
    <w:unhideWhenUsed/>
    <w:rsid w:val="004F20A4"/>
    <w:rPr>
      <w:color w:val="605E5C"/>
      <w:shd w:val="clear" w:color="auto" w:fill="E1DFDD"/>
    </w:rPr>
  </w:style>
  <w:style w:type="character" w:customStyle="1" w:styleId="Heading4Char">
    <w:name w:val="Heading 4 Char"/>
    <w:basedOn w:val="DefaultParagraphFont"/>
    <w:link w:val="Heading4"/>
    <w:uiPriority w:val="9"/>
    <w:rsid w:val="00E64945"/>
    <w:rPr>
      <w:rFonts w:asciiTheme="majorHAnsi" w:eastAsiaTheme="majorEastAsia" w:hAnsiTheme="majorHAnsi" w:cstheme="majorBidi"/>
      <w:b/>
      <w:iCs/>
      <w:color w:val="365F91" w:themeColor="accent1" w:themeShade="BF"/>
    </w:rPr>
  </w:style>
  <w:style w:type="paragraph" w:customStyle="1" w:styleId="Default">
    <w:name w:val="Default"/>
    <w:rsid w:val="000135C2"/>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RIRequirement">
    <w:name w:val="BRI Requirement"/>
    <w:basedOn w:val="Normal"/>
    <w:qFormat/>
    <w:rsid w:val="000135C2"/>
    <w:pPr>
      <w:ind w:left="360" w:hanging="360"/>
      <w:contextualSpacing/>
    </w:pPr>
  </w:style>
  <w:style w:type="paragraph" w:customStyle="1" w:styleId="CRIRequirement">
    <w:name w:val="CRI Requirement"/>
    <w:basedOn w:val="Normal"/>
    <w:qFormat/>
    <w:rsid w:val="000135C2"/>
    <w:pPr>
      <w:ind w:left="720" w:hanging="720"/>
      <w:contextualSpacing/>
    </w:pPr>
  </w:style>
  <w:style w:type="paragraph" w:customStyle="1" w:styleId="BCIRequirement">
    <w:name w:val="BCI Requirement"/>
    <w:basedOn w:val="Normal"/>
    <w:qFormat/>
    <w:rsid w:val="000135C2"/>
    <w:pPr>
      <w:ind w:left="720" w:hanging="720"/>
      <w:contextualSpacing/>
    </w:pPr>
  </w:style>
  <w:style w:type="paragraph" w:customStyle="1" w:styleId="IndNoteBullet">
    <w:name w:val="Ind Note Bullet"/>
    <w:basedOn w:val="Default"/>
    <w:qFormat/>
    <w:rsid w:val="000135C2"/>
    <w:pPr>
      <w:ind w:left="360" w:hanging="360"/>
    </w:pPr>
    <w:rPr>
      <w:rFonts w:asciiTheme="minorHAnsi" w:hAnsiTheme="minorHAnsi"/>
      <w:color w:val="auto"/>
      <w:sz w:val="20"/>
      <w:szCs w:val="20"/>
    </w:rPr>
  </w:style>
  <w:style w:type="paragraph" w:customStyle="1" w:styleId="Explanation">
    <w:name w:val="Explanation"/>
    <w:basedOn w:val="Normal"/>
    <w:qFormat/>
    <w:rsid w:val="000135C2"/>
    <w:rPr>
      <w:i/>
      <w:color w:val="5F497A" w:themeColor="accent4" w:themeShade="BF"/>
    </w:rPr>
  </w:style>
  <w:style w:type="paragraph" w:customStyle="1" w:styleId="panel-paragraph">
    <w:name w:val="panel-paragraph"/>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NoSpacing">
    <w:name w:val="No Spacing"/>
    <w:uiPriority w:val="1"/>
    <w:qFormat/>
    <w:rsid w:val="000135C2"/>
    <w:pPr>
      <w:spacing w:after="0" w:line="240" w:lineRule="auto"/>
    </w:pPr>
  </w:style>
  <w:style w:type="paragraph" w:customStyle="1" w:styleId="Numbering">
    <w:name w:val="Numbering"/>
    <w:basedOn w:val="Normal"/>
    <w:qFormat/>
    <w:rsid w:val="000135C2"/>
    <w:pPr>
      <w:spacing w:before="0" w:after="0"/>
    </w:pPr>
    <w:rPr>
      <w:rFonts w:eastAsia="Times New Roman" w:cs="Arial"/>
      <w:color w:val="222222"/>
      <w:szCs w:val="16"/>
    </w:rPr>
  </w:style>
  <w:style w:type="character" w:styleId="Emphasis">
    <w:name w:val="Emphasis"/>
    <w:basedOn w:val="DefaultParagraphFont"/>
    <w:uiPriority w:val="20"/>
    <w:qFormat/>
    <w:rsid w:val="000135C2"/>
    <w:rPr>
      <w:i/>
      <w:iCs/>
    </w:rPr>
  </w:style>
  <w:style w:type="paragraph" w:customStyle="1" w:styleId="msonormal0">
    <w:name w:val="msonormal"/>
    <w:basedOn w:val="Normal"/>
    <w:rsid w:val="000135C2"/>
    <w:pPr>
      <w:spacing w:before="100" w:beforeAutospacing="1" w:after="100" w:afterAutospacing="1"/>
    </w:pPr>
    <w:rPr>
      <w:rFonts w:ascii="Times New Roman" w:eastAsia="Times New Roman" w:hAnsi="Times New Roman" w:cs="Times New Roman"/>
      <w:sz w:val="24"/>
      <w:szCs w:val="24"/>
    </w:rPr>
  </w:style>
  <w:style w:type="paragraph" w:styleId="BodyText">
    <w:name w:val="Body Text"/>
    <w:basedOn w:val="Normal"/>
    <w:link w:val="BodyTextChar"/>
    <w:uiPriority w:val="1"/>
    <w:unhideWhenUsed/>
    <w:qFormat/>
    <w:rsid w:val="000135C2"/>
    <w:pPr>
      <w:widowControl w:val="0"/>
      <w:autoSpaceDE w:val="0"/>
      <w:autoSpaceDN w:val="0"/>
      <w:spacing w:before="0" w:after="0"/>
    </w:pPr>
    <w:rPr>
      <w:rFonts w:ascii="Carlito" w:eastAsia="Carlito" w:hAnsi="Carlito" w:cs="Carlito"/>
      <w:sz w:val="22"/>
    </w:rPr>
  </w:style>
  <w:style w:type="character" w:customStyle="1" w:styleId="BodyTextChar">
    <w:name w:val="Body Text Char"/>
    <w:basedOn w:val="DefaultParagraphFont"/>
    <w:link w:val="BodyText"/>
    <w:uiPriority w:val="1"/>
    <w:rsid w:val="000135C2"/>
    <w:rPr>
      <w:rFonts w:ascii="Carlito" w:eastAsia="Carlito" w:hAnsi="Carlito" w:cs="Carlito"/>
    </w:rPr>
  </w:style>
  <w:style w:type="paragraph" w:customStyle="1" w:styleId="TableParagraph">
    <w:name w:val="Table Paragraph"/>
    <w:basedOn w:val="Normal"/>
    <w:uiPriority w:val="1"/>
    <w:qFormat/>
    <w:rsid w:val="000135C2"/>
    <w:pPr>
      <w:widowControl w:val="0"/>
      <w:autoSpaceDE w:val="0"/>
      <w:autoSpaceDN w:val="0"/>
      <w:spacing w:before="29" w:after="0"/>
      <w:ind w:left="101" w:right="100"/>
      <w:jc w:val="center"/>
    </w:pPr>
    <w:rPr>
      <w:rFonts w:ascii="Carlito" w:eastAsia="Carlito" w:hAnsi="Carlito" w:cs="Carlito"/>
      <w:sz w:val="22"/>
    </w:rPr>
  </w:style>
  <w:style w:type="character" w:styleId="FollowedHyperlink">
    <w:name w:val="FollowedHyperlink"/>
    <w:basedOn w:val="DefaultParagraphFont"/>
    <w:uiPriority w:val="99"/>
    <w:semiHidden/>
    <w:unhideWhenUsed/>
    <w:rsid w:val="000135C2"/>
    <w:rPr>
      <w:color w:val="800080"/>
      <w:u w:val="single"/>
    </w:rPr>
  </w:style>
  <w:style w:type="table" w:styleId="LightGrid-Accent1">
    <w:name w:val="Light Grid Accent 1"/>
    <w:basedOn w:val="TableNormal"/>
    <w:uiPriority w:val="62"/>
    <w:rsid w:val="000135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stTable2">
    <w:name w:val="List Table 2"/>
    <w:basedOn w:val="TableNormal"/>
    <w:uiPriority w:val="47"/>
    <w:rsid w:val="000135C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0135C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Accent5">
    <w:name w:val="Grid Table 3 Accent 5"/>
    <w:basedOn w:val="TableNormal"/>
    <w:uiPriority w:val="48"/>
    <w:rsid w:val="000135C2"/>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2-Accent4">
    <w:name w:val="List Table 2 Accent 4"/>
    <w:basedOn w:val="TableNormal"/>
    <w:uiPriority w:val="47"/>
    <w:rsid w:val="002163B7"/>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Heading5Char">
    <w:name w:val="Heading 5 Char"/>
    <w:basedOn w:val="DefaultParagraphFont"/>
    <w:link w:val="Heading5"/>
    <w:uiPriority w:val="9"/>
    <w:semiHidden/>
    <w:rsid w:val="006362E6"/>
    <w:rPr>
      <w:rFonts w:asciiTheme="majorHAnsi" w:eastAsiaTheme="majorEastAsia" w:hAnsiTheme="majorHAnsi" w:cstheme="majorBidi"/>
      <w:color w:val="365F91" w:themeColor="accent1" w:themeShade="BF"/>
    </w:rPr>
  </w:style>
  <w:style w:type="table" w:customStyle="1" w:styleId="TableGrid2">
    <w:name w:val="Table Grid2"/>
    <w:basedOn w:val="TableNormal"/>
    <w:next w:val="TableGrid"/>
    <w:uiPriority w:val="59"/>
    <w:rsid w:val="00D614D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next w:val="LightGrid-Accent1"/>
    <w:uiPriority w:val="62"/>
    <w:semiHidden/>
    <w:unhideWhenUsed/>
    <w:rsid w:val="00D614DB"/>
    <w:pPr>
      <w:spacing w:after="0" w:line="240" w:lineRule="auto"/>
    </w:pPr>
    <w:rPr>
      <w:rFonts w:ascii="Calibri" w:eastAsia="Calibri" w:hAnsi="Calibri" w:cs="Times New Roman"/>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numbering" w:customStyle="1" w:styleId="NoList1">
    <w:name w:val="No List1"/>
    <w:next w:val="NoList"/>
    <w:uiPriority w:val="99"/>
    <w:semiHidden/>
    <w:unhideWhenUsed/>
    <w:rsid w:val="00D614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0274">
      <w:bodyDiv w:val="1"/>
      <w:marLeft w:val="0"/>
      <w:marRight w:val="0"/>
      <w:marTop w:val="0"/>
      <w:marBottom w:val="0"/>
      <w:divBdr>
        <w:top w:val="none" w:sz="0" w:space="0" w:color="auto"/>
        <w:left w:val="none" w:sz="0" w:space="0" w:color="auto"/>
        <w:bottom w:val="none" w:sz="0" w:space="0" w:color="auto"/>
        <w:right w:val="none" w:sz="0" w:space="0" w:color="auto"/>
      </w:divBdr>
    </w:div>
    <w:div w:id="88818912">
      <w:bodyDiv w:val="1"/>
      <w:marLeft w:val="0"/>
      <w:marRight w:val="0"/>
      <w:marTop w:val="0"/>
      <w:marBottom w:val="0"/>
      <w:divBdr>
        <w:top w:val="none" w:sz="0" w:space="0" w:color="auto"/>
        <w:left w:val="none" w:sz="0" w:space="0" w:color="auto"/>
        <w:bottom w:val="none" w:sz="0" w:space="0" w:color="auto"/>
        <w:right w:val="none" w:sz="0" w:space="0" w:color="auto"/>
      </w:divBdr>
    </w:div>
    <w:div w:id="98263081">
      <w:bodyDiv w:val="1"/>
      <w:marLeft w:val="0"/>
      <w:marRight w:val="0"/>
      <w:marTop w:val="0"/>
      <w:marBottom w:val="0"/>
      <w:divBdr>
        <w:top w:val="none" w:sz="0" w:space="0" w:color="auto"/>
        <w:left w:val="none" w:sz="0" w:space="0" w:color="auto"/>
        <w:bottom w:val="none" w:sz="0" w:space="0" w:color="auto"/>
        <w:right w:val="none" w:sz="0" w:space="0" w:color="auto"/>
      </w:divBdr>
    </w:div>
    <w:div w:id="98571529">
      <w:bodyDiv w:val="1"/>
      <w:marLeft w:val="0"/>
      <w:marRight w:val="0"/>
      <w:marTop w:val="0"/>
      <w:marBottom w:val="0"/>
      <w:divBdr>
        <w:top w:val="none" w:sz="0" w:space="0" w:color="auto"/>
        <w:left w:val="none" w:sz="0" w:space="0" w:color="auto"/>
        <w:bottom w:val="none" w:sz="0" w:space="0" w:color="auto"/>
        <w:right w:val="none" w:sz="0" w:space="0" w:color="auto"/>
      </w:divBdr>
    </w:div>
    <w:div w:id="124590139">
      <w:bodyDiv w:val="1"/>
      <w:marLeft w:val="0"/>
      <w:marRight w:val="0"/>
      <w:marTop w:val="0"/>
      <w:marBottom w:val="0"/>
      <w:divBdr>
        <w:top w:val="none" w:sz="0" w:space="0" w:color="auto"/>
        <w:left w:val="none" w:sz="0" w:space="0" w:color="auto"/>
        <w:bottom w:val="none" w:sz="0" w:space="0" w:color="auto"/>
        <w:right w:val="none" w:sz="0" w:space="0" w:color="auto"/>
      </w:divBdr>
    </w:div>
    <w:div w:id="183831830">
      <w:bodyDiv w:val="1"/>
      <w:marLeft w:val="0"/>
      <w:marRight w:val="0"/>
      <w:marTop w:val="0"/>
      <w:marBottom w:val="0"/>
      <w:divBdr>
        <w:top w:val="none" w:sz="0" w:space="0" w:color="auto"/>
        <w:left w:val="none" w:sz="0" w:space="0" w:color="auto"/>
        <w:bottom w:val="none" w:sz="0" w:space="0" w:color="auto"/>
        <w:right w:val="none" w:sz="0" w:space="0" w:color="auto"/>
      </w:divBdr>
    </w:div>
    <w:div w:id="186992083">
      <w:bodyDiv w:val="1"/>
      <w:marLeft w:val="0"/>
      <w:marRight w:val="0"/>
      <w:marTop w:val="0"/>
      <w:marBottom w:val="0"/>
      <w:divBdr>
        <w:top w:val="none" w:sz="0" w:space="0" w:color="auto"/>
        <w:left w:val="none" w:sz="0" w:space="0" w:color="auto"/>
        <w:bottom w:val="none" w:sz="0" w:space="0" w:color="auto"/>
        <w:right w:val="none" w:sz="0" w:space="0" w:color="auto"/>
      </w:divBdr>
    </w:div>
    <w:div w:id="203641106">
      <w:bodyDiv w:val="1"/>
      <w:marLeft w:val="0"/>
      <w:marRight w:val="0"/>
      <w:marTop w:val="0"/>
      <w:marBottom w:val="0"/>
      <w:divBdr>
        <w:top w:val="none" w:sz="0" w:space="0" w:color="auto"/>
        <w:left w:val="none" w:sz="0" w:space="0" w:color="auto"/>
        <w:bottom w:val="none" w:sz="0" w:space="0" w:color="auto"/>
        <w:right w:val="none" w:sz="0" w:space="0" w:color="auto"/>
      </w:divBdr>
    </w:div>
    <w:div w:id="206914686">
      <w:bodyDiv w:val="1"/>
      <w:marLeft w:val="0"/>
      <w:marRight w:val="0"/>
      <w:marTop w:val="0"/>
      <w:marBottom w:val="0"/>
      <w:divBdr>
        <w:top w:val="none" w:sz="0" w:space="0" w:color="auto"/>
        <w:left w:val="none" w:sz="0" w:space="0" w:color="auto"/>
        <w:bottom w:val="none" w:sz="0" w:space="0" w:color="auto"/>
        <w:right w:val="none" w:sz="0" w:space="0" w:color="auto"/>
      </w:divBdr>
    </w:div>
    <w:div w:id="226571660">
      <w:bodyDiv w:val="1"/>
      <w:marLeft w:val="0"/>
      <w:marRight w:val="0"/>
      <w:marTop w:val="0"/>
      <w:marBottom w:val="0"/>
      <w:divBdr>
        <w:top w:val="none" w:sz="0" w:space="0" w:color="auto"/>
        <w:left w:val="none" w:sz="0" w:space="0" w:color="auto"/>
        <w:bottom w:val="none" w:sz="0" w:space="0" w:color="auto"/>
        <w:right w:val="none" w:sz="0" w:space="0" w:color="auto"/>
      </w:divBdr>
      <w:divsChild>
        <w:div w:id="861626775">
          <w:marLeft w:val="0"/>
          <w:marRight w:val="0"/>
          <w:marTop w:val="0"/>
          <w:marBottom w:val="0"/>
          <w:divBdr>
            <w:top w:val="none" w:sz="0" w:space="0" w:color="auto"/>
            <w:left w:val="none" w:sz="0" w:space="0" w:color="auto"/>
            <w:bottom w:val="none" w:sz="0" w:space="0" w:color="auto"/>
            <w:right w:val="none" w:sz="0" w:space="0" w:color="auto"/>
          </w:divBdr>
        </w:div>
      </w:divsChild>
    </w:div>
    <w:div w:id="268126668">
      <w:bodyDiv w:val="1"/>
      <w:marLeft w:val="0"/>
      <w:marRight w:val="0"/>
      <w:marTop w:val="0"/>
      <w:marBottom w:val="0"/>
      <w:divBdr>
        <w:top w:val="none" w:sz="0" w:space="0" w:color="auto"/>
        <w:left w:val="none" w:sz="0" w:space="0" w:color="auto"/>
        <w:bottom w:val="none" w:sz="0" w:space="0" w:color="auto"/>
        <w:right w:val="none" w:sz="0" w:space="0" w:color="auto"/>
      </w:divBdr>
    </w:div>
    <w:div w:id="288322446">
      <w:bodyDiv w:val="1"/>
      <w:marLeft w:val="0"/>
      <w:marRight w:val="0"/>
      <w:marTop w:val="0"/>
      <w:marBottom w:val="0"/>
      <w:divBdr>
        <w:top w:val="none" w:sz="0" w:space="0" w:color="auto"/>
        <w:left w:val="none" w:sz="0" w:space="0" w:color="auto"/>
        <w:bottom w:val="none" w:sz="0" w:space="0" w:color="auto"/>
        <w:right w:val="none" w:sz="0" w:space="0" w:color="auto"/>
      </w:divBdr>
    </w:div>
    <w:div w:id="327099528">
      <w:bodyDiv w:val="1"/>
      <w:marLeft w:val="0"/>
      <w:marRight w:val="0"/>
      <w:marTop w:val="0"/>
      <w:marBottom w:val="0"/>
      <w:divBdr>
        <w:top w:val="none" w:sz="0" w:space="0" w:color="auto"/>
        <w:left w:val="none" w:sz="0" w:space="0" w:color="auto"/>
        <w:bottom w:val="none" w:sz="0" w:space="0" w:color="auto"/>
        <w:right w:val="none" w:sz="0" w:space="0" w:color="auto"/>
      </w:divBdr>
    </w:div>
    <w:div w:id="338386791">
      <w:bodyDiv w:val="1"/>
      <w:marLeft w:val="0"/>
      <w:marRight w:val="0"/>
      <w:marTop w:val="0"/>
      <w:marBottom w:val="0"/>
      <w:divBdr>
        <w:top w:val="none" w:sz="0" w:space="0" w:color="auto"/>
        <w:left w:val="none" w:sz="0" w:space="0" w:color="auto"/>
        <w:bottom w:val="none" w:sz="0" w:space="0" w:color="auto"/>
        <w:right w:val="none" w:sz="0" w:space="0" w:color="auto"/>
      </w:divBdr>
    </w:div>
    <w:div w:id="417095266">
      <w:bodyDiv w:val="1"/>
      <w:marLeft w:val="0"/>
      <w:marRight w:val="0"/>
      <w:marTop w:val="0"/>
      <w:marBottom w:val="0"/>
      <w:divBdr>
        <w:top w:val="none" w:sz="0" w:space="0" w:color="auto"/>
        <w:left w:val="none" w:sz="0" w:space="0" w:color="auto"/>
        <w:bottom w:val="none" w:sz="0" w:space="0" w:color="auto"/>
        <w:right w:val="none" w:sz="0" w:space="0" w:color="auto"/>
      </w:divBdr>
    </w:div>
    <w:div w:id="426732260">
      <w:bodyDiv w:val="1"/>
      <w:marLeft w:val="0"/>
      <w:marRight w:val="0"/>
      <w:marTop w:val="0"/>
      <w:marBottom w:val="0"/>
      <w:divBdr>
        <w:top w:val="none" w:sz="0" w:space="0" w:color="auto"/>
        <w:left w:val="none" w:sz="0" w:space="0" w:color="auto"/>
        <w:bottom w:val="none" w:sz="0" w:space="0" w:color="auto"/>
        <w:right w:val="none" w:sz="0" w:space="0" w:color="auto"/>
      </w:divBdr>
      <w:divsChild>
        <w:div w:id="30155413">
          <w:marLeft w:val="0"/>
          <w:marRight w:val="0"/>
          <w:marTop w:val="0"/>
          <w:marBottom w:val="150"/>
          <w:divBdr>
            <w:top w:val="none" w:sz="0" w:space="0" w:color="auto"/>
            <w:left w:val="none" w:sz="0" w:space="0" w:color="auto"/>
            <w:bottom w:val="none" w:sz="0" w:space="0" w:color="auto"/>
            <w:right w:val="none" w:sz="0" w:space="0" w:color="auto"/>
          </w:divBdr>
        </w:div>
        <w:div w:id="1158839132">
          <w:marLeft w:val="0"/>
          <w:marRight w:val="0"/>
          <w:marTop w:val="0"/>
          <w:marBottom w:val="600"/>
          <w:divBdr>
            <w:top w:val="none" w:sz="0" w:space="0" w:color="auto"/>
            <w:left w:val="none" w:sz="0" w:space="0" w:color="auto"/>
            <w:bottom w:val="none" w:sz="0" w:space="0" w:color="auto"/>
            <w:right w:val="none" w:sz="0" w:space="0" w:color="auto"/>
          </w:divBdr>
        </w:div>
      </w:divsChild>
    </w:div>
    <w:div w:id="479885149">
      <w:bodyDiv w:val="1"/>
      <w:marLeft w:val="0"/>
      <w:marRight w:val="0"/>
      <w:marTop w:val="0"/>
      <w:marBottom w:val="0"/>
      <w:divBdr>
        <w:top w:val="none" w:sz="0" w:space="0" w:color="auto"/>
        <w:left w:val="none" w:sz="0" w:space="0" w:color="auto"/>
        <w:bottom w:val="none" w:sz="0" w:space="0" w:color="auto"/>
        <w:right w:val="none" w:sz="0" w:space="0" w:color="auto"/>
      </w:divBdr>
    </w:div>
    <w:div w:id="516042901">
      <w:bodyDiv w:val="1"/>
      <w:marLeft w:val="0"/>
      <w:marRight w:val="0"/>
      <w:marTop w:val="0"/>
      <w:marBottom w:val="0"/>
      <w:divBdr>
        <w:top w:val="none" w:sz="0" w:space="0" w:color="auto"/>
        <w:left w:val="none" w:sz="0" w:space="0" w:color="auto"/>
        <w:bottom w:val="none" w:sz="0" w:space="0" w:color="auto"/>
        <w:right w:val="none" w:sz="0" w:space="0" w:color="auto"/>
      </w:divBdr>
    </w:div>
    <w:div w:id="516499963">
      <w:bodyDiv w:val="1"/>
      <w:marLeft w:val="0"/>
      <w:marRight w:val="0"/>
      <w:marTop w:val="0"/>
      <w:marBottom w:val="0"/>
      <w:divBdr>
        <w:top w:val="none" w:sz="0" w:space="0" w:color="auto"/>
        <w:left w:val="none" w:sz="0" w:space="0" w:color="auto"/>
        <w:bottom w:val="none" w:sz="0" w:space="0" w:color="auto"/>
        <w:right w:val="none" w:sz="0" w:space="0" w:color="auto"/>
      </w:divBdr>
    </w:div>
    <w:div w:id="539056657">
      <w:bodyDiv w:val="1"/>
      <w:marLeft w:val="0"/>
      <w:marRight w:val="0"/>
      <w:marTop w:val="0"/>
      <w:marBottom w:val="0"/>
      <w:divBdr>
        <w:top w:val="none" w:sz="0" w:space="0" w:color="auto"/>
        <w:left w:val="none" w:sz="0" w:space="0" w:color="auto"/>
        <w:bottom w:val="none" w:sz="0" w:space="0" w:color="auto"/>
        <w:right w:val="none" w:sz="0" w:space="0" w:color="auto"/>
      </w:divBdr>
    </w:div>
    <w:div w:id="547110261">
      <w:bodyDiv w:val="1"/>
      <w:marLeft w:val="0"/>
      <w:marRight w:val="0"/>
      <w:marTop w:val="0"/>
      <w:marBottom w:val="0"/>
      <w:divBdr>
        <w:top w:val="none" w:sz="0" w:space="0" w:color="auto"/>
        <w:left w:val="none" w:sz="0" w:space="0" w:color="auto"/>
        <w:bottom w:val="none" w:sz="0" w:space="0" w:color="auto"/>
        <w:right w:val="none" w:sz="0" w:space="0" w:color="auto"/>
      </w:divBdr>
    </w:div>
    <w:div w:id="607932155">
      <w:bodyDiv w:val="1"/>
      <w:marLeft w:val="0"/>
      <w:marRight w:val="0"/>
      <w:marTop w:val="0"/>
      <w:marBottom w:val="0"/>
      <w:divBdr>
        <w:top w:val="none" w:sz="0" w:space="0" w:color="auto"/>
        <w:left w:val="none" w:sz="0" w:space="0" w:color="auto"/>
        <w:bottom w:val="none" w:sz="0" w:space="0" w:color="auto"/>
        <w:right w:val="none" w:sz="0" w:space="0" w:color="auto"/>
      </w:divBdr>
    </w:div>
    <w:div w:id="642584735">
      <w:bodyDiv w:val="1"/>
      <w:marLeft w:val="0"/>
      <w:marRight w:val="0"/>
      <w:marTop w:val="0"/>
      <w:marBottom w:val="0"/>
      <w:divBdr>
        <w:top w:val="none" w:sz="0" w:space="0" w:color="auto"/>
        <w:left w:val="none" w:sz="0" w:space="0" w:color="auto"/>
        <w:bottom w:val="none" w:sz="0" w:space="0" w:color="auto"/>
        <w:right w:val="none" w:sz="0" w:space="0" w:color="auto"/>
      </w:divBdr>
    </w:div>
    <w:div w:id="654143220">
      <w:bodyDiv w:val="1"/>
      <w:marLeft w:val="0"/>
      <w:marRight w:val="0"/>
      <w:marTop w:val="0"/>
      <w:marBottom w:val="0"/>
      <w:divBdr>
        <w:top w:val="none" w:sz="0" w:space="0" w:color="auto"/>
        <w:left w:val="none" w:sz="0" w:space="0" w:color="auto"/>
        <w:bottom w:val="none" w:sz="0" w:space="0" w:color="auto"/>
        <w:right w:val="none" w:sz="0" w:space="0" w:color="auto"/>
      </w:divBdr>
    </w:div>
    <w:div w:id="732315992">
      <w:bodyDiv w:val="1"/>
      <w:marLeft w:val="0"/>
      <w:marRight w:val="0"/>
      <w:marTop w:val="0"/>
      <w:marBottom w:val="0"/>
      <w:divBdr>
        <w:top w:val="none" w:sz="0" w:space="0" w:color="auto"/>
        <w:left w:val="none" w:sz="0" w:space="0" w:color="auto"/>
        <w:bottom w:val="none" w:sz="0" w:space="0" w:color="auto"/>
        <w:right w:val="none" w:sz="0" w:space="0" w:color="auto"/>
      </w:divBdr>
    </w:div>
    <w:div w:id="776143650">
      <w:bodyDiv w:val="1"/>
      <w:marLeft w:val="0"/>
      <w:marRight w:val="0"/>
      <w:marTop w:val="0"/>
      <w:marBottom w:val="0"/>
      <w:divBdr>
        <w:top w:val="none" w:sz="0" w:space="0" w:color="auto"/>
        <w:left w:val="none" w:sz="0" w:space="0" w:color="auto"/>
        <w:bottom w:val="none" w:sz="0" w:space="0" w:color="auto"/>
        <w:right w:val="none" w:sz="0" w:space="0" w:color="auto"/>
      </w:divBdr>
    </w:div>
    <w:div w:id="812912749">
      <w:bodyDiv w:val="1"/>
      <w:marLeft w:val="0"/>
      <w:marRight w:val="0"/>
      <w:marTop w:val="0"/>
      <w:marBottom w:val="0"/>
      <w:divBdr>
        <w:top w:val="none" w:sz="0" w:space="0" w:color="auto"/>
        <w:left w:val="none" w:sz="0" w:space="0" w:color="auto"/>
        <w:bottom w:val="none" w:sz="0" w:space="0" w:color="auto"/>
        <w:right w:val="none" w:sz="0" w:space="0" w:color="auto"/>
      </w:divBdr>
      <w:divsChild>
        <w:div w:id="1843083726">
          <w:marLeft w:val="0"/>
          <w:marRight w:val="0"/>
          <w:marTop w:val="0"/>
          <w:marBottom w:val="600"/>
          <w:divBdr>
            <w:top w:val="none" w:sz="0" w:space="0" w:color="auto"/>
            <w:left w:val="none" w:sz="0" w:space="0" w:color="auto"/>
            <w:bottom w:val="none" w:sz="0" w:space="0" w:color="auto"/>
            <w:right w:val="none" w:sz="0" w:space="0" w:color="auto"/>
          </w:divBdr>
        </w:div>
        <w:div w:id="1902859793">
          <w:marLeft w:val="0"/>
          <w:marRight w:val="0"/>
          <w:marTop w:val="0"/>
          <w:marBottom w:val="150"/>
          <w:divBdr>
            <w:top w:val="none" w:sz="0" w:space="0" w:color="auto"/>
            <w:left w:val="none" w:sz="0" w:space="0" w:color="auto"/>
            <w:bottom w:val="none" w:sz="0" w:space="0" w:color="auto"/>
            <w:right w:val="none" w:sz="0" w:space="0" w:color="auto"/>
          </w:divBdr>
        </w:div>
      </w:divsChild>
    </w:div>
    <w:div w:id="866287290">
      <w:bodyDiv w:val="1"/>
      <w:marLeft w:val="0"/>
      <w:marRight w:val="0"/>
      <w:marTop w:val="0"/>
      <w:marBottom w:val="0"/>
      <w:divBdr>
        <w:top w:val="none" w:sz="0" w:space="0" w:color="auto"/>
        <w:left w:val="none" w:sz="0" w:space="0" w:color="auto"/>
        <w:bottom w:val="none" w:sz="0" w:space="0" w:color="auto"/>
        <w:right w:val="none" w:sz="0" w:space="0" w:color="auto"/>
      </w:divBdr>
    </w:div>
    <w:div w:id="869494079">
      <w:bodyDiv w:val="1"/>
      <w:marLeft w:val="0"/>
      <w:marRight w:val="0"/>
      <w:marTop w:val="0"/>
      <w:marBottom w:val="0"/>
      <w:divBdr>
        <w:top w:val="none" w:sz="0" w:space="0" w:color="auto"/>
        <w:left w:val="none" w:sz="0" w:space="0" w:color="auto"/>
        <w:bottom w:val="none" w:sz="0" w:space="0" w:color="auto"/>
        <w:right w:val="none" w:sz="0" w:space="0" w:color="auto"/>
      </w:divBdr>
    </w:div>
    <w:div w:id="886331777">
      <w:bodyDiv w:val="1"/>
      <w:marLeft w:val="0"/>
      <w:marRight w:val="0"/>
      <w:marTop w:val="0"/>
      <w:marBottom w:val="0"/>
      <w:divBdr>
        <w:top w:val="none" w:sz="0" w:space="0" w:color="auto"/>
        <w:left w:val="none" w:sz="0" w:space="0" w:color="auto"/>
        <w:bottom w:val="none" w:sz="0" w:space="0" w:color="auto"/>
        <w:right w:val="none" w:sz="0" w:space="0" w:color="auto"/>
      </w:divBdr>
    </w:div>
    <w:div w:id="896237526">
      <w:bodyDiv w:val="1"/>
      <w:marLeft w:val="0"/>
      <w:marRight w:val="0"/>
      <w:marTop w:val="0"/>
      <w:marBottom w:val="0"/>
      <w:divBdr>
        <w:top w:val="none" w:sz="0" w:space="0" w:color="auto"/>
        <w:left w:val="none" w:sz="0" w:space="0" w:color="auto"/>
        <w:bottom w:val="none" w:sz="0" w:space="0" w:color="auto"/>
        <w:right w:val="none" w:sz="0" w:space="0" w:color="auto"/>
      </w:divBdr>
    </w:div>
    <w:div w:id="962266489">
      <w:bodyDiv w:val="1"/>
      <w:marLeft w:val="0"/>
      <w:marRight w:val="0"/>
      <w:marTop w:val="0"/>
      <w:marBottom w:val="0"/>
      <w:divBdr>
        <w:top w:val="none" w:sz="0" w:space="0" w:color="auto"/>
        <w:left w:val="none" w:sz="0" w:space="0" w:color="auto"/>
        <w:bottom w:val="none" w:sz="0" w:space="0" w:color="auto"/>
        <w:right w:val="none" w:sz="0" w:space="0" w:color="auto"/>
      </w:divBdr>
      <w:divsChild>
        <w:div w:id="448202557">
          <w:marLeft w:val="0"/>
          <w:marRight w:val="0"/>
          <w:marTop w:val="0"/>
          <w:marBottom w:val="150"/>
          <w:divBdr>
            <w:top w:val="none" w:sz="0" w:space="0" w:color="auto"/>
            <w:left w:val="none" w:sz="0" w:space="0" w:color="auto"/>
            <w:bottom w:val="none" w:sz="0" w:space="0" w:color="auto"/>
            <w:right w:val="none" w:sz="0" w:space="0" w:color="auto"/>
          </w:divBdr>
        </w:div>
      </w:divsChild>
    </w:div>
    <w:div w:id="979577611">
      <w:bodyDiv w:val="1"/>
      <w:marLeft w:val="0"/>
      <w:marRight w:val="0"/>
      <w:marTop w:val="0"/>
      <w:marBottom w:val="0"/>
      <w:divBdr>
        <w:top w:val="none" w:sz="0" w:space="0" w:color="auto"/>
        <w:left w:val="none" w:sz="0" w:space="0" w:color="auto"/>
        <w:bottom w:val="none" w:sz="0" w:space="0" w:color="auto"/>
        <w:right w:val="none" w:sz="0" w:space="0" w:color="auto"/>
      </w:divBdr>
    </w:div>
    <w:div w:id="1003824234">
      <w:bodyDiv w:val="1"/>
      <w:marLeft w:val="0"/>
      <w:marRight w:val="0"/>
      <w:marTop w:val="0"/>
      <w:marBottom w:val="0"/>
      <w:divBdr>
        <w:top w:val="none" w:sz="0" w:space="0" w:color="auto"/>
        <w:left w:val="none" w:sz="0" w:space="0" w:color="auto"/>
        <w:bottom w:val="none" w:sz="0" w:space="0" w:color="auto"/>
        <w:right w:val="none" w:sz="0" w:space="0" w:color="auto"/>
      </w:divBdr>
    </w:div>
    <w:div w:id="1075739839">
      <w:bodyDiv w:val="1"/>
      <w:marLeft w:val="0"/>
      <w:marRight w:val="0"/>
      <w:marTop w:val="0"/>
      <w:marBottom w:val="0"/>
      <w:divBdr>
        <w:top w:val="none" w:sz="0" w:space="0" w:color="auto"/>
        <w:left w:val="none" w:sz="0" w:space="0" w:color="auto"/>
        <w:bottom w:val="none" w:sz="0" w:space="0" w:color="auto"/>
        <w:right w:val="none" w:sz="0" w:space="0" w:color="auto"/>
      </w:divBdr>
    </w:div>
    <w:div w:id="1076242646">
      <w:bodyDiv w:val="1"/>
      <w:marLeft w:val="0"/>
      <w:marRight w:val="0"/>
      <w:marTop w:val="0"/>
      <w:marBottom w:val="0"/>
      <w:divBdr>
        <w:top w:val="none" w:sz="0" w:space="0" w:color="auto"/>
        <w:left w:val="none" w:sz="0" w:space="0" w:color="auto"/>
        <w:bottom w:val="none" w:sz="0" w:space="0" w:color="auto"/>
        <w:right w:val="none" w:sz="0" w:space="0" w:color="auto"/>
      </w:divBdr>
    </w:div>
    <w:div w:id="1127624638">
      <w:bodyDiv w:val="1"/>
      <w:marLeft w:val="0"/>
      <w:marRight w:val="0"/>
      <w:marTop w:val="0"/>
      <w:marBottom w:val="0"/>
      <w:divBdr>
        <w:top w:val="none" w:sz="0" w:space="0" w:color="auto"/>
        <w:left w:val="none" w:sz="0" w:space="0" w:color="auto"/>
        <w:bottom w:val="none" w:sz="0" w:space="0" w:color="auto"/>
        <w:right w:val="none" w:sz="0" w:space="0" w:color="auto"/>
      </w:divBdr>
    </w:div>
    <w:div w:id="1140920212">
      <w:bodyDiv w:val="1"/>
      <w:marLeft w:val="0"/>
      <w:marRight w:val="0"/>
      <w:marTop w:val="0"/>
      <w:marBottom w:val="0"/>
      <w:divBdr>
        <w:top w:val="none" w:sz="0" w:space="0" w:color="auto"/>
        <w:left w:val="none" w:sz="0" w:space="0" w:color="auto"/>
        <w:bottom w:val="none" w:sz="0" w:space="0" w:color="auto"/>
        <w:right w:val="none" w:sz="0" w:space="0" w:color="auto"/>
      </w:divBdr>
    </w:div>
    <w:div w:id="1151605141">
      <w:bodyDiv w:val="1"/>
      <w:marLeft w:val="0"/>
      <w:marRight w:val="0"/>
      <w:marTop w:val="0"/>
      <w:marBottom w:val="0"/>
      <w:divBdr>
        <w:top w:val="none" w:sz="0" w:space="0" w:color="auto"/>
        <w:left w:val="none" w:sz="0" w:space="0" w:color="auto"/>
        <w:bottom w:val="none" w:sz="0" w:space="0" w:color="auto"/>
        <w:right w:val="none" w:sz="0" w:space="0" w:color="auto"/>
      </w:divBdr>
    </w:div>
    <w:div w:id="1190068465">
      <w:bodyDiv w:val="1"/>
      <w:marLeft w:val="0"/>
      <w:marRight w:val="0"/>
      <w:marTop w:val="0"/>
      <w:marBottom w:val="0"/>
      <w:divBdr>
        <w:top w:val="none" w:sz="0" w:space="0" w:color="auto"/>
        <w:left w:val="none" w:sz="0" w:space="0" w:color="auto"/>
        <w:bottom w:val="none" w:sz="0" w:space="0" w:color="auto"/>
        <w:right w:val="none" w:sz="0" w:space="0" w:color="auto"/>
      </w:divBdr>
    </w:div>
    <w:div w:id="1231577302">
      <w:bodyDiv w:val="1"/>
      <w:marLeft w:val="0"/>
      <w:marRight w:val="0"/>
      <w:marTop w:val="0"/>
      <w:marBottom w:val="0"/>
      <w:divBdr>
        <w:top w:val="none" w:sz="0" w:space="0" w:color="auto"/>
        <w:left w:val="none" w:sz="0" w:space="0" w:color="auto"/>
        <w:bottom w:val="none" w:sz="0" w:space="0" w:color="auto"/>
        <w:right w:val="none" w:sz="0" w:space="0" w:color="auto"/>
      </w:divBdr>
    </w:div>
    <w:div w:id="1238173735">
      <w:bodyDiv w:val="1"/>
      <w:marLeft w:val="0"/>
      <w:marRight w:val="0"/>
      <w:marTop w:val="0"/>
      <w:marBottom w:val="0"/>
      <w:divBdr>
        <w:top w:val="none" w:sz="0" w:space="0" w:color="auto"/>
        <w:left w:val="none" w:sz="0" w:space="0" w:color="auto"/>
        <w:bottom w:val="none" w:sz="0" w:space="0" w:color="auto"/>
        <w:right w:val="none" w:sz="0" w:space="0" w:color="auto"/>
      </w:divBdr>
    </w:div>
    <w:div w:id="1244953311">
      <w:bodyDiv w:val="1"/>
      <w:marLeft w:val="0"/>
      <w:marRight w:val="0"/>
      <w:marTop w:val="0"/>
      <w:marBottom w:val="0"/>
      <w:divBdr>
        <w:top w:val="none" w:sz="0" w:space="0" w:color="auto"/>
        <w:left w:val="none" w:sz="0" w:space="0" w:color="auto"/>
        <w:bottom w:val="none" w:sz="0" w:space="0" w:color="auto"/>
        <w:right w:val="none" w:sz="0" w:space="0" w:color="auto"/>
      </w:divBdr>
      <w:divsChild>
        <w:div w:id="1904562337">
          <w:marLeft w:val="0"/>
          <w:marRight w:val="0"/>
          <w:marTop w:val="0"/>
          <w:marBottom w:val="0"/>
          <w:divBdr>
            <w:top w:val="none" w:sz="0" w:space="0" w:color="auto"/>
            <w:left w:val="none" w:sz="0" w:space="0" w:color="auto"/>
            <w:bottom w:val="none" w:sz="0" w:space="0" w:color="auto"/>
            <w:right w:val="none" w:sz="0" w:space="0" w:color="auto"/>
          </w:divBdr>
        </w:div>
      </w:divsChild>
    </w:div>
    <w:div w:id="1286347974">
      <w:bodyDiv w:val="1"/>
      <w:marLeft w:val="0"/>
      <w:marRight w:val="0"/>
      <w:marTop w:val="0"/>
      <w:marBottom w:val="0"/>
      <w:divBdr>
        <w:top w:val="none" w:sz="0" w:space="0" w:color="auto"/>
        <w:left w:val="none" w:sz="0" w:space="0" w:color="auto"/>
        <w:bottom w:val="none" w:sz="0" w:space="0" w:color="auto"/>
        <w:right w:val="none" w:sz="0" w:space="0" w:color="auto"/>
      </w:divBdr>
    </w:div>
    <w:div w:id="1355882381">
      <w:bodyDiv w:val="1"/>
      <w:marLeft w:val="0"/>
      <w:marRight w:val="0"/>
      <w:marTop w:val="0"/>
      <w:marBottom w:val="0"/>
      <w:divBdr>
        <w:top w:val="none" w:sz="0" w:space="0" w:color="auto"/>
        <w:left w:val="none" w:sz="0" w:space="0" w:color="auto"/>
        <w:bottom w:val="none" w:sz="0" w:space="0" w:color="auto"/>
        <w:right w:val="none" w:sz="0" w:space="0" w:color="auto"/>
      </w:divBdr>
      <w:divsChild>
        <w:div w:id="876351037">
          <w:marLeft w:val="0"/>
          <w:marRight w:val="0"/>
          <w:marTop w:val="0"/>
          <w:marBottom w:val="210"/>
          <w:divBdr>
            <w:top w:val="none" w:sz="0" w:space="0" w:color="auto"/>
            <w:left w:val="none" w:sz="0" w:space="0" w:color="auto"/>
            <w:bottom w:val="none" w:sz="0" w:space="0" w:color="auto"/>
            <w:right w:val="none" w:sz="0" w:space="0" w:color="auto"/>
          </w:divBdr>
        </w:div>
        <w:div w:id="1206214170">
          <w:marLeft w:val="0"/>
          <w:marRight w:val="0"/>
          <w:marTop w:val="0"/>
          <w:marBottom w:val="210"/>
          <w:divBdr>
            <w:top w:val="none" w:sz="0" w:space="0" w:color="auto"/>
            <w:left w:val="none" w:sz="0" w:space="0" w:color="auto"/>
            <w:bottom w:val="none" w:sz="0" w:space="0" w:color="auto"/>
            <w:right w:val="none" w:sz="0" w:space="0" w:color="auto"/>
          </w:divBdr>
        </w:div>
        <w:div w:id="1221749176">
          <w:marLeft w:val="0"/>
          <w:marRight w:val="0"/>
          <w:marTop w:val="0"/>
          <w:marBottom w:val="210"/>
          <w:divBdr>
            <w:top w:val="none" w:sz="0" w:space="0" w:color="auto"/>
            <w:left w:val="none" w:sz="0" w:space="0" w:color="auto"/>
            <w:bottom w:val="none" w:sz="0" w:space="0" w:color="auto"/>
            <w:right w:val="none" w:sz="0" w:space="0" w:color="auto"/>
          </w:divBdr>
        </w:div>
      </w:divsChild>
    </w:div>
    <w:div w:id="1374502971">
      <w:bodyDiv w:val="1"/>
      <w:marLeft w:val="0"/>
      <w:marRight w:val="0"/>
      <w:marTop w:val="0"/>
      <w:marBottom w:val="0"/>
      <w:divBdr>
        <w:top w:val="none" w:sz="0" w:space="0" w:color="auto"/>
        <w:left w:val="none" w:sz="0" w:space="0" w:color="auto"/>
        <w:bottom w:val="none" w:sz="0" w:space="0" w:color="auto"/>
        <w:right w:val="none" w:sz="0" w:space="0" w:color="auto"/>
      </w:divBdr>
    </w:div>
    <w:div w:id="1433623302">
      <w:bodyDiv w:val="1"/>
      <w:marLeft w:val="0"/>
      <w:marRight w:val="0"/>
      <w:marTop w:val="0"/>
      <w:marBottom w:val="0"/>
      <w:divBdr>
        <w:top w:val="none" w:sz="0" w:space="0" w:color="auto"/>
        <w:left w:val="none" w:sz="0" w:space="0" w:color="auto"/>
        <w:bottom w:val="none" w:sz="0" w:space="0" w:color="auto"/>
        <w:right w:val="none" w:sz="0" w:space="0" w:color="auto"/>
      </w:divBdr>
    </w:div>
    <w:div w:id="1451431977">
      <w:bodyDiv w:val="1"/>
      <w:marLeft w:val="0"/>
      <w:marRight w:val="0"/>
      <w:marTop w:val="0"/>
      <w:marBottom w:val="0"/>
      <w:divBdr>
        <w:top w:val="none" w:sz="0" w:space="0" w:color="auto"/>
        <w:left w:val="none" w:sz="0" w:space="0" w:color="auto"/>
        <w:bottom w:val="none" w:sz="0" w:space="0" w:color="auto"/>
        <w:right w:val="none" w:sz="0" w:space="0" w:color="auto"/>
      </w:divBdr>
    </w:div>
    <w:div w:id="1485050864">
      <w:bodyDiv w:val="1"/>
      <w:marLeft w:val="0"/>
      <w:marRight w:val="0"/>
      <w:marTop w:val="0"/>
      <w:marBottom w:val="0"/>
      <w:divBdr>
        <w:top w:val="none" w:sz="0" w:space="0" w:color="auto"/>
        <w:left w:val="none" w:sz="0" w:space="0" w:color="auto"/>
        <w:bottom w:val="none" w:sz="0" w:space="0" w:color="auto"/>
        <w:right w:val="none" w:sz="0" w:space="0" w:color="auto"/>
      </w:divBdr>
    </w:div>
    <w:div w:id="1498156103">
      <w:bodyDiv w:val="1"/>
      <w:marLeft w:val="0"/>
      <w:marRight w:val="0"/>
      <w:marTop w:val="0"/>
      <w:marBottom w:val="0"/>
      <w:divBdr>
        <w:top w:val="none" w:sz="0" w:space="0" w:color="auto"/>
        <w:left w:val="none" w:sz="0" w:space="0" w:color="auto"/>
        <w:bottom w:val="none" w:sz="0" w:space="0" w:color="auto"/>
        <w:right w:val="none" w:sz="0" w:space="0" w:color="auto"/>
      </w:divBdr>
    </w:div>
    <w:div w:id="1508136820">
      <w:bodyDiv w:val="1"/>
      <w:marLeft w:val="0"/>
      <w:marRight w:val="0"/>
      <w:marTop w:val="0"/>
      <w:marBottom w:val="0"/>
      <w:divBdr>
        <w:top w:val="none" w:sz="0" w:space="0" w:color="auto"/>
        <w:left w:val="none" w:sz="0" w:space="0" w:color="auto"/>
        <w:bottom w:val="none" w:sz="0" w:space="0" w:color="auto"/>
        <w:right w:val="none" w:sz="0" w:space="0" w:color="auto"/>
      </w:divBdr>
    </w:div>
    <w:div w:id="1520924405">
      <w:bodyDiv w:val="1"/>
      <w:marLeft w:val="0"/>
      <w:marRight w:val="0"/>
      <w:marTop w:val="0"/>
      <w:marBottom w:val="0"/>
      <w:divBdr>
        <w:top w:val="none" w:sz="0" w:space="0" w:color="auto"/>
        <w:left w:val="none" w:sz="0" w:space="0" w:color="auto"/>
        <w:bottom w:val="none" w:sz="0" w:space="0" w:color="auto"/>
        <w:right w:val="none" w:sz="0" w:space="0" w:color="auto"/>
      </w:divBdr>
    </w:div>
    <w:div w:id="1546872785">
      <w:bodyDiv w:val="1"/>
      <w:marLeft w:val="0"/>
      <w:marRight w:val="0"/>
      <w:marTop w:val="0"/>
      <w:marBottom w:val="0"/>
      <w:divBdr>
        <w:top w:val="none" w:sz="0" w:space="0" w:color="auto"/>
        <w:left w:val="none" w:sz="0" w:space="0" w:color="auto"/>
        <w:bottom w:val="none" w:sz="0" w:space="0" w:color="auto"/>
        <w:right w:val="none" w:sz="0" w:space="0" w:color="auto"/>
      </w:divBdr>
    </w:div>
    <w:div w:id="1562248215">
      <w:bodyDiv w:val="1"/>
      <w:marLeft w:val="0"/>
      <w:marRight w:val="0"/>
      <w:marTop w:val="0"/>
      <w:marBottom w:val="0"/>
      <w:divBdr>
        <w:top w:val="none" w:sz="0" w:space="0" w:color="auto"/>
        <w:left w:val="none" w:sz="0" w:space="0" w:color="auto"/>
        <w:bottom w:val="none" w:sz="0" w:space="0" w:color="auto"/>
        <w:right w:val="none" w:sz="0" w:space="0" w:color="auto"/>
      </w:divBdr>
    </w:div>
    <w:div w:id="1596665078">
      <w:bodyDiv w:val="1"/>
      <w:marLeft w:val="0"/>
      <w:marRight w:val="0"/>
      <w:marTop w:val="0"/>
      <w:marBottom w:val="0"/>
      <w:divBdr>
        <w:top w:val="none" w:sz="0" w:space="0" w:color="auto"/>
        <w:left w:val="none" w:sz="0" w:space="0" w:color="auto"/>
        <w:bottom w:val="none" w:sz="0" w:space="0" w:color="auto"/>
        <w:right w:val="none" w:sz="0" w:space="0" w:color="auto"/>
      </w:divBdr>
      <w:divsChild>
        <w:div w:id="49809430">
          <w:marLeft w:val="0"/>
          <w:marRight w:val="0"/>
          <w:marTop w:val="0"/>
          <w:marBottom w:val="150"/>
          <w:divBdr>
            <w:top w:val="none" w:sz="0" w:space="0" w:color="auto"/>
            <w:left w:val="none" w:sz="0" w:space="0" w:color="auto"/>
            <w:bottom w:val="none" w:sz="0" w:space="0" w:color="auto"/>
            <w:right w:val="none" w:sz="0" w:space="0" w:color="auto"/>
          </w:divBdr>
        </w:div>
        <w:div w:id="1073704373">
          <w:marLeft w:val="0"/>
          <w:marRight w:val="0"/>
          <w:marTop w:val="0"/>
          <w:marBottom w:val="600"/>
          <w:divBdr>
            <w:top w:val="none" w:sz="0" w:space="0" w:color="auto"/>
            <w:left w:val="none" w:sz="0" w:space="0" w:color="auto"/>
            <w:bottom w:val="none" w:sz="0" w:space="0" w:color="auto"/>
            <w:right w:val="none" w:sz="0" w:space="0" w:color="auto"/>
          </w:divBdr>
        </w:div>
      </w:divsChild>
    </w:div>
    <w:div w:id="1626766259">
      <w:bodyDiv w:val="1"/>
      <w:marLeft w:val="0"/>
      <w:marRight w:val="0"/>
      <w:marTop w:val="0"/>
      <w:marBottom w:val="0"/>
      <w:divBdr>
        <w:top w:val="none" w:sz="0" w:space="0" w:color="auto"/>
        <w:left w:val="none" w:sz="0" w:space="0" w:color="auto"/>
        <w:bottom w:val="none" w:sz="0" w:space="0" w:color="auto"/>
        <w:right w:val="none" w:sz="0" w:space="0" w:color="auto"/>
      </w:divBdr>
    </w:div>
    <w:div w:id="1670668868">
      <w:bodyDiv w:val="1"/>
      <w:marLeft w:val="0"/>
      <w:marRight w:val="0"/>
      <w:marTop w:val="0"/>
      <w:marBottom w:val="0"/>
      <w:divBdr>
        <w:top w:val="none" w:sz="0" w:space="0" w:color="auto"/>
        <w:left w:val="none" w:sz="0" w:space="0" w:color="auto"/>
        <w:bottom w:val="none" w:sz="0" w:space="0" w:color="auto"/>
        <w:right w:val="none" w:sz="0" w:space="0" w:color="auto"/>
      </w:divBdr>
    </w:div>
    <w:div w:id="1685551984">
      <w:bodyDiv w:val="1"/>
      <w:marLeft w:val="0"/>
      <w:marRight w:val="0"/>
      <w:marTop w:val="0"/>
      <w:marBottom w:val="0"/>
      <w:divBdr>
        <w:top w:val="none" w:sz="0" w:space="0" w:color="auto"/>
        <w:left w:val="none" w:sz="0" w:space="0" w:color="auto"/>
        <w:bottom w:val="none" w:sz="0" w:space="0" w:color="auto"/>
        <w:right w:val="none" w:sz="0" w:space="0" w:color="auto"/>
      </w:divBdr>
    </w:div>
    <w:div w:id="1690374350">
      <w:bodyDiv w:val="1"/>
      <w:marLeft w:val="0"/>
      <w:marRight w:val="0"/>
      <w:marTop w:val="0"/>
      <w:marBottom w:val="0"/>
      <w:divBdr>
        <w:top w:val="none" w:sz="0" w:space="0" w:color="auto"/>
        <w:left w:val="none" w:sz="0" w:space="0" w:color="auto"/>
        <w:bottom w:val="none" w:sz="0" w:space="0" w:color="auto"/>
        <w:right w:val="none" w:sz="0" w:space="0" w:color="auto"/>
      </w:divBdr>
    </w:div>
    <w:div w:id="1722250086">
      <w:bodyDiv w:val="1"/>
      <w:marLeft w:val="0"/>
      <w:marRight w:val="0"/>
      <w:marTop w:val="0"/>
      <w:marBottom w:val="0"/>
      <w:divBdr>
        <w:top w:val="none" w:sz="0" w:space="0" w:color="auto"/>
        <w:left w:val="none" w:sz="0" w:space="0" w:color="auto"/>
        <w:bottom w:val="none" w:sz="0" w:space="0" w:color="auto"/>
        <w:right w:val="none" w:sz="0" w:space="0" w:color="auto"/>
      </w:divBdr>
    </w:div>
    <w:div w:id="1725182586">
      <w:bodyDiv w:val="1"/>
      <w:marLeft w:val="0"/>
      <w:marRight w:val="0"/>
      <w:marTop w:val="0"/>
      <w:marBottom w:val="0"/>
      <w:divBdr>
        <w:top w:val="none" w:sz="0" w:space="0" w:color="auto"/>
        <w:left w:val="none" w:sz="0" w:space="0" w:color="auto"/>
        <w:bottom w:val="none" w:sz="0" w:space="0" w:color="auto"/>
        <w:right w:val="none" w:sz="0" w:space="0" w:color="auto"/>
      </w:divBdr>
      <w:divsChild>
        <w:div w:id="177237439">
          <w:marLeft w:val="0"/>
          <w:marRight w:val="0"/>
          <w:marTop w:val="0"/>
          <w:marBottom w:val="150"/>
          <w:divBdr>
            <w:top w:val="none" w:sz="0" w:space="0" w:color="auto"/>
            <w:left w:val="none" w:sz="0" w:space="0" w:color="auto"/>
            <w:bottom w:val="none" w:sz="0" w:space="0" w:color="auto"/>
            <w:right w:val="none" w:sz="0" w:space="0" w:color="auto"/>
          </w:divBdr>
        </w:div>
      </w:divsChild>
    </w:div>
    <w:div w:id="1746997996">
      <w:bodyDiv w:val="1"/>
      <w:marLeft w:val="0"/>
      <w:marRight w:val="0"/>
      <w:marTop w:val="0"/>
      <w:marBottom w:val="0"/>
      <w:divBdr>
        <w:top w:val="none" w:sz="0" w:space="0" w:color="auto"/>
        <w:left w:val="none" w:sz="0" w:space="0" w:color="auto"/>
        <w:bottom w:val="none" w:sz="0" w:space="0" w:color="auto"/>
        <w:right w:val="none" w:sz="0" w:space="0" w:color="auto"/>
      </w:divBdr>
    </w:div>
    <w:div w:id="1749421515">
      <w:bodyDiv w:val="1"/>
      <w:marLeft w:val="0"/>
      <w:marRight w:val="0"/>
      <w:marTop w:val="0"/>
      <w:marBottom w:val="0"/>
      <w:divBdr>
        <w:top w:val="none" w:sz="0" w:space="0" w:color="auto"/>
        <w:left w:val="none" w:sz="0" w:space="0" w:color="auto"/>
        <w:bottom w:val="none" w:sz="0" w:space="0" w:color="auto"/>
        <w:right w:val="none" w:sz="0" w:space="0" w:color="auto"/>
      </w:divBdr>
    </w:div>
    <w:div w:id="1789425249">
      <w:bodyDiv w:val="1"/>
      <w:marLeft w:val="0"/>
      <w:marRight w:val="0"/>
      <w:marTop w:val="0"/>
      <w:marBottom w:val="0"/>
      <w:divBdr>
        <w:top w:val="none" w:sz="0" w:space="0" w:color="auto"/>
        <w:left w:val="none" w:sz="0" w:space="0" w:color="auto"/>
        <w:bottom w:val="none" w:sz="0" w:space="0" w:color="auto"/>
        <w:right w:val="none" w:sz="0" w:space="0" w:color="auto"/>
      </w:divBdr>
    </w:div>
    <w:div w:id="1806971353">
      <w:bodyDiv w:val="1"/>
      <w:marLeft w:val="0"/>
      <w:marRight w:val="0"/>
      <w:marTop w:val="0"/>
      <w:marBottom w:val="0"/>
      <w:divBdr>
        <w:top w:val="none" w:sz="0" w:space="0" w:color="auto"/>
        <w:left w:val="none" w:sz="0" w:space="0" w:color="auto"/>
        <w:bottom w:val="none" w:sz="0" w:space="0" w:color="auto"/>
        <w:right w:val="none" w:sz="0" w:space="0" w:color="auto"/>
      </w:divBdr>
      <w:divsChild>
        <w:div w:id="892541046">
          <w:marLeft w:val="0"/>
          <w:marRight w:val="0"/>
          <w:marTop w:val="0"/>
          <w:marBottom w:val="600"/>
          <w:divBdr>
            <w:top w:val="none" w:sz="0" w:space="0" w:color="auto"/>
            <w:left w:val="none" w:sz="0" w:space="0" w:color="auto"/>
            <w:bottom w:val="none" w:sz="0" w:space="0" w:color="auto"/>
            <w:right w:val="none" w:sz="0" w:space="0" w:color="auto"/>
          </w:divBdr>
        </w:div>
        <w:div w:id="1319000959">
          <w:marLeft w:val="0"/>
          <w:marRight w:val="0"/>
          <w:marTop w:val="0"/>
          <w:marBottom w:val="150"/>
          <w:divBdr>
            <w:top w:val="none" w:sz="0" w:space="0" w:color="auto"/>
            <w:left w:val="none" w:sz="0" w:space="0" w:color="auto"/>
            <w:bottom w:val="none" w:sz="0" w:space="0" w:color="auto"/>
            <w:right w:val="none" w:sz="0" w:space="0" w:color="auto"/>
          </w:divBdr>
        </w:div>
      </w:divsChild>
    </w:div>
    <w:div w:id="1872575532">
      <w:bodyDiv w:val="1"/>
      <w:marLeft w:val="0"/>
      <w:marRight w:val="0"/>
      <w:marTop w:val="0"/>
      <w:marBottom w:val="0"/>
      <w:divBdr>
        <w:top w:val="none" w:sz="0" w:space="0" w:color="auto"/>
        <w:left w:val="none" w:sz="0" w:space="0" w:color="auto"/>
        <w:bottom w:val="none" w:sz="0" w:space="0" w:color="auto"/>
        <w:right w:val="none" w:sz="0" w:space="0" w:color="auto"/>
      </w:divBdr>
    </w:div>
    <w:div w:id="1918243971">
      <w:bodyDiv w:val="1"/>
      <w:marLeft w:val="0"/>
      <w:marRight w:val="0"/>
      <w:marTop w:val="0"/>
      <w:marBottom w:val="0"/>
      <w:divBdr>
        <w:top w:val="none" w:sz="0" w:space="0" w:color="auto"/>
        <w:left w:val="none" w:sz="0" w:space="0" w:color="auto"/>
        <w:bottom w:val="none" w:sz="0" w:space="0" w:color="auto"/>
        <w:right w:val="none" w:sz="0" w:space="0" w:color="auto"/>
      </w:divBdr>
      <w:divsChild>
        <w:div w:id="392585356">
          <w:marLeft w:val="0"/>
          <w:marRight w:val="0"/>
          <w:marTop w:val="0"/>
          <w:marBottom w:val="600"/>
          <w:divBdr>
            <w:top w:val="none" w:sz="0" w:space="0" w:color="auto"/>
            <w:left w:val="none" w:sz="0" w:space="0" w:color="auto"/>
            <w:bottom w:val="none" w:sz="0" w:space="0" w:color="auto"/>
            <w:right w:val="none" w:sz="0" w:space="0" w:color="auto"/>
          </w:divBdr>
        </w:div>
        <w:div w:id="2110004687">
          <w:marLeft w:val="0"/>
          <w:marRight w:val="0"/>
          <w:marTop w:val="0"/>
          <w:marBottom w:val="150"/>
          <w:divBdr>
            <w:top w:val="none" w:sz="0" w:space="0" w:color="auto"/>
            <w:left w:val="none" w:sz="0" w:space="0" w:color="auto"/>
            <w:bottom w:val="none" w:sz="0" w:space="0" w:color="auto"/>
            <w:right w:val="none" w:sz="0" w:space="0" w:color="auto"/>
          </w:divBdr>
        </w:div>
      </w:divsChild>
    </w:div>
    <w:div w:id="1951888240">
      <w:bodyDiv w:val="1"/>
      <w:marLeft w:val="0"/>
      <w:marRight w:val="0"/>
      <w:marTop w:val="0"/>
      <w:marBottom w:val="0"/>
      <w:divBdr>
        <w:top w:val="none" w:sz="0" w:space="0" w:color="auto"/>
        <w:left w:val="none" w:sz="0" w:space="0" w:color="auto"/>
        <w:bottom w:val="none" w:sz="0" w:space="0" w:color="auto"/>
        <w:right w:val="none" w:sz="0" w:space="0" w:color="auto"/>
      </w:divBdr>
    </w:div>
    <w:div w:id="1977644359">
      <w:bodyDiv w:val="1"/>
      <w:marLeft w:val="0"/>
      <w:marRight w:val="0"/>
      <w:marTop w:val="0"/>
      <w:marBottom w:val="0"/>
      <w:divBdr>
        <w:top w:val="none" w:sz="0" w:space="0" w:color="auto"/>
        <w:left w:val="none" w:sz="0" w:space="0" w:color="auto"/>
        <w:bottom w:val="none" w:sz="0" w:space="0" w:color="auto"/>
        <w:right w:val="none" w:sz="0" w:space="0" w:color="auto"/>
      </w:divBdr>
    </w:div>
    <w:div w:id="2000767799">
      <w:bodyDiv w:val="1"/>
      <w:marLeft w:val="0"/>
      <w:marRight w:val="0"/>
      <w:marTop w:val="0"/>
      <w:marBottom w:val="0"/>
      <w:divBdr>
        <w:top w:val="none" w:sz="0" w:space="0" w:color="auto"/>
        <w:left w:val="none" w:sz="0" w:space="0" w:color="auto"/>
        <w:bottom w:val="none" w:sz="0" w:space="0" w:color="auto"/>
        <w:right w:val="none" w:sz="0" w:space="0" w:color="auto"/>
      </w:divBdr>
    </w:div>
    <w:div w:id="2021006887">
      <w:bodyDiv w:val="1"/>
      <w:marLeft w:val="0"/>
      <w:marRight w:val="0"/>
      <w:marTop w:val="0"/>
      <w:marBottom w:val="0"/>
      <w:divBdr>
        <w:top w:val="none" w:sz="0" w:space="0" w:color="auto"/>
        <w:left w:val="none" w:sz="0" w:space="0" w:color="auto"/>
        <w:bottom w:val="none" w:sz="0" w:space="0" w:color="auto"/>
        <w:right w:val="none" w:sz="0" w:space="0" w:color="auto"/>
      </w:divBdr>
      <w:divsChild>
        <w:div w:id="91439345">
          <w:marLeft w:val="0"/>
          <w:marRight w:val="0"/>
          <w:marTop w:val="0"/>
          <w:marBottom w:val="600"/>
          <w:divBdr>
            <w:top w:val="none" w:sz="0" w:space="0" w:color="auto"/>
            <w:left w:val="none" w:sz="0" w:space="0" w:color="auto"/>
            <w:bottom w:val="none" w:sz="0" w:space="0" w:color="auto"/>
            <w:right w:val="none" w:sz="0" w:space="0" w:color="auto"/>
          </w:divBdr>
        </w:div>
        <w:div w:id="790586685">
          <w:marLeft w:val="0"/>
          <w:marRight w:val="0"/>
          <w:marTop w:val="0"/>
          <w:marBottom w:val="150"/>
          <w:divBdr>
            <w:top w:val="none" w:sz="0" w:space="0" w:color="auto"/>
            <w:left w:val="none" w:sz="0" w:space="0" w:color="auto"/>
            <w:bottom w:val="none" w:sz="0" w:space="0" w:color="auto"/>
            <w:right w:val="none" w:sz="0" w:space="0" w:color="auto"/>
          </w:divBdr>
        </w:div>
      </w:divsChild>
    </w:div>
    <w:div w:id="2041005922">
      <w:bodyDiv w:val="1"/>
      <w:marLeft w:val="0"/>
      <w:marRight w:val="0"/>
      <w:marTop w:val="0"/>
      <w:marBottom w:val="0"/>
      <w:divBdr>
        <w:top w:val="none" w:sz="0" w:space="0" w:color="auto"/>
        <w:left w:val="none" w:sz="0" w:space="0" w:color="auto"/>
        <w:bottom w:val="none" w:sz="0" w:space="0" w:color="auto"/>
        <w:right w:val="none" w:sz="0" w:space="0" w:color="auto"/>
      </w:divBdr>
    </w:div>
    <w:div w:id="2076080054">
      <w:bodyDiv w:val="1"/>
      <w:marLeft w:val="0"/>
      <w:marRight w:val="0"/>
      <w:marTop w:val="0"/>
      <w:marBottom w:val="0"/>
      <w:divBdr>
        <w:top w:val="none" w:sz="0" w:space="0" w:color="auto"/>
        <w:left w:val="none" w:sz="0" w:space="0" w:color="auto"/>
        <w:bottom w:val="none" w:sz="0" w:space="0" w:color="auto"/>
        <w:right w:val="none" w:sz="0" w:space="0" w:color="auto"/>
      </w:divBdr>
    </w:div>
    <w:div w:id="2098402620">
      <w:bodyDiv w:val="1"/>
      <w:marLeft w:val="0"/>
      <w:marRight w:val="0"/>
      <w:marTop w:val="0"/>
      <w:marBottom w:val="0"/>
      <w:divBdr>
        <w:top w:val="none" w:sz="0" w:space="0" w:color="auto"/>
        <w:left w:val="none" w:sz="0" w:space="0" w:color="auto"/>
        <w:bottom w:val="none" w:sz="0" w:space="0" w:color="auto"/>
        <w:right w:val="none" w:sz="0" w:space="0" w:color="auto"/>
      </w:divBdr>
      <w:divsChild>
        <w:div w:id="289634185">
          <w:marLeft w:val="0"/>
          <w:marRight w:val="0"/>
          <w:marTop w:val="0"/>
          <w:marBottom w:val="600"/>
          <w:divBdr>
            <w:top w:val="none" w:sz="0" w:space="0" w:color="auto"/>
            <w:left w:val="none" w:sz="0" w:space="0" w:color="auto"/>
            <w:bottom w:val="none" w:sz="0" w:space="0" w:color="auto"/>
            <w:right w:val="none" w:sz="0" w:space="0" w:color="auto"/>
          </w:divBdr>
        </w:div>
        <w:div w:id="350379008">
          <w:marLeft w:val="0"/>
          <w:marRight w:val="0"/>
          <w:marTop w:val="0"/>
          <w:marBottom w:val="150"/>
          <w:divBdr>
            <w:top w:val="none" w:sz="0" w:space="0" w:color="auto"/>
            <w:left w:val="none" w:sz="0" w:space="0" w:color="auto"/>
            <w:bottom w:val="none" w:sz="0" w:space="0" w:color="auto"/>
            <w:right w:val="none" w:sz="0" w:space="0" w:color="auto"/>
          </w:divBdr>
        </w:div>
        <w:div w:id="682510119">
          <w:marLeft w:val="0"/>
          <w:marRight w:val="0"/>
          <w:marTop w:val="0"/>
          <w:marBottom w:val="150"/>
          <w:divBdr>
            <w:top w:val="none" w:sz="0" w:space="0" w:color="auto"/>
            <w:left w:val="none" w:sz="0" w:space="0" w:color="auto"/>
            <w:bottom w:val="none" w:sz="0" w:space="0" w:color="auto"/>
            <w:right w:val="none" w:sz="0" w:space="0" w:color="auto"/>
          </w:divBdr>
        </w:div>
        <w:div w:id="1363822401">
          <w:marLeft w:val="0"/>
          <w:marRight w:val="0"/>
          <w:marTop w:val="0"/>
          <w:marBottom w:val="600"/>
          <w:divBdr>
            <w:top w:val="none" w:sz="0" w:space="0" w:color="auto"/>
            <w:left w:val="none" w:sz="0" w:space="0" w:color="auto"/>
            <w:bottom w:val="none" w:sz="0" w:space="0" w:color="auto"/>
            <w:right w:val="none" w:sz="0" w:space="0" w:color="auto"/>
          </w:divBdr>
        </w:div>
      </w:divsChild>
    </w:div>
    <w:div w:id="212935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2.wmf" Type="http://schemas.openxmlformats.org/officeDocument/2006/relationships/image"/><Relationship Id="rId12" Target="footer1.xml" Type="http://schemas.openxmlformats.org/officeDocument/2006/relationships/footer"/><Relationship Id="rId13" Target="https://www2.ed.gov/about/inits/ed/edfacts/index.html" TargetMode="External" Type="http://schemas.openxmlformats.org/officeDocument/2006/relationships/hyperlink"/><Relationship Id="rId14" Target="https://nam10.safelinks.protection.outlook.com/?url=https%3A%2F%2Fsites.ed.gov%2Fidea%2Fhow-the-department-made-determinations%2F&amp;data=05%7C01%7Cdan.royal%40aemcorp.com%7C56561a053eed4e4dffea08db4cd0ea7f%7C7a41925ef6974f7cbec30470887ac752%7C0%7C0%7C638188232405320922%7CUnknown%7CTWFpbGZsb3d8eyJWIjoiMC4wLjAwMDAiLCJQIjoiV2luMzIiLCJBTiI6Ik1haWwiLCJXVCI6Mn0%3D%7C3000%7C%7C%7C&amp;sdata=REJfNg%2BRs0Gk73rS2KzO2SIVRCUhHLglGd6vbm9wEwc%3D&amp;reserved=0" TargetMode="External" Type="http://schemas.openxmlformats.org/officeDocument/2006/relationships/hyperlink"/><Relationship Id="rId15" Target="footer2.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18" Target="commentsExtensible.xml" Type="http://schemas.microsoft.com/office/2018/08/relationships/commentsExtensible"/><Relationship Id="rId19" Target="commentsIds.xml" Type="http://schemas.microsoft.com/office/2016/09/relationships/commentsIds"/><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footnotes.xml.rels><?xml version="1.0" encoding="UTF-8" standalone="no"?><Relationships xmlns="http://schemas.openxmlformats.org/package/2006/relationships"><Relationship Id="rId1" Target="https://sites.ed.gov/idea/files/2023_Part-C_SPP-APR_Measurement_Table.pdf" TargetMode="External" Type="http://schemas.openxmlformats.org/officeDocument/2006/relationships/hyperlink"/></Relationships>
</file>

<file path=word/_rels/numbering.xml.rels><?xml version="1.0" encoding="UTF-8" standalone="no"?><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outingTargetFolder xmlns="http://schemas.microsoft.com/sharepoint/v3" xsi:nil="true"/>
    <Document_x0020_Purpose xmlns="292db1e8-b3d0-4356-8ef3-2a6d7ed77883" xsi:nil="true"/>
    <TaxCatchAll xmlns="4f36bac4-6705-4a36-974b-7c07450fedf2" xsi:nil="true"/>
    <lcf76f155ced4ddcb4097134ff3c332f xmlns="292db1e8-b3d0-4356-8ef3-2a6d7ed77883">
      <Terms xmlns="http://schemas.microsoft.com/office/infopath/2007/PartnerControls"/>
    </lcf76f155ced4ddcb4097134ff3c332f>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721A7242F9CD49BD1E05495CEFC5E9" ma:contentTypeVersion="37" ma:contentTypeDescription="Create a new document." ma:contentTypeScope="" ma:versionID="fa7d77bff97a508f6e9412c456c70e26">
  <xsd:schema xmlns:xsd="http://www.w3.org/2001/XMLSchema" xmlns:xs="http://www.w3.org/2001/XMLSchema" xmlns:p="http://schemas.microsoft.com/office/2006/metadata/properties" xmlns:ns1="http://schemas.microsoft.com/sharepoint/v3" xmlns:ns2="292db1e8-b3d0-4356-8ef3-2a6d7ed77883" xmlns:ns3="4f36bac4-6705-4a36-974b-7c07450fedf2" targetNamespace="http://schemas.microsoft.com/office/2006/metadata/properties" ma:root="true" ma:fieldsID="c21734876ac1b5cb3b8ed04ca5d7a1a9" ns1:_="" ns2:_="" ns3:_="">
    <xsd:import namespace="http://schemas.microsoft.com/sharepoint/v3"/>
    <xsd:import namespace="292db1e8-b3d0-4356-8ef3-2a6d7ed77883"/>
    <xsd:import namespace="4f36bac4-6705-4a36-974b-7c07450fedf2"/>
    <xsd:element name="properties">
      <xsd:complexType>
        <xsd:sequence>
          <xsd:element name="documentManagement">
            <xsd:complexType>
              <xsd:all>
                <xsd:element ref="ns1:PublishingStartDate" minOccurs="0"/>
                <xsd:element ref="ns1:PublishingExpirationDate" minOccurs="0"/>
                <xsd:element ref="ns1:RoutingTargetFolder" minOccurs="0"/>
                <xsd:element ref="ns2:Document_x0020_Purpos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RoutingTargetFolder" ma:index="6" nillable="true" ma:displayName="Target Folder" ma:description="" ma:hidden="true" ma:internalName="RoutingTargetFolder" ma:readOnly="false">
      <xsd:simpleType>
        <xsd:restriction base="dms:Text">
          <xsd:maxLength value="255"/>
        </xsd:restriction>
      </xsd:simpleType>
    </xsd:element>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db1e8-b3d0-4356-8ef3-2a6d7ed77883" elementFormDefault="qualified">
    <xsd:import namespace="http://schemas.microsoft.com/office/2006/documentManagement/types"/>
    <xsd:import namespace="http://schemas.microsoft.com/office/infopath/2007/PartnerControls"/>
    <xsd:element name="Document_x0020_Purpose" ma:index="7" nillable="true" ma:displayName="Document Notes" ma:internalName="Document_x0020_Purpose" ma:readOnly="false">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cd40567-abf2-423e-8514-1118c328f75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36bac4-6705-4a36-974b-7c07450fed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bcfb947-9aca-4507-8ac0-df076e40e05b}" ma:internalName="TaxCatchAll" ma:showField="CatchAllData" ma:web="4f36bac4-6705-4a36-974b-7c07450fedf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1BCB8-03D0-4290-935D-F6B299B61C87}">
  <ds:schemaRefs>
    <ds:schemaRef ds:uri="http://schemas.microsoft.com/sharepoint/v3/contenttype/forms"/>
  </ds:schemaRefs>
</ds:datastoreItem>
</file>

<file path=customXml/itemProps2.xml><?xml version="1.0" encoding="utf-8"?>
<ds:datastoreItem xmlns:ds="http://schemas.openxmlformats.org/officeDocument/2006/customXml" ds:itemID="{E34A9DCB-E3D8-4048-BDD4-1F7881EB959B}">
  <ds:schemaRefs>
    <ds:schemaRef ds:uri="http://schemas.microsoft.com/office/2006/metadata/properties"/>
    <ds:schemaRef ds:uri="http://schemas.microsoft.com/office/infopath/2007/PartnerControls"/>
    <ds:schemaRef ds:uri="http://schemas.microsoft.com/sharepoint/v3"/>
    <ds:schemaRef ds:uri="292db1e8-b3d0-4356-8ef3-2a6d7ed77883"/>
    <ds:schemaRef ds:uri="4f36bac4-6705-4a36-974b-7c07450fedf2"/>
  </ds:schemaRefs>
</ds:datastoreItem>
</file>

<file path=customXml/itemProps3.xml><?xml version="1.0" encoding="utf-8"?>
<ds:datastoreItem xmlns:ds="http://schemas.openxmlformats.org/officeDocument/2006/customXml" ds:itemID="{F2B592D1-C5BC-4AF1-9CE4-A5EF1C408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2db1e8-b3d0-4356-8ef3-2a6d7ed77883"/>
    <ds:schemaRef ds:uri="4f36bac4-6705-4a36-974b-7c07450fe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498CE8-CB20-421B-8816-1D7679AF8573}">
  <ds:schemaRefs>
    <ds:schemaRef ds:uri="http://schemas.openxmlformats.org/officeDocument/2006/bibliography"/>
  </ds:schemaRefs>
</ds:datastoreItem>
</file>

<file path=docMetadata/LabelInfo.xml><?xml version="1.0" encoding="utf-8"?>
<clbl:labelList xmlns:clbl="http://schemas.microsoft.com/office/2020/mipLabelMetadata">
  <clbl:label id="{afded6f5-d1d0-4596-a1c0-00c047dd6749}" enabled="1" method="Standard" siteId="{7a41925e-f697-4f7c-bec3-0470887ac752}" removed="0"/>
</clbl:labelList>
</file>

<file path=docProps/app.xml><?xml version="1.0" encoding="utf-8"?>
<Properties xmlns="http://schemas.openxmlformats.org/officeDocument/2006/extended-properties" xmlns:vt="http://schemas.openxmlformats.org/officeDocument/2006/docPropsVTypes">
  <Template>Normal</Template>
  <TotalTime>47</TotalTime>
  <Pages>1</Pages>
  <Words>26071</Words>
  <Characters>148611</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2023-05-24T16:27:00Z</dcterms:created>
  <dc:creator>Sarah O'Grady</dc:creator>
  <cp:lastModifiedBy>Premji, Sharmila (Contractor)</cp:lastModifiedBy>
  <cp:lastPrinted>2014-08-19T16:56:00Z</cp:lastPrinted>
  <dcterms:modified xsi:type="dcterms:W3CDTF">2023-06-15T18:16:00Z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0x01010000721A7242F9CD49BD1E05495CEFC5E9</vt:lpwstr>
  </property>
  <property fmtid="{D5CDD505-2E9C-101B-9397-08002B2CF9AE}" pid="3" name="_dlc_DocIdItemGuid">
    <vt:lpwstr>b82c75b5-a88e-491a-8e63-d2888e9ba736</vt:lpwstr>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Order">
    <vt:r8>41299000</vt:r8>
  </property>
  <property fmtid="{D5CDD505-2E9C-101B-9397-08002B2CF9AE}" pid="8" name="Body">
    <vt:lpwstr/>
  </property>
  <property fmtid="{D5CDD505-2E9C-101B-9397-08002B2CF9AE}" pid="9" name="TaskStatus">
    <vt:lpwstr/>
  </property>
  <property fmtid="{D5CDD505-2E9C-101B-9397-08002B2CF9AE}" pid="10" name="WorkflowName">
    <vt:lpwstr/>
  </property>
  <property fmtid="{D5CDD505-2E9C-101B-9397-08002B2CF9AE}" pid="11" name="Document Notes">
    <vt:lpwstr/>
  </property>
  <property fmtid="{D5CDD505-2E9C-101B-9397-08002B2CF9AE}" pid="12" name="Document Notes0">
    <vt:lpwstr/>
  </property>
  <property fmtid="{D5CDD505-2E9C-101B-9397-08002B2CF9AE}" pid="13" name="Priority">
    <vt:lpwstr/>
  </property>
  <property fmtid="{D5CDD505-2E9C-101B-9397-08002B2CF9AE}" pid="14" name="_CopySource">
    <vt:lpwstr>https://sharepoint.aemcorp.com/ed/EDMITS/Shared Documents/51 - APR/SPP APR/FFY 2021 - TO-Q/40 IT/01 Requirements/Part 1 - APR Tool/Part C/Part C SPP-APR FFY 2021 Form with abbreviations.docx</vt:lpwstr>
  </property>
  <property fmtid="{D5CDD505-2E9C-101B-9397-08002B2CF9AE}" pid="15" name="MediaServiceImageTags">
    <vt:lpwstr/>
  </property>
  <property fmtid="{D5CDD505-2E9C-101B-9397-08002B2CF9AE}" pid="16" name="Predecessors">
    <vt:lpwstr/>
  </property>
  <property fmtid="{D5CDD505-2E9C-101B-9397-08002B2CF9AE}" pid="17" name="AssignedTo">
    <vt:lpwstr/>
  </property>
</Properties>
</file>