
<file path=[Content_Types].xml><?xml version="1.0" encoding="utf-8"?>
<Types xmlns="http://schemas.openxmlformats.org/package/2006/content-types">
  <Default ContentType="image/x-emf" Extension="emf"/>
  <Default ContentType="image/jpeg" Extension="jp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35A4F3A3" w14:textId="0320E3C9"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 xml:space="preserve">for STATE FORMULA GRANT PROGRAMS under the </w:t>
      </w:r>
      <w:r w:rsidR="009E3DEA">
        <w:rPr>
          <w:rFonts w:cs="Arial"/>
          <w:b/>
          <w:bCs/>
          <w:color w:val="000000" w:themeColor="text1"/>
          <w:sz w:val="24"/>
          <w:szCs w:val="24"/>
        </w:rPr>
        <w:br/>
      </w:r>
      <w:r w:rsidRPr="001071FD">
        <w:rPr>
          <w:rFonts w:cs="Arial"/>
          <w:b/>
          <w:bCs/>
          <w:color w:val="000000" w:themeColor="text1"/>
          <w:sz w:val="24"/>
          <w:szCs w:val="24"/>
        </w:rPr>
        <w:t>Individuals with Disabilities Education Act</w:t>
      </w:r>
    </w:p>
    <w:p w14:paraId="14238AAF" w14:textId="53479EC9"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 xml:space="preserve">FFY </w:t>
      </w:r>
      <w:r w:rsidR="00A54A87">
        <w:rPr>
          <w:rFonts w:cs="Arial"/>
          <w:b/>
          <w:bCs/>
          <w:color w:val="000000" w:themeColor="text1"/>
          <w:sz w:val="28"/>
          <w:szCs w:val="28"/>
        </w:rPr>
        <w:t>2024</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Massachusetts</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14DE32A1"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 xml:space="preserve">February </w:t>
      </w:r>
      <w:r w:rsidR="00A54A87">
        <w:rPr>
          <w:rFonts w:cs="Arial"/>
          <w:b/>
          <w:bCs/>
          <w:color w:val="000000" w:themeColor="text1"/>
          <w:sz w:val="24"/>
          <w:szCs w:val="24"/>
        </w:rPr>
        <w:t>2</w:t>
      </w:r>
      <w:r w:rsidR="00B43A02">
        <w:rPr>
          <w:rFonts w:cs="Arial"/>
          <w:b/>
          <w:bCs/>
          <w:color w:val="000000" w:themeColor="text1"/>
          <w:sz w:val="24"/>
          <w:szCs w:val="24"/>
        </w:rPr>
        <w:t xml:space="preserve">, </w:t>
      </w:r>
      <w:r w:rsidR="000F0136">
        <w:rPr>
          <w:rFonts w:cs="Arial"/>
          <w:b/>
          <w:bCs/>
          <w:color w:val="000000" w:themeColor="text1"/>
          <w:sz w:val="24"/>
          <w:szCs w:val="24"/>
        </w:rPr>
        <w:t>2026</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2C9FB663"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BC69656"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 xml:space="preserve">Provide sufficient detail to ensure that the Secretary and the public are informed of and understand the State’s systems designed to drive improved results for infants and toddlers with disabilities and their families and to ensure that the Lead Agency (LA) </w:t>
      </w:r>
      <w:r w:rsidR="000F5FCD">
        <w:rPr>
          <w:szCs w:val="16"/>
          <w:shd w:val="clear" w:color="auto" w:fill="FFFFFF"/>
        </w:rPr>
        <w:t xml:space="preserve">and early intervention service (EIS) providers and EIS programs </w:t>
      </w:r>
      <w:r w:rsidRPr="00ED172B">
        <w:rPr>
          <w:color w:val="000000" w:themeColor="text1"/>
          <w:szCs w:val="16"/>
          <w:shd w:val="clear" w:color="auto" w:fill="FFFFFF"/>
        </w:rPr>
        <w:t>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 xml:space="preserve">The Early Intervention Division within the Department of Public Health is the state agency in Massachusetts that is referred to as the lead agency for Part C of the Individuals with Disabilities Education Act (IDEA) or MA-C. During federal fiscal year 2024 (FFY24; July 1, 2024-June 30, 2025), MA-C had contracts with agencies to operate 63 general Early Intervention Services (EIS) and 22 specialty services programs (i.e., early intensive behavioral intervention [EIBI] and services for vision differences). Based on active personnel listed within the state database, approximately 5,708 qualified personnel rendered services to 22,312 children (including at-risk children) and their families (a ratio of approximately 4 children per provider). </w:t>
      </w:r>
    </w:p>
    <w:p>
      <w:pPr>
        <w:pStyle w:val=""/>
      </w:pPr>
      <w:r>
        <w:rPr>
          <w:rFonts w:ascii="" w:hAnsi="" w:cs="" w:eastAsia=""/>
          <w:b w:val="false"/>
          <w:i w:val="false"/>
          <w:color w:val="000000"/>
        </w:rPr>
        <w:t/>
      </w:r>
    </w:p>
    <w:p>
      <w:pPr>
        <w:pStyle w:val=""/>
      </w:pPr>
      <w:r>
        <w:rPr>
          <w:rFonts w:ascii="" w:hAnsi="" w:cs="" w:eastAsia=""/>
          <w:b w:val="false"/>
          <w:i w:val="false"/>
          <w:color w:val="000000"/>
        </w:rPr>
        <w:t>MA-C also holds contracts for enabling services, such as transportation and interpretation, and offers the Family Sign Language program the Northern Essex Community College who hosts one of the four Gallaudet University regional centers. This contract provides introductory instruction in American Sign Language (ASL) to families and caregivers of children who are deaf and hard of hearing so they can participate in everyday activities using visual language.</w:t>
      </w:r>
    </w:p>
    <w:p>
      <w:pPr>
        <w:pStyle w:val=""/>
      </w:pPr>
      <w:r>
        <w:rPr>
          <w:rFonts w:ascii="" w:hAnsi="" w:cs="" w:eastAsia=""/>
          <w:b w:val="false"/>
          <w:i w:val="false"/>
          <w:color w:val="000000"/>
        </w:rPr>
        <w:t/>
      </w:r>
    </w:p>
    <w:p>
      <w:pPr>
        <w:pStyle w:val=""/>
      </w:pPr>
      <w:r>
        <w:rPr>
          <w:rFonts w:ascii="" w:hAnsi="" w:cs="" w:eastAsia=""/>
          <w:b w:val="false"/>
          <w:i w:val="false"/>
          <w:color w:val="000000"/>
        </w:rPr>
        <w:t xml:space="preserve">All referrals are received by one of the 63 general EIS programs, which conducts an intake, collects records, and schedules initial eligibility evaluations. Programs are required to complete all aspects of supporting families from referral through when the family exits the Part C system. MA-C verifies that these 63 general EIS programs achieve and sustain high-levels of compliance with the IDEA and produce meaningful outcomes for families and their children through its Early Intervention Operational Standards, standardized forms, technical assistance, a centralized clinical and billing database, and positive, trusting, working relationships to oversee these contracts. These 63 general EIS programs are responsible for maintaining accurate records within the state database, the Early Intervention Client System (EICS). </w:t>
      </w:r>
    </w:p>
    <w:p>
      <w:pPr>
        <w:pStyle w:val=""/>
      </w:pPr>
      <w:r>
        <w:rPr>
          <w:rFonts w:ascii="" w:hAnsi="" w:cs="" w:eastAsia=""/>
          <w:b w:val="false"/>
          <w:i w:val="false"/>
          <w:color w:val="000000"/>
        </w:rPr>
        <w:t/>
      </w:r>
    </w:p>
    <w:p>
      <w:pPr>
        <w:pStyle w:val=""/>
      </w:pPr>
      <w:r>
        <w:rPr>
          <w:rFonts w:ascii="" w:hAnsi="" w:cs="" w:eastAsia=""/>
          <w:b w:val="false"/>
          <w:i w:val="false"/>
          <w:color w:val="000000"/>
        </w:rPr>
        <w:t>In federal fiscal year 2024 (FFY24; July 1, 2024-June 30, 2025), MA-C received 39,928 referrals and completed 31,392 multidisciplinary evaluations. 22,312 children had an active Individualized Family Service Plan (IFSP) in the program year (i.e., point-in-time child count). MA-C served 10.6% of the population of infants and toddlers under three years old based on the point-in-time count on October 1st, which exceeds the national average of 4.12% (indicator 6). MA-C served 4.77% of the population under one year old, which is higher than the national average of 1.45% (indicator 5). The majority (99.49%) of infants and toddlers with IFSPs primarily received early intervention services in the home or community-based setting (indicator 2). Taken together, these data demonstrate MA-C's robust system that centers effective Part C services for infants, toddlers, and their families.</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r w:rsidRPr="00ED172B">
        <w:rPr>
          <w:color w:val="000000" w:themeColor="text1"/>
        </w:rPr>
        <w:t xml:space="preserve">The Lead Agency (MA-C) continues to enhance its comprehensive state database, the Early Intervention Client System (EICS). This web-based database offers electronic case-management and billing systems to support early intervention services (EIS) programs and to enable MA-C to conduct appropriate monitoring and oversight of the Part C system. The EICS continues to improve MA-C by ensuring an unduplicated count for 618 reporting, assisting in the verification of data entered by EIS providers, allowing MA-C to detect trends for improvement planning, identifying potential areas of noncompliance, and allowing tracking of required corrective actions for verification. </w:t>
      </w:r>
    </w:p>
    <w:p>
      <w:pPr>
        <w:pStyle w:val=""/>
      </w:pPr>
      <w:r>
        <w:rPr>
          <w:rFonts w:ascii="" w:hAnsi="" w:cs="" w:eastAsia=""/>
          <w:b w:val="false"/>
          <w:i w:val="false"/>
          <w:color w:val="000000"/>
        </w:rPr>
        <w:t/>
      </w:r>
    </w:p>
    <w:p>
      <w:pPr>
        <w:pStyle w:val=""/>
      </w:pPr>
      <w:r>
        <w:rPr>
          <w:rFonts w:ascii="" w:hAnsi="" w:cs="" w:eastAsia=""/>
          <w:b w:val="false"/>
          <w:i w:val="false"/>
          <w:color w:val="000000"/>
        </w:rPr>
        <w:t xml:space="preserve">The Early Intervention Client System (EICS) is developed and maintained by a contracted vendor and managed by the EICS Application Lead, an Information Technology staff embedded within MA-C. The EICS provides real-time data on system-level variables such as new referrals to Part C, the number of children enrolled in MA-C (i.e., those with active IFSPs), service utilization, billing and claims data, and exiting reasons. The centralized system of data collection is vital to the data collection and analysis reporting contained in this State Performance Plan/Annual Performance Report (SPP/APR). </w:t>
      </w:r>
    </w:p>
    <w:p>
      <w:pPr>
        <w:pStyle w:val=""/>
      </w:pPr>
      <w:r>
        <w:rPr>
          <w:rFonts w:ascii="" w:hAnsi="" w:cs="" w:eastAsia=""/>
          <w:b w:val="false"/>
          <w:i w:val="false"/>
          <w:color w:val="000000"/>
        </w:rPr>
        <w:t/>
      </w:r>
    </w:p>
    <w:p>
      <w:pPr>
        <w:pStyle w:val=""/>
      </w:pPr>
      <w:r>
        <w:rPr>
          <w:rFonts w:ascii="" w:hAnsi="" w:cs="" w:eastAsia=""/>
          <w:b w:val="false"/>
          <w:i w:val="false"/>
          <w:color w:val="000000"/>
        </w:rPr>
        <w:t>Although the Early Intervention Client System (EICS) has been used by providers since November 2019, development is still ongoing. During federal fiscal year 2024 (FFY24; July 1, 2024-June 30, 2025), additional functionality was added to the EICS to enhance monitoring and oversight as well as improve and streamline provider practices. Some examples of the additional functionality include (1) updating EICS to reflect the Battelle Developmental Inventory, 3rd edition (BDI-3) used for calculating child outcomes and the SiMR, (2) updating reporting features to increase ease-of-use of EIS program dashboards, and (3) removing outdated fields (e.g., those related to BDI-2) in order to prevent erroneous use of said fields.</w:t>
      </w:r>
    </w:p>
    <w:p>
      <w:pPr>
        <w:pStyle w:val=""/>
      </w:pPr>
      <w:r>
        <w:rPr>
          <w:rFonts w:ascii="" w:hAnsi="" w:cs="" w:eastAsia=""/>
          <w:b w:val="false"/>
          <w:i w:val="false"/>
          <w:color w:val="000000"/>
        </w:rPr>
        <w:t/>
      </w:r>
    </w:p>
    <w:p>
      <w:pPr>
        <w:pStyle w:val=""/>
      </w:pPr>
      <w:r>
        <w:rPr>
          <w:rFonts w:ascii="" w:hAnsi="" w:cs="" w:eastAsia=""/>
          <w:b w:val="false"/>
          <w:i w:val="false"/>
          <w:color w:val="000000"/>
        </w:rPr>
        <w:t>In addition to the Early Intervention Client System (EICS), MA-C uses the Impacts on Family Survey developed by the National Center Special Education Accountability Monitoring (NCSEAM) to report in Indicator 4. This instrument was selected because of its rigorous development process which ensures the state has valid and reliable data. Data are collected, maintained, and analyzed by a contracted vendor and managed by MA-C.</w:t>
      </w:r>
    </w:p>
    <w:p>
      <w:pPr>
        <w:pStyle w:val=""/>
      </w:pPr>
      <w:r>
        <w:rPr>
          <w:rFonts w:ascii="" w:hAnsi="" w:cs="" w:eastAsia=""/>
          <w:b w:val="false"/>
          <w:i w:val="false"/>
          <w:color w:val="000000"/>
        </w:rPr>
        <w:t/>
      </w:r>
    </w:p>
    <w:p>
      <w:pPr>
        <w:pStyle w:val=""/>
      </w:pPr>
      <w:r>
        <w:rPr>
          <w:rFonts w:ascii="" w:hAnsi="" w:cs="" w:eastAsia=""/>
          <w:b w:val="false"/>
          <w:i w:val="false"/>
          <w:color w:val="000000"/>
        </w:rPr>
        <w:t xml:space="preserve">MA-C provides data quality reports each month to its early intervention services (EIS) programs. The purpose of these reports is to ensure EIS programs enter valid and reliable data into the state database (Early Intervention Client System; EICS) in a timely manner. MA-C’s Research and Analysis Unit generates monthly reports to identify data that are missing (e.g., children with active IFSPs without progress notes to indicate services have started) or unreliable (e.g., an evaluation date entered prior to the child’s date of birth). MA-C’s Clinical Quality Assurance Coordinator distributes the reports to each affected EIS program, and the EIS program directors are required to correct these data by entering missing data or correcting clerical errors within 15 business days. The Clinical Quality Assurance Coordinator analyzes the data quality reports monthly to identify the number of programs with valid and reliable data and recommends training, technical assistance, and corrective actions to the Clinical Quality Manager. EIS programs are required to participate in targeted technical assistance if their report shows 40 or more errors for two consecutive months or errors in 5% or more of the total number of child records at their program. </w:t>
      </w:r>
    </w:p>
    <w:p>
      <w:pPr>
        <w:pStyle w:val=""/>
      </w:pPr>
      <w:r>
        <w:rPr>
          <w:rFonts w:ascii="" w:hAnsi="" w:cs="" w:eastAsia=""/>
          <w:b w:val="false"/>
          <w:i w:val="false"/>
          <w:color w:val="000000"/>
        </w:rPr>
        <w:t/>
      </w:r>
    </w:p>
    <w:p>
      <w:pPr>
        <w:pStyle w:val=""/>
      </w:pPr>
      <w:r>
        <w:rPr>
          <w:rFonts w:ascii="" w:hAnsi="" w:cs="" w:eastAsia=""/>
          <w:b w:val="false"/>
          <w:i w:val="false"/>
          <w:color w:val="000000"/>
        </w:rPr>
        <w:t>During federal fiscal year 2024 (FFY24; July 1, 2024-June 30, 2025), MA-C continued its frequent provision of targeted data to EIS program directors. MA-C’s Research and Analysis Unit generates monthly reports to summarize each EIS program’s performance on a given target. The Clinical Quality Assurance Coordinator analyzes the data and recommends training, technical assistance, and corrective actions to the Clinical Quality Manager. The Clinical Oversight and Support Specialists present the data to each EIS program director, answer questions, and recommend actions to improve or maintain performance. During FFY24, the following targets were presented to EIS program directors: undocumented reasons for delays, justification on the IFSP for services provided outside the natural environment, child count disaggregated by race/ethnicity, personnel count and qualifications, claims data, and data completeness.</w:t>
      </w:r>
    </w:p>
    <w:p w14:paraId="255BEFE2" w14:textId="0EBDC8B7" w:rsidR="00181DEB" w:rsidRPr="00ED172B" w:rsidRDefault="00181DEB">
      <w:pPr>
        <w:rPr>
          <w:b/>
          <w:color w:val="000000" w:themeColor="text1"/>
        </w:rPr>
      </w:pPr>
      <w:r w:rsidRPr="00ED172B">
        <w:rPr>
          <w:b/>
          <w:color w:val="000000" w:themeColor="text1"/>
        </w:rPr>
        <w:t>General Supervision System</w:t>
      </w:r>
    </w:p>
    <w:p w14:paraId="71F4BDA2" w14:textId="2BD0D6DF" w:rsidR="00B717AA" w:rsidRPr="00ED172B" w:rsidRDefault="00492B6F" w:rsidP="00042EBF">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 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7523B8B2" w14:textId="77777777" w:rsidR="00A775F4" w:rsidRPr="00A32E08" w:rsidRDefault="00A775F4" w:rsidP="00A32E08">
      <w:pPr>
        <w:rPr>
          <w:b/>
          <w:bCs/>
        </w:rPr>
      </w:pPr>
      <w:r w:rsidRPr="00A32E08">
        <w:rPr>
          <w:b/>
          <w:bCs/>
        </w:rPr>
        <w:t>Describe the process the State uses to select EIS providers and/or EIS programs for monitoring, the schedule, and number of EIS providers/programs monitored per year.</w:t>
      </w:r>
    </w:p>
    <w:p w14:paraId="1FE3E807" w14:textId="7DE4DE1E" w:rsidR="00A775F4" w:rsidRPr="00E74450" w:rsidRDefault="00A775F4" w:rsidP="005E1362">
      <w:pPr>
        <w:rPr>
          <w:bCs/>
        </w:rPr>
      </w:pPr>
      <w:r w:rsidRPr="00E74450">
        <w:rPr>
          <w:bCs/>
        </w:rPr>
        <w:t xml:space="preserve">The Lead Agency (MA-C) monitors its early intervention services (EIS) programs on a monthly, quarterly, annual, and six-year cycle. Information about MA-C's general supervision and monitoring can be found on its website (https://www.mass.gov/info-details/early-intervention-general-supervision).</w:t>
      </w:r>
    </w:p>
    <w:p>
      <w:pPr>
        <w:pStyle w:val=""/>
      </w:pPr>
      <w:r>
        <w:rPr>
          <w:rFonts w:ascii="" w:hAnsi="" w:cs="" w:eastAsia=""/>
          <w:b w:val="false"/>
          <w:i w:val="false"/>
          <w:color w:val=""/>
        </w:rPr>
        <w:t/>
      </w:r>
    </w:p>
    <w:p>
      <w:pPr>
        <w:pStyle w:val=""/>
      </w:pPr>
      <w:r>
        <w:rPr>
          <w:rFonts w:ascii="" w:hAnsi="" w:cs="" w:eastAsia=""/>
          <w:b w:val="false"/>
          <w:i w:val="false"/>
          <w:color w:val=""/>
        </w:rPr>
        <w:t xml:space="preserve">On a monthly basis, MA-C monitors the performance of its EIS programs by reviewing its data quality reports. The purpose of data quality reports is to ensure valid and reliable data are submitted into MA-C's database the Early Intervention Client System (EICS) for data-based decision-making, programmatic monitoring, reporting, and reimbursement of funds. MA-C conducts these monthly data quality reports for every EIS program. Information about MA-C's data quality reports can be found on its website (https://www.mass.gov/info-details/early-intervention-integrated-monitoring). EIS programs with consistent high levels of data errors receive leveled TA and corrective actions based on the frequency of errors, starting with technical assistance provided over the phone, a quality improvement plan or a corrective action plan if error levels do not improve.  The data collected in these reports is also used in local determinations to measure a program’s data quality and impacts their determination. This monitoring is conducted for all EIS programs and providers. </w:t>
      </w:r>
    </w:p>
    <w:p>
      <w:pPr>
        <w:pStyle w:val=""/>
      </w:pPr>
      <w:r>
        <w:rPr>
          <w:rFonts w:ascii="" w:hAnsi="" w:cs="" w:eastAsia=""/>
          <w:b w:val="false"/>
          <w:i w:val="false"/>
          <w:color w:val=""/>
        </w:rPr>
        <w:t/>
      </w:r>
    </w:p>
    <w:p>
      <w:pPr>
        <w:pStyle w:val=""/>
      </w:pPr>
      <w:r>
        <w:rPr>
          <w:rFonts w:ascii="" w:hAnsi="" w:cs="" w:eastAsia=""/>
          <w:b w:val="false"/>
          <w:i w:val="false"/>
          <w:color w:val=""/>
        </w:rPr>
        <w:t xml:space="preserve">On a quarterly basis, MA-C monitors for compliance of SPP/APR indicators 1, 7, and 8. The purpose of the compliance indicator database review is to enable frequent data-based decision-making through timely data verification and timely identification and correction of noncompliance. MA-C conducts these quarterly reviews for one of these compliance indicators for every EIS program. Information about MA-C's data protocols for compliance indicators can be found on its website (https://www.mass.gov/lists/data-protocols-and-annual-reporting-schedule). </w:t>
      </w:r>
    </w:p>
    <w:p>
      <w:pPr>
        <w:pStyle w:val=""/>
      </w:pPr>
      <w:r>
        <w:rPr>
          <w:rFonts w:ascii="" w:hAnsi="" w:cs="" w:eastAsia=""/>
          <w:b w:val="false"/>
          <w:i w:val="false"/>
          <w:color w:val=""/>
        </w:rPr>
        <w:t/>
      </w:r>
    </w:p>
    <w:p>
      <w:pPr>
        <w:pStyle w:val=""/>
      </w:pPr>
      <w:r>
        <w:rPr>
          <w:rFonts w:ascii="" w:hAnsi="" w:cs="" w:eastAsia=""/>
          <w:b w:val="false"/>
          <w:i w:val="false"/>
          <w:color w:val=""/>
        </w:rPr>
        <w:t>Annually, MA-C monitors every EIS program in several ways. First, by reviewing the EIS programs' completed Program Policy Protocol. The purpose of the Program Policy Protocol is to support EIS programs to evaluate their compliance with federal and state statute, regulation, and policy in their delivery of high-quality Part C services. Next, MA-C monitors its EIS programs' performance on SPP/APR results indicators and posts these local performance reports on its website for the public (https://www.mass.gov/info-details/part-c-state-performance-planannual-performance-report#local-performance-report-). Finally, MA-C makes determinations about each EIS programs' ability to implement Part C of the IDEA (https://www.mass.gov/lists/public-reporting-for-early-intervention#local-program-determinations-). The criteria on which MA-C bases its local determinations are a combination of the EIS program's performance on the SPP/APR and other related requirements, such as timely submission of valid and reliable data, fiscal compliance, and compliance with state policies and procedures and correction of the previous fiscal year’s noncompliance within the required 1-year timeframe.</w:t>
      </w:r>
    </w:p>
    <w:p>
      <w:pPr>
        <w:pStyle w:val=""/>
      </w:pPr>
      <w:r>
        <w:rPr>
          <w:rFonts w:ascii="" w:hAnsi="" w:cs="" w:eastAsia=""/>
          <w:b w:val="false"/>
          <w:i w:val="false"/>
          <w:color w:val=""/>
        </w:rPr>
        <w:t/>
      </w:r>
    </w:p>
    <w:p>
      <w:pPr>
        <w:pStyle w:val=""/>
      </w:pPr>
      <w:r>
        <w:rPr>
          <w:rFonts w:ascii="" w:hAnsi="" w:cs="" w:eastAsia=""/>
          <w:b w:val="false"/>
          <w:i w:val="false"/>
          <w:color w:val=""/>
        </w:rPr>
        <w:t xml:space="preserve">At least once every six years, MA-C monitors each of its EIS programs through its cyclical monitoring by reviewing the EIS program's policies, procedures, and systems to implement the IDEA, evidence of implementation, and its performance on compliance, results, and other indicators of high-quality Part C services. Approximately 12 EIS programs are selected for cyclical monitoring each year. MA-C uses a documented and replicable process to select early intervention services (EIS) programs for its cyclical monitoring. First, MA-C categorizes its EIS programs by geographic region. Next, it considers the date of the EIS program's last cyclical monitoring. Then, MA-C selects two EIS programs per region. Cyclical monitoring involves comprehensive review of policies, records, IFSPs and interviews with staff and families. </w:t>
      </w:r>
    </w:p>
    <w:p w14:paraId="4FF4FCD0" w14:textId="77777777" w:rsidR="00A775F4" w:rsidRPr="00A32E08" w:rsidRDefault="00A775F4" w:rsidP="00A32E08">
      <w:pPr>
        <w:rPr>
          <w:b/>
          <w:bCs/>
        </w:rPr>
      </w:pPr>
      <w:r w:rsidRPr="00A32E08">
        <w:rPr>
          <w:b/>
          <w:bCs/>
        </w:rPr>
        <w:t>Describe how child records are chosen, including the number of child records that are selected, as part of the State’s process for determining an EIS provider’s and EIS program’s compliance with IDEA requirements and verifying the EIS provider/program’s correction of any identified noncompliance.</w:t>
      </w:r>
    </w:p>
    <w:p w14:paraId="2ACFB732" w14:textId="2122DE34" w:rsidR="00A775F4" w:rsidRPr="00E74450" w:rsidRDefault="00A775F4" w:rsidP="005E1362">
      <w:pPr>
        <w:rPr>
          <w:bCs/>
        </w:rPr>
      </w:pPr>
      <w:r w:rsidRPr="00E74450">
        <w:rPr>
          <w:bCs/>
        </w:rPr>
        <w:t xml:space="preserve">During federal fiscal year 2024 (FFY24; July 1, 2024-June 30, 2025), the Lead Agency (MA-C) used an entire quarter of data for compliance indicator monitoring to determine noncompliance (all children serviced during that quarter). For correction of noncompliance, MA-C verifies correction of each child specific noncompliance identified and selected child records as part of its verification of systemic correction and cyclical monitoring processes. </w:t>
      </w:r>
    </w:p>
    <w:p>
      <w:pPr>
        <w:pStyle w:val=""/>
      </w:pPr>
      <w:r>
        <w:rPr>
          <w:rFonts w:ascii="" w:hAnsi="" w:cs="" w:eastAsia=""/>
          <w:b w:val="false"/>
          <w:i w:val="false"/>
          <w:color w:val=""/>
        </w:rPr>
        <w:t/>
      </w:r>
    </w:p>
    <w:p>
      <w:pPr>
        <w:pStyle w:val=""/>
      </w:pPr>
      <w:r>
        <w:rPr>
          <w:rFonts w:ascii="" w:hAnsi="" w:cs="" w:eastAsia=""/>
          <w:b w:val="false"/>
          <w:i w:val="false"/>
          <w:color w:val=""/>
        </w:rPr>
        <w:t xml:space="preserve">To verify an EIS program's ongoing compliance with the regulatory requirements of IDEA using subsequent data after detecting noncompliance, MA-C's Clinical Oversight and Support Specialist  selects a sample of child records representative of the program that were not part of the original finding of noncompliance, for a subsequent date range after noncompliance was identified, to ensure 100% compliance with the regulatory requirement. </w:t>
      </w:r>
    </w:p>
    <w:p>
      <w:pPr>
        <w:pStyle w:val=""/>
      </w:pPr>
      <w:r>
        <w:rPr>
          <w:rFonts w:ascii="" w:hAnsi="" w:cs="" w:eastAsia=""/>
          <w:b w:val="false"/>
          <w:i w:val="false"/>
          <w:color w:val=""/>
        </w:rPr>
        <w:t xml:space="preserve">The number of records used to verify systemic correction are determined by the size (based on the most recent publicly reported 10/1/ child count data) of the program and will be representative of the program’s overall population of enrolled children through z score analysis.  </w:t>
      </w:r>
    </w:p>
    <w:p>
      <w:pPr>
        <w:pStyle w:val=""/>
      </w:pPr>
      <w:r>
        <w:rPr>
          <w:rFonts w:ascii="" w:hAnsi="" w:cs="" w:eastAsia=""/>
          <w:b w:val="false"/>
          <w:i w:val="false"/>
          <w:color w:val=""/>
        </w:rPr>
        <w:t/>
      </w:r>
    </w:p>
    <w:p>
      <w:pPr>
        <w:pStyle w:val=""/>
      </w:pPr>
      <w:r>
        <w:rPr>
          <w:rFonts w:ascii="" w:hAnsi="" w:cs="" w:eastAsia=""/>
          <w:b w:val="false"/>
          <w:i w:val="false"/>
          <w:color w:val=""/>
        </w:rPr>
        <w:t xml:space="preserve">To select records to be included in cyclical monitoring for an EIS program, MA-C's Clinical Quality Assurance Coordinator first queried the database (Early Intervention Client System; EICS) to obtain a list of all children who had been discharged from the EIS program within the reporting year. Next, she excluded children who were discharged less than 90 days prior. Then, she excluded children who had received services for less than six months. Then, she selects 10 records at random. Finally, she reviewed the 10 records selected at random to ensure that it includes at least one family whose primary written language is not English. </w:t>
      </w:r>
    </w:p>
    <w:p w14:paraId="3B19B60E" w14:textId="77777777" w:rsidR="00A775F4" w:rsidRPr="00A32E08" w:rsidRDefault="00A775F4" w:rsidP="00A32E08">
      <w:pPr>
        <w:rPr>
          <w:b/>
          <w:bCs/>
        </w:rPr>
      </w:pPr>
      <w:r w:rsidRPr="00A32E08">
        <w:rPr>
          <w:b/>
          <w:bCs/>
        </w:rPr>
        <w:t xml:space="preserve">Describe the data system(s) the State uses to collect monitoring and SPP/APR data, and the period from which records are reviewed.  </w:t>
      </w:r>
    </w:p>
    <w:p w14:paraId="59695152" w14:textId="7145AA78" w:rsidR="00A775F4" w:rsidRPr="00E74450" w:rsidRDefault="00A775F4" w:rsidP="005E1362">
      <w:pPr>
        <w:rPr>
          <w:bCs/>
        </w:rPr>
      </w:pPr>
      <w:r w:rsidRPr="00E74450">
        <w:rPr>
          <w:bCs/>
        </w:rPr>
        <w:t>The Lead Agency (MA-C) uses its comprehensive state database, the Early Intervention Client System (EICS) to collect monitoring and SPP/APR data. This web-based database offers electronic case-management and billing systems to support early intervention services (EIS) programs and enable MA-C to conduct appropriate monitoring and oversight of the Part C system. Data are entered by EIS providers, either directly into the web-based user interface (UI) or by uploading from an electronic medical record (EMR) that exchanges information with EICS.</w:t>
      </w:r>
    </w:p>
    <w:p w14:paraId="3D5F4E07" w14:textId="77777777" w:rsidR="00A775F4" w:rsidRPr="00A32E08" w:rsidRDefault="00A775F4" w:rsidP="00A32E08">
      <w:pPr>
        <w:rPr>
          <w:b/>
          <w:bCs/>
        </w:rPr>
      </w:pPr>
      <w:r w:rsidRPr="00A32E08">
        <w:rPr>
          <w:b/>
          <w:bCs/>
        </w:rPr>
        <w:t>Describe how the State issues findings: by EIS provider and/or EIS program; and if findings are issued by the number of instances or by EIS provider and/or EIS program.</w:t>
      </w:r>
    </w:p>
    <w:p w14:paraId="72B669D9" w14:textId="04F80996" w:rsidR="00A775F4" w:rsidRPr="00E74450" w:rsidRDefault="00A775F4" w:rsidP="005E1362">
      <w:pPr>
        <w:rPr>
          <w:bCs/>
        </w:rPr>
      </w:pPr>
      <w:r w:rsidRPr="00E74450">
        <w:rPr>
          <w:bCs/>
        </w:rPr>
        <w:t>The Lead Agency (MA-C) issues findings by early intervention services (EIS) program. Although MA-C verifies and monitors each instance of child-specific noncompliance, the number of findings is issued by EIS program.</w:t>
      </w:r>
    </w:p>
    <w:p w14:paraId="67962B24" w14:textId="6C66AE3A" w:rsidR="00A775F4" w:rsidRPr="00A32E08" w:rsidRDefault="00A775F4" w:rsidP="00A32E08">
      <w:pPr>
        <w:rPr>
          <w:b/>
          <w:bCs/>
        </w:rPr>
      </w:pPr>
      <w:r w:rsidRPr="00A32E08">
        <w:rPr>
          <w:b/>
          <w:bCs/>
        </w:rPr>
        <w:t>If applicable, describe the adopted procedures that permit its EIS providers/ programs to correct noncompliance prior to the State’s issuance of a finding (i.e., pre-finding correction).</w:t>
      </w:r>
    </w:p>
    <w:p w14:paraId="444974EA" w14:textId="4672DF68" w:rsidR="00A775F4" w:rsidRPr="00E74450" w:rsidRDefault="00A775F4" w:rsidP="005E1362">
      <w:pPr>
        <w:rPr>
          <w:bCs/>
        </w:rPr>
      </w:pPr>
      <w:r w:rsidRPr="00E74450">
        <w:rPr>
          <w:bCs/>
        </w:rPr>
        <w:t>The Lead Agency (MA-C) has adopted general supervision procedures that allow for EIS programs to correct noncompliance prior to the issuance of a written finding (i.e., a pre-finding correction process). MA-C allows for a pre-finding correction only when able to verify within three months of identification of noncompliance, prior to issuing a finding, that the EIS program is correctly implementing the specific regulatory requirement (i.e., achieved 100 percent compliance with the relevant IDEA requirement) based on a review of subsequent data and has corrected each individual case of child-specific noncompliance, unless the child is no longer within the jurisdiction, and no outstanding corrective action exists under a State complaint or due process hearing decision for the child. In these cases, no formal findings are issued. Instead, MA-C sends a written notification to the EIS program outlining the noncompliance that was detected, confirming it as verified as corrected, reminding them of the regulatory requirement, and offering technical assistance. All pre-finding corrections are documented in MA-C’s tracking system.</w:t>
      </w:r>
    </w:p>
    <w:p w14:paraId="749E38B4" w14:textId="77777777" w:rsidR="00A775F4" w:rsidRPr="00A32E08" w:rsidRDefault="00A775F4" w:rsidP="00A32E08">
      <w:pPr>
        <w:rPr>
          <w:b/>
          <w:bCs/>
        </w:rPr>
      </w:pPr>
      <w:r w:rsidRPr="006675B4">
        <w:t xml:space="preserve">Describe the State’s system of graduated and progressive sanctions to ensure the correction of identified noncompliance and to address areas in need </w:t>
      </w:r>
      <w:r w:rsidRPr="00A32E08">
        <w:rPr>
          <w:b/>
          <w:bCs/>
        </w:rPr>
        <w:t>of improvement, used as necessary and consistent with IDEA Part C’s enforcement provisions, the OMB Uniform Administrative Requirements, Cost Principles, and Audit Requirements for Federal Awards (Uniform Guidance), and State policies.</w:t>
      </w:r>
    </w:p>
    <w:p w14:paraId="77DC69C5" w14:textId="62D3A937" w:rsidR="00A775F4" w:rsidRPr="00E74450" w:rsidRDefault="00A775F4" w:rsidP="005E1362">
      <w:pPr>
        <w:rPr>
          <w:bCs/>
        </w:rPr>
      </w:pPr>
      <w:r w:rsidRPr="00E74450">
        <w:rPr>
          <w:bCs/>
        </w:rPr>
        <w:t xml:space="preserve">The Lead Agency (MA-C) uses a system of graduated and progressive sanctions to ensure the correction of identified noncompliance. The need for sanctions is determined by MA-C through ongoing monitoring. There are four levels of sanctions MA-C uses. </w:t>
      </w:r>
    </w:p>
    <w:p>
      <w:pPr>
        <w:pStyle w:val=""/>
      </w:pPr>
      <w:r>
        <w:rPr>
          <w:rFonts w:ascii="" w:hAnsi="" w:cs="" w:eastAsia=""/>
          <w:b w:val="false"/>
          <w:i w:val="false"/>
          <w:color w:val=""/>
        </w:rPr>
        <w:t/>
      </w:r>
    </w:p>
    <w:p>
      <w:pPr>
        <w:pStyle w:val=""/>
      </w:pPr>
      <w:r>
        <w:rPr>
          <w:rFonts w:ascii="" w:hAnsi="" w:cs="" w:eastAsia=""/>
          <w:b w:val="false"/>
          <w:i w:val="false"/>
          <w:color w:val=""/>
        </w:rPr>
        <w:t>In Level 1, the early intervention services (EIS) program needs support to meet state, federal, or fiscal requirements. This can be identified through general supervision activities or if an EIS program receives a local determination of “Needs Assistance” for two consecutive years. Examples of sanctions in Level 1 include targeted technical assistance and additional training.</w:t>
      </w:r>
    </w:p>
    <w:p>
      <w:pPr>
        <w:pStyle w:val=""/>
      </w:pPr>
      <w:r>
        <w:rPr>
          <w:rFonts w:ascii="" w:hAnsi="" w:cs="" w:eastAsia=""/>
          <w:b w:val="false"/>
          <w:i w:val="false"/>
          <w:color w:val=""/>
        </w:rPr>
        <w:t/>
      </w:r>
    </w:p>
    <w:p>
      <w:pPr>
        <w:pStyle w:val=""/>
      </w:pPr>
      <w:r>
        <w:rPr>
          <w:rFonts w:ascii="" w:hAnsi="" w:cs="" w:eastAsia=""/>
          <w:b w:val="false"/>
          <w:i w:val="false"/>
          <w:color w:val=""/>
        </w:rPr>
        <w:t>In Level 2, EIS programs need intervention to meet state, federal, or fiscal requirements. This can be identified through general supervision activities or if an EIS program receives a local determination of “Needs Intervention” for three consecutive years, or has not corrected noncompliance within the required timeframe. Examples of sanctions in Level 2 include the development of a corrective action plan with root cause analysis, correction of child-specific noncompliance, and documentation that child-specific noncompliance has been corrected.</w:t>
      </w:r>
    </w:p>
    <w:p>
      <w:pPr>
        <w:pStyle w:val=""/>
      </w:pPr>
      <w:r>
        <w:rPr>
          <w:rFonts w:ascii="" w:hAnsi="" w:cs="" w:eastAsia=""/>
          <w:b w:val="false"/>
          <w:i w:val="false"/>
          <w:color w:val=""/>
        </w:rPr>
        <w:t/>
      </w:r>
    </w:p>
    <w:p>
      <w:pPr>
        <w:pStyle w:val=""/>
      </w:pPr>
      <w:r>
        <w:rPr>
          <w:rFonts w:ascii="" w:hAnsi="" w:cs="" w:eastAsia=""/>
          <w:b w:val="false"/>
          <w:i w:val="false"/>
          <w:color w:val=""/>
        </w:rPr>
        <w:t xml:space="preserve">In Level 3, EIS programs need intensive intervention to meet state, federal, or fiscal requirements. This can be identified through general supervision activities, if an EIS program receives a local determination of “Needs Substantial Intervention”, or if a program has long standing noncompliance. Examples of sanctions in Level 3 include withholding funds, restricting referrals, recovering funds due to failure to meet the contractual requirements, notifying the agency of breach of contract and providing an opportunity to cure, scheduling a focused monitoring visit, imposing additional contract conditions, and revising the contract terms. </w:t>
      </w:r>
    </w:p>
    <w:p>
      <w:pPr>
        <w:pStyle w:val=""/>
      </w:pPr>
      <w:r>
        <w:rPr>
          <w:rFonts w:ascii="" w:hAnsi="" w:cs="" w:eastAsia=""/>
          <w:b w:val="false"/>
          <w:i w:val="false"/>
          <w:color w:val=""/>
        </w:rPr>
        <w:t/>
      </w:r>
    </w:p>
    <w:p>
      <w:pPr>
        <w:pStyle w:val=""/>
      </w:pPr>
      <w:r>
        <w:rPr>
          <w:rFonts w:ascii="" w:hAnsi="" w:cs="" w:eastAsia=""/>
          <w:b w:val="false"/>
          <w:i w:val="false"/>
          <w:color w:val=""/>
        </w:rPr>
        <w:t>In Level 4, contract assurances are warranted. This can be identified through general supervision activities. Examples of sanctions in Level 4 include denying or recouping payment for services for which noncompliance is documented, halting new referrals until the EIS program remediates the deficiency, amending the contract to revise the end date, and terminating the contract.</w:t>
      </w:r>
    </w:p>
    <w:p w14:paraId="5A0190A9" w14:textId="77777777" w:rsidR="00A775F4" w:rsidRPr="00A32E08" w:rsidRDefault="00A775F4" w:rsidP="00A32E08">
      <w:pPr>
        <w:rPr>
          <w:b/>
          <w:bCs/>
        </w:rPr>
      </w:pPr>
      <w:r w:rsidRPr="00A32E08">
        <w:rPr>
          <w:b/>
          <w:bCs/>
        </w:rPr>
        <w:t>Describe how the State makes annual determinations of EIS program performance, including the criteria the State uses and the schedule for notifying EIS programs of their determinations. If the determinations are made public, include a web link for the most recent determinations.</w:t>
      </w:r>
    </w:p>
    <w:p w14:paraId="5DC8EBF3" w14:textId="69FBDDCB" w:rsidR="00A775F4" w:rsidRPr="00E74450" w:rsidRDefault="00A775F4" w:rsidP="005E1362">
      <w:pPr>
        <w:rPr>
          <w:bCs/>
        </w:rPr>
      </w:pPr>
      <w:r w:rsidRPr="00E74450">
        <w:rPr>
          <w:bCs/>
        </w:rPr>
        <w:t xml:space="preserve">The Lead Agency (MA-C) makes determinations annually of the early intervention services (EIS) program performance and their ability to implement Part C of the IDEA. MA-C considers several variables when making its determinations, performance on compliance indicators (Timely Services, Initial IFSP meeting within 45 days, Complete Transition Plan, LEA Notification within the timeframe, Transition Conference within the timeframe) through APR reporting, valid and reliable data through data quality reports, correction of identified noncompliance, results on the NCSEAM family survey (Indicator 4), and Fiscal Compliance, </w:t>
      </w:r>
    </w:p>
    <w:p>
      <w:pPr>
        <w:pStyle w:val=""/>
      </w:pPr>
      <w:r>
        <w:rPr>
          <w:rFonts w:ascii="" w:hAnsi="" w:cs="" w:eastAsia=""/>
          <w:b w:val="false"/>
          <w:i w:val="false"/>
          <w:color w:val=""/>
        </w:rPr>
        <w:t/>
      </w:r>
    </w:p>
    <w:p>
      <w:pPr>
        <w:pStyle w:val=""/>
      </w:pPr>
      <w:r>
        <w:rPr>
          <w:rFonts w:ascii="" w:hAnsi="" w:cs="" w:eastAsia=""/>
          <w:b w:val="false"/>
          <w:i w:val="false"/>
          <w:color w:val=""/>
        </w:rPr>
        <w:t>MA-C uses data in its database (Early Intervention Client System; EICS) to calculate performance for the five compliance indicators in the State Performance Plan (i.e., Timely Services, Initial IFSP meetings within 45 days, Complete Transition Plan, Timely LEA Notification, Timely Transition Conference). These data were also used for each EIS program’s local performance report and determination percentages. EIS program percentages for Indicator 4 (family outcomes) were used for the results indicator. The percentage for each of the five compliance indicators (total compliant/total *100) for each program are available on MA-C's website as part of the SPP/APR reporting (i.e., Local Program Performance Reports; https://www.mass.gov/info-details/part-c-state-performance-planannual-performance-report#local-performance-report-). In addition, MA-C included program performance on data quality reports and the number of months with more than 40 errors and/or 5% errors as well as fiscal compliance, meeting the fiscal year end claim submission deadline. Correction of Noncompliance within the required one year timeframe and any long standing noncompliance was also included in determinations. These performance measurements were used to calculate a point score for each program. Points for each compliance indicator as well as points for valid and reliable data entry, fiscal compliance and correction of noncompliance were given to determine an overall score for each EIS program. EIS programs scoring 15-18 points were given the determination of "Meets Requirements." Those scoring 10-14 points were given the determination "Needs Assistance." Those scoring 6-9 points were given the determination "Needs Intervention." EIS programs scoring below 6 were given a determination of "Needs Substantial Intervention." Information about how MA-C made determinations can be found in its Local Determination Memo on its website (https://www.mass.gov/info-details/early-intervention-integrated-monitoring).</w:t>
      </w:r>
    </w:p>
    <w:p>
      <w:pPr>
        <w:pStyle w:val=""/>
      </w:pPr>
      <w:r>
        <w:rPr>
          <w:rFonts w:ascii="" w:hAnsi="" w:cs="" w:eastAsia=""/>
          <w:b w:val="false"/>
          <w:i w:val="false"/>
          <w:color w:val=""/>
        </w:rPr>
        <w:t/>
      </w:r>
    </w:p>
    <w:p>
      <w:pPr>
        <w:pStyle w:val=""/>
      </w:pPr>
      <w:r>
        <w:rPr>
          <w:rFonts w:ascii="" w:hAnsi="" w:cs="" w:eastAsia=""/>
          <w:b w:val="false"/>
          <w:i w:val="false"/>
          <w:color w:val=""/>
        </w:rPr>
        <w:t xml:space="preserve">MA-C makes its determinations public by posting them on its website (https://www.mass.gov/lists/public-reporting-for-early-intervention#local-program-determinations-). </w:t>
      </w:r>
    </w:p>
    <w:p w14:paraId="03360C2E" w14:textId="77777777" w:rsidR="00A775F4" w:rsidRPr="00A32E08" w:rsidRDefault="00A775F4" w:rsidP="00A32E08">
      <w:pPr>
        <w:rPr>
          <w:b/>
          <w:bCs/>
        </w:rPr>
      </w:pPr>
      <w:r w:rsidRPr="00A32E08">
        <w:rPr>
          <w:b/>
          <w:bCs/>
        </w:rPr>
        <w:t>Provide the web link to information about the State’s general supervision policies, procedures, and process that is made available to the public.</w:t>
      </w:r>
    </w:p>
    <w:p w14:paraId="74AAFC6B" w14:textId="59650BF0" w:rsidR="00A775F4" w:rsidRPr="00E74450" w:rsidRDefault="00A775F4" w:rsidP="005E1362">
      <w:pPr>
        <w:rPr>
          <w:bCs/>
        </w:rPr>
      </w:pPr>
      <w:r w:rsidRPr="00E74450">
        <w:rPr>
          <w:bCs/>
        </w:rPr>
        <w:t xml:space="preserve">The Lead Agency (MA-C) maintains a webpage (https://www.mass.gov/info-details/early-intervention-general-supervision) that includes its general supervision policies, procedures, and processes. </w:t>
      </w:r>
    </w:p>
    <w:p w14:paraId="49C3FD7F" w14:textId="587BC93C" w:rsidR="00181DEB" w:rsidRPr="00ED172B" w:rsidRDefault="00181DEB">
      <w:pPr>
        <w:rPr>
          <w:b/>
          <w:color w:val="000000" w:themeColor="text1"/>
        </w:rPr>
      </w:pPr>
      <w:r w:rsidRPr="00ED172B">
        <w:rPr>
          <w:b/>
          <w:color w:val="000000" w:themeColor="text1"/>
        </w:rPr>
        <w:t>Technical Assistance System:</w:t>
      </w:r>
    </w:p>
    <w:p w14:paraId="7EE0C7FA" w14:textId="5600B9EB"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EIS programs.</w:t>
      </w:r>
    </w:p>
    <w:p w14:paraId="1697FA23" w14:textId="56CF03A5" w:rsidR="003A4D77" w:rsidRPr="00ED172B" w:rsidRDefault="00860830" w:rsidP="00042EBF">
      <w:pPr>
        <w:rPr>
          <w:color w:val="000000" w:themeColor="text1"/>
          <w:szCs w:val="16"/>
        </w:rPr>
      </w:pPr>
      <w:r w:rsidRPr="00ED172B">
        <w:rPr>
          <w:color w:val="000000" w:themeColor="text1"/>
          <w:szCs w:val="16"/>
        </w:rPr>
        <w:t>MA-C maintains a webpage (https://www.mass.gov/orgs/early-intervention-division), which include data on its performance, toolkits for service coordinators, the Early Intervention Operational Standards, professional development opportunities and required training for early intervention services (EIS) programs, and resources for families. New guidance, policies, and procedures are announced to EIS program directors in a synchronous webinar and via MA-C's electronic mailing listserv.</w:t>
      </w:r>
    </w:p>
    <w:p>
      <w:pPr>
        <w:pStyle w:val=""/>
      </w:pPr>
      <w:r>
        <w:rPr>
          <w:rFonts w:ascii="" w:hAnsi="" w:cs="" w:eastAsia=""/>
          <w:b w:val="false"/>
          <w:i w:val="false"/>
          <w:color w:val="000000"/>
        </w:rPr>
        <w:t/>
      </w:r>
    </w:p>
    <w:p>
      <w:pPr>
        <w:pStyle w:val=""/>
      </w:pPr>
      <w:r>
        <w:rPr>
          <w:rFonts w:ascii="" w:hAnsi="" w:cs="" w:eastAsia=""/>
          <w:b w:val="false"/>
          <w:i w:val="false"/>
          <w:color w:val="000000"/>
        </w:rPr>
        <w:t>MA-C holds one-hour webinars via Zoom several times per month to offer general technical assistance to its early intervention services (EIS) program directors. During federal fiscal year 2024 (FFY24; July 1, 2024-June 30, 2025), MA-C held its Program Director Webinars once monthly for one hour for directors and administrators of its EIS programs. The calls are arranged and moderated by MA-C's Operations Manager. The purpose of these calls is to keep EIS program directors and administrators apprised of current federal or state guidance, share state-wide data, provide updates on newly developed MA-C resources, training opportunities, receive feedback from the EIS program directors, and to ensure there is an opportunity for issues to be raised and questions to be posed to and responded by MA-C. Following each webinar, MA-C's Operations Manager distributes copies of all slides and resources presented. In addition, EIS program directors are expected to use the information received during these calls and disseminate it to staff working within their EIS programs.</w:t>
      </w:r>
    </w:p>
    <w:p>
      <w:pPr>
        <w:pStyle w:val=""/>
      </w:pPr>
      <w:r>
        <w:rPr>
          <w:rFonts w:ascii="" w:hAnsi="" w:cs="" w:eastAsia=""/>
          <w:b w:val="false"/>
          <w:i w:val="false"/>
          <w:color w:val="000000"/>
        </w:rPr>
        <w:t/>
      </w:r>
    </w:p>
    <w:p>
      <w:pPr>
        <w:pStyle w:val=""/>
      </w:pPr>
      <w:r>
        <w:rPr>
          <w:rFonts w:ascii="" w:hAnsi="" w:cs="" w:eastAsia=""/>
          <w:b w:val="false"/>
          <w:i w:val="false"/>
          <w:color w:val="000000"/>
        </w:rPr>
        <w:t>MA-C holds a technical assistance webinar focused on the fiscal requirements and processes called "Ask Away" monthly for a half-hour for directors and billing/claims managers of its early intervention services (EIS) programs. The calls are arranged and moderated by MA-C's Account Analysts and Finance Manager. The purpose of these calls is to educate EIS program directors and billing/claims managers of current federal or state guidance related to fiscal operations. Each webinar begins with a prepared 20-min presentation about a specific topic during with MA-C staff present regulatory requirements and model how to complete required actions within the MA-C’s fiscal database, the Early Intervention Client System (EICS). Following the presentations, MA-C staff take questions from attendees to assist with questions related to MA-C’s Systems of Payment policy or how to use the billing application within the EICS. Some of the topics presented during FFY24 included assessment hours, parental consent for the use of private insurance and public benefits to pay for Part C services, identifying and remediating common error codes in EICS, authorized service codes and procedure types, and reporting deadline reminders.</w:t>
      </w:r>
    </w:p>
    <w:p>
      <w:pPr>
        <w:pStyle w:val=""/>
      </w:pPr>
      <w:r>
        <w:rPr>
          <w:rFonts w:ascii="" w:hAnsi="" w:cs="" w:eastAsia=""/>
          <w:b w:val="false"/>
          <w:i w:val="false"/>
          <w:color w:val="000000"/>
        </w:rPr>
        <w:t/>
      </w:r>
    </w:p>
    <w:p>
      <w:pPr>
        <w:pStyle w:val=""/>
      </w:pPr>
      <w:r>
        <w:rPr>
          <w:rFonts w:ascii="" w:hAnsi="" w:cs="" w:eastAsia=""/>
          <w:b w:val="false"/>
          <w:i w:val="false"/>
          <w:color w:val="000000"/>
        </w:rPr>
        <w:t xml:space="preserve">MA-C’s Performance, Oversight, and Evaluation Unit holds General Technical Assistance Webinars. The calls are arranged and moderated by MA-C's Clinical Quality Manager. The purpose of these calls is to educate early intervention services (EIS) program directors and EIS providers about Part C of the IDEA and how MA-C’s system implements the IDEA. In FFY24 (July 1, 2024-June 30, 2025), MA-C hosted a webinar call each month; topics were identified based on feedback and frequent questions from EIS program directors as well as data analysis across EIS programs for common themes for needed technical assistance. Topics included providing services in the natural environment, understanding how OSEP makes state determinations, the dispute resolution system, when to provide prior written notice, a summary of OSEP’s General Supervision Guidance, demonstration studies of the PETAL project, what to expect with DMS 2.0, and how to access the Information Resource Center. MA-C maintains a list of technical assistance webinars and topics on its website (https://www.mass.gov/info-details/ei-technical-assistance). </w:t>
      </w:r>
    </w:p>
    <w:p>
      <w:pPr>
        <w:pStyle w:val=""/>
      </w:pPr>
      <w:r>
        <w:rPr>
          <w:rFonts w:ascii="" w:hAnsi="" w:cs="" w:eastAsia=""/>
          <w:b w:val="false"/>
          <w:i w:val="false"/>
          <w:color w:val="000000"/>
        </w:rPr>
        <w:t/>
      </w:r>
    </w:p>
    <w:p>
      <w:pPr>
        <w:pStyle w:val=""/>
      </w:pPr>
      <w:r>
        <w:rPr>
          <w:rFonts w:ascii="" w:hAnsi="" w:cs="" w:eastAsia=""/>
          <w:b w:val="false"/>
          <w:i w:val="false"/>
          <w:color w:val="000000"/>
        </w:rPr>
        <w:t>MA-C regularly communicated with its early intervention services (EIS) program directors by way of a weekly email. These emails include announcements from related state agencies involved in the early childhood system of care, public health alerts, reminders about upcoming deadlines, and highlights data from its database (Early Intervention Client System; EICS). In federal fiscal year 2024 (FFY24; July 1, 2024-June 30, 2025), MA-C maintained its coordinated communications to its state interagency coordinating council (ICC), providing subcommittees advanced notice of upcoming announcements that related to matters on which the ICC had made recommendations.</w:t>
      </w:r>
    </w:p>
    <w:p>
      <w:pPr>
        <w:pStyle w:val=""/>
      </w:pPr>
      <w:r>
        <w:rPr>
          <w:rFonts w:ascii="" w:hAnsi="" w:cs="" w:eastAsia=""/>
          <w:b w:val="false"/>
          <w:i w:val="false"/>
          <w:color w:val="000000"/>
        </w:rPr>
        <w:t/>
      </w:r>
    </w:p>
    <w:p>
      <w:pPr>
        <w:pStyle w:val=""/>
      </w:pPr>
      <w:r>
        <w:rPr>
          <w:rFonts w:ascii="" w:hAnsi="" w:cs="" w:eastAsia=""/>
          <w:b w:val="false"/>
          <w:i w:val="false"/>
          <w:color w:val="000000"/>
        </w:rPr>
        <w:t>During federal fiscal year 2024 (FFY24; July 1, 2024-June 30, 2025), MA-C continued its topical roundtable events, during which early intervention services (EIS) program directors met with the Clinical Quality Manager to review a specific topic through a brief structured presentation followed by question-and-answer sessions. During FFY24, five roundtable events were held (four in-person, one virtually), all focusing on the provision of services in the natural environment.</w:t>
      </w:r>
    </w:p>
    <w:p>
      <w:pPr>
        <w:pStyle w:val=""/>
      </w:pPr>
      <w:r>
        <w:rPr>
          <w:rFonts w:ascii="" w:hAnsi="" w:cs="" w:eastAsia=""/>
          <w:b w:val="false"/>
          <w:i w:val="false"/>
          <w:color w:val="000000"/>
        </w:rPr>
        <w:t/>
      </w:r>
    </w:p>
    <w:p>
      <w:pPr>
        <w:pStyle w:val=""/>
      </w:pPr>
      <w:r>
        <w:rPr>
          <w:rFonts w:ascii="" w:hAnsi="" w:cs="" w:eastAsia=""/>
          <w:b w:val="false"/>
          <w:i w:val="false"/>
          <w:color w:val="000000"/>
        </w:rPr>
        <w:t xml:space="preserve">During federal fiscal year 2024 (FFY24; July 1, 2024-June 30, 2025) was tri-annual technical assistance meetings for its 21 early intensive behavioral intervention (EIBI) specialty services programs. These technical assistance webinars occurred three times during FFY24 and were facilitated by MA-C's Clinical Oversight and Support Specialist. During the meetings, the director of the Commonwealth's Insurance Resource Center for Autism and Behavioral Health presented updated information about insurance funding or administrative requirements and took questions from the EIBI program directors. The purpose of these meetings was to proactively provide technical assistance to ensure EIBI services programs were exhausting all other sources of funding for services rendered prior to submitting claims to MA-C as the payor of last resort. </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335A0140"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have the skills to effectively provide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The Lead Agency (MA-C) has established mechanisms for ongoing professional development for both MA-C staff and EIS program directors and providers.</w:t>
      </w:r>
    </w:p>
    <w:p>
      <w:pPr>
        <w:pStyle w:val=""/>
      </w:pPr>
      <w:r>
        <w:rPr>
          <w:rFonts w:ascii="" w:hAnsi="" w:cs="" w:eastAsia=""/>
          <w:b w:val="false"/>
          <w:i w:val="false"/>
          <w:color w:val="000000"/>
        </w:rPr>
        <w:t/>
      </w:r>
    </w:p>
    <w:p>
      <w:pPr>
        <w:pStyle w:val=""/>
      </w:pPr>
      <w:r>
        <w:rPr>
          <w:rFonts w:ascii="" w:hAnsi="" w:cs="" w:eastAsia=""/>
          <w:b w:val="false"/>
          <w:i w:val="false"/>
          <w:color w:val="000000"/>
        </w:rPr>
        <w:t xml:space="preserve">The Part C Coordinator ensures MA-C staff review existing technical assistance resources and solicit ongoing feedback and guidance from the Early Childhood Technical Assistance Center (ECTA), The Center for IDEA and Early Childhood Data Systems (DaSy), the Center for IDEA Fiscal Reporting (CIFR), and the Center for Appropriate Dispute Resolution in Special Education (CADRE). MA-C staff regularly participate in individual meetings with ECTA and CIFR representatives, community of practices (e.g., DMS Cohort 3 preparations, CADRE), attend technical assistance webinars and maintain their own professional development which supports their ability to provide ongoing TA to the 63 comprehensive EIS programs and 22 specialty services programs contracted with MA-C. </w:t>
      </w:r>
    </w:p>
    <w:p>
      <w:pPr>
        <w:pStyle w:val=""/>
      </w:pPr>
      <w:r>
        <w:rPr>
          <w:rFonts w:ascii="" w:hAnsi="" w:cs="" w:eastAsia=""/>
          <w:b w:val="false"/>
          <w:i w:val="false"/>
          <w:color w:val="000000"/>
        </w:rPr>
        <w:t/>
      </w:r>
    </w:p>
    <w:p>
      <w:pPr>
        <w:pStyle w:val=""/>
      </w:pPr>
      <w:r>
        <w:rPr>
          <w:rFonts w:ascii="" w:hAnsi="" w:cs="" w:eastAsia=""/>
          <w:b w:val="false"/>
          <w:i w:val="false"/>
          <w:color w:val="000000"/>
        </w:rPr>
        <w:t>The Part C Coordinator hosted Core Knowledge meetings once monthly for MA-C staff for a half-hour. The calls are arranged and moderated by the Part C Coordinator or another senior leader within MA-C. The purpose of these calls is to educate MA-C staff about critical parts of Part C of the IDEA, guidance from OSEP, and practical information regarding OSEP procedures. Following each Core Knowledge meeting, the Part C Coordinator distributes copies of all slides and resources presented to MA-C staff. In addition, MA-C's Clinical Oversight and Support Specialists and Account Analysts can use the information received during these calls and disseminate in their oversight of early intervention services (EIS) programs. Data are collected on attendees’ knowledge prior to and following each Core Knowledge meeting to demonstrate effective learning and behavior change. During FFY24, Core Knowledge topics included a summary of findings related to data in DMS 2.0 reports, an overview of the DMS protocols, guest speakers from other Part C states who have completed the DMS site visit, a review of the FFY24 Part C Grant application and budget, and fiscal monitoring case examples.</w:t>
      </w:r>
    </w:p>
    <w:p>
      <w:pPr>
        <w:pStyle w:val=""/>
      </w:pPr>
      <w:r>
        <w:rPr>
          <w:rFonts w:ascii="" w:hAnsi="" w:cs="" w:eastAsia=""/>
          <w:b w:val="false"/>
          <w:i w:val="false"/>
          <w:color w:val="000000"/>
        </w:rPr>
        <w:t/>
      </w:r>
    </w:p>
    <w:p>
      <w:pPr>
        <w:pStyle w:val=""/>
      </w:pPr>
      <w:r>
        <w:rPr>
          <w:rFonts w:ascii="" w:hAnsi="" w:cs="" w:eastAsia=""/>
          <w:b w:val="false"/>
          <w:i w:val="false"/>
          <w:color w:val="000000"/>
        </w:rPr>
        <w:t xml:space="preserve">MA-C established personnel standards for all individuals that provide early intervention services (EIS), including specialty service providers. These standards are maintained and monitored for all EIS providers, requiring educational background and licensure (if applicable). To provide services to infants and toddlers enrolled in the MA-C system, providers must be employed by one of the agencies under contract with MA-C to provide these services and have their credentials (e.g., licensure, certifications) and required work experience verified first by their employer (i.e., the EIS program director) who submits the documentation into MA-C's database (Early Intervention Client System; EICS) before being approved by MA-C's Clinical Quality Manager. MA-C maintains a webpage for interested individuals seeking to become an EIS provider (https://www.mass.gov/info-details/how-to-become-an-early-intervention-provider). </w:t>
      </w:r>
    </w:p>
    <w:p>
      <w:pPr>
        <w:pStyle w:val=""/>
      </w:pPr>
      <w:r>
        <w:rPr>
          <w:rFonts w:ascii="" w:hAnsi="" w:cs="" w:eastAsia=""/>
          <w:b w:val="false"/>
          <w:i w:val="false"/>
          <w:color w:val="000000"/>
        </w:rPr>
        <w:t/>
      </w:r>
    </w:p>
    <w:p>
      <w:pPr>
        <w:pStyle w:val=""/>
      </w:pPr>
      <w:r>
        <w:rPr>
          <w:rFonts w:ascii="" w:hAnsi="" w:cs="" w:eastAsia=""/>
          <w:b w:val="false"/>
          <w:i w:val="false"/>
          <w:color w:val="000000"/>
        </w:rPr>
        <w:t>Within the first 6 months of being hired new early intervention services (EIS) providers must complete required professional development sessions and onboarding procedures required by their hiring agency. MA-C contracts with a vendor to oversee its pre-service training and develop and deliver ongoing professional development to its EIS providers. Under the direction of MA-C’s Clinical Quality Manager, the vendor develops and delivers training across priority areas (e.g., IDEA part C and federal compliance indicators, history of EI in Massachusetts and the EI care cascade, culturally and linguistically appropriate services, procedural safeguards, evidence-based strategies to improve early childhood outcomes, functional assessment, transition) into each of which family engagement is embedded. The Part C Coordinator joined each of the 10 training cohorts to present an overview of the MA-C care cascade, information about the role of the lead agency, and answer questions from trainees. During federal fiscal year 2024 (July 1, 2024-June 30, 2025), the vendor continued to leverage virtual platforms (e.g., Zoom, Microsoft Teams) to deliver synchronous and asynchronous professional development opportunities. During FFY24, 192 new EIS providers completed this orientation.</w:t>
      </w:r>
    </w:p>
    <w:p>
      <w:pPr>
        <w:pStyle w:val=""/>
      </w:pPr>
      <w:r>
        <w:rPr>
          <w:rFonts w:ascii="" w:hAnsi="" w:cs="" w:eastAsia=""/>
          <w:b w:val="false"/>
          <w:i w:val="false"/>
          <w:color w:val="000000"/>
        </w:rPr>
        <w:t/>
      </w:r>
    </w:p>
    <w:p>
      <w:pPr>
        <w:pStyle w:val=""/>
      </w:pPr>
      <w:r>
        <w:rPr>
          <w:rFonts w:ascii="" w:hAnsi="" w:cs="" w:eastAsia=""/>
          <w:b w:val="false"/>
          <w:i w:val="false"/>
          <w:color w:val="000000"/>
        </w:rPr>
        <w:t>During federal fiscal year 2024 (FFY24; July 1, 2024-June 30, 2025), MA-C continued its community of practice designed to engage EIS providers who supervise the delivery of early intervention services. The purpose of these groups was to educate supervisors about the revised orientation curriculum and help them create opportunities for additional practice once new EIS providers finished the orientation. During FFY24, 28 supervisors working in EIS programs participated.</w:t>
      </w:r>
    </w:p>
    <w:p>
      <w:pPr>
        <w:pStyle w:val=""/>
      </w:pPr>
      <w:r>
        <w:rPr>
          <w:rFonts w:ascii="" w:hAnsi="" w:cs="" w:eastAsia=""/>
          <w:b w:val="false"/>
          <w:i w:val="false"/>
          <w:color w:val="000000"/>
        </w:rPr>
        <w:t/>
      </w:r>
    </w:p>
    <w:p>
      <w:pPr>
        <w:pStyle w:val=""/>
      </w:pPr>
      <w:r>
        <w:rPr>
          <w:rFonts w:ascii="" w:hAnsi="" w:cs="" w:eastAsia=""/>
          <w:b w:val="false"/>
          <w:i w:val="false"/>
          <w:color w:val="000000"/>
        </w:rPr>
        <w:t xml:space="preserve">“Beyond Bubbles and Blocks” is a newsletter designed for early intervention services (EIS) providers. MA-C sends this professional development newsletter on a bimonthly basis to anyone who signs up to receive these notifications through its website (https://www.mass.gov/forms/early-intervention-professional-development-newsletter-beyond-bubbles-and-blocks). During federal fiscal year 2024 (FFY24; July 1, 2024-June 30, 2025), the “Beyond Bubbles and Blocks” newsletter had 353 subscribers. Topics were identified based on feedback and questions from EIS program directors and providers as well as data analysis across EIS programs for common themes. Topics during FFY24 included Accurate and Reliable Data, Procedural Safeguards and Family Rights, How State Determinations are Made, Parent Rights in Public Funds and Private Insurance (Consent to Access Insurance),The Battelle Developmental Inventory-3 tool as the Child Outcomes Tool for MA-C, Part C Exiting Categories. </w:t>
      </w:r>
    </w:p>
    <w:p>
      <w:pPr>
        <w:pStyle w:val=""/>
      </w:pPr>
      <w:r>
        <w:rPr>
          <w:rFonts w:ascii="" w:hAnsi="" w:cs="" w:eastAsia=""/>
          <w:b w:val="false"/>
          <w:i w:val="false"/>
          <w:color w:val="000000"/>
        </w:rPr>
        <w:t/>
      </w:r>
    </w:p>
    <w:p>
      <w:pPr>
        <w:pStyle w:val=""/>
      </w:pPr>
      <w:r>
        <w:rPr>
          <w:rFonts w:ascii="" w:hAnsi="" w:cs="" w:eastAsia=""/>
          <w:b w:val="false"/>
          <w:i w:val="false"/>
          <w:color w:val="000000"/>
        </w:rPr>
        <w:t xml:space="preserve">A new initiative for federal fiscal year 2024 (FFY24; July 1, 2024-June 30, 2025) was a community of practice for early intervention services providers designed to increase their capacity to effectively embed family engagement in early intervention services hosted by MA-C’s Family &amp; Community Engagement Unit. The calls were arranged and moderated by MA-C's Family &amp; Community Engagement Manager. The purpose of these calls were to educate early intervention services (EIS) program directors and EIS providers about principles for effective family engagement, share resources and best practices, and provide guidance in using family engagement data to drive programmatic improvement. </w:t>
      </w:r>
    </w:p>
    <w:p>
      <w:pPr>
        <w:pStyle w:val=""/>
      </w:pPr>
      <w:r>
        <w:rPr>
          <w:rFonts w:ascii="" w:hAnsi="" w:cs="" w:eastAsia=""/>
          <w:b w:val="false"/>
          <w:i w:val="false"/>
          <w:color w:val="000000"/>
        </w:rPr>
        <w:t/>
      </w:r>
    </w:p>
    <w:p>
      <w:pPr>
        <w:pStyle w:val=""/>
      </w:pPr>
      <w:r>
        <w:rPr>
          <w:rFonts w:ascii="" w:hAnsi="" w:cs="" w:eastAsia=""/>
          <w:b w:val="false"/>
          <w:i w:val="false"/>
          <w:color w:val="000000"/>
        </w:rPr>
        <w:t>In FFY24 (July 1, 2024-June 30, 2025), MA-C hosted a webinar call each month; topics were identified based on feedback and frequent questions from EIS program directors as well as data analysis across EIS programs for common themes for needed technical assistance. Topics included providing services in the natural environment, understanding how OSEP makes state determinations, the dispute resolution system, when to provide prior written notice, a summary of OSEP’s General Supervision Guidance, demonstration studies of the PETAL project, what to expect with DMS 2.0, and how to access the Information Resource Center. MA-C maintains a list of technical assistance webinars and topics on its website (https://www.mass.gov/info-details/ei-technical-assistance).</w:t>
      </w:r>
    </w:p>
    <w:p w14:paraId="29B4BF78" w14:textId="168C5C46" w:rsidR="00D62BE4" w:rsidRPr="00D62BE4" w:rsidRDefault="00492B6F" w:rsidP="00D62BE4">
      <w:pPr>
        <w:rPr>
          <w:b/>
          <w:color w:val="000000" w:themeColor="text1"/>
        </w:rPr>
      </w:pPr>
      <w:r>
        <w:rPr>
          <w:b/>
          <w:color w:val="000000" w:themeColor="text1"/>
        </w:rPr>
        <w:t xml:space="preserve">Stakeholder Engagement: </w:t>
      </w:r>
    </w:p>
    <w:p w14:paraId="35CAF926" w14:textId="5CC7F759" w:rsidR="00B717AA" w:rsidRDefault="00492B6F" w:rsidP="00D62BE4">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sidRPr="00D62BE4" w:rsidDel="00492B6F">
        <w:rPr>
          <w:b/>
          <w:color w:val="000000" w:themeColor="text1"/>
        </w:rPr>
        <w:t xml:space="preserve"> </w:t>
      </w:r>
    </w:p>
    <w:p w14:paraId="025083D4" w14:textId="1FBE7633" w:rsidR="00D62BE4" w:rsidRPr="00F85A5B" w:rsidRDefault="00116D8B" w:rsidP="00D62BE4">
      <w:pPr>
        <w:rPr>
          <w:color w:val="000000" w:themeColor="text1"/>
          <w:szCs w:val="16"/>
        </w:rPr>
      </w:pPr>
      <w:r w:rsidRPr="00ED172B">
        <w:rPr>
          <w:color w:val="000000" w:themeColor="text1"/>
          <w:szCs w:val="16"/>
        </w:rPr>
        <w:t>During federal fiscal year 2024 (i.e., July 1, 2024-June 30, 2025), the Lead Agency (MA-C) consistently engaged a broad group of stakeholders. MA-C continued to rely on the State Interagency Coordinating Council (ICC) as its primary stakeholder body and increased representation from state agencies involved in the early childhood system of care. During each ICC meeting, the Part C Coordinator or her designee defined, described, and provided an example of the problem or data to be reviewed before orienting attendees to the figures, presenting the data, and asking for assistance to contextualize the data and draw meaningful conclusions from it. Roundtables with early intervention services (EIS) providers were introduced to review and receive feedback on specified topics. MA-C implemented its coordinated cascading communication plans to improve proactive communications to different stakeholders with targeted communications for each stakeholder group and expanded it by coordinating with the Department of Public Health's Legislative Affairs office to engage elected officials and with its Division of Insurance to engage commercial insurance representatives. The Part C Coordinator presented data on the Part C system’s performance and solicited feedback and guidance from staff of Massachusetts’ Parent Training and Information Center (PTIC). MA-C further increased its data available to EIS program directors within its database, the Early Intervention Client System (EICS). These reports were developed in part to engage stakeholders by providing easier access to data for decision-making activities.</w:t>
      </w:r>
    </w:p>
    <w:p>
      <w:pPr>
        <w:pStyle w:val=""/>
      </w:pPr>
      <w:r>
        <w:rPr>
          <w:rFonts w:ascii="" w:hAnsi="" w:cs="" w:eastAsia=""/>
          <w:b w:val="false"/>
          <w:i w:val="false"/>
          <w:color w:val="000000"/>
        </w:rPr>
        <w:t/>
      </w:r>
    </w:p>
    <w:p>
      <w:pPr>
        <w:pStyle w:val=""/>
      </w:pPr>
      <w:r>
        <w:rPr>
          <w:rFonts w:ascii="" w:hAnsi="" w:cs="" w:eastAsia=""/>
          <w:b w:val="false"/>
          <w:i w:val="false"/>
          <w:color w:val="000000"/>
        </w:rPr>
        <w:t>This Annual Performance Report (APR) was developed with broad stakeholder input. At a meeting for directors of early intervention services (EIS) programs in October 2025, the Part C Coordinator presented results from federal fiscal year 2024 (July 1, 2024-June 30, 2025) for each indicator. At State Interagency Coordinating Council (ICC) meetings in October 2025 and January 2026, the members reviewed results from FFY24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Feedback received from these meetings has been included throughout this APR. Drafts were also shared with staff from the Early Childhood Technical Assistance Center (ECTA), who reviewed and provided initial feedback and guidance.</w:t>
      </w:r>
    </w:p>
    <w:p>
      <w:pPr>
        <w:pStyle w:val=""/>
      </w:pPr>
      <w:r>
        <w:rPr>
          <w:rFonts w:ascii="" w:hAnsi="" w:cs="" w:eastAsia=""/>
          <w:b w:val="false"/>
          <w:i w:val="false"/>
          <w:color w:val="000000"/>
        </w:rPr>
        <w:t/>
      </w:r>
    </w:p>
    <w:p>
      <w:pPr>
        <w:pStyle w:val=""/>
      </w:pPr>
      <w:r>
        <w:rPr>
          <w:rFonts w:ascii="" w:hAnsi="" w:cs="" w:eastAsia=""/>
          <w:b w:val="false"/>
          <w:i w:val="false"/>
          <w:color w:val="000000"/>
        </w:rPr>
        <w:t>In December 2025, the Part C Coordinator presented to the Parent Training and Information Center about MA-C’s FFY24 Indicator 3 Outcomes and asked for observations and recommendations. The PTIC staff recommended additional support be provided to help families see the benefit of standardized assessments, specifically by creating additional materials to help EIS providers communicate directly with families about the value of standardized assessments, possibly through the creation of videos. They noted that some families have competing demands and may not feel comfortable with in-home services. Additionally, language access could be a potential barrier to the provision of research-based effective services and recommended MA-C continue to support interpretation services. The PTIC also wondered about the relation between timely service delivery and children's outcomes and encouraged MA-C to conduct this analysis.</w:t>
      </w:r>
    </w:p>
    <w:p>
      <w:pPr>
        <w:pStyle w:val=""/>
      </w:pPr>
      <w:r>
        <w:rPr>
          <w:rFonts w:ascii="" w:hAnsi="" w:cs="" w:eastAsia=""/>
          <w:b w:val="false"/>
          <w:i w:val="false"/>
          <w:color w:val="000000"/>
        </w:rPr>
        <w:t/>
      </w:r>
    </w:p>
    <w:p>
      <w:pPr>
        <w:pStyle w:val=""/>
      </w:pPr>
      <w:r>
        <w:rPr>
          <w:rFonts w:ascii="" w:hAnsi="" w:cs="" w:eastAsia=""/>
          <w:b w:val="false"/>
          <w:i w:val="false"/>
          <w:color w:val="000000"/>
        </w:rPr>
        <w:t xml:space="preserve">MA-C engaged stakeholders on its FFY24 performance beyond the APR indicators. In July 2025, the Clinical Quality Manager presented information to the Massachusetts Autism Commission’s Birth to 14 Subcommittee about MA-C’s cyclical monitoring procedures, Indicator 12 data, and asked for observations and recommendations. The subcommittee recommended the provision of additional training to EIS programs and providers about the identification, correction, and verification of noncompliance and encouraged MA-C to consider recording trainings that could be viewed on-demand. The committee also encouraged MA-C to consider monetary incentives for improved EIS program performance across time. Finally, the subcommittee recommended that, for children diagnosed with autism, MA-C consider requiring SEA/LEA notification be sent no more than 6 months prior to a child’s third birthday. </w:t>
      </w:r>
    </w:p>
    <w:p>
      <w:pPr>
        <w:pStyle w:val=""/>
      </w:pPr>
      <w:r>
        <w:rPr>
          <w:rFonts w:ascii="" w:hAnsi="" w:cs="" w:eastAsia=""/>
          <w:b w:val="false"/>
          <w:i w:val="false"/>
          <w:color w:val="000000"/>
        </w:rPr>
        <w:t/>
      </w:r>
    </w:p>
    <w:p>
      <w:pPr>
        <w:pStyle w:val=""/>
      </w:pPr>
      <w:r>
        <w:rPr>
          <w:rFonts w:ascii="" w:hAnsi="" w:cs="" w:eastAsia=""/>
          <w:b w:val="false"/>
          <w:i w:val="false"/>
          <w:color w:val="000000"/>
        </w:rPr>
        <w:t xml:space="preserve">In October 2025, a small group of stakeholders were recruited to review MA-C’s data completeness (i.e., the percentage of children included in Indicator 3 Outcomes), Indicator 3 Outcomes disaggregated by progress category, and offer recommendations for MA-C to report using the new tool, the Battelle Developmental Inventory, 3rd ed. The stakeholders offered a number of recommendations to increase EIS program and provider knowledge and understanding of Indicator 3 progress categories. </w:t>
      </w:r>
    </w:p>
    <w:p>
      <w:pPr>
        <w:pStyle w:val=""/>
      </w:pPr>
      <w:r>
        <w:rPr>
          <w:rFonts w:ascii="" w:hAnsi="" w:cs="" w:eastAsia=""/>
          <w:b w:val="false"/>
          <w:i w:val="false"/>
          <w:color w:val="000000"/>
        </w:rPr>
        <w:t/>
      </w:r>
    </w:p>
    <w:p>
      <w:pPr>
        <w:pStyle w:val=""/>
      </w:pPr>
      <w:r>
        <w:rPr>
          <w:rFonts w:ascii="" w:hAnsi="" w:cs="" w:eastAsia=""/>
          <w:b w:val="false"/>
          <w:i w:val="false"/>
          <w:color w:val="000000"/>
        </w:rPr>
        <w:t>Stakeholder groups designed to engage EIS program directors, providers, and developers who interact with MA-C’s database, the Early Intervention Client System (EICS) continued to meet in federal fiscal year 2024 (FFY24; July 1, 2024-June 30, 2025). The purpose of these groups was to engage stakeholders in enhancing the EICS to increase quality data and use it to drive meaningful conclusions for programmatic improvement. Two groups met: (1) the EICS Users group, (2) the EMR Users group. The EICS Users group is a closed group of 20 members who represent the 52 EIS and specialty services programs who access the EICS through the web-based user interface (UI). This group reviewed and discussed topics such as reason for delay, LEA notification and the MA-C opt out policy, and reports available in EICS. The Electronic Medical Record (EMR) Users group is a closed group of 25 members who represent the 30 EIS and specialty services programs who enter data into EICS via an electronic medical record that uploads to EICS. Because 20 EIS programs rely on the same EMR software, the EMR software developer was invited to participate in this group. The EMR Users group reviewed topics such as preventing duplicate submissions, error message review, and the LEA notification and improving implementation of the MA-C opt-out policy in the database.</w:t>
      </w:r>
    </w:p>
    <w:p w14:paraId="250D9274" w14:textId="1C276BD3"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t>NO</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7</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lastRenderedPageBreak/>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During federal fiscal year 2024 (FFY24; July 1, 2024-June 30, 2025), there were 29 total members (7 parent representatives, 8 provider representatives, 8 state agency representatives, and 6 community members). Parent members comprise 24.1% of the ICC's total membership. The parent representatives of the State Interagency Coordinating Council (ICC) and parents from local and statewide advocacy and advisory committees were engaged in analyzing data, developing improvement strategies, and evaluating progress in several ways. One way in which parents were involved in system-wide programmatic improvements in FFY24 was by reviewing response rates on the Impacts on Family Survey (used to calculate indicator 4 data) and proposing actionable next steps or behavior change for improving representativeness.</w:t>
      </w:r>
    </w:p>
    <w:p>
      <w:pPr>
        <w:pStyle w:val=""/>
      </w:pPr>
      <w:r>
        <w:rPr>
          <w:rFonts w:ascii="" w:hAnsi="" w:cs="" w:eastAsia=""/>
          <w:b w:val="false"/>
          <w:i w:val="false"/>
          <w:color w:val="000000"/>
        </w:rPr>
        <w:t/>
      </w:r>
    </w:p>
    <w:p>
      <w:pPr>
        <w:pStyle w:val=""/>
      </w:pPr>
      <w:r>
        <w:rPr>
          <w:rFonts w:ascii="" w:hAnsi="" w:cs="" w:eastAsia=""/>
          <w:b w:val="false"/>
          <w:i w:val="false"/>
          <w:color w:val="000000"/>
        </w:rPr>
        <w:t>The Commonwealth’s Parent Training and Information Center and is staffed by individuals with lived experience caring for a child with special needs. PTIC staff met regularly with MA-C’s Family and Community Engagement Manager and the Part C Coordinator to share common themes from the parent support network they offer.</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 xml:space="preserve">During federal fiscal year 2024 (FFY24; July 1, 2024-June 30, 2025), the Lead Agency (MA-C) conducted activities designed to increase the capacity of diverse groups of parents to support the development of implementation activities designed to improve outcomes for infants and toddlers with disabilities and their families. </w:t>
      </w:r>
    </w:p>
    <w:p>
      <w:pPr>
        <w:pStyle w:val=""/>
      </w:pPr>
      <w:r>
        <w:rPr>
          <w:rFonts w:ascii="" w:hAnsi="" w:cs="" w:eastAsia=""/>
          <w:b w:val="false"/>
          <w:i w:val="false"/>
          <w:color w:val="000000"/>
        </w:rPr>
        <w:t/>
      </w:r>
    </w:p>
    <w:p>
      <w:pPr>
        <w:pStyle w:val=""/>
      </w:pPr>
      <w:r>
        <w:rPr>
          <w:rFonts w:ascii="" w:hAnsi="" w:cs="" w:eastAsia=""/>
          <w:b w:val="false"/>
          <w:i w:val="false"/>
          <w:color w:val="000000"/>
        </w:rPr>
        <w:t xml:space="preserve">The Family &amp; Community Engagement Unit recruited families with varied experiences to participate in the State Interagency Coordinating Council (ICC), other public bodies, and to participate in governance activities such as reviewing procurements and grant applications. </w:t>
      </w:r>
    </w:p>
    <w:p>
      <w:pPr>
        <w:pStyle w:val=""/>
      </w:pPr>
      <w:r>
        <w:rPr>
          <w:rFonts w:ascii="" w:hAnsi="" w:cs="" w:eastAsia=""/>
          <w:b w:val="false"/>
          <w:i w:val="false"/>
          <w:color w:val="000000"/>
        </w:rPr>
        <w:t/>
      </w:r>
    </w:p>
    <w:p>
      <w:pPr>
        <w:pStyle w:val=""/>
      </w:pPr>
      <w:r>
        <w:rPr>
          <w:rFonts w:ascii="" w:hAnsi="" w:cs="" w:eastAsia=""/>
          <w:b w:val="false"/>
          <w:i w:val="false"/>
          <w:color w:val="000000"/>
        </w:rPr>
        <w:t xml:space="preserve">The State Interagency Coordinating Council continued its subcommittees during FFY24. These subcommittees, comprised of early intervention services (EIS) program directors, parent representatives, and MA-C staff, were charged with increasing the representativeness of the Impacts of Family Survey (i.e., the tool used to collect data for Indicator 4) and offering recommendations to MA-C to improve service quality. </w:t>
      </w:r>
    </w:p>
    <w:p>
      <w:pPr>
        <w:pStyle w:val=""/>
      </w:pPr>
      <w:r>
        <w:rPr>
          <w:rFonts w:ascii="" w:hAnsi="" w:cs="" w:eastAsia=""/>
          <w:b w:val="false"/>
          <w:i w:val="false"/>
          <w:color w:val="000000"/>
        </w:rPr>
        <w:t/>
      </w:r>
    </w:p>
    <w:p>
      <w:pPr>
        <w:pStyle w:val=""/>
      </w:pPr>
      <w:r>
        <w:rPr>
          <w:rFonts w:ascii="" w:hAnsi="" w:cs="" w:eastAsia=""/>
          <w:b w:val="false"/>
          <w:i w:val="false"/>
          <w:color w:val="000000"/>
        </w:rPr>
        <w:t>As a result of these activities, an increased number of diverse and representative families participated in shaping MA-C's programmatic improvement activities.</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t xml:space="preserve">This State Performance Plan/Annual Performance Report (SPP/APR) was developed with broad input from key representatives. The Part C Coordinator presented results from federal fiscal year 2024 (FFY24; July 1, 2024-June 30, 2025) for each indicator in comparison to the prior four federal fiscal years </w:t>
      </w:r>
    </w:p>
    <w:p>
      <w:pPr>
        <w:pStyle w:val=""/>
      </w:pPr>
      <w:r>
        <w:rPr>
          <w:rFonts w:ascii="" w:hAnsi="" w:cs="" w:eastAsia=""/>
          <w:b w:val="false"/>
          <w:i w:val="false"/>
          <w:color w:val="000000"/>
        </w:rPr>
        <w:t xml:space="preserve">to the State Interagency Coordinating Council (ICC) meeting on October 9, 2025, and solicited additional feedback from the members and public attendees. Next, she presented to the early intervention services (EIS) program directors in a webinar on October 21, 2025 and solicited input about what contributed to the progress and slippage observed. A draft of the APR was sent to national technical assistance (TA) centers, including DaSy and the ECTA Center, whose staff reviewed the draft and provided helpful guidance. </w:t>
      </w:r>
    </w:p>
    <w:p>
      <w:pPr>
        <w:pStyle w:val=""/>
      </w:pPr>
      <w:r>
        <w:rPr>
          <w:rFonts w:ascii="" w:hAnsi="" w:cs="" w:eastAsia=""/>
          <w:b w:val="false"/>
          <w:i w:val="false"/>
          <w:color w:val="000000"/>
        </w:rPr>
        <w:t/>
      </w:r>
    </w:p>
    <w:p>
      <w:pPr>
        <w:pStyle w:val=""/>
      </w:pPr>
      <w:r>
        <w:rPr>
          <w:rFonts w:ascii="" w:hAnsi="" w:cs="" w:eastAsia=""/>
          <w:b w:val="false"/>
          <w:i w:val="false"/>
          <w:color w:val="000000"/>
        </w:rPr>
        <w:t xml:space="preserve">During federal fiscal year 2024 (FFY24; July 1, 2024-June 30, 2025), the State Interagency Coordinating Council (ICC) continued its charges developed on October 19, 2023, the in collaboration with MA-C staff. The ICC met in November 2024, January 2025, March 2025, and June 2025 to work toward those charges. During each meeting, the Part C Coordinator or her designee presented data on MA-C's performance as well as other metrics requested by the ICC. </w:t>
      </w:r>
    </w:p>
    <w:p>
      <w:pPr>
        <w:pStyle w:val=""/>
      </w:pPr>
      <w:r>
        <w:rPr>
          <w:rFonts w:ascii="" w:hAnsi="" w:cs="" w:eastAsia=""/>
          <w:b w:val="false"/>
          <w:i w:val="false"/>
          <w:color w:val="000000"/>
        </w:rPr>
        <w:t/>
      </w:r>
    </w:p>
    <w:p>
      <w:pPr>
        <w:pStyle w:val=""/>
      </w:pPr>
      <w:r>
        <w:rPr>
          <w:rFonts w:ascii="" w:hAnsi="" w:cs="" w:eastAsia=""/>
          <w:b w:val="false"/>
          <w:i w:val="false"/>
          <w:color w:val="000000"/>
        </w:rPr>
        <w:t>In April 2025, the FFY25 Part C Application was made available to the public. An announcement was made on MA-C's website, distributed via email to all contracted early intervention services (EIS) programs, and announced via email via to MA-C's electronic mail listserv. The Part C Coordinator presented the application to the State Interagency Coordinating Council (ICC) at a meeting in March 2025. An online form was developed to collect questions and feedback from MA-C's key representatives and the general public. Comments were reviewed for patterns of questions or concerns related to the Part C Application and the application was revised prior to submission. The ICC reviewed the final application as submitted in a meeting on June 5, 2025. During federal fiscal year 2024 (FFY24; July 1, 2024 – June 30, 2025), MA-C created a new webpage designed to educate its stakeholders and the public about its Part C grant application (https://www.mass.gov/lists/public-reporting-for-early-intervention#about-part-c-grant-application-</w:t>
      </w:r>
    </w:p>
    <w:p>
      <w:pPr>
        <w:pStyle w:val=""/>
      </w:pPr>
      <w:r>
        <w:rPr>
          <w:rFonts w:ascii="" w:hAnsi="" w:cs="" w:eastAsia=""/>
          <w:b w:val="false"/>
          <w:i w:val="false"/>
          <w:color w:val="000000"/>
        </w:rPr>
        <w:t/>
      </w:r>
    </w:p>
    <w:p>
      <w:pPr>
        <w:pStyle w:val=""/>
      </w:pPr>
      <w:r>
        <w:rPr>
          <w:rFonts w:ascii="" w:hAnsi="" w:cs="" w:eastAsia=""/>
          <w:b w:val="false"/>
          <w:i w:val="false"/>
          <w:color w:val="000000"/>
        </w:rPr>
        <w:t>The federal fiscal year 2024 (FFY24; July 1, 2024-June 30, 2025) timeline for soliciting public input included activities throughout the reporting year, as described within each indicator's section.</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E68F210" w:rsidR="00583FAD" w:rsidRDefault="00583FAD" w:rsidP="00583FAD">
      <w:pPr>
        <w:rPr>
          <w:b/>
          <w:color w:val="000000" w:themeColor="text1"/>
        </w:rPr>
      </w:pPr>
      <w:r w:rsidRPr="00F85A5B">
        <w:rPr>
          <w:b/>
          <w:color w:val="000000" w:themeColor="text1"/>
        </w:rPr>
        <w:t>The mechanisms and timelines for making the results of the setting targets, data analysis, development of the improvement strategies, and evaluation available to the public.</w:t>
      </w:r>
    </w:p>
    <w:p w14:paraId="11C27D9E" w14:textId="4B17759B" w:rsidR="00583FAD" w:rsidRDefault="00583FAD" w:rsidP="00583FAD">
      <w:pPr>
        <w:rPr>
          <w:color w:val="000000" w:themeColor="text1"/>
          <w:szCs w:val="16"/>
        </w:rPr>
      </w:pPr>
      <w:r w:rsidRPr="00ED172B">
        <w:rPr>
          <w:color w:val="000000" w:themeColor="text1"/>
          <w:szCs w:val="16"/>
        </w:rPr>
        <w:t xml:space="preserve">The Part C Coordinator presented results for federal fiscal year 2024 (FFY24; July 1, 2024-June 30, 2025) and discussed data analysis results with the State Interagency Coordinating Council (ICC) on October 9, 2025 and January 9, 2026. The results of the data analysis were presented to the public in both graphs and tables for development of the improvement strategies and evaluation. The graphs illustrated the trends of all the historical data for the prior five federal fiscal years. The tables contained the actual numbers of the baseline, historical data, and current levels of performance for each indicator. Copies of these materials will be posted on the ICC website (https://www.mass.gov/interagency-coordinating-council-icc) in accordance with the state's Open Meeting Law following approval of the meeting minutes at the next scheduled ICC meeting. </w:t>
      </w:r>
    </w:p>
    <w:p>
      <w:pPr>
        <w:pStyle w:val=""/>
      </w:pPr>
      <w:r>
        <w:rPr>
          <w:rFonts w:ascii="" w:hAnsi="" w:cs="" w:eastAsia=""/>
          <w:b w:val="false"/>
          <w:i w:val="false"/>
          <w:color w:val="000000"/>
        </w:rPr>
        <w:t/>
      </w:r>
    </w:p>
    <w:p>
      <w:pPr>
        <w:pStyle w:val=""/>
      </w:pPr>
      <w:r>
        <w:rPr>
          <w:rFonts w:ascii="" w:hAnsi="" w:cs="" w:eastAsia=""/>
          <w:b w:val="false"/>
          <w:i w:val="false"/>
          <w:color w:val="000000"/>
        </w:rPr>
        <w:t>The Lead Agency (MA-C) maintains a webpage (https://www.mass.gov/lists/public-reporting-for-early-intervention), which include data on its performance, interactive data dashboards, and copies of data submitted to OSEP. Observations about these data and actionable wisdom that can be derived from them are shared in monthly meetings with early intervention services (EIS) program directors, EIS providers, and the State Interagency Coordinating Council (ICC). Additionally, MA-C has made substantial improvements in its webpages, creating pages specifically designed for families (https://www.mass.gov/ei-information-for-families) and EIS providers (https://www.mass.gov/information-for-early-intervention-providers) to improve access to information about the Part C program. MA-C sends emails and a professional development newsletter on a bimonthly basis to anyone who signs up to receive these notifications through its website (https://www.mass.gov/forms/early-intervention-professional-development-newsletter-beyond-bubbles-and-blocks).</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73ADF5A9" w:rsidR="004868E8" w:rsidRPr="00ED172B" w:rsidRDefault="004868E8" w:rsidP="004868E8">
      <w:pPr>
        <w:rPr>
          <w:b/>
          <w:color w:val="000000" w:themeColor="text1"/>
          <w:szCs w:val="16"/>
        </w:rPr>
      </w:pPr>
      <w:r w:rsidRPr="00ED172B">
        <w:rPr>
          <w:b/>
          <w:color w:val="000000" w:themeColor="text1"/>
          <w:szCs w:val="16"/>
        </w:rPr>
        <w:t>How and where the State reported to the public on the FFY 2023 performance of each EIS Program located in the State on the targets in the SPP/APR as soon as practicable, but no later than 120 days following the State’s submission of its FFY 2023 APR, as required by 34 CFR §303.702(b)(1)(i)(A); and a description of where, on its website, a complete copy of the State’s SPP/APR, including any revisions if the State has revised the targets that it submitted with its FFY 2023 APR in 2025, is available.</w:t>
      </w:r>
    </w:p>
    <w:p w14:paraId="788E8800" w14:textId="7E8AC8B9" w:rsidR="003A4D77" w:rsidRPr="00ED172B" w:rsidRDefault="00860830" w:rsidP="00DF09CC">
      <w:pPr>
        <w:rPr>
          <w:color w:val="000000" w:themeColor="text1"/>
          <w:szCs w:val="16"/>
        </w:rPr>
      </w:pPr>
      <w:r w:rsidRPr="00ED172B">
        <w:rPr>
          <w:color w:val="000000" w:themeColor="text1"/>
          <w:szCs w:val="16"/>
        </w:rPr>
        <w:t>MA-C maintains a public website for the Early Intervention Division at the following address: https://www.mass.gov/orgs/early-intervention-division</w:t>
      </w:r>
    </w:p>
    <w:p>
      <w:pPr>
        <w:pStyle w:val=""/>
      </w:pPr>
      <w:r>
        <w:rPr>
          <w:rFonts w:ascii="" w:hAnsi="" w:cs="" w:eastAsia=""/>
          <w:b w:val="false"/>
          <w:i w:val="false"/>
          <w:color w:val="000000"/>
        </w:rPr>
        <w:t/>
      </w:r>
    </w:p>
    <w:p>
      <w:pPr>
        <w:pStyle w:val=""/>
      </w:pPr>
      <w:r>
        <w:rPr>
          <w:rFonts w:ascii="" w:hAnsi="" w:cs="" w:eastAsia=""/>
          <w:b w:val="false"/>
          <w:i w:val="false"/>
          <w:color w:val="000000"/>
        </w:rPr>
        <w:t>Statewide and local performance data for FFY23 are available on MA-C's public reporting page: https://www.mass.gov/lists/public-reporting-for-early-intervention#local-program-determinations-</w:t>
      </w:r>
    </w:p>
    <w:p>
      <w:pPr>
        <w:pStyle w:val=""/>
      </w:pPr>
      <w:r>
        <w:rPr>
          <w:rFonts w:ascii="" w:hAnsi="" w:cs="" w:eastAsia=""/>
          <w:b w:val="false"/>
          <w:i w:val="false"/>
          <w:color w:val="000000"/>
        </w:rPr>
        <w:t/>
      </w:r>
    </w:p>
    <w:p>
      <w:pPr>
        <w:pStyle w:val=""/>
      </w:pPr>
      <w:r>
        <w:rPr>
          <w:rFonts w:ascii="" w:hAnsi="" w:cs="" w:eastAsia=""/>
          <w:b w:val="false"/>
          <w:i w:val="false"/>
          <w:color w:val="000000"/>
        </w:rPr>
        <w:t>The APR is the mechanism that the Commonwealth uses to report on progress in meeting the measurable and rigorous targets and is posted on the state's website: https://www.mass.gov/lists/public-reporting-for-early-intervention#part-c-state-performance-plan-(spp)-annual-performance-report-(apr)-  The FFY20-FFY23 APRs are available on this webpage, in addition to the dedicated Indicator 4 reports from FFY21-FFY24.</w:t>
      </w:r>
    </w:p>
    <w:p>
      <w:pPr>
        <w:pStyle w:val=""/>
      </w:pPr>
      <w:r>
        <w:rPr>
          <w:rFonts w:ascii="" w:hAnsi="" w:cs="" w:eastAsia=""/>
          <w:b w:val="false"/>
          <w:i w:val="false"/>
          <w:color w:val="000000"/>
        </w:rPr>
        <w:t/>
      </w:r>
    </w:p>
    <w:p>
      <w:pPr>
        <w:pStyle w:val=""/>
      </w:pPr>
      <w:r>
        <w:rPr>
          <w:rFonts w:ascii="" w:hAnsi="" w:cs="" w:eastAsia=""/>
          <w:b w:val="false"/>
          <w:i w:val="false"/>
          <w:color w:val="000000"/>
        </w:rPr>
        <w:t>MA-C maintains a SSIP section on the public web site (https://www.mass.gov/lists/public-reporting-for-early-intervention#state-systemic-improvement-plan-). The SSIP page includes information on all project phases, the State’s theory of action, SSIP evaluation plan, and measures for improvement.</w:t>
      </w:r>
    </w:p>
    <w:p w14:paraId="6A6F1771" w14:textId="3EDEB232" w:rsidR="003A4D77" w:rsidRPr="00A40EE1" w:rsidRDefault="00571E72" w:rsidP="00C15786">
      <w:pPr>
        <w:pStyle w:val="Heading2"/>
      </w:pPr>
      <w:r w:rsidRPr="00A40EE1">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The State's IDEA Part C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February 1, 2026, on: (1) the technical assistance sources from which the State received assistance; and (2) the actions the State took as a result of that technical assistance.</w:t>
      </w:r>
    </w:p>
    <w:p w14:paraId="49F2B657" w14:textId="77777777" w:rsidR="005A43C0" w:rsidRPr="00ED172B" w:rsidRDefault="005A43C0" w:rsidP="003A4D77">
      <w:pPr>
        <w:rPr>
          <w:rFonts w:cs="Arial"/>
          <w:color w:val="000000" w:themeColor="text1"/>
          <w:szCs w:val="16"/>
        </w:rPr>
      </w:pPr>
    </w:p>
    <w:p w14:paraId="246DD3BF" w14:textId="73B65917" w:rsidR="003A4D77" w:rsidRPr="00ED172B" w:rsidRDefault="003A4D77">
      <w:pPr>
        <w:rPr>
          <w:color w:val="000000" w:themeColor="text1"/>
        </w:rPr>
      </w:pPr>
      <w:r w:rsidRPr="00ED172B">
        <w:rPr>
          <w:b/>
          <w:color w:val="000000" w:themeColor="text1"/>
        </w:rPr>
        <w:t xml:space="preserve">Response to actions required in FFY 2023 SPP/APR </w:t>
      </w:r>
      <w:r w:rsidRPr="00ED172B">
        <w:rPr>
          <w:color w:val="000000" w:themeColor="text1"/>
        </w:rPr>
        <w:t xml:space="preserve"> </w:t>
      </w:r>
    </w:p>
    <w:p w14:paraId="2460FAFD" w14:textId="2553279D" w:rsidR="003A4D77" w:rsidRPr="00ED172B" w:rsidRDefault="002332D6">
      <w:pPr>
        <w:rPr>
          <w:color w:val="000000" w:themeColor="text1"/>
        </w:rPr>
      </w:pPr>
      <w:r w:rsidRPr="00ED172B">
        <w:rPr>
          <w:color w:val="000000" w:themeColor="text1"/>
        </w:rPr>
        <w:t xml:space="preserve">MA-C's 2024 determination was Needs Assistance. To improve its performance, MA-C sought regular technical assistance from the Early Childhood Technical Assistance Center (ECTA), the Center for IDEA Fiscal Reporting (CIFR), the Weiss Center, and the Center for IDEA Early Childhood Data Systems (DaSy). MA-C sought training and technical assistance from these sources on topics including changing its database to match the new Indicator 3 outcomes instrument, revise its dispute resolution procedures for credible allegations, documenting its maintenance of effort procedures, tactics to engage its stakeholders in budgeting discussions, identifying best practices for children with medical complexities, understanding the distinctions between Part B and Part C dispute resolution processes, understanding OSEP's 23-01 General Supervision Guidance, and understanding privacy laws intersecting with Part C. </w:t>
      </w:r>
    </w:p>
    <w:p>
      <w:pPr>
        <w:pStyle w:val=""/>
      </w:pPr>
      <w:r>
        <w:rPr>
          <w:rFonts w:ascii="" w:hAnsi="" w:cs="" w:eastAsia=""/>
          <w:b w:val="false"/>
          <w:i w:val="false"/>
          <w:color w:val="000000"/>
        </w:rPr>
        <w:t/>
      </w:r>
    </w:p>
    <w:p>
      <w:pPr>
        <w:pStyle w:val=""/>
      </w:pPr>
      <w:r>
        <w:rPr>
          <w:rFonts w:ascii="" w:hAnsi="" w:cs="" w:eastAsia=""/>
          <w:b w:val="false"/>
          <w:i w:val="false"/>
          <w:color w:val="000000"/>
        </w:rPr>
        <w:t>In response to the extensive technical assistance its received during FFY24, MA-C took specific actions to improve its program by refining its maintenance of effort procedures, refining its procurement process, revising its database to collect information about the Indicator 3 outcomes instrument, and refined its dispute resolution procedures.</w:t>
      </w:r>
    </w:p>
    <w:p w14:paraId="37898305" w14:textId="383BCBB8" w:rsidR="003A4D77" w:rsidRPr="00A40EE1" w:rsidRDefault="00571E72" w:rsidP="00C15786">
      <w:pPr>
        <w:pStyle w:val="Heading2"/>
      </w:pPr>
      <w:r w:rsidRPr="00A40EE1">
        <w:t>Intro - OSEP Response</w:t>
      </w:r>
    </w:p>
    <w:p w14:paraId="317418C1" w14:textId="65B78829" w:rsidR="003A4D77" w:rsidRPr="00ED172B" w:rsidRDefault="00027F39" w:rsidP="00027F39">
      <w:pPr>
        <w:rPr>
          <w:color w:val="000000" w:themeColor="text1"/>
        </w:rPr>
      </w:pPr>
      <w:r w:rsidRPr="00ED172B">
        <w:rPr>
          <w:color w:val="000000" w:themeColor="text1"/>
        </w:rPr>
        <w:t>The State's determinations for both 2024 and 2025 were Needs Assistance. Pursuant to Sections 616(e)(1) and 642 of the IDEA and 34 C.F.R. § 303.704(a), OSEP's June 17, 2025 determination letter informed the State that it must report with its FFY 2024 SPP/APR submission, due February 2, 2026, on: (1) the technical assistance sources from which the State received assistance; and (2) the actions the State took as a result of that technical assistance. The State provided the required information.</w:t>
      </w:r>
    </w:p>
    <w:p>
      <w:pPr>
        <w:pStyle w:val=""/>
      </w:pPr>
      <w:r>
        <w:rPr>
          <w:rFonts w:ascii="" w:hAnsi="" w:cs="" w:eastAsia=""/>
          <w:b w:val="false"/>
          <w:i w:val="false"/>
          <w:color w:val="000000"/>
        </w:rPr>
        <w:t/>
      </w:r>
    </w:p>
    <w:p>
      <w:pPr>
        <w:pStyle w:val=""/>
      </w:pPr>
      <w:r>
        <w:rPr>
          <w:rFonts w:ascii="" w:hAnsi="" w:cs="" w:eastAsia=""/>
          <w:b w:val="false"/>
          <w:i w:val="false"/>
          <w:color w:val="000000"/>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027F39" w:rsidP="00027F39">
      <w:pPr>
        <w:rPr>
          <w:color w:val="000000" w:themeColor="text1"/>
        </w:rPr>
      </w:pPr>
      <w:r w:rsidRPr="00ED172B">
        <w:rPr>
          <w:color w:val="000000" w:themeColor="text1"/>
        </w:rPr>
        <w:t/>
      </w: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3B97F0BA"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Early Intervention Services In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D21F29" w:rsidRDefault="00A86E16" w:rsidP="0077063D">
      <w:pPr>
        <w:rPr>
          <w:i/>
          <w:iCs/>
          <w:color w:val="000000" w:themeColor="text1"/>
          <w:szCs w:val="16"/>
        </w:rPr>
      </w:pPr>
      <w:r w:rsidRPr="00D21F29">
        <w:rPr>
          <w:i/>
          <w:iCs/>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4BD24914" w14:textId="2BC7B24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64753B7F" w:rsidR="00A86E16" w:rsidRPr="00ED172B" w:rsidRDefault="00A86E16" w:rsidP="0077063D">
      <w:pPr>
        <w:rPr>
          <w:color w:val="000000" w:themeColor="text1"/>
          <w:szCs w:val="16"/>
        </w:rPr>
      </w:pPr>
      <w:r w:rsidRPr="00ED172B">
        <w:rPr>
          <w:color w:val="000000" w:themeColor="text1"/>
          <w:szCs w:val="16"/>
        </w:rPr>
        <w:t>Provide detailed information about the timely correction of child-specific and regulatory/systemic 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61A3FAA0"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66EA9111" w14:textId="6AD2C73B" w:rsidR="00193E59" w:rsidRPr="00EC51AB" w:rsidRDefault="00E40237" w:rsidP="0077063D">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bookmarkEnd w:id="2"/>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74.00%</w:t>
            </w:r>
          </w:p>
        </w:tc>
      </w:tr>
    </w:tbl>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18" w:type="pct"/>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2020</w:t>
            </w:r>
          </w:p>
        </w:tc>
        <w:tc>
          <w:tcPr>
            <w:tcW w:w="850" w:type="pct"/>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2021</w:t>
            </w:r>
          </w:p>
        </w:tc>
        <w:tc>
          <w:tcPr>
            <w:tcW w:w="930" w:type="pct"/>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2022</w:t>
            </w:r>
          </w:p>
        </w:tc>
        <w:tc>
          <w:tcPr>
            <w:tcW w:w="929" w:type="pct"/>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2023</w:t>
            </w:r>
          </w:p>
        </w:tc>
      </w:tr>
      <w:tr w:rsidR="00ED172B" w:rsidRPr="00ED172B" w14:paraId="6CE8763A" w14:textId="0E161AC9" w:rsidTr="00986B99">
        <w:trPr>
          <w:trHeight w:val="357"/>
        </w:trPr>
        <w:tc>
          <w:tcPr>
            <w:tcW w:w="456" w:type="pct"/>
          </w:tcPr>
          <w:p w14:paraId="673D2FDB" w14:textId="5EFC127B" w:rsidR="00CB5BE6" w:rsidRPr="00ED172B" w:rsidRDefault="00CB5BE6" w:rsidP="00D21F29">
            <w:pPr>
              <w:jc w:val="center"/>
              <w:rPr>
                <w:color w:val="000000" w:themeColor="text1"/>
                <w:szCs w:val="16"/>
              </w:rPr>
            </w:pPr>
            <w:r w:rsidRPr="00ED172B">
              <w:rPr>
                <w:color w:val="000000" w:themeColor="text1"/>
                <w:szCs w:val="16"/>
              </w:rPr>
              <w:t>Target</w:t>
            </w:r>
          </w:p>
        </w:tc>
        <w:tc>
          <w:tcPr>
            <w:tcW w:w="917" w:type="pct"/>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tcPr>
          <w:p w14:paraId="2D0C7D71" w14:textId="77777777" w:rsidR="003A4D77" w:rsidRPr="00ED172B" w:rsidRDefault="003A4D77" w:rsidP="00D21F29">
            <w:pPr>
              <w:jc w:val="center"/>
              <w:rPr>
                <w:color w:val="000000" w:themeColor="text1"/>
                <w:szCs w:val="16"/>
              </w:rPr>
            </w:pPr>
            <w:r w:rsidRPr="00ED172B">
              <w:rPr>
                <w:color w:val="000000" w:themeColor="text1"/>
                <w:szCs w:val="16"/>
              </w:rPr>
              <w:t>Data</w:t>
            </w:r>
          </w:p>
        </w:tc>
        <w:tc>
          <w:tcPr>
            <w:tcW w:w="917" w:type="pct"/>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99.21%</w:t>
            </w:r>
          </w:p>
        </w:tc>
        <w:tc>
          <w:tcPr>
            <w:tcW w:w="918" w:type="pct"/>
            <w:tcBorders>
              <w:bottom w:val="single" w:sz="4" w:space="0" w:color="auto"/>
            </w:tcBorders>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99.82%</w:t>
            </w:r>
          </w:p>
        </w:tc>
        <w:tc>
          <w:tcPr>
            <w:tcW w:w="850" w:type="pct"/>
            <w:tcBorders>
              <w:bottom w:val="single" w:sz="4" w:space="0" w:color="auto"/>
            </w:tcBorders>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99.58%</w:t>
            </w:r>
          </w:p>
        </w:tc>
        <w:tc>
          <w:tcPr>
            <w:tcW w:w="930" w:type="pct"/>
            <w:tcBorders>
              <w:bottom w:val="single" w:sz="4" w:space="0" w:color="auto"/>
            </w:tcBorders>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99.23%</w:t>
            </w:r>
          </w:p>
        </w:tc>
        <w:tc>
          <w:tcPr>
            <w:tcW w:w="929" w:type="pct"/>
            <w:tcBorders>
              <w:bottom w:val="single" w:sz="4" w:space="0" w:color="auto"/>
            </w:tcBorders>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99.44%</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1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80"/>
        <w:gridCol w:w="1688"/>
        <w:gridCol w:w="1685"/>
      </w:tblGrid>
      <w:tr w:rsidR="00CF59E2" w:rsidRPr="00ED172B" w14:paraId="246DB490" w14:textId="7B55901D" w:rsidTr="00811738">
        <w:trPr>
          <w:trHeight w:val="350"/>
        </w:trPr>
        <w:tc>
          <w:tcPr>
            <w:tcW w:w="838" w:type="pct"/>
            <w:tcBorders>
              <w:bottom w:val="single" w:sz="4" w:space="0" w:color="auto"/>
            </w:tcBorders>
          </w:tcPr>
          <w:p w14:paraId="7E3256F3" w14:textId="77777777" w:rsidR="00CF59E2" w:rsidRPr="00ED172B" w:rsidRDefault="00CF59E2" w:rsidP="00E01C49">
            <w:pPr>
              <w:jc w:val="center"/>
              <w:rPr>
                <w:b/>
                <w:color w:val="000000" w:themeColor="text1"/>
                <w:szCs w:val="16"/>
              </w:rPr>
            </w:pPr>
            <w:r w:rsidRPr="00ED172B">
              <w:rPr>
                <w:b/>
                <w:color w:val="000000" w:themeColor="text1"/>
                <w:szCs w:val="16"/>
              </w:rPr>
              <w:t>FFY</w:t>
            </w:r>
          </w:p>
        </w:tc>
        <w:tc>
          <w:tcPr>
            <w:tcW w:w="2083" w:type="pct"/>
            <w:vAlign w:val="center"/>
          </w:tcPr>
          <w:p w14:paraId="6C3EA6E7" w14:textId="0CD96192" w:rsidR="00CF59E2" w:rsidRPr="00ED172B" w:rsidRDefault="00CF59E2" w:rsidP="003A4D77">
            <w:pPr>
              <w:jc w:val="center"/>
              <w:rPr>
                <w:b/>
                <w:color w:val="000000" w:themeColor="text1"/>
                <w:szCs w:val="16"/>
              </w:rPr>
            </w:pPr>
            <w:r w:rsidRPr="00ED172B">
              <w:rPr>
                <w:rFonts w:cs="Arial"/>
                <w:b/>
                <w:color w:val="000000" w:themeColor="text1"/>
                <w:szCs w:val="16"/>
              </w:rPr>
              <w:t>2024</w:t>
            </w:r>
          </w:p>
        </w:tc>
        <w:tc>
          <w:tcPr>
            <w:tcW w:w="2079" w:type="pct"/>
          </w:tcPr>
          <w:p w14:paraId="44A76023" w14:textId="1CD7C23A" w:rsidR="00CF59E2" w:rsidRPr="00ED172B" w:rsidRDefault="00CF59E2" w:rsidP="003A4D77">
            <w:pPr>
              <w:jc w:val="center"/>
              <w:rPr>
                <w:rFonts w:cs="Arial"/>
                <w:b/>
                <w:color w:val="000000" w:themeColor="text1"/>
                <w:szCs w:val="16"/>
              </w:rPr>
            </w:pPr>
            <w:r>
              <w:rPr>
                <w:rFonts w:cs="Arial"/>
                <w:b/>
                <w:color w:val="000000" w:themeColor="text1"/>
                <w:szCs w:val="16"/>
              </w:rPr>
              <w:t>2025</w:t>
            </w:r>
          </w:p>
        </w:tc>
      </w:tr>
      <w:tr w:rsidR="00CF59E2" w:rsidRPr="00ED172B" w14:paraId="31760632" w14:textId="0D9FE637" w:rsidTr="00811738">
        <w:trPr>
          <w:trHeight w:val="357"/>
        </w:trPr>
        <w:tc>
          <w:tcPr>
            <w:tcW w:w="838" w:type="pct"/>
          </w:tcPr>
          <w:p w14:paraId="1FB4BD66"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083" w:type="pct"/>
          </w:tcPr>
          <w:p w14:paraId="73D2B7A9" w14:textId="1EA3E525" w:rsidR="00CF59E2" w:rsidRPr="00ED172B" w:rsidRDefault="00CF59E2" w:rsidP="00715B7C">
            <w:pPr>
              <w:jc w:val="center"/>
              <w:rPr>
                <w:color w:val="000000" w:themeColor="text1"/>
                <w:szCs w:val="16"/>
              </w:rPr>
            </w:pPr>
            <w:r w:rsidRPr="00ED172B">
              <w:rPr>
                <w:color w:val="000000" w:themeColor="text1"/>
                <w:szCs w:val="16"/>
              </w:rPr>
              <w:t>100%</w:t>
            </w:r>
          </w:p>
        </w:tc>
        <w:tc>
          <w:tcPr>
            <w:tcW w:w="2079" w:type="pct"/>
          </w:tcPr>
          <w:p w14:paraId="04EEAAC8" w14:textId="11881C4E" w:rsidR="00CF59E2" w:rsidRPr="00ED172B" w:rsidRDefault="00CF59E2"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68EB7356" w:rsidR="00441FB4" w:rsidRPr="00ED172B" w:rsidRDefault="00F22D09">
      <w:pPr>
        <w:rPr>
          <w:b/>
          <w:color w:val="000000" w:themeColor="text1"/>
        </w:rPr>
      </w:pPr>
      <w:r>
        <w:rPr>
          <w:b/>
          <w:color w:val="000000" w:themeColor="text1"/>
        </w:rPr>
        <w:t>FFY 2024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6"/>
        <w:gridCol w:w="1278"/>
        <w:gridCol w:w="1912"/>
        <w:gridCol w:w="1152"/>
        <w:gridCol w:w="1459"/>
        <w:gridCol w:w="1412"/>
      </w:tblGrid>
      <w:tr w:rsidR="00ED172B" w:rsidRPr="00ED172B" w14:paraId="0F119A4D" w14:textId="77B8E4E9" w:rsidTr="00A40EE1">
        <w:trPr>
          <w:tblHeader/>
        </w:trPr>
        <w:tc>
          <w:tcPr>
            <w:tcW w:w="793" w:type="pct"/>
            <w:vAlign w:val="bottom"/>
          </w:tcPr>
          <w:p w14:paraId="7E547840"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vAlign w:val="bottom"/>
          </w:tcPr>
          <w:p w14:paraId="2096A85C" w14:textId="4E10BCD6" w:rsidR="006A05A9" w:rsidRPr="00ED172B" w:rsidRDefault="00CD74B5" w:rsidP="006A05A9">
            <w:pPr>
              <w:jc w:val="center"/>
              <w:rPr>
                <w:b/>
                <w:color w:val="000000" w:themeColor="text1"/>
                <w:szCs w:val="16"/>
              </w:rPr>
            </w:pPr>
            <w:r>
              <w:rPr>
                <w:rFonts w:cs="Arial"/>
                <w:b/>
                <w:color w:val="000000" w:themeColor="text1"/>
                <w:szCs w:val="16"/>
              </w:rPr>
              <w:t>FFY 2023 Data</w:t>
            </w:r>
          </w:p>
        </w:tc>
        <w:tc>
          <w:tcPr>
            <w:tcW w:w="886" w:type="pct"/>
            <w:vAlign w:val="bottom"/>
          </w:tcPr>
          <w:p w14:paraId="64E16C07" w14:textId="73292B4A" w:rsidR="006A05A9" w:rsidRPr="00ED172B" w:rsidRDefault="00F22D09" w:rsidP="006A05A9">
            <w:pPr>
              <w:jc w:val="center"/>
              <w:rPr>
                <w:b/>
                <w:color w:val="000000" w:themeColor="text1"/>
                <w:szCs w:val="16"/>
              </w:rPr>
            </w:pPr>
            <w:r>
              <w:rPr>
                <w:rFonts w:cs="Arial"/>
                <w:b/>
                <w:color w:val="000000" w:themeColor="text1"/>
                <w:szCs w:val="16"/>
              </w:rPr>
              <w:t>FFY 2024 Target</w:t>
            </w:r>
          </w:p>
        </w:tc>
        <w:tc>
          <w:tcPr>
            <w:tcW w:w="534" w:type="pct"/>
            <w:vAlign w:val="bottom"/>
          </w:tcPr>
          <w:p w14:paraId="3A16633D" w14:textId="0D6EB603" w:rsidR="006A05A9" w:rsidRPr="00ED172B" w:rsidRDefault="00F22D09" w:rsidP="006A05A9">
            <w:pPr>
              <w:jc w:val="center"/>
              <w:rPr>
                <w:b/>
                <w:color w:val="000000" w:themeColor="text1"/>
                <w:szCs w:val="16"/>
              </w:rPr>
            </w:pPr>
            <w:r>
              <w:rPr>
                <w:rFonts w:cs="Arial"/>
                <w:b/>
                <w:color w:val="000000" w:themeColor="text1"/>
                <w:szCs w:val="16"/>
              </w:rPr>
              <w:t>FFY 2024 Data</w:t>
            </w:r>
          </w:p>
        </w:tc>
        <w:tc>
          <w:tcPr>
            <w:tcW w:w="676" w:type="pct"/>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9,362</w:t>
            </w:r>
          </w:p>
        </w:tc>
        <w:tc>
          <w:tcPr>
            <w:tcW w:w="865" w:type="pct"/>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12,190</w:t>
            </w:r>
          </w:p>
        </w:tc>
        <w:tc>
          <w:tcPr>
            <w:tcW w:w="592" w:type="pct"/>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99.44%</w:t>
            </w:r>
          </w:p>
        </w:tc>
        <w:tc>
          <w:tcPr>
            <w:tcW w:w="886" w:type="pct"/>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99.50%</w:t>
            </w:r>
          </w:p>
        </w:tc>
        <w:tc>
          <w:tcPr>
            <w:tcW w:w="676" w:type="pct"/>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2,767</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 xml:space="preserve">MA-C relies on validations within its database to identify services as timely or collect reasons for delayed services. When data related to IFSP services are not entered into the child's record in a timely manner, MA-C's state database (Early Intervention Client System; EICS) prompts the early intervention services (EIS) provider to enter the reasons for delayed services, which MA-C later reviews. </w:t>
      </w:r>
    </w:p>
    <w:p>
      <w:pPr>
        <w:pStyle w:val=""/>
      </w:pPr>
      <w:r>
        <w:rPr>
          <w:rFonts w:ascii="" w:hAnsi="" w:cs="" w:eastAsia=""/>
          <w:b w:val="false"/>
          <w:i w:val="false"/>
          <w:color w:val="000000"/>
        </w:rPr>
        <w:t/>
      </w:r>
    </w:p>
    <w:p>
      <w:pPr>
        <w:pStyle w:val=""/>
      </w:pPr>
      <w:r>
        <w:rPr>
          <w:rFonts w:ascii="" w:hAnsi="" w:cs="" w:eastAsia=""/>
          <w:b w:val="false"/>
          <w:i w:val="false"/>
          <w:color w:val="000000"/>
        </w:rPr>
        <w:t xml:space="preserve">Delays attributable to exceptional family circumstances include a family problem scheduling appointment, the family missing or cancelling an appointment, and weather or other emergency declared. </w:t>
      </w:r>
    </w:p>
    <w:p>
      <w:pPr>
        <w:pStyle w:val=""/>
      </w:pPr>
      <w:r>
        <w:rPr>
          <w:rFonts w:ascii="" w:hAnsi="" w:cs="" w:eastAsia=""/>
          <w:b w:val="false"/>
          <w:i w:val="false"/>
          <w:color w:val="000000"/>
        </w:rPr>
        <w:t/>
      </w:r>
    </w:p>
    <w:p>
      <w:pPr>
        <w:pStyle w:val=""/>
      </w:pPr>
      <w:r>
        <w:rPr>
          <w:rFonts w:ascii="" w:hAnsi="" w:cs="" w:eastAsia=""/>
          <w:b w:val="false"/>
          <w:i w:val="false"/>
          <w:color w:val="000000"/>
        </w:rPr>
        <w:t>Delays not attributable to exceptional family circumstances include difficulty identifying or assigning a service provider, provider scheduling problem, and other local program administrative reasons.</w:t>
      </w:r>
    </w:p>
    <w:p>
      <w:pPr>
        <w:pStyle w:val=""/>
      </w:pPr>
      <w:r>
        <w:rPr>
          <w:rFonts w:ascii="" w:hAnsi="" w:cs="" w:eastAsia=""/>
          <w:b w:val="false"/>
          <w:i w:val="false"/>
          <w:color w:val="000000"/>
        </w:rPr>
        <w:t/>
      </w:r>
    </w:p>
    <w:p>
      <w:pPr>
        <w:pStyle w:val=""/>
      </w:pPr>
      <w:r>
        <w:rPr>
          <w:rFonts w:ascii="" w:hAnsi="" w:cs="" w:eastAsia=""/>
          <w:b w:val="false"/>
          <w:i w:val="false"/>
          <w:color w:val="000000"/>
        </w:rPr>
        <w:t>During the first quarter of the reporting period (July 1, 2024-September 30, 2024), there were 61 children with delayed IFSP services that were not attributable to an exceptional family circumstance. In these cases, the delay was due to an error or staffing issue at the EIS program.</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The Lead Agency (MA-C) defines timely receipt of early intervention services as a service that is received within 30 days from the parent or guardian providing consent to implement that service on the IFSP.</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6" w:name="_Hlk23243004"/>
      <w:r w:rsidRPr="00ED172B">
        <w:rPr>
          <w:rFonts w:cs="Arial"/>
          <w:color w:val="000000" w:themeColor="text1"/>
          <w:szCs w:val="16"/>
        </w:rPr>
        <w:t>State database</w:t>
      </w:r>
    </w:p>
    <w:bookmarkEnd w:id="6"/>
    <w:p w14:paraId="0FB58200" w14:textId="713593EA" w:rsidR="007F3393" w:rsidRPr="00ED172B" w:rsidRDefault="007F3393" w:rsidP="00B83404">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14:paraId="04F7364E" w14:textId="24AB7EC2" w:rsidR="007F3393" w:rsidRPr="00ED172B" w:rsidRDefault="00860830" w:rsidP="00B83404">
      <w:pPr>
        <w:rPr>
          <w:color w:val="000000" w:themeColor="text1"/>
        </w:rPr>
      </w:pPr>
      <w:r w:rsidRPr="00ED172B">
        <w:rPr>
          <w:color w:val="000000" w:themeColor="text1"/>
        </w:rPr>
        <w:t>Federal Fiscal Year 2024, Quarter 1 (July 1, 2024 - September 30, 2024)</w:t>
      </w:r>
    </w:p>
    <w:p w14:paraId="45217531" w14:textId="7621120B" w:rsidR="007F3393" w:rsidRPr="00ED172B" w:rsidRDefault="007F3393" w:rsidP="00B83404">
      <w:pPr>
        <w:rPr>
          <w:b/>
          <w:color w:val="000000" w:themeColor="text1"/>
        </w:rPr>
      </w:pPr>
      <w:r w:rsidRPr="00ED172B">
        <w:rPr>
          <w:b/>
          <w:color w:val="000000" w:themeColor="text1"/>
        </w:rPr>
        <w:t>Describe how the data accurately reflect data for infants and toddlers with IFSPs for the full reporting period.</w:t>
      </w:r>
    </w:p>
    <w:p w14:paraId="78DAE0FF" w14:textId="5897C081" w:rsidR="007F3393" w:rsidRDefault="00860830" w:rsidP="00B83404">
      <w:pPr>
        <w:rPr>
          <w:color w:val="000000" w:themeColor="text1"/>
        </w:rPr>
      </w:pPr>
      <w:r w:rsidRPr="00ED172B">
        <w:rPr>
          <w:color w:val="000000" w:themeColor="text1"/>
        </w:rPr>
        <w:t xml:space="preserve">The Lead Agency (MA-C) implemented its documented process to select a quarter of data that accurately reflect data for infants and toddlers with IFSPs for the full reporting period. </w:t>
      </w:r>
    </w:p>
    <w:p>
      <w:pPr>
        <w:pStyle w:val=""/>
      </w:pPr>
      <w:r>
        <w:rPr>
          <w:rFonts w:ascii="" w:hAnsi="" w:cs="" w:eastAsia=""/>
          <w:b w:val="false"/>
          <w:i w:val="false"/>
          <w:color w:val="000000"/>
        </w:rPr>
        <w:t/>
      </w:r>
    </w:p>
    <w:p>
      <w:pPr>
        <w:pStyle w:val=""/>
      </w:pPr>
      <w:r>
        <w:rPr>
          <w:rFonts w:ascii="" w:hAnsi="" w:cs="" w:eastAsia=""/>
          <w:b w:val="false"/>
          <w:i w:val="false"/>
          <w:color w:val="000000"/>
        </w:rPr>
        <w:t xml:space="preserve">First, MA-C’s Part C Data Manager defined the analytic population and the full federal fiscal year benchmark. For Indicator 1, she did so by reviewing the OSEP Measurement Table and defining the specific denominator (i.e., the total number of infants and toddlers with IFSPs during federal fiscal year 2025 (FFY24; July 1, 2024-June 30, 2025).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she constructed candidate quarters using consistent date rules. She did this by querying four candidate quarter datasets (i.e., Q1-Q4) using the same denominator rules and key date fields used in the indicator calculation. MA-C maintains documentation of each quarter’s start and end dates and the exact date of the database query.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the Part C Data Manager evaluates representativeness by geographic region, child race/ethnicity, and early intervention services program distribution. To demonstrate that the selected quarter reflects data for infants and toddlers with IFSPs for the full reporting period, MA-C compares each candidate quarter to the full FFY benchmark using these three representativeness dimensions. MA-C selected these dimensions to mirror OSEP’s general expectation that, when sampling is used, states must describe how key aspects of the population are represented and that samples must be representative of the programs included.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MA-C applies and explicit representativeness metric and minimum-N stability rules. MA-C does this by using a simple, auditable metric to quantify representativeness: for each geographic region, race/ethnicity group, and EIS program, MA-C computes the absolute percentage-point difference between the quarter distribution and the full FFY distribution. MA-C sets and documents a threshold (“no group differs by more than ±10 percentage points”) and applies minimum-N rules to avoid unstable estimates, particularly for small programs/regions. This is consistent with OSEP’s emphasis that designs yield valid and reliable estimates and that MA-C avoid public reporting where data are too small to be statistically reliable or could risk disclosure. </w:t>
      </w:r>
    </w:p>
    <w:p>
      <w:pPr>
        <w:pStyle w:val=""/>
      </w:pPr>
      <w:r>
        <w:rPr>
          <w:rFonts w:ascii="" w:hAnsi="" w:cs="" w:eastAsia=""/>
          <w:b w:val="false"/>
          <w:i w:val="false"/>
          <w:color w:val="000000"/>
        </w:rPr>
        <w:t/>
      </w:r>
    </w:p>
    <w:p>
      <w:pPr>
        <w:pStyle w:val=""/>
      </w:pPr>
      <w:r>
        <w:rPr>
          <w:rFonts w:ascii="" w:hAnsi="" w:cs="" w:eastAsia=""/>
          <w:b w:val="false"/>
          <w:i w:val="false"/>
          <w:color w:val="000000"/>
        </w:rPr>
        <w:t xml:space="preserve">Then, the MA-C Part C Data Manager selects the quarter and documents the rationale. She selects the quarter that (a) meets the representativeness thresholds across EI Region, race/ethnicity, and program distribution, and (b) supports stable denominators for statewide and program-level reporting. For the SPP/APR indicator narrative, MA-C documents: the quarter used (e.g., “September–December / fourth quarter”), the reason the quarter was selected, and a concise statement describing how the quarter’s distributions align with the full FFY population, addressing OSEP’s requirement to explain the time period and how it accurately reflects the full reporting period for Indicator 1 when using a State database. </w:t>
      </w:r>
    </w:p>
    <w:p>
      <w:pPr>
        <w:pStyle w:val=""/>
      </w:pPr>
      <w:r>
        <w:rPr>
          <w:rFonts w:ascii="" w:hAnsi="" w:cs="" w:eastAsia=""/>
          <w:b w:val="false"/>
          <w:i w:val="false"/>
          <w:color w:val="000000"/>
        </w:rPr>
        <w:t/>
      </w:r>
    </w:p>
    <w:p>
      <w:pPr>
        <w:pStyle w:val=""/>
      </w:pPr>
      <w:r>
        <w:rPr>
          <w:rFonts w:ascii="" w:hAnsi="" w:cs="" w:eastAsia=""/>
          <w:b w:val="false"/>
          <w:i w:val="false"/>
          <w:color w:val="000000"/>
        </w:rPr>
        <w:t>In the event that no single quarter meets representativeness and stability thresholds, MA-C expands the analytic window (e.g., combining two adjacent quarters) or uses a defined supplementation approach (i.e., adding records from underrepresented geographic regions, EIS programs, or race/ethnicity strata) and then reruns the representativeness checks. The selected time period and remediation steps are documented so MA-C can still describe the “time period used” and how it reflects the full reporting period.</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860830" w:rsidP="00361F62">
      <w:pPr>
        <w:rPr>
          <w:color w:val="000000" w:themeColor="text1"/>
        </w:rPr>
      </w:pPr>
      <w:r w:rsidRPr="00ED172B">
        <w:rPr>
          <w:color w:val="000000" w:themeColor="text1"/>
        </w:rPr>
        <w:t xml:space="preserve">In its Federal Fiscal Year 2022 (FFY22) Annual Performance Report, MA-C made typographical errors when reporting the number of children who did not receive timely services. MA-C discovered and corrected most of the errors during the April 2025 clarification period. One notable error remained in MA-C's response to the prompt "Describe how the state verified that the source of noncompliance is correctly implementing the regulatory requirements [for FFY2022 Findings of Noncompliance Verified as Corrected]." In the first and second paragraphs, MA-C accurately listed a total of 85 children who did not receive timely services, 25 of which had left the jurisdiction. However, in the fourth paragraph, MA-C incorrectly wrote "to verify the accuracy of data for the remaining 77 child records." The entry of 77 was a typographical error that MA-C deeply regrets failing to detect prior to submission during the April 2025 clarification period. </w:t>
      </w:r>
    </w:p>
    <w:p>
      <w:pPr>
        <w:pStyle w:val=""/>
      </w:pPr>
      <w:r>
        <w:rPr>
          <w:rFonts w:ascii="" w:hAnsi="" w:cs="" w:eastAsia=""/>
          <w:b w:val="false"/>
          <w:i w:val="false"/>
          <w:color w:val="000000"/>
        </w:rPr>
        <w:t/>
      </w:r>
    </w:p>
    <w:p>
      <w:pPr>
        <w:pStyle w:val=""/>
      </w:pPr>
      <w:r>
        <w:rPr>
          <w:rFonts w:ascii="" w:hAnsi="" w:cs="" w:eastAsia=""/>
          <w:b w:val="false"/>
          <w:i w:val="false"/>
          <w:color w:val="000000"/>
        </w:rPr>
        <w:t>During FFY2022, MA-C detected 85 child records across 12 early intervention services programs that suggested timely services were not delivered. Of the 85 children, 25 children had left MA-C's jurisdiction before services could be provided. The remaining 60 out of 85 children received services, although late. In response to the untimely services, MA-C made six pre-finding corrections and six findings of noncompliance.</w:t>
      </w:r>
    </w:p>
    <w:p>
      <w:pPr>
        <w:pStyle w:val=""/>
      </w:pPr>
      <w:r>
        <w:rPr>
          <w:rFonts w:ascii="" w:hAnsi="" w:cs="" w:eastAsia=""/>
          <w:b w:val="false"/>
          <w:i w:val="false"/>
          <w:color w:val="000000"/>
        </w:rPr>
        <w:t/>
      </w:r>
    </w:p>
    <w:p>
      <w:pPr>
        <w:pStyle w:val=""/>
      </w:pPr>
      <w:r>
        <w:rPr>
          <w:rFonts w:ascii="" w:hAnsi="" w:cs="" w:eastAsia=""/>
          <w:b w:val="false"/>
          <w:i w:val="false"/>
          <w:color w:val="000000"/>
        </w:rPr>
        <w:t>MA-C met with OSEP to discuss this error during the clarification period on April 9 and April 11, 2025, and sought additional guidance on how to document and correct this error from OSEP on January 7, 2026. This additional information is being provided based on the guidance received therein.</w:t>
      </w:r>
    </w:p>
    <w:p w14:paraId="53FAF326" w14:textId="2816C1B9" w:rsidR="002F1A9A" w:rsidRPr="00ED172B" w:rsidRDefault="002F1A9A"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10</w:t>
            </w:r>
          </w:p>
        </w:tc>
        <w:tc>
          <w:tcPr>
            <w:tcW w:w="1286" w:type="pct"/>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10</w:t>
            </w:r>
          </w:p>
        </w:tc>
        <w:tc>
          <w:tcPr>
            <w:tcW w:w="1229" w:type="pct"/>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5569C69F" w14:textId="0C129F7E" w:rsidR="002F1A9A" w:rsidRPr="00ED172B" w:rsidRDefault="00CD74B5" w:rsidP="00B83404">
      <w:pPr>
        <w:rPr>
          <w:color w:val="000000" w:themeColor="text1"/>
        </w:rPr>
      </w:pPr>
      <w:r>
        <w:rPr>
          <w:b/>
          <w:color w:val="000000" w:themeColor="text1"/>
        </w:rPr>
        <w:t>FFY 2023 Findings of Noncompliance Verified as Corrected</w:t>
      </w:r>
    </w:p>
    <w:p w14:paraId="55F5996D" w14:textId="2D0FCDCC"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4A0BD85E" w14:textId="6583A277" w:rsidR="002F1A9A" w:rsidRPr="00ED172B" w:rsidRDefault="00860830">
      <w:pPr>
        <w:rPr>
          <w:color w:val="000000" w:themeColor="text1"/>
        </w:rPr>
      </w:pPr>
      <w:r w:rsidRPr="00ED172B">
        <w:rPr>
          <w:color w:val="000000" w:themeColor="text1"/>
        </w:rPr>
        <w:t xml:space="preserve">During federal fiscal year 2023 (FFY23; July 1, 2023-June 30, 2024),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its state database (the Early Intervention Client System; EICS), implementing a process to distinguish inaccurate implementation of the regulatory requirement from inaccurate or delayed data entry in federal fiscal year 2023 (FFY23; July 1, 2023-June 30, 2024) and discovered 66 child records across 26 early intervention services (EIS) programs that suggested timely services were not delivered.</w:t>
      </w:r>
    </w:p>
    <w:p>
      <w:pPr>
        <w:pStyle w:val=""/>
      </w:pPr>
      <w:r>
        <w:rPr>
          <w:rFonts w:ascii="" w:hAnsi="" w:cs="" w:eastAsia=""/>
          <w:b w:val="false"/>
          <w:i w:val="false"/>
          <w:color w:val="000000"/>
        </w:rPr>
        <w:t/>
      </w:r>
    </w:p>
    <w:p>
      <w:pPr>
        <w:pStyle w:val=""/>
      </w:pPr>
      <w:r>
        <w:rPr>
          <w:rFonts w:ascii="" w:hAnsi="" w:cs="" w:eastAsia=""/>
          <w:b w:val="false"/>
          <w:i w:val="false"/>
          <w:color w:val="000000"/>
        </w:rPr>
        <w:t>Massachusetts determined that all 66 of the children either received services, although late, or left the jurisdiction before services could be provided. 30 of the 66 children left MA-C's jurisdiction before services could be provided and 36 of the 66 children received services although late.</w:t>
      </w:r>
    </w:p>
    <w:p>
      <w:pPr>
        <w:pStyle w:val=""/>
      </w:pPr>
      <w:r>
        <w:rPr>
          <w:rFonts w:ascii="" w:hAnsi="" w:cs="" w:eastAsia=""/>
          <w:b w:val="false"/>
          <w:i w:val="false"/>
          <w:color w:val="000000"/>
        </w:rPr>
        <w:t/>
      </w:r>
    </w:p>
    <w:p>
      <w:pPr>
        <w:pStyle w:val=""/>
      </w:pPr>
      <w:r>
        <w:rPr>
          <w:rFonts w:ascii="" w:hAnsi="" w:cs="" w:eastAsia=""/>
          <w:b w:val="false"/>
          <w:i w:val="false"/>
          <w:color w:val="000000"/>
        </w:rPr>
        <w:t xml:space="preserve">MA-C makes findings of noncompliance by EIS program. For all EIS programs identified related to these 66 records (26 EIS programs), MA-C identified 16 pre-finding corrections and 10 findings of noncompliance. </w:t>
      </w:r>
    </w:p>
    <w:p>
      <w:pPr>
        <w:pStyle w:val=""/>
      </w:pPr>
      <w:r>
        <w:rPr>
          <w:rFonts w:ascii="" w:hAnsi="" w:cs="" w:eastAsia=""/>
          <w:b w:val="false"/>
          <w:i w:val="false"/>
          <w:color w:val="000000"/>
        </w:rPr>
        <w:t/>
      </w:r>
    </w:p>
    <w:p>
      <w:pPr>
        <w:pStyle w:val=""/>
      </w:pPr>
      <w:r>
        <w:rPr>
          <w:rFonts w:ascii="" w:hAnsi="" w:cs="" w:eastAsia=""/>
          <w:b w:val="false"/>
          <w:i w:val="false"/>
          <w:color w:val="000000"/>
        </w:rPr>
        <w:t>MA-C made 10 findings of noncompliance across ten early intervention services (EIS) programs (Thom Boston Metro, Thom Springfield, Thom Westfield, Thom Marlboro, Thom Neponset, Reach, People Inc, Minute Man, First EI, BAMSI) for indicator 1.</w:t>
      </w:r>
    </w:p>
    <w:p>
      <w:pPr>
        <w:pStyle w:val=""/>
      </w:pPr>
      <w:r>
        <w:rPr>
          <w:rFonts w:ascii="" w:hAnsi="" w:cs="" w:eastAsia=""/>
          <w:b w:val="false"/>
          <w:i w:val="false"/>
          <w:color w:val="000000"/>
        </w:rPr>
        <w:t xml:space="preserve">For the 10 EIS programs in which findings of noncompliance were made, to verify correction of the noncompliance, one of MA-C's Clinical Oversight and Support Specialist verified ongoing compliance for each of the ten early intervention services (EIS) programs with compliance rates below 100%. For each EIS program, the Clinical Oversight and Support Specialist sampled between 10 to 20 child records (based on a z score analysis used for the size of the program) at random using subsequent service-level data entered by the EIS programs and determined 100% compliance had been demonstrated for this requirement (i.e., received the services on the IFSP within 30 days of consent for the service). </w:t>
      </w:r>
    </w:p>
    <w:p w14:paraId="43786BF5" w14:textId="5256C900" w:rsidR="002F1A9A" w:rsidRPr="00ED172B" w:rsidRDefault="002F1A9A">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7DD27FB9" w14:textId="5AC7708B" w:rsidR="002F1A9A" w:rsidRDefault="00860830">
      <w:pPr>
        <w:rPr>
          <w:color w:val="000000" w:themeColor="text1"/>
        </w:rPr>
      </w:pPr>
      <w:r w:rsidRPr="00ED172B">
        <w:rPr>
          <w:color w:val="000000" w:themeColor="text1"/>
        </w:rPr>
        <w:t xml:space="preserve">MA-C verified that all 66 children determined as having received their services late, received their services although late (i.e., greater than 30 calendar days from the parent's consent to implement that IFSP service), unless the child was no longer in MA-C's jurisdiction. </w:t>
      </w:r>
    </w:p>
    <w:p>
      <w:pPr>
        <w:pStyle w:val=""/>
      </w:pPr>
      <w:r>
        <w:rPr>
          <w:rFonts w:ascii="" w:hAnsi="" w:cs="" w:eastAsia=""/>
          <w:b w:val="false"/>
          <w:i w:val="false"/>
          <w:color w:val="000000"/>
        </w:rPr>
        <w:t/>
      </w:r>
    </w:p>
    <w:p>
      <w:pPr>
        <w:pStyle w:val=""/>
      </w:pPr>
      <w:r>
        <w:rPr>
          <w:rFonts w:ascii="" w:hAnsi="" w:cs="" w:eastAsia=""/>
          <w:b w:val="false"/>
          <w:i w:val="false"/>
          <w:color w:val="000000"/>
        </w:rPr>
        <w:t>Upon detecting the noncompliance, the Clinical Oversight and Support Specialist queried the state database (Early Intervention Client System; EICS) to review the children's individual records. Using data entered by early intervention services (EIS) programs into EICS, the Clinical Oversight and Support Specialist determined that 30 of the 66 children left the jurisdiction before the services were initiated. The remaining 36 of the 66 children had services which were provided late, as demonstrated by service-level data entered by the EIS programs into EICS.</w:t>
      </w:r>
    </w:p>
    <w:p w14:paraId="29CBA710" w14:textId="77777777" w:rsidR="007843C0" w:rsidRPr="00964E73" w:rsidRDefault="007843C0" w:rsidP="007843C0">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04D4CABC" w14:textId="77777777" w:rsidR="007843C0" w:rsidRPr="00510A22" w:rsidRDefault="007843C0" w:rsidP="007843C0">
      <w:pPr>
        <w:rPr>
          <w:color w:val="00B0F0"/>
        </w:rPr>
      </w:pPr>
      <w:r w:rsidRPr="00EE69F5">
        <w:t xml:space="preserve">For the 16 pre-finding corrections MA-C was able to verify within three months of identification of noncompliance, prior to issuing a finding, that the EIS program was correctly implementing the specific regulatory requirement. This was verified based on a review of subsequent data in the Early Intervention Client System for each EIS program that showed they were now meeting the requirement at 100% and had corrected each individual case of child-specific noncompliance, unless the child was no longer within the jurisdiction. MA-C also verified no outstanding corrective action existed under a State complaint or due process hearing decision for each child.  Because these sixteen EIS programs corrected the child level noncompliance (received services although late) prior to findings being made, and the programs' ongoing compliance was verified as 100% using updated data, no formal findings were issued. MA-C notified the EIS program directors of the 16 affected EIS programs of the discovery and subsequent correction of noncompliance and, in accordance with MA-C's General Supervision procedures, no written findings were issued. </w:t>
      </w:r>
    </w:p>
    <w:p w14:paraId="0275179C" w14:textId="7EA43875" w:rsidR="002F1A9A" w:rsidRPr="00ED172B" w:rsidRDefault="002F1A9A"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lastRenderedPageBreak/>
              <w:t>Year Findings of Noncompliance Were Identified</w:t>
            </w:r>
          </w:p>
        </w:tc>
        <w:tc>
          <w:tcPr>
            <w:tcW w:w="1399" w:type="pct"/>
            <w:vAlign w:val="bottom"/>
          </w:tcPr>
          <w:p w14:paraId="5832D775" w14:textId="7D16CF05"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tcPr>
          <w:p w14:paraId="7E294C4A" w14:textId="793E00D3" w:rsidR="002F1A9A" w:rsidRPr="00ED172B" w:rsidRDefault="00860830" w:rsidP="00186420">
            <w:pPr>
              <w:jc w:val="center"/>
              <w:rPr>
                <w:rFonts w:cs="Arial"/>
                <w:color w:val="000000" w:themeColor="text1"/>
                <w:szCs w:val="16"/>
              </w:rPr>
            </w:pPr>
            <w:r w:rsidRPr="00ED172B">
              <w:rPr>
                <w:rFonts w:cs="Arial"/>
                <w:color w:val="000000" w:themeColor="text1"/>
                <w:szCs w:val="16"/>
              </w:rPr>
              <w:t>FFY 2022</w:t>
            </w:r>
          </w:p>
        </w:tc>
        <w:tc>
          <w:tcPr>
            <w:tcW w:w="1399" w:type="pct"/>
          </w:tcPr>
          <w:p w14:paraId="1160A201" w14:textId="0E2C6FD9" w:rsidR="002F1A9A" w:rsidRPr="00ED172B" w:rsidRDefault="00860830" w:rsidP="009A3621">
            <w:pPr>
              <w:jc w:val="center"/>
              <w:rPr>
                <w:rFonts w:cs="Arial"/>
                <w:noProof/>
                <w:color w:val="000000" w:themeColor="text1"/>
                <w:szCs w:val="16"/>
              </w:rPr>
            </w:pPr>
            <w:r w:rsidRPr="00ED172B">
              <w:rPr>
                <w:rFonts w:cs="Arial"/>
                <w:color w:val="000000" w:themeColor="text1"/>
                <w:szCs w:val="16"/>
              </w:rPr>
              <w:t>6</w:t>
            </w:r>
          </w:p>
        </w:tc>
        <w:tc>
          <w:tcPr>
            <w:tcW w:w="1394" w:type="pct"/>
          </w:tcPr>
          <w:p w14:paraId="4333C23A" w14:textId="71B77B57" w:rsidR="002F1A9A" w:rsidRPr="00ED172B" w:rsidRDefault="00860830" w:rsidP="009A3621">
            <w:pPr>
              <w:jc w:val="center"/>
              <w:rPr>
                <w:rFonts w:cs="Arial"/>
                <w:noProof/>
                <w:color w:val="000000" w:themeColor="text1"/>
                <w:szCs w:val="16"/>
              </w:rPr>
            </w:pPr>
            <w:r w:rsidRPr="00ED172B">
              <w:rPr>
                <w:rFonts w:cs="Arial"/>
                <w:color w:val="000000" w:themeColor="text1"/>
                <w:szCs w:val="16"/>
              </w:rPr>
              <w:t>6</w:t>
            </w:r>
          </w:p>
        </w:tc>
        <w:tc>
          <w:tcPr>
            <w:tcW w:w="1307" w:type="pct"/>
          </w:tcPr>
          <w:p w14:paraId="33AEF7F3" w14:textId="54D2CF26" w:rsidR="002F1A9A" w:rsidRPr="00ED172B" w:rsidRDefault="00860830" w:rsidP="00433DB7">
            <w:pPr>
              <w:jc w:val="center"/>
              <w:rPr>
                <w:rFonts w:cs="Arial"/>
                <w:noProof/>
                <w:color w:val="000000" w:themeColor="text1"/>
                <w:szCs w:val="16"/>
              </w:rPr>
            </w:pPr>
            <w:r w:rsidRPr="00ED172B">
              <w:rPr>
                <w:rFonts w:cs="Arial"/>
                <w:color w:val="000000" w:themeColor="text1"/>
                <w:szCs w:val="16"/>
              </w:rPr>
              <w:t>0</w:t>
            </w:r>
          </w:p>
        </w:tc>
      </w:tr>
      <w:tr w:rsidR="00ED172B" w:rsidRPr="00ED172B" w14:paraId="77EEF846" w14:textId="77777777" w:rsidTr="00986B99">
        <w:tc>
          <w:tcPr>
            <w:tcW w:w="899" w:type="pct"/>
          </w:tcPr>
          <w:p w14:paraId="5220DDBB" w14:textId="617F1338" w:rsidR="002F1A9A"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1399" w:type="pct"/>
          </w:tcPr>
          <w:p w14:paraId="51E72912" w14:textId="28137C7A"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94" w:type="pct"/>
          </w:tcPr>
          <w:p w14:paraId="2C1F8516" w14:textId="6CE00AC5"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07" w:type="pct"/>
          </w:tcPr>
          <w:p w14:paraId="504165E6" w14:textId="20AD78DF" w:rsidR="002F1A9A" w:rsidRPr="00ED172B" w:rsidRDefault="00860830" w:rsidP="00433DB7">
            <w:pPr>
              <w:jc w:val="center"/>
              <w:rPr>
                <w:rFonts w:cs="Arial"/>
                <w:noProof/>
                <w:color w:val="000000" w:themeColor="text1"/>
                <w:szCs w:val="16"/>
              </w:rPr>
            </w:pPr>
            <w:r w:rsidRPr="00ED172B">
              <w:rPr>
                <w:rFonts w:cs="Arial"/>
                <w:color w:val="000000" w:themeColor="text1"/>
                <w:szCs w:val="16"/>
              </w:rPr>
              <w:t/>
            </w:r>
          </w:p>
        </w:tc>
      </w:tr>
      <w:tr w:rsidR="00ED172B" w:rsidRPr="00ED172B" w14:paraId="06686058" w14:textId="77777777" w:rsidTr="00986B99">
        <w:tc>
          <w:tcPr>
            <w:tcW w:w="899" w:type="pct"/>
          </w:tcPr>
          <w:p w14:paraId="25B79FD3" w14:textId="19A616F7" w:rsidR="002F1A9A"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1399" w:type="pct"/>
          </w:tcPr>
          <w:p w14:paraId="107B2803" w14:textId="0CF5B5C3"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94" w:type="pct"/>
          </w:tcPr>
          <w:p w14:paraId="5FBAC412" w14:textId="4ED40606"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07" w:type="pct"/>
          </w:tcPr>
          <w:p w14:paraId="1B00BD3C" w14:textId="5FA6F0AB" w:rsidR="002F1A9A" w:rsidRPr="00ED172B" w:rsidRDefault="00860830" w:rsidP="00433DB7">
            <w:pPr>
              <w:jc w:val="center"/>
              <w:rPr>
                <w:rFonts w:cs="Arial"/>
                <w:noProof/>
                <w:color w:val="000000" w:themeColor="text1"/>
                <w:szCs w:val="16"/>
              </w:rPr>
            </w:pPr>
            <w:r w:rsidRPr="00ED172B">
              <w:rPr>
                <w:rFonts w:cs="Arial"/>
                <w:color w:val="000000" w:themeColor="text1"/>
                <w:szCs w:val="16"/>
              </w:rPr>
              <w:t/>
            </w:r>
          </w:p>
        </w:tc>
      </w:tr>
      <w:tr w:rsidR="00D06052" w:rsidRPr="00ED172B" w14:paraId="75EC4F8F" w14:textId="77777777" w:rsidTr="00986B99">
        <w:tc>
          <w:tcPr>
            <w:tcW w:w="899" w:type="pct"/>
          </w:tcPr>
          <w:p w14:paraId="6B87481D" w14:textId="5A6E3598"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c>
          <w:tcPr>
            <w:tcW w:w="1399" w:type="pct"/>
          </w:tcPr>
          <w:p w14:paraId="3FE68023" w14:textId="610C124D"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c>
          <w:tcPr>
            <w:tcW w:w="1394" w:type="pct"/>
          </w:tcPr>
          <w:p w14:paraId="08CEA572" w14:textId="644D97CC"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c>
          <w:tcPr>
            <w:tcW w:w="1307" w:type="pct"/>
          </w:tcPr>
          <w:p w14:paraId="7AADBB03" w14:textId="24C5A8C7"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r>
      <w:tr w:rsidR="00D06052" w:rsidRPr="00ED172B" w14:paraId="38F4CB9B" w14:textId="77777777" w:rsidTr="00986B99">
        <w:tc>
          <w:tcPr>
            <w:tcW w:w="899" w:type="pct"/>
          </w:tcPr>
          <w:p w14:paraId="139D770E" w14:textId="6EB521BB"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c>
          <w:tcPr>
            <w:tcW w:w="1399" w:type="pct"/>
          </w:tcPr>
          <w:p w14:paraId="1AED1D12" w14:textId="70F050AE"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c>
          <w:tcPr>
            <w:tcW w:w="1394" w:type="pct"/>
          </w:tcPr>
          <w:p w14:paraId="1580EBDF" w14:textId="2288BD28"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c>
          <w:tcPr>
            <w:tcW w:w="1307" w:type="pct"/>
          </w:tcPr>
          <w:p w14:paraId="0DE5838F" w14:textId="1505E187" w:rsidR="00D06052" w:rsidRPr="00ED172B" w:rsidRDefault="00D06052" w:rsidP="00D06052">
            <w:pPr>
              <w:jc w:val="center"/>
              <w:rPr>
                <w:rFonts w:cs="Arial"/>
                <w:color w:val="000000" w:themeColor="text1"/>
                <w:szCs w:val="16"/>
              </w:rPr>
            </w:pPr>
            <w:r w:rsidRPr="00ED172B">
              <w:rPr>
                <w:rFonts w:cs="Arial"/>
                <w:color w:val="000000" w:themeColor="text1"/>
                <w:szCs w:val="16"/>
              </w:rPr>
              <w:t/>
            </w:r>
          </w:p>
        </w:tc>
      </w:tr>
    </w:tbl>
    <w:p w14:paraId="63DD048C" w14:textId="53B39DE5" w:rsidR="00E50124" w:rsidRPr="00ED172B" w:rsidRDefault="00E50124" w:rsidP="00B83404">
      <w:pPr>
        <w:rPr>
          <w:rFonts w:cs="Arial"/>
          <w:b/>
          <w:bCs/>
          <w:color w:val="000000" w:themeColor="text1"/>
          <w:szCs w:val="16"/>
        </w:rPr>
      </w:pPr>
      <w:r w:rsidRPr="00ED172B">
        <w:rPr>
          <w:rFonts w:cs="Arial"/>
          <w:b/>
          <w:bCs/>
          <w:color w:val="000000" w:themeColor="text1"/>
          <w:szCs w:val="16"/>
        </w:rPr>
        <w:t>FFY 2022</w:t>
      </w:r>
    </w:p>
    <w:p w14:paraId="6D44D6A0" w14:textId="1AED8B4E" w:rsidR="002F1A9A" w:rsidRPr="00ED172B" w:rsidRDefault="002F1A9A" w:rsidP="00B83404">
      <w:pPr>
        <w:rPr>
          <w:color w:val="000000" w:themeColor="text1"/>
        </w:rPr>
      </w:pPr>
      <w:r w:rsidRPr="00ED172B">
        <w:rPr>
          <w:b/>
          <w:color w:val="000000" w:themeColor="text1"/>
        </w:rPr>
        <w:t>Findings of Noncompliance Verified as Corrected</w:t>
      </w:r>
    </w:p>
    <w:p w14:paraId="04EA9CFC" w14:textId="6669E030" w:rsidR="002F1A9A" w:rsidRPr="00ED172B" w:rsidRDefault="002F1A9A">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A26AB9">
        <w:rPr>
          <w:b/>
          <w:i/>
          <w:color w:val="000000" w:themeColor="text1"/>
        </w:rPr>
        <w:t>.</w:t>
      </w:r>
    </w:p>
    <w:p w14:paraId="37950F8B" w14:textId="4BB86D47" w:rsidR="002F1A9A" w:rsidRPr="00ED172B" w:rsidRDefault="00860830">
      <w:pPr>
        <w:rPr>
          <w:color w:val="000000" w:themeColor="text1"/>
        </w:rPr>
      </w:pPr>
      <w:r w:rsidRPr="00ED172B">
        <w:rPr>
          <w:color w:val="000000" w:themeColor="text1"/>
        </w:rPr>
        <w:t xml:space="preserve">During federal fiscal year 2022 (FFY22; July 1, 2022-June 30, 2023),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its state database (the Early Intervention Client System; EICS), implementing a process to distinguish inaccurate implementation of the regulatory requirement from inaccurate or delayed data entry in federal fiscal year 2022 (FFY22; July 1, 2022-June 30, 2023), and discovered 85 child records across 12 early intervention services (EIS) programs that suggested timely services were not delivered.</w:t>
      </w:r>
    </w:p>
    <w:p>
      <w:pPr>
        <w:pStyle w:val=""/>
      </w:pPr>
      <w:r>
        <w:rPr>
          <w:rFonts w:ascii="" w:hAnsi="" w:cs="" w:eastAsia=""/>
          <w:b w:val="false"/>
          <w:i w:val="false"/>
          <w:color w:val="000000"/>
        </w:rPr>
        <w:t/>
      </w:r>
    </w:p>
    <w:p>
      <w:pPr>
        <w:pStyle w:val=""/>
      </w:pPr>
      <w:r>
        <w:rPr>
          <w:rFonts w:ascii="" w:hAnsi="" w:cs="" w:eastAsia=""/>
          <w:b w:val="false"/>
          <w:i w:val="false"/>
          <w:color w:val="000000"/>
        </w:rPr>
        <w:t>Massachusetts determined that all 85 of the children either received services, although late, or left the jurisdiction before services could be provided. 25 of the 85 children left MA-C's jurisdiction before services could be provided and 60 of the 85 children received services although late.</w:t>
      </w:r>
    </w:p>
    <w:p>
      <w:pPr>
        <w:pStyle w:val=""/>
      </w:pPr>
      <w:r>
        <w:rPr>
          <w:rFonts w:ascii="" w:hAnsi="" w:cs="" w:eastAsia=""/>
          <w:b w:val="false"/>
          <w:i w:val="false"/>
          <w:color w:val="000000"/>
        </w:rPr>
        <w:t/>
      </w:r>
    </w:p>
    <w:p>
      <w:pPr>
        <w:pStyle w:val=""/>
      </w:pPr>
      <w:r>
        <w:rPr>
          <w:rFonts w:ascii="" w:hAnsi="" w:cs="" w:eastAsia=""/>
          <w:b w:val="false"/>
          <w:i w:val="false"/>
          <w:color w:val="000000"/>
        </w:rPr>
        <w:t xml:space="preserve">MA-C makes findings of noncompliance by EIS program. For all EIS programs identified related to these 85 records (12 EIS programs), MA-C identified six pre-finding corrections and six findings of noncompliance. </w:t>
      </w:r>
    </w:p>
    <w:p>
      <w:pPr>
        <w:pStyle w:val=""/>
      </w:pPr>
      <w:r>
        <w:rPr>
          <w:rFonts w:ascii="" w:hAnsi="" w:cs="" w:eastAsia=""/>
          <w:b w:val="false"/>
          <w:i w:val="false"/>
          <w:color w:val="000000"/>
        </w:rPr>
        <w:t/>
      </w:r>
    </w:p>
    <w:p>
      <w:pPr>
        <w:pStyle w:val=""/>
      </w:pPr>
      <w:r>
        <w:rPr>
          <w:rFonts w:ascii="" w:hAnsi="" w:cs="" w:eastAsia=""/>
          <w:b w:val="false"/>
          <w:i w:val="false"/>
          <w:color w:val="000000"/>
        </w:rPr>
        <w:t xml:space="preserve">For the six pre-finding corrections, MA-C was able to verify within three months of identification of noncompliance, prior to issuing a finding, that the EIS programs were correctly implementing the specific regulatory requirement. This was verified based on a review of subsequent data in the Early Intervention Client System for each EIS program that showed they were now meeting the requirement at 100% and had corrected each individual case of child-specific noncompliance, unless the child was no longer within the jurisdiction, child level noncompliance was verified by checking each child’s record in the early intervention client system to verify the child received the service although late or was no longer in jurisdiction. MA-C also verified no outstanding corrective action existed under a State complaint or due process hearing decision for the child. Because these six EIS programs corrected the child level noncompliance (received services although late unless the child was out of jurisdiction) prior to findings being made, and the programs' ongoing compliance was verified as 100% using updated data, no formal findings were issued. MA-C then notified the EIS program directors of the affected EIS programs of the discovery and subsequent correction of noncompliance and, in accordance with MA-C's General Supervision procedures, no written findings were issued. </w:t>
      </w:r>
    </w:p>
    <w:p>
      <w:pPr>
        <w:pStyle w:val=""/>
      </w:pPr>
      <w:r>
        <w:rPr>
          <w:rFonts w:ascii="" w:hAnsi="" w:cs="" w:eastAsia=""/>
          <w:b w:val="false"/>
          <w:i w:val="false"/>
          <w:color w:val="000000"/>
        </w:rPr>
        <w:t/>
      </w:r>
    </w:p>
    <w:p>
      <w:pPr>
        <w:pStyle w:val=""/>
      </w:pPr>
      <w:r>
        <w:rPr>
          <w:rFonts w:ascii="" w:hAnsi="" w:cs="" w:eastAsia=""/>
          <w:b w:val="false"/>
          <w:i w:val="false"/>
          <w:color w:val="000000"/>
        </w:rPr>
        <w:t>MA-C made six findings of noncompliance across six early intervention services (EIS) programs (Northern Berkshire, Arc of the South Shore, BAMSI, Thom Anne Sullivan, Kennedy-Donovan Center-Cape &amp; Islands, and People Incorporated EI program) for indicator 1.</w:t>
      </w:r>
    </w:p>
    <w:p>
      <w:pPr>
        <w:pStyle w:val=""/>
      </w:pPr>
      <w:r>
        <w:rPr>
          <w:rFonts w:ascii="" w:hAnsi="" w:cs="" w:eastAsia=""/>
          <w:b w:val="false"/>
          <w:i w:val="false"/>
          <w:color w:val="000000"/>
        </w:rPr>
        <w:t xml:space="preserve">For the six EIS programs in which findings of noncompliance were made, to verify correction of the noncompliance, one of MA-C's Clinical Oversight and Support Specialist verified ongoing compliance for each of the early intervention services (EIS) programs with compliance rates below 100%. For each EIS program, the Clinical Oversight and Support Specialist sampled between 10 to 20 child records (based on a z score analysis used for the size of the program) at random using subsequent service-level data entered by the EIS programs and determined 100% compliance had been demonstrated for this requirement. </w:t>
      </w:r>
    </w:p>
    <w:p w14:paraId="6C821079" w14:textId="06CA6D74" w:rsidR="002F1A9A" w:rsidRPr="00ED172B" w:rsidRDefault="002F1A9A">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14:paraId="54BEEF03" w14:textId="25F18866" w:rsidR="002F1A9A" w:rsidRDefault="00860830">
      <w:pPr>
        <w:rPr>
          <w:color w:val="000000" w:themeColor="text1"/>
        </w:rPr>
      </w:pPr>
      <w:r w:rsidRPr="00ED172B">
        <w:rPr>
          <w:color w:val="000000" w:themeColor="text1"/>
        </w:rPr>
        <w:t xml:space="preserve">MA-C verified that all 85 children determined as having received their services late, received their services although late (i.e., greater than 30 calendar days from the parent's consent to implement that IFSP service), unless the child was no longer in MA-C's jurisdiction. </w:t>
      </w:r>
    </w:p>
    <w:p>
      <w:pPr>
        <w:pStyle w:val=""/>
      </w:pPr>
      <w:r>
        <w:rPr>
          <w:rFonts w:ascii="" w:hAnsi="" w:cs="" w:eastAsia=""/>
          <w:b w:val="false"/>
          <w:i w:val="false"/>
          <w:color w:val="000000"/>
        </w:rPr>
        <w:t/>
      </w:r>
    </w:p>
    <w:p>
      <w:pPr>
        <w:pStyle w:val=""/>
      </w:pPr>
      <w:r>
        <w:rPr>
          <w:rFonts w:ascii="" w:hAnsi="" w:cs="" w:eastAsia=""/>
          <w:b w:val="false"/>
          <w:i w:val="false"/>
          <w:color w:val="000000"/>
        </w:rPr>
        <w:t>Upon detecting the noncompliance, the Clinical Oversight and Support Specialist queried the state database (Early Intervention Client System; EICS) to review the children's individual records. Using data entered by early intervention services (EIS) programs into EICS, the Clinical Oversight and Support Specialist determined that 25 of the 85 children left the jurisdiction before the services were initiated. The remaining 60 of the 85 children had services which were provided late, as demonstrated by service-level data entered by the EIS programs into EICS.</w:t>
      </w:r>
    </w:p>
    <w:p w14:paraId="5567CC80" w14:textId="77777777" w:rsidR="00DE328D" w:rsidRPr="00ED172B" w:rsidRDefault="00DE328D">
      <w:pPr>
        <w:rPr>
          <w:color w:val="000000" w:themeColor="text1"/>
        </w:rPr>
      </w:pPr>
    </w:p>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Because the State reported less than 100% compliance for FFY 2023, the State must report on the status of correction of noncompliance identified in FFY 2023 for this indicator. In addition, the State must demonstrate, in the FFY 2024 SPP/APR, that the remaining six uncorrected findings of noncompliance identified in FFY 2022 were corrected. When reporting on the correction of noncompliance, the State must report, in the FFY 2024 SPP/APR, that it has verified that each EIS program or provider with findings of noncompliance identified in FFY 2023 and each EIS program or provider with remaining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w:t>
      </w:r>
    </w:p>
    <w:p w14:paraId="50B0C9A3" w14:textId="77777777" w:rsidR="004C1CEE" w:rsidRPr="00ED172B" w:rsidRDefault="004C1CEE" w:rsidP="002F1A9A">
      <w:pPr>
        <w:rPr>
          <w:rFonts w:cs="Arial"/>
          <w:color w:val="000000" w:themeColor="text1"/>
          <w:szCs w:val="16"/>
        </w:rPr>
      </w:pPr>
    </w:p>
    <w:p w14:paraId="7CD7BB8E" w14:textId="6F10F005" w:rsidR="002F1A9A" w:rsidRPr="00ED172B" w:rsidRDefault="002F1A9A"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7B432D1F" w14:textId="30BE75E8" w:rsidR="002F1A9A" w:rsidRPr="00ED172B" w:rsidRDefault="00027F39" w:rsidP="00027F39">
      <w:pPr>
        <w:rPr>
          <w:color w:val="000000" w:themeColor="text1"/>
        </w:rPr>
      </w:pPr>
      <w:r w:rsidRPr="00ED172B">
        <w:rPr>
          <w:color w:val="000000" w:themeColor="text1"/>
        </w:rPr>
        <w:t>MA-C has verified as corrected all noncompliance from FFY22 and FFY23.</w:t>
      </w:r>
    </w:p>
    <w:p>
      <w:pPr>
        <w:pStyle w:val=""/>
      </w:pPr>
      <w:r>
        <w:rPr>
          <w:rFonts w:ascii="" w:hAnsi="" w:cs="" w:eastAsia=""/>
          <w:b w:val="false"/>
          <w:i w:val="false"/>
          <w:color w:val="000000"/>
        </w:rPr>
        <w:t/>
      </w:r>
    </w:p>
    <w:p>
      <w:pPr>
        <w:pStyle w:val=""/>
      </w:pPr>
      <w:r>
        <w:rPr>
          <w:rFonts w:ascii="" w:hAnsi="" w:cs="" w:eastAsia=""/>
          <w:b w:val="false"/>
          <w:i w:val="false"/>
          <w:color w:val="000000"/>
        </w:rPr>
        <w:t xml:space="preserve">During FFY23 (July 1, 2023-June 30, 2024),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its state database (EICS), implementing a process to distinguish inaccurate implementation of the regulatory requirement from inaccurate or delayed data entry in FFY23 and discovered 66 child records across 26 early intervention services (EIS) programs that suggested timely services were not delivered. Massachusetts determined that all 66 of the children either received services, although late, or left the jurisdiction before services could be provided. 30 of the 66 children left MA-C's jurisdiction before services could be provided and 36 of the 66 children received services although late. MA-C makes findings of noncompliance by EIS program. For all EIS programs identified related to these 66 records (26 EIS programs), MA-C identified 16 pre-finding corrections and 10 findings of noncompliance. </w:t>
      </w:r>
    </w:p>
    <w:p>
      <w:pPr>
        <w:pStyle w:val=""/>
      </w:pPr>
      <w:r>
        <w:rPr>
          <w:rFonts w:ascii="" w:hAnsi="" w:cs="" w:eastAsia=""/>
          <w:b w:val="false"/>
          <w:i w:val="false"/>
          <w:color w:val="000000"/>
        </w:rPr>
        <w:t xml:space="preserve">For the 16 pre-finding corrections MA-C was able to verify within three months of identification of noncompliance, prior to issuing a finding, that the EIS program was correctly implementing the specific regulatory requirement. This was verified based on a review of subsequent data for each EIS program in the EICS that showed they were meeting the requirement at 100% and had corrected each individual case of child-specific noncompliance, unless the child was no longer within the jurisdiction. MA-C also verified no outstanding corrective action existed under a State complaint or due process hearing decision for each child. Because these 16 EIS programs corrected the child-level noncompliance (received services although late unless no longer in jurisdiction) prior to findings being made, and the programs' ongoing compliance was verified as 100% using updated data, no formal findings were issued. MA-C notified the EIS program directors of the 16 affected EIS programs of the discovery and subsequent correction of noncompliance and, in accordance with MA-C's General Supervision procedures, no written findings were issued. </w:t>
      </w:r>
    </w:p>
    <w:p>
      <w:pPr>
        <w:pStyle w:val=""/>
      </w:pPr>
      <w:r>
        <w:rPr>
          <w:rFonts w:ascii="" w:hAnsi="" w:cs="" w:eastAsia=""/>
          <w:b w:val="false"/>
          <w:i w:val="false"/>
          <w:color w:val="000000"/>
        </w:rPr>
        <w:t>MA-C made 10 findings of noncompliance across ten early intervention services (EIS) programs (Thom Boston Metro, Thom Springfield, Thom Westfield, Thom Marlboro, Thom Neponset, Reach, People Inc, Minute Man, First EI, BAMSI) for indicator 1.</w:t>
      </w:r>
    </w:p>
    <w:p>
      <w:pPr>
        <w:pStyle w:val=""/>
      </w:pPr>
      <w:r>
        <w:rPr>
          <w:rFonts w:ascii="" w:hAnsi="" w:cs="" w:eastAsia=""/>
          <w:b w:val="false"/>
          <w:i w:val="false"/>
          <w:color w:val="000000"/>
        </w:rPr>
        <w:t>For the 10 EIS programs in which findings of noncompliance were made, to verify correction of the noncompliance, one of MA-C's Clinical Oversight and Support Specialist verified ongoing compliance for each of the ten early intervention services (EIS) programs with compliance rates below 100%. For each EIS program, the Clinical Oversight and Support Specialist sampled between 10 to 20 child records (based on a z score analysis used for the size of the program) at random using subsequent service-level data entered by the EIS programs and determined 100% compliance had been demonstrated for this requirement. MA-C verified that all 66 children determined as having received their services late, received their services although late (i.e., greater than 30 calendar days from the parent's consent to implement that IFSP service), unless the child was no longer in MA-C's jurisdiction. Upon detecting the noncompliance, the Clinical Oversight and Support Specialist queried the state database (Early Intervention Client System; EICS) to review the children's individual records. Using data entered by early intervention services (EIS) programs into EICS, the Clinical Oversight and Support Specialist determined that 30 of the 66 children left the jurisdiction before the services were initiated. The remaining 36 of the 66 children had services which were provided late, as demonstrated by service-level data entered by the EIS programs into EICS.</w:t>
      </w:r>
    </w:p>
    <w:p>
      <w:pPr>
        <w:pStyle w:val=""/>
      </w:pPr>
      <w:r>
        <w:rPr>
          <w:rFonts w:ascii="" w:hAnsi="" w:cs="" w:eastAsia=""/>
          <w:b w:val="false"/>
          <w:i w:val="false"/>
          <w:color w:val="000000"/>
        </w:rPr>
        <w:t/>
      </w:r>
    </w:p>
    <w:p>
      <w:pPr>
        <w:pStyle w:val=""/>
      </w:pPr>
      <w:r>
        <w:rPr>
          <w:rFonts w:ascii="" w:hAnsi="" w:cs="" w:eastAsia=""/>
          <w:b w:val="false"/>
          <w:i w:val="false"/>
          <w:color w:val="000000"/>
        </w:rPr>
        <w:t xml:space="preserve">During FFY22 (July 1, 2022-June 30, 2023),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 state database (EICS), implementing a process to distinguish inaccurate implementation of the regulatory requirement from inaccurate or delayed data entry in FFY22, and discovered 85 child records across 12 EIS programs that suggested timely services were not delivered. MA-C determined that all 85 of the children either received services, although late, or left the jurisdiction before services could be provided. 25 of the 85 children left MA-C's jurisdiction before services could be provided and 60 of the 85 children received services although late. MA-C makes findings of noncompliance by EIS program. For all EIS programs identified related to these 85 records (12 EIS programs), MA-C identified 6 pre-finding corrections and 6 findings of noncompliance. </w:t>
      </w:r>
    </w:p>
    <w:p>
      <w:pPr>
        <w:pStyle w:val=""/>
      </w:pPr>
      <w:r>
        <w:rPr>
          <w:rFonts w:ascii="" w:hAnsi="" w:cs="" w:eastAsia=""/>
          <w:b w:val="false"/>
          <w:i w:val="false"/>
          <w:color w:val="000000"/>
        </w:rPr>
        <w:t xml:space="preserve">For the 6 pre-finding corrections, MA-C was able to verify within 3 months of identification of noncompliance, prior to issuing a finding, that the EIS program was correctly implementing the specific regulatory requirement. This was verified based on a review of subsequent data for each EIS program in the EICS that showed they were meeting the requirement at 100% and had corrected each individual case of child-specific noncompliance, unless the child was no longer within the jurisdiction. MA-C also verified no outstanding corrective action existed under a State complaint or due process hearing decision for each child. Because these 6 EIS programs corrected the child level noncompliance (received services although late) prior to findings being made, and the programs' ongoing compliance was verified as 100% using updated data, no formal findings were issued. MA-C then notified the EIS program directors of the affected EIS programs of the discovery and subsequent correction of noncompliance and, in accordance with MA-C's General Supervision procedures, no written findings were issued. </w:t>
      </w:r>
    </w:p>
    <w:p>
      <w:pPr>
        <w:pStyle w:val=""/>
      </w:pPr>
      <w:r>
        <w:rPr>
          <w:rFonts w:ascii="" w:hAnsi="" w:cs="" w:eastAsia=""/>
          <w:b w:val="false"/>
          <w:i w:val="false"/>
          <w:color w:val="000000"/>
        </w:rPr>
        <w:t>MA-C made 6 findings of noncompliance across six early intervention services (EIS) programs (Northern Berkshire, Arc of the South Shore, BAMSI, Thom Anne Sullivan, Kennedy-Donovan Center-Cape &amp; Islands, and People Incorporated EI program) for indicator 1 for FFY22.</w:t>
      </w:r>
    </w:p>
    <w:p>
      <w:pPr>
        <w:pStyle w:val=""/>
      </w:pPr>
      <w:r>
        <w:rPr>
          <w:rFonts w:ascii="" w:hAnsi="" w:cs="" w:eastAsia=""/>
          <w:b w:val="false"/>
          <w:i w:val="false"/>
          <w:color w:val="000000"/>
        </w:rPr>
        <w:t>For the 6 EIS programs in which findings of noncompliance were made, to verify correction of the noncompliance, one of MA-C's Clinical Oversight and Support Specialist verified ongoing compliance for each of the 6 early intervention services (EIS) programs with compliance rates below 100%. For each EIS program, the Clinical Oversight and Support Specialist sampled between 10-20 child records (based on a z score analysis used for the size of the program) at random using subsequent service-level data entered by the EIS programs and determined 100% compliance had been demonstrated for this requirement. MA-C verified that all 85 children determined as having received their services late, received their services although late (i.e., greater than 30 calendar days from the parent's consent to implement that IFSP service), unless the child was no longer in MA-C's jurisdiction. Upon detecting the noncompliance, the Clinical Oversight and Support Specialist queried EICS to review the children's individual records. Using data entered by EIS programs into EICS, the Clinical Oversight and Support Specialist determined that 25 of the 85 children left the jurisdiction before the services were initiated. The remaining 60 of the 85 children had services which were provided late, as demonstrated by service-level data entered by the EIS programs into EICS.</w:t>
      </w: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5E414F" w:rsidP="00027F3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14E4670B" w14:textId="0CF10102" w:rsidR="002F1A9A" w:rsidRPr="00A40EE1" w:rsidRDefault="000D0117" w:rsidP="005C3FFD">
      <w:pPr>
        <w:pStyle w:val="Heading2"/>
      </w:pPr>
      <w:r w:rsidRPr="00A40EE1">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
      </w:r>
    </w:p>
    <w:p w14:paraId="5457E150" w14:textId="2454D9B8" w:rsidR="006B486C" w:rsidRPr="00ED172B" w:rsidRDefault="006B486C" w:rsidP="00604467">
      <w:pPr>
        <w:rPr>
          <w:color w:val="000000" w:themeColor="text1"/>
        </w:rPr>
        <w:sectPr w:rsidR="006B486C" w:rsidRPr="00ED172B" w:rsidSect="00BF3AB4">
          <w:footerReference w:type="default" r:id="rId12"/>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5EEBC597" w14:textId="77777777" w:rsidR="005D37E4" w:rsidRPr="003461DB" w:rsidRDefault="005D37E4" w:rsidP="005D37E4">
      <w:pPr>
        <w:rPr>
          <w:szCs w:val="16"/>
        </w:rPr>
      </w:pPr>
      <w:r w:rsidRPr="00ED3380">
        <w:rPr>
          <w:szCs w:val="16"/>
        </w:rPr>
        <w:t>Same data as used for reporting to the Department under section 618 of the IDEA, using the definitions in EDFacts file specification FS902.</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D21F29" w:rsidRDefault="006628E4" w:rsidP="00174E1C">
      <w:pPr>
        <w:rPr>
          <w:i/>
          <w:iCs/>
          <w:color w:val="000000" w:themeColor="text1"/>
          <w:szCs w:val="16"/>
        </w:rPr>
      </w:pPr>
      <w:r w:rsidRPr="00D21F29">
        <w:rPr>
          <w:i/>
          <w:iCs/>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9"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vAlign w:val="center"/>
          </w:tcPr>
          <w:p w14:paraId="2412809D"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98.80%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7" w:type="pct"/>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2020</w:t>
            </w:r>
          </w:p>
        </w:tc>
        <w:tc>
          <w:tcPr>
            <w:tcW w:w="867" w:type="pct"/>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2021</w:t>
            </w:r>
          </w:p>
        </w:tc>
        <w:tc>
          <w:tcPr>
            <w:tcW w:w="867" w:type="pct"/>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2022</w:t>
            </w:r>
          </w:p>
        </w:tc>
        <w:tc>
          <w:tcPr>
            <w:tcW w:w="866" w:type="pct"/>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2023</w:t>
            </w:r>
          </w:p>
        </w:tc>
      </w:tr>
      <w:tr w:rsidR="00ED172B" w:rsidRPr="00ED172B" w14:paraId="1A3FBEC1" w14:textId="758D5A2D" w:rsidTr="00986B99">
        <w:trPr>
          <w:trHeight w:val="357"/>
        </w:trPr>
        <w:tc>
          <w:tcPr>
            <w:tcW w:w="666" w:type="pct"/>
          </w:tcPr>
          <w:p w14:paraId="619910EF" w14:textId="5E3258DE" w:rsidR="00D71B7C" w:rsidRPr="00ED172B" w:rsidRDefault="00D71B7C" w:rsidP="00D21F29">
            <w:pPr>
              <w:jc w:val="center"/>
              <w:rPr>
                <w:color w:val="000000" w:themeColor="text1"/>
                <w:szCs w:val="16"/>
              </w:rPr>
            </w:pPr>
            <w:r w:rsidRPr="00ED172B">
              <w:rPr>
                <w:color w:val="000000" w:themeColor="text1"/>
                <w:szCs w:val="16"/>
              </w:rPr>
              <w:t>Target&gt;=</w:t>
            </w:r>
          </w:p>
        </w:tc>
        <w:tc>
          <w:tcPr>
            <w:tcW w:w="867" w:type="pct"/>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7" w:type="pct"/>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7" w:type="pct"/>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97.50%</w:t>
            </w:r>
          </w:p>
        </w:tc>
        <w:tc>
          <w:tcPr>
            <w:tcW w:w="867" w:type="pct"/>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97.50%</w:t>
            </w:r>
          </w:p>
        </w:tc>
        <w:tc>
          <w:tcPr>
            <w:tcW w:w="866" w:type="pct"/>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98.00%</w:t>
            </w:r>
          </w:p>
        </w:tc>
      </w:tr>
      <w:tr w:rsidR="00ED172B" w:rsidRPr="00ED172B" w14:paraId="5833C430" w14:textId="29FE84DB" w:rsidTr="00986B99">
        <w:trPr>
          <w:trHeight w:val="85"/>
        </w:trPr>
        <w:tc>
          <w:tcPr>
            <w:tcW w:w="666" w:type="pct"/>
          </w:tcPr>
          <w:p w14:paraId="1A85A0DF" w14:textId="77777777" w:rsidR="00D71B7C" w:rsidRPr="00ED172B" w:rsidRDefault="00D71B7C" w:rsidP="00D21F29">
            <w:pPr>
              <w:jc w:val="center"/>
              <w:rPr>
                <w:color w:val="000000" w:themeColor="text1"/>
                <w:szCs w:val="16"/>
              </w:rPr>
            </w:pPr>
            <w:r w:rsidRPr="00ED172B">
              <w:rPr>
                <w:color w:val="000000" w:themeColor="text1"/>
                <w:szCs w:val="16"/>
              </w:rPr>
              <w:t>Data</w:t>
            </w:r>
          </w:p>
        </w:tc>
        <w:tc>
          <w:tcPr>
            <w:tcW w:w="867" w:type="pct"/>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99.88%</w:t>
            </w:r>
          </w:p>
        </w:tc>
        <w:tc>
          <w:tcPr>
            <w:tcW w:w="867" w:type="pct"/>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98.86%</w:t>
            </w:r>
          </w:p>
        </w:tc>
        <w:tc>
          <w:tcPr>
            <w:tcW w:w="867" w:type="pct"/>
            <w:tcBorders>
              <w:bottom w:val="single" w:sz="4" w:space="0" w:color="auto"/>
            </w:tcBorders>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99.12%</w:t>
            </w:r>
          </w:p>
        </w:tc>
        <w:tc>
          <w:tcPr>
            <w:tcW w:w="867" w:type="pct"/>
            <w:tcBorders>
              <w:bottom w:val="single" w:sz="4" w:space="0" w:color="auto"/>
            </w:tcBorders>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99.11%</w:t>
            </w:r>
          </w:p>
        </w:tc>
        <w:tc>
          <w:tcPr>
            <w:tcW w:w="866" w:type="pct"/>
            <w:tcBorders>
              <w:bottom w:val="single" w:sz="4" w:space="0" w:color="auto"/>
            </w:tcBorders>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98.80%</w:t>
            </w:r>
          </w:p>
        </w:tc>
      </w:tr>
    </w:tbl>
    <w:p w14:paraId="54FA3A41" w14:textId="1A075C46" w:rsidR="00B312CC" w:rsidRPr="00ED172B" w:rsidRDefault="00B312CC">
      <w:pPr>
        <w:rPr>
          <w:b/>
          <w:color w:val="000000" w:themeColor="text1"/>
        </w:rPr>
      </w:pPr>
      <w:r w:rsidRPr="00ED172B">
        <w:rPr>
          <w:b/>
          <w:color w:val="000000" w:themeColor="text1"/>
        </w:rPr>
        <w:t>Targets</w:t>
      </w:r>
    </w:p>
    <w:tbl>
      <w:tblPr>
        <w:tblW w:w="1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30"/>
        <w:gridCol w:w="1676"/>
        <w:gridCol w:w="1677"/>
      </w:tblGrid>
      <w:tr w:rsidR="00CF59E2" w:rsidRPr="00ED172B" w14:paraId="69640561" w14:textId="00BF0E9A" w:rsidTr="00811738">
        <w:trPr>
          <w:trHeight w:val="350"/>
        </w:trPr>
        <w:tc>
          <w:tcPr>
            <w:tcW w:w="893" w:type="pct"/>
            <w:tcBorders>
              <w:bottom w:val="single" w:sz="4" w:space="0" w:color="auto"/>
            </w:tcBorders>
          </w:tcPr>
          <w:p w14:paraId="1E99C122" w14:textId="77777777" w:rsidR="00CF59E2" w:rsidRPr="00ED172B" w:rsidRDefault="00CF59E2" w:rsidP="003546A3">
            <w:pPr>
              <w:jc w:val="center"/>
              <w:rPr>
                <w:b/>
                <w:color w:val="000000" w:themeColor="text1"/>
                <w:szCs w:val="16"/>
              </w:rPr>
            </w:pPr>
            <w:r w:rsidRPr="00ED172B">
              <w:rPr>
                <w:b/>
                <w:color w:val="000000" w:themeColor="text1"/>
                <w:szCs w:val="16"/>
              </w:rPr>
              <w:t>FFY</w:t>
            </w:r>
          </w:p>
        </w:tc>
        <w:tc>
          <w:tcPr>
            <w:tcW w:w="2053" w:type="pct"/>
            <w:vAlign w:val="center"/>
          </w:tcPr>
          <w:p w14:paraId="65FF2B00" w14:textId="7CCAF341" w:rsidR="00CF59E2" w:rsidRPr="00ED172B" w:rsidRDefault="00CF59E2" w:rsidP="003546A3">
            <w:pPr>
              <w:jc w:val="center"/>
              <w:rPr>
                <w:b/>
                <w:color w:val="000000" w:themeColor="text1"/>
                <w:szCs w:val="16"/>
              </w:rPr>
            </w:pPr>
            <w:r w:rsidRPr="00ED172B">
              <w:rPr>
                <w:rFonts w:cs="Arial"/>
                <w:b/>
                <w:color w:val="000000" w:themeColor="text1"/>
                <w:szCs w:val="16"/>
              </w:rPr>
              <w:t>2024</w:t>
            </w:r>
          </w:p>
        </w:tc>
        <w:tc>
          <w:tcPr>
            <w:tcW w:w="2054" w:type="pct"/>
          </w:tcPr>
          <w:p w14:paraId="6A5B5290" w14:textId="1CFF28ED" w:rsidR="00CF59E2" w:rsidRPr="00ED172B" w:rsidRDefault="00CF59E2" w:rsidP="003546A3">
            <w:pPr>
              <w:jc w:val="center"/>
              <w:rPr>
                <w:rFonts w:cs="Arial"/>
                <w:b/>
                <w:color w:val="000000" w:themeColor="text1"/>
                <w:szCs w:val="16"/>
              </w:rPr>
            </w:pPr>
            <w:r>
              <w:rPr>
                <w:rFonts w:cs="Arial"/>
                <w:b/>
                <w:color w:val="000000" w:themeColor="text1"/>
                <w:szCs w:val="16"/>
              </w:rPr>
              <w:t>2025</w:t>
            </w:r>
          </w:p>
        </w:tc>
      </w:tr>
      <w:tr w:rsidR="00CF59E2" w:rsidRPr="00ED172B" w14:paraId="67435F39" w14:textId="4B221A6D" w:rsidTr="00811738">
        <w:trPr>
          <w:trHeight w:val="357"/>
        </w:trPr>
        <w:tc>
          <w:tcPr>
            <w:tcW w:w="893" w:type="pct"/>
          </w:tcPr>
          <w:p w14:paraId="3D2F539F" w14:textId="00377A5F" w:rsidR="00CF59E2" w:rsidRPr="00ED172B" w:rsidRDefault="00CF59E2" w:rsidP="00D21F29">
            <w:pPr>
              <w:jc w:val="center"/>
              <w:rPr>
                <w:color w:val="000000" w:themeColor="text1"/>
                <w:szCs w:val="16"/>
              </w:rPr>
            </w:pPr>
            <w:r w:rsidRPr="00ED172B">
              <w:rPr>
                <w:color w:val="000000" w:themeColor="text1"/>
                <w:szCs w:val="16"/>
              </w:rPr>
              <w:t>Target&gt;=</w:t>
            </w:r>
          </w:p>
        </w:tc>
        <w:tc>
          <w:tcPr>
            <w:tcW w:w="2053" w:type="pct"/>
            <w:vAlign w:val="center"/>
          </w:tcPr>
          <w:p w14:paraId="64D40D5F" w14:textId="4B9F73CA" w:rsidR="00CF59E2" w:rsidRPr="00ED172B" w:rsidRDefault="00CF59E2" w:rsidP="00573310">
            <w:pPr>
              <w:jc w:val="center"/>
              <w:rPr>
                <w:color w:val="000000" w:themeColor="text1"/>
                <w:szCs w:val="16"/>
              </w:rPr>
            </w:pPr>
            <w:r w:rsidRPr="00ED172B">
              <w:rPr>
                <w:rFonts w:cs="Arial"/>
                <w:color w:val="000000" w:themeColor="text1"/>
                <w:szCs w:val="16"/>
              </w:rPr>
              <w:t>98.00%</w:t>
            </w:r>
          </w:p>
        </w:tc>
        <w:tc>
          <w:tcPr>
            <w:tcW w:w="2054" w:type="pct"/>
          </w:tcPr>
          <w:p w14:paraId="729751AD" w14:textId="13A0179F" w:rsidR="00CF59E2" w:rsidRPr="00ED172B" w:rsidRDefault="00CF59E2" w:rsidP="00573310">
            <w:pPr>
              <w:jc w:val="center"/>
              <w:rPr>
                <w:rFonts w:cs="Arial"/>
                <w:color w:val="000000" w:themeColor="text1"/>
                <w:szCs w:val="16"/>
              </w:rPr>
            </w:pPr>
            <w:r>
              <w:rPr>
                <w:rFonts w:cs="Arial"/>
                <w:color w:val="000000" w:themeColor="text1"/>
                <w:szCs w:val="16"/>
              </w:rPr>
              <w:t>98.50%</w:t>
            </w:r>
          </w:p>
        </w:tc>
      </w:tr>
    </w:tbl>
    <w:p w14:paraId="048B5BE7" w14:textId="7B076B48"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7615FD78" w14:textId="04DD62A8" w:rsidR="00AE7452" w:rsidRPr="00ED172B" w:rsidRDefault="00AE7452" w:rsidP="00B83404">
      <w:pPr>
        <w:rPr>
          <w:color w:val="000000" w:themeColor="text1"/>
        </w:rPr>
      </w:pPr>
      <w:r w:rsidRPr="00ED172B">
        <w:rPr>
          <w:rFonts w:cs="Arial"/>
          <w:color w:val="000000" w:themeColor="text1"/>
          <w:szCs w:val="16"/>
        </w:rPr>
        <w:t xml:space="preserve">At a State Interagency Coordinating Council (ICC) meeting on November 14, 2024, members expressed concern about families withdrawing their children diagnosed with autism from Part C services to attend private, full-day center-based programs. Provider representatives expressed concern about the effects these centers may have on Indicator 2 across time and how MA-C would consider this when establishing its targets for future State Performance Plans/Annual Performance Reports. </w:t>
      </w:r>
    </w:p>
    <w:p>
      <w:pPr>
        <w:pStyle w:val=""/>
      </w:pPr>
      <w:r>
        <w:rPr>
          <w:rFonts w:ascii="" w:hAnsi="" w:cs="" w:eastAsia=""/>
          <w:b w:val="false"/>
          <w:i w:val="false"/>
          <w:color w:val="000000"/>
        </w:rPr>
        <w:t/>
      </w:r>
    </w:p>
    <w:p>
      <w:pPr>
        <w:pStyle w:val=""/>
      </w:pPr>
      <w:r>
        <w:rPr>
          <w:rFonts w:ascii="" w:hAnsi="" w:cs="" w:eastAsia=""/>
          <w:b w:val="false"/>
          <w:i w:val="false"/>
          <w:color w:val="000000"/>
        </w:rPr>
        <w:t>At a State Interagency Coordinating Council (ICC) meeting on October 9, 2025, members reviewed results from FFY24 (July 1, 2024-June 30, 2025) for indicator 2. During this meeting, the Part C Coordinator asked attendees for assistance in identifying contributing factors to the increased number of children receiving services in the natural environment. Provider representatives from across the Commonwealth noted that training conducted by the MA-C during FFY24 on how to properly document the location of the child's services in the database improved accurate reporting to reflect what was occuring.</w:t>
      </w: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460" w:type="pct"/>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07/30/2025</w:t>
            </w:r>
          </w:p>
        </w:tc>
        <w:tc>
          <w:tcPr>
            <w:tcW w:w="1487" w:type="pct"/>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tcPr>
          <w:p w14:paraId="1C4DB47F" w14:textId="62B147B6" w:rsidR="006111D4" w:rsidRPr="00ED172B" w:rsidRDefault="00860830" w:rsidP="006111D4">
            <w:pPr>
              <w:jc w:val="center"/>
              <w:rPr>
                <w:color w:val="000000" w:themeColor="text1"/>
                <w:szCs w:val="16"/>
              </w:rPr>
            </w:pPr>
            <w:r w:rsidRPr="00ED172B">
              <w:rPr>
                <w:color w:val="000000" w:themeColor="text1"/>
                <w:szCs w:val="16"/>
              </w:rPr>
              <w:t>22,198</w:t>
            </w:r>
          </w:p>
        </w:tc>
      </w:tr>
      <w:tr w:rsidR="00ED172B" w:rsidRPr="00ED172B" w14:paraId="23879959" w14:textId="77777777" w:rsidTr="00986B99">
        <w:trPr>
          <w:trHeight w:val="380"/>
        </w:trPr>
        <w:tc>
          <w:tcPr>
            <w:tcW w:w="1207" w:type="pct"/>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460" w:type="pct"/>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t>07/30/2025</w:t>
            </w:r>
          </w:p>
        </w:tc>
        <w:tc>
          <w:tcPr>
            <w:tcW w:w="1487" w:type="pct"/>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22,312</w:t>
            </w:r>
          </w:p>
        </w:tc>
      </w:tr>
    </w:tbl>
    <w:p w14:paraId="7B961186" w14:textId="3772426A" w:rsidR="006628E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8"/>
        <w:gridCol w:w="1267"/>
        <w:gridCol w:w="1894"/>
        <w:gridCol w:w="1141"/>
        <w:gridCol w:w="1445"/>
        <w:gridCol w:w="1399"/>
      </w:tblGrid>
      <w:tr w:rsidR="00ED172B" w:rsidRPr="00ED172B" w14:paraId="07885561" w14:textId="77777777" w:rsidTr="00986B99">
        <w:trPr>
          <w:trHeight w:val="359"/>
          <w:tblHeader/>
        </w:trPr>
        <w:tc>
          <w:tcPr>
            <w:tcW w:w="834" w:type="pct"/>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vAlign w:val="bottom"/>
          </w:tcPr>
          <w:p w14:paraId="10A26864" w14:textId="356AA783" w:rsidR="00B605F5" w:rsidRPr="00ED172B" w:rsidRDefault="00CD74B5" w:rsidP="00B605F5">
            <w:pPr>
              <w:jc w:val="center"/>
              <w:rPr>
                <w:b/>
                <w:color w:val="000000" w:themeColor="text1"/>
                <w:szCs w:val="16"/>
              </w:rPr>
            </w:pPr>
            <w:r>
              <w:rPr>
                <w:rFonts w:cs="Arial"/>
                <w:b/>
                <w:color w:val="000000" w:themeColor="text1"/>
                <w:szCs w:val="16"/>
              </w:rPr>
              <w:t>FFY 2023 Data</w:t>
            </w:r>
          </w:p>
        </w:tc>
        <w:tc>
          <w:tcPr>
            <w:tcW w:w="877" w:type="pct"/>
            <w:vAlign w:val="bottom"/>
          </w:tcPr>
          <w:p w14:paraId="418B7AF3" w14:textId="57A91F9C" w:rsidR="00B605F5" w:rsidRPr="00ED172B" w:rsidRDefault="00F22D09" w:rsidP="00B605F5">
            <w:pPr>
              <w:jc w:val="center"/>
              <w:rPr>
                <w:b/>
                <w:color w:val="000000" w:themeColor="text1"/>
                <w:szCs w:val="16"/>
              </w:rPr>
            </w:pPr>
            <w:r>
              <w:rPr>
                <w:rFonts w:cs="Arial"/>
                <w:b/>
                <w:color w:val="000000" w:themeColor="text1"/>
                <w:szCs w:val="16"/>
              </w:rPr>
              <w:t>FFY 2024 Target</w:t>
            </w:r>
          </w:p>
        </w:tc>
        <w:tc>
          <w:tcPr>
            <w:tcW w:w="528" w:type="pct"/>
            <w:vAlign w:val="bottom"/>
          </w:tcPr>
          <w:p w14:paraId="1EF8A614" w14:textId="0E2E8768" w:rsidR="00B605F5" w:rsidRPr="00ED172B" w:rsidRDefault="00F22D09" w:rsidP="00B605F5">
            <w:pPr>
              <w:jc w:val="center"/>
              <w:rPr>
                <w:b/>
                <w:color w:val="000000" w:themeColor="text1"/>
                <w:szCs w:val="16"/>
              </w:rPr>
            </w:pPr>
            <w:r>
              <w:rPr>
                <w:rFonts w:cs="Arial"/>
                <w:b/>
                <w:color w:val="000000" w:themeColor="text1"/>
                <w:szCs w:val="16"/>
              </w:rPr>
              <w:t>FFY 2024 Data</w:t>
            </w:r>
          </w:p>
        </w:tc>
        <w:tc>
          <w:tcPr>
            <w:tcW w:w="669" w:type="pct"/>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22,198</w:t>
            </w:r>
          </w:p>
        </w:tc>
        <w:tc>
          <w:tcPr>
            <w:tcW w:w="856" w:type="pct"/>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22,312</w:t>
            </w:r>
          </w:p>
        </w:tc>
        <w:tc>
          <w:tcPr>
            <w:tcW w:w="587" w:type="pct"/>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98.80%</w:t>
            </w:r>
          </w:p>
        </w:tc>
        <w:tc>
          <w:tcPr>
            <w:tcW w:w="877" w:type="pct"/>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98.00%</w:t>
            </w:r>
          </w:p>
        </w:tc>
        <w:tc>
          <w:tcPr>
            <w:tcW w:w="528" w:type="pct"/>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99.49%</w:t>
            </w:r>
          </w:p>
        </w:tc>
        <w:tc>
          <w:tcPr>
            <w:tcW w:w="669" w:type="pct"/>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7203ABB" w14:textId="34BF3061" w:rsidR="003A3693" w:rsidRPr="00ED172B" w:rsidRDefault="00860830" w:rsidP="003A3693">
      <w:pPr>
        <w:rPr>
          <w:rFonts w:cs="Arial"/>
          <w:color w:val="000000" w:themeColor="text1"/>
          <w:szCs w:val="16"/>
        </w:rPr>
      </w:pPr>
      <w:r w:rsidRPr="00ED172B">
        <w:rPr>
          <w:rFonts w:cs="Arial"/>
          <w:color w:val="000000" w:themeColor="text1"/>
          <w:szCs w:val="16"/>
        </w:rPr>
        <w:t/>
      </w: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2F5A9E" w:rsidP="002F5A9E">
      <w:pPr>
        <w:rPr>
          <w:color w:val="000000" w:themeColor="text1"/>
        </w:rPr>
      </w:pPr>
      <w:r w:rsidRPr="00ED172B">
        <w:rPr>
          <w:color w:val="000000" w:themeColor="text1"/>
        </w:rPr>
        <w:t/>
      </w: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2F5A9E" w:rsidP="002F5A9E">
      <w:pPr>
        <w:rPr>
          <w:color w:val="000000" w:themeColor="text1"/>
        </w:rPr>
      </w:pPr>
      <w:r w:rsidRPr="00ED172B">
        <w:rPr>
          <w:color w:val="000000" w:themeColor="text1"/>
        </w:rPr>
        <w:t/>
      </w: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23EB9319"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lastRenderedPageBreak/>
        <w:t xml:space="preserve">3 - </w:t>
      </w:r>
      <w:r w:rsidR="004A4483" w:rsidRPr="00A40EE1">
        <w:t>Indicator Data</w:t>
      </w:r>
      <w:bookmarkEnd w:id="14"/>
    </w:p>
    <w:p w14:paraId="4F24CCB1" w14:textId="0C4D54E3" w:rsidR="00363AAB" w:rsidRPr="00ED172B" w:rsidRDefault="00363AAB" w:rsidP="00186420">
      <w:pPr>
        <w:rPr>
          <w:b/>
          <w:color w:val="000000" w:themeColor="text1"/>
        </w:rPr>
      </w:pPr>
      <w:bookmarkStart w:id="15" w:name="_Toc392159268"/>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E42FBC3" w14:textId="45672C6E" w:rsidR="00363AAB" w:rsidRPr="00ED172B" w:rsidRDefault="00363AAB">
      <w:pPr>
        <w:rPr>
          <w:color w:val="000000" w:themeColor="text1"/>
        </w:rPr>
      </w:pPr>
      <w:r w:rsidRPr="00ED172B">
        <w:rPr>
          <w:color w:val="000000" w:themeColor="text1"/>
        </w:rPr>
        <w:t>YES</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4E7E8330" w14:textId="749679DB" w:rsidR="004C1CEE" w:rsidRPr="00ED172B" w:rsidRDefault="00F32724" w:rsidP="00F32724">
      <w:pPr>
        <w:rPr>
          <w:color w:val="000000" w:themeColor="text1"/>
        </w:rPr>
      </w:pPr>
      <w:r w:rsidRPr="00ED172B">
        <w:rPr>
          <w:rFonts w:cs="Arial"/>
          <w:color w:val="000000" w:themeColor="text1"/>
          <w:szCs w:val="16"/>
        </w:rPr>
        <w:t xml:space="preserve">At a State Interagency Coordinating Council (ICC) meeting on June 5, 2025, the Part C Coordinator reviewed the target-setting process with members, including definitions (e.g., baseline, target), the purpose of setting targets, when targets are set in the SPP/APR cycle, and a review of the current targets for the FFY20-FFY25 State Performance Plan/Annual Performance Report cycle. </w:t>
      </w:r>
    </w:p>
    <w:p>
      <w:pPr>
        <w:pStyle w:val=""/>
      </w:pPr>
      <w:r>
        <w:rPr>
          <w:rFonts w:ascii="" w:hAnsi="" w:cs="" w:eastAsia=""/>
          <w:b w:val="false"/>
          <w:i w:val="false"/>
          <w:color w:val="000000"/>
        </w:rPr>
        <w:t/>
      </w:r>
    </w:p>
    <w:p>
      <w:pPr>
        <w:pStyle w:val=""/>
      </w:pPr>
      <w:r>
        <w:rPr>
          <w:rFonts w:ascii="" w:hAnsi="" w:cs="" w:eastAsia=""/>
          <w:b w:val="false"/>
          <w:i w:val="false"/>
          <w:color w:val="000000"/>
        </w:rPr>
        <w:t>At a State Interagency Coordinating Council (ICC) meeting on October 9, 2025, members reviewed results from FFY24 (July 1, 2024-June 30, 2025) for indicator 3 with a special focus on the number of children who had been included in Indicator 3 outcomes during FFY20, FFY21, FFY22, FFY23, and FFY24. During this meeting, the Part C Coordinator asked attendees for assistance in identifying contributing factors to the increase in the number of children included in the Indicator 3 outcomes. Provider representatives from across the Commonwealth noted that the Lead Agency (MA-C) had provided additional training on the topic and that increased rates of reimbursement for evaluation/assessment activities had helped to improve the number.</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the Part C Coordinator presented to the early intervention services (EIS) program directors in a webinar on October 21, 2025 and solicited input about what contributed to the progress and slippage observed. </w:t>
      </w:r>
    </w:p>
    <w:p>
      <w:pPr>
        <w:pStyle w:val=""/>
      </w:pPr>
      <w:r>
        <w:rPr>
          <w:rFonts w:ascii="" w:hAnsi="" w:cs="" w:eastAsia=""/>
          <w:b w:val="false"/>
          <w:i w:val="false"/>
          <w:color w:val="000000"/>
        </w:rPr>
        <w:t/>
      </w:r>
    </w:p>
    <w:p>
      <w:pPr>
        <w:pStyle w:val=""/>
      </w:pPr>
      <w:r>
        <w:rPr>
          <w:rFonts w:ascii="" w:hAnsi="" w:cs="" w:eastAsia=""/>
          <w:b w:val="false"/>
          <w:i w:val="false"/>
          <w:color w:val="000000"/>
        </w:rPr>
        <w:t xml:space="preserve">On December 10, 2025, the Part C Coordinator presented to the Commonwealth's Parent Training and Information Center with a special focus on the results from FFY24 (July 1, 2024-June 30, 2025) for indicators 1 and 3. The Part C Coordinator asked PTIC staff for their perspective on how the data reflect the calls they receive from families enrolled in the Part C system, what barriers exist for families to access or participate in services that support indicator 3 outcomes, and for advice on how the Lead Agency (MA-C) could better explain the indicator 3 outcomes in family-friendly terms so families could better understand how their child is progressing. Although staff acknowledged that most families who contact them are in distress or had already exited the Part C system, they did recommend that MA-C consider developing videos on the SPP/APR indicators. Staff also cited barriers to entering or accessing services including resistance to home-based services and the primary spoken language of the family differing from that of the early intervention services provider. </w:t>
      </w:r>
    </w:p>
    <w:p>
      <w:pPr>
        <w:pStyle w:val=""/>
      </w:pPr>
      <w:r>
        <w:rPr>
          <w:rFonts w:ascii="" w:hAnsi="" w:cs="" w:eastAsia=""/>
          <w:b w:val="false"/>
          <w:i w:val="false"/>
          <w:color w:val="000000"/>
        </w:rPr>
        <w:t/>
      </w:r>
    </w:p>
    <w:p>
      <w:pPr>
        <w:pStyle w:val=""/>
      </w:pPr>
      <w:r>
        <w:rPr>
          <w:rFonts w:ascii="" w:hAnsi="" w:cs="" w:eastAsia=""/>
          <w:b w:val="false"/>
          <w:i w:val="false"/>
          <w:color w:val="000000"/>
        </w:rPr>
        <w:t>A draft of the APR was sent to national technical assistance (TA) centers, including DaSy and the ECTA Center, whose staff reviewed the draft and provided helpful guidance.</w:t>
      </w:r>
    </w:p>
    <w:p w14:paraId="5DC9CE62" w14:textId="77777777" w:rsidR="00006354" w:rsidRPr="00ED172B" w:rsidRDefault="001D7F3B" w:rsidP="00B83404">
      <w:pPr>
        <w:rPr>
          <w:b/>
          <w:color w:val="000000" w:themeColor="text1"/>
        </w:rPr>
      </w:pPr>
      <w:r w:rsidRPr="00ED172B">
        <w:rPr>
          <w:b/>
          <w:color w:val="000000" w:themeColor="text1"/>
        </w:rPr>
        <w:t xml:space="preserve">Will your separate report be just the at-risk infants and toddlers or aggregated performance data on all of the infants and toddlers it serves under Part C? </w:t>
      </w:r>
    </w:p>
    <w:p w14:paraId="41243B5C" w14:textId="3ADA24FD" w:rsidR="00834FB7" w:rsidRPr="00ED172B" w:rsidRDefault="001D7F3B" w:rsidP="00B83404">
      <w:pPr>
        <w:rPr>
          <w:color w:val="000000" w:themeColor="text1"/>
        </w:rPr>
      </w:pPr>
      <w:r w:rsidRPr="00ED172B">
        <w:rPr>
          <w:color w:val="000000" w:themeColor="text1"/>
        </w:rPr>
        <w:t>Just At-Risk</w:t>
      </w:r>
    </w:p>
    <w:p w14:paraId="681B93F5" w14:textId="65621B11" w:rsidR="009000CE" w:rsidRPr="00ED172B" w:rsidRDefault="009000CE">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03HISTDATA2"/>
      </w:tblPr>
      <w:tblGrid>
        <w:gridCol w:w="989"/>
        <w:gridCol w:w="988"/>
        <w:gridCol w:w="988"/>
        <w:gridCol w:w="1565"/>
        <w:gridCol w:w="1565"/>
        <w:gridCol w:w="1565"/>
        <w:gridCol w:w="1565"/>
        <w:gridCol w:w="1565"/>
      </w:tblGrid>
      <w:tr w:rsidR="00ED172B" w:rsidRPr="00ED172B" w14:paraId="0C88ABEB" w14:textId="2303324E" w:rsidTr="00A40EE1">
        <w:trPr>
          <w:trHeight w:val="397"/>
        </w:trPr>
        <w:tc>
          <w:tcPr>
            <w:tcW w:w="458" w:type="pct"/>
            <w:tcBorders>
              <w:top w:val="single" w:sz="4" w:space="0" w:color="auto"/>
              <w:left w:val="single" w:sz="4" w:space="0" w:color="auto"/>
              <w:bottom w:val="single" w:sz="4" w:space="0" w:color="auto"/>
              <w:right w:val="single" w:sz="4" w:space="0" w:color="auto"/>
            </w:tcBorders>
            <w:vAlign w:val="bottom"/>
          </w:tcPr>
          <w:p w14:paraId="653CD1ED" w14:textId="0926D04A" w:rsidR="00037032" w:rsidRPr="00ED172B" w:rsidRDefault="00017FA6" w:rsidP="00037032">
            <w:pPr>
              <w:jc w:val="center"/>
              <w:rPr>
                <w:rFonts w:cs="Arial"/>
                <w:b/>
                <w:color w:val="000000" w:themeColor="text1"/>
                <w:szCs w:val="16"/>
              </w:rPr>
            </w:pPr>
            <w:r>
              <w:rPr>
                <w:rFonts w:cs="Arial"/>
                <w:b/>
                <w:color w:val="000000" w:themeColor="text1"/>
                <w:szCs w:val="16"/>
              </w:rPr>
              <w:t>Outcome</w:t>
            </w:r>
          </w:p>
        </w:tc>
        <w:tc>
          <w:tcPr>
            <w:tcW w:w="458" w:type="pct"/>
            <w:tcBorders>
              <w:top w:val="single" w:sz="4" w:space="0" w:color="auto"/>
              <w:left w:val="single" w:sz="4" w:space="0" w:color="auto"/>
              <w:bottom w:val="single" w:sz="4" w:space="0" w:color="auto"/>
              <w:right w:val="single" w:sz="4" w:space="0" w:color="auto"/>
            </w:tcBorders>
            <w:vAlign w:val="bottom"/>
          </w:tcPr>
          <w:p w14:paraId="1AD8ADFF" w14:textId="68521B3C" w:rsidR="00037032" w:rsidRPr="00ED172B" w:rsidRDefault="00037032" w:rsidP="00037032">
            <w:pPr>
              <w:jc w:val="center"/>
              <w:rPr>
                <w:rFonts w:cs="Arial"/>
                <w:b/>
                <w:color w:val="000000" w:themeColor="text1"/>
                <w:szCs w:val="16"/>
              </w:rPr>
            </w:pPr>
            <w:r w:rsidRPr="00ED172B">
              <w:rPr>
                <w:rFonts w:cs="Arial"/>
                <w:b/>
                <w:color w:val="000000" w:themeColor="text1"/>
                <w:szCs w:val="16"/>
              </w:rPr>
              <w:t xml:space="preserve">Baseline </w:t>
            </w:r>
          </w:p>
        </w:tc>
        <w:tc>
          <w:tcPr>
            <w:tcW w:w="458" w:type="pct"/>
            <w:tcBorders>
              <w:top w:val="single" w:sz="4" w:space="0" w:color="auto"/>
              <w:left w:val="single" w:sz="4" w:space="0" w:color="auto"/>
              <w:bottom w:val="single" w:sz="4" w:space="0" w:color="auto"/>
              <w:right w:val="single" w:sz="4" w:space="0" w:color="auto"/>
            </w:tcBorders>
            <w:vAlign w:val="bottom"/>
          </w:tcPr>
          <w:p w14:paraId="7A0F20E5" w14:textId="5135DFD4" w:rsidR="00037032" w:rsidRPr="00ED172B" w:rsidRDefault="00037032" w:rsidP="00037032">
            <w:pPr>
              <w:jc w:val="center"/>
              <w:rPr>
                <w:rFonts w:cs="Arial"/>
                <w:b/>
                <w:color w:val="000000" w:themeColor="text1"/>
                <w:szCs w:val="16"/>
              </w:rPr>
            </w:pPr>
            <w:r w:rsidRPr="00ED172B">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vAlign w:val="center"/>
          </w:tcPr>
          <w:p w14:paraId="584D3CE9" w14:textId="3598135C" w:rsidR="00037032" w:rsidRPr="00ED172B" w:rsidRDefault="002163F2" w:rsidP="00037032">
            <w:pPr>
              <w:jc w:val="center"/>
              <w:rPr>
                <w:rFonts w:cs="Arial"/>
                <w:b/>
                <w:color w:val="000000" w:themeColor="text1"/>
                <w:szCs w:val="16"/>
              </w:rPr>
            </w:pPr>
            <w:r w:rsidRPr="00ED172B">
              <w:rPr>
                <w:rFonts w:cs="Arial"/>
                <w:b/>
                <w:color w:val="000000" w:themeColor="text1"/>
                <w:szCs w:val="16"/>
              </w:rPr>
              <w:t>2019</w:t>
            </w:r>
          </w:p>
        </w:tc>
        <w:tc>
          <w:tcPr>
            <w:tcW w:w="725" w:type="pct"/>
            <w:tcBorders>
              <w:top w:val="single" w:sz="4" w:space="0" w:color="auto"/>
              <w:left w:val="single" w:sz="4" w:space="0" w:color="auto"/>
              <w:bottom w:val="single" w:sz="4" w:space="0" w:color="auto"/>
              <w:right w:val="single" w:sz="4" w:space="0" w:color="auto"/>
            </w:tcBorders>
            <w:vAlign w:val="center"/>
          </w:tcPr>
          <w:p w14:paraId="2626A3E4" w14:textId="6E9D093F" w:rsidR="00037032" w:rsidRPr="00ED172B" w:rsidRDefault="002163F2" w:rsidP="00037032">
            <w:pPr>
              <w:jc w:val="center"/>
              <w:rPr>
                <w:rFonts w:cs="Arial"/>
                <w:b/>
                <w:color w:val="000000" w:themeColor="text1"/>
                <w:szCs w:val="16"/>
              </w:rPr>
            </w:pPr>
            <w:r w:rsidRPr="00ED172B">
              <w:rPr>
                <w:rFonts w:cs="Arial"/>
                <w:b/>
                <w:color w:val="000000" w:themeColor="text1"/>
                <w:szCs w:val="16"/>
              </w:rPr>
              <w:t>2020</w:t>
            </w:r>
          </w:p>
        </w:tc>
        <w:tc>
          <w:tcPr>
            <w:tcW w:w="725" w:type="pct"/>
            <w:tcBorders>
              <w:top w:val="single" w:sz="4" w:space="0" w:color="auto"/>
              <w:left w:val="single" w:sz="4" w:space="0" w:color="auto"/>
              <w:bottom w:val="single" w:sz="4" w:space="0" w:color="auto"/>
              <w:right w:val="single" w:sz="4" w:space="0" w:color="auto"/>
            </w:tcBorders>
            <w:vAlign w:val="center"/>
          </w:tcPr>
          <w:p w14:paraId="336A3539" w14:textId="2900568C" w:rsidR="00037032" w:rsidRPr="00ED172B" w:rsidRDefault="002163F2" w:rsidP="00037032">
            <w:pPr>
              <w:jc w:val="center"/>
              <w:rPr>
                <w:rFonts w:cs="Arial"/>
                <w:b/>
                <w:color w:val="000000" w:themeColor="text1"/>
                <w:szCs w:val="16"/>
              </w:rPr>
            </w:pPr>
            <w:r w:rsidRPr="00ED172B">
              <w:rPr>
                <w:rFonts w:cs="Arial"/>
                <w:b/>
                <w:color w:val="000000" w:themeColor="text1"/>
                <w:szCs w:val="16"/>
              </w:rPr>
              <w:t>2021</w:t>
            </w:r>
          </w:p>
        </w:tc>
        <w:tc>
          <w:tcPr>
            <w:tcW w:w="725" w:type="pct"/>
            <w:tcBorders>
              <w:top w:val="single" w:sz="4" w:space="0" w:color="auto"/>
              <w:left w:val="single" w:sz="4" w:space="0" w:color="auto"/>
              <w:bottom w:val="single" w:sz="4" w:space="0" w:color="auto"/>
              <w:right w:val="single" w:sz="4" w:space="0" w:color="auto"/>
            </w:tcBorders>
            <w:vAlign w:val="center"/>
          </w:tcPr>
          <w:p w14:paraId="6F8C3CF2" w14:textId="6601E720" w:rsidR="00037032" w:rsidRPr="00ED172B" w:rsidRDefault="002163F2" w:rsidP="00037032">
            <w:pPr>
              <w:jc w:val="center"/>
              <w:rPr>
                <w:rFonts w:cs="Arial"/>
                <w:b/>
                <w:color w:val="000000" w:themeColor="text1"/>
                <w:szCs w:val="16"/>
              </w:rPr>
            </w:pPr>
            <w:r w:rsidRPr="00ED172B">
              <w:rPr>
                <w:rFonts w:cs="Arial"/>
                <w:b/>
                <w:color w:val="000000" w:themeColor="text1"/>
                <w:szCs w:val="16"/>
              </w:rPr>
              <w:t>2022</w:t>
            </w:r>
          </w:p>
        </w:tc>
        <w:tc>
          <w:tcPr>
            <w:tcW w:w="725" w:type="pct"/>
            <w:tcBorders>
              <w:top w:val="single" w:sz="4" w:space="0" w:color="auto"/>
              <w:left w:val="single" w:sz="4" w:space="0" w:color="auto"/>
              <w:bottom w:val="single" w:sz="4" w:space="0" w:color="auto"/>
              <w:right w:val="single" w:sz="4" w:space="0" w:color="auto"/>
            </w:tcBorders>
            <w:vAlign w:val="center"/>
          </w:tcPr>
          <w:p w14:paraId="4CADA1E4" w14:textId="632CA7F0" w:rsidR="00037032" w:rsidRPr="00ED172B" w:rsidRDefault="006D43D3" w:rsidP="00037032">
            <w:pPr>
              <w:jc w:val="center"/>
              <w:rPr>
                <w:rFonts w:cs="Arial"/>
                <w:b/>
                <w:color w:val="000000" w:themeColor="text1"/>
                <w:szCs w:val="16"/>
              </w:rPr>
            </w:pPr>
            <w:r w:rsidRPr="00ED172B">
              <w:rPr>
                <w:rFonts w:cs="Arial"/>
                <w:b/>
                <w:color w:val="000000" w:themeColor="text1"/>
                <w:szCs w:val="16"/>
              </w:rPr>
              <w:t>2023</w:t>
            </w:r>
          </w:p>
        </w:tc>
      </w:tr>
      <w:tr w:rsidR="00ED172B" w:rsidRPr="00ED172B" w14:paraId="1F9CE60C" w14:textId="3C289393" w:rsidTr="00A40EE1">
        <w:trPr>
          <w:trHeight w:val="70"/>
        </w:trPr>
        <w:tc>
          <w:tcPr>
            <w:tcW w:w="458" w:type="pct"/>
            <w:tcBorders>
              <w:top w:val="single" w:sz="4" w:space="0" w:color="auto"/>
              <w:left w:val="single" w:sz="4" w:space="0" w:color="auto"/>
              <w:right w:val="single" w:sz="4" w:space="0" w:color="auto"/>
            </w:tcBorders>
            <w:vAlign w:val="center"/>
          </w:tcPr>
          <w:p w14:paraId="72381289" w14:textId="27F60238" w:rsidR="00C97484" w:rsidRPr="00ED172B" w:rsidRDefault="00C97484" w:rsidP="00186420">
            <w:pPr>
              <w:jc w:val="center"/>
              <w:rPr>
                <w:rFonts w:cs="Arial"/>
                <w:b/>
                <w:color w:val="000000" w:themeColor="text1"/>
                <w:szCs w:val="16"/>
              </w:rPr>
            </w:pPr>
            <w:r w:rsidRPr="00ED172B">
              <w:rPr>
                <w:rFonts w:cs="Arial"/>
                <w:b/>
                <w:color w:val="000000" w:themeColor="text1"/>
                <w:szCs w:val="16"/>
              </w:rPr>
              <w:t>A1</w:t>
            </w:r>
          </w:p>
        </w:tc>
        <w:tc>
          <w:tcPr>
            <w:tcW w:w="458" w:type="pct"/>
            <w:tcBorders>
              <w:top w:val="single" w:sz="4" w:space="0" w:color="auto"/>
              <w:left w:val="single" w:sz="4" w:space="0" w:color="auto"/>
              <w:right w:val="single" w:sz="4" w:space="0" w:color="auto"/>
            </w:tcBorders>
          </w:tcPr>
          <w:p w14:paraId="2B5E531D" w14:textId="6A971A80" w:rsidR="00C97484" w:rsidRPr="00ED172B" w:rsidRDefault="002F5A9E" w:rsidP="00027F39">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hideMark/>
          </w:tcPr>
          <w:p w14:paraId="70E878B8" w14:textId="433388B1" w:rsidR="00C97484" w:rsidRPr="00ED172B" w:rsidRDefault="00C97484"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6AA52B55" w14:textId="2B0FB45C" w:rsidR="00C97484" w:rsidRPr="00ED172B" w:rsidRDefault="00860830" w:rsidP="00186420">
            <w:pPr>
              <w:jc w:val="center"/>
              <w:rPr>
                <w:rFonts w:cs="Arial"/>
                <w:color w:val="000000" w:themeColor="text1"/>
                <w:szCs w:val="16"/>
              </w:rPr>
            </w:pPr>
            <w:r w:rsidRPr="00ED172B">
              <w:rPr>
                <w:rFonts w:cs="Arial"/>
                <w:color w:val="000000" w:themeColor="text1"/>
                <w:szCs w:val="16"/>
              </w:rPr>
              <w:t>56.90%</w:t>
            </w:r>
          </w:p>
        </w:tc>
        <w:tc>
          <w:tcPr>
            <w:tcW w:w="725" w:type="pct"/>
            <w:tcBorders>
              <w:top w:val="single" w:sz="4" w:space="0" w:color="auto"/>
              <w:left w:val="single" w:sz="4" w:space="0" w:color="auto"/>
              <w:bottom w:val="single" w:sz="4" w:space="0" w:color="auto"/>
              <w:right w:val="single" w:sz="4" w:space="0" w:color="auto"/>
            </w:tcBorders>
            <w:vAlign w:val="center"/>
          </w:tcPr>
          <w:p w14:paraId="5D7C4E98" w14:textId="148700E5" w:rsidR="00C97484" w:rsidRPr="00ED172B" w:rsidRDefault="00860830" w:rsidP="00186420">
            <w:pPr>
              <w:jc w:val="center"/>
              <w:rPr>
                <w:rFonts w:cs="Arial"/>
                <w:color w:val="000000" w:themeColor="text1"/>
                <w:szCs w:val="16"/>
              </w:rPr>
            </w:pPr>
            <w:r w:rsidRPr="00ED172B">
              <w:rPr>
                <w:rFonts w:cs="Arial"/>
                <w:color w:val="000000" w:themeColor="text1"/>
                <w:szCs w:val="16"/>
              </w:rPr>
              <w:t>57.00%</w:t>
            </w:r>
          </w:p>
        </w:tc>
        <w:tc>
          <w:tcPr>
            <w:tcW w:w="725" w:type="pct"/>
            <w:tcBorders>
              <w:top w:val="single" w:sz="4" w:space="0" w:color="auto"/>
              <w:left w:val="single" w:sz="4" w:space="0" w:color="auto"/>
              <w:bottom w:val="single" w:sz="4" w:space="0" w:color="auto"/>
              <w:right w:val="single" w:sz="4" w:space="0" w:color="auto"/>
            </w:tcBorders>
            <w:vAlign w:val="center"/>
          </w:tcPr>
          <w:p w14:paraId="04DFFA95" w14:textId="1A3A1202" w:rsidR="00C97484" w:rsidRPr="00ED172B" w:rsidRDefault="00860830" w:rsidP="00186420">
            <w:pPr>
              <w:jc w:val="center"/>
              <w:rPr>
                <w:rFonts w:cs="Arial"/>
                <w:color w:val="000000" w:themeColor="text1"/>
                <w:szCs w:val="16"/>
              </w:rPr>
            </w:pPr>
            <w:r w:rsidRPr="00ED172B">
              <w:rPr>
                <w:rFonts w:cs="Arial"/>
                <w:color w:val="000000" w:themeColor="text1"/>
                <w:szCs w:val="16"/>
              </w:rPr>
              <w:t>57.00%</w:t>
            </w:r>
          </w:p>
        </w:tc>
        <w:tc>
          <w:tcPr>
            <w:tcW w:w="725" w:type="pct"/>
            <w:tcBorders>
              <w:top w:val="single" w:sz="4" w:space="0" w:color="auto"/>
              <w:left w:val="single" w:sz="4" w:space="0" w:color="auto"/>
              <w:bottom w:val="single" w:sz="4" w:space="0" w:color="auto"/>
              <w:right w:val="single" w:sz="4" w:space="0" w:color="auto"/>
            </w:tcBorders>
            <w:vAlign w:val="center"/>
          </w:tcPr>
          <w:p w14:paraId="2C035168" w14:textId="40D18EC6" w:rsidR="00C97484" w:rsidRPr="00ED172B" w:rsidRDefault="00860830" w:rsidP="00186420">
            <w:pPr>
              <w:jc w:val="center"/>
              <w:rPr>
                <w:rFonts w:cs="Arial"/>
                <w:color w:val="000000" w:themeColor="text1"/>
                <w:szCs w:val="16"/>
              </w:rPr>
            </w:pPr>
            <w:r w:rsidRPr="00ED172B">
              <w:rPr>
                <w:rFonts w:cs="Arial"/>
                <w:color w:val="000000" w:themeColor="text1"/>
                <w:szCs w:val="16"/>
              </w:rPr>
              <w:t>57.10%</w:t>
            </w:r>
          </w:p>
        </w:tc>
        <w:tc>
          <w:tcPr>
            <w:tcW w:w="725" w:type="pct"/>
            <w:tcBorders>
              <w:top w:val="single" w:sz="4" w:space="0" w:color="auto"/>
              <w:left w:val="single" w:sz="4" w:space="0" w:color="auto"/>
              <w:bottom w:val="single" w:sz="4" w:space="0" w:color="auto"/>
              <w:right w:val="single" w:sz="4" w:space="0" w:color="auto"/>
            </w:tcBorders>
            <w:vAlign w:val="center"/>
          </w:tcPr>
          <w:p w14:paraId="7BB24FE1" w14:textId="425F16AC" w:rsidR="00C97484" w:rsidRPr="00ED172B" w:rsidRDefault="00860830" w:rsidP="00186420">
            <w:pPr>
              <w:jc w:val="center"/>
              <w:rPr>
                <w:rFonts w:cs="Arial"/>
                <w:color w:val="000000" w:themeColor="text1"/>
                <w:szCs w:val="16"/>
              </w:rPr>
            </w:pPr>
            <w:r w:rsidRPr="00ED172B">
              <w:rPr>
                <w:rFonts w:cs="Arial"/>
                <w:color w:val="000000" w:themeColor="text1"/>
                <w:szCs w:val="16"/>
              </w:rPr>
              <w:t>57.10%</w:t>
            </w:r>
          </w:p>
        </w:tc>
      </w:tr>
      <w:tr w:rsidR="00ED172B" w:rsidRPr="00ED172B" w14:paraId="5D964328" w14:textId="02AF7702" w:rsidTr="00A40EE1">
        <w:trPr>
          <w:trHeight w:val="70"/>
        </w:trPr>
        <w:tc>
          <w:tcPr>
            <w:tcW w:w="458" w:type="pct"/>
            <w:tcBorders>
              <w:left w:val="single" w:sz="4" w:space="0" w:color="auto"/>
              <w:right w:val="single" w:sz="4" w:space="0" w:color="auto"/>
            </w:tcBorders>
            <w:vAlign w:val="center"/>
          </w:tcPr>
          <w:p w14:paraId="61320B83" w14:textId="58DBCE73" w:rsidR="00C97484"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458" w:type="pct"/>
            <w:tcBorders>
              <w:left w:val="single" w:sz="4" w:space="0" w:color="auto"/>
              <w:right w:val="single" w:sz="4" w:space="0" w:color="auto"/>
            </w:tcBorders>
          </w:tcPr>
          <w:p w14:paraId="16F7D945" w14:textId="6928B791" w:rsidR="00C97484" w:rsidRPr="00ED172B" w:rsidRDefault="002F5A9E" w:rsidP="00027F39">
            <w:pPr>
              <w:jc w:val="center"/>
              <w:rPr>
                <w:color w:val="000000" w:themeColor="text1"/>
              </w:rPr>
            </w:pPr>
            <w:r w:rsidRPr="00ED172B">
              <w:rPr>
                <w:color w:val="000000" w:themeColor="text1"/>
              </w:rPr>
              <w:t>56.67%</w:t>
            </w:r>
          </w:p>
        </w:tc>
        <w:tc>
          <w:tcPr>
            <w:tcW w:w="458" w:type="pct"/>
            <w:tcBorders>
              <w:top w:val="single" w:sz="4" w:space="0" w:color="auto"/>
              <w:left w:val="single" w:sz="4" w:space="0" w:color="auto"/>
              <w:bottom w:val="single" w:sz="4" w:space="0" w:color="auto"/>
              <w:right w:val="single" w:sz="4" w:space="0" w:color="auto"/>
            </w:tcBorders>
            <w:hideMark/>
          </w:tcPr>
          <w:p w14:paraId="407B9549" w14:textId="7B3DB5DB" w:rsidR="00C97484" w:rsidRPr="00ED172B" w:rsidRDefault="00C97484"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006538A3" w14:textId="59F83FE5" w:rsidR="00C97484" w:rsidRPr="00ED172B" w:rsidRDefault="00860830" w:rsidP="00186420">
            <w:pPr>
              <w:jc w:val="center"/>
              <w:rPr>
                <w:rFonts w:cs="Arial"/>
                <w:color w:val="000000" w:themeColor="text1"/>
                <w:szCs w:val="16"/>
              </w:rPr>
            </w:pPr>
            <w:r w:rsidRPr="00ED172B">
              <w:rPr>
                <w:rFonts w:cs="Arial"/>
                <w:color w:val="000000" w:themeColor="text1"/>
                <w:szCs w:val="16"/>
              </w:rPr>
              <w:t>44.80%</w:t>
            </w:r>
          </w:p>
        </w:tc>
        <w:tc>
          <w:tcPr>
            <w:tcW w:w="725" w:type="pct"/>
            <w:tcBorders>
              <w:top w:val="single" w:sz="4" w:space="0" w:color="auto"/>
              <w:left w:val="single" w:sz="4" w:space="0" w:color="auto"/>
              <w:bottom w:val="single" w:sz="4" w:space="0" w:color="auto"/>
              <w:right w:val="single" w:sz="4" w:space="0" w:color="auto"/>
            </w:tcBorders>
            <w:vAlign w:val="center"/>
          </w:tcPr>
          <w:p w14:paraId="463A62D0" w14:textId="6B6BA79F" w:rsidR="00C97484" w:rsidRPr="00ED172B" w:rsidRDefault="00860830" w:rsidP="00186420">
            <w:pPr>
              <w:jc w:val="center"/>
              <w:rPr>
                <w:rFonts w:cs="Arial"/>
                <w:color w:val="000000" w:themeColor="text1"/>
                <w:szCs w:val="16"/>
              </w:rPr>
            </w:pPr>
            <w:r w:rsidRPr="00ED172B">
              <w:rPr>
                <w:rFonts w:cs="Arial"/>
                <w:color w:val="000000" w:themeColor="text1"/>
                <w:szCs w:val="16"/>
              </w:rPr>
              <w:t>49.31%</w:t>
            </w:r>
          </w:p>
        </w:tc>
        <w:tc>
          <w:tcPr>
            <w:tcW w:w="725" w:type="pct"/>
            <w:tcBorders>
              <w:top w:val="single" w:sz="4" w:space="0" w:color="auto"/>
              <w:left w:val="single" w:sz="4" w:space="0" w:color="auto"/>
              <w:bottom w:val="single" w:sz="4" w:space="0" w:color="auto"/>
              <w:right w:val="single" w:sz="4" w:space="0" w:color="auto"/>
            </w:tcBorders>
            <w:vAlign w:val="center"/>
          </w:tcPr>
          <w:p w14:paraId="48ED95BD" w14:textId="57C731B8" w:rsidR="00C97484" w:rsidRPr="00ED172B" w:rsidRDefault="00860830" w:rsidP="00186420">
            <w:pPr>
              <w:jc w:val="center"/>
              <w:rPr>
                <w:rFonts w:cs="Arial"/>
                <w:color w:val="000000" w:themeColor="text1"/>
                <w:szCs w:val="16"/>
              </w:rPr>
            </w:pPr>
            <w:r w:rsidRPr="00ED172B">
              <w:rPr>
                <w:rFonts w:cs="Arial"/>
                <w:color w:val="000000" w:themeColor="text1"/>
                <w:szCs w:val="16"/>
              </w:rPr>
              <w:t>50.06%</w:t>
            </w:r>
          </w:p>
        </w:tc>
        <w:tc>
          <w:tcPr>
            <w:tcW w:w="725" w:type="pct"/>
            <w:tcBorders>
              <w:top w:val="single" w:sz="4" w:space="0" w:color="auto"/>
              <w:left w:val="single" w:sz="4" w:space="0" w:color="auto"/>
              <w:bottom w:val="single" w:sz="4" w:space="0" w:color="auto"/>
              <w:right w:val="single" w:sz="4" w:space="0" w:color="auto"/>
            </w:tcBorders>
            <w:vAlign w:val="center"/>
          </w:tcPr>
          <w:p w14:paraId="18D145AF" w14:textId="06283571" w:rsidR="00C97484" w:rsidRPr="00ED172B" w:rsidRDefault="00860830" w:rsidP="00186420">
            <w:pPr>
              <w:jc w:val="center"/>
              <w:rPr>
                <w:rFonts w:cs="Arial"/>
                <w:color w:val="000000" w:themeColor="text1"/>
                <w:szCs w:val="16"/>
              </w:rPr>
            </w:pPr>
            <w:r w:rsidRPr="00ED172B">
              <w:rPr>
                <w:rFonts w:cs="Arial"/>
                <w:color w:val="000000" w:themeColor="text1"/>
                <w:szCs w:val="16"/>
              </w:rPr>
              <w:t>47.11%</w:t>
            </w:r>
          </w:p>
        </w:tc>
        <w:tc>
          <w:tcPr>
            <w:tcW w:w="725" w:type="pct"/>
            <w:tcBorders>
              <w:top w:val="single" w:sz="4" w:space="0" w:color="auto"/>
              <w:left w:val="single" w:sz="4" w:space="0" w:color="auto"/>
              <w:bottom w:val="single" w:sz="4" w:space="0" w:color="auto"/>
              <w:right w:val="single" w:sz="4" w:space="0" w:color="auto"/>
            </w:tcBorders>
            <w:vAlign w:val="center"/>
          </w:tcPr>
          <w:p w14:paraId="20753C67" w14:textId="6D1EC722" w:rsidR="00C97484" w:rsidRPr="00ED172B" w:rsidRDefault="00860830" w:rsidP="00186420">
            <w:pPr>
              <w:jc w:val="center"/>
              <w:rPr>
                <w:rFonts w:cs="Arial"/>
                <w:color w:val="000000" w:themeColor="text1"/>
                <w:szCs w:val="16"/>
              </w:rPr>
            </w:pPr>
            <w:r w:rsidRPr="00ED172B">
              <w:rPr>
                <w:rFonts w:cs="Arial"/>
                <w:color w:val="000000" w:themeColor="text1"/>
                <w:szCs w:val="16"/>
              </w:rPr>
              <w:t>45.91%</w:t>
            </w:r>
          </w:p>
        </w:tc>
      </w:tr>
      <w:tr w:rsidR="00ED172B" w:rsidRPr="00ED172B" w14:paraId="0BA2BA9D" w14:textId="4C9B097F" w:rsidTr="00A40EE1">
        <w:trPr>
          <w:trHeight w:val="70"/>
        </w:trPr>
        <w:tc>
          <w:tcPr>
            <w:tcW w:w="458" w:type="pct"/>
            <w:tcBorders>
              <w:top w:val="single" w:sz="4" w:space="0" w:color="auto"/>
              <w:left w:val="single" w:sz="4" w:space="0" w:color="auto"/>
              <w:right w:val="single" w:sz="4" w:space="0" w:color="auto"/>
            </w:tcBorders>
            <w:vAlign w:val="center"/>
          </w:tcPr>
          <w:p w14:paraId="689B4B04" w14:textId="22350DFC" w:rsidR="00456D75" w:rsidRPr="00ED172B" w:rsidRDefault="008B3D40" w:rsidP="00186420">
            <w:pPr>
              <w:jc w:val="center"/>
              <w:rPr>
                <w:rFonts w:cs="Arial"/>
                <w:b/>
                <w:color w:val="000000" w:themeColor="text1"/>
                <w:szCs w:val="16"/>
              </w:rPr>
            </w:pPr>
            <w:r w:rsidRPr="00ED172B">
              <w:rPr>
                <w:rFonts w:cs="Arial"/>
                <w:b/>
                <w:color w:val="000000" w:themeColor="text1"/>
                <w:szCs w:val="16"/>
              </w:rPr>
              <w:t>A1 AR</w:t>
            </w:r>
          </w:p>
        </w:tc>
        <w:tc>
          <w:tcPr>
            <w:tcW w:w="458" w:type="pct"/>
            <w:tcBorders>
              <w:top w:val="single" w:sz="4" w:space="0" w:color="auto"/>
              <w:left w:val="single" w:sz="4" w:space="0" w:color="auto"/>
              <w:right w:val="single" w:sz="4" w:space="0" w:color="auto"/>
            </w:tcBorders>
          </w:tcPr>
          <w:p w14:paraId="4C655FA7" w14:textId="40590C58" w:rsidR="00456D75" w:rsidRPr="00ED172B" w:rsidRDefault="002F5A9E" w:rsidP="00027F39">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hideMark/>
          </w:tcPr>
          <w:p w14:paraId="3005831F" w14:textId="54F5AF08" w:rsidR="00456D75" w:rsidRPr="00ED172B" w:rsidRDefault="00456D7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6CFA9D2C" w14:textId="7048AAFB"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656C914D" w14:textId="2ED460A9"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110F1B9B" w14:textId="248D0871"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38DA30CA" w14:textId="518990BF"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72C821F4" w14:textId="2582C3FC"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24C50F7E" w14:textId="02CB7F29" w:rsidTr="00A40EE1">
        <w:trPr>
          <w:trHeight w:val="287"/>
        </w:trPr>
        <w:tc>
          <w:tcPr>
            <w:tcW w:w="458" w:type="pct"/>
            <w:tcBorders>
              <w:left w:val="single" w:sz="4" w:space="0" w:color="auto"/>
              <w:right w:val="single" w:sz="4" w:space="0" w:color="auto"/>
            </w:tcBorders>
            <w:vAlign w:val="center"/>
          </w:tcPr>
          <w:p w14:paraId="7CDDE070" w14:textId="68664107" w:rsidR="00456D75" w:rsidRPr="00ED172B" w:rsidRDefault="008B3D40" w:rsidP="00186420">
            <w:pPr>
              <w:jc w:val="center"/>
              <w:rPr>
                <w:rFonts w:cs="Arial"/>
                <w:b/>
                <w:color w:val="000000" w:themeColor="text1"/>
                <w:szCs w:val="16"/>
              </w:rPr>
            </w:pPr>
            <w:r w:rsidRPr="00ED172B">
              <w:rPr>
                <w:rFonts w:cs="Arial"/>
                <w:b/>
                <w:color w:val="000000" w:themeColor="text1"/>
                <w:szCs w:val="16"/>
              </w:rPr>
              <w:t>A1 AR</w:t>
            </w:r>
          </w:p>
        </w:tc>
        <w:tc>
          <w:tcPr>
            <w:tcW w:w="458" w:type="pct"/>
            <w:tcBorders>
              <w:left w:val="single" w:sz="4" w:space="0" w:color="auto"/>
              <w:right w:val="single" w:sz="4" w:space="0" w:color="auto"/>
            </w:tcBorders>
          </w:tcPr>
          <w:p w14:paraId="4DC5C267" w14:textId="62676658" w:rsidR="00456D75" w:rsidRPr="00ED172B" w:rsidRDefault="002F5A9E" w:rsidP="00027F39">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hideMark/>
          </w:tcPr>
          <w:p w14:paraId="59DDDDA5" w14:textId="42C587B1" w:rsidR="00456D75" w:rsidRPr="00ED172B" w:rsidRDefault="00456D7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4A3D5E10" w14:textId="4ECA0D69" w:rsidR="00456D75" w:rsidRPr="00ED172B" w:rsidRDefault="00860830" w:rsidP="00186420">
            <w:pPr>
              <w:jc w:val="center"/>
              <w:rPr>
                <w:rFonts w:cs="Arial"/>
                <w:color w:val="000000" w:themeColor="text1"/>
                <w:szCs w:val="16"/>
              </w:rPr>
            </w:pPr>
            <w:r w:rsidRPr="00ED172B">
              <w:rPr>
                <w:rFonts w:cs="Arial"/>
                <w:color w:val="000000" w:themeColor="text1"/>
                <w:szCs w:val="16"/>
              </w:rPr>
              <w:t>93.75%</w:t>
            </w:r>
          </w:p>
        </w:tc>
        <w:tc>
          <w:tcPr>
            <w:tcW w:w="725" w:type="pct"/>
            <w:tcBorders>
              <w:top w:val="single" w:sz="4" w:space="0" w:color="auto"/>
              <w:left w:val="single" w:sz="4" w:space="0" w:color="auto"/>
              <w:bottom w:val="single" w:sz="4" w:space="0" w:color="auto"/>
              <w:right w:val="single" w:sz="4" w:space="0" w:color="auto"/>
            </w:tcBorders>
            <w:vAlign w:val="center"/>
          </w:tcPr>
          <w:p w14:paraId="2F4E7A8F" w14:textId="6EDE807B" w:rsidR="00456D7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70C08541" w14:textId="718AA759" w:rsidR="00456D75" w:rsidRPr="00ED172B" w:rsidRDefault="00860830" w:rsidP="00186420">
            <w:pPr>
              <w:jc w:val="center"/>
              <w:rPr>
                <w:rFonts w:cs="Arial"/>
                <w:color w:val="000000" w:themeColor="text1"/>
                <w:szCs w:val="16"/>
              </w:rPr>
            </w:pPr>
            <w:r w:rsidRPr="00ED172B">
              <w:rPr>
                <w:rFonts w:cs="Arial"/>
                <w:color w:val="000000" w:themeColor="text1"/>
                <w:szCs w:val="16"/>
              </w:rPr>
              <w:t>95.00%</w:t>
            </w:r>
          </w:p>
        </w:tc>
        <w:tc>
          <w:tcPr>
            <w:tcW w:w="725" w:type="pct"/>
            <w:tcBorders>
              <w:top w:val="single" w:sz="4" w:space="0" w:color="auto"/>
              <w:left w:val="single" w:sz="4" w:space="0" w:color="auto"/>
              <w:bottom w:val="single" w:sz="4" w:space="0" w:color="auto"/>
              <w:right w:val="single" w:sz="4" w:space="0" w:color="auto"/>
            </w:tcBorders>
            <w:vAlign w:val="center"/>
          </w:tcPr>
          <w:p w14:paraId="677B6200" w14:textId="78B2D5AF" w:rsidR="00456D7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53DA0290" w14:textId="7F40306B" w:rsidR="00456D75" w:rsidRPr="00ED172B" w:rsidRDefault="00860830" w:rsidP="00186420">
            <w:pPr>
              <w:jc w:val="center"/>
              <w:rPr>
                <w:rFonts w:cs="Arial"/>
                <w:color w:val="000000" w:themeColor="text1"/>
                <w:szCs w:val="16"/>
              </w:rPr>
            </w:pPr>
            <w:r w:rsidRPr="00ED172B">
              <w:rPr>
                <w:rFonts w:cs="Arial"/>
                <w:color w:val="000000" w:themeColor="text1"/>
                <w:szCs w:val="16"/>
              </w:rPr>
              <w:t>88.89%</w:t>
            </w:r>
          </w:p>
        </w:tc>
      </w:tr>
      <w:tr w:rsidR="00ED172B" w:rsidRPr="00ED172B" w14:paraId="40CBAAF1" w14:textId="6DA130C5" w:rsidTr="00A40EE1">
        <w:trPr>
          <w:trHeight w:val="85"/>
        </w:trPr>
        <w:tc>
          <w:tcPr>
            <w:tcW w:w="458" w:type="pct"/>
            <w:tcBorders>
              <w:left w:val="single" w:sz="4" w:space="0" w:color="auto"/>
              <w:right w:val="single" w:sz="4" w:space="0" w:color="auto"/>
            </w:tcBorders>
            <w:vAlign w:val="center"/>
          </w:tcPr>
          <w:p w14:paraId="36F0186F" w14:textId="50D3C0B4" w:rsidR="009D6400" w:rsidRPr="00ED172B" w:rsidRDefault="009D6400"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tcPr>
          <w:p w14:paraId="76A6E1A7" w14:textId="29F354AF" w:rsidR="009D6400" w:rsidRPr="00ED172B" w:rsidRDefault="001E39E3" w:rsidP="001E39E3">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tcPr>
          <w:p w14:paraId="218B9F82" w14:textId="24A550CC"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797C686E" w14:textId="75196910" w:rsidR="009D6400" w:rsidRPr="00ED172B" w:rsidRDefault="00860830" w:rsidP="00186420">
            <w:pPr>
              <w:jc w:val="center"/>
              <w:rPr>
                <w:rFonts w:cs="Arial"/>
                <w:color w:val="000000" w:themeColor="text1"/>
                <w:szCs w:val="16"/>
              </w:rPr>
            </w:pPr>
            <w:r w:rsidRPr="00ED172B">
              <w:rPr>
                <w:rFonts w:cs="Arial"/>
                <w:color w:val="000000" w:themeColor="text1"/>
                <w:szCs w:val="16"/>
              </w:rPr>
              <w:t>71.10%</w:t>
            </w:r>
          </w:p>
        </w:tc>
        <w:tc>
          <w:tcPr>
            <w:tcW w:w="725" w:type="pct"/>
            <w:tcBorders>
              <w:top w:val="single" w:sz="4" w:space="0" w:color="auto"/>
              <w:left w:val="single" w:sz="4" w:space="0" w:color="auto"/>
              <w:bottom w:val="single" w:sz="4" w:space="0" w:color="auto"/>
              <w:right w:val="single" w:sz="4" w:space="0" w:color="auto"/>
            </w:tcBorders>
            <w:vAlign w:val="center"/>
          </w:tcPr>
          <w:p w14:paraId="34BF2D50" w14:textId="6AE08B89" w:rsidR="009D6400" w:rsidRPr="00ED172B" w:rsidRDefault="00860830" w:rsidP="00186420">
            <w:pPr>
              <w:jc w:val="center"/>
              <w:rPr>
                <w:rFonts w:cs="Arial"/>
                <w:color w:val="000000" w:themeColor="text1"/>
                <w:szCs w:val="16"/>
              </w:rPr>
            </w:pPr>
            <w:r w:rsidRPr="00ED172B">
              <w:rPr>
                <w:rFonts w:cs="Arial"/>
                <w:color w:val="000000" w:themeColor="text1"/>
                <w:szCs w:val="16"/>
              </w:rPr>
              <w:t>71.20%</w:t>
            </w:r>
          </w:p>
        </w:tc>
        <w:tc>
          <w:tcPr>
            <w:tcW w:w="725" w:type="pct"/>
            <w:tcBorders>
              <w:top w:val="single" w:sz="4" w:space="0" w:color="auto"/>
              <w:left w:val="single" w:sz="4" w:space="0" w:color="auto"/>
              <w:bottom w:val="single" w:sz="4" w:space="0" w:color="auto"/>
              <w:right w:val="single" w:sz="4" w:space="0" w:color="auto"/>
            </w:tcBorders>
            <w:vAlign w:val="center"/>
          </w:tcPr>
          <w:p w14:paraId="253A1887" w14:textId="4356095F" w:rsidR="009D6400" w:rsidRPr="00ED172B" w:rsidRDefault="00860830" w:rsidP="00186420">
            <w:pPr>
              <w:jc w:val="center"/>
              <w:rPr>
                <w:rFonts w:cs="Arial"/>
                <w:color w:val="000000" w:themeColor="text1"/>
                <w:szCs w:val="16"/>
              </w:rPr>
            </w:pPr>
            <w:r w:rsidRPr="00ED172B">
              <w:rPr>
                <w:rFonts w:cs="Arial"/>
                <w:color w:val="000000" w:themeColor="text1"/>
                <w:szCs w:val="16"/>
              </w:rPr>
              <w:t>71.20%</w:t>
            </w:r>
          </w:p>
        </w:tc>
        <w:tc>
          <w:tcPr>
            <w:tcW w:w="725" w:type="pct"/>
            <w:tcBorders>
              <w:top w:val="single" w:sz="4" w:space="0" w:color="auto"/>
              <w:left w:val="single" w:sz="4" w:space="0" w:color="auto"/>
              <w:bottom w:val="single" w:sz="4" w:space="0" w:color="auto"/>
              <w:right w:val="single" w:sz="4" w:space="0" w:color="auto"/>
            </w:tcBorders>
            <w:vAlign w:val="center"/>
          </w:tcPr>
          <w:p w14:paraId="4EE87284" w14:textId="56B24C10" w:rsidR="009D6400" w:rsidRPr="00ED172B" w:rsidRDefault="00860830" w:rsidP="00186420">
            <w:pPr>
              <w:jc w:val="center"/>
              <w:rPr>
                <w:rFonts w:cs="Arial"/>
                <w:color w:val="000000" w:themeColor="text1"/>
                <w:szCs w:val="16"/>
              </w:rPr>
            </w:pPr>
            <w:r w:rsidRPr="00ED172B">
              <w:rPr>
                <w:rFonts w:cs="Arial"/>
                <w:color w:val="000000" w:themeColor="text1"/>
                <w:szCs w:val="16"/>
              </w:rPr>
              <w:t>71.25%</w:t>
            </w:r>
          </w:p>
        </w:tc>
        <w:tc>
          <w:tcPr>
            <w:tcW w:w="725" w:type="pct"/>
            <w:tcBorders>
              <w:top w:val="single" w:sz="4" w:space="0" w:color="auto"/>
              <w:left w:val="single" w:sz="4" w:space="0" w:color="auto"/>
              <w:bottom w:val="single" w:sz="4" w:space="0" w:color="auto"/>
              <w:right w:val="single" w:sz="4" w:space="0" w:color="auto"/>
            </w:tcBorders>
            <w:vAlign w:val="center"/>
          </w:tcPr>
          <w:p w14:paraId="5BD8D9F8" w14:textId="111CF7C1" w:rsidR="009D6400" w:rsidRPr="00ED172B" w:rsidRDefault="00860830" w:rsidP="00186420">
            <w:pPr>
              <w:jc w:val="center"/>
              <w:rPr>
                <w:rFonts w:cs="Arial"/>
                <w:color w:val="000000" w:themeColor="text1"/>
                <w:szCs w:val="16"/>
              </w:rPr>
            </w:pPr>
            <w:r w:rsidRPr="00ED172B">
              <w:rPr>
                <w:rFonts w:cs="Arial"/>
                <w:color w:val="000000" w:themeColor="text1"/>
                <w:szCs w:val="16"/>
              </w:rPr>
              <w:t>71.30%</w:t>
            </w:r>
          </w:p>
        </w:tc>
      </w:tr>
      <w:tr w:rsidR="00ED172B" w:rsidRPr="00ED172B" w14:paraId="5C01EB8C" w14:textId="292EE838" w:rsidTr="00A40EE1">
        <w:trPr>
          <w:trHeight w:val="85"/>
        </w:trPr>
        <w:tc>
          <w:tcPr>
            <w:tcW w:w="458" w:type="pct"/>
            <w:tcBorders>
              <w:left w:val="single" w:sz="4" w:space="0" w:color="auto"/>
              <w:right w:val="single" w:sz="4" w:space="0" w:color="auto"/>
            </w:tcBorders>
            <w:vAlign w:val="center"/>
          </w:tcPr>
          <w:p w14:paraId="6069A65B" w14:textId="218CEA15" w:rsidR="009D6400"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tcPr>
          <w:p w14:paraId="58343D46" w14:textId="38F2491D" w:rsidR="009D6400" w:rsidRPr="00ED172B" w:rsidRDefault="001E39E3" w:rsidP="001E39E3">
            <w:pPr>
              <w:jc w:val="center"/>
              <w:rPr>
                <w:color w:val="000000" w:themeColor="text1"/>
              </w:rPr>
            </w:pPr>
            <w:r w:rsidRPr="00ED172B">
              <w:rPr>
                <w:color w:val="000000" w:themeColor="text1"/>
              </w:rPr>
              <w:t>70.85%</w:t>
            </w:r>
          </w:p>
        </w:tc>
        <w:tc>
          <w:tcPr>
            <w:tcW w:w="458" w:type="pct"/>
            <w:tcBorders>
              <w:top w:val="single" w:sz="4" w:space="0" w:color="auto"/>
              <w:left w:val="single" w:sz="4" w:space="0" w:color="auto"/>
              <w:bottom w:val="single" w:sz="4" w:space="0" w:color="auto"/>
              <w:right w:val="single" w:sz="4" w:space="0" w:color="auto"/>
            </w:tcBorders>
          </w:tcPr>
          <w:p w14:paraId="7274E029" w14:textId="6D995992"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284FAAD7" w14:textId="5D156EF7" w:rsidR="009D6400" w:rsidRPr="00ED172B" w:rsidRDefault="00860830" w:rsidP="00186420">
            <w:pPr>
              <w:jc w:val="center"/>
              <w:rPr>
                <w:rFonts w:cs="Arial"/>
                <w:color w:val="000000" w:themeColor="text1"/>
                <w:szCs w:val="16"/>
              </w:rPr>
            </w:pPr>
            <w:r w:rsidRPr="00ED172B">
              <w:rPr>
                <w:rFonts w:cs="Arial"/>
                <w:color w:val="000000" w:themeColor="text1"/>
                <w:szCs w:val="16"/>
              </w:rPr>
              <w:t>61.15%</w:t>
            </w:r>
          </w:p>
        </w:tc>
        <w:tc>
          <w:tcPr>
            <w:tcW w:w="725" w:type="pct"/>
            <w:tcBorders>
              <w:top w:val="single" w:sz="4" w:space="0" w:color="auto"/>
              <w:left w:val="single" w:sz="4" w:space="0" w:color="auto"/>
              <w:bottom w:val="single" w:sz="4" w:space="0" w:color="auto"/>
              <w:right w:val="single" w:sz="4" w:space="0" w:color="auto"/>
            </w:tcBorders>
            <w:vAlign w:val="center"/>
          </w:tcPr>
          <w:p w14:paraId="1359CA95" w14:textId="5DD7F10B" w:rsidR="009D6400" w:rsidRPr="00ED172B" w:rsidRDefault="00860830" w:rsidP="00186420">
            <w:pPr>
              <w:jc w:val="center"/>
              <w:rPr>
                <w:rFonts w:cs="Arial"/>
                <w:color w:val="000000" w:themeColor="text1"/>
                <w:szCs w:val="16"/>
              </w:rPr>
            </w:pPr>
            <w:r w:rsidRPr="00ED172B">
              <w:rPr>
                <w:rFonts w:cs="Arial"/>
                <w:color w:val="000000" w:themeColor="text1"/>
                <w:szCs w:val="16"/>
              </w:rPr>
              <w:t>64.37%</w:t>
            </w:r>
          </w:p>
        </w:tc>
        <w:tc>
          <w:tcPr>
            <w:tcW w:w="725" w:type="pct"/>
            <w:tcBorders>
              <w:top w:val="single" w:sz="4" w:space="0" w:color="auto"/>
              <w:left w:val="single" w:sz="4" w:space="0" w:color="auto"/>
              <w:bottom w:val="single" w:sz="4" w:space="0" w:color="auto"/>
              <w:right w:val="single" w:sz="4" w:space="0" w:color="auto"/>
            </w:tcBorders>
            <w:vAlign w:val="center"/>
          </w:tcPr>
          <w:p w14:paraId="76BD6CC0" w14:textId="05506B0A" w:rsidR="009D6400" w:rsidRPr="00ED172B" w:rsidRDefault="00860830" w:rsidP="00186420">
            <w:pPr>
              <w:jc w:val="center"/>
              <w:rPr>
                <w:rFonts w:cs="Arial"/>
                <w:color w:val="000000" w:themeColor="text1"/>
                <w:szCs w:val="16"/>
              </w:rPr>
            </w:pPr>
            <w:r w:rsidRPr="00ED172B">
              <w:rPr>
                <w:rFonts w:cs="Arial"/>
                <w:color w:val="000000" w:themeColor="text1"/>
                <w:szCs w:val="16"/>
              </w:rPr>
              <w:t>61.07%</w:t>
            </w:r>
          </w:p>
        </w:tc>
        <w:tc>
          <w:tcPr>
            <w:tcW w:w="725" w:type="pct"/>
            <w:tcBorders>
              <w:top w:val="single" w:sz="4" w:space="0" w:color="auto"/>
              <w:left w:val="single" w:sz="4" w:space="0" w:color="auto"/>
              <w:bottom w:val="single" w:sz="4" w:space="0" w:color="auto"/>
              <w:right w:val="single" w:sz="4" w:space="0" w:color="auto"/>
            </w:tcBorders>
            <w:vAlign w:val="center"/>
          </w:tcPr>
          <w:p w14:paraId="6BBCC63F" w14:textId="6DB48DE6" w:rsidR="009D6400" w:rsidRPr="00ED172B" w:rsidRDefault="00860830" w:rsidP="00186420">
            <w:pPr>
              <w:jc w:val="center"/>
              <w:rPr>
                <w:rFonts w:cs="Arial"/>
                <w:color w:val="000000" w:themeColor="text1"/>
                <w:szCs w:val="16"/>
              </w:rPr>
            </w:pPr>
            <w:r w:rsidRPr="00ED172B">
              <w:rPr>
                <w:rFonts w:cs="Arial"/>
                <w:color w:val="000000" w:themeColor="text1"/>
                <w:szCs w:val="16"/>
              </w:rPr>
              <w:t>63.97%</w:t>
            </w:r>
          </w:p>
        </w:tc>
        <w:tc>
          <w:tcPr>
            <w:tcW w:w="725" w:type="pct"/>
            <w:tcBorders>
              <w:top w:val="single" w:sz="4" w:space="0" w:color="auto"/>
              <w:left w:val="single" w:sz="4" w:space="0" w:color="auto"/>
              <w:bottom w:val="single" w:sz="4" w:space="0" w:color="auto"/>
              <w:right w:val="single" w:sz="4" w:space="0" w:color="auto"/>
            </w:tcBorders>
            <w:vAlign w:val="center"/>
          </w:tcPr>
          <w:p w14:paraId="078F801E" w14:textId="25CEB82E" w:rsidR="009D6400" w:rsidRPr="00ED172B" w:rsidRDefault="00860830" w:rsidP="00186420">
            <w:pPr>
              <w:jc w:val="center"/>
              <w:rPr>
                <w:rFonts w:cs="Arial"/>
                <w:color w:val="000000" w:themeColor="text1"/>
                <w:szCs w:val="16"/>
              </w:rPr>
            </w:pPr>
            <w:r w:rsidRPr="00ED172B">
              <w:rPr>
                <w:rFonts w:cs="Arial"/>
                <w:color w:val="000000" w:themeColor="text1"/>
                <w:szCs w:val="16"/>
              </w:rPr>
              <w:t>63.59%</w:t>
            </w:r>
          </w:p>
        </w:tc>
      </w:tr>
      <w:tr w:rsidR="00ED172B" w:rsidRPr="00ED172B" w14:paraId="634D06D5" w14:textId="2732B539" w:rsidTr="00A40EE1">
        <w:trPr>
          <w:trHeight w:val="85"/>
        </w:trPr>
        <w:tc>
          <w:tcPr>
            <w:tcW w:w="458" w:type="pct"/>
            <w:tcBorders>
              <w:left w:val="single" w:sz="4" w:space="0" w:color="auto"/>
              <w:right w:val="single" w:sz="4" w:space="0" w:color="auto"/>
            </w:tcBorders>
            <w:vAlign w:val="center"/>
          </w:tcPr>
          <w:p w14:paraId="50B645FB" w14:textId="35D9AA7F" w:rsidR="009D6400" w:rsidRPr="00ED172B" w:rsidRDefault="008B3D40" w:rsidP="00186420">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sz="4" w:space="0" w:color="auto"/>
              <w:right w:val="single" w:sz="4" w:space="0" w:color="auto"/>
            </w:tcBorders>
          </w:tcPr>
          <w:p w14:paraId="3FA81BCE" w14:textId="31C0E434"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65B838BD" w14:textId="1F5956D8"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64EB9324" w14:textId="41656AFE"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3C78BD98" w14:textId="6AC679E6"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7F0E512C" w14:textId="5B3F4E69"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71833F3A" w14:textId="26AFF4AD"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5F5F19A2" w14:textId="474A6537"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2272E5BB" w14:textId="5E673218" w:rsidTr="00A40EE1">
        <w:trPr>
          <w:trHeight w:val="85"/>
        </w:trPr>
        <w:tc>
          <w:tcPr>
            <w:tcW w:w="458" w:type="pct"/>
            <w:tcBorders>
              <w:left w:val="single" w:sz="4" w:space="0" w:color="auto"/>
              <w:right w:val="single" w:sz="4" w:space="0" w:color="auto"/>
            </w:tcBorders>
            <w:vAlign w:val="center"/>
          </w:tcPr>
          <w:p w14:paraId="1D0C1157" w14:textId="7A6E94C3" w:rsidR="009D6400" w:rsidRPr="00ED172B" w:rsidRDefault="008B3D40" w:rsidP="00186420">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sz="4" w:space="0" w:color="auto"/>
              <w:right w:val="single" w:sz="4" w:space="0" w:color="auto"/>
            </w:tcBorders>
          </w:tcPr>
          <w:p w14:paraId="34AEF93A" w14:textId="538EC8D5"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302123E4" w14:textId="2CC32E3A"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618D420C" w14:textId="437BF4A4" w:rsidR="009D6400" w:rsidRPr="00ED172B" w:rsidRDefault="00860830" w:rsidP="00186420">
            <w:pPr>
              <w:jc w:val="center"/>
              <w:rPr>
                <w:rFonts w:cs="Arial"/>
                <w:color w:val="000000" w:themeColor="text1"/>
                <w:szCs w:val="16"/>
              </w:rPr>
            </w:pPr>
            <w:r w:rsidRPr="00ED172B">
              <w:rPr>
                <w:rFonts w:cs="Arial"/>
                <w:color w:val="000000" w:themeColor="text1"/>
                <w:szCs w:val="16"/>
              </w:rPr>
              <w:t>96.75%</w:t>
            </w:r>
          </w:p>
        </w:tc>
        <w:tc>
          <w:tcPr>
            <w:tcW w:w="725" w:type="pct"/>
            <w:tcBorders>
              <w:top w:val="single" w:sz="4" w:space="0" w:color="auto"/>
              <w:left w:val="single" w:sz="4" w:space="0" w:color="auto"/>
              <w:bottom w:val="single" w:sz="4" w:space="0" w:color="auto"/>
              <w:right w:val="single" w:sz="4" w:space="0" w:color="auto"/>
            </w:tcBorders>
            <w:vAlign w:val="center"/>
          </w:tcPr>
          <w:p w14:paraId="032BB901" w14:textId="104613F6"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3F650B65" w14:textId="0955173A" w:rsidR="009D6400" w:rsidRPr="00ED172B" w:rsidRDefault="00860830" w:rsidP="00186420">
            <w:pPr>
              <w:jc w:val="center"/>
              <w:rPr>
                <w:rFonts w:cs="Arial"/>
                <w:color w:val="000000" w:themeColor="text1"/>
                <w:szCs w:val="16"/>
              </w:rPr>
            </w:pPr>
            <w:r w:rsidRPr="00ED172B">
              <w:rPr>
                <w:rFonts w:cs="Arial"/>
                <w:color w:val="000000" w:themeColor="text1"/>
                <w:szCs w:val="16"/>
              </w:rPr>
              <w:t>97.83%</w:t>
            </w:r>
          </w:p>
        </w:tc>
        <w:tc>
          <w:tcPr>
            <w:tcW w:w="725" w:type="pct"/>
            <w:tcBorders>
              <w:top w:val="single" w:sz="4" w:space="0" w:color="auto"/>
              <w:left w:val="single" w:sz="4" w:space="0" w:color="auto"/>
              <w:bottom w:val="single" w:sz="4" w:space="0" w:color="auto"/>
              <w:right w:val="single" w:sz="4" w:space="0" w:color="auto"/>
            </w:tcBorders>
            <w:vAlign w:val="center"/>
          </w:tcPr>
          <w:p w14:paraId="2F9A80F1" w14:textId="7018920B"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37F99F2E" w14:textId="2E39C7A4" w:rsidR="009D6400" w:rsidRPr="00ED172B" w:rsidRDefault="00860830" w:rsidP="00186420">
            <w:pPr>
              <w:jc w:val="center"/>
              <w:rPr>
                <w:rFonts w:cs="Arial"/>
                <w:color w:val="000000" w:themeColor="text1"/>
                <w:szCs w:val="16"/>
              </w:rPr>
            </w:pPr>
            <w:r w:rsidRPr="00ED172B">
              <w:rPr>
                <w:rFonts w:cs="Arial"/>
                <w:color w:val="000000" w:themeColor="text1"/>
                <w:szCs w:val="16"/>
              </w:rPr>
              <w:t>95.71%</w:t>
            </w:r>
          </w:p>
        </w:tc>
      </w:tr>
      <w:tr w:rsidR="00ED172B" w:rsidRPr="00ED172B" w14:paraId="1529A87B" w14:textId="7E5C8717" w:rsidTr="00A40EE1">
        <w:trPr>
          <w:trHeight w:val="85"/>
        </w:trPr>
        <w:tc>
          <w:tcPr>
            <w:tcW w:w="458" w:type="pct"/>
            <w:tcBorders>
              <w:left w:val="single" w:sz="4" w:space="0" w:color="auto"/>
              <w:right w:val="single" w:sz="4" w:space="0" w:color="auto"/>
            </w:tcBorders>
            <w:vAlign w:val="center"/>
          </w:tcPr>
          <w:p w14:paraId="2CE3FEB7" w14:textId="540B67BC" w:rsidR="009D6400" w:rsidRPr="00ED172B" w:rsidRDefault="009D6400"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tcPr>
          <w:p w14:paraId="73908386" w14:textId="0F2866BB" w:rsidR="009D6400" w:rsidRPr="00ED172B" w:rsidRDefault="001E39E3"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tcPr>
          <w:p w14:paraId="06B836B0" w14:textId="0C19DD0E"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59E22441" w14:textId="57420F0B" w:rsidR="009D6400" w:rsidRPr="00ED172B" w:rsidRDefault="00860830" w:rsidP="00186420">
            <w:pPr>
              <w:jc w:val="center"/>
              <w:rPr>
                <w:rFonts w:cs="Arial"/>
                <w:color w:val="000000" w:themeColor="text1"/>
                <w:szCs w:val="16"/>
              </w:rPr>
            </w:pPr>
            <w:r w:rsidRPr="00ED172B">
              <w:rPr>
                <w:rFonts w:cs="Arial"/>
                <w:color w:val="000000" w:themeColor="text1"/>
                <w:szCs w:val="16"/>
              </w:rPr>
              <w:t>87.90%</w:t>
            </w:r>
          </w:p>
        </w:tc>
        <w:tc>
          <w:tcPr>
            <w:tcW w:w="725" w:type="pct"/>
            <w:tcBorders>
              <w:top w:val="single" w:sz="4" w:space="0" w:color="auto"/>
              <w:left w:val="single" w:sz="4" w:space="0" w:color="auto"/>
              <w:bottom w:val="single" w:sz="4" w:space="0" w:color="auto"/>
              <w:right w:val="single" w:sz="4" w:space="0" w:color="auto"/>
            </w:tcBorders>
            <w:vAlign w:val="center"/>
          </w:tcPr>
          <w:p w14:paraId="5395C1B5" w14:textId="1C47F23D" w:rsidR="009D6400" w:rsidRPr="00ED172B" w:rsidRDefault="00860830" w:rsidP="00186420">
            <w:pPr>
              <w:jc w:val="center"/>
              <w:rPr>
                <w:rFonts w:cs="Arial"/>
                <w:color w:val="000000" w:themeColor="text1"/>
                <w:szCs w:val="16"/>
              </w:rPr>
            </w:pPr>
            <w:r w:rsidRPr="00ED172B">
              <w:rPr>
                <w:rFonts w:cs="Arial"/>
                <w:color w:val="000000" w:themeColor="text1"/>
                <w:szCs w:val="16"/>
              </w:rPr>
              <w:t>88.00%</w:t>
            </w:r>
          </w:p>
        </w:tc>
        <w:tc>
          <w:tcPr>
            <w:tcW w:w="725" w:type="pct"/>
            <w:tcBorders>
              <w:top w:val="single" w:sz="4" w:space="0" w:color="auto"/>
              <w:left w:val="single" w:sz="4" w:space="0" w:color="auto"/>
              <w:bottom w:val="single" w:sz="4" w:space="0" w:color="auto"/>
              <w:right w:val="single" w:sz="4" w:space="0" w:color="auto"/>
            </w:tcBorders>
            <w:vAlign w:val="center"/>
          </w:tcPr>
          <w:p w14:paraId="33350C67" w14:textId="0F24CE74" w:rsidR="009D6400" w:rsidRPr="00ED172B" w:rsidRDefault="00860830" w:rsidP="00186420">
            <w:pPr>
              <w:jc w:val="center"/>
              <w:rPr>
                <w:rFonts w:cs="Arial"/>
                <w:color w:val="000000" w:themeColor="text1"/>
                <w:szCs w:val="16"/>
              </w:rPr>
            </w:pPr>
            <w:r w:rsidRPr="00ED172B">
              <w:rPr>
                <w:rFonts w:cs="Arial"/>
                <w:color w:val="000000" w:themeColor="text1"/>
                <w:szCs w:val="16"/>
              </w:rPr>
              <w:t>88.10%</w:t>
            </w:r>
          </w:p>
        </w:tc>
        <w:tc>
          <w:tcPr>
            <w:tcW w:w="725" w:type="pct"/>
            <w:tcBorders>
              <w:top w:val="single" w:sz="4" w:space="0" w:color="auto"/>
              <w:left w:val="single" w:sz="4" w:space="0" w:color="auto"/>
              <w:bottom w:val="single" w:sz="4" w:space="0" w:color="auto"/>
              <w:right w:val="single" w:sz="4" w:space="0" w:color="auto"/>
            </w:tcBorders>
            <w:vAlign w:val="center"/>
          </w:tcPr>
          <w:p w14:paraId="2E644B46" w14:textId="1210E5C6" w:rsidR="009D6400" w:rsidRPr="00ED172B" w:rsidRDefault="00860830" w:rsidP="00186420">
            <w:pPr>
              <w:jc w:val="center"/>
              <w:rPr>
                <w:rFonts w:cs="Arial"/>
                <w:color w:val="000000" w:themeColor="text1"/>
                <w:szCs w:val="16"/>
              </w:rPr>
            </w:pPr>
            <w:r w:rsidRPr="00ED172B">
              <w:rPr>
                <w:rFonts w:cs="Arial"/>
                <w:color w:val="000000" w:themeColor="text1"/>
                <w:szCs w:val="16"/>
              </w:rPr>
              <w:t>88.15%</w:t>
            </w:r>
          </w:p>
        </w:tc>
        <w:tc>
          <w:tcPr>
            <w:tcW w:w="725" w:type="pct"/>
            <w:tcBorders>
              <w:top w:val="single" w:sz="4" w:space="0" w:color="auto"/>
              <w:left w:val="single" w:sz="4" w:space="0" w:color="auto"/>
              <w:bottom w:val="single" w:sz="4" w:space="0" w:color="auto"/>
              <w:right w:val="single" w:sz="4" w:space="0" w:color="auto"/>
            </w:tcBorders>
            <w:vAlign w:val="center"/>
          </w:tcPr>
          <w:p w14:paraId="3EB78653" w14:textId="2D4BA829" w:rsidR="009D6400" w:rsidRPr="00ED172B" w:rsidRDefault="00860830" w:rsidP="00186420">
            <w:pPr>
              <w:jc w:val="center"/>
              <w:rPr>
                <w:rFonts w:cs="Arial"/>
                <w:color w:val="000000" w:themeColor="text1"/>
                <w:szCs w:val="16"/>
              </w:rPr>
            </w:pPr>
            <w:r w:rsidRPr="00ED172B">
              <w:rPr>
                <w:rFonts w:cs="Arial"/>
                <w:color w:val="000000" w:themeColor="text1"/>
                <w:szCs w:val="16"/>
              </w:rPr>
              <w:t>88.20%</w:t>
            </w:r>
          </w:p>
        </w:tc>
      </w:tr>
      <w:tr w:rsidR="00ED172B" w:rsidRPr="00ED172B" w14:paraId="06E51325" w14:textId="21A8F97E" w:rsidTr="00A40EE1">
        <w:trPr>
          <w:trHeight w:val="85"/>
        </w:trPr>
        <w:tc>
          <w:tcPr>
            <w:tcW w:w="458" w:type="pct"/>
            <w:tcBorders>
              <w:left w:val="single" w:sz="4" w:space="0" w:color="auto"/>
              <w:right w:val="single" w:sz="4" w:space="0" w:color="auto"/>
            </w:tcBorders>
            <w:vAlign w:val="center"/>
          </w:tcPr>
          <w:p w14:paraId="7A314116" w14:textId="7B0E5A42" w:rsidR="009D6400"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tcPr>
          <w:p w14:paraId="09BA8A74" w14:textId="073B275B" w:rsidR="009D6400" w:rsidRPr="00ED172B" w:rsidRDefault="001E39E3" w:rsidP="005C14C2">
            <w:pPr>
              <w:jc w:val="center"/>
              <w:rPr>
                <w:color w:val="000000" w:themeColor="text1"/>
              </w:rPr>
            </w:pPr>
            <w:r w:rsidRPr="00ED172B">
              <w:rPr>
                <w:color w:val="000000" w:themeColor="text1"/>
              </w:rPr>
              <w:t>87.64%</w:t>
            </w:r>
          </w:p>
        </w:tc>
        <w:tc>
          <w:tcPr>
            <w:tcW w:w="458" w:type="pct"/>
            <w:tcBorders>
              <w:top w:val="single" w:sz="4" w:space="0" w:color="auto"/>
              <w:left w:val="single" w:sz="4" w:space="0" w:color="auto"/>
              <w:bottom w:val="single" w:sz="4" w:space="0" w:color="auto"/>
              <w:right w:val="single" w:sz="4" w:space="0" w:color="auto"/>
            </w:tcBorders>
          </w:tcPr>
          <w:p w14:paraId="24507E9C" w14:textId="4E2B0B61"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138D500F" w14:textId="4DD69867" w:rsidR="009D6400" w:rsidRPr="00ED172B" w:rsidRDefault="00860830" w:rsidP="00186420">
            <w:pPr>
              <w:jc w:val="center"/>
              <w:rPr>
                <w:rFonts w:cs="Arial"/>
                <w:color w:val="000000" w:themeColor="text1"/>
                <w:szCs w:val="16"/>
              </w:rPr>
            </w:pPr>
            <w:r w:rsidRPr="00ED172B">
              <w:rPr>
                <w:rFonts w:cs="Arial"/>
                <w:color w:val="000000" w:themeColor="text1"/>
                <w:szCs w:val="16"/>
              </w:rPr>
              <w:t>43.55%</w:t>
            </w:r>
          </w:p>
        </w:tc>
        <w:tc>
          <w:tcPr>
            <w:tcW w:w="725" w:type="pct"/>
            <w:tcBorders>
              <w:top w:val="single" w:sz="4" w:space="0" w:color="auto"/>
              <w:left w:val="single" w:sz="4" w:space="0" w:color="auto"/>
              <w:bottom w:val="single" w:sz="4" w:space="0" w:color="auto"/>
              <w:right w:val="single" w:sz="4" w:space="0" w:color="auto"/>
            </w:tcBorders>
            <w:vAlign w:val="center"/>
          </w:tcPr>
          <w:p w14:paraId="2F44FCA2" w14:textId="1E49CBB9" w:rsidR="009D6400" w:rsidRPr="00ED172B" w:rsidRDefault="00860830" w:rsidP="00186420">
            <w:pPr>
              <w:jc w:val="center"/>
              <w:rPr>
                <w:rFonts w:cs="Arial"/>
                <w:color w:val="000000" w:themeColor="text1"/>
                <w:szCs w:val="16"/>
              </w:rPr>
            </w:pPr>
            <w:r w:rsidRPr="00ED172B">
              <w:rPr>
                <w:rFonts w:cs="Arial"/>
                <w:color w:val="000000" w:themeColor="text1"/>
                <w:szCs w:val="16"/>
              </w:rPr>
              <w:t>77.63%</w:t>
            </w:r>
          </w:p>
        </w:tc>
        <w:tc>
          <w:tcPr>
            <w:tcW w:w="725" w:type="pct"/>
            <w:tcBorders>
              <w:top w:val="single" w:sz="4" w:space="0" w:color="auto"/>
              <w:left w:val="single" w:sz="4" w:space="0" w:color="auto"/>
              <w:bottom w:val="single" w:sz="4" w:space="0" w:color="auto"/>
              <w:right w:val="single" w:sz="4" w:space="0" w:color="auto"/>
            </w:tcBorders>
            <w:vAlign w:val="center"/>
          </w:tcPr>
          <w:p w14:paraId="049C9AA3" w14:textId="34709EEC" w:rsidR="009D6400" w:rsidRPr="00ED172B" w:rsidRDefault="00860830" w:rsidP="00186420">
            <w:pPr>
              <w:jc w:val="center"/>
              <w:rPr>
                <w:rFonts w:cs="Arial"/>
                <w:color w:val="000000" w:themeColor="text1"/>
                <w:szCs w:val="16"/>
              </w:rPr>
            </w:pPr>
            <w:r w:rsidRPr="00ED172B">
              <w:rPr>
                <w:rFonts w:cs="Arial"/>
                <w:color w:val="000000" w:themeColor="text1"/>
                <w:szCs w:val="16"/>
              </w:rPr>
              <w:t>75.32%</w:t>
            </w:r>
          </w:p>
        </w:tc>
        <w:tc>
          <w:tcPr>
            <w:tcW w:w="725" w:type="pct"/>
            <w:tcBorders>
              <w:top w:val="single" w:sz="4" w:space="0" w:color="auto"/>
              <w:left w:val="single" w:sz="4" w:space="0" w:color="auto"/>
              <w:bottom w:val="single" w:sz="4" w:space="0" w:color="auto"/>
              <w:right w:val="single" w:sz="4" w:space="0" w:color="auto"/>
            </w:tcBorders>
            <w:vAlign w:val="center"/>
          </w:tcPr>
          <w:p w14:paraId="5377AAD2" w14:textId="56E5C1F2" w:rsidR="009D6400" w:rsidRPr="00ED172B" w:rsidRDefault="00860830" w:rsidP="00186420">
            <w:pPr>
              <w:jc w:val="center"/>
              <w:rPr>
                <w:rFonts w:cs="Arial"/>
                <w:color w:val="000000" w:themeColor="text1"/>
                <w:szCs w:val="16"/>
              </w:rPr>
            </w:pPr>
            <w:r w:rsidRPr="00ED172B">
              <w:rPr>
                <w:rFonts w:cs="Arial"/>
                <w:color w:val="000000" w:themeColor="text1"/>
                <w:szCs w:val="16"/>
              </w:rPr>
              <w:t>80.51%</w:t>
            </w:r>
          </w:p>
        </w:tc>
        <w:tc>
          <w:tcPr>
            <w:tcW w:w="725" w:type="pct"/>
            <w:tcBorders>
              <w:top w:val="single" w:sz="4" w:space="0" w:color="auto"/>
              <w:left w:val="single" w:sz="4" w:space="0" w:color="auto"/>
              <w:bottom w:val="single" w:sz="4" w:space="0" w:color="auto"/>
              <w:right w:val="single" w:sz="4" w:space="0" w:color="auto"/>
            </w:tcBorders>
            <w:vAlign w:val="center"/>
          </w:tcPr>
          <w:p w14:paraId="6A781A5B" w14:textId="1E8177AD" w:rsidR="009D6400" w:rsidRPr="00ED172B" w:rsidRDefault="00860830" w:rsidP="00186420">
            <w:pPr>
              <w:jc w:val="center"/>
              <w:rPr>
                <w:rFonts w:cs="Arial"/>
                <w:color w:val="000000" w:themeColor="text1"/>
                <w:szCs w:val="16"/>
              </w:rPr>
            </w:pPr>
            <w:r w:rsidRPr="00ED172B">
              <w:rPr>
                <w:rFonts w:cs="Arial"/>
                <w:color w:val="000000" w:themeColor="text1"/>
                <w:szCs w:val="16"/>
              </w:rPr>
              <w:t>79.49%</w:t>
            </w:r>
          </w:p>
        </w:tc>
      </w:tr>
      <w:tr w:rsidR="00ED172B" w:rsidRPr="00ED172B" w14:paraId="3ABA93CB" w14:textId="1C980F1F" w:rsidTr="00A40EE1">
        <w:trPr>
          <w:trHeight w:val="85"/>
        </w:trPr>
        <w:tc>
          <w:tcPr>
            <w:tcW w:w="458" w:type="pct"/>
            <w:tcBorders>
              <w:left w:val="single" w:sz="4" w:space="0" w:color="auto"/>
              <w:right w:val="single" w:sz="4" w:space="0" w:color="auto"/>
            </w:tcBorders>
            <w:vAlign w:val="center"/>
          </w:tcPr>
          <w:p w14:paraId="1D1C2133" w14:textId="7F4DF9BE" w:rsidR="009D6400" w:rsidRPr="00ED172B" w:rsidRDefault="008B3D40" w:rsidP="00186420">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sz="4" w:space="0" w:color="auto"/>
              <w:right w:val="single" w:sz="4" w:space="0" w:color="auto"/>
            </w:tcBorders>
          </w:tcPr>
          <w:p w14:paraId="408237CD" w14:textId="336A9168"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36EDC246" w14:textId="4A7EEE75" w:rsidR="009D6400" w:rsidRPr="00ED172B" w:rsidRDefault="009D6400"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1DC60756" w14:textId="028ED5E0"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51143965" w14:textId="3CAF9DE9"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0FEAB8A7" w14:textId="3849BB94"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4591AA60" w14:textId="7FADF5A1"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1088C79F" w14:textId="4FB50BA9"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35AD70FD" w14:textId="6A5ECA71" w:rsidTr="00A40EE1">
        <w:trPr>
          <w:trHeight w:val="85"/>
        </w:trPr>
        <w:tc>
          <w:tcPr>
            <w:tcW w:w="458" w:type="pct"/>
            <w:tcBorders>
              <w:left w:val="single" w:sz="4" w:space="0" w:color="auto"/>
              <w:right w:val="single" w:sz="4" w:space="0" w:color="auto"/>
            </w:tcBorders>
            <w:vAlign w:val="center"/>
          </w:tcPr>
          <w:p w14:paraId="22C4A445" w14:textId="6D72E66E" w:rsidR="009D6400" w:rsidRPr="00ED172B" w:rsidRDefault="008B3D40" w:rsidP="00186420">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sz="4" w:space="0" w:color="auto"/>
              <w:right w:val="single" w:sz="4" w:space="0" w:color="auto"/>
            </w:tcBorders>
          </w:tcPr>
          <w:p w14:paraId="40B0C76B" w14:textId="08215EC6"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370CE2C9" w14:textId="38C8A77F" w:rsidR="009D6400" w:rsidRPr="00ED172B" w:rsidRDefault="009D6400"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52D69CEB" w14:textId="675D246F" w:rsidR="009D6400" w:rsidRPr="00ED172B" w:rsidRDefault="00860830" w:rsidP="00186420">
            <w:pPr>
              <w:jc w:val="center"/>
              <w:rPr>
                <w:rFonts w:cs="Arial"/>
                <w:color w:val="000000" w:themeColor="text1"/>
                <w:szCs w:val="16"/>
              </w:rPr>
            </w:pPr>
            <w:r w:rsidRPr="00ED172B">
              <w:rPr>
                <w:rFonts w:cs="Arial"/>
                <w:color w:val="000000" w:themeColor="text1"/>
                <w:szCs w:val="16"/>
              </w:rPr>
              <w:t>92.79%</w:t>
            </w:r>
          </w:p>
        </w:tc>
        <w:tc>
          <w:tcPr>
            <w:tcW w:w="725" w:type="pct"/>
            <w:tcBorders>
              <w:top w:val="single" w:sz="4" w:space="0" w:color="auto"/>
              <w:left w:val="single" w:sz="4" w:space="0" w:color="auto"/>
              <w:bottom w:val="single" w:sz="4" w:space="0" w:color="auto"/>
              <w:right w:val="single" w:sz="4" w:space="0" w:color="auto"/>
            </w:tcBorders>
            <w:vAlign w:val="center"/>
          </w:tcPr>
          <w:p w14:paraId="0E4EB5DF" w14:textId="22588E35"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7CA3DEF6" w14:textId="517CAEA2"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003CD3FE" w14:textId="53C455B7"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51894D48" w14:textId="14B8D577"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578F6AEA" w14:textId="1B66A324" w:rsidTr="00A40EE1">
        <w:trPr>
          <w:trHeight w:val="85"/>
        </w:trPr>
        <w:tc>
          <w:tcPr>
            <w:tcW w:w="458" w:type="pct"/>
            <w:tcBorders>
              <w:left w:val="single" w:sz="4" w:space="0" w:color="auto"/>
              <w:right w:val="single" w:sz="4" w:space="0" w:color="auto"/>
            </w:tcBorders>
            <w:vAlign w:val="center"/>
          </w:tcPr>
          <w:p w14:paraId="0BFBD864" w14:textId="662ACF8C" w:rsidR="00CD79C5" w:rsidRPr="00ED172B" w:rsidRDefault="00CD79C5"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tcPr>
          <w:p w14:paraId="06ACBC7D" w14:textId="73436E6D" w:rsidR="00CD79C5" w:rsidRPr="00ED172B" w:rsidRDefault="001E39E3"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tcPr>
          <w:p w14:paraId="11B62100" w14:textId="6F8D3B11"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450E5C2A" w14:textId="181FF1DD" w:rsidR="00CD79C5" w:rsidRPr="00ED172B" w:rsidRDefault="00860830" w:rsidP="00186420">
            <w:pPr>
              <w:jc w:val="center"/>
              <w:rPr>
                <w:rFonts w:cs="Arial"/>
                <w:color w:val="000000" w:themeColor="text1"/>
                <w:szCs w:val="16"/>
              </w:rPr>
            </w:pPr>
            <w:r w:rsidRPr="00ED172B">
              <w:rPr>
                <w:rFonts w:cs="Arial"/>
                <w:color w:val="000000" w:themeColor="text1"/>
                <w:szCs w:val="16"/>
              </w:rPr>
              <w:t>51.90%</w:t>
            </w:r>
          </w:p>
        </w:tc>
        <w:tc>
          <w:tcPr>
            <w:tcW w:w="725" w:type="pct"/>
            <w:tcBorders>
              <w:top w:val="single" w:sz="4" w:space="0" w:color="auto"/>
              <w:left w:val="single" w:sz="4" w:space="0" w:color="auto"/>
              <w:bottom w:val="single" w:sz="4" w:space="0" w:color="auto"/>
              <w:right w:val="single" w:sz="4" w:space="0" w:color="auto"/>
            </w:tcBorders>
            <w:vAlign w:val="center"/>
          </w:tcPr>
          <w:p w14:paraId="52F291C5" w14:textId="1C8E7A56" w:rsidR="00CD79C5" w:rsidRPr="00ED172B" w:rsidRDefault="00860830" w:rsidP="00186420">
            <w:pPr>
              <w:jc w:val="center"/>
              <w:rPr>
                <w:rFonts w:cs="Arial"/>
                <w:color w:val="000000" w:themeColor="text1"/>
                <w:szCs w:val="16"/>
              </w:rPr>
            </w:pPr>
            <w:r w:rsidRPr="00ED172B">
              <w:rPr>
                <w:rFonts w:cs="Arial"/>
                <w:color w:val="000000" w:themeColor="text1"/>
                <w:szCs w:val="16"/>
              </w:rPr>
              <w:t>52.00%</w:t>
            </w:r>
          </w:p>
        </w:tc>
        <w:tc>
          <w:tcPr>
            <w:tcW w:w="725" w:type="pct"/>
            <w:tcBorders>
              <w:top w:val="single" w:sz="4" w:space="0" w:color="auto"/>
              <w:left w:val="single" w:sz="4" w:space="0" w:color="auto"/>
              <w:bottom w:val="single" w:sz="4" w:space="0" w:color="auto"/>
              <w:right w:val="single" w:sz="4" w:space="0" w:color="auto"/>
            </w:tcBorders>
            <w:vAlign w:val="center"/>
          </w:tcPr>
          <w:p w14:paraId="3ECF1C97" w14:textId="20F800EC" w:rsidR="00CD79C5" w:rsidRPr="00ED172B" w:rsidRDefault="00860830" w:rsidP="00186420">
            <w:pPr>
              <w:jc w:val="center"/>
              <w:rPr>
                <w:rFonts w:cs="Arial"/>
                <w:color w:val="000000" w:themeColor="text1"/>
                <w:szCs w:val="16"/>
              </w:rPr>
            </w:pPr>
            <w:r w:rsidRPr="00ED172B">
              <w:rPr>
                <w:rFonts w:cs="Arial"/>
                <w:color w:val="000000" w:themeColor="text1"/>
                <w:szCs w:val="16"/>
              </w:rPr>
              <w:t>52.00%</w:t>
            </w:r>
          </w:p>
        </w:tc>
        <w:tc>
          <w:tcPr>
            <w:tcW w:w="725" w:type="pct"/>
            <w:tcBorders>
              <w:top w:val="single" w:sz="4" w:space="0" w:color="auto"/>
              <w:left w:val="single" w:sz="4" w:space="0" w:color="auto"/>
              <w:bottom w:val="single" w:sz="4" w:space="0" w:color="auto"/>
              <w:right w:val="single" w:sz="4" w:space="0" w:color="auto"/>
            </w:tcBorders>
            <w:vAlign w:val="center"/>
          </w:tcPr>
          <w:p w14:paraId="2A88A785" w14:textId="654822BE" w:rsidR="00CD79C5" w:rsidRPr="00ED172B" w:rsidRDefault="00860830" w:rsidP="00186420">
            <w:pPr>
              <w:jc w:val="center"/>
              <w:rPr>
                <w:rFonts w:cs="Arial"/>
                <w:color w:val="000000" w:themeColor="text1"/>
                <w:szCs w:val="16"/>
              </w:rPr>
            </w:pPr>
            <w:r w:rsidRPr="00ED172B">
              <w:rPr>
                <w:rFonts w:cs="Arial"/>
                <w:color w:val="000000" w:themeColor="text1"/>
                <w:szCs w:val="16"/>
              </w:rPr>
              <w:t>52.10%</w:t>
            </w:r>
          </w:p>
        </w:tc>
        <w:tc>
          <w:tcPr>
            <w:tcW w:w="725" w:type="pct"/>
            <w:tcBorders>
              <w:top w:val="single" w:sz="4" w:space="0" w:color="auto"/>
              <w:left w:val="single" w:sz="4" w:space="0" w:color="auto"/>
              <w:bottom w:val="single" w:sz="4" w:space="0" w:color="auto"/>
              <w:right w:val="single" w:sz="4" w:space="0" w:color="auto"/>
            </w:tcBorders>
            <w:vAlign w:val="center"/>
          </w:tcPr>
          <w:p w14:paraId="4B8D69B4" w14:textId="1B69B808" w:rsidR="00CD79C5" w:rsidRPr="00ED172B" w:rsidRDefault="00860830" w:rsidP="00186420">
            <w:pPr>
              <w:jc w:val="center"/>
              <w:rPr>
                <w:rFonts w:cs="Arial"/>
                <w:color w:val="000000" w:themeColor="text1"/>
                <w:szCs w:val="16"/>
              </w:rPr>
            </w:pPr>
            <w:r w:rsidRPr="00ED172B">
              <w:rPr>
                <w:rFonts w:cs="Arial"/>
                <w:color w:val="000000" w:themeColor="text1"/>
                <w:szCs w:val="16"/>
              </w:rPr>
              <w:t>52.15%</w:t>
            </w:r>
          </w:p>
        </w:tc>
      </w:tr>
      <w:tr w:rsidR="00ED172B" w:rsidRPr="00ED172B" w14:paraId="5508559C" w14:textId="0B1CFF20" w:rsidTr="00A40EE1">
        <w:trPr>
          <w:trHeight w:val="85"/>
        </w:trPr>
        <w:tc>
          <w:tcPr>
            <w:tcW w:w="458" w:type="pct"/>
            <w:tcBorders>
              <w:left w:val="single" w:sz="4" w:space="0" w:color="auto"/>
              <w:right w:val="single" w:sz="4" w:space="0" w:color="auto"/>
            </w:tcBorders>
            <w:vAlign w:val="center"/>
          </w:tcPr>
          <w:p w14:paraId="3405656E" w14:textId="17A54931" w:rsidR="00CD79C5"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tcPr>
          <w:p w14:paraId="290E7FFE" w14:textId="147AFCDB" w:rsidR="00CD79C5" w:rsidRPr="00ED172B" w:rsidRDefault="001E39E3" w:rsidP="005C14C2">
            <w:pPr>
              <w:jc w:val="center"/>
              <w:rPr>
                <w:color w:val="000000" w:themeColor="text1"/>
              </w:rPr>
            </w:pPr>
            <w:r w:rsidRPr="00ED172B">
              <w:rPr>
                <w:color w:val="000000" w:themeColor="text1"/>
              </w:rPr>
              <w:t>51.63%</w:t>
            </w:r>
          </w:p>
        </w:tc>
        <w:tc>
          <w:tcPr>
            <w:tcW w:w="458" w:type="pct"/>
            <w:tcBorders>
              <w:top w:val="single" w:sz="4" w:space="0" w:color="auto"/>
              <w:left w:val="single" w:sz="4" w:space="0" w:color="auto"/>
              <w:bottom w:val="single" w:sz="4" w:space="0" w:color="auto"/>
              <w:right w:val="single" w:sz="4" w:space="0" w:color="auto"/>
            </w:tcBorders>
          </w:tcPr>
          <w:p w14:paraId="7D1F4513" w14:textId="06CCC15B"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3433C0E2" w14:textId="3A4EF236" w:rsidR="00CD79C5" w:rsidRPr="00ED172B" w:rsidRDefault="00860830" w:rsidP="00186420">
            <w:pPr>
              <w:jc w:val="center"/>
              <w:rPr>
                <w:rFonts w:cs="Arial"/>
                <w:color w:val="000000" w:themeColor="text1"/>
                <w:szCs w:val="16"/>
              </w:rPr>
            </w:pPr>
            <w:r w:rsidRPr="00ED172B">
              <w:rPr>
                <w:rFonts w:cs="Arial"/>
                <w:color w:val="000000" w:themeColor="text1"/>
                <w:szCs w:val="16"/>
              </w:rPr>
              <w:t>35.29%</w:t>
            </w:r>
          </w:p>
        </w:tc>
        <w:tc>
          <w:tcPr>
            <w:tcW w:w="725" w:type="pct"/>
            <w:tcBorders>
              <w:top w:val="single" w:sz="4" w:space="0" w:color="auto"/>
              <w:left w:val="single" w:sz="4" w:space="0" w:color="auto"/>
              <w:bottom w:val="single" w:sz="4" w:space="0" w:color="auto"/>
              <w:right w:val="single" w:sz="4" w:space="0" w:color="auto"/>
            </w:tcBorders>
            <w:vAlign w:val="center"/>
          </w:tcPr>
          <w:p w14:paraId="407B6FEC" w14:textId="29294B94" w:rsidR="00CD79C5" w:rsidRPr="00ED172B" w:rsidRDefault="00860830" w:rsidP="00186420">
            <w:pPr>
              <w:jc w:val="center"/>
              <w:rPr>
                <w:rFonts w:cs="Arial"/>
                <w:color w:val="000000" w:themeColor="text1"/>
                <w:szCs w:val="16"/>
              </w:rPr>
            </w:pPr>
            <w:r w:rsidRPr="00ED172B">
              <w:rPr>
                <w:rFonts w:cs="Arial"/>
                <w:color w:val="000000" w:themeColor="text1"/>
                <w:szCs w:val="16"/>
              </w:rPr>
              <w:t>19.89%</w:t>
            </w:r>
          </w:p>
        </w:tc>
        <w:tc>
          <w:tcPr>
            <w:tcW w:w="725" w:type="pct"/>
            <w:tcBorders>
              <w:top w:val="single" w:sz="4" w:space="0" w:color="auto"/>
              <w:left w:val="single" w:sz="4" w:space="0" w:color="auto"/>
              <w:bottom w:val="single" w:sz="4" w:space="0" w:color="auto"/>
              <w:right w:val="single" w:sz="4" w:space="0" w:color="auto"/>
            </w:tcBorders>
            <w:vAlign w:val="center"/>
          </w:tcPr>
          <w:p w14:paraId="5A81980F" w14:textId="6A2EADF3" w:rsidR="00CD79C5" w:rsidRPr="00ED172B" w:rsidRDefault="00860830" w:rsidP="00186420">
            <w:pPr>
              <w:jc w:val="center"/>
              <w:rPr>
                <w:rFonts w:cs="Arial"/>
                <w:color w:val="000000" w:themeColor="text1"/>
                <w:szCs w:val="16"/>
              </w:rPr>
            </w:pPr>
            <w:r w:rsidRPr="00ED172B">
              <w:rPr>
                <w:rFonts w:cs="Arial"/>
                <w:color w:val="000000" w:themeColor="text1"/>
                <w:szCs w:val="16"/>
              </w:rPr>
              <w:t>31.24%</w:t>
            </w:r>
          </w:p>
        </w:tc>
        <w:tc>
          <w:tcPr>
            <w:tcW w:w="725" w:type="pct"/>
            <w:tcBorders>
              <w:top w:val="single" w:sz="4" w:space="0" w:color="auto"/>
              <w:left w:val="single" w:sz="4" w:space="0" w:color="auto"/>
              <w:bottom w:val="single" w:sz="4" w:space="0" w:color="auto"/>
              <w:right w:val="single" w:sz="4" w:space="0" w:color="auto"/>
            </w:tcBorders>
            <w:vAlign w:val="center"/>
          </w:tcPr>
          <w:p w14:paraId="38B363CC" w14:textId="381C83A4" w:rsidR="00CD79C5" w:rsidRPr="00ED172B" w:rsidRDefault="00860830" w:rsidP="00186420">
            <w:pPr>
              <w:jc w:val="center"/>
              <w:rPr>
                <w:rFonts w:cs="Arial"/>
                <w:color w:val="000000" w:themeColor="text1"/>
                <w:szCs w:val="16"/>
              </w:rPr>
            </w:pPr>
            <w:r w:rsidRPr="00ED172B">
              <w:rPr>
                <w:rFonts w:cs="Arial"/>
                <w:color w:val="000000" w:themeColor="text1"/>
                <w:szCs w:val="16"/>
              </w:rPr>
              <w:t>42.02%</w:t>
            </w:r>
          </w:p>
        </w:tc>
        <w:tc>
          <w:tcPr>
            <w:tcW w:w="725" w:type="pct"/>
            <w:tcBorders>
              <w:top w:val="single" w:sz="4" w:space="0" w:color="auto"/>
              <w:left w:val="single" w:sz="4" w:space="0" w:color="auto"/>
              <w:bottom w:val="single" w:sz="4" w:space="0" w:color="auto"/>
              <w:right w:val="single" w:sz="4" w:space="0" w:color="auto"/>
            </w:tcBorders>
            <w:vAlign w:val="center"/>
          </w:tcPr>
          <w:p w14:paraId="72743534" w14:textId="5F19E1BD" w:rsidR="00CD79C5" w:rsidRPr="00ED172B" w:rsidRDefault="00860830" w:rsidP="00186420">
            <w:pPr>
              <w:jc w:val="center"/>
              <w:rPr>
                <w:rFonts w:cs="Arial"/>
                <w:color w:val="000000" w:themeColor="text1"/>
                <w:szCs w:val="16"/>
              </w:rPr>
            </w:pPr>
            <w:r w:rsidRPr="00ED172B">
              <w:rPr>
                <w:rFonts w:cs="Arial"/>
                <w:color w:val="000000" w:themeColor="text1"/>
                <w:szCs w:val="16"/>
              </w:rPr>
              <w:t>42.70%</w:t>
            </w:r>
          </w:p>
        </w:tc>
      </w:tr>
      <w:tr w:rsidR="00ED172B" w:rsidRPr="00ED172B" w14:paraId="68116055" w14:textId="6F2A1023" w:rsidTr="00A40EE1">
        <w:trPr>
          <w:trHeight w:val="80"/>
        </w:trPr>
        <w:tc>
          <w:tcPr>
            <w:tcW w:w="458" w:type="pct"/>
            <w:tcBorders>
              <w:left w:val="single" w:sz="4" w:space="0" w:color="auto"/>
              <w:right w:val="single" w:sz="4" w:space="0" w:color="auto"/>
            </w:tcBorders>
            <w:vAlign w:val="center"/>
          </w:tcPr>
          <w:p w14:paraId="71D30B68" w14:textId="6BFF0644" w:rsidR="00CD79C5" w:rsidRPr="00ED172B" w:rsidRDefault="008B3D40" w:rsidP="00186420">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sz="4" w:space="0" w:color="auto"/>
              <w:right w:val="single" w:sz="4" w:space="0" w:color="auto"/>
            </w:tcBorders>
          </w:tcPr>
          <w:p w14:paraId="37F5F6CF" w14:textId="121A5A95" w:rsidR="00CD79C5"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12915B3C" w14:textId="41C5B8B0"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11387269" w14:textId="594B111A"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3D89F006" w14:textId="2FDBF221"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6FC9F3C3" w14:textId="23E4B41B"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31997B06" w14:textId="17DE3AAA"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3BB9FF7C" w14:textId="437D50D8"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60153D96" w14:textId="698AF9C2" w:rsidTr="00A40EE1">
        <w:trPr>
          <w:trHeight w:val="80"/>
        </w:trPr>
        <w:tc>
          <w:tcPr>
            <w:tcW w:w="458" w:type="pct"/>
            <w:tcBorders>
              <w:left w:val="single" w:sz="4" w:space="0" w:color="auto"/>
              <w:right w:val="single" w:sz="4" w:space="0" w:color="auto"/>
            </w:tcBorders>
            <w:vAlign w:val="center"/>
          </w:tcPr>
          <w:p w14:paraId="7DA97DD5" w14:textId="31A045BB" w:rsidR="00CD79C5" w:rsidRPr="00ED172B" w:rsidRDefault="008B3D40" w:rsidP="00186420">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sz="4" w:space="0" w:color="auto"/>
              <w:right w:val="single" w:sz="4" w:space="0" w:color="auto"/>
            </w:tcBorders>
          </w:tcPr>
          <w:p w14:paraId="0CF72444" w14:textId="046DD134" w:rsidR="00CD79C5"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33F1E708" w14:textId="017BD47B"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5CE3E4DA" w14:textId="32BDA21F" w:rsidR="00CD79C5" w:rsidRPr="00ED172B" w:rsidRDefault="00860830" w:rsidP="00186420">
            <w:pPr>
              <w:jc w:val="center"/>
              <w:rPr>
                <w:rFonts w:cs="Arial"/>
                <w:color w:val="000000" w:themeColor="text1"/>
                <w:szCs w:val="16"/>
              </w:rPr>
            </w:pPr>
            <w:r w:rsidRPr="00ED172B">
              <w:rPr>
                <w:rFonts w:cs="Arial"/>
                <w:color w:val="000000" w:themeColor="text1"/>
                <w:szCs w:val="16"/>
              </w:rPr>
              <w:t>91.56%</w:t>
            </w:r>
          </w:p>
        </w:tc>
        <w:tc>
          <w:tcPr>
            <w:tcW w:w="725" w:type="pct"/>
            <w:tcBorders>
              <w:top w:val="single" w:sz="4" w:space="0" w:color="auto"/>
              <w:left w:val="single" w:sz="4" w:space="0" w:color="auto"/>
              <w:bottom w:val="single" w:sz="4" w:space="0" w:color="auto"/>
              <w:right w:val="single" w:sz="4" w:space="0" w:color="auto"/>
            </w:tcBorders>
            <w:vAlign w:val="center"/>
          </w:tcPr>
          <w:p w14:paraId="2DCF6998" w14:textId="3F3FA68E" w:rsidR="00CD79C5" w:rsidRPr="00ED172B" w:rsidRDefault="00860830" w:rsidP="00186420">
            <w:pPr>
              <w:jc w:val="center"/>
              <w:rPr>
                <w:rFonts w:cs="Arial"/>
                <w:color w:val="000000" w:themeColor="text1"/>
                <w:szCs w:val="16"/>
              </w:rPr>
            </w:pPr>
            <w:r w:rsidRPr="00ED172B">
              <w:rPr>
                <w:rFonts w:cs="Arial"/>
                <w:color w:val="000000" w:themeColor="text1"/>
                <w:szCs w:val="16"/>
              </w:rPr>
              <w:t>86.89%</w:t>
            </w:r>
          </w:p>
        </w:tc>
        <w:tc>
          <w:tcPr>
            <w:tcW w:w="725" w:type="pct"/>
            <w:tcBorders>
              <w:top w:val="single" w:sz="4" w:space="0" w:color="auto"/>
              <w:left w:val="single" w:sz="4" w:space="0" w:color="auto"/>
              <w:bottom w:val="single" w:sz="4" w:space="0" w:color="auto"/>
              <w:right w:val="single" w:sz="4" w:space="0" w:color="auto"/>
            </w:tcBorders>
            <w:vAlign w:val="center"/>
          </w:tcPr>
          <w:p w14:paraId="0912C35D" w14:textId="0A0FC1D5" w:rsidR="00CD79C5" w:rsidRPr="00ED172B" w:rsidRDefault="00860830" w:rsidP="00186420">
            <w:pPr>
              <w:jc w:val="center"/>
              <w:rPr>
                <w:rFonts w:cs="Arial"/>
                <w:color w:val="000000" w:themeColor="text1"/>
                <w:szCs w:val="16"/>
              </w:rPr>
            </w:pPr>
            <w:r w:rsidRPr="00ED172B">
              <w:rPr>
                <w:rFonts w:cs="Arial"/>
                <w:color w:val="000000" w:themeColor="text1"/>
                <w:szCs w:val="16"/>
              </w:rPr>
              <w:t>93.48%</w:t>
            </w:r>
          </w:p>
        </w:tc>
        <w:tc>
          <w:tcPr>
            <w:tcW w:w="725" w:type="pct"/>
            <w:tcBorders>
              <w:top w:val="single" w:sz="4" w:space="0" w:color="auto"/>
              <w:left w:val="single" w:sz="4" w:space="0" w:color="auto"/>
              <w:bottom w:val="single" w:sz="4" w:space="0" w:color="auto"/>
              <w:right w:val="single" w:sz="4" w:space="0" w:color="auto"/>
            </w:tcBorders>
            <w:vAlign w:val="center"/>
          </w:tcPr>
          <w:p w14:paraId="2FDD83C7" w14:textId="1EE3C70E" w:rsidR="00CD79C5" w:rsidRPr="00ED172B" w:rsidRDefault="00860830" w:rsidP="00186420">
            <w:pPr>
              <w:jc w:val="center"/>
              <w:rPr>
                <w:rFonts w:cs="Arial"/>
                <w:color w:val="000000" w:themeColor="text1"/>
                <w:szCs w:val="16"/>
              </w:rPr>
            </w:pPr>
            <w:r w:rsidRPr="00ED172B">
              <w:rPr>
                <w:rFonts w:cs="Arial"/>
                <w:color w:val="000000" w:themeColor="text1"/>
                <w:szCs w:val="16"/>
              </w:rPr>
              <w:t>92.59%</w:t>
            </w:r>
          </w:p>
        </w:tc>
        <w:tc>
          <w:tcPr>
            <w:tcW w:w="725" w:type="pct"/>
            <w:tcBorders>
              <w:top w:val="single" w:sz="4" w:space="0" w:color="auto"/>
              <w:left w:val="single" w:sz="4" w:space="0" w:color="auto"/>
              <w:bottom w:val="single" w:sz="4" w:space="0" w:color="auto"/>
              <w:right w:val="single" w:sz="4" w:space="0" w:color="auto"/>
            </w:tcBorders>
            <w:vAlign w:val="center"/>
          </w:tcPr>
          <w:p w14:paraId="139C6CC8" w14:textId="072D8E3C" w:rsidR="00CD79C5" w:rsidRPr="00ED172B" w:rsidRDefault="00860830" w:rsidP="00186420">
            <w:pPr>
              <w:jc w:val="center"/>
              <w:rPr>
                <w:rFonts w:cs="Arial"/>
                <w:color w:val="000000" w:themeColor="text1"/>
                <w:szCs w:val="16"/>
              </w:rPr>
            </w:pPr>
            <w:r w:rsidRPr="00ED172B">
              <w:rPr>
                <w:rFonts w:cs="Arial"/>
                <w:color w:val="000000" w:themeColor="text1"/>
                <w:szCs w:val="16"/>
              </w:rPr>
              <w:t>88.57%</w:t>
            </w:r>
          </w:p>
        </w:tc>
      </w:tr>
      <w:tr w:rsidR="00ED172B" w:rsidRPr="00ED172B" w14:paraId="75EC38D5" w14:textId="7305FE4F" w:rsidTr="00A40EE1">
        <w:trPr>
          <w:trHeight w:val="80"/>
        </w:trPr>
        <w:tc>
          <w:tcPr>
            <w:tcW w:w="458" w:type="pct"/>
            <w:tcBorders>
              <w:left w:val="single" w:sz="4" w:space="0" w:color="auto"/>
              <w:right w:val="single" w:sz="4" w:space="0" w:color="auto"/>
            </w:tcBorders>
            <w:vAlign w:val="center"/>
          </w:tcPr>
          <w:p w14:paraId="4C00EC42" w14:textId="06A1339D" w:rsidR="00CD79C5" w:rsidRPr="00ED172B" w:rsidRDefault="00CD79C5"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tcPr>
          <w:p w14:paraId="595CFD0D" w14:textId="243AF237" w:rsidR="00CD79C5" w:rsidRPr="00ED172B" w:rsidRDefault="005C14C2"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tcPr>
          <w:p w14:paraId="43E4BC68" w14:textId="39933414"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7DBDA0B8" w14:textId="5F41B34A" w:rsidR="00CD79C5" w:rsidRPr="00ED172B" w:rsidRDefault="00860830" w:rsidP="00186420">
            <w:pPr>
              <w:jc w:val="center"/>
              <w:rPr>
                <w:rFonts w:cs="Arial"/>
                <w:color w:val="000000" w:themeColor="text1"/>
                <w:szCs w:val="16"/>
              </w:rPr>
            </w:pPr>
            <w:r w:rsidRPr="00ED172B">
              <w:rPr>
                <w:rFonts w:cs="Arial"/>
                <w:color w:val="000000" w:themeColor="text1"/>
                <w:szCs w:val="16"/>
              </w:rPr>
              <w:t>94.90%</w:t>
            </w:r>
          </w:p>
        </w:tc>
        <w:tc>
          <w:tcPr>
            <w:tcW w:w="725" w:type="pct"/>
            <w:tcBorders>
              <w:top w:val="single" w:sz="4" w:space="0" w:color="auto"/>
              <w:left w:val="single" w:sz="4" w:space="0" w:color="auto"/>
              <w:bottom w:val="single" w:sz="4" w:space="0" w:color="auto"/>
              <w:right w:val="single" w:sz="4" w:space="0" w:color="auto"/>
            </w:tcBorders>
            <w:vAlign w:val="center"/>
          </w:tcPr>
          <w:p w14:paraId="6ECBAEB3" w14:textId="7687F76B" w:rsidR="00CD79C5" w:rsidRPr="00ED172B" w:rsidRDefault="00860830" w:rsidP="00186420">
            <w:pPr>
              <w:jc w:val="center"/>
              <w:rPr>
                <w:rFonts w:cs="Arial"/>
                <w:color w:val="000000" w:themeColor="text1"/>
                <w:szCs w:val="16"/>
              </w:rPr>
            </w:pPr>
            <w:r w:rsidRPr="00ED172B">
              <w:rPr>
                <w:rFonts w:cs="Arial"/>
                <w:color w:val="000000" w:themeColor="text1"/>
                <w:szCs w:val="16"/>
              </w:rPr>
              <w:t>95.00%</w:t>
            </w:r>
          </w:p>
        </w:tc>
        <w:tc>
          <w:tcPr>
            <w:tcW w:w="725" w:type="pct"/>
            <w:tcBorders>
              <w:top w:val="single" w:sz="4" w:space="0" w:color="auto"/>
              <w:left w:val="single" w:sz="4" w:space="0" w:color="auto"/>
              <w:bottom w:val="single" w:sz="4" w:space="0" w:color="auto"/>
              <w:right w:val="single" w:sz="4" w:space="0" w:color="auto"/>
            </w:tcBorders>
            <w:vAlign w:val="center"/>
          </w:tcPr>
          <w:p w14:paraId="16F9EC9C" w14:textId="592BC665" w:rsidR="00CD79C5" w:rsidRPr="00ED172B" w:rsidRDefault="00860830" w:rsidP="00186420">
            <w:pPr>
              <w:jc w:val="center"/>
              <w:rPr>
                <w:rFonts w:cs="Arial"/>
                <w:color w:val="000000" w:themeColor="text1"/>
                <w:szCs w:val="16"/>
              </w:rPr>
            </w:pPr>
            <w:r w:rsidRPr="00ED172B">
              <w:rPr>
                <w:rFonts w:cs="Arial"/>
                <w:color w:val="000000" w:themeColor="text1"/>
                <w:szCs w:val="16"/>
              </w:rPr>
              <w:t>95.10%</w:t>
            </w:r>
          </w:p>
        </w:tc>
        <w:tc>
          <w:tcPr>
            <w:tcW w:w="725" w:type="pct"/>
            <w:tcBorders>
              <w:top w:val="single" w:sz="4" w:space="0" w:color="auto"/>
              <w:left w:val="single" w:sz="4" w:space="0" w:color="auto"/>
              <w:bottom w:val="single" w:sz="4" w:space="0" w:color="auto"/>
              <w:right w:val="single" w:sz="4" w:space="0" w:color="auto"/>
            </w:tcBorders>
            <w:vAlign w:val="center"/>
          </w:tcPr>
          <w:p w14:paraId="0CF6DF96" w14:textId="7F66FAB6" w:rsidR="00CD79C5" w:rsidRPr="00ED172B" w:rsidRDefault="00860830" w:rsidP="00186420">
            <w:pPr>
              <w:jc w:val="center"/>
              <w:rPr>
                <w:rFonts w:cs="Arial"/>
                <w:color w:val="000000" w:themeColor="text1"/>
                <w:szCs w:val="16"/>
              </w:rPr>
            </w:pPr>
            <w:r w:rsidRPr="00ED172B">
              <w:rPr>
                <w:rFonts w:cs="Arial"/>
                <w:color w:val="000000" w:themeColor="text1"/>
                <w:szCs w:val="16"/>
              </w:rPr>
              <w:t>95.10%</w:t>
            </w:r>
          </w:p>
        </w:tc>
        <w:tc>
          <w:tcPr>
            <w:tcW w:w="725" w:type="pct"/>
            <w:tcBorders>
              <w:top w:val="single" w:sz="4" w:space="0" w:color="auto"/>
              <w:left w:val="single" w:sz="4" w:space="0" w:color="auto"/>
              <w:bottom w:val="single" w:sz="4" w:space="0" w:color="auto"/>
              <w:right w:val="single" w:sz="4" w:space="0" w:color="auto"/>
            </w:tcBorders>
            <w:vAlign w:val="center"/>
          </w:tcPr>
          <w:p w14:paraId="47FA0BBE" w14:textId="2CAD1925" w:rsidR="00CD79C5" w:rsidRPr="00ED172B" w:rsidRDefault="00860830" w:rsidP="00186420">
            <w:pPr>
              <w:jc w:val="center"/>
              <w:rPr>
                <w:rFonts w:cs="Arial"/>
                <w:color w:val="000000" w:themeColor="text1"/>
                <w:szCs w:val="16"/>
              </w:rPr>
            </w:pPr>
            <w:r w:rsidRPr="00ED172B">
              <w:rPr>
                <w:rFonts w:cs="Arial"/>
                <w:color w:val="000000" w:themeColor="text1"/>
                <w:szCs w:val="16"/>
              </w:rPr>
              <w:t>95.20%</w:t>
            </w:r>
          </w:p>
        </w:tc>
      </w:tr>
      <w:tr w:rsidR="00ED172B" w:rsidRPr="00ED172B" w14:paraId="11C4CA89" w14:textId="5EA1595B" w:rsidTr="00A40EE1">
        <w:trPr>
          <w:trHeight w:val="80"/>
        </w:trPr>
        <w:tc>
          <w:tcPr>
            <w:tcW w:w="458" w:type="pct"/>
            <w:tcBorders>
              <w:left w:val="single" w:sz="4" w:space="0" w:color="auto"/>
              <w:right w:val="single" w:sz="4" w:space="0" w:color="auto"/>
            </w:tcBorders>
            <w:vAlign w:val="center"/>
          </w:tcPr>
          <w:p w14:paraId="024D3E31" w14:textId="0647350E" w:rsidR="00CD79C5"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tcPr>
          <w:p w14:paraId="39000E0E" w14:textId="26CEA8FC" w:rsidR="00CD79C5" w:rsidRPr="00ED172B" w:rsidRDefault="002332D6">
            <w:pPr>
              <w:jc w:val="center"/>
              <w:rPr>
                <w:color w:val="000000" w:themeColor="text1"/>
              </w:rPr>
            </w:pPr>
            <w:r w:rsidRPr="00ED172B">
              <w:rPr>
                <w:color w:val="000000" w:themeColor="text1"/>
              </w:rPr>
              <w:t>94.66%</w:t>
            </w:r>
          </w:p>
        </w:tc>
        <w:tc>
          <w:tcPr>
            <w:tcW w:w="458" w:type="pct"/>
            <w:tcBorders>
              <w:top w:val="single" w:sz="4" w:space="0" w:color="auto"/>
              <w:left w:val="single" w:sz="4" w:space="0" w:color="auto"/>
              <w:bottom w:val="single" w:sz="4" w:space="0" w:color="auto"/>
              <w:right w:val="single" w:sz="4" w:space="0" w:color="auto"/>
            </w:tcBorders>
          </w:tcPr>
          <w:p w14:paraId="00C3B59D" w14:textId="315ECF11"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26454DD8" w14:textId="4EBCCC10" w:rsidR="00CD79C5" w:rsidRPr="00ED172B" w:rsidRDefault="00860830" w:rsidP="00186420">
            <w:pPr>
              <w:jc w:val="center"/>
              <w:rPr>
                <w:rFonts w:cs="Arial"/>
                <w:color w:val="000000" w:themeColor="text1"/>
                <w:szCs w:val="16"/>
              </w:rPr>
            </w:pPr>
            <w:r w:rsidRPr="00ED172B">
              <w:rPr>
                <w:rFonts w:cs="Arial"/>
                <w:color w:val="000000" w:themeColor="text1"/>
                <w:szCs w:val="16"/>
              </w:rPr>
              <w:t>50.03%</w:t>
            </w:r>
          </w:p>
        </w:tc>
        <w:tc>
          <w:tcPr>
            <w:tcW w:w="725" w:type="pct"/>
            <w:tcBorders>
              <w:top w:val="single" w:sz="4" w:space="0" w:color="auto"/>
              <w:left w:val="single" w:sz="4" w:space="0" w:color="auto"/>
              <w:bottom w:val="single" w:sz="4" w:space="0" w:color="auto"/>
              <w:right w:val="single" w:sz="4" w:space="0" w:color="auto"/>
            </w:tcBorders>
            <w:vAlign w:val="center"/>
          </w:tcPr>
          <w:p w14:paraId="4BC82B8A" w14:textId="1F659EDD" w:rsidR="00CD79C5" w:rsidRPr="00ED172B" w:rsidRDefault="00860830" w:rsidP="00186420">
            <w:pPr>
              <w:jc w:val="center"/>
              <w:rPr>
                <w:rFonts w:cs="Arial"/>
                <w:color w:val="000000" w:themeColor="text1"/>
                <w:szCs w:val="16"/>
              </w:rPr>
            </w:pPr>
            <w:r w:rsidRPr="00ED172B">
              <w:rPr>
                <w:rFonts w:cs="Arial"/>
                <w:color w:val="000000" w:themeColor="text1"/>
                <w:szCs w:val="16"/>
              </w:rPr>
              <w:t>84.04%</w:t>
            </w:r>
          </w:p>
        </w:tc>
        <w:tc>
          <w:tcPr>
            <w:tcW w:w="725" w:type="pct"/>
            <w:tcBorders>
              <w:top w:val="single" w:sz="4" w:space="0" w:color="auto"/>
              <w:left w:val="single" w:sz="4" w:space="0" w:color="auto"/>
              <w:bottom w:val="single" w:sz="4" w:space="0" w:color="auto"/>
              <w:right w:val="single" w:sz="4" w:space="0" w:color="auto"/>
            </w:tcBorders>
            <w:vAlign w:val="center"/>
          </w:tcPr>
          <w:p w14:paraId="593B1F54" w14:textId="585D8D54" w:rsidR="00CD79C5" w:rsidRPr="00ED172B" w:rsidRDefault="00860830" w:rsidP="00186420">
            <w:pPr>
              <w:jc w:val="center"/>
              <w:rPr>
                <w:rFonts w:cs="Arial"/>
                <w:color w:val="000000" w:themeColor="text1"/>
                <w:szCs w:val="16"/>
              </w:rPr>
            </w:pPr>
            <w:r w:rsidRPr="00ED172B">
              <w:rPr>
                <w:rFonts w:cs="Arial"/>
                <w:color w:val="000000" w:themeColor="text1"/>
                <w:szCs w:val="16"/>
              </w:rPr>
              <w:t>86.35%</w:t>
            </w:r>
          </w:p>
        </w:tc>
        <w:tc>
          <w:tcPr>
            <w:tcW w:w="725" w:type="pct"/>
            <w:tcBorders>
              <w:top w:val="single" w:sz="4" w:space="0" w:color="auto"/>
              <w:left w:val="single" w:sz="4" w:space="0" w:color="auto"/>
              <w:bottom w:val="single" w:sz="4" w:space="0" w:color="auto"/>
              <w:right w:val="single" w:sz="4" w:space="0" w:color="auto"/>
            </w:tcBorders>
            <w:vAlign w:val="center"/>
          </w:tcPr>
          <w:p w14:paraId="4C2DBD52" w14:textId="5EF24053" w:rsidR="00CD79C5" w:rsidRPr="00ED172B" w:rsidRDefault="00860830" w:rsidP="00186420">
            <w:pPr>
              <w:jc w:val="center"/>
              <w:rPr>
                <w:rFonts w:cs="Arial"/>
                <w:color w:val="000000" w:themeColor="text1"/>
                <w:szCs w:val="16"/>
              </w:rPr>
            </w:pPr>
            <w:r w:rsidRPr="00ED172B">
              <w:rPr>
                <w:rFonts w:cs="Arial"/>
                <w:color w:val="000000" w:themeColor="text1"/>
                <w:szCs w:val="16"/>
              </w:rPr>
              <w:t>89.55%</w:t>
            </w:r>
          </w:p>
        </w:tc>
        <w:tc>
          <w:tcPr>
            <w:tcW w:w="725" w:type="pct"/>
            <w:tcBorders>
              <w:top w:val="single" w:sz="4" w:space="0" w:color="auto"/>
              <w:left w:val="single" w:sz="4" w:space="0" w:color="auto"/>
              <w:bottom w:val="single" w:sz="4" w:space="0" w:color="auto"/>
              <w:right w:val="single" w:sz="4" w:space="0" w:color="auto"/>
            </w:tcBorders>
            <w:vAlign w:val="center"/>
          </w:tcPr>
          <w:p w14:paraId="6EEDD006" w14:textId="5C5BA809" w:rsidR="00CD79C5" w:rsidRPr="00ED172B" w:rsidRDefault="00860830" w:rsidP="00186420">
            <w:pPr>
              <w:jc w:val="center"/>
              <w:rPr>
                <w:rFonts w:cs="Arial"/>
                <w:color w:val="000000" w:themeColor="text1"/>
                <w:szCs w:val="16"/>
              </w:rPr>
            </w:pPr>
            <w:r w:rsidRPr="00ED172B">
              <w:rPr>
                <w:rFonts w:cs="Arial"/>
                <w:color w:val="000000" w:themeColor="text1"/>
                <w:szCs w:val="16"/>
              </w:rPr>
              <w:t>89.34%</w:t>
            </w:r>
          </w:p>
        </w:tc>
      </w:tr>
      <w:tr w:rsidR="00ED172B" w:rsidRPr="00ED172B" w14:paraId="636BCB24" w14:textId="34525976" w:rsidTr="00A40EE1">
        <w:trPr>
          <w:trHeight w:val="80"/>
        </w:trPr>
        <w:tc>
          <w:tcPr>
            <w:tcW w:w="458" w:type="pct"/>
            <w:tcBorders>
              <w:left w:val="single" w:sz="4" w:space="0" w:color="auto"/>
              <w:right w:val="single" w:sz="4" w:space="0" w:color="auto"/>
            </w:tcBorders>
            <w:vAlign w:val="center"/>
          </w:tcPr>
          <w:p w14:paraId="473D3D11" w14:textId="6C9FE77B" w:rsidR="00CD79C5" w:rsidRPr="00ED172B" w:rsidRDefault="008B3D40" w:rsidP="00186420">
            <w:pPr>
              <w:jc w:val="center"/>
              <w:rPr>
                <w:rFonts w:cs="Arial"/>
                <w:b/>
                <w:color w:val="000000" w:themeColor="text1"/>
                <w:szCs w:val="16"/>
              </w:rPr>
            </w:pPr>
            <w:r w:rsidRPr="00ED172B">
              <w:rPr>
                <w:rFonts w:cs="Arial"/>
                <w:b/>
                <w:color w:val="000000" w:themeColor="text1"/>
                <w:szCs w:val="16"/>
              </w:rPr>
              <w:lastRenderedPageBreak/>
              <w:t>C1 AR</w:t>
            </w:r>
          </w:p>
        </w:tc>
        <w:tc>
          <w:tcPr>
            <w:tcW w:w="458" w:type="pct"/>
            <w:tcBorders>
              <w:left w:val="single" w:sz="4" w:space="0" w:color="auto"/>
              <w:right w:val="single" w:sz="4" w:space="0" w:color="auto"/>
            </w:tcBorders>
          </w:tcPr>
          <w:p w14:paraId="661BF00F" w14:textId="15775303" w:rsidR="00CD79C5" w:rsidRPr="00ED172B" w:rsidRDefault="005C14C2" w:rsidP="005C14C2">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621250AC" w14:textId="07AA7231"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1F68543B" w14:textId="30EB7BCC"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0074271E" w14:textId="54F90B36"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030D488C" w14:textId="7130091B"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2FA4E180" w14:textId="5ADA3FA0"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563ED144" w14:textId="01C7CFD8"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75BA65E5" w14:textId="42EF0FE5" w:rsidTr="00A40EE1">
        <w:trPr>
          <w:trHeight w:val="80"/>
        </w:trPr>
        <w:tc>
          <w:tcPr>
            <w:tcW w:w="458" w:type="pct"/>
            <w:tcBorders>
              <w:left w:val="single" w:sz="4" w:space="0" w:color="auto"/>
              <w:right w:val="single" w:sz="4" w:space="0" w:color="auto"/>
            </w:tcBorders>
            <w:vAlign w:val="center"/>
          </w:tcPr>
          <w:p w14:paraId="395D1B41" w14:textId="4D803DA3" w:rsidR="00CD79C5" w:rsidRPr="00ED172B" w:rsidRDefault="008B3D40" w:rsidP="00186420">
            <w:pPr>
              <w:jc w:val="center"/>
              <w:rPr>
                <w:rFonts w:cs="Arial"/>
                <w:b/>
                <w:color w:val="000000" w:themeColor="text1"/>
                <w:szCs w:val="16"/>
              </w:rPr>
            </w:pPr>
            <w:r w:rsidRPr="00ED172B">
              <w:rPr>
                <w:rFonts w:cs="Arial"/>
                <w:b/>
                <w:color w:val="000000" w:themeColor="text1"/>
                <w:szCs w:val="16"/>
              </w:rPr>
              <w:t>C1 AR</w:t>
            </w:r>
          </w:p>
        </w:tc>
        <w:tc>
          <w:tcPr>
            <w:tcW w:w="458" w:type="pct"/>
            <w:tcBorders>
              <w:left w:val="single" w:sz="4" w:space="0" w:color="auto"/>
              <w:right w:val="single" w:sz="4" w:space="0" w:color="auto"/>
            </w:tcBorders>
          </w:tcPr>
          <w:p w14:paraId="0CDEC5BA" w14:textId="6E80D5B9" w:rsidR="00CD79C5" w:rsidRPr="00ED172B" w:rsidRDefault="005C14C2" w:rsidP="005C14C2">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3553C984" w14:textId="7B579917"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29A6B9B7" w14:textId="7E9E8B59" w:rsidR="00CD79C5" w:rsidRPr="00ED172B" w:rsidRDefault="00860830" w:rsidP="00186420">
            <w:pPr>
              <w:jc w:val="center"/>
              <w:rPr>
                <w:rFonts w:cs="Arial"/>
                <w:color w:val="000000" w:themeColor="text1"/>
                <w:szCs w:val="16"/>
              </w:rPr>
            </w:pPr>
            <w:r w:rsidRPr="00ED172B">
              <w:rPr>
                <w:rFonts w:cs="Arial"/>
                <w:color w:val="000000" w:themeColor="text1"/>
                <w:szCs w:val="16"/>
              </w:rPr>
              <w:t>97.62%</w:t>
            </w:r>
          </w:p>
        </w:tc>
        <w:tc>
          <w:tcPr>
            <w:tcW w:w="725" w:type="pct"/>
            <w:tcBorders>
              <w:top w:val="single" w:sz="4" w:space="0" w:color="auto"/>
              <w:left w:val="single" w:sz="4" w:space="0" w:color="auto"/>
              <w:bottom w:val="single" w:sz="4" w:space="0" w:color="auto"/>
              <w:right w:val="single" w:sz="4" w:space="0" w:color="auto"/>
            </w:tcBorders>
            <w:vAlign w:val="center"/>
          </w:tcPr>
          <w:p w14:paraId="7C2F7BFE" w14:textId="06C1EF6B"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44B4A94C" w14:textId="0321D26A"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61CFA359" w14:textId="50C5DBA4"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vAlign w:val="center"/>
          </w:tcPr>
          <w:p w14:paraId="68419723" w14:textId="680B30A1"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745884F5" w14:textId="374FF67A" w:rsidTr="00A40EE1">
        <w:trPr>
          <w:trHeight w:val="80"/>
        </w:trPr>
        <w:tc>
          <w:tcPr>
            <w:tcW w:w="458" w:type="pct"/>
            <w:tcBorders>
              <w:left w:val="single" w:sz="4" w:space="0" w:color="auto"/>
              <w:right w:val="single" w:sz="4" w:space="0" w:color="auto"/>
            </w:tcBorders>
            <w:vAlign w:val="center"/>
          </w:tcPr>
          <w:p w14:paraId="24A12BE3" w14:textId="77777777" w:rsidR="00CD79C5" w:rsidRPr="00ED172B" w:rsidRDefault="00CD79C5"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tcPr>
          <w:p w14:paraId="0B67F880" w14:textId="0B76E8F9" w:rsidR="00CD79C5" w:rsidRPr="00ED172B" w:rsidRDefault="005C14C2"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tcPr>
          <w:p w14:paraId="3F1BA788" w14:textId="697D4877"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347BD13E" w14:textId="0651E384" w:rsidR="00CD79C5" w:rsidRPr="00ED172B" w:rsidRDefault="00860830" w:rsidP="00186420">
            <w:pPr>
              <w:jc w:val="center"/>
              <w:rPr>
                <w:rFonts w:cs="Arial"/>
                <w:color w:val="000000" w:themeColor="text1"/>
                <w:szCs w:val="16"/>
              </w:rPr>
            </w:pPr>
            <w:r w:rsidRPr="00ED172B">
              <w:rPr>
                <w:rFonts w:cs="Arial"/>
                <w:color w:val="000000" w:themeColor="text1"/>
                <w:szCs w:val="16"/>
              </w:rPr>
              <w:t>73.90%</w:t>
            </w:r>
          </w:p>
        </w:tc>
        <w:tc>
          <w:tcPr>
            <w:tcW w:w="725" w:type="pct"/>
            <w:tcBorders>
              <w:top w:val="single" w:sz="4" w:space="0" w:color="auto"/>
              <w:left w:val="single" w:sz="4" w:space="0" w:color="auto"/>
              <w:bottom w:val="single" w:sz="4" w:space="0" w:color="auto"/>
              <w:right w:val="single" w:sz="4" w:space="0" w:color="auto"/>
            </w:tcBorders>
            <w:vAlign w:val="center"/>
          </w:tcPr>
          <w:p w14:paraId="0D171543" w14:textId="0E91E0C0" w:rsidR="00CD79C5" w:rsidRPr="00ED172B" w:rsidRDefault="00860830" w:rsidP="00186420">
            <w:pPr>
              <w:jc w:val="center"/>
              <w:rPr>
                <w:rFonts w:cs="Arial"/>
                <w:color w:val="000000" w:themeColor="text1"/>
                <w:szCs w:val="16"/>
              </w:rPr>
            </w:pPr>
            <w:r w:rsidRPr="00ED172B">
              <w:rPr>
                <w:rFonts w:cs="Arial"/>
                <w:color w:val="000000" w:themeColor="text1"/>
                <w:szCs w:val="16"/>
              </w:rPr>
              <w:t>74.00%</w:t>
            </w:r>
          </w:p>
        </w:tc>
        <w:tc>
          <w:tcPr>
            <w:tcW w:w="725" w:type="pct"/>
            <w:tcBorders>
              <w:top w:val="single" w:sz="4" w:space="0" w:color="auto"/>
              <w:left w:val="single" w:sz="4" w:space="0" w:color="auto"/>
              <w:bottom w:val="single" w:sz="4" w:space="0" w:color="auto"/>
              <w:right w:val="single" w:sz="4" w:space="0" w:color="auto"/>
            </w:tcBorders>
            <w:vAlign w:val="center"/>
          </w:tcPr>
          <w:p w14:paraId="499767BB" w14:textId="0D67D628" w:rsidR="00CD79C5" w:rsidRPr="00ED172B" w:rsidRDefault="00860830" w:rsidP="00186420">
            <w:pPr>
              <w:jc w:val="center"/>
              <w:rPr>
                <w:rFonts w:cs="Arial"/>
                <w:color w:val="000000" w:themeColor="text1"/>
                <w:szCs w:val="16"/>
              </w:rPr>
            </w:pPr>
            <w:r w:rsidRPr="00ED172B">
              <w:rPr>
                <w:rFonts w:cs="Arial"/>
                <w:color w:val="000000" w:themeColor="text1"/>
                <w:szCs w:val="16"/>
              </w:rPr>
              <w:t>74.00%</w:t>
            </w:r>
          </w:p>
        </w:tc>
        <w:tc>
          <w:tcPr>
            <w:tcW w:w="725" w:type="pct"/>
            <w:tcBorders>
              <w:top w:val="single" w:sz="4" w:space="0" w:color="auto"/>
              <w:left w:val="single" w:sz="4" w:space="0" w:color="auto"/>
              <w:bottom w:val="single" w:sz="4" w:space="0" w:color="auto"/>
              <w:right w:val="single" w:sz="4" w:space="0" w:color="auto"/>
            </w:tcBorders>
            <w:vAlign w:val="center"/>
          </w:tcPr>
          <w:p w14:paraId="50735A35" w14:textId="638F7D0B" w:rsidR="00CD79C5" w:rsidRPr="00ED172B" w:rsidRDefault="00860830" w:rsidP="00186420">
            <w:pPr>
              <w:jc w:val="center"/>
              <w:rPr>
                <w:rFonts w:cs="Arial"/>
                <w:color w:val="000000" w:themeColor="text1"/>
                <w:szCs w:val="16"/>
              </w:rPr>
            </w:pPr>
            <w:r w:rsidRPr="00ED172B">
              <w:rPr>
                <w:rFonts w:cs="Arial"/>
                <w:color w:val="000000" w:themeColor="text1"/>
                <w:szCs w:val="16"/>
              </w:rPr>
              <w:t>74.10%</w:t>
            </w:r>
          </w:p>
        </w:tc>
        <w:tc>
          <w:tcPr>
            <w:tcW w:w="725" w:type="pct"/>
            <w:tcBorders>
              <w:top w:val="single" w:sz="4" w:space="0" w:color="auto"/>
              <w:left w:val="single" w:sz="4" w:space="0" w:color="auto"/>
              <w:bottom w:val="single" w:sz="4" w:space="0" w:color="auto"/>
              <w:right w:val="single" w:sz="4" w:space="0" w:color="auto"/>
            </w:tcBorders>
            <w:vAlign w:val="center"/>
          </w:tcPr>
          <w:p w14:paraId="11AF7B38" w14:textId="12BCF7E6" w:rsidR="00CD79C5" w:rsidRPr="00ED172B" w:rsidRDefault="00860830" w:rsidP="00186420">
            <w:pPr>
              <w:jc w:val="center"/>
              <w:rPr>
                <w:rFonts w:cs="Arial"/>
                <w:color w:val="000000" w:themeColor="text1"/>
                <w:szCs w:val="16"/>
              </w:rPr>
            </w:pPr>
            <w:r w:rsidRPr="00ED172B">
              <w:rPr>
                <w:rFonts w:cs="Arial"/>
                <w:color w:val="000000" w:themeColor="text1"/>
                <w:szCs w:val="16"/>
              </w:rPr>
              <w:t>74.10%</w:t>
            </w:r>
          </w:p>
        </w:tc>
      </w:tr>
      <w:tr w:rsidR="00ED172B" w:rsidRPr="00ED172B" w14:paraId="2A4ABFAC" w14:textId="1416BF1B" w:rsidTr="00A40EE1">
        <w:trPr>
          <w:trHeight w:val="80"/>
        </w:trPr>
        <w:tc>
          <w:tcPr>
            <w:tcW w:w="458" w:type="pct"/>
            <w:tcBorders>
              <w:left w:val="single" w:sz="4" w:space="0" w:color="auto"/>
              <w:right w:val="single" w:sz="4" w:space="0" w:color="auto"/>
            </w:tcBorders>
            <w:vAlign w:val="center"/>
          </w:tcPr>
          <w:p w14:paraId="02F1A5D1" w14:textId="660A152D" w:rsidR="00CD79C5"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tcPr>
          <w:p w14:paraId="71F7A5B2" w14:textId="31BD369A" w:rsidR="00CD79C5" w:rsidRPr="00ED172B" w:rsidRDefault="005C14C2" w:rsidP="005C14C2">
            <w:pPr>
              <w:jc w:val="center"/>
              <w:rPr>
                <w:color w:val="000000" w:themeColor="text1"/>
              </w:rPr>
            </w:pPr>
            <w:r w:rsidRPr="00ED172B">
              <w:rPr>
                <w:color w:val="000000" w:themeColor="text1"/>
              </w:rPr>
              <w:t>73.66%</w:t>
            </w:r>
          </w:p>
        </w:tc>
        <w:tc>
          <w:tcPr>
            <w:tcW w:w="458" w:type="pct"/>
            <w:tcBorders>
              <w:top w:val="single" w:sz="4" w:space="0" w:color="auto"/>
              <w:left w:val="single" w:sz="4" w:space="0" w:color="auto"/>
              <w:bottom w:val="single" w:sz="4" w:space="0" w:color="auto"/>
              <w:right w:val="single" w:sz="4" w:space="0" w:color="auto"/>
            </w:tcBorders>
          </w:tcPr>
          <w:p w14:paraId="52BA323B" w14:textId="4C828244"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507C685E" w14:textId="37B61CC0" w:rsidR="00CD79C5" w:rsidRPr="00ED172B" w:rsidRDefault="00860830" w:rsidP="00186420">
            <w:pPr>
              <w:jc w:val="center"/>
              <w:rPr>
                <w:rFonts w:cs="Arial"/>
                <w:color w:val="000000" w:themeColor="text1"/>
                <w:szCs w:val="16"/>
              </w:rPr>
            </w:pPr>
            <w:r w:rsidRPr="00ED172B">
              <w:rPr>
                <w:rFonts w:cs="Arial"/>
                <w:color w:val="000000" w:themeColor="text1"/>
                <w:szCs w:val="16"/>
              </w:rPr>
              <w:t>55.79%</w:t>
            </w:r>
          </w:p>
        </w:tc>
        <w:tc>
          <w:tcPr>
            <w:tcW w:w="725" w:type="pct"/>
            <w:tcBorders>
              <w:top w:val="single" w:sz="4" w:space="0" w:color="auto"/>
              <w:left w:val="single" w:sz="4" w:space="0" w:color="auto"/>
              <w:bottom w:val="single" w:sz="4" w:space="0" w:color="auto"/>
              <w:right w:val="single" w:sz="4" w:space="0" w:color="auto"/>
            </w:tcBorders>
            <w:vAlign w:val="center"/>
          </w:tcPr>
          <w:p w14:paraId="4FBCD12A" w14:textId="380639C0" w:rsidR="00CD79C5" w:rsidRPr="00ED172B" w:rsidRDefault="00860830" w:rsidP="00186420">
            <w:pPr>
              <w:jc w:val="center"/>
              <w:rPr>
                <w:rFonts w:cs="Arial"/>
                <w:color w:val="000000" w:themeColor="text1"/>
                <w:szCs w:val="16"/>
              </w:rPr>
            </w:pPr>
            <w:r w:rsidRPr="00ED172B">
              <w:rPr>
                <w:rFonts w:cs="Arial"/>
                <w:color w:val="000000" w:themeColor="text1"/>
                <w:szCs w:val="16"/>
              </w:rPr>
              <w:t>41.97%</w:t>
            </w:r>
          </w:p>
        </w:tc>
        <w:tc>
          <w:tcPr>
            <w:tcW w:w="725" w:type="pct"/>
            <w:tcBorders>
              <w:top w:val="single" w:sz="4" w:space="0" w:color="auto"/>
              <w:left w:val="single" w:sz="4" w:space="0" w:color="auto"/>
              <w:bottom w:val="single" w:sz="4" w:space="0" w:color="auto"/>
              <w:right w:val="single" w:sz="4" w:space="0" w:color="auto"/>
            </w:tcBorders>
            <w:vAlign w:val="center"/>
          </w:tcPr>
          <w:p w14:paraId="19B10B22" w14:textId="3F5BBE7D" w:rsidR="00CD79C5" w:rsidRPr="00ED172B" w:rsidRDefault="00860830" w:rsidP="00186420">
            <w:pPr>
              <w:jc w:val="center"/>
              <w:rPr>
                <w:rFonts w:cs="Arial"/>
                <w:color w:val="000000" w:themeColor="text1"/>
                <w:szCs w:val="16"/>
              </w:rPr>
            </w:pPr>
            <w:r w:rsidRPr="00ED172B">
              <w:rPr>
                <w:rFonts w:cs="Arial"/>
                <w:color w:val="000000" w:themeColor="text1"/>
                <w:szCs w:val="16"/>
              </w:rPr>
              <w:t>49.31%</w:t>
            </w:r>
          </w:p>
        </w:tc>
        <w:tc>
          <w:tcPr>
            <w:tcW w:w="725" w:type="pct"/>
            <w:tcBorders>
              <w:top w:val="single" w:sz="4" w:space="0" w:color="auto"/>
              <w:left w:val="single" w:sz="4" w:space="0" w:color="auto"/>
              <w:bottom w:val="single" w:sz="4" w:space="0" w:color="auto"/>
              <w:right w:val="single" w:sz="4" w:space="0" w:color="auto"/>
            </w:tcBorders>
            <w:vAlign w:val="center"/>
          </w:tcPr>
          <w:p w14:paraId="3804C6C8" w14:textId="63070BE5" w:rsidR="00CD79C5" w:rsidRPr="00ED172B" w:rsidRDefault="00860830" w:rsidP="00186420">
            <w:pPr>
              <w:jc w:val="center"/>
              <w:rPr>
                <w:rFonts w:cs="Arial"/>
                <w:color w:val="000000" w:themeColor="text1"/>
                <w:szCs w:val="16"/>
              </w:rPr>
            </w:pPr>
            <w:r w:rsidRPr="00ED172B">
              <w:rPr>
                <w:rFonts w:cs="Arial"/>
                <w:color w:val="000000" w:themeColor="text1"/>
                <w:szCs w:val="16"/>
              </w:rPr>
              <w:t>59.71%</w:t>
            </w:r>
          </w:p>
        </w:tc>
        <w:tc>
          <w:tcPr>
            <w:tcW w:w="725" w:type="pct"/>
            <w:tcBorders>
              <w:top w:val="single" w:sz="4" w:space="0" w:color="auto"/>
              <w:left w:val="single" w:sz="4" w:space="0" w:color="auto"/>
              <w:bottom w:val="single" w:sz="4" w:space="0" w:color="auto"/>
              <w:right w:val="single" w:sz="4" w:space="0" w:color="auto"/>
            </w:tcBorders>
            <w:vAlign w:val="center"/>
          </w:tcPr>
          <w:p w14:paraId="47AE2548" w14:textId="243666B6" w:rsidR="00CD79C5" w:rsidRPr="00ED172B" w:rsidRDefault="00860830" w:rsidP="00186420">
            <w:pPr>
              <w:jc w:val="center"/>
              <w:rPr>
                <w:rFonts w:cs="Arial"/>
                <w:color w:val="000000" w:themeColor="text1"/>
                <w:szCs w:val="16"/>
              </w:rPr>
            </w:pPr>
            <w:r w:rsidRPr="00ED172B">
              <w:rPr>
                <w:rFonts w:cs="Arial"/>
                <w:color w:val="000000" w:themeColor="text1"/>
                <w:szCs w:val="16"/>
              </w:rPr>
              <w:t>57.34%</w:t>
            </w:r>
          </w:p>
        </w:tc>
      </w:tr>
      <w:tr w:rsidR="00ED172B" w:rsidRPr="00ED172B" w14:paraId="6D6E8E56" w14:textId="7ED91704" w:rsidTr="00A40EE1">
        <w:trPr>
          <w:trHeight w:val="80"/>
        </w:trPr>
        <w:tc>
          <w:tcPr>
            <w:tcW w:w="458" w:type="pct"/>
            <w:tcBorders>
              <w:left w:val="single" w:sz="4" w:space="0" w:color="auto"/>
              <w:right w:val="single" w:sz="4" w:space="0" w:color="auto"/>
            </w:tcBorders>
            <w:vAlign w:val="center"/>
          </w:tcPr>
          <w:p w14:paraId="086BC3DB" w14:textId="4BC97C0B" w:rsidR="00CD79C5" w:rsidRPr="00ED172B" w:rsidRDefault="008B3D40" w:rsidP="00186420">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sz="4" w:space="0" w:color="auto"/>
              <w:right w:val="single" w:sz="4" w:space="0" w:color="auto"/>
            </w:tcBorders>
          </w:tcPr>
          <w:p w14:paraId="42E912DE" w14:textId="6CE27B41" w:rsidR="00CD79C5" w:rsidRPr="00ED172B" w:rsidRDefault="005C14C2" w:rsidP="005C14C2">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62DA8E9B" w14:textId="767EF16B" w:rsidR="00CD79C5" w:rsidRPr="00ED172B" w:rsidRDefault="00CD79C5" w:rsidP="00D21F29">
            <w:pPr>
              <w:jc w:val="cente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vAlign w:val="center"/>
          </w:tcPr>
          <w:p w14:paraId="386311D0" w14:textId="7F007EEB"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4BAF2032" w14:textId="5111F0AF"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1872EA85" w14:textId="384B5865"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0B9BA751" w14:textId="3D8AE6F8"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vAlign w:val="center"/>
          </w:tcPr>
          <w:p w14:paraId="6954E8D1" w14:textId="14CB8E7D"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6B14429C" w14:textId="79747735" w:rsidTr="00A40EE1">
        <w:trPr>
          <w:trHeight w:val="80"/>
        </w:trPr>
        <w:tc>
          <w:tcPr>
            <w:tcW w:w="458" w:type="pct"/>
            <w:tcBorders>
              <w:left w:val="single" w:sz="4" w:space="0" w:color="auto"/>
              <w:right w:val="single" w:sz="4" w:space="0" w:color="auto"/>
            </w:tcBorders>
            <w:vAlign w:val="center"/>
          </w:tcPr>
          <w:p w14:paraId="4557771F" w14:textId="0BA88612" w:rsidR="00CD79C5" w:rsidRPr="00ED172B" w:rsidRDefault="008B3D40" w:rsidP="00186420">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sz="4" w:space="0" w:color="auto"/>
              <w:right w:val="single" w:sz="4" w:space="0" w:color="auto"/>
            </w:tcBorders>
          </w:tcPr>
          <w:p w14:paraId="5C2D7A20" w14:textId="2A2FDEDE" w:rsidR="00CD79C5" w:rsidRPr="00ED172B" w:rsidRDefault="005C14C2" w:rsidP="00027F39">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tcPr>
          <w:p w14:paraId="57B33EC5" w14:textId="0839A892" w:rsidR="00CD79C5" w:rsidRPr="00ED172B" w:rsidRDefault="00CD79C5" w:rsidP="00D21F29">
            <w:pPr>
              <w:jc w:val="cente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vAlign w:val="center"/>
          </w:tcPr>
          <w:p w14:paraId="1000DA62" w14:textId="4BAA682A" w:rsidR="00CD79C5" w:rsidRPr="00ED172B" w:rsidRDefault="00860830" w:rsidP="00186420">
            <w:pPr>
              <w:jc w:val="center"/>
              <w:rPr>
                <w:rFonts w:cs="Arial"/>
                <w:color w:val="000000" w:themeColor="text1"/>
                <w:szCs w:val="16"/>
              </w:rPr>
            </w:pPr>
            <w:r w:rsidRPr="00ED172B">
              <w:rPr>
                <w:rFonts w:cs="Arial"/>
                <w:color w:val="000000" w:themeColor="text1"/>
                <w:szCs w:val="16"/>
              </w:rPr>
              <w:t>97.40%</w:t>
            </w:r>
          </w:p>
        </w:tc>
        <w:tc>
          <w:tcPr>
            <w:tcW w:w="725" w:type="pct"/>
            <w:tcBorders>
              <w:top w:val="single" w:sz="4" w:space="0" w:color="auto"/>
              <w:left w:val="single" w:sz="4" w:space="0" w:color="auto"/>
              <w:bottom w:val="single" w:sz="4" w:space="0" w:color="auto"/>
              <w:right w:val="single" w:sz="4" w:space="0" w:color="auto"/>
            </w:tcBorders>
            <w:vAlign w:val="center"/>
          </w:tcPr>
          <w:p w14:paraId="0BC6A5F1" w14:textId="18616665" w:rsidR="00CD79C5" w:rsidRPr="00ED172B" w:rsidRDefault="00860830" w:rsidP="00186420">
            <w:pPr>
              <w:jc w:val="center"/>
              <w:rPr>
                <w:rFonts w:cs="Arial"/>
                <w:color w:val="000000" w:themeColor="text1"/>
                <w:szCs w:val="16"/>
              </w:rPr>
            </w:pPr>
            <w:r w:rsidRPr="00ED172B">
              <w:rPr>
                <w:rFonts w:cs="Arial"/>
                <w:color w:val="000000" w:themeColor="text1"/>
                <w:szCs w:val="16"/>
              </w:rPr>
              <w:t>95.08%</w:t>
            </w:r>
          </w:p>
        </w:tc>
        <w:tc>
          <w:tcPr>
            <w:tcW w:w="725" w:type="pct"/>
            <w:tcBorders>
              <w:top w:val="single" w:sz="4" w:space="0" w:color="auto"/>
              <w:left w:val="single" w:sz="4" w:space="0" w:color="auto"/>
              <w:bottom w:val="single" w:sz="4" w:space="0" w:color="auto"/>
              <w:right w:val="single" w:sz="4" w:space="0" w:color="auto"/>
            </w:tcBorders>
            <w:vAlign w:val="center"/>
          </w:tcPr>
          <w:p w14:paraId="5ED8B4D6" w14:textId="3DDA8A5C" w:rsidR="00CD79C5" w:rsidRPr="00ED172B" w:rsidRDefault="00860830" w:rsidP="00186420">
            <w:pPr>
              <w:jc w:val="center"/>
              <w:rPr>
                <w:rFonts w:cs="Arial"/>
                <w:color w:val="000000" w:themeColor="text1"/>
                <w:szCs w:val="16"/>
              </w:rPr>
            </w:pPr>
            <w:r w:rsidRPr="00ED172B">
              <w:rPr>
                <w:rFonts w:cs="Arial"/>
                <w:color w:val="000000" w:themeColor="text1"/>
                <w:szCs w:val="16"/>
              </w:rPr>
              <w:t>93.48%</w:t>
            </w:r>
          </w:p>
        </w:tc>
        <w:tc>
          <w:tcPr>
            <w:tcW w:w="725" w:type="pct"/>
            <w:tcBorders>
              <w:top w:val="single" w:sz="4" w:space="0" w:color="auto"/>
              <w:left w:val="single" w:sz="4" w:space="0" w:color="auto"/>
              <w:bottom w:val="single" w:sz="4" w:space="0" w:color="auto"/>
              <w:right w:val="single" w:sz="4" w:space="0" w:color="auto"/>
            </w:tcBorders>
            <w:vAlign w:val="center"/>
          </w:tcPr>
          <w:p w14:paraId="3A9E6EFA" w14:textId="47DE5C75" w:rsidR="00CD79C5" w:rsidRPr="00ED172B" w:rsidRDefault="00860830" w:rsidP="00186420">
            <w:pPr>
              <w:jc w:val="center"/>
              <w:rPr>
                <w:rFonts w:cs="Arial"/>
                <w:color w:val="000000" w:themeColor="text1"/>
                <w:szCs w:val="16"/>
              </w:rPr>
            </w:pPr>
            <w:r w:rsidRPr="00ED172B">
              <w:rPr>
                <w:rFonts w:cs="Arial"/>
                <w:color w:val="000000" w:themeColor="text1"/>
                <w:szCs w:val="16"/>
              </w:rPr>
              <w:t>92.59%</w:t>
            </w:r>
          </w:p>
        </w:tc>
        <w:tc>
          <w:tcPr>
            <w:tcW w:w="725" w:type="pct"/>
            <w:tcBorders>
              <w:top w:val="single" w:sz="4" w:space="0" w:color="auto"/>
              <w:left w:val="single" w:sz="4" w:space="0" w:color="auto"/>
              <w:bottom w:val="single" w:sz="4" w:space="0" w:color="auto"/>
              <w:right w:val="single" w:sz="4" w:space="0" w:color="auto"/>
            </w:tcBorders>
            <w:vAlign w:val="center"/>
          </w:tcPr>
          <w:p w14:paraId="040E31EE" w14:textId="349087DD" w:rsidR="00CD79C5" w:rsidRPr="00ED172B" w:rsidRDefault="00860830" w:rsidP="00186420">
            <w:pPr>
              <w:jc w:val="center"/>
              <w:rPr>
                <w:rFonts w:cs="Arial"/>
                <w:color w:val="000000" w:themeColor="text1"/>
                <w:szCs w:val="16"/>
              </w:rPr>
            </w:pPr>
            <w:r w:rsidRPr="00ED172B">
              <w:rPr>
                <w:rFonts w:cs="Arial"/>
                <w:color w:val="000000" w:themeColor="text1"/>
                <w:szCs w:val="16"/>
              </w:rPr>
              <w:t>92.86%</w:t>
            </w:r>
          </w:p>
        </w:tc>
      </w:tr>
    </w:tbl>
    <w:p w14:paraId="59D469DB" w14:textId="068408CD" w:rsidR="009000CE" w:rsidRPr="00ED172B" w:rsidRDefault="009000CE">
      <w:pPr>
        <w:rPr>
          <w:b/>
          <w:color w:val="000000" w:themeColor="text1"/>
        </w:rPr>
      </w:pPr>
      <w:r w:rsidRPr="00794BA1">
        <w:rPr>
          <w:b/>
          <w:color w:val="000000" w:themeColor="text1"/>
        </w:rPr>
        <w:t>Targets</w:t>
      </w:r>
    </w:p>
    <w:tbl>
      <w:tblPr>
        <w:tblW w:w="2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2"/>
      </w:tblPr>
      <w:tblGrid>
        <w:gridCol w:w="989"/>
        <w:gridCol w:w="2102"/>
        <w:gridCol w:w="1542"/>
      </w:tblGrid>
      <w:tr w:rsidR="00CF59E2" w:rsidRPr="00ED172B" w14:paraId="5C0381AF" w14:textId="240FB05E" w:rsidTr="00811738">
        <w:trPr>
          <w:trHeight w:val="350"/>
        </w:trPr>
        <w:tc>
          <w:tcPr>
            <w:tcW w:w="1067" w:type="pct"/>
            <w:tcBorders>
              <w:bottom w:val="single" w:sz="4" w:space="0" w:color="auto"/>
            </w:tcBorders>
          </w:tcPr>
          <w:p w14:paraId="7D540CF6" w14:textId="3B69FD16" w:rsidR="00CF59E2" w:rsidRPr="00ED172B" w:rsidRDefault="00CF59E2" w:rsidP="00E67F3E">
            <w:pPr>
              <w:jc w:val="center"/>
              <w:rPr>
                <w:b/>
                <w:color w:val="000000" w:themeColor="text1"/>
                <w:szCs w:val="16"/>
              </w:rPr>
            </w:pPr>
            <w:r w:rsidRPr="00ED172B">
              <w:rPr>
                <w:b/>
                <w:color w:val="000000" w:themeColor="text1"/>
                <w:szCs w:val="16"/>
              </w:rPr>
              <w:t>FFY</w:t>
            </w:r>
          </w:p>
        </w:tc>
        <w:tc>
          <w:tcPr>
            <w:tcW w:w="2269" w:type="pct"/>
            <w:vAlign w:val="center"/>
          </w:tcPr>
          <w:p w14:paraId="1C822F15" w14:textId="2C7063F1" w:rsidR="00CF59E2" w:rsidRPr="00ED172B" w:rsidRDefault="00CF59E2" w:rsidP="00E67F3E">
            <w:pPr>
              <w:jc w:val="center"/>
              <w:rPr>
                <w:b/>
                <w:color w:val="000000" w:themeColor="text1"/>
                <w:szCs w:val="16"/>
              </w:rPr>
            </w:pPr>
            <w:r w:rsidRPr="00ED172B">
              <w:rPr>
                <w:rFonts w:cs="Arial"/>
                <w:b/>
                <w:color w:val="000000" w:themeColor="text1"/>
                <w:szCs w:val="16"/>
              </w:rPr>
              <w:t>2024</w:t>
            </w:r>
          </w:p>
        </w:tc>
        <w:tc>
          <w:tcPr>
            <w:tcW w:w="1664" w:type="pct"/>
          </w:tcPr>
          <w:p w14:paraId="4F7C81B2" w14:textId="74F8FB4E" w:rsidR="00CF59E2" w:rsidRPr="00ED172B" w:rsidRDefault="00CF59E2" w:rsidP="00E67F3E">
            <w:pPr>
              <w:jc w:val="center"/>
              <w:rPr>
                <w:rFonts w:cs="Arial"/>
                <w:b/>
                <w:color w:val="000000" w:themeColor="text1"/>
                <w:szCs w:val="16"/>
              </w:rPr>
            </w:pPr>
            <w:r>
              <w:rPr>
                <w:rFonts w:cs="Arial"/>
                <w:b/>
                <w:color w:val="000000" w:themeColor="text1"/>
                <w:szCs w:val="16"/>
              </w:rPr>
              <w:t>2025</w:t>
            </w:r>
          </w:p>
        </w:tc>
      </w:tr>
      <w:tr w:rsidR="00CF59E2" w:rsidRPr="00ED172B" w14:paraId="7D3874C8" w14:textId="22DBB207" w:rsidTr="00811738">
        <w:trPr>
          <w:trHeight w:val="357"/>
        </w:trPr>
        <w:tc>
          <w:tcPr>
            <w:tcW w:w="1067" w:type="pct"/>
            <w:vAlign w:val="center"/>
          </w:tcPr>
          <w:p w14:paraId="0D92F8F5" w14:textId="41B6F17B" w:rsidR="00CF59E2" w:rsidRPr="00ED172B" w:rsidRDefault="00CF59E2" w:rsidP="00D21F29">
            <w:pPr>
              <w:jc w:val="center"/>
              <w:rPr>
                <w:color w:val="000000" w:themeColor="text1"/>
                <w:szCs w:val="16"/>
              </w:rPr>
            </w:pPr>
            <w:r w:rsidRPr="00ED172B">
              <w:rPr>
                <w:color w:val="000000" w:themeColor="text1"/>
                <w:szCs w:val="16"/>
              </w:rPr>
              <w:t>Target A1 &gt;=</w:t>
            </w:r>
          </w:p>
        </w:tc>
        <w:tc>
          <w:tcPr>
            <w:tcW w:w="2269" w:type="pct"/>
            <w:vAlign w:val="center"/>
          </w:tcPr>
          <w:p w14:paraId="5A65956F" w14:textId="425987CA" w:rsidR="00CF59E2" w:rsidRPr="00ED172B" w:rsidRDefault="00CF59E2" w:rsidP="00F4238C">
            <w:pPr>
              <w:jc w:val="center"/>
              <w:rPr>
                <w:color w:val="000000" w:themeColor="text1"/>
              </w:rPr>
            </w:pPr>
            <w:r w:rsidRPr="00ED172B">
              <w:rPr>
                <w:color w:val="000000" w:themeColor="text1"/>
              </w:rPr>
              <w:t>57.20%</w:t>
            </w:r>
          </w:p>
        </w:tc>
        <w:tc>
          <w:tcPr>
            <w:tcW w:w="1664" w:type="pct"/>
            <w:vAlign w:val="center"/>
          </w:tcPr>
          <w:p w14:paraId="648EBDE0" w14:textId="0BFF9DE2" w:rsidR="00CF59E2" w:rsidRPr="00ED172B" w:rsidRDefault="00CF59E2" w:rsidP="00F4238C">
            <w:pPr>
              <w:jc w:val="center"/>
              <w:rPr>
                <w:color w:val="000000" w:themeColor="text1"/>
              </w:rPr>
            </w:pPr>
            <w:r w:rsidRPr="00ED172B">
              <w:rPr>
                <w:color w:val="000000" w:themeColor="text1"/>
              </w:rPr>
              <w:t>57.20%</w:t>
            </w:r>
          </w:p>
        </w:tc>
      </w:tr>
      <w:tr w:rsidR="00CF59E2" w:rsidRPr="00ED172B" w14:paraId="23A1FD93" w14:textId="5B61E1CC" w:rsidTr="00811738">
        <w:trPr>
          <w:trHeight w:val="357"/>
        </w:trPr>
        <w:tc>
          <w:tcPr>
            <w:tcW w:w="1067" w:type="pct"/>
            <w:vAlign w:val="center"/>
          </w:tcPr>
          <w:p w14:paraId="5BF5DDCA" w14:textId="43E37C51" w:rsidR="00CF59E2" w:rsidRPr="00ED172B" w:rsidRDefault="00CF59E2" w:rsidP="00D21F29">
            <w:pPr>
              <w:jc w:val="center"/>
              <w:rPr>
                <w:color w:val="000000" w:themeColor="text1"/>
                <w:szCs w:val="16"/>
              </w:rPr>
            </w:pPr>
            <w:r w:rsidRPr="00ED172B">
              <w:rPr>
                <w:rFonts w:cs="Arial"/>
                <w:color w:val="000000" w:themeColor="text1"/>
                <w:szCs w:val="16"/>
              </w:rPr>
              <w:t>A1 AR</w:t>
            </w:r>
          </w:p>
        </w:tc>
        <w:tc>
          <w:tcPr>
            <w:tcW w:w="2269" w:type="pct"/>
            <w:vAlign w:val="center"/>
          </w:tcPr>
          <w:p w14:paraId="024A73EA" w14:textId="56B2EB20" w:rsidR="00CF59E2" w:rsidRPr="00ED172B" w:rsidRDefault="00CF59E2" w:rsidP="00F4238C">
            <w:pPr>
              <w:jc w:val="center"/>
              <w:rPr>
                <w:color w:val="000000" w:themeColor="text1"/>
              </w:rPr>
            </w:pPr>
            <w:r w:rsidRPr="00ED172B">
              <w:rPr>
                <w:color w:val="000000" w:themeColor="text1"/>
              </w:rPr>
              <w:t/>
            </w:r>
          </w:p>
        </w:tc>
        <w:tc>
          <w:tcPr>
            <w:tcW w:w="1664" w:type="pct"/>
            <w:vAlign w:val="center"/>
          </w:tcPr>
          <w:p w14:paraId="18F14A21" w14:textId="45B3CBBA" w:rsidR="00CF59E2" w:rsidRPr="00ED172B" w:rsidRDefault="00CF59E2" w:rsidP="00F4238C">
            <w:pPr>
              <w:jc w:val="center"/>
              <w:rPr>
                <w:color w:val="000000" w:themeColor="text1"/>
              </w:rPr>
            </w:pPr>
            <w:r w:rsidRPr="00ED172B">
              <w:rPr>
                <w:color w:val="000000" w:themeColor="text1"/>
              </w:rPr>
              <w:t/>
            </w:r>
          </w:p>
        </w:tc>
      </w:tr>
      <w:tr w:rsidR="00CF59E2" w:rsidRPr="00ED172B" w14:paraId="5972E718" w14:textId="50B84274" w:rsidTr="00811738">
        <w:trPr>
          <w:trHeight w:val="357"/>
        </w:trPr>
        <w:tc>
          <w:tcPr>
            <w:tcW w:w="1067" w:type="pct"/>
            <w:vAlign w:val="center"/>
          </w:tcPr>
          <w:p w14:paraId="79E5234D" w14:textId="119BC8E8" w:rsidR="00CF59E2" w:rsidRPr="00ED172B" w:rsidRDefault="00CF59E2" w:rsidP="00D21F29">
            <w:pPr>
              <w:jc w:val="center"/>
              <w:rPr>
                <w:color w:val="000000" w:themeColor="text1"/>
                <w:szCs w:val="16"/>
              </w:rPr>
            </w:pPr>
            <w:r w:rsidRPr="00ED172B">
              <w:rPr>
                <w:color w:val="000000" w:themeColor="text1"/>
                <w:szCs w:val="16"/>
              </w:rPr>
              <w:t>Target A2 &gt;=</w:t>
            </w:r>
          </w:p>
        </w:tc>
        <w:tc>
          <w:tcPr>
            <w:tcW w:w="2269" w:type="pct"/>
            <w:vAlign w:val="center"/>
          </w:tcPr>
          <w:p w14:paraId="66882A8B" w14:textId="214D868B" w:rsidR="00CF59E2" w:rsidRPr="00ED172B" w:rsidRDefault="00CF59E2" w:rsidP="00F4238C">
            <w:pPr>
              <w:jc w:val="center"/>
              <w:rPr>
                <w:color w:val="000000" w:themeColor="text1"/>
              </w:rPr>
            </w:pPr>
            <w:r w:rsidRPr="00ED172B">
              <w:rPr>
                <w:color w:val="000000" w:themeColor="text1"/>
              </w:rPr>
              <w:t>71.35%</w:t>
            </w:r>
          </w:p>
        </w:tc>
        <w:tc>
          <w:tcPr>
            <w:tcW w:w="1664" w:type="pct"/>
            <w:vAlign w:val="center"/>
          </w:tcPr>
          <w:p w14:paraId="0106F778" w14:textId="40CDEFDC" w:rsidR="00CF59E2" w:rsidRPr="00ED172B" w:rsidRDefault="00CF59E2" w:rsidP="00F4238C">
            <w:pPr>
              <w:jc w:val="center"/>
              <w:rPr>
                <w:color w:val="000000" w:themeColor="text1"/>
              </w:rPr>
            </w:pPr>
            <w:r w:rsidRPr="00ED172B">
              <w:rPr>
                <w:color w:val="000000" w:themeColor="text1"/>
              </w:rPr>
              <w:t>71.40%</w:t>
            </w:r>
          </w:p>
        </w:tc>
      </w:tr>
      <w:tr w:rsidR="00CF59E2" w:rsidRPr="00ED172B" w14:paraId="47A76A5E" w14:textId="1A4A04DE" w:rsidTr="00811738">
        <w:trPr>
          <w:trHeight w:val="357"/>
        </w:trPr>
        <w:tc>
          <w:tcPr>
            <w:tcW w:w="1067" w:type="pct"/>
            <w:vAlign w:val="center"/>
          </w:tcPr>
          <w:p w14:paraId="608BCC3B" w14:textId="69D6C453" w:rsidR="00CF59E2" w:rsidRPr="00ED172B" w:rsidRDefault="00CF59E2" w:rsidP="00D21F29">
            <w:pPr>
              <w:jc w:val="center"/>
              <w:rPr>
                <w:color w:val="000000" w:themeColor="text1"/>
                <w:szCs w:val="16"/>
              </w:rPr>
            </w:pPr>
            <w:r w:rsidRPr="00ED172B">
              <w:rPr>
                <w:rFonts w:cs="Arial"/>
                <w:color w:val="000000" w:themeColor="text1"/>
                <w:szCs w:val="16"/>
              </w:rPr>
              <w:t>A2 AR</w:t>
            </w:r>
          </w:p>
        </w:tc>
        <w:tc>
          <w:tcPr>
            <w:tcW w:w="2269" w:type="pct"/>
            <w:vAlign w:val="center"/>
          </w:tcPr>
          <w:p w14:paraId="6E26D73C" w14:textId="71C448AD" w:rsidR="00CF59E2" w:rsidRPr="00ED172B" w:rsidRDefault="00CF59E2" w:rsidP="00F4238C">
            <w:pPr>
              <w:jc w:val="center"/>
              <w:rPr>
                <w:color w:val="000000" w:themeColor="text1"/>
              </w:rPr>
            </w:pPr>
            <w:r w:rsidRPr="00ED172B">
              <w:rPr>
                <w:color w:val="000000" w:themeColor="text1"/>
              </w:rPr>
              <w:t/>
            </w:r>
          </w:p>
        </w:tc>
        <w:tc>
          <w:tcPr>
            <w:tcW w:w="1664" w:type="pct"/>
            <w:vAlign w:val="center"/>
          </w:tcPr>
          <w:p w14:paraId="4B772F30" w14:textId="33A8E96C" w:rsidR="00CF59E2" w:rsidRPr="00ED172B" w:rsidRDefault="00CF59E2" w:rsidP="00F4238C">
            <w:pPr>
              <w:jc w:val="center"/>
              <w:rPr>
                <w:color w:val="000000" w:themeColor="text1"/>
              </w:rPr>
            </w:pPr>
            <w:r w:rsidRPr="00ED172B">
              <w:rPr>
                <w:color w:val="000000" w:themeColor="text1"/>
              </w:rPr>
              <w:t/>
            </w:r>
          </w:p>
        </w:tc>
      </w:tr>
      <w:tr w:rsidR="00CF59E2" w:rsidRPr="00ED172B" w14:paraId="326289E7" w14:textId="11D402BE" w:rsidTr="00811738">
        <w:trPr>
          <w:trHeight w:val="357"/>
        </w:trPr>
        <w:tc>
          <w:tcPr>
            <w:tcW w:w="1067" w:type="pct"/>
            <w:vAlign w:val="center"/>
          </w:tcPr>
          <w:p w14:paraId="28187623" w14:textId="16A254C9" w:rsidR="00CF59E2" w:rsidRPr="00ED172B" w:rsidRDefault="00CF59E2" w:rsidP="00D21F29">
            <w:pPr>
              <w:jc w:val="center"/>
              <w:rPr>
                <w:color w:val="000000" w:themeColor="text1"/>
                <w:szCs w:val="16"/>
              </w:rPr>
            </w:pPr>
            <w:r w:rsidRPr="00ED172B">
              <w:rPr>
                <w:color w:val="000000" w:themeColor="text1"/>
                <w:szCs w:val="16"/>
              </w:rPr>
              <w:t>Target B1 &gt;=</w:t>
            </w:r>
          </w:p>
        </w:tc>
        <w:tc>
          <w:tcPr>
            <w:tcW w:w="2269" w:type="pct"/>
            <w:vAlign w:val="center"/>
          </w:tcPr>
          <w:p w14:paraId="4D78DE34" w14:textId="721262BD" w:rsidR="00CF59E2" w:rsidRPr="00ED172B" w:rsidRDefault="00CF59E2" w:rsidP="00F4238C">
            <w:pPr>
              <w:jc w:val="center"/>
              <w:rPr>
                <w:color w:val="000000" w:themeColor="text1"/>
              </w:rPr>
            </w:pPr>
            <w:r w:rsidRPr="00ED172B">
              <w:rPr>
                <w:color w:val="000000" w:themeColor="text1"/>
              </w:rPr>
              <w:t>88.25%</w:t>
            </w:r>
          </w:p>
        </w:tc>
        <w:tc>
          <w:tcPr>
            <w:tcW w:w="1664" w:type="pct"/>
            <w:vAlign w:val="center"/>
          </w:tcPr>
          <w:p w14:paraId="630351DA" w14:textId="3DD5C7E1" w:rsidR="00CF59E2" w:rsidRPr="00ED172B" w:rsidRDefault="00CF59E2" w:rsidP="00F4238C">
            <w:pPr>
              <w:jc w:val="center"/>
              <w:rPr>
                <w:color w:val="000000" w:themeColor="text1"/>
              </w:rPr>
            </w:pPr>
            <w:r w:rsidRPr="00ED172B">
              <w:rPr>
                <w:color w:val="000000" w:themeColor="text1"/>
              </w:rPr>
              <w:t>88.30%</w:t>
            </w:r>
          </w:p>
        </w:tc>
      </w:tr>
      <w:tr w:rsidR="00CF59E2" w:rsidRPr="00ED172B" w14:paraId="5055DF87" w14:textId="1792796D" w:rsidTr="00811738">
        <w:trPr>
          <w:trHeight w:val="357"/>
        </w:trPr>
        <w:tc>
          <w:tcPr>
            <w:tcW w:w="1067" w:type="pct"/>
            <w:vAlign w:val="center"/>
          </w:tcPr>
          <w:p w14:paraId="5A2F7FDD" w14:textId="5EC2B960" w:rsidR="00CF59E2" w:rsidRPr="00ED172B" w:rsidRDefault="00CF59E2" w:rsidP="00D21F29">
            <w:pPr>
              <w:jc w:val="center"/>
              <w:rPr>
                <w:color w:val="000000" w:themeColor="text1"/>
                <w:szCs w:val="16"/>
              </w:rPr>
            </w:pPr>
            <w:r w:rsidRPr="00ED172B">
              <w:rPr>
                <w:rFonts w:cs="Arial"/>
                <w:color w:val="000000" w:themeColor="text1"/>
                <w:szCs w:val="16"/>
              </w:rPr>
              <w:t>B1 AR</w:t>
            </w:r>
          </w:p>
        </w:tc>
        <w:tc>
          <w:tcPr>
            <w:tcW w:w="2269" w:type="pct"/>
            <w:vAlign w:val="center"/>
          </w:tcPr>
          <w:p w14:paraId="6B4921B7" w14:textId="6BA3B6D8" w:rsidR="00CF59E2" w:rsidRPr="00ED172B" w:rsidRDefault="00CF59E2" w:rsidP="00F4238C">
            <w:pPr>
              <w:jc w:val="center"/>
              <w:rPr>
                <w:color w:val="000000" w:themeColor="text1"/>
              </w:rPr>
            </w:pPr>
            <w:r w:rsidRPr="00ED172B">
              <w:rPr>
                <w:color w:val="000000" w:themeColor="text1"/>
              </w:rPr>
              <w:t/>
            </w:r>
          </w:p>
        </w:tc>
        <w:tc>
          <w:tcPr>
            <w:tcW w:w="1664" w:type="pct"/>
            <w:vAlign w:val="center"/>
          </w:tcPr>
          <w:p w14:paraId="52251FE8" w14:textId="79AC3921" w:rsidR="00CF59E2" w:rsidRPr="00ED172B" w:rsidRDefault="00CF59E2" w:rsidP="00F4238C">
            <w:pPr>
              <w:jc w:val="center"/>
              <w:rPr>
                <w:color w:val="000000" w:themeColor="text1"/>
              </w:rPr>
            </w:pPr>
            <w:r w:rsidRPr="00ED172B">
              <w:rPr>
                <w:color w:val="000000" w:themeColor="text1"/>
              </w:rPr>
              <w:t/>
            </w:r>
          </w:p>
        </w:tc>
      </w:tr>
      <w:tr w:rsidR="00CF59E2" w:rsidRPr="00ED172B" w14:paraId="036489EB" w14:textId="32337A76" w:rsidTr="00811738">
        <w:trPr>
          <w:trHeight w:val="357"/>
        </w:trPr>
        <w:tc>
          <w:tcPr>
            <w:tcW w:w="1067" w:type="pct"/>
            <w:vAlign w:val="center"/>
          </w:tcPr>
          <w:p w14:paraId="09512A7A" w14:textId="228AE72F" w:rsidR="00CF59E2" w:rsidRPr="00ED172B" w:rsidRDefault="00CF59E2" w:rsidP="00D21F29">
            <w:pPr>
              <w:jc w:val="center"/>
              <w:rPr>
                <w:color w:val="000000" w:themeColor="text1"/>
                <w:szCs w:val="16"/>
              </w:rPr>
            </w:pPr>
            <w:r w:rsidRPr="00ED172B">
              <w:rPr>
                <w:color w:val="000000" w:themeColor="text1"/>
                <w:szCs w:val="16"/>
              </w:rPr>
              <w:t>Target B2 &gt;=</w:t>
            </w:r>
          </w:p>
        </w:tc>
        <w:tc>
          <w:tcPr>
            <w:tcW w:w="2269" w:type="pct"/>
            <w:vAlign w:val="center"/>
          </w:tcPr>
          <w:p w14:paraId="09D74FB5" w14:textId="5F5CF982" w:rsidR="00CF59E2" w:rsidRPr="00ED172B" w:rsidRDefault="00CF59E2" w:rsidP="00F4238C">
            <w:pPr>
              <w:jc w:val="center"/>
              <w:rPr>
                <w:color w:val="000000" w:themeColor="text1"/>
              </w:rPr>
            </w:pPr>
            <w:r w:rsidRPr="00ED172B">
              <w:rPr>
                <w:color w:val="000000" w:themeColor="text1"/>
              </w:rPr>
              <w:t>52.20%</w:t>
            </w:r>
          </w:p>
        </w:tc>
        <w:tc>
          <w:tcPr>
            <w:tcW w:w="1664" w:type="pct"/>
            <w:vAlign w:val="center"/>
          </w:tcPr>
          <w:p w14:paraId="15660D6F" w14:textId="1C39DF65" w:rsidR="00CF59E2" w:rsidRPr="00ED172B" w:rsidRDefault="00CF59E2" w:rsidP="00F4238C">
            <w:pPr>
              <w:jc w:val="center"/>
              <w:rPr>
                <w:color w:val="000000" w:themeColor="text1"/>
              </w:rPr>
            </w:pPr>
            <w:r w:rsidRPr="00ED172B">
              <w:rPr>
                <w:color w:val="000000" w:themeColor="text1"/>
              </w:rPr>
              <w:t>52.25%</w:t>
            </w:r>
          </w:p>
        </w:tc>
      </w:tr>
      <w:tr w:rsidR="00CF59E2" w:rsidRPr="00ED172B" w14:paraId="000E0E25" w14:textId="6CBB9CA4" w:rsidTr="00811738">
        <w:trPr>
          <w:trHeight w:val="357"/>
        </w:trPr>
        <w:tc>
          <w:tcPr>
            <w:tcW w:w="1067" w:type="pct"/>
            <w:vAlign w:val="center"/>
          </w:tcPr>
          <w:p w14:paraId="0350BAE8" w14:textId="69126BD8" w:rsidR="00CF59E2" w:rsidRPr="00ED172B" w:rsidRDefault="00CF59E2" w:rsidP="00D21F29">
            <w:pPr>
              <w:jc w:val="center"/>
              <w:rPr>
                <w:color w:val="000000" w:themeColor="text1"/>
                <w:szCs w:val="16"/>
              </w:rPr>
            </w:pPr>
            <w:r w:rsidRPr="00ED172B">
              <w:rPr>
                <w:rFonts w:cs="Arial"/>
                <w:color w:val="000000" w:themeColor="text1"/>
                <w:szCs w:val="16"/>
              </w:rPr>
              <w:t>B2 AR</w:t>
            </w:r>
          </w:p>
        </w:tc>
        <w:tc>
          <w:tcPr>
            <w:tcW w:w="2269" w:type="pct"/>
            <w:vAlign w:val="center"/>
          </w:tcPr>
          <w:p w14:paraId="4B1F1572" w14:textId="4FCC82F6" w:rsidR="00CF59E2" w:rsidRPr="00ED172B" w:rsidRDefault="00CF59E2" w:rsidP="00F4238C">
            <w:pPr>
              <w:jc w:val="center"/>
              <w:rPr>
                <w:color w:val="000000" w:themeColor="text1"/>
              </w:rPr>
            </w:pPr>
            <w:r w:rsidRPr="00ED172B">
              <w:rPr>
                <w:color w:val="000000" w:themeColor="text1"/>
              </w:rPr>
              <w:t/>
            </w:r>
          </w:p>
        </w:tc>
        <w:tc>
          <w:tcPr>
            <w:tcW w:w="1664" w:type="pct"/>
            <w:vAlign w:val="center"/>
          </w:tcPr>
          <w:p w14:paraId="214BF16B" w14:textId="4A46F5F2" w:rsidR="00CF59E2" w:rsidRPr="00ED172B" w:rsidRDefault="00CF59E2" w:rsidP="00F4238C">
            <w:pPr>
              <w:jc w:val="center"/>
              <w:rPr>
                <w:color w:val="000000" w:themeColor="text1"/>
              </w:rPr>
            </w:pPr>
            <w:r w:rsidRPr="00ED172B">
              <w:rPr>
                <w:color w:val="000000" w:themeColor="text1"/>
              </w:rPr>
              <w:t/>
            </w:r>
          </w:p>
        </w:tc>
      </w:tr>
      <w:tr w:rsidR="00CF59E2" w:rsidRPr="00ED172B" w14:paraId="17693616" w14:textId="50C0B18A" w:rsidTr="00811738">
        <w:trPr>
          <w:trHeight w:val="357"/>
        </w:trPr>
        <w:tc>
          <w:tcPr>
            <w:tcW w:w="1067" w:type="pct"/>
            <w:vAlign w:val="center"/>
          </w:tcPr>
          <w:p w14:paraId="430BB10C" w14:textId="6791B00F" w:rsidR="00CF59E2" w:rsidRPr="00ED172B" w:rsidRDefault="00CF59E2" w:rsidP="00D21F29">
            <w:pPr>
              <w:jc w:val="center"/>
              <w:rPr>
                <w:color w:val="000000" w:themeColor="text1"/>
                <w:szCs w:val="16"/>
              </w:rPr>
            </w:pPr>
            <w:r w:rsidRPr="00ED172B">
              <w:rPr>
                <w:color w:val="000000" w:themeColor="text1"/>
                <w:szCs w:val="16"/>
              </w:rPr>
              <w:t>Target C1 &gt;=</w:t>
            </w:r>
          </w:p>
        </w:tc>
        <w:tc>
          <w:tcPr>
            <w:tcW w:w="2269" w:type="pct"/>
            <w:vAlign w:val="center"/>
          </w:tcPr>
          <w:p w14:paraId="3293E770" w14:textId="3B73713F" w:rsidR="00CF59E2" w:rsidRPr="00ED172B" w:rsidRDefault="00CF59E2" w:rsidP="00F4238C">
            <w:pPr>
              <w:jc w:val="center"/>
              <w:rPr>
                <w:color w:val="000000" w:themeColor="text1"/>
              </w:rPr>
            </w:pPr>
            <w:r w:rsidRPr="00ED172B">
              <w:rPr>
                <w:color w:val="000000" w:themeColor="text1"/>
              </w:rPr>
              <w:t>95.30%</w:t>
            </w:r>
          </w:p>
        </w:tc>
        <w:tc>
          <w:tcPr>
            <w:tcW w:w="1664" w:type="pct"/>
            <w:vAlign w:val="center"/>
          </w:tcPr>
          <w:p w14:paraId="584C04B4" w14:textId="4B4676B8" w:rsidR="00CF59E2" w:rsidRPr="00ED172B" w:rsidRDefault="00CF59E2" w:rsidP="00F4238C">
            <w:pPr>
              <w:jc w:val="center"/>
              <w:rPr>
                <w:color w:val="000000" w:themeColor="text1"/>
              </w:rPr>
            </w:pPr>
            <w:r w:rsidRPr="00ED172B">
              <w:rPr>
                <w:color w:val="000000" w:themeColor="text1"/>
              </w:rPr>
              <w:t>95.40%</w:t>
            </w:r>
          </w:p>
        </w:tc>
      </w:tr>
      <w:tr w:rsidR="00CF59E2" w:rsidRPr="00ED172B" w14:paraId="0C0A9C5B" w14:textId="2CE2FDC8" w:rsidTr="00811738">
        <w:trPr>
          <w:trHeight w:val="357"/>
        </w:trPr>
        <w:tc>
          <w:tcPr>
            <w:tcW w:w="1067" w:type="pct"/>
            <w:vAlign w:val="center"/>
          </w:tcPr>
          <w:p w14:paraId="0D419673" w14:textId="57458D07" w:rsidR="00CF59E2" w:rsidRPr="00ED172B" w:rsidRDefault="00CF59E2" w:rsidP="00D21F29">
            <w:pPr>
              <w:jc w:val="center"/>
              <w:rPr>
                <w:color w:val="000000" w:themeColor="text1"/>
                <w:szCs w:val="16"/>
              </w:rPr>
            </w:pPr>
            <w:r w:rsidRPr="00ED172B">
              <w:rPr>
                <w:rFonts w:cs="Arial"/>
                <w:color w:val="000000" w:themeColor="text1"/>
                <w:szCs w:val="16"/>
              </w:rPr>
              <w:t>C1 AR</w:t>
            </w:r>
          </w:p>
        </w:tc>
        <w:tc>
          <w:tcPr>
            <w:tcW w:w="2269" w:type="pct"/>
            <w:vAlign w:val="center"/>
          </w:tcPr>
          <w:p w14:paraId="2835768C" w14:textId="4640C873" w:rsidR="00CF59E2" w:rsidRPr="00ED172B" w:rsidRDefault="00CF59E2" w:rsidP="00F4238C">
            <w:pPr>
              <w:jc w:val="center"/>
              <w:rPr>
                <w:color w:val="000000" w:themeColor="text1"/>
              </w:rPr>
            </w:pPr>
            <w:r w:rsidRPr="00ED172B">
              <w:rPr>
                <w:color w:val="000000" w:themeColor="text1"/>
              </w:rPr>
              <w:t/>
            </w:r>
          </w:p>
        </w:tc>
        <w:tc>
          <w:tcPr>
            <w:tcW w:w="1664" w:type="pct"/>
            <w:vAlign w:val="center"/>
          </w:tcPr>
          <w:p w14:paraId="6909A06F" w14:textId="3647C8C0" w:rsidR="00CF59E2" w:rsidRPr="00ED172B" w:rsidRDefault="00CF59E2" w:rsidP="00F4238C">
            <w:pPr>
              <w:jc w:val="center"/>
              <w:rPr>
                <w:color w:val="000000" w:themeColor="text1"/>
              </w:rPr>
            </w:pPr>
            <w:r w:rsidRPr="00ED172B">
              <w:rPr>
                <w:color w:val="000000" w:themeColor="text1"/>
              </w:rPr>
              <w:t/>
            </w:r>
          </w:p>
        </w:tc>
      </w:tr>
      <w:tr w:rsidR="00CF59E2" w:rsidRPr="00ED172B" w14:paraId="53A45FFA" w14:textId="67D3ABB9" w:rsidTr="00811738">
        <w:trPr>
          <w:trHeight w:val="357"/>
        </w:trPr>
        <w:tc>
          <w:tcPr>
            <w:tcW w:w="1067" w:type="pct"/>
            <w:vAlign w:val="center"/>
          </w:tcPr>
          <w:p w14:paraId="3A4CA3C3" w14:textId="62CD31CE" w:rsidR="00CF59E2" w:rsidRPr="00ED172B" w:rsidRDefault="00CF59E2" w:rsidP="00D21F29">
            <w:pPr>
              <w:jc w:val="center"/>
              <w:rPr>
                <w:color w:val="000000" w:themeColor="text1"/>
                <w:szCs w:val="16"/>
              </w:rPr>
            </w:pPr>
            <w:r w:rsidRPr="00ED172B">
              <w:rPr>
                <w:color w:val="000000" w:themeColor="text1"/>
                <w:szCs w:val="16"/>
              </w:rPr>
              <w:t>Target C2 &gt;=</w:t>
            </w:r>
          </w:p>
        </w:tc>
        <w:tc>
          <w:tcPr>
            <w:tcW w:w="2269" w:type="pct"/>
            <w:vAlign w:val="center"/>
          </w:tcPr>
          <w:p w14:paraId="29334B67" w14:textId="22597CE7" w:rsidR="00CF59E2" w:rsidRPr="00ED172B" w:rsidRDefault="00CF59E2" w:rsidP="00F4238C">
            <w:pPr>
              <w:jc w:val="center"/>
              <w:rPr>
                <w:color w:val="000000" w:themeColor="text1"/>
              </w:rPr>
            </w:pPr>
            <w:r w:rsidRPr="00ED172B">
              <w:rPr>
                <w:color w:val="000000" w:themeColor="text1"/>
              </w:rPr>
              <w:t>74.20%</w:t>
            </w:r>
          </w:p>
        </w:tc>
        <w:tc>
          <w:tcPr>
            <w:tcW w:w="1664" w:type="pct"/>
            <w:vAlign w:val="center"/>
          </w:tcPr>
          <w:p w14:paraId="3F8DF653" w14:textId="20D6AB89" w:rsidR="00CF59E2" w:rsidRPr="00ED172B" w:rsidRDefault="00CF59E2" w:rsidP="00F4238C">
            <w:pPr>
              <w:jc w:val="center"/>
              <w:rPr>
                <w:color w:val="000000" w:themeColor="text1"/>
              </w:rPr>
            </w:pPr>
            <w:r w:rsidRPr="00ED172B">
              <w:rPr>
                <w:color w:val="000000" w:themeColor="text1"/>
              </w:rPr>
              <w:t>74.30%</w:t>
            </w:r>
          </w:p>
        </w:tc>
      </w:tr>
      <w:tr w:rsidR="00CF59E2" w:rsidRPr="00ED172B" w14:paraId="0315505E" w14:textId="63C28655" w:rsidTr="00811738">
        <w:trPr>
          <w:trHeight w:val="357"/>
        </w:trPr>
        <w:tc>
          <w:tcPr>
            <w:tcW w:w="1067" w:type="pct"/>
            <w:vAlign w:val="center"/>
          </w:tcPr>
          <w:p w14:paraId="2EA196BF" w14:textId="5D9F7D90" w:rsidR="00CF59E2" w:rsidRPr="00ED172B" w:rsidRDefault="00CF59E2" w:rsidP="00D21F29">
            <w:pPr>
              <w:jc w:val="center"/>
              <w:rPr>
                <w:color w:val="000000" w:themeColor="text1"/>
                <w:szCs w:val="16"/>
              </w:rPr>
            </w:pPr>
            <w:r w:rsidRPr="00ED172B">
              <w:rPr>
                <w:rFonts w:cs="Arial"/>
                <w:color w:val="000000" w:themeColor="text1"/>
                <w:szCs w:val="16"/>
              </w:rPr>
              <w:lastRenderedPageBreak/>
              <w:t>C2 AR</w:t>
            </w:r>
          </w:p>
        </w:tc>
        <w:tc>
          <w:tcPr>
            <w:tcW w:w="2269" w:type="pct"/>
            <w:vAlign w:val="center"/>
          </w:tcPr>
          <w:p w14:paraId="0820F535" w14:textId="59506D62" w:rsidR="00CF59E2" w:rsidRPr="00ED172B" w:rsidRDefault="00CF59E2" w:rsidP="00F4238C">
            <w:pPr>
              <w:jc w:val="center"/>
              <w:rPr>
                <w:color w:val="000000" w:themeColor="text1"/>
              </w:rPr>
            </w:pPr>
            <w:r w:rsidRPr="00ED172B">
              <w:rPr>
                <w:color w:val="000000" w:themeColor="text1"/>
              </w:rPr>
              <w:t/>
            </w:r>
          </w:p>
        </w:tc>
        <w:tc>
          <w:tcPr>
            <w:tcW w:w="1664" w:type="pct"/>
            <w:vAlign w:val="center"/>
          </w:tcPr>
          <w:p w14:paraId="18ABAD92" w14:textId="4929D32A" w:rsidR="00CF59E2" w:rsidRPr="00ED172B" w:rsidRDefault="00CF59E2" w:rsidP="00F4238C">
            <w:pPr>
              <w:jc w:val="center"/>
              <w:rPr>
                <w:color w:val="000000" w:themeColor="text1"/>
              </w:rPr>
            </w:pPr>
            <w:r w:rsidRPr="00ED172B">
              <w:rPr>
                <w:color w:val="000000" w:themeColor="text1"/>
              </w:rPr>
              <w:t/>
            </w:r>
          </w:p>
        </w:tc>
      </w:tr>
      <w:bookmarkEnd w:id="15"/>
    </w:tbl>
    <w:p w14:paraId="2DD34F88" w14:textId="77777777" w:rsidR="00F32724" w:rsidRPr="00ED172B" w:rsidRDefault="00F32724" w:rsidP="00CD79C5">
      <w:pPr>
        <w:rPr>
          <w:rFonts w:cs="Arial"/>
          <w:color w:val="000000" w:themeColor="text1"/>
          <w:szCs w:val="16"/>
        </w:rPr>
      </w:pPr>
    </w:p>
    <w:p w14:paraId="1ED882A7" w14:textId="77777777" w:rsidR="005F36C0" w:rsidRDefault="005F36C0">
      <w:pPr>
        <w:rPr>
          <w:b/>
          <w:color w:val="000000" w:themeColor="text1"/>
        </w:rPr>
      </w:pPr>
    </w:p>
    <w:p w14:paraId="0C67CDD2" w14:textId="649E0FFE" w:rsidR="005F4279" w:rsidRPr="00ED172B" w:rsidRDefault="005F4279">
      <w:pPr>
        <w:rPr>
          <w:b/>
          <w:color w:val="000000" w:themeColor="text1"/>
        </w:rPr>
      </w:pPr>
      <w:r w:rsidRPr="00ED172B">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
      </w:tblPr>
      <w:tblGrid>
        <w:gridCol w:w="7093"/>
        <w:gridCol w:w="1684"/>
        <w:gridCol w:w="2013"/>
      </w:tblGrid>
      <w:tr w:rsidR="00ED172B" w:rsidRPr="00ED172B" w14:paraId="09C6C0DA" w14:textId="77777777" w:rsidTr="00986B99">
        <w:trPr>
          <w:trHeight w:val="287"/>
          <w:tblHeader/>
        </w:trPr>
        <w:tc>
          <w:tcPr>
            <w:tcW w:w="3406" w:type="pct"/>
            <w:vAlign w:val="center"/>
          </w:tcPr>
          <w:p w14:paraId="054FB58D" w14:textId="0752B714" w:rsidR="003020A9" w:rsidRPr="00ED172B" w:rsidRDefault="0084029E" w:rsidP="007B5842">
            <w:pPr>
              <w:rPr>
                <w:rFonts w:cs="Arial"/>
                <w:b/>
                <w:color w:val="000000" w:themeColor="text1"/>
                <w:szCs w:val="16"/>
              </w:rPr>
            </w:pPr>
            <w:r w:rsidRPr="00ED172B">
              <w:rPr>
                <w:rFonts w:cs="Arial"/>
                <w:b/>
                <w:color w:val="000000" w:themeColor="text1"/>
                <w:szCs w:val="16"/>
              </w:rPr>
              <w:t>Not including at-risk infants and toddlers</w:t>
            </w:r>
          </w:p>
        </w:tc>
        <w:tc>
          <w:tcPr>
            <w:tcW w:w="797" w:type="pct"/>
            <w:vAlign w:val="center"/>
          </w:tcPr>
          <w:p w14:paraId="5DF4A7E8"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Number of children</w:t>
            </w:r>
          </w:p>
        </w:tc>
        <w:tc>
          <w:tcPr>
            <w:tcW w:w="797" w:type="pct"/>
          </w:tcPr>
          <w:p w14:paraId="0DDA4647"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1087C42" w14:textId="77777777" w:rsidTr="00986B99">
        <w:trPr>
          <w:trHeight w:val="361"/>
        </w:trPr>
        <w:tc>
          <w:tcPr>
            <w:tcW w:w="3406" w:type="pct"/>
            <w:vAlign w:val="center"/>
          </w:tcPr>
          <w:p w14:paraId="28E1215F"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vAlign w:val="center"/>
          </w:tcPr>
          <w:p w14:paraId="5FC9F980" w14:textId="54BFB507" w:rsidR="00CD79C5" w:rsidRPr="00ED172B" w:rsidRDefault="00860830" w:rsidP="00CD79C5">
            <w:pPr>
              <w:jc w:val="center"/>
              <w:rPr>
                <w:rFonts w:cs="Arial"/>
                <w:color w:val="000000" w:themeColor="text1"/>
                <w:szCs w:val="16"/>
              </w:rPr>
            </w:pPr>
            <w:r w:rsidRPr="00ED172B">
              <w:rPr>
                <w:rFonts w:cs="Arial"/>
                <w:color w:val="000000" w:themeColor="text1"/>
                <w:szCs w:val="16"/>
              </w:rPr>
              <w:t>486</w:t>
            </w:r>
          </w:p>
        </w:tc>
        <w:tc>
          <w:tcPr>
            <w:tcW w:w="797" w:type="pct"/>
            <w:vAlign w:val="center"/>
          </w:tcPr>
          <w:p w14:paraId="627581FC" w14:textId="1E947F37" w:rsidR="00CD79C5" w:rsidRPr="00ED172B" w:rsidRDefault="00860830" w:rsidP="00CD79C5">
            <w:pPr>
              <w:jc w:val="center"/>
              <w:rPr>
                <w:rFonts w:cs="Arial"/>
                <w:color w:val="000000" w:themeColor="text1"/>
                <w:szCs w:val="16"/>
              </w:rPr>
            </w:pPr>
            <w:r w:rsidRPr="00ED172B">
              <w:rPr>
                <w:rFonts w:cs="Arial"/>
                <w:color w:val="000000" w:themeColor="text1"/>
                <w:szCs w:val="16"/>
              </w:rPr>
              <w:t>5.17%</w:t>
            </w:r>
          </w:p>
        </w:tc>
      </w:tr>
      <w:tr w:rsidR="00ED172B" w:rsidRPr="00ED172B" w14:paraId="1D1316C0" w14:textId="77777777" w:rsidTr="00986B99">
        <w:trPr>
          <w:trHeight w:val="361"/>
        </w:trPr>
        <w:tc>
          <w:tcPr>
            <w:tcW w:w="3406" w:type="pct"/>
            <w:vAlign w:val="center"/>
          </w:tcPr>
          <w:p w14:paraId="4D93D667"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vAlign w:val="center"/>
          </w:tcPr>
          <w:p w14:paraId="3B9512DF" w14:textId="7777183B" w:rsidR="00CD79C5" w:rsidRPr="00ED172B" w:rsidRDefault="00860830" w:rsidP="00CD79C5">
            <w:pPr>
              <w:jc w:val="center"/>
              <w:rPr>
                <w:rFonts w:cs="Arial"/>
                <w:color w:val="000000" w:themeColor="text1"/>
                <w:szCs w:val="16"/>
              </w:rPr>
            </w:pPr>
            <w:r w:rsidRPr="00ED172B">
              <w:rPr>
                <w:rFonts w:cs="Arial"/>
                <w:color w:val="000000" w:themeColor="text1"/>
                <w:szCs w:val="16"/>
              </w:rPr>
              <w:t>2,019</w:t>
            </w:r>
          </w:p>
        </w:tc>
        <w:tc>
          <w:tcPr>
            <w:tcW w:w="797" w:type="pct"/>
            <w:vAlign w:val="center"/>
          </w:tcPr>
          <w:p w14:paraId="6101CC9A" w14:textId="46DBFC4D" w:rsidR="00CD79C5" w:rsidRPr="00ED172B" w:rsidRDefault="00860830" w:rsidP="00CD79C5">
            <w:pPr>
              <w:jc w:val="center"/>
              <w:rPr>
                <w:rFonts w:cs="Arial"/>
                <w:color w:val="000000" w:themeColor="text1"/>
                <w:szCs w:val="16"/>
              </w:rPr>
            </w:pPr>
            <w:r w:rsidRPr="00ED172B">
              <w:rPr>
                <w:rFonts w:cs="Arial"/>
                <w:color w:val="000000" w:themeColor="text1"/>
                <w:szCs w:val="16"/>
              </w:rPr>
              <w:t>21.48%</w:t>
            </w:r>
          </w:p>
        </w:tc>
      </w:tr>
      <w:tr w:rsidR="00ED172B" w:rsidRPr="00ED172B" w14:paraId="7620C417" w14:textId="77777777" w:rsidTr="00986B99">
        <w:trPr>
          <w:trHeight w:val="361"/>
        </w:trPr>
        <w:tc>
          <w:tcPr>
            <w:tcW w:w="3406" w:type="pct"/>
            <w:vAlign w:val="center"/>
          </w:tcPr>
          <w:p w14:paraId="005C7F52"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vAlign w:val="center"/>
          </w:tcPr>
          <w:p w14:paraId="778D2FC6" w14:textId="2EE97470" w:rsidR="00CD79C5" w:rsidRPr="00ED172B" w:rsidRDefault="00860830" w:rsidP="00CD79C5">
            <w:pPr>
              <w:jc w:val="center"/>
              <w:rPr>
                <w:rFonts w:cs="Arial"/>
                <w:color w:val="000000" w:themeColor="text1"/>
                <w:szCs w:val="16"/>
              </w:rPr>
            </w:pPr>
            <w:r w:rsidRPr="00ED172B">
              <w:rPr>
                <w:rFonts w:cs="Arial"/>
                <w:color w:val="000000" w:themeColor="text1"/>
                <w:szCs w:val="16"/>
              </w:rPr>
              <w:t>610</w:t>
            </w:r>
          </w:p>
        </w:tc>
        <w:tc>
          <w:tcPr>
            <w:tcW w:w="797" w:type="pct"/>
            <w:vAlign w:val="center"/>
          </w:tcPr>
          <w:p w14:paraId="7E6EA79A" w14:textId="006ADDC2" w:rsidR="00CD79C5" w:rsidRPr="00ED172B" w:rsidRDefault="00860830" w:rsidP="00CD79C5">
            <w:pPr>
              <w:jc w:val="center"/>
              <w:rPr>
                <w:rFonts w:cs="Arial"/>
                <w:color w:val="000000" w:themeColor="text1"/>
                <w:szCs w:val="16"/>
              </w:rPr>
            </w:pPr>
            <w:r w:rsidRPr="00ED172B">
              <w:rPr>
                <w:rFonts w:cs="Arial"/>
                <w:color w:val="000000" w:themeColor="text1"/>
                <w:szCs w:val="16"/>
              </w:rPr>
              <w:t>6.49%</w:t>
            </w:r>
          </w:p>
        </w:tc>
      </w:tr>
      <w:tr w:rsidR="00ED172B" w:rsidRPr="00ED172B" w14:paraId="6CC2E72A" w14:textId="77777777" w:rsidTr="00986B99">
        <w:trPr>
          <w:trHeight w:val="361"/>
        </w:trPr>
        <w:tc>
          <w:tcPr>
            <w:tcW w:w="3406" w:type="pct"/>
            <w:vAlign w:val="center"/>
          </w:tcPr>
          <w:p w14:paraId="620F9E04"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vAlign w:val="center"/>
          </w:tcPr>
          <w:p w14:paraId="0C2DDC71" w14:textId="4D24C0D5" w:rsidR="00CD79C5" w:rsidRPr="00ED172B" w:rsidRDefault="00860830" w:rsidP="00CD79C5">
            <w:pPr>
              <w:jc w:val="center"/>
              <w:rPr>
                <w:rFonts w:cs="Arial"/>
                <w:color w:val="000000" w:themeColor="text1"/>
                <w:szCs w:val="16"/>
              </w:rPr>
            </w:pPr>
            <w:r w:rsidRPr="00ED172B">
              <w:rPr>
                <w:rFonts w:cs="Arial"/>
                <w:color w:val="000000" w:themeColor="text1"/>
                <w:szCs w:val="16"/>
              </w:rPr>
              <w:t>1,646</w:t>
            </w:r>
          </w:p>
        </w:tc>
        <w:tc>
          <w:tcPr>
            <w:tcW w:w="797" w:type="pct"/>
            <w:vAlign w:val="center"/>
          </w:tcPr>
          <w:p w14:paraId="566E9E7C" w14:textId="1ECA0F67" w:rsidR="00CD79C5" w:rsidRPr="00ED172B" w:rsidRDefault="00860830" w:rsidP="00CD79C5">
            <w:pPr>
              <w:jc w:val="center"/>
              <w:rPr>
                <w:rFonts w:cs="Arial"/>
                <w:color w:val="000000" w:themeColor="text1"/>
                <w:szCs w:val="16"/>
              </w:rPr>
            </w:pPr>
            <w:r w:rsidRPr="00ED172B">
              <w:rPr>
                <w:rFonts w:cs="Arial"/>
                <w:color w:val="000000" w:themeColor="text1"/>
                <w:szCs w:val="16"/>
              </w:rPr>
              <w:t>17.51%</w:t>
            </w:r>
          </w:p>
        </w:tc>
      </w:tr>
      <w:tr w:rsidR="00ED172B" w:rsidRPr="00ED172B" w14:paraId="52C58AFD" w14:textId="77777777" w:rsidTr="00986B99">
        <w:trPr>
          <w:trHeight w:val="361"/>
        </w:trPr>
        <w:tc>
          <w:tcPr>
            <w:tcW w:w="3406" w:type="pct"/>
            <w:vAlign w:val="center"/>
          </w:tcPr>
          <w:p w14:paraId="0C2B3A96"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vAlign w:val="center"/>
          </w:tcPr>
          <w:p w14:paraId="71733793" w14:textId="1606848C" w:rsidR="00CD79C5" w:rsidRPr="00ED172B" w:rsidRDefault="00860830" w:rsidP="00CD79C5">
            <w:pPr>
              <w:jc w:val="center"/>
              <w:rPr>
                <w:rFonts w:cs="Arial"/>
                <w:color w:val="000000" w:themeColor="text1"/>
                <w:szCs w:val="16"/>
              </w:rPr>
            </w:pPr>
            <w:r w:rsidRPr="00ED172B">
              <w:rPr>
                <w:rFonts w:cs="Arial"/>
                <w:color w:val="000000" w:themeColor="text1"/>
                <w:szCs w:val="16"/>
              </w:rPr>
              <w:t>4,637</w:t>
            </w:r>
          </w:p>
        </w:tc>
        <w:tc>
          <w:tcPr>
            <w:tcW w:w="797" w:type="pct"/>
            <w:vAlign w:val="center"/>
          </w:tcPr>
          <w:p w14:paraId="6C27ED3F" w14:textId="48BDB78A" w:rsidR="00CD79C5" w:rsidRPr="00ED172B" w:rsidRDefault="00860830" w:rsidP="00CD79C5">
            <w:pPr>
              <w:jc w:val="center"/>
              <w:rPr>
                <w:rFonts w:cs="Arial"/>
                <w:color w:val="000000" w:themeColor="text1"/>
                <w:szCs w:val="16"/>
              </w:rPr>
            </w:pPr>
            <w:r w:rsidRPr="00ED172B">
              <w:rPr>
                <w:rFonts w:cs="Arial"/>
                <w:color w:val="000000" w:themeColor="text1"/>
                <w:szCs w:val="16"/>
              </w:rPr>
              <w:t>49.34%</w:t>
            </w:r>
          </w:p>
        </w:tc>
      </w:tr>
    </w:tbl>
    <w:p w14:paraId="7F71E48C" w14:textId="2753AFF4" w:rsidR="005F4279" w:rsidRPr="00ED172B" w:rsidRDefault="005F4279" w:rsidP="005F427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2"/>
      </w:tblPr>
      <w:tblGrid>
        <w:gridCol w:w="6453"/>
        <w:gridCol w:w="2004"/>
        <w:gridCol w:w="2333"/>
      </w:tblGrid>
      <w:tr w:rsidR="00ED172B" w:rsidRPr="00ED172B" w14:paraId="34148246" w14:textId="77777777" w:rsidTr="00986B99">
        <w:trPr>
          <w:trHeight w:val="287"/>
          <w:tblHeader/>
        </w:trPr>
        <w:tc>
          <w:tcPr>
            <w:tcW w:w="3406" w:type="pct"/>
            <w:vAlign w:val="center"/>
          </w:tcPr>
          <w:p w14:paraId="1150BED2" w14:textId="0152D710" w:rsidR="0084029E" w:rsidRPr="00ED172B" w:rsidRDefault="0084029E" w:rsidP="004D140B">
            <w:pPr>
              <w:rPr>
                <w:rFonts w:cs="Arial"/>
                <w:b/>
                <w:color w:val="000000" w:themeColor="text1"/>
                <w:szCs w:val="16"/>
              </w:rPr>
            </w:pPr>
            <w:r w:rsidRPr="00ED172B">
              <w:rPr>
                <w:rFonts w:cs="Arial"/>
                <w:b/>
                <w:color w:val="000000" w:themeColor="text1"/>
                <w:szCs w:val="16"/>
              </w:rPr>
              <w:t>Just at-risk infants and toddlers/All infants and toddlers</w:t>
            </w:r>
          </w:p>
        </w:tc>
        <w:tc>
          <w:tcPr>
            <w:tcW w:w="797" w:type="pct"/>
            <w:vAlign w:val="center"/>
          </w:tcPr>
          <w:p w14:paraId="61B53DC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Number of children</w:t>
            </w:r>
          </w:p>
        </w:tc>
        <w:tc>
          <w:tcPr>
            <w:tcW w:w="797" w:type="pct"/>
          </w:tcPr>
          <w:p w14:paraId="010EE93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05F8BB5C" w14:textId="77777777" w:rsidTr="00986B99">
        <w:trPr>
          <w:trHeight w:val="361"/>
        </w:trPr>
        <w:tc>
          <w:tcPr>
            <w:tcW w:w="3406" w:type="pct"/>
            <w:vAlign w:val="center"/>
          </w:tcPr>
          <w:p w14:paraId="11D674E0"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vAlign w:val="center"/>
          </w:tcPr>
          <w:p w14:paraId="6B4E7240" w14:textId="0FE442B7" w:rsidR="00CD79C5" w:rsidRPr="00ED172B" w:rsidRDefault="00860830" w:rsidP="00CD79C5">
            <w:pPr>
              <w:jc w:val="center"/>
              <w:rPr>
                <w:rFonts w:cs="Arial"/>
                <w:color w:val="000000" w:themeColor="text1"/>
                <w:szCs w:val="16"/>
              </w:rPr>
            </w:pPr>
            <w:r w:rsidRPr="00ED172B">
              <w:rPr>
                <w:rFonts w:cs="Arial"/>
                <w:color w:val="000000" w:themeColor="text1"/>
                <w:szCs w:val="16"/>
              </w:rPr>
              <w:t>0</w:t>
            </w:r>
          </w:p>
        </w:tc>
        <w:tc>
          <w:tcPr>
            <w:tcW w:w="797" w:type="pct"/>
            <w:vAlign w:val="center"/>
          </w:tcPr>
          <w:p w14:paraId="3B8204A3" w14:textId="2B928F31" w:rsidR="00CD79C5" w:rsidRPr="00ED172B" w:rsidRDefault="00860830" w:rsidP="00CD79C5">
            <w:pPr>
              <w:jc w:val="center"/>
              <w:rPr>
                <w:rFonts w:cs="Arial"/>
                <w:color w:val="000000" w:themeColor="text1"/>
                <w:szCs w:val="16"/>
              </w:rPr>
            </w:pPr>
            <w:r w:rsidRPr="00ED172B">
              <w:rPr>
                <w:rFonts w:cs="Arial"/>
                <w:color w:val="000000" w:themeColor="text1"/>
                <w:szCs w:val="16"/>
              </w:rPr>
              <w:t>0.00%</w:t>
            </w:r>
          </w:p>
        </w:tc>
      </w:tr>
      <w:tr w:rsidR="00ED172B" w:rsidRPr="00ED172B" w14:paraId="66EB049A" w14:textId="77777777" w:rsidTr="00986B99">
        <w:trPr>
          <w:trHeight w:val="361"/>
        </w:trPr>
        <w:tc>
          <w:tcPr>
            <w:tcW w:w="3406" w:type="pct"/>
            <w:vAlign w:val="center"/>
          </w:tcPr>
          <w:p w14:paraId="3238593E"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vAlign w:val="center"/>
          </w:tcPr>
          <w:p w14:paraId="36C4686E" w14:textId="0D9BC4D4" w:rsidR="00CD79C5" w:rsidRPr="00ED172B" w:rsidRDefault="00860830" w:rsidP="00CD79C5">
            <w:pPr>
              <w:jc w:val="center"/>
              <w:rPr>
                <w:rFonts w:cs="Arial"/>
                <w:color w:val="000000" w:themeColor="text1"/>
                <w:szCs w:val="16"/>
              </w:rPr>
            </w:pPr>
            <w:r w:rsidRPr="00ED172B">
              <w:rPr>
                <w:rFonts w:cs="Arial"/>
                <w:color w:val="000000" w:themeColor="text1"/>
                <w:szCs w:val="16"/>
              </w:rPr>
              <w:t>2</w:t>
            </w:r>
          </w:p>
        </w:tc>
        <w:tc>
          <w:tcPr>
            <w:tcW w:w="797" w:type="pct"/>
            <w:vAlign w:val="center"/>
          </w:tcPr>
          <w:p w14:paraId="27E713B0" w14:textId="3136F54C" w:rsidR="00CD79C5" w:rsidRPr="00ED172B" w:rsidRDefault="00860830" w:rsidP="00CD79C5">
            <w:pPr>
              <w:jc w:val="center"/>
              <w:rPr>
                <w:rFonts w:cs="Arial"/>
                <w:color w:val="000000" w:themeColor="text1"/>
                <w:szCs w:val="16"/>
              </w:rPr>
            </w:pPr>
            <w:r w:rsidRPr="00ED172B">
              <w:rPr>
                <w:rFonts w:cs="Arial"/>
                <w:color w:val="000000" w:themeColor="text1"/>
                <w:szCs w:val="16"/>
              </w:rPr>
              <w:t>1.57%</w:t>
            </w:r>
          </w:p>
        </w:tc>
      </w:tr>
      <w:tr w:rsidR="00ED172B" w:rsidRPr="00ED172B" w14:paraId="289DCF6C" w14:textId="77777777" w:rsidTr="00986B99">
        <w:trPr>
          <w:trHeight w:val="361"/>
        </w:trPr>
        <w:tc>
          <w:tcPr>
            <w:tcW w:w="3406" w:type="pct"/>
            <w:vAlign w:val="center"/>
          </w:tcPr>
          <w:p w14:paraId="611C7497"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vAlign w:val="center"/>
          </w:tcPr>
          <w:p w14:paraId="1BB1AD3C" w14:textId="0299071A" w:rsidR="00CD79C5" w:rsidRPr="00ED172B" w:rsidRDefault="00860830" w:rsidP="00CD79C5">
            <w:pPr>
              <w:jc w:val="center"/>
              <w:rPr>
                <w:rFonts w:cs="Arial"/>
                <w:color w:val="000000" w:themeColor="text1"/>
                <w:szCs w:val="16"/>
              </w:rPr>
            </w:pPr>
            <w:r w:rsidRPr="00ED172B">
              <w:rPr>
                <w:rFonts w:cs="Arial"/>
                <w:color w:val="000000" w:themeColor="text1"/>
                <w:szCs w:val="16"/>
              </w:rPr>
              <w:t>1</w:t>
            </w:r>
          </w:p>
        </w:tc>
        <w:tc>
          <w:tcPr>
            <w:tcW w:w="797" w:type="pct"/>
            <w:vAlign w:val="center"/>
          </w:tcPr>
          <w:p w14:paraId="0A4F8B40" w14:textId="246D43C5" w:rsidR="00CD79C5" w:rsidRPr="00ED172B" w:rsidRDefault="00860830" w:rsidP="00CD79C5">
            <w:pPr>
              <w:jc w:val="center"/>
              <w:rPr>
                <w:rFonts w:cs="Arial"/>
                <w:color w:val="000000" w:themeColor="text1"/>
                <w:szCs w:val="16"/>
              </w:rPr>
            </w:pPr>
            <w:r w:rsidRPr="00ED172B">
              <w:rPr>
                <w:rFonts w:cs="Arial"/>
                <w:color w:val="000000" w:themeColor="text1"/>
                <w:szCs w:val="16"/>
              </w:rPr>
              <w:t>0.79%</w:t>
            </w:r>
          </w:p>
        </w:tc>
      </w:tr>
      <w:tr w:rsidR="00ED172B" w:rsidRPr="00ED172B" w14:paraId="414FC598" w14:textId="77777777" w:rsidTr="00986B99">
        <w:trPr>
          <w:trHeight w:val="361"/>
        </w:trPr>
        <w:tc>
          <w:tcPr>
            <w:tcW w:w="3406" w:type="pct"/>
            <w:vAlign w:val="center"/>
          </w:tcPr>
          <w:p w14:paraId="492B2C6A"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vAlign w:val="center"/>
          </w:tcPr>
          <w:p w14:paraId="1853B19B" w14:textId="2110C954" w:rsidR="00CD79C5" w:rsidRPr="00ED172B" w:rsidRDefault="00860830" w:rsidP="00CD79C5">
            <w:pPr>
              <w:jc w:val="center"/>
              <w:rPr>
                <w:rFonts w:cs="Arial"/>
                <w:color w:val="000000" w:themeColor="text1"/>
                <w:szCs w:val="16"/>
              </w:rPr>
            </w:pPr>
            <w:r w:rsidRPr="00ED172B">
              <w:rPr>
                <w:rFonts w:cs="Arial"/>
                <w:color w:val="000000" w:themeColor="text1"/>
                <w:szCs w:val="16"/>
              </w:rPr>
              <w:t>38</w:t>
            </w:r>
          </w:p>
        </w:tc>
        <w:tc>
          <w:tcPr>
            <w:tcW w:w="797" w:type="pct"/>
            <w:vAlign w:val="center"/>
          </w:tcPr>
          <w:p w14:paraId="5DD14BA4" w14:textId="0ECDAA45" w:rsidR="00CD79C5" w:rsidRPr="00ED172B" w:rsidRDefault="00860830" w:rsidP="00CD79C5">
            <w:pPr>
              <w:jc w:val="center"/>
              <w:rPr>
                <w:rFonts w:cs="Arial"/>
                <w:color w:val="000000" w:themeColor="text1"/>
                <w:szCs w:val="16"/>
              </w:rPr>
            </w:pPr>
            <w:r w:rsidRPr="00ED172B">
              <w:rPr>
                <w:rFonts w:cs="Arial"/>
                <w:color w:val="000000" w:themeColor="text1"/>
                <w:szCs w:val="16"/>
              </w:rPr>
              <w:t>29.92%</w:t>
            </w:r>
          </w:p>
        </w:tc>
      </w:tr>
      <w:tr w:rsidR="00ED172B" w:rsidRPr="00ED172B" w14:paraId="7EB9CB08" w14:textId="77777777" w:rsidTr="00986B99">
        <w:trPr>
          <w:trHeight w:val="361"/>
        </w:trPr>
        <w:tc>
          <w:tcPr>
            <w:tcW w:w="3406" w:type="pct"/>
            <w:vAlign w:val="center"/>
          </w:tcPr>
          <w:p w14:paraId="2C5C2B17"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vAlign w:val="center"/>
          </w:tcPr>
          <w:p w14:paraId="66EDE725" w14:textId="093230C3" w:rsidR="00CD79C5" w:rsidRPr="00ED172B" w:rsidRDefault="00860830" w:rsidP="00CD79C5">
            <w:pPr>
              <w:jc w:val="center"/>
              <w:rPr>
                <w:rFonts w:cs="Arial"/>
                <w:color w:val="000000" w:themeColor="text1"/>
                <w:szCs w:val="16"/>
              </w:rPr>
            </w:pPr>
            <w:r w:rsidRPr="00ED172B">
              <w:rPr>
                <w:rFonts w:cs="Arial"/>
                <w:color w:val="000000" w:themeColor="text1"/>
                <w:szCs w:val="16"/>
              </w:rPr>
              <w:t>86</w:t>
            </w:r>
          </w:p>
        </w:tc>
        <w:tc>
          <w:tcPr>
            <w:tcW w:w="797" w:type="pct"/>
            <w:vAlign w:val="center"/>
          </w:tcPr>
          <w:p w14:paraId="4FC975D2" w14:textId="0309DA68" w:rsidR="00CD79C5" w:rsidRPr="00ED172B" w:rsidRDefault="00860830" w:rsidP="00CD79C5">
            <w:pPr>
              <w:jc w:val="center"/>
              <w:rPr>
                <w:rFonts w:cs="Arial"/>
                <w:color w:val="000000" w:themeColor="text1"/>
                <w:szCs w:val="16"/>
              </w:rPr>
            </w:pPr>
            <w:r w:rsidRPr="00ED172B">
              <w:rPr>
                <w:rFonts w:cs="Arial"/>
                <w:color w:val="000000" w:themeColor="text1"/>
                <w:szCs w:val="16"/>
              </w:rPr>
              <w:t>67.72%</w:t>
            </w:r>
          </w:p>
        </w:tc>
      </w:tr>
    </w:tbl>
    <w:p w14:paraId="66912606" w14:textId="77777777" w:rsidR="0084029E" w:rsidRPr="00ED172B" w:rsidRDefault="0084029E" w:rsidP="0084029E">
      <w:pPr>
        <w:rPr>
          <w:rFonts w:cs="Arial"/>
          <w:b/>
          <w:color w:val="000000" w:themeColor="text1"/>
          <w:szCs w:val="16"/>
        </w:rPr>
      </w:pPr>
      <w:bookmarkStart w:id="16" w:name="_Hlk4941197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3"/>
      </w:tblPr>
      <w:tblGrid>
        <w:gridCol w:w="2515"/>
        <w:gridCol w:w="1260"/>
        <w:gridCol w:w="1349"/>
        <w:gridCol w:w="1351"/>
        <w:gridCol w:w="1170"/>
        <w:gridCol w:w="1170"/>
        <w:gridCol w:w="1079"/>
        <w:gridCol w:w="896"/>
      </w:tblGrid>
      <w:tr w:rsidR="00ED172B" w:rsidRPr="00ED172B" w14:paraId="10E59B1C" w14:textId="77777777" w:rsidTr="00986B99">
        <w:trPr>
          <w:trHeight w:val="354"/>
          <w:tblHeader/>
        </w:trPr>
        <w:tc>
          <w:tcPr>
            <w:tcW w:w="1165" w:type="pct"/>
            <w:vAlign w:val="bottom"/>
          </w:tcPr>
          <w:p w14:paraId="696CA76B" w14:textId="3BCE6C04" w:rsidR="00743466" w:rsidRPr="00ED172B" w:rsidRDefault="00743466" w:rsidP="00D21F29">
            <w:pPr>
              <w:rPr>
                <w:rFonts w:cs="Arial"/>
                <w:color w:val="000000" w:themeColor="text1"/>
                <w:szCs w:val="16"/>
              </w:rPr>
            </w:pPr>
            <w:r w:rsidRPr="00ED172B">
              <w:rPr>
                <w:rFonts w:cs="Arial"/>
                <w:b/>
                <w:color w:val="000000" w:themeColor="text1"/>
                <w:szCs w:val="16"/>
              </w:rPr>
              <w:t>Not including at-risk infants and toddlers</w:t>
            </w:r>
          </w:p>
        </w:tc>
        <w:tc>
          <w:tcPr>
            <w:tcW w:w="584" w:type="pct"/>
            <w:vAlign w:val="bottom"/>
          </w:tcPr>
          <w:p w14:paraId="085F9BA7"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625" w:type="pct"/>
            <w:vAlign w:val="bottom"/>
          </w:tcPr>
          <w:p w14:paraId="56E2F8BC"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26" w:type="pct"/>
            <w:vAlign w:val="bottom"/>
          </w:tcPr>
          <w:p w14:paraId="5C6D1E6F" w14:textId="71006E29" w:rsidR="00743466" w:rsidRPr="00ED172B" w:rsidRDefault="00CD74B5" w:rsidP="00743466">
            <w:pPr>
              <w:jc w:val="center"/>
              <w:rPr>
                <w:rFonts w:cs="Arial"/>
                <w:b/>
                <w:color w:val="000000" w:themeColor="text1"/>
                <w:szCs w:val="16"/>
              </w:rPr>
            </w:pPr>
            <w:r>
              <w:rPr>
                <w:rFonts w:cs="Arial"/>
                <w:b/>
                <w:color w:val="000000" w:themeColor="text1"/>
                <w:szCs w:val="16"/>
              </w:rPr>
              <w:t>FFY 2023 Data</w:t>
            </w:r>
          </w:p>
        </w:tc>
        <w:tc>
          <w:tcPr>
            <w:tcW w:w="542" w:type="pct"/>
            <w:vAlign w:val="bottom"/>
          </w:tcPr>
          <w:p w14:paraId="613575DE" w14:textId="388F1780" w:rsidR="00743466" w:rsidRPr="00ED172B" w:rsidRDefault="00F22D09" w:rsidP="00743466">
            <w:pPr>
              <w:jc w:val="center"/>
              <w:rPr>
                <w:rFonts w:cs="Arial"/>
                <w:b/>
                <w:color w:val="000000" w:themeColor="text1"/>
                <w:szCs w:val="16"/>
              </w:rPr>
            </w:pPr>
            <w:r>
              <w:rPr>
                <w:rFonts w:cs="Arial"/>
                <w:b/>
                <w:color w:val="000000" w:themeColor="text1"/>
                <w:szCs w:val="16"/>
              </w:rPr>
              <w:t>FFY 2024 Target</w:t>
            </w:r>
          </w:p>
        </w:tc>
        <w:tc>
          <w:tcPr>
            <w:tcW w:w="542" w:type="pct"/>
            <w:vAlign w:val="bottom"/>
          </w:tcPr>
          <w:p w14:paraId="5AF7B4EA" w14:textId="64856609" w:rsidR="00743466" w:rsidRPr="00ED172B" w:rsidRDefault="00F22D09" w:rsidP="00743466">
            <w:pPr>
              <w:jc w:val="center"/>
              <w:rPr>
                <w:rFonts w:cs="Arial"/>
                <w:b/>
                <w:color w:val="000000" w:themeColor="text1"/>
                <w:szCs w:val="16"/>
              </w:rPr>
            </w:pPr>
            <w:r>
              <w:rPr>
                <w:rFonts w:cs="Arial"/>
                <w:b/>
                <w:color w:val="000000" w:themeColor="text1"/>
                <w:szCs w:val="16"/>
              </w:rPr>
              <w:t>FFY 2024 Data</w:t>
            </w:r>
          </w:p>
        </w:tc>
        <w:tc>
          <w:tcPr>
            <w:tcW w:w="500" w:type="pct"/>
            <w:vAlign w:val="bottom"/>
          </w:tcPr>
          <w:p w14:paraId="6BE46B1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5" w:type="pct"/>
            <w:vAlign w:val="bottom"/>
          </w:tcPr>
          <w:p w14:paraId="34ED5BC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736F90CC" w14:textId="77777777" w:rsidTr="00986B99">
        <w:trPr>
          <w:trHeight w:val="361"/>
        </w:trPr>
        <w:tc>
          <w:tcPr>
            <w:tcW w:w="1165" w:type="pct"/>
          </w:tcPr>
          <w:p w14:paraId="537C4A27"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vAlign w:val="center"/>
          </w:tcPr>
          <w:p w14:paraId="623590DC" w14:textId="2C92321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2,256</w:t>
            </w:r>
          </w:p>
        </w:tc>
        <w:tc>
          <w:tcPr>
            <w:tcW w:w="625" w:type="pct"/>
            <w:vAlign w:val="center"/>
          </w:tcPr>
          <w:p w14:paraId="3C0327D5" w14:textId="0399CD0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4,761</w:t>
            </w:r>
          </w:p>
        </w:tc>
        <w:tc>
          <w:tcPr>
            <w:tcW w:w="626" w:type="pct"/>
            <w:vAlign w:val="center"/>
          </w:tcPr>
          <w:p w14:paraId="601BDD09" w14:textId="772FDC99" w:rsidR="00A01E85" w:rsidRPr="00ED172B" w:rsidRDefault="00860830" w:rsidP="00A01E85">
            <w:pPr>
              <w:jc w:val="center"/>
              <w:rPr>
                <w:rFonts w:cs="Arial"/>
                <w:color w:val="000000" w:themeColor="text1"/>
                <w:szCs w:val="16"/>
              </w:rPr>
            </w:pPr>
            <w:r w:rsidRPr="00ED172B">
              <w:rPr>
                <w:rFonts w:cs="Arial"/>
                <w:color w:val="000000" w:themeColor="text1"/>
                <w:szCs w:val="16"/>
              </w:rPr>
              <w:t>45.91%</w:t>
            </w:r>
          </w:p>
        </w:tc>
        <w:tc>
          <w:tcPr>
            <w:tcW w:w="542" w:type="pct"/>
            <w:vAlign w:val="center"/>
          </w:tcPr>
          <w:p w14:paraId="27FB8720" w14:textId="6037FBE4" w:rsidR="00A01E85" w:rsidRPr="00ED172B" w:rsidRDefault="001E39E3" w:rsidP="001E39E3">
            <w:pPr>
              <w:jc w:val="center"/>
              <w:rPr>
                <w:color w:val="000000" w:themeColor="text1"/>
              </w:rPr>
            </w:pPr>
            <w:r w:rsidRPr="00ED172B">
              <w:rPr>
                <w:color w:val="000000" w:themeColor="text1"/>
              </w:rPr>
              <w:t>57.20%</w:t>
            </w:r>
          </w:p>
        </w:tc>
        <w:tc>
          <w:tcPr>
            <w:tcW w:w="542" w:type="pct"/>
            <w:vAlign w:val="center"/>
          </w:tcPr>
          <w:p w14:paraId="777B9CD4" w14:textId="5381ED20" w:rsidR="00A01E85" w:rsidRPr="00ED172B" w:rsidRDefault="00860830" w:rsidP="00A01E85">
            <w:pPr>
              <w:jc w:val="center"/>
              <w:rPr>
                <w:rFonts w:cs="Arial"/>
                <w:color w:val="000000" w:themeColor="text1"/>
                <w:szCs w:val="16"/>
              </w:rPr>
            </w:pPr>
            <w:r w:rsidRPr="00ED172B">
              <w:rPr>
                <w:rFonts w:cs="Arial"/>
                <w:color w:val="000000" w:themeColor="text1"/>
                <w:szCs w:val="16"/>
              </w:rPr>
              <w:t>47.39%</w:t>
            </w:r>
          </w:p>
        </w:tc>
        <w:tc>
          <w:tcPr>
            <w:tcW w:w="500" w:type="pct"/>
            <w:vAlign w:val="center"/>
          </w:tcPr>
          <w:p w14:paraId="5C3C78C9" w14:textId="5E8EB213"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15" w:type="pct"/>
            <w:vAlign w:val="center"/>
          </w:tcPr>
          <w:p w14:paraId="16F295F5" w14:textId="2B6063D1"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00F4DA6A" w14:textId="77777777" w:rsidTr="00986B99">
        <w:trPr>
          <w:trHeight w:val="361"/>
        </w:trPr>
        <w:tc>
          <w:tcPr>
            <w:tcW w:w="1165" w:type="pct"/>
          </w:tcPr>
          <w:p w14:paraId="1A12D62D" w14:textId="256BED32"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vAlign w:val="center"/>
          </w:tcPr>
          <w:p w14:paraId="5FAF3DC2" w14:textId="195D38E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6,283</w:t>
            </w:r>
          </w:p>
        </w:tc>
        <w:tc>
          <w:tcPr>
            <w:tcW w:w="625" w:type="pct"/>
            <w:vAlign w:val="center"/>
          </w:tcPr>
          <w:p w14:paraId="60E12B45" w14:textId="1E2D813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9,398</w:t>
            </w:r>
          </w:p>
        </w:tc>
        <w:tc>
          <w:tcPr>
            <w:tcW w:w="626" w:type="pct"/>
            <w:vAlign w:val="center"/>
          </w:tcPr>
          <w:p w14:paraId="3945D035" w14:textId="464109C4" w:rsidR="00A01E85" w:rsidRPr="00ED172B" w:rsidRDefault="00860830" w:rsidP="00A01E85">
            <w:pPr>
              <w:jc w:val="center"/>
              <w:rPr>
                <w:rFonts w:cs="Arial"/>
                <w:color w:val="000000" w:themeColor="text1"/>
                <w:szCs w:val="16"/>
              </w:rPr>
            </w:pPr>
            <w:r w:rsidRPr="00ED172B">
              <w:rPr>
                <w:rFonts w:cs="Arial"/>
                <w:color w:val="000000" w:themeColor="text1"/>
                <w:szCs w:val="16"/>
              </w:rPr>
              <w:t>63.59%</w:t>
            </w:r>
          </w:p>
        </w:tc>
        <w:tc>
          <w:tcPr>
            <w:tcW w:w="542" w:type="pct"/>
            <w:vAlign w:val="center"/>
          </w:tcPr>
          <w:p w14:paraId="46514870" w14:textId="68521881" w:rsidR="00A01E85" w:rsidRPr="00ED172B" w:rsidRDefault="001E39E3" w:rsidP="001E39E3">
            <w:pPr>
              <w:jc w:val="center"/>
              <w:rPr>
                <w:color w:val="000000" w:themeColor="text1"/>
              </w:rPr>
            </w:pPr>
            <w:r w:rsidRPr="00ED172B">
              <w:rPr>
                <w:color w:val="000000" w:themeColor="text1"/>
              </w:rPr>
              <w:t>71.35%</w:t>
            </w:r>
          </w:p>
        </w:tc>
        <w:tc>
          <w:tcPr>
            <w:tcW w:w="542" w:type="pct"/>
            <w:vAlign w:val="center"/>
          </w:tcPr>
          <w:p w14:paraId="3754B998" w14:textId="37F15522" w:rsidR="00A01E85" w:rsidRPr="00ED172B" w:rsidRDefault="00860830" w:rsidP="00A01E85">
            <w:pPr>
              <w:jc w:val="center"/>
              <w:rPr>
                <w:rFonts w:cs="Arial"/>
                <w:color w:val="000000" w:themeColor="text1"/>
                <w:szCs w:val="16"/>
              </w:rPr>
            </w:pPr>
            <w:r w:rsidRPr="00ED172B">
              <w:rPr>
                <w:rFonts w:cs="Arial"/>
                <w:color w:val="000000" w:themeColor="text1"/>
                <w:szCs w:val="16"/>
              </w:rPr>
              <w:t>66.85%</w:t>
            </w:r>
          </w:p>
        </w:tc>
        <w:tc>
          <w:tcPr>
            <w:tcW w:w="500" w:type="pct"/>
            <w:vAlign w:val="center"/>
          </w:tcPr>
          <w:p w14:paraId="4860CBF1" w14:textId="1DBC10BC"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15" w:type="pct"/>
            <w:vAlign w:val="center"/>
          </w:tcPr>
          <w:p w14:paraId="447CC095" w14:textId="2BC10327"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bl>
    <w:p w14:paraId="45C8DA50"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4"/>
      </w:tblPr>
      <w:tblGrid>
        <w:gridCol w:w="2245"/>
        <w:gridCol w:w="1261"/>
        <w:gridCol w:w="1260"/>
        <w:gridCol w:w="1439"/>
        <w:gridCol w:w="1351"/>
        <w:gridCol w:w="1262"/>
        <w:gridCol w:w="1081"/>
        <w:gridCol w:w="891"/>
      </w:tblGrid>
      <w:tr w:rsidR="00ED172B" w:rsidRPr="00ED172B" w14:paraId="34DB5841" w14:textId="77777777" w:rsidTr="00986B99">
        <w:trPr>
          <w:trHeight w:val="354"/>
          <w:tblHeader/>
        </w:trPr>
        <w:tc>
          <w:tcPr>
            <w:tcW w:w="1040" w:type="pct"/>
            <w:vAlign w:val="bottom"/>
          </w:tcPr>
          <w:p w14:paraId="3E838E12" w14:textId="0441CDCD" w:rsidR="00743466" w:rsidRPr="00ED172B" w:rsidRDefault="00743466" w:rsidP="00D21F29">
            <w:pPr>
              <w:rPr>
                <w:rFonts w:cs="Arial"/>
                <w:color w:val="000000" w:themeColor="text1"/>
                <w:szCs w:val="16"/>
              </w:rPr>
            </w:pPr>
            <w:r w:rsidRPr="00ED172B">
              <w:rPr>
                <w:rFonts w:cs="Arial"/>
                <w:b/>
                <w:color w:val="000000" w:themeColor="text1"/>
                <w:szCs w:val="16"/>
              </w:rPr>
              <w:lastRenderedPageBreak/>
              <w:t>Just at-risk infants and toddlers/All infants and toddlers</w:t>
            </w:r>
          </w:p>
        </w:tc>
        <w:tc>
          <w:tcPr>
            <w:tcW w:w="584" w:type="pct"/>
            <w:vAlign w:val="bottom"/>
          </w:tcPr>
          <w:p w14:paraId="57EE226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584" w:type="pct"/>
            <w:vAlign w:val="bottom"/>
          </w:tcPr>
          <w:p w14:paraId="65A9B4E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67" w:type="pct"/>
            <w:vAlign w:val="bottom"/>
          </w:tcPr>
          <w:p w14:paraId="3A8E2809" w14:textId="6CA84D9F" w:rsidR="00743466" w:rsidRPr="00ED172B" w:rsidRDefault="00CD74B5" w:rsidP="00743466">
            <w:pPr>
              <w:jc w:val="center"/>
              <w:rPr>
                <w:rFonts w:cs="Arial"/>
                <w:b/>
                <w:color w:val="000000" w:themeColor="text1"/>
                <w:szCs w:val="16"/>
              </w:rPr>
            </w:pPr>
            <w:r>
              <w:rPr>
                <w:rFonts w:cs="Arial"/>
                <w:b/>
                <w:color w:val="000000" w:themeColor="text1"/>
                <w:szCs w:val="16"/>
              </w:rPr>
              <w:t>FFY 2023 Data</w:t>
            </w:r>
          </w:p>
        </w:tc>
        <w:tc>
          <w:tcPr>
            <w:tcW w:w="626" w:type="pct"/>
            <w:vAlign w:val="bottom"/>
          </w:tcPr>
          <w:p w14:paraId="7AA2AF7E" w14:textId="0FB6AB40" w:rsidR="00743466" w:rsidRPr="00ED172B" w:rsidRDefault="00F22D09" w:rsidP="00743466">
            <w:pPr>
              <w:jc w:val="center"/>
              <w:rPr>
                <w:rFonts w:cs="Arial"/>
                <w:b/>
                <w:color w:val="000000" w:themeColor="text1"/>
                <w:szCs w:val="16"/>
              </w:rPr>
            </w:pPr>
            <w:r>
              <w:rPr>
                <w:rFonts w:cs="Arial"/>
                <w:b/>
                <w:color w:val="000000" w:themeColor="text1"/>
                <w:szCs w:val="16"/>
              </w:rPr>
              <w:t>FFY 2024 Target</w:t>
            </w:r>
          </w:p>
        </w:tc>
        <w:tc>
          <w:tcPr>
            <w:tcW w:w="585" w:type="pct"/>
            <w:vAlign w:val="bottom"/>
          </w:tcPr>
          <w:p w14:paraId="4E3366E4" w14:textId="6DD46BAC" w:rsidR="00743466" w:rsidRPr="00ED172B" w:rsidRDefault="00F22D09" w:rsidP="00743466">
            <w:pPr>
              <w:jc w:val="center"/>
              <w:rPr>
                <w:rFonts w:cs="Arial"/>
                <w:b/>
                <w:color w:val="000000" w:themeColor="text1"/>
                <w:szCs w:val="16"/>
              </w:rPr>
            </w:pPr>
            <w:r>
              <w:rPr>
                <w:rFonts w:cs="Arial"/>
                <w:b/>
                <w:color w:val="000000" w:themeColor="text1"/>
                <w:szCs w:val="16"/>
              </w:rPr>
              <w:t>FFY 2024 Data</w:t>
            </w:r>
          </w:p>
        </w:tc>
        <w:tc>
          <w:tcPr>
            <w:tcW w:w="501" w:type="pct"/>
            <w:vAlign w:val="bottom"/>
          </w:tcPr>
          <w:p w14:paraId="24FF04E2"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3" w:type="pct"/>
            <w:vAlign w:val="bottom"/>
          </w:tcPr>
          <w:p w14:paraId="666B1396"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249B60C3" w14:textId="77777777" w:rsidTr="00986B99">
        <w:trPr>
          <w:trHeight w:val="361"/>
        </w:trPr>
        <w:tc>
          <w:tcPr>
            <w:tcW w:w="1040" w:type="pct"/>
          </w:tcPr>
          <w:p w14:paraId="5DD58BA1"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vAlign w:val="center"/>
          </w:tcPr>
          <w:p w14:paraId="645A8D68" w14:textId="73658AD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39</w:t>
            </w:r>
          </w:p>
        </w:tc>
        <w:tc>
          <w:tcPr>
            <w:tcW w:w="584" w:type="pct"/>
            <w:vAlign w:val="center"/>
          </w:tcPr>
          <w:p w14:paraId="00EFBA88" w14:textId="105B682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41</w:t>
            </w:r>
          </w:p>
        </w:tc>
        <w:tc>
          <w:tcPr>
            <w:tcW w:w="667" w:type="pct"/>
            <w:vAlign w:val="center"/>
          </w:tcPr>
          <w:p w14:paraId="07D3AE87" w14:textId="0FA5AD29" w:rsidR="00A01E85" w:rsidRPr="00ED172B" w:rsidRDefault="00860830" w:rsidP="00A01E85">
            <w:pPr>
              <w:jc w:val="center"/>
              <w:rPr>
                <w:rFonts w:cs="Arial"/>
                <w:color w:val="000000" w:themeColor="text1"/>
                <w:szCs w:val="16"/>
              </w:rPr>
            </w:pPr>
            <w:r w:rsidRPr="00ED172B">
              <w:rPr>
                <w:rFonts w:cs="Arial"/>
                <w:color w:val="000000" w:themeColor="text1"/>
                <w:szCs w:val="16"/>
              </w:rPr>
              <w:t>88.89%</w:t>
            </w:r>
          </w:p>
        </w:tc>
        <w:tc>
          <w:tcPr>
            <w:tcW w:w="626" w:type="pct"/>
            <w:vAlign w:val="center"/>
          </w:tcPr>
          <w:p w14:paraId="5EDB3095" w14:textId="626E7118" w:rsidR="00A01E85" w:rsidRPr="00ED172B" w:rsidRDefault="002F5A9E" w:rsidP="00027F39">
            <w:pPr>
              <w:jc w:val="center"/>
              <w:rPr>
                <w:color w:val="000000" w:themeColor="text1"/>
              </w:rPr>
            </w:pPr>
            <w:r w:rsidRPr="00ED172B">
              <w:rPr>
                <w:color w:val="000000" w:themeColor="text1"/>
              </w:rPr>
              <w:t/>
            </w:r>
          </w:p>
        </w:tc>
        <w:tc>
          <w:tcPr>
            <w:tcW w:w="585" w:type="pct"/>
            <w:vAlign w:val="center"/>
          </w:tcPr>
          <w:p w14:paraId="19E3AAAC" w14:textId="4B4D3F90" w:rsidR="00A01E85" w:rsidRPr="00ED172B" w:rsidRDefault="00860830" w:rsidP="00A01E85">
            <w:pPr>
              <w:jc w:val="center"/>
              <w:rPr>
                <w:rFonts w:cs="Arial"/>
                <w:color w:val="000000" w:themeColor="text1"/>
                <w:szCs w:val="16"/>
              </w:rPr>
            </w:pPr>
            <w:r w:rsidRPr="00ED172B">
              <w:rPr>
                <w:rFonts w:cs="Arial"/>
                <w:color w:val="000000" w:themeColor="text1"/>
                <w:szCs w:val="16"/>
              </w:rPr>
              <w:t>95.12%</w:t>
            </w:r>
          </w:p>
        </w:tc>
        <w:tc>
          <w:tcPr>
            <w:tcW w:w="501" w:type="pct"/>
            <w:vAlign w:val="center"/>
          </w:tcPr>
          <w:p w14:paraId="4E173EE2" w14:textId="3A20A1B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vAlign w:val="center"/>
          </w:tcPr>
          <w:p w14:paraId="6CD438FE" w14:textId="3B71B81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6CC2B253" w14:textId="77777777" w:rsidTr="00986B99">
        <w:trPr>
          <w:trHeight w:val="361"/>
        </w:trPr>
        <w:tc>
          <w:tcPr>
            <w:tcW w:w="1040" w:type="pct"/>
          </w:tcPr>
          <w:p w14:paraId="77DBCF4F" w14:textId="44EBF36E"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vAlign w:val="center"/>
          </w:tcPr>
          <w:p w14:paraId="46AD0BED" w14:textId="2868666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124</w:t>
            </w:r>
          </w:p>
        </w:tc>
        <w:tc>
          <w:tcPr>
            <w:tcW w:w="584" w:type="pct"/>
            <w:vAlign w:val="center"/>
          </w:tcPr>
          <w:p w14:paraId="77AF513F" w14:textId="65A5A6E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127</w:t>
            </w:r>
          </w:p>
        </w:tc>
        <w:tc>
          <w:tcPr>
            <w:tcW w:w="667" w:type="pct"/>
            <w:vAlign w:val="center"/>
          </w:tcPr>
          <w:p w14:paraId="1BCCC909" w14:textId="56BE5EA1" w:rsidR="00A01E85" w:rsidRPr="00ED172B" w:rsidRDefault="00860830" w:rsidP="00A01E85">
            <w:pPr>
              <w:jc w:val="center"/>
              <w:rPr>
                <w:rFonts w:cs="Arial"/>
                <w:color w:val="000000" w:themeColor="text1"/>
                <w:szCs w:val="16"/>
              </w:rPr>
            </w:pPr>
            <w:r w:rsidRPr="00ED172B">
              <w:rPr>
                <w:rFonts w:cs="Arial"/>
                <w:color w:val="000000" w:themeColor="text1"/>
                <w:szCs w:val="16"/>
              </w:rPr>
              <w:t>95.71%</w:t>
            </w:r>
          </w:p>
        </w:tc>
        <w:tc>
          <w:tcPr>
            <w:tcW w:w="626" w:type="pct"/>
            <w:vAlign w:val="center"/>
          </w:tcPr>
          <w:p w14:paraId="1A492E85" w14:textId="387140FC" w:rsidR="00A01E85" w:rsidRPr="00ED172B" w:rsidRDefault="002332D6">
            <w:pPr>
              <w:jc w:val="center"/>
              <w:rPr>
                <w:color w:val="000000" w:themeColor="text1"/>
              </w:rPr>
            </w:pPr>
            <w:r w:rsidRPr="00ED172B">
              <w:rPr>
                <w:color w:val="000000" w:themeColor="text1"/>
              </w:rPr>
              <w:t/>
            </w:r>
          </w:p>
        </w:tc>
        <w:tc>
          <w:tcPr>
            <w:tcW w:w="585" w:type="pct"/>
            <w:vAlign w:val="center"/>
          </w:tcPr>
          <w:p w14:paraId="048A6C67" w14:textId="5BF1A76A" w:rsidR="00A01E85" w:rsidRPr="00ED172B" w:rsidRDefault="00860830" w:rsidP="00A01E85">
            <w:pPr>
              <w:jc w:val="center"/>
              <w:rPr>
                <w:rFonts w:cs="Arial"/>
                <w:color w:val="000000" w:themeColor="text1"/>
                <w:szCs w:val="16"/>
              </w:rPr>
            </w:pPr>
            <w:r w:rsidRPr="00ED172B">
              <w:rPr>
                <w:rFonts w:cs="Arial"/>
                <w:color w:val="000000" w:themeColor="text1"/>
                <w:szCs w:val="16"/>
              </w:rPr>
              <w:t>97.64%</w:t>
            </w:r>
          </w:p>
        </w:tc>
        <w:tc>
          <w:tcPr>
            <w:tcW w:w="501" w:type="pct"/>
            <w:vAlign w:val="center"/>
          </w:tcPr>
          <w:p w14:paraId="4D6D54DA" w14:textId="6D92EF4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vAlign w:val="center"/>
          </w:tcPr>
          <w:p w14:paraId="765D1A31" w14:textId="72FE4060"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28040B7" w14:textId="77777777" w:rsidR="0084029E" w:rsidRPr="00ED172B" w:rsidRDefault="0084029E">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5"/>
      </w:tblPr>
      <w:tblGrid>
        <w:gridCol w:w="7093"/>
        <w:gridCol w:w="1684"/>
        <w:gridCol w:w="2013"/>
      </w:tblGrid>
      <w:tr w:rsidR="00ED172B" w:rsidRPr="00ED172B" w14:paraId="5A5005B5" w14:textId="77777777" w:rsidTr="00986B99">
        <w:trPr>
          <w:trHeight w:val="361"/>
          <w:tblHeader/>
        </w:trPr>
        <w:tc>
          <w:tcPr>
            <w:tcW w:w="3349" w:type="pct"/>
            <w:vAlign w:val="center"/>
          </w:tcPr>
          <w:p w14:paraId="6D3F9035" w14:textId="7E06B650"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vAlign w:val="center"/>
          </w:tcPr>
          <w:p w14:paraId="3A8C3864"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825" w:type="pct"/>
            <w:vAlign w:val="center"/>
          </w:tcPr>
          <w:p w14:paraId="305C26FA"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A7B2FCB" w14:textId="77777777" w:rsidTr="00986B99">
        <w:trPr>
          <w:trHeight w:val="361"/>
        </w:trPr>
        <w:tc>
          <w:tcPr>
            <w:tcW w:w="3349" w:type="pct"/>
            <w:vAlign w:val="center"/>
          </w:tcPr>
          <w:p w14:paraId="4AF7D622"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vAlign w:val="center"/>
          </w:tcPr>
          <w:p w14:paraId="20DEA6FA" w14:textId="0A3DD681" w:rsidR="00A01E85" w:rsidRPr="00ED172B" w:rsidRDefault="00860830" w:rsidP="00186420">
            <w:pPr>
              <w:jc w:val="center"/>
              <w:rPr>
                <w:rFonts w:cs="Arial"/>
                <w:color w:val="000000" w:themeColor="text1"/>
                <w:szCs w:val="16"/>
              </w:rPr>
            </w:pPr>
            <w:r w:rsidRPr="00ED172B">
              <w:rPr>
                <w:rFonts w:cs="Arial"/>
                <w:color w:val="000000" w:themeColor="text1"/>
                <w:szCs w:val="16"/>
              </w:rPr>
              <w:t>274</w:t>
            </w:r>
          </w:p>
        </w:tc>
        <w:tc>
          <w:tcPr>
            <w:tcW w:w="825" w:type="pct"/>
            <w:vAlign w:val="center"/>
          </w:tcPr>
          <w:p w14:paraId="18B88962" w14:textId="134F5F95" w:rsidR="00A01E85" w:rsidRPr="00ED172B" w:rsidRDefault="00860830" w:rsidP="00186420">
            <w:pPr>
              <w:jc w:val="center"/>
              <w:rPr>
                <w:rFonts w:cs="Arial"/>
                <w:color w:val="000000" w:themeColor="text1"/>
                <w:szCs w:val="16"/>
              </w:rPr>
            </w:pPr>
            <w:r w:rsidRPr="00ED172B">
              <w:rPr>
                <w:rFonts w:cs="Arial"/>
                <w:color w:val="000000" w:themeColor="text1"/>
                <w:szCs w:val="16"/>
              </w:rPr>
              <w:t>2.92%</w:t>
            </w:r>
          </w:p>
        </w:tc>
      </w:tr>
      <w:tr w:rsidR="00ED172B" w:rsidRPr="00ED172B" w14:paraId="317D23ED" w14:textId="77777777" w:rsidTr="00986B99">
        <w:trPr>
          <w:trHeight w:val="361"/>
        </w:trPr>
        <w:tc>
          <w:tcPr>
            <w:tcW w:w="3349" w:type="pct"/>
            <w:vAlign w:val="center"/>
          </w:tcPr>
          <w:p w14:paraId="62E56B9D"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vAlign w:val="center"/>
          </w:tcPr>
          <w:p w14:paraId="165E6365" w14:textId="5D845E73" w:rsidR="00A01E85" w:rsidRPr="00ED172B" w:rsidRDefault="00860830" w:rsidP="00186420">
            <w:pPr>
              <w:jc w:val="center"/>
              <w:rPr>
                <w:rFonts w:cs="Arial"/>
                <w:color w:val="000000" w:themeColor="text1"/>
                <w:szCs w:val="16"/>
              </w:rPr>
            </w:pPr>
            <w:r w:rsidRPr="00ED172B">
              <w:rPr>
                <w:rFonts w:cs="Arial"/>
                <w:color w:val="000000" w:themeColor="text1"/>
                <w:szCs w:val="16"/>
              </w:rPr>
              <w:t>1,504</w:t>
            </w:r>
          </w:p>
        </w:tc>
        <w:tc>
          <w:tcPr>
            <w:tcW w:w="825" w:type="pct"/>
            <w:vAlign w:val="center"/>
          </w:tcPr>
          <w:p w14:paraId="3E17C8BF" w14:textId="617A2F45" w:rsidR="00A01E85" w:rsidRPr="00ED172B" w:rsidRDefault="00860830" w:rsidP="00186420">
            <w:pPr>
              <w:jc w:val="center"/>
              <w:rPr>
                <w:rFonts w:cs="Arial"/>
                <w:color w:val="000000" w:themeColor="text1"/>
                <w:szCs w:val="16"/>
              </w:rPr>
            </w:pPr>
            <w:r w:rsidRPr="00ED172B">
              <w:rPr>
                <w:rFonts w:cs="Arial"/>
                <w:color w:val="000000" w:themeColor="text1"/>
                <w:szCs w:val="16"/>
              </w:rPr>
              <w:t>16.00%</w:t>
            </w:r>
          </w:p>
        </w:tc>
      </w:tr>
      <w:tr w:rsidR="00ED172B" w:rsidRPr="00ED172B" w14:paraId="02B90E57" w14:textId="77777777" w:rsidTr="00986B99">
        <w:trPr>
          <w:trHeight w:val="361"/>
        </w:trPr>
        <w:tc>
          <w:tcPr>
            <w:tcW w:w="3349" w:type="pct"/>
            <w:vAlign w:val="center"/>
          </w:tcPr>
          <w:p w14:paraId="28D7FB17"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vAlign w:val="center"/>
          </w:tcPr>
          <w:p w14:paraId="00C8597B" w14:textId="3A2842CF" w:rsidR="00A01E85" w:rsidRPr="00ED172B" w:rsidRDefault="00860830" w:rsidP="00186420">
            <w:pPr>
              <w:jc w:val="center"/>
              <w:rPr>
                <w:rFonts w:cs="Arial"/>
                <w:color w:val="000000" w:themeColor="text1"/>
                <w:szCs w:val="16"/>
              </w:rPr>
            </w:pPr>
            <w:r w:rsidRPr="00ED172B">
              <w:rPr>
                <w:rFonts w:cs="Arial"/>
                <w:color w:val="000000" w:themeColor="text1"/>
                <w:szCs w:val="16"/>
              </w:rPr>
              <w:t>3,508</w:t>
            </w:r>
          </w:p>
        </w:tc>
        <w:tc>
          <w:tcPr>
            <w:tcW w:w="825" w:type="pct"/>
            <w:vAlign w:val="center"/>
          </w:tcPr>
          <w:p w14:paraId="211D7909" w14:textId="277445B5" w:rsidR="00A01E85" w:rsidRPr="00ED172B" w:rsidRDefault="00860830" w:rsidP="00186420">
            <w:pPr>
              <w:jc w:val="center"/>
              <w:rPr>
                <w:rFonts w:cs="Arial"/>
                <w:color w:val="000000" w:themeColor="text1"/>
                <w:szCs w:val="16"/>
              </w:rPr>
            </w:pPr>
            <w:r w:rsidRPr="00ED172B">
              <w:rPr>
                <w:rFonts w:cs="Arial"/>
                <w:color w:val="000000" w:themeColor="text1"/>
                <w:szCs w:val="16"/>
              </w:rPr>
              <w:t>37.33%</w:t>
            </w:r>
          </w:p>
        </w:tc>
      </w:tr>
      <w:tr w:rsidR="00ED172B" w:rsidRPr="00ED172B" w14:paraId="5FB47A28" w14:textId="77777777" w:rsidTr="00986B99">
        <w:trPr>
          <w:trHeight w:val="361"/>
        </w:trPr>
        <w:tc>
          <w:tcPr>
            <w:tcW w:w="3349" w:type="pct"/>
            <w:vAlign w:val="center"/>
          </w:tcPr>
          <w:p w14:paraId="1067C3D6"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vAlign w:val="center"/>
          </w:tcPr>
          <w:p w14:paraId="77D0A89E" w14:textId="3597E1A8" w:rsidR="00A01E85" w:rsidRPr="00ED172B" w:rsidRDefault="00860830" w:rsidP="00186420">
            <w:pPr>
              <w:jc w:val="center"/>
              <w:rPr>
                <w:rFonts w:cs="Arial"/>
                <w:color w:val="000000" w:themeColor="text1"/>
                <w:szCs w:val="16"/>
              </w:rPr>
            </w:pPr>
            <w:r w:rsidRPr="00ED172B">
              <w:rPr>
                <w:rFonts w:cs="Arial"/>
                <w:color w:val="000000" w:themeColor="text1"/>
                <w:szCs w:val="16"/>
              </w:rPr>
              <w:t>3,112</w:t>
            </w:r>
          </w:p>
        </w:tc>
        <w:tc>
          <w:tcPr>
            <w:tcW w:w="825" w:type="pct"/>
            <w:vAlign w:val="center"/>
          </w:tcPr>
          <w:p w14:paraId="1AE1B39E" w14:textId="32A2E9DA" w:rsidR="00A01E85" w:rsidRPr="00ED172B" w:rsidRDefault="00860830" w:rsidP="00186420">
            <w:pPr>
              <w:jc w:val="center"/>
              <w:rPr>
                <w:rFonts w:cs="Arial"/>
                <w:color w:val="000000" w:themeColor="text1"/>
                <w:szCs w:val="16"/>
              </w:rPr>
            </w:pPr>
            <w:r w:rsidRPr="00ED172B">
              <w:rPr>
                <w:rFonts w:cs="Arial"/>
                <w:color w:val="000000" w:themeColor="text1"/>
                <w:szCs w:val="16"/>
              </w:rPr>
              <w:t>33.11%</w:t>
            </w:r>
          </w:p>
        </w:tc>
      </w:tr>
      <w:tr w:rsidR="00ED172B" w:rsidRPr="00ED172B" w14:paraId="15B5829C" w14:textId="77777777" w:rsidTr="00986B99">
        <w:trPr>
          <w:trHeight w:val="361"/>
        </w:trPr>
        <w:tc>
          <w:tcPr>
            <w:tcW w:w="3349" w:type="pct"/>
            <w:vAlign w:val="center"/>
          </w:tcPr>
          <w:p w14:paraId="29BF2E7E"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vAlign w:val="center"/>
          </w:tcPr>
          <w:p w14:paraId="26676913" w14:textId="1EB8B76F" w:rsidR="00A01E85" w:rsidRPr="00ED172B" w:rsidRDefault="00860830" w:rsidP="00186420">
            <w:pPr>
              <w:jc w:val="center"/>
              <w:rPr>
                <w:rFonts w:cs="Arial"/>
                <w:color w:val="000000" w:themeColor="text1"/>
                <w:szCs w:val="16"/>
              </w:rPr>
            </w:pPr>
            <w:r w:rsidRPr="00ED172B">
              <w:rPr>
                <w:rFonts w:cs="Arial"/>
                <w:color w:val="000000" w:themeColor="text1"/>
                <w:szCs w:val="16"/>
              </w:rPr>
              <w:t>1,000</w:t>
            </w:r>
          </w:p>
        </w:tc>
        <w:tc>
          <w:tcPr>
            <w:tcW w:w="825" w:type="pct"/>
            <w:vAlign w:val="center"/>
          </w:tcPr>
          <w:p w14:paraId="6836B473" w14:textId="2EF21368" w:rsidR="00A01E85" w:rsidRPr="00ED172B" w:rsidRDefault="00860830" w:rsidP="00186420">
            <w:pPr>
              <w:jc w:val="center"/>
              <w:rPr>
                <w:rFonts w:cs="Arial"/>
                <w:color w:val="000000" w:themeColor="text1"/>
                <w:szCs w:val="16"/>
              </w:rPr>
            </w:pPr>
            <w:r w:rsidRPr="00ED172B">
              <w:rPr>
                <w:rFonts w:cs="Arial"/>
                <w:color w:val="000000" w:themeColor="text1"/>
                <w:szCs w:val="16"/>
              </w:rPr>
              <w:t>10.64%</w:t>
            </w:r>
          </w:p>
        </w:tc>
      </w:tr>
    </w:tbl>
    <w:p w14:paraId="6F60648C" w14:textId="098B2134"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6"/>
      </w:tblPr>
      <w:tblGrid>
        <w:gridCol w:w="7015"/>
        <w:gridCol w:w="1800"/>
        <w:gridCol w:w="1975"/>
      </w:tblGrid>
      <w:tr w:rsidR="00ED172B" w:rsidRPr="00ED172B" w14:paraId="55E19B8F" w14:textId="77777777" w:rsidTr="00986B99">
        <w:trPr>
          <w:trHeight w:val="361"/>
          <w:tblHeader/>
        </w:trPr>
        <w:tc>
          <w:tcPr>
            <w:tcW w:w="3251" w:type="pct"/>
            <w:vAlign w:val="center"/>
          </w:tcPr>
          <w:p w14:paraId="41A5A3CA" w14:textId="145A6157"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34" w:type="pct"/>
            <w:vAlign w:val="center"/>
          </w:tcPr>
          <w:p w14:paraId="0A896609"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915" w:type="pct"/>
            <w:vAlign w:val="center"/>
          </w:tcPr>
          <w:p w14:paraId="541C1F17"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3022466" w14:textId="77777777" w:rsidTr="00986B99">
        <w:trPr>
          <w:trHeight w:val="361"/>
        </w:trPr>
        <w:tc>
          <w:tcPr>
            <w:tcW w:w="3251" w:type="pct"/>
            <w:vAlign w:val="center"/>
          </w:tcPr>
          <w:p w14:paraId="4B198D7F"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34" w:type="pct"/>
            <w:vAlign w:val="center"/>
          </w:tcPr>
          <w:p w14:paraId="2E562518" w14:textId="37B0C190" w:rsidR="00A01E85"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915" w:type="pct"/>
            <w:vAlign w:val="center"/>
          </w:tcPr>
          <w:p w14:paraId="39D9C909" w14:textId="47A0A632" w:rsidR="00A01E85" w:rsidRPr="00ED172B" w:rsidRDefault="00860830" w:rsidP="00186420">
            <w:pPr>
              <w:jc w:val="center"/>
              <w:rPr>
                <w:rFonts w:cs="Arial"/>
                <w:color w:val="000000" w:themeColor="text1"/>
                <w:szCs w:val="16"/>
              </w:rPr>
            </w:pPr>
            <w:r w:rsidRPr="00ED172B">
              <w:rPr>
                <w:rFonts w:cs="Arial"/>
                <w:color w:val="000000" w:themeColor="text1"/>
                <w:szCs w:val="16"/>
              </w:rPr>
              <w:t>0.00%</w:t>
            </w:r>
          </w:p>
        </w:tc>
      </w:tr>
      <w:tr w:rsidR="00ED172B" w:rsidRPr="00ED172B" w14:paraId="3A408967" w14:textId="77777777" w:rsidTr="00986B99">
        <w:trPr>
          <w:trHeight w:val="361"/>
        </w:trPr>
        <w:tc>
          <w:tcPr>
            <w:tcW w:w="3251" w:type="pct"/>
            <w:vAlign w:val="center"/>
          </w:tcPr>
          <w:p w14:paraId="343B5DDC"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34" w:type="pct"/>
            <w:vAlign w:val="center"/>
          </w:tcPr>
          <w:p w14:paraId="648C7DB0" w14:textId="2F61E927" w:rsidR="00A01E85"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915" w:type="pct"/>
            <w:vAlign w:val="center"/>
          </w:tcPr>
          <w:p w14:paraId="7CBEAEB0" w14:textId="305F9843" w:rsidR="00A01E85" w:rsidRPr="00ED172B" w:rsidRDefault="00860830" w:rsidP="00186420">
            <w:pPr>
              <w:jc w:val="center"/>
              <w:rPr>
                <w:rFonts w:cs="Arial"/>
                <w:color w:val="000000" w:themeColor="text1"/>
                <w:szCs w:val="16"/>
              </w:rPr>
            </w:pPr>
            <w:r w:rsidRPr="00ED172B">
              <w:rPr>
                <w:rFonts w:cs="Arial"/>
                <w:color w:val="000000" w:themeColor="text1"/>
                <w:szCs w:val="16"/>
              </w:rPr>
              <w:t>0.00%</w:t>
            </w:r>
          </w:p>
        </w:tc>
      </w:tr>
      <w:tr w:rsidR="00ED172B" w:rsidRPr="00ED172B" w14:paraId="7E74A98F" w14:textId="77777777" w:rsidTr="00986B99">
        <w:trPr>
          <w:trHeight w:val="361"/>
        </w:trPr>
        <w:tc>
          <w:tcPr>
            <w:tcW w:w="3251" w:type="pct"/>
            <w:vAlign w:val="center"/>
          </w:tcPr>
          <w:p w14:paraId="58E40ACF"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34" w:type="pct"/>
            <w:vAlign w:val="center"/>
          </w:tcPr>
          <w:p w14:paraId="3F7F9199" w14:textId="5A3A501D" w:rsidR="00A01E85" w:rsidRPr="00ED172B" w:rsidRDefault="00860830" w:rsidP="00186420">
            <w:pPr>
              <w:jc w:val="center"/>
              <w:rPr>
                <w:rFonts w:cs="Arial"/>
                <w:color w:val="000000" w:themeColor="text1"/>
                <w:szCs w:val="16"/>
              </w:rPr>
            </w:pPr>
            <w:r w:rsidRPr="00ED172B">
              <w:rPr>
                <w:rFonts w:cs="Arial"/>
                <w:color w:val="000000" w:themeColor="text1"/>
                <w:szCs w:val="16"/>
              </w:rPr>
              <w:t>11</w:t>
            </w:r>
          </w:p>
        </w:tc>
        <w:tc>
          <w:tcPr>
            <w:tcW w:w="915" w:type="pct"/>
            <w:vAlign w:val="center"/>
          </w:tcPr>
          <w:p w14:paraId="1C0171BA" w14:textId="5E6108C5" w:rsidR="00A01E85" w:rsidRPr="00ED172B" w:rsidRDefault="00860830" w:rsidP="00186420">
            <w:pPr>
              <w:jc w:val="center"/>
              <w:rPr>
                <w:rFonts w:cs="Arial"/>
                <w:color w:val="000000" w:themeColor="text1"/>
                <w:szCs w:val="16"/>
              </w:rPr>
            </w:pPr>
            <w:r w:rsidRPr="00ED172B">
              <w:rPr>
                <w:rFonts w:cs="Arial"/>
                <w:color w:val="000000" w:themeColor="text1"/>
                <w:szCs w:val="16"/>
              </w:rPr>
              <w:t>8.66%</w:t>
            </w:r>
          </w:p>
        </w:tc>
      </w:tr>
      <w:tr w:rsidR="00ED172B" w:rsidRPr="00ED172B" w14:paraId="29810E40" w14:textId="77777777" w:rsidTr="00986B99">
        <w:trPr>
          <w:trHeight w:val="361"/>
        </w:trPr>
        <w:tc>
          <w:tcPr>
            <w:tcW w:w="3251" w:type="pct"/>
            <w:vAlign w:val="center"/>
          </w:tcPr>
          <w:p w14:paraId="5C99CD9B"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34" w:type="pct"/>
            <w:vAlign w:val="center"/>
          </w:tcPr>
          <w:p w14:paraId="13719A7D" w14:textId="0A20454D" w:rsidR="00A01E85" w:rsidRPr="00ED172B" w:rsidRDefault="00860830" w:rsidP="00186420">
            <w:pPr>
              <w:jc w:val="center"/>
              <w:rPr>
                <w:rFonts w:cs="Arial"/>
                <w:color w:val="000000" w:themeColor="text1"/>
                <w:szCs w:val="16"/>
              </w:rPr>
            </w:pPr>
            <w:r w:rsidRPr="00ED172B">
              <w:rPr>
                <w:rFonts w:cs="Arial"/>
                <w:color w:val="000000" w:themeColor="text1"/>
                <w:szCs w:val="16"/>
              </w:rPr>
              <w:t>87</w:t>
            </w:r>
          </w:p>
        </w:tc>
        <w:tc>
          <w:tcPr>
            <w:tcW w:w="915" w:type="pct"/>
            <w:vAlign w:val="center"/>
          </w:tcPr>
          <w:p w14:paraId="08406576" w14:textId="4B9A63E1" w:rsidR="00A01E85" w:rsidRPr="00ED172B" w:rsidRDefault="00860830" w:rsidP="00186420">
            <w:pPr>
              <w:jc w:val="center"/>
              <w:rPr>
                <w:rFonts w:cs="Arial"/>
                <w:color w:val="000000" w:themeColor="text1"/>
                <w:szCs w:val="16"/>
              </w:rPr>
            </w:pPr>
            <w:r w:rsidRPr="00ED172B">
              <w:rPr>
                <w:rFonts w:cs="Arial"/>
                <w:color w:val="000000" w:themeColor="text1"/>
                <w:szCs w:val="16"/>
              </w:rPr>
              <w:t>68.50%</w:t>
            </w:r>
          </w:p>
        </w:tc>
      </w:tr>
      <w:tr w:rsidR="00ED172B" w:rsidRPr="00ED172B" w14:paraId="05C44C74" w14:textId="77777777" w:rsidTr="00986B99">
        <w:trPr>
          <w:trHeight w:val="361"/>
        </w:trPr>
        <w:tc>
          <w:tcPr>
            <w:tcW w:w="3251" w:type="pct"/>
            <w:vAlign w:val="center"/>
          </w:tcPr>
          <w:p w14:paraId="570C716F"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34" w:type="pct"/>
            <w:vAlign w:val="center"/>
          </w:tcPr>
          <w:p w14:paraId="13689468" w14:textId="130F4982" w:rsidR="00A01E85" w:rsidRPr="00ED172B" w:rsidRDefault="00860830" w:rsidP="00186420">
            <w:pPr>
              <w:jc w:val="center"/>
              <w:rPr>
                <w:rFonts w:cs="Arial"/>
                <w:color w:val="000000" w:themeColor="text1"/>
                <w:szCs w:val="16"/>
              </w:rPr>
            </w:pPr>
            <w:r w:rsidRPr="00ED172B">
              <w:rPr>
                <w:rFonts w:cs="Arial"/>
                <w:color w:val="000000" w:themeColor="text1"/>
                <w:szCs w:val="16"/>
              </w:rPr>
              <w:t>29</w:t>
            </w:r>
          </w:p>
        </w:tc>
        <w:tc>
          <w:tcPr>
            <w:tcW w:w="915" w:type="pct"/>
            <w:vAlign w:val="center"/>
          </w:tcPr>
          <w:p w14:paraId="2E120E88" w14:textId="7CF6814E" w:rsidR="00A01E85" w:rsidRPr="00ED172B" w:rsidRDefault="00860830" w:rsidP="00186420">
            <w:pPr>
              <w:jc w:val="center"/>
              <w:rPr>
                <w:rFonts w:cs="Arial"/>
                <w:color w:val="000000" w:themeColor="text1"/>
                <w:szCs w:val="16"/>
              </w:rPr>
            </w:pPr>
            <w:r w:rsidRPr="00ED172B">
              <w:rPr>
                <w:rFonts w:cs="Arial"/>
                <w:color w:val="000000" w:themeColor="text1"/>
                <w:szCs w:val="16"/>
              </w:rPr>
              <w:t>22.83%</w:t>
            </w:r>
          </w:p>
        </w:tc>
      </w:tr>
    </w:tbl>
    <w:p w14:paraId="12903749" w14:textId="77777777"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7"/>
      </w:tblPr>
      <w:tblGrid>
        <w:gridCol w:w="2335"/>
        <w:gridCol w:w="1260"/>
        <w:gridCol w:w="1260"/>
        <w:gridCol w:w="1349"/>
        <w:gridCol w:w="1351"/>
        <w:gridCol w:w="1079"/>
        <w:gridCol w:w="1172"/>
        <w:gridCol w:w="984"/>
      </w:tblGrid>
      <w:tr w:rsidR="00ED172B" w:rsidRPr="00ED172B" w14:paraId="59748C4D" w14:textId="77777777" w:rsidTr="00986B99">
        <w:trPr>
          <w:tblHeader/>
        </w:trPr>
        <w:tc>
          <w:tcPr>
            <w:tcW w:w="1082" w:type="pct"/>
            <w:vAlign w:val="bottom"/>
          </w:tcPr>
          <w:p w14:paraId="5FFE52CE" w14:textId="14F5EA8C"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vAlign w:val="bottom"/>
          </w:tcPr>
          <w:p w14:paraId="3ABBA418"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vAlign w:val="bottom"/>
          </w:tcPr>
          <w:p w14:paraId="4B92FED7"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5" w:type="pct"/>
            <w:vAlign w:val="bottom"/>
          </w:tcPr>
          <w:p w14:paraId="61475AF1" w14:textId="093392E2" w:rsidR="00743466" w:rsidRPr="00ED172B" w:rsidRDefault="00CD74B5" w:rsidP="00743466">
            <w:pPr>
              <w:keepNext/>
              <w:jc w:val="center"/>
              <w:rPr>
                <w:rFonts w:cs="Arial"/>
                <w:b/>
                <w:color w:val="000000" w:themeColor="text1"/>
                <w:szCs w:val="16"/>
              </w:rPr>
            </w:pPr>
            <w:r>
              <w:rPr>
                <w:rFonts w:cs="Arial"/>
                <w:b/>
                <w:color w:val="000000" w:themeColor="text1"/>
                <w:szCs w:val="16"/>
              </w:rPr>
              <w:t>FFY 2023 Data</w:t>
            </w:r>
          </w:p>
        </w:tc>
        <w:tc>
          <w:tcPr>
            <w:tcW w:w="626" w:type="pct"/>
            <w:vAlign w:val="bottom"/>
          </w:tcPr>
          <w:p w14:paraId="0978AB6B" w14:textId="1A96A313" w:rsidR="00743466" w:rsidRPr="00ED172B" w:rsidRDefault="00F22D09" w:rsidP="00743466">
            <w:pPr>
              <w:keepNext/>
              <w:jc w:val="center"/>
              <w:rPr>
                <w:rFonts w:cs="Arial"/>
                <w:b/>
                <w:color w:val="000000" w:themeColor="text1"/>
                <w:szCs w:val="16"/>
              </w:rPr>
            </w:pPr>
            <w:r>
              <w:rPr>
                <w:rFonts w:cs="Arial"/>
                <w:b/>
                <w:color w:val="000000" w:themeColor="text1"/>
                <w:szCs w:val="16"/>
              </w:rPr>
              <w:t>FFY 2024 Target</w:t>
            </w:r>
          </w:p>
        </w:tc>
        <w:tc>
          <w:tcPr>
            <w:tcW w:w="500" w:type="pct"/>
            <w:vAlign w:val="bottom"/>
          </w:tcPr>
          <w:p w14:paraId="7554CF81" w14:textId="1FFAC182" w:rsidR="00743466" w:rsidRPr="00ED172B" w:rsidRDefault="00F22D09" w:rsidP="00743466">
            <w:pPr>
              <w:keepNext/>
              <w:jc w:val="center"/>
              <w:rPr>
                <w:rFonts w:cs="Arial"/>
                <w:b/>
                <w:color w:val="000000" w:themeColor="text1"/>
                <w:szCs w:val="16"/>
              </w:rPr>
            </w:pPr>
            <w:r>
              <w:rPr>
                <w:rFonts w:cs="Arial"/>
                <w:b/>
                <w:color w:val="000000" w:themeColor="text1"/>
                <w:szCs w:val="16"/>
              </w:rPr>
              <w:t>FFY 2024 Data</w:t>
            </w:r>
          </w:p>
        </w:tc>
        <w:tc>
          <w:tcPr>
            <w:tcW w:w="543" w:type="pct"/>
            <w:vAlign w:val="bottom"/>
          </w:tcPr>
          <w:p w14:paraId="51A98B70"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vAlign w:val="bottom"/>
          </w:tcPr>
          <w:p w14:paraId="70572006"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2F1207AF" w14:textId="77777777" w:rsidTr="00986B99">
        <w:tc>
          <w:tcPr>
            <w:tcW w:w="1082" w:type="pct"/>
          </w:tcPr>
          <w:p w14:paraId="67374534" w14:textId="6D5947C9" w:rsidR="00A01E85" w:rsidRPr="00ED172B" w:rsidRDefault="00A01E85" w:rsidP="00A01E85">
            <w:pPr>
              <w:rPr>
                <w:rFonts w:cs="Arial"/>
                <w:color w:val="000000" w:themeColor="text1"/>
                <w:szCs w:val="16"/>
              </w:rPr>
            </w:pPr>
            <w:r w:rsidRPr="00ED172B">
              <w:rPr>
                <w:rFonts w:cs="Arial"/>
                <w:color w:val="000000" w:themeColor="text1"/>
                <w:szCs w:val="16"/>
              </w:rPr>
              <w:t xml:space="preserve">B1. Of those children who entered or exited the program below age expectations in Outcome B, the percent who substantially increased their rate of growth by the time </w:t>
            </w:r>
            <w:r w:rsidRPr="00ED172B">
              <w:rPr>
                <w:rFonts w:cs="Arial"/>
                <w:color w:val="000000" w:themeColor="text1"/>
                <w:szCs w:val="16"/>
              </w:rPr>
              <w:lastRenderedPageBreak/>
              <w:t>they turned 3 years of age or exited the program</w:t>
            </w:r>
          </w:p>
        </w:tc>
        <w:tc>
          <w:tcPr>
            <w:tcW w:w="584" w:type="pct"/>
            <w:vAlign w:val="center"/>
          </w:tcPr>
          <w:p w14:paraId="4E66D6EC" w14:textId="17ADD3F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lastRenderedPageBreak/>
              <w:t>6,620</w:t>
            </w:r>
          </w:p>
        </w:tc>
        <w:tc>
          <w:tcPr>
            <w:tcW w:w="584" w:type="pct"/>
            <w:vAlign w:val="center"/>
          </w:tcPr>
          <w:p w14:paraId="5A4FFF50" w14:textId="54850FE2"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8,398</w:t>
            </w:r>
          </w:p>
        </w:tc>
        <w:tc>
          <w:tcPr>
            <w:tcW w:w="625" w:type="pct"/>
            <w:vAlign w:val="center"/>
          </w:tcPr>
          <w:p w14:paraId="4A028943" w14:textId="36186E9F" w:rsidR="00A01E85" w:rsidRPr="00ED172B" w:rsidRDefault="00860830" w:rsidP="00A01E85">
            <w:pPr>
              <w:jc w:val="center"/>
              <w:rPr>
                <w:rFonts w:cs="Arial"/>
                <w:color w:val="000000" w:themeColor="text1"/>
                <w:szCs w:val="16"/>
              </w:rPr>
            </w:pPr>
            <w:r w:rsidRPr="00ED172B">
              <w:rPr>
                <w:rFonts w:cs="Arial"/>
                <w:color w:val="000000" w:themeColor="text1"/>
                <w:szCs w:val="16"/>
              </w:rPr>
              <w:t>79.49%</w:t>
            </w:r>
          </w:p>
        </w:tc>
        <w:tc>
          <w:tcPr>
            <w:tcW w:w="626" w:type="pct"/>
            <w:vAlign w:val="center"/>
          </w:tcPr>
          <w:p w14:paraId="5E58AA14" w14:textId="2A0678D1" w:rsidR="00A01E85" w:rsidRPr="00ED172B" w:rsidRDefault="001E39E3" w:rsidP="001E39E3">
            <w:pPr>
              <w:jc w:val="center"/>
              <w:rPr>
                <w:color w:val="000000" w:themeColor="text1"/>
              </w:rPr>
            </w:pPr>
            <w:r w:rsidRPr="00ED172B">
              <w:rPr>
                <w:color w:val="000000" w:themeColor="text1"/>
              </w:rPr>
              <w:t>88.25%</w:t>
            </w:r>
          </w:p>
        </w:tc>
        <w:tc>
          <w:tcPr>
            <w:tcW w:w="500" w:type="pct"/>
            <w:vAlign w:val="center"/>
          </w:tcPr>
          <w:p w14:paraId="0A8199D6" w14:textId="27A7B7E0" w:rsidR="00A01E85" w:rsidRPr="00ED172B" w:rsidRDefault="00860830" w:rsidP="00A01E85">
            <w:pPr>
              <w:jc w:val="center"/>
              <w:rPr>
                <w:rFonts w:cs="Arial"/>
                <w:color w:val="000000" w:themeColor="text1"/>
                <w:szCs w:val="16"/>
              </w:rPr>
            </w:pPr>
            <w:r w:rsidRPr="00ED172B">
              <w:rPr>
                <w:rFonts w:cs="Arial"/>
                <w:color w:val="000000" w:themeColor="text1"/>
                <w:szCs w:val="16"/>
              </w:rPr>
              <w:t>78.83%</w:t>
            </w:r>
          </w:p>
        </w:tc>
        <w:tc>
          <w:tcPr>
            <w:tcW w:w="543" w:type="pct"/>
            <w:vAlign w:val="center"/>
          </w:tcPr>
          <w:p w14:paraId="28F74EAE" w14:textId="5C61405E"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vAlign w:val="center"/>
          </w:tcPr>
          <w:p w14:paraId="32923BEF" w14:textId="09781E6B"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621DC5E2" w14:textId="77777777" w:rsidTr="00986B99">
        <w:tc>
          <w:tcPr>
            <w:tcW w:w="1082" w:type="pct"/>
          </w:tcPr>
          <w:p w14:paraId="61BD7F77" w14:textId="078E2F06"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vAlign w:val="center"/>
          </w:tcPr>
          <w:p w14:paraId="3DCFEF97" w14:textId="3B20FCE3"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4,112</w:t>
            </w:r>
          </w:p>
        </w:tc>
        <w:tc>
          <w:tcPr>
            <w:tcW w:w="584" w:type="pct"/>
            <w:vAlign w:val="center"/>
          </w:tcPr>
          <w:p w14:paraId="6D275B41" w14:textId="3BEDD988"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9,398</w:t>
            </w:r>
          </w:p>
        </w:tc>
        <w:tc>
          <w:tcPr>
            <w:tcW w:w="625" w:type="pct"/>
            <w:vAlign w:val="center"/>
          </w:tcPr>
          <w:p w14:paraId="19E4BFEE" w14:textId="74887F6A" w:rsidR="00A01E85" w:rsidRPr="00ED172B" w:rsidRDefault="00860830" w:rsidP="00A01E85">
            <w:pPr>
              <w:jc w:val="center"/>
              <w:rPr>
                <w:rFonts w:cs="Arial"/>
                <w:color w:val="000000" w:themeColor="text1"/>
                <w:szCs w:val="16"/>
              </w:rPr>
            </w:pPr>
            <w:r w:rsidRPr="00ED172B">
              <w:rPr>
                <w:rFonts w:cs="Arial"/>
                <w:color w:val="000000" w:themeColor="text1"/>
                <w:szCs w:val="16"/>
              </w:rPr>
              <w:t>42.70%</w:t>
            </w:r>
          </w:p>
        </w:tc>
        <w:tc>
          <w:tcPr>
            <w:tcW w:w="626" w:type="pct"/>
            <w:vAlign w:val="center"/>
          </w:tcPr>
          <w:p w14:paraId="77A3D5EA" w14:textId="2D2C411D" w:rsidR="00A01E85" w:rsidRPr="00ED172B" w:rsidRDefault="001E39E3" w:rsidP="001E39E3">
            <w:pPr>
              <w:jc w:val="center"/>
              <w:rPr>
                <w:color w:val="000000" w:themeColor="text1"/>
              </w:rPr>
            </w:pPr>
            <w:r w:rsidRPr="00ED172B">
              <w:rPr>
                <w:color w:val="000000" w:themeColor="text1"/>
              </w:rPr>
              <w:t>52.20%</w:t>
            </w:r>
          </w:p>
        </w:tc>
        <w:tc>
          <w:tcPr>
            <w:tcW w:w="500" w:type="pct"/>
            <w:vAlign w:val="center"/>
          </w:tcPr>
          <w:p w14:paraId="635264A5" w14:textId="47635B5F" w:rsidR="00A01E85" w:rsidRPr="00ED172B" w:rsidRDefault="00860830" w:rsidP="00A01E85">
            <w:pPr>
              <w:jc w:val="center"/>
              <w:rPr>
                <w:rFonts w:cs="Arial"/>
                <w:color w:val="000000" w:themeColor="text1"/>
                <w:szCs w:val="16"/>
              </w:rPr>
            </w:pPr>
            <w:r w:rsidRPr="00ED172B">
              <w:rPr>
                <w:rFonts w:cs="Arial"/>
                <w:color w:val="000000" w:themeColor="text1"/>
                <w:szCs w:val="16"/>
              </w:rPr>
              <w:t>43.75%</w:t>
            </w:r>
          </w:p>
        </w:tc>
        <w:tc>
          <w:tcPr>
            <w:tcW w:w="543" w:type="pct"/>
            <w:vAlign w:val="center"/>
          </w:tcPr>
          <w:p w14:paraId="6AEC0AD8" w14:textId="47D0C390"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vAlign w:val="center"/>
          </w:tcPr>
          <w:p w14:paraId="7C68F8CD" w14:textId="122AA1F5"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bl>
    <w:p w14:paraId="5ED89657"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8"/>
      </w:tblPr>
      <w:tblGrid>
        <w:gridCol w:w="2425"/>
        <w:gridCol w:w="1260"/>
        <w:gridCol w:w="1349"/>
        <w:gridCol w:w="1351"/>
        <w:gridCol w:w="1170"/>
        <w:gridCol w:w="1172"/>
        <w:gridCol w:w="1081"/>
        <w:gridCol w:w="982"/>
      </w:tblGrid>
      <w:tr w:rsidR="00ED172B" w:rsidRPr="00ED172B" w14:paraId="28BF044D" w14:textId="77777777" w:rsidTr="00986B99">
        <w:trPr>
          <w:tblHeader/>
        </w:trPr>
        <w:tc>
          <w:tcPr>
            <w:tcW w:w="1124" w:type="pct"/>
            <w:vAlign w:val="bottom"/>
          </w:tcPr>
          <w:p w14:paraId="48004B61" w14:textId="0787F6A1"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vAlign w:val="bottom"/>
          </w:tcPr>
          <w:p w14:paraId="4E589D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vAlign w:val="bottom"/>
          </w:tcPr>
          <w:p w14:paraId="38AAD24F"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vAlign w:val="bottom"/>
          </w:tcPr>
          <w:p w14:paraId="0C52FED0" w14:textId="71DE5524" w:rsidR="00743466" w:rsidRPr="00ED172B" w:rsidRDefault="00CD74B5" w:rsidP="00743466">
            <w:pPr>
              <w:keepNext/>
              <w:jc w:val="center"/>
              <w:rPr>
                <w:rFonts w:cs="Arial"/>
                <w:b/>
                <w:color w:val="000000" w:themeColor="text1"/>
                <w:szCs w:val="16"/>
              </w:rPr>
            </w:pPr>
            <w:r>
              <w:rPr>
                <w:rFonts w:cs="Arial"/>
                <w:b/>
                <w:color w:val="000000" w:themeColor="text1"/>
                <w:szCs w:val="16"/>
              </w:rPr>
              <w:t>FFY 2023 Data</w:t>
            </w:r>
          </w:p>
        </w:tc>
        <w:tc>
          <w:tcPr>
            <w:tcW w:w="542" w:type="pct"/>
            <w:vAlign w:val="bottom"/>
          </w:tcPr>
          <w:p w14:paraId="67062A6E" w14:textId="797539C4" w:rsidR="00743466" w:rsidRPr="00ED172B" w:rsidRDefault="00F22D09" w:rsidP="00743466">
            <w:pPr>
              <w:keepNext/>
              <w:jc w:val="center"/>
              <w:rPr>
                <w:rFonts w:cs="Arial"/>
                <w:b/>
                <w:color w:val="000000" w:themeColor="text1"/>
                <w:szCs w:val="16"/>
              </w:rPr>
            </w:pPr>
            <w:r>
              <w:rPr>
                <w:rFonts w:cs="Arial"/>
                <w:b/>
                <w:color w:val="000000" w:themeColor="text1"/>
                <w:szCs w:val="16"/>
              </w:rPr>
              <w:t>FFY 2024 Target</w:t>
            </w:r>
          </w:p>
        </w:tc>
        <w:tc>
          <w:tcPr>
            <w:tcW w:w="543" w:type="pct"/>
            <w:vAlign w:val="bottom"/>
          </w:tcPr>
          <w:p w14:paraId="7296B8FE" w14:textId="2135FF6D" w:rsidR="00743466" w:rsidRPr="00ED172B" w:rsidRDefault="00F22D09" w:rsidP="00743466">
            <w:pPr>
              <w:keepNext/>
              <w:jc w:val="center"/>
              <w:rPr>
                <w:rFonts w:cs="Arial"/>
                <w:b/>
                <w:color w:val="000000" w:themeColor="text1"/>
                <w:szCs w:val="16"/>
              </w:rPr>
            </w:pPr>
            <w:r>
              <w:rPr>
                <w:rFonts w:cs="Arial"/>
                <w:b/>
                <w:color w:val="000000" w:themeColor="text1"/>
                <w:szCs w:val="16"/>
              </w:rPr>
              <w:t>FFY 2024 Data</w:t>
            </w:r>
          </w:p>
        </w:tc>
        <w:tc>
          <w:tcPr>
            <w:tcW w:w="501" w:type="pct"/>
            <w:vAlign w:val="bottom"/>
          </w:tcPr>
          <w:p w14:paraId="1B43CBDB"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vAlign w:val="bottom"/>
          </w:tcPr>
          <w:p w14:paraId="12F0537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116D5CCC" w14:textId="77777777" w:rsidTr="00986B99">
        <w:tc>
          <w:tcPr>
            <w:tcW w:w="1124" w:type="pct"/>
          </w:tcPr>
          <w:p w14:paraId="4314D26B" w14:textId="6C3F3968" w:rsidR="00A01E85" w:rsidRPr="00ED172B" w:rsidRDefault="00A01E85" w:rsidP="00A01E85">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vAlign w:val="center"/>
          </w:tcPr>
          <w:p w14:paraId="10D9218D" w14:textId="6AFBF7F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98</w:t>
            </w:r>
          </w:p>
        </w:tc>
        <w:tc>
          <w:tcPr>
            <w:tcW w:w="625" w:type="pct"/>
            <w:vAlign w:val="center"/>
          </w:tcPr>
          <w:p w14:paraId="74E8C70E" w14:textId="571D967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98</w:t>
            </w:r>
          </w:p>
        </w:tc>
        <w:tc>
          <w:tcPr>
            <w:tcW w:w="626" w:type="pct"/>
            <w:vAlign w:val="center"/>
          </w:tcPr>
          <w:p w14:paraId="21296411" w14:textId="57290262"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42" w:type="pct"/>
            <w:vAlign w:val="center"/>
          </w:tcPr>
          <w:p w14:paraId="4BF09CF1" w14:textId="205C17B0" w:rsidR="00A01E85" w:rsidRPr="00ED172B" w:rsidRDefault="001E39E3" w:rsidP="001E39E3">
            <w:pPr>
              <w:jc w:val="center"/>
              <w:rPr>
                <w:color w:val="000000" w:themeColor="text1"/>
              </w:rPr>
            </w:pPr>
            <w:r w:rsidRPr="00ED172B">
              <w:rPr>
                <w:color w:val="000000" w:themeColor="text1"/>
              </w:rPr>
              <w:t/>
            </w:r>
          </w:p>
        </w:tc>
        <w:tc>
          <w:tcPr>
            <w:tcW w:w="543" w:type="pct"/>
            <w:vAlign w:val="center"/>
          </w:tcPr>
          <w:p w14:paraId="68C1AF4D" w14:textId="60CF2502"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01" w:type="pct"/>
            <w:vAlign w:val="center"/>
          </w:tcPr>
          <w:p w14:paraId="696F106F" w14:textId="719EA38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vAlign w:val="center"/>
          </w:tcPr>
          <w:p w14:paraId="64D66F01" w14:textId="4BA641B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160911FF" w14:textId="77777777" w:rsidTr="00986B99">
        <w:tc>
          <w:tcPr>
            <w:tcW w:w="1124" w:type="pct"/>
          </w:tcPr>
          <w:p w14:paraId="2B8DB303" w14:textId="15B2256B"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vAlign w:val="center"/>
          </w:tcPr>
          <w:p w14:paraId="761936B4" w14:textId="46E9DA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116</w:t>
            </w:r>
          </w:p>
        </w:tc>
        <w:tc>
          <w:tcPr>
            <w:tcW w:w="625" w:type="pct"/>
            <w:vAlign w:val="center"/>
          </w:tcPr>
          <w:p w14:paraId="40549592" w14:textId="716D75F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127</w:t>
            </w:r>
          </w:p>
        </w:tc>
        <w:tc>
          <w:tcPr>
            <w:tcW w:w="626" w:type="pct"/>
            <w:vAlign w:val="center"/>
          </w:tcPr>
          <w:p w14:paraId="07FAD763" w14:textId="68E47174" w:rsidR="00A01E85" w:rsidRPr="00ED172B" w:rsidRDefault="00860830" w:rsidP="00A01E85">
            <w:pPr>
              <w:jc w:val="center"/>
              <w:rPr>
                <w:rFonts w:cs="Arial"/>
                <w:color w:val="000000" w:themeColor="text1"/>
                <w:szCs w:val="16"/>
              </w:rPr>
            </w:pPr>
            <w:r w:rsidRPr="00ED172B">
              <w:rPr>
                <w:rFonts w:cs="Arial"/>
                <w:color w:val="000000" w:themeColor="text1"/>
                <w:szCs w:val="16"/>
              </w:rPr>
              <w:t>88.57%</w:t>
            </w:r>
          </w:p>
        </w:tc>
        <w:tc>
          <w:tcPr>
            <w:tcW w:w="542" w:type="pct"/>
            <w:vAlign w:val="center"/>
          </w:tcPr>
          <w:p w14:paraId="3D25A02C" w14:textId="2B3D448E" w:rsidR="00A01E85" w:rsidRPr="00ED172B" w:rsidRDefault="002332D6">
            <w:pPr>
              <w:jc w:val="center"/>
              <w:rPr>
                <w:color w:val="000000" w:themeColor="text1"/>
              </w:rPr>
            </w:pPr>
            <w:r w:rsidRPr="00ED172B">
              <w:rPr>
                <w:color w:val="000000" w:themeColor="text1"/>
              </w:rPr>
              <w:t/>
            </w:r>
          </w:p>
        </w:tc>
        <w:tc>
          <w:tcPr>
            <w:tcW w:w="543" w:type="pct"/>
            <w:vAlign w:val="center"/>
          </w:tcPr>
          <w:p w14:paraId="677E7C18" w14:textId="7890B12F" w:rsidR="00A01E85" w:rsidRPr="00ED172B" w:rsidRDefault="00860830" w:rsidP="00A01E85">
            <w:pPr>
              <w:jc w:val="center"/>
              <w:rPr>
                <w:rFonts w:cs="Arial"/>
                <w:color w:val="000000" w:themeColor="text1"/>
                <w:szCs w:val="16"/>
              </w:rPr>
            </w:pPr>
            <w:r w:rsidRPr="00ED172B">
              <w:rPr>
                <w:rFonts w:cs="Arial"/>
                <w:color w:val="000000" w:themeColor="text1"/>
                <w:szCs w:val="16"/>
              </w:rPr>
              <w:t>91.34%</w:t>
            </w:r>
          </w:p>
        </w:tc>
        <w:tc>
          <w:tcPr>
            <w:tcW w:w="501" w:type="pct"/>
            <w:vAlign w:val="center"/>
          </w:tcPr>
          <w:p w14:paraId="7A6B82D3" w14:textId="728C38AD"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vAlign w:val="center"/>
          </w:tcPr>
          <w:p w14:paraId="0986DE41" w14:textId="7D85ED65"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AD77A06" w14:textId="40821E3C" w:rsidR="0084029E" w:rsidRPr="00ED172B" w:rsidRDefault="0084029E">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9"/>
      </w:tblPr>
      <w:tblGrid>
        <w:gridCol w:w="7075"/>
        <w:gridCol w:w="1693"/>
        <w:gridCol w:w="2022"/>
      </w:tblGrid>
      <w:tr w:rsidR="00ED172B" w:rsidRPr="00ED172B" w14:paraId="316DB57D" w14:textId="77777777" w:rsidTr="00986B99">
        <w:trPr>
          <w:trHeight w:val="361"/>
          <w:tblHeader/>
        </w:trPr>
        <w:tc>
          <w:tcPr>
            <w:tcW w:w="3349" w:type="pct"/>
            <w:vAlign w:val="center"/>
          </w:tcPr>
          <w:p w14:paraId="67713AA1" w14:textId="0483A79B"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vAlign w:val="center"/>
          </w:tcPr>
          <w:p w14:paraId="7DE31577"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Number of Children</w:t>
            </w:r>
          </w:p>
        </w:tc>
        <w:tc>
          <w:tcPr>
            <w:tcW w:w="825" w:type="pct"/>
            <w:vAlign w:val="center"/>
          </w:tcPr>
          <w:p w14:paraId="0BBB746A"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08B0F4A" w14:textId="77777777" w:rsidTr="00986B99">
        <w:trPr>
          <w:trHeight w:val="361"/>
        </w:trPr>
        <w:tc>
          <w:tcPr>
            <w:tcW w:w="3349" w:type="pct"/>
            <w:vAlign w:val="center"/>
          </w:tcPr>
          <w:p w14:paraId="58D851FA"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vAlign w:val="center"/>
          </w:tcPr>
          <w:p w14:paraId="7DCDCE4A" w14:textId="007E97AE" w:rsidR="00A01E85" w:rsidRPr="00ED172B" w:rsidRDefault="00860830" w:rsidP="002E64AF">
            <w:pPr>
              <w:jc w:val="center"/>
              <w:rPr>
                <w:rFonts w:cs="Arial"/>
                <w:color w:val="000000" w:themeColor="text1"/>
                <w:szCs w:val="16"/>
              </w:rPr>
            </w:pPr>
            <w:r w:rsidRPr="00ED172B">
              <w:rPr>
                <w:rFonts w:cs="Arial"/>
                <w:color w:val="000000" w:themeColor="text1"/>
                <w:szCs w:val="16"/>
              </w:rPr>
              <w:t>173</w:t>
            </w:r>
          </w:p>
        </w:tc>
        <w:tc>
          <w:tcPr>
            <w:tcW w:w="825" w:type="pct"/>
            <w:vAlign w:val="center"/>
          </w:tcPr>
          <w:p w14:paraId="5B6FF15B" w14:textId="39D478E0" w:rsidR="00A01E85" w:rsidRPr="00ED172B" w:rsidRDefault="00860830" w:rsidP="002E64AF">
            <w:pPr>
              <w:jc w:val="center"/>
              <w:rPr>
                <w:rFonts w:cs="Arial"/>
                <w:color w:val="000000" w:themeColor="text1"/>
                <w:szCs w:val="16"/>
              </w:rPr>
            </w:pPr>
            <w:r w:rsidRPr="00ED172B">
              <w:rPr>
                <w:rFonts w:cs="Arial"/>
                <w:color w:val="000000" w:themeColor="text1"/>
                <w:szCs w:val="16"/>
              </w:rPr>
              <w:t>1.84%</w:t>
            </w:r>
          </w:p>
        </w:tc>
      </w:tr>
      <w:tr w:rsidR="00ED172B" w:rsidRPr="00ED172B" w14:paraId="6C5C53D1" w14:textId="77777777" w:rsidTr="00986B99">
        <w:trPr>
          <w:trHeight w:val="361"/>
        </w:trPr>
        <w:tc>
          <w:tcPr>
            <w:tcW w:w="3349" w:type="pct"/>
            <w:vAlign w:val="center"/>
          </w:tcPr>
          <w:p w14:paraId="21D684EB"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vAlign w:val="center"/>
          </w:tcPr>
          <w:p w14:paraId="3DB5E8BD" w14:textId="0C728BFA" w:rsidR="00A01E85" w:rsidRPr="00ED172B" w:rsidRDefault="00860830" w:rsidP="002E64AF">
            <w:pPr>
              <w:jc w:val="center"/>
              <w:rPr>
                <w:rFonts w:cs="Arial"/>
                <w:color w:val="000000" w:themeColor="text1"/>
                <w:szCs w:val="16"/>
              </w:rPr>
            </w:pPr>
            <w:r w:rsidRPr="00ED172B">
              <w:rPr>
                <w:rFonts w:cs="Arial"/>
                <w:color w:val="000000" w:themeColor="text1"/>
                <w:szCs w:val="16"/>
              </w:rPr>
              <w:t>639</w:t>
            </w:r>
          </w:p>
        </w:tc>
        <w:tc>
          <w:tcPr>
            <w:tcW w:w="825" w:type="pct"/>
            <w:vAlign w:val="center"/>
          </w:tcPr>
          <w:p w14:paraId="06AE6B70" w14:textId="7BD9DD7B" w:rsidR="00A01E85" w:rsidRPr="00ED172B" w:rsidRDefault="00860830" w:rsidP="002E64AF">
            <w:pPr>
              <w:jc w:val="center"/>
              <w:rPr>
                <w:rFonts w:cs="Arial"/>
                <w:color w:val="000000" w:themeColor="text1"/>
                <w:szCs w:val="16"/>
              </w:rPr>
            </w:pPr>
            <w:r w:rsidRPr="00ED172B">
              <w:rPr>
                <w:rFonts w:cs="Arial"/>
                <w:color w:val="000000" w:themeColor="text1"/>
                <w:szCs w:val="16"/>
              </w:rPr>
              <w:t>6.80%</w:t>
            </w:r>
          </w:p>
        </w:tc>
      </w:tr>
      <w:tr w:rsidR="00ED172B" w:rsidRPr="00ED172B" w14:paraId="21162FD4" w14:textId="77777777" w:rsidTr="00986B99">
        <w:trPr>
          <w:trHeight w:val="395"/>
        </w:trPr>
        <w:tc>
          <w:tcPr>
            <w:tcW w:w="3349" w:type="pct"/>
            <w:vAlign w:val="center"/>
          </w:tcPr>
          <w:p w14:paraId="2D08789B"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vAlign w:val="center"/>
          </w:tcPr>
          <w:p w14:paraId="39079991" w14:textId="2170A481" w:rsidR="00A01E85" w:rsidRPr="00ED172B" w:rsidRDefault="00860830" w:rsidP="002E64AF">
            <w:pPr>
              <w:jc w:val="center"/>
              <w:rPr>
                <w:rFonts w:cs="Arial"/>
                <w:color w:val="000000" w:themeColor="text1"/>
                <w:szCs w:val="16"/>
              </w:rPr>
            </w:pPr>
            <w:r w:rsidRPr="00ED172B">
              <w:rPr>
                <w:rFonts w:cs="Arial"/>
                <w:color w:val="000000" w:themeColor="text1"/>
                <w:szCs w:val="16"/>
              </w:rPr>
              <w:t>3,336</w:t>
            </w:r>
          </w:p>
        </w:tc>
        <w:tc>
          <w:tcPr>
            <w:tcW w:w="825" w:type="pct"/>
            <w:vAlign w:val="center"/>
          </w:tcPr>
          <w:p w14:paraId="739B1F8C" w14:textId="7012C479" w:rsidR="00A01E85" w:rsidRPr="00ED172B" w:rsidRDefault="00860830" w:rsidP="002E64AF">
            <w:pPr>
              <w:jc w:val="center"/>
              <w:rPr>
                <w:rFonts w:cs="Arial"/>
                <w:color w:val="000000" w:themeColor="text1"/>
                <w:szCs w:val="16"/>
              </w:rPr>
            </w:pPr>
            <w:r w:rsidRPr="00ED172B">
              <w:rPr>
                <w:rFonts w:cs="Arial"/>
                <w:color w:val="000000" w:themeColor="text1"/>
                <w:szCs w:val="16"/>
              </w:rPr>
              <w:t>35.50%</w:t>
            </w:r>
          </w:p>
        </w:tc>
      </w:tr>
      <w:tr w:rsidR="00ED172B" w:rsidRPr="00ED172B" w14:paraId="7861E1DA" w14:textId="77777777" w:rsidTr="00986B99">
        <w:trPr>
          <w:trHeight w:val="361"/>
        </w:trPr>
        <w:tc>
          <w:tcPr>
            <w:tcW w:w="3349" w:type="pct"/>
            <w:vAlign w:val="center"/>
          </w:tcPr>
          <w:p w14:paraId="6B359621"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vAlign w:val="center"/>
          </w:tcPr>
          <w:p w14:paraId="01CD6016" w14:textId="7963A28E" w:rsidR="00A01E85" w:rsidRPr="00ED172B" w:rsidRDefault="00860830" w:rsidP="002E64AF">
            <w:pPr>
              <w:jc w:val="center"/>
              <w:rPr>
                <w:rFonts w:cs="Arial"/>
                <w:color w:val="000000" w:themeColor="text1"/>
                <w:szCs w:val="16"/>
              </w:rPr>
            </w:pPr>
            <w:r w:rsidRPr="00ED172B">
              <w:rPr>
                <w:rFonts w:cs="Arial"/>
                <w:color w:val="000000" w:themeColor="text1"/>
                <w:szCs w:val="16"/>
              </w:rPr>
              <w:t>2,836</w:t>
            </w:r>
          </w:p>
        </w:tc>
        <w:tc>
          <w:tcPr>
            <w:tcW w:w="825" w:type="pct"/>
            <w:vAlign w:val="center"/>
          </w:tcPr>
          <w:p w14:paraId="3EEBD547" w14:textId="006FF315" w:rsidR="00A01E85" w:rsidRPr="00ED172B" w:rsidRDefault="00860830" w:rsidP="002E64AF">
            <w:pPr>
              <w:jc w:val="center"/>
              <w:rPr>
                <w:rFonts w:cs="Arial"/>
                <w:color w:val="000000" w:themeColor="text1"/>
                <w:szCs w:val="16"/>
              </w:rPr>
            </w:pPr>
            <w:r w:rsidRPr="00ED172B">
              <w:rPr>
                <w:rFonts w:cs="Arial"/>
                <w:color w:val="000000" w:themeColor="text1"/>
                <w:szCs w:val="16"/>
              </w:rPr>
              <w:t>30.18%</w:t>
            </w:r>
          </w:p>
        </w:tc>
      </w:tr>
      <w:tr w:rsidR="00ED172B" w:rsidRPr="00ED172B" w14:paraId="2F969A13" w14:textId="77777777" w:rsidTr="00986B99">
        <w:trPr>
          <w:trHeight w:val="361"/>
        </w:trPr>
        <w:tc>
          <w:tcPr>
            <w:tcW w:w="3349" w:type="pct"/>
            <w:vAlign w:val="center"/>
          </w:tcPr>
          <w:p w14:paraId="5E226FF7"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vAlign w:val="center"/>
          </w:tcPr>
          <w:p w14:paraId="6A2E35AA" w14:textId="7E601C8A" w:rsidR="00A01E85" w:rsidRPr="00ED172B" w:rsidRDefault="00860830" w:rsidP="002E64AF">
            <w:pPr>
              <w:jc w:val="center"/>
              <w:rPr>
                <w:rFonts w:cs="Arial"/>
                <w:color w:val="000000" w:themeColor="text1"/>
                <w:szCs w:val="16"/>
              </w:rPr>
            </w:pPr>
            <w:r w:rsidRPr="00ED172B">
              <w:rPr>
                <w:rFonts w:cs="Arial"/>
                <w:color w:val="000000" w:themeColor="text1"/>
                <w:szCs w:val="16"/>
              </w:rPr>
              <w:t>2,414</w:t>
            </w:r>
          </w:p>
        </w:tc>
        <w:tc>
          <w:tcPr>
            <w:tcW w:w="825" w:type="pct"/>
            <w:vAlign w:val="center"/>
          </w:tcPr>
          <w:p w14:paraId="09CD99EC" w14:textId="5C560EF0" w:rsidR="00A01E85" w:rsidRPr="00ED172B" w:rsidRDefault="00860830" w:rsidP="002E64AF">
            <w:pPr>
              <w:jc w:val="center"/>
              <w:rPr>
                <w:rFonts w:cs="Arial"/>
                <w:color w:val="000000" w:themeColor="text1"/>
                <w:szCs w:val="16"/>
              </w:rPr>
            </w:pPr>
            <w:r w:rsidRPr="00ED172B">
              <w:rPr>
                <w:rFonts w:cs="Arial"/>
                <w:color w:val="000000" w:themeColor="text1"/>
                <w:szCs w:val="16"/>
              </w:rPr>
              <w:t>25.69%</w:t>
            </w:r>
          </w:p>
        </w:tc>
      </w:tr>
    </w:tbl>
    <w:p w14:paraId="3FA18C3D" w14:textId="4E718CDC"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0"/>
      </w:tblPr>
      <w:tblGrid>
        <w:gridCol w:w="6435"/>
        <w:gridCol w:w="2013"/>
        <w:gridCol w:w="2342"/>
      </w:tblGrid>
      <w:tr w:rsidR="00ED172B" w:rsidRPr="00ED172B" w14:paraId="06461661" w14:textId="77777777" w:rsidTr="00986B99">
        <w:trPr>
          <w:trHeight w:val="361"/>
          <w:tblHeader/>
        </w:trPr>
        <w:tc>
          <w:tcPr>
            <w:tcW w:w="3349" w:type="pct"/>
            <w:vAlign w:val="center"/>
          </w:tcPr>
          <w:p w14:paraId="33072CCC" w14:textId="49874604"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26" w:type="pct"/>
            <w:vAlign w:val="center"/>
          </w:tcPr>
          <w:p w14:paraId="354E5704"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Number of Children</w:t>
            </w:r>
          </w:p>
        </w:tc>
        <w:tc>
          <w:tcPr>
            <w:tcW w:w="825" w:type="pct"/>
            <w:vAlign w:val="center"/>
          </w:tcPr>
          <w:p w14:paraId="196D042E" w14:textId="77777777" w:rsidR="0084029E" w:rsidRPr="00ED172B" w:rsidRDefault="0084029E" w:rsidP="00D21F2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11DDFC12" w14:textId="77777777" w:rsidTr="00986B99">
        <w:trPr>
          <w:trHeight w:val="361"/>
        </w:trPr>
        <w:tc>
          <w:tcPr>
            <w:tcW w:w="3349" w:type="pct"/>
            <w:vAlign w:val="center"/>
          </w:tcPr>
          <w:p w14:paraId="49D54D85"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vAlign w:val="center"/>
          </w:tcPr>
          <w:p w14:paraId="170BCFB2" w14:textId="22EBF81A" w:rsidR="00A01E85" w:rsidRPr="00ED172B" w:rsidRDefault="00860830" w:rsidP="00312EB5">
            <w:pPr>
              <w:jc w:val="center"/>
              <w:rPr>
                <w:rFonts w:cs="Arial"/>
                <w:color w:val="000000" w:themeColor="text1"/>
                <w:szCs w:val="16"/>
              </w:rPr>
            </w:pPr>
            <w:r w:rsidRPr="00ED172B">
              <w:rPr>
                <w:rFonts w:cs="Arial"/>
                <w:color w:val="000000" w:themeColor="text1"/>
                <w:szCs w:val="16"/>
              </w:rPr>
              <w:t>0</w:t>
            </w:r>
          </w:p>
        </w:tc>
        <w:tc>
          <w:tcPr>
            <w:tcW w:w="825" w:type="pct"/>
            <w:vAlign w:val="center"/>
          </w:tcPr>
          <w:p w14:paraId="3B2B941D" w14:textId="109AFA1B" w:rsidR="00A01E85" w:rsidRPr="00ED172B" w:rsidRDefault="00860830" w:rsidP="00312EB5">
            <w:pPr>
              <w:jc w:val="center"/>
              <w:rPr>
                <w:rFonts w:cs="Arial"/>
                <w:color w:val="000000" w:themeColor="text1"/>
                <w:szCs w:val="16"/>
              </w:rPr>
            </w:pPr>
            <w:r w:rsidRPr="00ED172B">
              <w:rPr>
                <w:rFonts w:cs="Arial"/>
                <w:color w:val="000000" w:themeColor="text1"/>
                <w:szCs w:val="16"/>
              </w:rPr>
              <w:t>0.00%</w:t>
            </w:r>
          </w:p>
        </w:tc>
      </w:tr>
      <w:tr w:rsidR="00ED172B" w:rsidRPr="00ED172B" w14:paraId="786B031D" w14:textId="77777777" w:rsidTr="00986B99">
        <w:trPr>
          <w:trHeight w:val="361"/>
        </w:trPr>
        <w:tc>
          <w:tcPr>
            <w:tcW w:w="3349" w:type="pct"/>
            <w:vAlign w:val="center"/>
          </w:tcPr>
          <w:p w14:paraId="0C1C08B9" w14:textId="77777777" w:rsidR="00A01E85" w:rsidRPr="00ED172B" w:rsidRDefault="00A01E85" w:rsidP="00A01E85">
            <w:pPr>
              <w:rPr>
                <w:rFonts w:cs="Arial"/>
                <w:color w:val="000000" w:themeColor="text1"/>
                <w:szCs w:val="16"/>
              </w:rPr>
            </w:pPr>
            <w:r w:rsidRPr="00ED172B">
              <w:rPr>
                <w:rFonts w:cs="Arial"/>
                <w:color w:val="000000" w:themeColor="text1"/>
                <w:szCs w:val="16"/>
              </w:rPr>
              <w:lastRenderedPageBreak/>
              <w:t>b. Infants and toddlers who improved functioning but not sufficient to move nearer to functioning comparable to same-aged peers</w:t>
            </w:r>
          </w:p>
        </w:tc>
        <w:tc>
          <w:tcPr>
            <w:tcW w:w="826" w:type="pct"/>
            <w:vAlign w:val="center"/>
          </w:tcPr>
          <w:p w14:paraId="2A874DF1" w14:textId="4833DD2F" w:rsidR="00A01E85" w:rsidRPr="00ED172B" w:rsidRDefault="00860830" w:rsidP="00312EB5">
            <w:pPr>
              <w:jc w:val="center"/>
              <w:rPr>
                <w:rFonts w:cs="Arial"/>
                <w:color w:val="000000" w:themeColor="text1"/>
                <w:szCs w:val="16"/>
              </w:rPr>
            </w:pPr>
            <w:r w:rsidRPr="00ED172B">
              <w:rPr>
                <w:rFonts w:cs="Arial"/>
                <w:color w:val="000000" w:themeColor="text1"/>
                <w:szCs w:val="16"/>
              </w:rPr>
              <w:t>0</w:t>
            </w:r>
          </w:p>
        </w:tc>
        <w:tc>
          <w:tcPr>
            <w:tcW w:w="825" w:type="pct"/>
            <w:vAlign w:val="center"/>
          </w:tcPr>
          <w:p w14:paraId="23C5DAE3" w14:textId="5490A4ED" w:rsidR="00A01E85" w:rsidRPr="00ED172B" w:rsidRDefault="00860830" w:rsidP="00312EB5">
            <w:pPr>
              <w:jc w:val="center"/>
              <w:rPr>
                <w:rFonts w:cs="Arial"/>
                <w:color w:val="000000" w:themeColor="text1"/>
                <w:szCs w:val="16"/>
              </w:rPr>
            </w:pPr>
            <w:r w:rsidRPr="00ED172B">
              <w:rPr>
                <w:rFonts w:cs="Arial"/>
                <w:color w:val="000000" w:themeColor="text1"/>
                <w:szCs w:val="16"/>
              </w:rPr>
              <w:t>0.00%</w:t>
            </w:r>
          </w:p>
        </w:tc>
      </w:tr>
      <w:tr w:rsidR="00ED172B" w:rsidRPr="00ED172B" w14:paraId="5204C337" w14:textId="77777777" w:rsidTr="00986B99">
        <w:trPr>
          <w:trHeight w:val="395"/>
        </w:trPr>
        <w:tc>
          <w:tcPr>
            <w:tcW w:w="3349" w:type="pct"/>
            <w:vAlign w:val="center"/>
          </w:tcPr>
          <w:p w14:paraId="3C6368C5"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vAlign w:val="center"/>
          </w:tcPr>
          <w:p w14:paraId="4CB72382" w14:textId="08B92214" w:rsidR="00A01E85" w:rsidRPr="00ED172B" w:rsidRDefault="00860830" w:rsidP="00312EB5">
            <w:pPr>
              <w:jc w:val="center"/>
              <w:rPr>
                <w:rFonts w:cs="Arial"/>
                <w:color w:val="000000" w:themeColor="text1"/>
                <w:szCs w:val="16"/>
              </w:rPr>
            </w:pPr>
            <w:r w:rsidRPr="00ED172B">
              <w:rPr>
                <w:rFonts w:cs="Arial"/>
                <w:color w:val="000000" w:themeColor="text1"/>
                <w:szCs w:val="16"/>
              </w:rPr>
              <w:t>8</w:t>
            </w:r>
          </w:p>
        </w:tc>
        <w:tc>
          <w:tcPr>
            <w:tcW w:w="825" w:type="pct"/>
            <w:vAlign w:val="center"/>
          </w:tcPr>
          <w:p w14:paraId="28DA192E" w14:textId="4C13EE91" w:rsidR="00A01E85" w:rsidRPr="00ED172B" w:rsidRDefault="00860830" w:rsidP="00312EB5">
            <w:pPr>
              <w:jc w:val="center"/>
              <w:rPr>
                <w:rFonts w:cs="Arial"/>
                <w:color w:val="000000" w:themeColor="text1"/>
                <w:szCs w:val="16"/>
              </w:rPr>
            </w:pPr>
            <w:r w:rsidRPr="00ED172B">
              <w:rPr>
                <w:rFonts w:cs="Arial"/>
                <w:color w:val="000000" w:themeColor="text1"/>
                <w:szCs w:val="16"/>
              </w:rPr>
              <w:t>6.30%</w:t>
            </w:r>
          </w:p>
        </w:tc>
      </w:tr>
      <w:tr w:rsidR="00ED172B" w:rsidRPr="00ED172B" w14:paraId="528B5985" w14:textId="77777777" w:rsidTr="00986B99">
        <w:trPr>
          <w:trHeight w:val="361"/>
        </w:trPr>
        <w:tc>
          <w:tcPr>
            <w:tcW w:w="3349" w:type="pct"/>
            <w:vAlign w:val="center"/>
          </w:tcPr>
          <w:p w14:paraId="1BC1F617"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vAlign w:val="center"/>
          </w:tcPr>
          <w:p w14:paraId="7B0A936A" w14:textId="415D101D" w:rsidR="00A01E85" w:rsidRPr="00ED172B" w:rsidRDefault="00860830" w:rsidP="00312EB5">
            <w:pPr>
              <w:jc w:val="center"/>
              <w:rPr>
                <w:rFonts w:cs="Arial"/>
                <w:color w:val="000000" w:themeColor="text1"/>
                <w:szCs w:val="16"/>
              </w:rPr>
            </w:pPr>
            <w:r w:rsidRPr="00ED172B">
              <w:rPr>
                <w:rFonts w:cs="Arial"/>
                <w:color w:val="000000" w:themeColor="text1"/>
                <w:szCs w:val="16"/>
              </w:rPr>
              <w:t>71</w:t>
            </w:r>
          </w:p>
        </w:tc>
        <w:tc>
          <w:tcPr>
            <w:tcW w:w="825" w:type="pct"/>
            <w:vAlign w:val="center"/>
          </w:tcPr>
          <w:p w14:paraId="5FC63926" w14:textId="33B3FBAE" w:rsidR="00A01E85" w:rsidRPr="00ED172B" w:rsidRDefault="00860830" w:rsidP="00312EB5">
            <w:pPr>
              <w:jc w:val="center"/>
              <w:rPr>
                <w:rFonts w:cs="Arial"/>
                <w:color w:val="000000" w:themeColor="text1"/>
                <w:szCs w:val="16"/>
              </w:rPr>
            </w:pPr>
            <w:r w:rsidRPr="00ED172B">
              <w:rPr>
                <w:rFonts w:cs="Arial"/>
                <w:color w:val="000000" w:themeColor="text1"/>
                <w:szCs w:val="16"/>
              </w:rPr>
              <w:t>55.91%</w:t>
            </w:r>
          </w:p>
        </w:tc>
      </w:tr>
      <w:tr w:rsidR="00ED172B" w:rsidRPr="00ED172B" w14:paraId="02BDC6EA" w14:textId="77777777" w:rsidTr="00986B99">
        <w:trPr>
          <w:trHeight w:val="361"/>
        </w:trPr>
        <w:tc>
          <w:tcPr>
            <w:tcW w:w="3349" w:type="pct"/>
            <w:vAlign w:val="center"/>
          </w:tcPr>
          <w:p w14:paraId="46F620AD"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vAlign w:val="center"/>
          </w:tcPr>
          <w:p w14:paraId="6B50731F" w14:textId="2A4000E1" w:rsidR="00A01E85" w:rsidRPr="00ED172B" w:rsidRDefault="00860830" w:rsidP="00312EB5">
            <w:pPr>
              <w:jc w:val="center"/>
              <w:rPr>
                <w:rFonts w:cs="Arial"/>
                <w:color w:val="000000" w:themeColor="text1"/>
                <w:szCs w:val="16"/>
              </w:rPr>
            </w:pPr>
            <w:r w:rsidRPr="00ED172B">
              <w:rPr>
                <w:rFonts w:cs="Arial"/>
                <w:color w:val="000000" w:themeColor="text1"/>
                <w:szCs w:val="16"/>
              </w:rPr>
              <w:t>48</w:t>
            </w:r>
          </w:p>
        </w:tc>
        <w:tc>
          <w:tcPr>
            <w:tcW w:w="825" w:type="pct"/>
            <w:vAlign w:val="center"/>
          </w:tcPr>
          <w:p w14:paraId="085D6A25" w14:textId="1ACB153C" w:rsidR="00A01E85" w:rsidRPr="00ED172B" w:rsidRDefault="00860830" w:rsidP="00312EB5">
            <w:pPr>
              <w:jc w:val="center"/>
              <w:rPr>
                <w:rFonts w:cs="Arial"/>
                <w:color w:val="000000" w:themeColor="text1"/>
                <w:szCs w:val="16"/>
              </w:rPr>
            </w:pPr>
            <w:r w:rsidRPr="00ED172B">
              <w:rPr>
                <w:rFonts w:cs="Arial"/>
                <w:color w:val="000000" w:themeColor="text1"/>
                <w:szCs w:val="16"/>
              </w:rPr>
              <w:t>37.80%</w:t>
            </w:r>
          </w:p>
        </w:tc>
      </w:tr>
    </w:tbl>
    <w:p w14:paraId="5258C840" w14:textId="77777777"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1"/>
      </w:tblPr>
      <w:tblGrid>
        <w:gridCol w:w="2425"/>
        <w:gridCol w:w="1260"/>
        <w:gridCol w:w="1349"/>
        <w:gridCol w:w="1351"/>
        <w:gridCol w:w="1260"/>
        <w:gridCol w:w="1170"/>
        <w:gridCol w:w="991"/>
        <w:gridCol w:w="984"/>
      </w:tblGrid>
      <w:tr w:rsidR="00ED172B" w:rsidRPr="00ED172B" w14:paraId="601675EF" w14:textId="77777777" w:rsidTr="00986B99">
        <w:trPr>
          <w:tblHeader/>
        </w:trPr>
        <w:tc>
          <w:tcPr>
            <w:tcW w:w="1124" w:type="pct"/>
            <w:vAlign w:val="bottom"/>
          </w:tcPr>
          <w:p w14:paraId="338DE8FC" w14:textId="49C19B2F"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vAlign w:val="bottom"/>
          </w:tcPr>
          <w:p w14:paraId="662FE9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vAlign w:val="bottom"/>
          </w:tcPr>
          <w:p w14:paraId="5729710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vAlign w:val="bottom"/>
          </w:tcPr>
          <w:p w14:paraId="6BE12627" w14:textId="2F94CFBE" w:rsidR="00743466" w:rsidRPr="00ED172B" w:rsidRDefault="00CD74B5" w:rsidP="00743466">
            <w:pPr>
              <w:keepNext/>
              <w:jc w:val="center"/>
              <w:rPr>
                <w:rFonts w:cs="Arial"/>
                <w:b/>
                <w:color w:val="000000" w:themeColor="text1"/>
                <w:szCs w:val="16"/>
              </w:rPr>
            </w:pPr>
            <w:r>
              <w:rPr>
                <w:rFonts w:cs="Arial"/>
                <w:b/>
                <w:color w:val="000000" w:themeColor="text1"/>
                <w:szCs w:val="16"/>
              </w:rPr>
              <w:t>FFY 2023 Data</w:t>
            </w:r>
          </w:p>
        </w:tc>
        <w:tc>
          <w:tcPr>
            <w:tcW w:w="584" w:type="pct"/>
            <w:vAlign w:val="bottom"/>
          </w:tcPr>
          <w:p w14:paraId="37818A7F" w14:textId="7AF26903" w:rsidR="00743466" w:rsidRPr="00ED172B" w:rsidRDefault="00F22D09" w:rsidP="00743466">
            <w:pPr>
              <w:keepNext/>
              <w:jc w:val="center"/>
              <w:rPr>
                <w:rFonts w:cs="Arial"/>
                <w:b/>
                <w:color w:val="000000" w:themeColor="text1"/>
                <w:szCs w:val="16"/>
              </w:rPr>
            </w:pPr>
            <w:r>
              <w:rPr>
                <w:rFonts w:cs="Arial"/>
                <w:b/>
                <w:color w:val="000000" w:themeColor="text1"/>
                <w:szCs w:val="16"/>
              </w:rPr>
              <w:t>FFY 2024 Target</w:t>
            </w:r>
          </w:p>
        </w:tc>
        <w:tc>
          <w:tcPr>
            <w:tcW w:w="542" w:type="pct"/>
            <w:vAlign w:val="bottom"/>
          </w:tcPr>
          <w:p w14:paraId="7FAB0C5D" w14:textId="40B392BF" w:rsidR="00743466" w:rsidRPr="00ED172B" w:rsidRDefault="00F22D09" w:rsidP="00743466">
            <w:pPr>
              <w:keepNext/>
              <w:jc w:val="center"/>
              <w:rPr>
                <w:rFonts w:cs="Arial"/>
                <w:b/>
                <w:color w:val="000000" w:themeColor="text1"/>
                <w:szCs w:val="16"/>
              </w:rPr>
            </w:pPr>
            <w:r>
              <w:rPr>
                <w:rFonts w:cs="Arial"/>
                <w:b/>
                <w:color w:val="000000" w:themeColor="text1"/>
                <w:szCs w:val="16"/>
              </w:rPr>
              <w:t>FFY 2024 Data</w:t>
            </w:r>
          </w:p>
        </w:tc>
        <w:tc>
          <w:tcPr>
            <w:tcW w:w="459" w:type="pct"/>
            <w:vAlign w:val="bottom"/>
          </w:tcPr>
          <w:p w14:paraId="60065102"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vAlign w:val="bottom"/>
          </w:tcPr>
          <w:p w14:paraId="6D5E921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644F4BC8" w14:textId="77777777" w:rsidTr="00986B99">
        <w:tc>
          <w:tcPr>
            <w:tcW w:w="1124" w:type="pct"/>
          </w:tcPr>
          <w:p w14:paraId="58B7310F" w14:textId="628E3666"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vAlign w:val="center"/>
          </w:tcPr>
          <w:p w14:paraId="06E1E11F" w14:textId="10D6FAC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6,172</w:t>
            </w:r>
          </w:p>
        </w:tc>
        <w:tc>
          <w:tcPr>
            <w:tcW w:w="625" w:type="pct"/>
            <w:vAlign w:val="center"/>
          </w:tcPr>
          <w:p w14:paraId="22861F7B" w14:textId="2C1348E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6,984</w:t>
            </w:r>
          </w:p>
        </w:tc>
        <w:tc>
          <w:tcPr>
            <w:tcW w:w="626" w:type="pct"/>
            <w:vAlign w:val="center"/>
          </w:tcPr>
          <w:p w14:paraId="0E727486" w14:textId="2F22C9DB" w:rsidR="00A01E85" w:rsidRPr="00ED172B" w:rsidRDefault="00860830" w:rsidP="00A01E85">
            <w:pPr>
              <w:jc w:val="center"/>
              <w:rPr>
                <w:rFonts w:cs="Arial"/>
                <w:color w:val="000000" w:themeColor="text1"/>
                <w:szCs w:val="16"/>
              </w:rPr>
            </w:pPr>
            <w:r w:rsidRPr="00ED172B">
              <w:rPr>
                <w:rFonts w:cs="Arial"/>
                <w:color w:val="000000" w:themeColor="text1"/>
                <w:szCs w:val="16"/>
              </w:rPr>
              <w:t>89.34%</w:t>
            </w:r>
          </w:p>
        </w:tc>
        <w:tc>
          <w:tcPr>
            <w:tcW w:w="584" w:type="pct"/>
            <w:vAlign w:val="center"/>
          </w:tcPr>
          <w:p w14:paraId="57ECED0E" w14:textId="7733C966" w:rsidR="00A01E85" w:rsidRPr="00ED172B" w:rsidRDefault="002332D6">
            <w:pPr>
              <w:jc w:val="center"/>
              <w:rPr>
                <w:color w:val="000000" w:themeColor="text1"/>
              </w:rPr>
            </w:pPr>
            <w:r w:rsidRPr="00ED172B">
              <w:rPr>
                <w:color w:val="000000" w:themeColor="text1"/>
              </w:rPr>
              <w:t>95.30%</w:t>
            </w:r>
          </w:p>
        </w:tc>
        <w:tc>
          <w:tcPr>
            <w:tcW w:w="542" w:type="pct"/>
            <w:vAlign w:val="center"/>
          </w:tcPr>
          <w:p w14:paraId="374F0AA7" w14:textId="4DB2DF37" w:rsidR="00A01E85" w:rsidRPr="00ED172B" w:rsidRDefault="00860830" w:rsidP="00A01E85">
            <w:pPr>
              <w:jc w:val="center"/>
              <w:rPr>
                <w:rFonts w:cs="Arial"/>
                <w:color w:val="000000" w:themeColor="text1"/>
                <w:szCs w:val="16"/>
              </w:rPr>
            </w:pPr>
            <w:r w:rsidRPr="00ED172B">
              <w:rPr>
                <w:rFonts w:cs="Arial"/>
                <w:color w:val="000000" w:themeColor="text1"/>
                <w:szCs w:val="16"/>
              </w:rPr>
              <w:t>88.37%</w:t>
            </w:r>
          </w:p>
        </w:tc>
        <w:tc>
          <w:tcPr>
            <w:tcW w:w="459" w:type="pct"/>
            <w:vAlign w:val="center"/>
          </w:tcPr>
          <w:p w14:paraId="6E5876F7" w14:textId="03BE42B1"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vAlign w:val="center"/>
          </w:tcPr>
          <w:p w14:paraId="52D8DAD0" w14:textId="6D898728"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28E7CB5B" w14:textId="77777777" w:rsidTr="00986B99">
        <w:tc>
          <w:tcPr>
            <w:tcW w:w="1124" w:type="pct"/>
          </w:tcPr>
          <w:p w14:paraId="511B18EA" w14:textId="10CF1F9E"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vAlign w:val="center"/>
          </w:tcPr>
          <w:p w14:paraId="17979A02" w14:textId="01FF6A5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5,250</w:t>
            </w:r>
          </w:p>
        </w:tc>
        <w:tc>
          <w:tcPr>
            <w:tcW w:w="625" w:type="pct"/>
            <w:vAlign w:val="center"/>
          </w:tcPr>
          <w:p w14:paraId="2DFBFFC4" w14:textId="1FC27887"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9,398</w:t>
            </w:r>
          </w:p>
        </w:tc>
        <w:tc>
          <w:tcPr>
            <w:tcW w:w="626" w:type="pct"/>
            <w:vAlign w:val="center"/>
          </w:tcPr>
          <w:p w14:paraId="378FCF28" w14:textId="648DE428" w:rsidR="00A01E85" w:rsidRPr="00ED172B" w:rsidRDefault="00860830" w:rsidP="00A01E85">
            <w:pPr>
              <w:jc w:val="center"/>
              <w:rPr>
                <w:rFonts w:cs="Arial"/>
                <w:color w:val="000000" w:themeColor="text1"/>
                <w:szCs w:val="16"/>
              </w:rPr>
            </w:pPr>
            <w:r w:rsidRPr="00ED172B">
              <w:rPr>
                <w:rFonts w:cs="Arial"/>
                <w:color w:val="000000" w:themeColor="text1"/>
                <w:szCs w:val="16"/>
              </w:rPr>
              <w:t>57.34%</w:t>
            </w:r>
          </w:p>
        </w:tc>
        <w:tc>
          <w:tcPr>
            <w:tcW w:w="584" w:type="pct"/>
            <w:vAlign w:val="center"/>
          </w:tcPr>
          <w:p w14:paraId="230AF9EA" w14:textId="1E938C8E" w:rsidR="00A01E85" w:rsidRPr="00ED172B" w:rsidRDefault="005C14C2" w:rsidP="005C14C2">
            <w:pPr>
              <w:jc w:val="center"/>
              <w:rPr>
                <w:color w:val="000000" w:themeColor="text1"/>
              </w:rPr>
            </w:pPr>
            <w:r w:rsidRPr="00ED172B">
              <w:rPr>
                <w:color w:val="000000" w:themeColor="text1"/>
              </w:rPr>
              <w:t>74.20%</w:t>
            </w:r>
          </w:p>
        </w:tc>
        <w:tc>
          <w:tcPr>
            <w:tcW w:w="542" w:type="pct"/>
            <w:vAlign w:val="center"/>
          </w:tcPr>
          <w:p w14:paraId="77224B50" w14:textId="3DB30375" w:rsidR="00A01E85" w:rsidRPr="00ED172B" w:rsidRDefault="00860830" w:rsidP="00A01E85">
            <w:pPr>
              <w:jc w:val="center"/>
              <w:rPr>
                <w:rFonts w:cs="Arial"/>
                <w:color w:val="000000" w:themeColor="text1"/>
                <w:szCs w:val="16"/>
              </w:rPr>
            </w:pPr>
            <w:r w:rsidRPr="00ED172B">
              <w:rPr>
                <w:rFonts w:cs="Arial"/>
                <w:color w:val="000000" w:themeColor="text1"/>
                <w:szCs w:val="16"/>
              </w:rPr>
              <w:t>55.86%</w:t>
            </w:r>
          </w:p>
        </w:tc>
        <w:tc>
          <w:tcPr>
            <w:tcW w:w="459" w:type="pct"/>
            <w:vAlign w:val="center"/>
          </w:tcPr>
          <w:p w14:paraId="79B03CF0" w14:textId="4ED5DDC1"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vAlign w:val="center"/>
          </w:tcPr>
          <w:p w14:paraId="791EAD35" w14:textId="59171F2A" w:rsidR="00A01E85" w:rsidRPr="00ED172B" w:rsidRDefault="00860830" w:rsidP="00A01E85">
            <w:pPr>
              <w:jc w:val="center"/>
              <w:rPr>
                <w:rFonts w:cs="Arial"/>
                <w:color w:val="000000" w:themeColor="text1"/>
                <w:szCs w:val="16"/>
              </w:rPr>
            </w:pPr>
            <w:r w:rsidRPr="00ED172B">
              <w:rPr>
                <w:rFonts w:cs="Arial"/>
                <w:color w:val="000000" w:themeColor="text1"/>
                <w:szCs w:val="16"/>
              </w:rPr>
              <w:t>Slippage</w:t>
            </w:r>
          </w:p>
        </w:tc>
      </w:tr>
    </w:tbl>
    <w:p w14:paraId="5B3D99C1" w14:textId="3F3DAA66" w:rsidR="00A01E85" w:rsidRPr="00ED172B" w:rsidRDefault="00A01E85" w:rsidP="00A01E85">
      <w:pPr>
        <w:rPr>
          <w:rFonts w:cs="Arial"/>
          <w:b/>
          <w:i/>
          <w:color w:val="000000" w:themeColor="text1"/>
          <w:szCs w:val="16"/>
        </w:rPr>
      </w:pPr>
      <w:r w:rsidRPr="00ED172B">
        <w:rPr>
          <w:rFonts w:cs="Arial"/>
          <w:b/>
          <w:color w:val="000000" w:themeColor="text1"/>
          <w:szCs w:val="16"/>
        </w:rPr>
        <w:t xml:space="preserve">Provide reasons for C2 slippage, if applicable </w:t>
      </w:r>
    </w:p>
    <w:p w14:paraId="65406212" w14:textId="4B6DE0D0" w:rsidR="00A01E85" w:rsidRDefault="005C14C2" w:rsidP="005C14C2">
      <w:pPr>
        <w:rPr>
          <w:color w:val="000000" w:themeColor="text1"/>
        </w:rPr>
      </w:pPr>
      <w:r w:rsidRPr="00ED172B">
        <w:rPr>
          <w:color w:val="000000" w:themeColor="text1"/>
        </w:rPr>
        <w:t>At a State Interagency Coordinating Council (ICC) meeting on January 8, 2026, members reviewed results from FFY24 (July 1, 2024-June 30, 2025) for indicator 3. During this meeting, the Part C Coordinator asked attendees for assistance in identifying reasons for slippage. Parent representatives suggested that the time of year in which the data were collected could affect the performance, citing children would be more likely to be ill during the fall and winter seasons and such illness may artificially suppress their performance on standardized assessments. Multiple provider representatives agreed with this suggestion and reiterated the seasonality observed at their own programs. State agency representatives suggested that the increased number of children included in the denominator may also have affected the performance. Other parent representatives wondered if reduced parental participation could have affected the performance, citing stressors families experience from returning to work outside the home and other environmental stressors. Finally, a parent representative noted that meeting age-expectations may not be a feasible goal for all children and that the slippage may be representative of an increased number of children with medical complexity included in the Indicator 3 outcomes.</w:t>
      </w:r>
    </w:p>
    <w:p w14:paraId="1E17E341" w14:textId="77777777" w:rsidR="000D7858" w:rsidRPr="00ED172B" w:rsidRDefault="000D7858" w:rsidP="005C14C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2"/>
      </w:tblPr>
      <w:tblGrid>
        <w:gridCol w:w="2515"/>
        <w:gridCol w:w="1261"/>
        <w:gridCol w:w="1260"/>
        <w:gridCol w:w="1439"/>
        <w:gridCol w:w="1170"/>
        <w:gridCol w:w="1172"/>
        <w:gridCol w:w="991"/>
        <w:gridCol w:w="982"/>
      </w:tblGrid>
      <w:tr w:rsidR="00ED172B" w:rsidRPr="00ED172B" w14:paraId="3885778E" w14:textId="77777777" w:rsidTr="00986B99">
        <w:trPr>
          <w:tblHeader/>
        </w:trPr>
        <w:tc>
          <w:tcPr>
            <w:tcW w:w="1165" w:type="pct"/>
            <w:vAlign w:val="bottom"/>
          </w:tcPr>
          <w:p w14:paraId="7C1CB569" w14:textId="6595D59A"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vAlign w:val="bottom"/>
          </w:tcPr>
          <w:p w14:paraId="74686E5C"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vAlign w:val="bottom"/>
          </w:tcPr>
          <w:p w14:paraId="655EAAF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67" w:type="pct"/>
            <w:vAlign w:val="bottom"/>
          </w:tcPr>
          <w:p w14:paraId="7BD0D290" w14:textId="44119090" w:rsidR="00743466" w:rsidRPr="00ED172B" w:rsidRDefault="00CD74B5" w:rsidP="00743466">
            <w:pPr>
              <w:keepNext/>
              <w:jc w:val="center"/>
              <w:rPr>
                <w:rFonts w:cs="Arial"/>
                <w:b/>
                <w:color w:val="000000" w:themeColor="text1"/>
                <w:szCs w:val="16"/>
              </w:rPr>
            </w:pPr>
            <w:r>
              <w:rPr>
                <w:rFonts w:cs="Arial"/>
                <w:b/>
                <w:color w:val="000000" w:themeColor="text1"/>
                <w:szCs w:val="16"/>
              </w:rPr>
              <w:t>FFY 2023 Data</w:t>
            </w:r>
          </w:p>
        </w:tc>
        <w:tc>
          <w:tcPr>
            <w:tcW w:w="542" w:type="pct"/>
            <w:vAlign w:val="bottom"/>
          </w:tcPr>
          <w:p w14:paraId="152AD78D" w14:textId="70E3C2B8" w:rsidR="00743466" w:rsidRPr="00ED172B" w:rsidRDefault="00F22D09" w:rsidP="00743466">
            <w:pPr>
              <w:keepNext/>
              <w:jc w:val="center"/>
              <w:rPr>
                <w:rFonts w:cs="Arial"/>
                <w:b/>
                <w:color w:val="000000" w:themeColor="text1"/>
                <w:szCs w:val="16"/>
              </w:rPr>
            </w:pPr>
            <w:r>
              <w:rPr>
                <w:rFonts w:cs="Arial"/>
                <w:b/>
                <w:color w:val="000000" w:themeColor="text1"/>
                <w:szCs w:val="16"/>
              </w:rPr>
              <w:t>FFY 2024 Target</w:t>
            </w:r>
          </w:p>
        </w:tc>
        <w:tc>
          <w:tcPr>
            <w:tcW w:w="543" w:type="pct"/>
            <w:vAlign w:val="bottom"/>
          </w:tcPr>
          <w:p w14:paraId="279BEBCE" w14:textId="6CB207F3" w:rsidR="00743466" w:rsidRPr="00ED172B" w:rsidRDefault="00F22D09" w:rsidP="00743466">
            <w:pPr>
              <w:keepNext/>
              <w:jc w:val="center"/>
              <w:rPr>
                <w:rFonts w:cs="Arial"/>
                <w:b/>
                <w:color w:val="000000" w:themeColor="text1"/>
                <w:szCs w:val="16"/>
              </w:rPr>
            </w:pPr>
            <w:r>
              <w:rPr>
                <w:rFonts w:cs="Arial"/>
                <w:b/>
                <w:color w:val="000000" w:themeColor="text1"/>
                <w:szCs w:val="16"/>
              </w:rPr>
              <w:t>FFY 2024 Data</w:t>
            </w:r>
          </w:p>
        </w:tc>
        <w:tc>
          <w:tcPr>
            <w:tcW w:w="459" w:type="pct"/>
            <w:vAlign w:val="bottom"/>
          </w:tcPr>
          <w:p w14:paraId="23B1FE6D"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vAlign w:val="bottom"/>
          </w:tcPr>
          <w:p w14:paraId="7E7A651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92CB05" w14:textId="77777777" w:rsidTr="00986B99">
        <w:tc>
          <w:tcPr>
            <w:tcW w:w="1165" w:type="pct"/>
          </w:tcPr>
          <w:p w14:paraId="734845A5" w14:textId="1E94529B"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vAlign w:val="center"/>
          </w:tcPr>
          <w:p w14:paraId="36A4BA96" w14:textId="7C591C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79</w:t>
            </w:r>
          </w:p>
        </w:tc>
        <w:tc>
          <w:tcPr>
            <w:tcW w:w="584" w:type="pct"/>
            <w:vAlign w:val="center"/>
          </w:tcPr>
          <w:p w14:paraId="6896D8D8" w14:textId="50CE5CE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79</w:t>
            </w:r>
          </w:p>
        </w:tc>
        <w:tc>
          <w:tcPr>
            <w:tcW w:w="667" w:type="pct"/>
            <w:vAlign w:val="center"/>
          </w:tcPr>
          <w:p w14:paraId="7E09B3D3" w14:textId="25613C2B"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42" w:type="pct"/>
            <w:vAlign w:val="center"/>
          </w:tcPr>
          <w:p w14:paraId="5544B24B" w14:textId="22535594" w:rsidR="00A01E85" w:rsidRPr="00ED172B" w:rsidRDefault="005C14C2" w:rsidP="005C14C2">
            <w:pPr>
              <w:jc w:val="center"/>
              <w:rPr>
                <w:color w:val="000000" w:themeColor="text1"/>
              </w:rPr>
            </w:pPr>
            <w:r w:rsidRPr="00ED172B">
              <w:rPr>
                <w:color w:val="000000" w:themeColor="text1"/>
              </w:rPr>
              <w:t/>
            </w:r>
          </w:p>
        </w:tc>
        <w:tc>
          <w:tcPr>
            <w:tcW w:w="543" w:type="pct"/>
            <w:vAlign w:val="center"/>
          </w:tcPr>
          <w:p w14:paraId="4778BED6" w14:textId="1342AE96"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459" w:type="pct"/>
            <w:vAlign w:val="center"/>
          </w:tcPr>
          <w:p w14:paraId="7E3DFE8A" w14:textId="5AE8393B"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vAlign w:val="center"/>
          </w:tcPr>
          <w:p w14:paraId="2B5AFC6E" w14:textId="05B953B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23BAE724" w14:textId="77777777" w:rsidTr="00986B99">
        <w:tc>
          <w:tcPr>
            <w:tcW w:w="1165" w:type="pct"/>
          </w:tcPr>
          <w:p w14:paraId="06836E77" w14:textId="086C3A03"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vAlign w:val="center"/>
          </w:tcPr>
          <w:p w14:paraId="7B317111" w14:textId="0EF8FB49"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119</w:t>
            </w:r>
          </w:p>
        </w:tc>
        <w:tc>
          <w:tcPr>
            <w:tcW w:w="584" w:type="pct"/>
            <w:vAlign w:val="center"/>
          </w:tcPr>
          <w:p w14:paraId="32CB8EF7" w14:textId="5053A971"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127</w:t>
            </w:r>
          </w:p>
        </w:tc>
        <w:tc>
          <w:tcPr>
            <w:tcW w:w="667" w:type="pct"/>
            <w:vAlign w:val="center"/>
          </w:tcPr>
          <w:p w14:paraId="463861E3" w14:textId="4D649E1E" w:rsidR="00A01E85" w:rsidRPr="00ED172B" w:rsidRDefault="00860830" w:rsidP="00A01E85">
            <w:pPr>
              <w:jc w:val="center"/>
              <w:rPr>
                <w:rFonts w:cs="Arial"/>
                <w:color w:val="000000" w:themeColor="text1"/>
                <w:szCs w:val="16"/>
              </w:rPr>
            </w:pPr>
            <w:r w:rsidRPr="00ED172B">
              <w:rPr>
                <w:rFonts w:cs="Arial"/>
                <w:color w:val="000000" w:themeColor="text1"/>
                <w:szCs w:val="16"/>
              </w:rPr>
              <w:t>92.86%</w:t>
            </w:r>
          </w:p>
        </w:tc>
        <w:tc>
          <w:tcPr>
            <w:tcW w:w="542" w:type="pct"/>
            <w:vAlign w:val="center"/>
          </w:tcPr>
          <w:p w14:paraId="7C10183A" w14:textId="6E242F63" w:rsidR="00A01E85" w:rsidRPr="00ED172B" w:rsidRDefault="002332D6">
            <w:pPr>
              <w:jc w:val="center"/>
              <w:rPr>
                <w:color w:val="000000" w:themeColor="text1"/>
              </w:rPr>
            </w:pPr>
            <w:r w:rsidRPr="00ED172B">
              <w:rPr>
                <w:color w:val="000000" w:themeColor="text1"/>
              </w:rPr>
              <w:t/>
            </w:r>
          </w:p>
        </w:tc>
        <w:tc>
          <w:tcPr>
            <w:tcW w:w="543" w:type="pct"/>
            <w:vAlign w:val="center"/>
          </w:tcPr>
          <w:p w14:paraId="107E7650" w14:textId="13D458A2" w:rsidR="00A01E85" w:rsidRPr="00ED172B" w:rsidRDefault="00860830" w:rsidP="00A01E85">
            <w:pPr>
              <w:jc w:val="center"/>
              <w:rPr>
                <w:rFonts w:cs="Arial"/>
                <w:color w:val="000000" w:themeColor="text1"/>
                <w:szCs w:val="16"/>
              </w:rPr>
            </w:pPr>
            <w:r w:rsidRPr="00ED172B">
              <w:rPr>
                <w:rFonts w:cs="Arial"/>
                <w:color w:val="000000" w:themeColor="text1"/>
                <w:szCs w:val="16"/>
              </w:rPr>
              <w:t>93.70%</w:t>
            </w:r>
          </w:p>
        </w:tc>
        <w:tc>
          <w:tcPr>
            <w:tcW w:w="459" w:type="pct"/>
            <w:vAlign w:val="center"/>
          </w:tcPr>
          <w:p w14:paraId="5E8D9DAC" w14:textId="75E1D4D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vAlign w:val="center"/>
          </w:tcPr>
          <w:p w14:paraId="79E6BBAD" w14:textId="1122B54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0ADB8903" w14:textId="77777777" w:rsidR="000E5D05" w:rsidRPr="00ED172B" w:rsidRDefault="000E5D05" w:rsidP="00986B99">
      <w:pPr>
        <w:rPr>
          <w:rFonts w:cs="Arial"/>
          <w:color w:val="000000" w:themeColor="text1"/>
          <w:szCs w:val="16"/>
        </w:rPr>
      </w:pPr>
    </w:p>
    <w:bookmarkEnd w:id="16"/>
    <w:p w14:paraId="7E6A154B" w14:textId="04E7DFE7" w:rsidR="000E5D05" w:rsidRPr="000E5D05" w:rsidRDefault="000E5D05" w:rsidP="000E5D05">
      <w:pPr>
        <w:rPr>
          <w:b/>
          <w:color w:val="000000" w:themeColor="text1"/>
        </w:rPr>
      </w:pPr>
      <w:r w:rsidRPr="000E5D05" w:rsidDel="00F32724">
        <w:rPr>
          <w:b/>
          <w:color w:val="000000" w:themeColor="text1"/>
        </w:rPr>
        <w:t>FFY 2024 SPP/APR Data</w:t>
      </w:r>
    </w:p>
    <w:p w14:paraId="46BFE185" w14:textId="77777777" w:rsidR="000E5D05" w:rsidRPr="000E5D05" w:rsidRDefault="000E5D05" w:rsidP="000E5D05">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8928"/>
        <w:gridCol w:w="1862"/>
      </w:tblGrid>
      <w:tr w:rsidR="000E5D05" w:rsidRPr="000E5D05" w14:paraId="61B84428" w14:textId="77777777">
        <w:trPr>
          <w:tblHeader/>
        </w:trPr>
        <w:tc>
          <w:tcPr>
            <w:tcW w:w="9175" w:type="dxa"/>
          </w:tcPr>
          <w:p w14:paraId="4A3B8E26" w14:textId="77777777" w:rsidR="000E5D05" w:rsidRPr="000E5D05" w:rsidRDefault="000E5D05">
            <w:pPr>
              <w:rPr>
                <w:rFonts w:cs="Arial"/>
                <w:b/>
                <w:bCs/>
                <w:color w:val="000000" w:themeColor="text1"/>
                <w:szCs w:val="16"/>
              </w:rPr>
            </w:pPr>
            <w:r w:rsidRPr="000E5D05">
              <w:rPr>
                <w:rFonts w:cs="Arial"/>
                <w:b/>
                <w:bCs/>
                <w:color w:val="000000" w:themeColor="text1"/>
                <w:szCs w:val="16"/>
              </w:rPr>
              <w:t>Question</w:t>
            </w:r>
          </w:p>
        </w:tc>
        <w:tc>
          <w:tcPr>
            <w:tcW w:w="1615" w:type="dxa"/>
          </w:tcPr>
          <w:p w14:paraId="69C911AF" w14:textId="77777777" w:rsidR="000E5D05" w:rsidRPr="000E5D05" w:rsidRDefault="000E5D05">
            <w:pPr>
              <w:jc w:val="center"/>
              <w:rPr>
                <w:rFonts w:cs="Arial"/>
                <w:b/>
                <w:bCs/>
                <w:color w:val="000000" w:themeColor="text1"/>
                <w:szCs w:val="16"/>
              </w:rPr>
            </w:pPr>
            <w:r w:rsidRPr="000E5D05">
              <w:rPr>
                <w:rFonts w:cs="Arial"/>
                <w:b/>
                <w:bCs/>
                <w:color w:val="000000" w:themeColor="text1"/>
                <w:szCs w:val="16"/>
              </w:rPr>
              <w:t>Number</w:t>
            </w:r>
          </w:p>
        </w:tc>
      </w:tr>
      <w:tr w:rsidR="000E5D05" w:rsidRPr="000E5D05" w14:paraId="655EF7E2" w14:textId="77777777">
        <w:tc>
          <w:tcPr>
            <w:tcW w:w="9175" w:type="dxa"/>
          </w:tcPr>
          <w:p w14:paraId="751BADB6" w14:textId="406539DF" w:rsidR="000E5D05" w:rsidRPr="000E5D05" w:rsidRDefault="000E5D05">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tcPr>
          <w:p w14:paraId="41E410A2" w14:textId="77777777" w:rsidR="000E5D05" w:rsidRPr="000E5D05" w:rsidRDefault="000E5D05">
            <w:pPr>
              <w:jc w:val="center"/>
              <w:rPr>
                <w:rFonts w:cs="Arial"/>
                <w:color w:val="000000" w:themeColor="text1"/>
                <w:szCs w:val="16"/>
              </w:rPr>
            </w:pPr>
            <w:r w:rsidRPr="000E5D05">
              <w:rPr>
                <w:rFonts w:cs="Arial"/>
                <w:color w:val="000000" w:themeColor="text1"/>
                <w:szCs w:val="16"/>
              </w:rPr>
              <w:t>20,040</w:t>
            </w:r>
          </w:p>
        </w:tc>
      </w:tr>
      <w:tr w:rsidR="000E5D05" w:rsidRPr="000E5D05" w14:paraId="67934A85" w14:textId="77777777">
        <w:tc>
          <w:tcPr>
            <w:tcW w:w="9175" w:type="dxa"/>
          </w:tcPr>
          <w:p w14:paraId="07587B90" w14:textId="77777777" w:rsidR="000E5D05" w:rsidRPr="000E5D05" w:rsidRDefault="000E5D05">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6888EA59" w14:textId="77777777" w:rsidR="000E5D05" w:rsidRPr="000E5D05" w:rsidRDefault="000E5D05">
            <w:pPr>
              <w:jc w:val="center"/>
              <w:rPr>
                <w:rFonts w:cs="Arial"/>
                <w:color w:val="000000" w:themeColor="text1"/>
                <w:szCs w:val="16"/>
              </w:rPr>
            </w:pPr>
            <w:r w:rsidRPr="000E5D05">
              <w:rPr>
                <w:rFonts w:cs="Arial"/>
                <w:color w:val="000000" w:themeColor="text1"/>
                <w:szCs w:val="16"/>
              </w:rPr>
              <w:t>5,362</w:t>
            </w:r>
          </w:p>
        </w:tc>
      </w:tr>
      <w:tr w:rsidR="000E5D05" w:rsidRPr="00ED172B" w14:paraId="7565685B" w14:textId="77777777">
        <w:tc>
          <w:tcPr>
            <w:tcW w:w="9175" w:type="dxa"/>
          </w:tcPr>
          <w:p w14:paraId="189EC9A1" w14:textId="0930CED0" w:rsidR="000E5D05" w:rsidRPr="000E5D05" w:rsidRDefault="000E5D05">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14:paraId="1EA9DBE3" w14:textId="77777777" w:rsidR="000E5D05" w:rsidRPr="006B424E" w:rsidRDefault="000E5D05">
            <w:pPr>
              <w:rPr>
                <w:b/>
                <w:color w:val="000000" w:themeColor="text1"/>
              </w:rPr>
            </w:pPr>
            <w:r w:rsidRPr="000E5D05">
              <w:rPr>
                <w:color w:val="000000" w:themeColor="text1"/>
              </w:rPr>
              <w:t>9,527</w:t>
            </w:r>
          </w:p>
        </w:tc>
      </w:tr>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4050E0">
            <w:pPr>
              <w:rPr>
                <w:rFonts w:cs="Arial"/>
                <w:color w:val="000000" w:themeColor="text1"/>
                <w:szCs w:val="16"/>
              </w:rPr>
            </w:pPr>
            <w:r w:rsidRPr="00ED172B">
              <w:rPr>
                <w:rFonts w:cs="Arial"/>
                <w:color w:val="000000" w:themeColor="text1"/>
                <w:szCs w:val="16"/>
              </w:rPr>
              <w:t>NO</w:t>
            </w:r>
          </w:p>
        </w:tc>
      </w:tr>
    </w:tbl>
    <w:p w14:paraId="047486DE" w14:textId="2F12AD13"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14:paraId="44D4D8D3" w14:textId="4AE06461" w:rsidR="002451A6" w:rsidRDefault="005C14C2" w:rsidP="005C14C2">
      <w:pPr>
        <w:rPr>
          <w:color w:val="000000" w:themeColor="text1"/>
        </w:rPr>
      </w:pPr>
      <w:r w:rsidRPr="00ED172B">
        <w:rPr>
          <w:color w:val="000000" w:themeColor="text1"/>
        </w:rPr>
        <w:t>NO</w:t>
      </w:r>
    </w:p>
    <w:p w14:paraId="5721B8E5" w14:textId="796E7895"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43BEFADD" w14:textId="7C17EB70" w:rsidR="00F20E73" w:rsidRDefault="00860830" w:rsidP="00F20E73">
      <w:pPr>
        <w:rPr>
          <w:rFonts w:cs="Arial"/>
          <w:color w:val="000000" w:themeColor="text1"/>
          <w:szCs w:val="16"/>
        </w:rPr>
      </w:pPr>
      <w:r w:rsidRPr="00ED172B">
        <w:rPr>
          <w:rFonts w:cs="Arial"/>
          <w:color w:val="000000" w:themeColor="text1"/>
          <w:szCs w:val="16"/>
        </w:rPr>
        <w:t xml:space="preserve">During FFY24, the Lead Agency (MA-C) used two different instruments to calculate the Indicator 3 Outcomes. </w:t>
      </w:r>
    </w:p>
    <w:p>
      <w:pPr>
        <w:pStyle w:val=""/>
      </w:pPr>
      <w:r>
        <w:rPr>
          <w:rFonts w:ascii="" w:hAnsi="" w:cs="" w:eastAsia=""/>
          <w:b w:val="false"/>
          <w:i w:val="false"/>
          <w:color w:val="000000"/>
        </w:rPr>
        <w:t/>
      </w:r>
    </w:p>
    <w:p>
      <w:pPr>
        <w:pStyle w:val=""/>
      </w:pPr>
      <w:r>
        <w:rPr>
          <w:rFonts w:ascii="" w:hAnsi="" w:cs="" w:eastAsia=""/>
          <w:b w:val="false"/>
          <w:i w:val="false"/>
          <w:color w:val="000000"/>
        </w:rPr>
        <w:t>From July 1, 2024 - January 5, 2025, the Battelle Developmental Inventory (2nd edition) was used. The criteria for defining “comparable to same-aged peers” is a developmental quotient (DQ) of greater than or equal to 80 and one or more exit raw subdomain scores are greater than the entry raw subdomain score on the Battelle Developmental Inventory (2nd ed.)</w:t>
      </w:r>
    </w:p>
    <w:p>
      <w:pPr>
        <w:pStyle w:val=""/>
      </w:pPr>
      <w:r>
        <w:rPr>
          <w:rFonts w:ascii="" w:hAnsi="" w:cs="" w:eastAsia=""/>
          <w:b w:val="false"/>
          <w:i w:val="false"/>
          <w:color w:val="000000"/>
        </w:rPr>
        <w:t/>
      </w:r>
    </w:p>
    <w:p>
      <w:pPr>
        <w:pStyle w:val=""/>
      </w:pPr>
      <w:r>
        <w:rPr>
          <w:rFonts w:ascii="" w:hAnsi="" w:cs="" w:eastAsia=""/>
          <w:b w:val="false"/>
          <w:i w:val="false"/>
          <w:color w:val="000000"/>
        </w:rPr>
        <w:t>From January 6, 2025-June 30, 2025, the Battelle Developmental Inventory (3rd edition) was used. The criteria for defining “comparable to same-aged peers” is a developmental quotient (DQ) of greater than or equal to 81 and one or more exit raw subdomain scores are greater than the entry raw subdomain score on the Battelle Developmental Inventory (3rd ed.)</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 xml:space="preserve">During FFY24, the Lead Agency (MA-C) used two different instruments to calculate the Indicator 3 Outcomes. </w:t>
      </w:r>
    </w:p>
    <w:p>
      <w:pPr>
        <w:pStyle w:val=""/>
      </w:pPr>
      <w:r>
        <w:rPr>
          <w:rFonts w:ascii="" w:hAnsi="" w:cs="" w:eastAsia=""/>
          <w:b w:val="false"/>
          <w:i w:val="false"/>
          <w:color w:val="000000"/>
        </w:rPr>
        <w:t/>
      </w:r>
    </w:p>
    <w:p>
      <w:pPr>
        <w:pStyle w:val=""/>
      </w:pPr>
      <w:r>
        <w:rPr>
          <w:rFonts w:ascii="" w:hAnsi="" w:cs="" w:eastAsia=""/>
          <w:b w:val="false"/>
          <w:i w:val="false"/>
          <w:color w:val="000000"/>
        </w:rPr>
        <w:t>From July 1, 2024 - January 5, 2025, the Battelle Developmental Inventory (2nd edition) was used. From January 6, 2025-June 30, 2025, the Battelle Developmental Inventory (3rd edition) was used. The procedures are substantially similar across the different editions. Early intervention services providers administer this assessment during synchronous, in-person interactions with at least two examiners, the child, and their caregiver(s). The examiners follow the manual (BDI-2 prior to January 6, 2025 and BDI-3 following January 6, 2025) to complete the assessment in five developmental domains (i.e., adaptive, personal-social, communication, motor, and cognitive). The child's chronological age in months is calculated.</w:t>
      </w:r>
    </w:p>
    <w:p>
      <w:pPr>
        <w:pStyle w:val=""/>
      </w:pPr>
      <w:r>
        <w:rPr>
          <w:rFonts w:ascii="" w:hAnsi="" w:cs="" w:eastAsia=""/>
          <w:b w:val="false"/>
          <w:i w:val="false"/>
          <w:color w:val="000000"/>
        </w:rPr>
        <w:t/>
      </w:r>
    </w:p>
    <w:p>
      <w:pPr>
        <w:pStyle w:val=""/>
      </w:pPr>
      <w:r>
        <w:rPr>
          <w:rFonts w:ascii="" w:hAnsi="" w:cs="" w:eastAsia=""/>
          <w:b w:val="false"/>
          <w:i w:val="false"/>
          <w:color w:val="000000"/>
        </w:rPr>
        <w:t xml:space="preserve">To begin a subdomain, the examiner finds the basal by beginning at the designated starting point (per the publisher's manual). A basal is established when the child has scored three consecutive 2s. The examiner may need to assess tasks before the designated starting point to find a basal score. For each assessment task, the examiner identifies how the information was obtained (i.e., S = structured activities for direct assessment; O = observation of activities in the child's natural environment; I = interviews with the child's caregiver). The examiner scores assessment items using the criteria in the publisher's manual (i.e., 2 = the child's response meets the specified criteria listed in the manual; 1 = skill may be emerging and is not yet mastered; 0 = child did not attempt or response was insufficient to receive partial credit). The examiner stops administering tasks after establishing a ceiling, or three consecutive 0s. </w:t>
      </w:r>
    </w:p>
    <w:p>
      <w:pPr>
        <w:pStyle w:val=""/>
      </w:pPr>
      <w:r>
        <w:rPr>
          <w:rFonts w:ascii="" w:hAnsi="" w:cs="" w:eastAsia=""/>
          <w:b w:val="false"/>
          <w:i w:val="false"/>
          <w:color w:val="000000"/>
        </w:rPr>
        <w:t/>
      </w:r>
    </w:p>
    <w:p>
      <w:pPr>
        <w:pStyle w:val=""/>
      </w:pPr>
      <w:r>
        <w:rPr>
          <w:rFonts w:ascii="" w:hAnsi="" w:cs="" w:eastAsia=""/>
          <w:b w:val="false"/>
          <w:i w:val="false"/>
          <w:color w:val="000000"/>
        </w:rPr>
        <w:t>When using the BDI-2, the examiner then calculates raw scores using the scoring form on the front of the protocol booklet. When using the BDI-3, the electronic scoring platform calculates these scores for the examiner. The raw scores are used to calculate scaled scores, percentiles, and age equivalents for the subdomains.</w:t>
      </w:r>
    </w:p>
    <w:p>
      <w:pPr>
        <w:pStyle w:val=""/>
      </w:pPr>
      <w:r>
        <w:rPr>
          <w:rFonts w:ascii="" w:hAnsi="" w:cs="" w:eastAsia=""/>
          <w:b w:val="false"/>
          <w:i w:val="false"/>
          <w:color w:val="000000"/>
        </w:rPr>
        <w:t/>
      </w:r>
    </w:p>
    <w:p>
      <w:pPr>
        <w:pStyle w:val=""/>
      </w:pPr>
      <w:r>
        <w:rPr>
          <w:rFonts w:ascii="" w:hAnsi="" w:cs="" w:eastAsia=""/>
          <w:b w:val="false"/>
          <w:i w:val="false"/>
          <w:color w:val="000000"/>
        </w:rPr>
        <w:t>Newborg, J. (2005). Battelle developmental inventory (2nd ed.). Itasca, IL: Riverside Publishing.</w:t>
      </w:r>
    </w:p>
    <w:p>
      <w:pPr>
        <w:pStyle w:val=""/>
      </w:pPr>
      <w:r>
        <w:rPr>
          <w:rFonts w:ascii="" w:hAnsi="" w:cs="" w:eastAsia=""/>
          <w:b w:val="false"/>
          <w:i w:val="false"/>
          <w:color w:val="000000"/>
        </w:rPr>
        <w:t/>
      </w:r>
    </w:p>
    <w:p>
      <w:pPr>
        <w:pStyle w:val=""/>
      </w:pPr>
      <w:r>
        <w:rPr>
          <w:rFonts w:ascii="" w:hAnsi="" w:cs="" w:eastAsia=""/>
          <w:b w:val="false"/>
          <w:i w:val="false"/>
          <w:color w:val="000000"/>
        </w:rPr>
        <w:t>Newborg, J. (2020). Battelle developmental inventory (3rd ed.). Itasca, IL: Riverside Publishing.</w:t>
      </w:r>
    </w:p>
    <w:p w14:paraId="7C7F4032" w14:textId="3B8DC8B2" w:rsidR="003A3693" w:rsidRPr="00ED172B" w:rsidRDefault="003A3693" w:rsidP="006935F4">
      <w:pPr>
        <w:rPr>
          <w:b/>
          <w:color w:val="000000" w:themeColor="text1"/>
        </w:rPr>
      </w:pPr>
      <w:bookmarkStart w:id="17" w:name="_Toc382082362"/>
      <w:bookmarkStart w:id="18" w:name="_Toc392159270"/>
      <w:r w:rsidRPr="00ED172B">
        <w:rPr>
          <w:b/>
          <w:color w:val="000000" w:themeColor="text1"/>
        </w:rPr>
        <w:t>Provide additional information about this indicator (optional).</w:t>
      </w:r>
    </w:p>
    <w:p w14:paraId="38CEA5CA" w14:textId="6B633C85" w:rsidR="003A3693" w:rsidRPr="00ED172B" w:rsidRDefault="00860830" w:rsidP="003A3693">
      <w:pPr>
        <w:rPr>
          <w:rFonts w:cs="Arial"/>
          <w:color w:val="000000" w:themeColor="text1"/>
          <w:szCs w:val="16"/>
        </w:rPr>
      </w:pPr>
      <w:r w:rsidRPr="00ED172B">
        <w:rPr>
          <w:rFonts w:cs="Arial"/>
          <w:color w:val="000000" w:themeColor="text1"/>
          <w:szCs w:val="16"/>
        </w:rPr>
        <w:t>During FFY24, the Lead Agency (MA-C) used Battelle Developmental Inventory (2nd ed; BDI-2) to calculate the Indicator 3 outcomes from July 1, 2024 - January 5, 2025. Beginning on January 6, 2025, the Battelle Developmental Inventory (3rd ed; BDI-3) was used to calculate the Indicator 3 Outcomes. As advised by DaSy on December 12, 2025, this approach is acceptable when switching instruments during a reporting year.</w:t>
      </w:r>
    </w:p>
    <w:p>
      <w:pPr>
        <w:pStyle w:val=""/>
      </w:pPr>
      <w:r>
        <w:rPr>
          <w:rFonts w:ascii="" w:hAnsi="" w:cs="" w:eastAsia=""/>
          <w:b w:val="false"/>
          <w:i w:val="false"/>
          <w:color w:val="000000"/>
        </w:rPr>
        <w:t/>
      </w:r>
    </w:p>
    <w:p>
      <w:pPr>
        <w:pStyle w:val=""/>
      </w:pPr>
      <w:r>
        <w:rPr>
          <w:rFonts w:ascii="" w:hAnsi="" w:cs="" w:eastAsia=""/>
          <w:b w:val="false"/>
          <w:i w:val="false"/>
          <w:color w:val="000000"/>
        </w:rPr>
        <w:t xml:space="preserve">Per OSEP's guidance on November 25, 2024 to gather a full reporting year's worth of data before developing a new baseline and targets following the change in instrument used for calculating Indicator 3 outcomes (i.e., changing from BDI-2 to BDI-3). MA-C has sought technical assistance from DaSy to prepare for resetting the baseline and establishing new targets. The Part C Coordinator began engaging the State Interagency Coordinating Council in June 2025 about the need and process for resetting targets. </w:t>
      </w:r>
    </w:p>
    <w:p>
      <w:pPr>
        <w:pStyle w:val=""/>
      </w:pPr>
      <w:r>
        <w:rPr>
          <w:rFonts w:ascii="" w:hAnsi="" w:cs="" w:eastAsia=""/>
          <w:b w:val="false"/>
          <w:i w:val="false"/>
          <w:color w:val="000000"/>
        </w:rPr>
        <w:t/>
      </w:r>
    </w:p>
    <w:p>
      <w:pPr>
        <w:pStyle w:val=""/>
      </w:pPr>
      <w:r>
        <w:rPr>
          <w:rFonts w:ascii="" w:hAnsi="" w:cs="" w:eastAsia=""/>
          <w:b w:val="false"/>
          <w:i w:val="false"/>
          <w:color w:val="000000"/>
        </w:rPr>
        <w:t>MA-C's performance with respect to data completion (i.e., the number of children included in Indicator 3 Outcomes calculations) has been below 34% for several years. In direct response, MA-C has analyzed its data by year since 2011, engaged stakeholders to review the data and identify possible root causes, reviewed state-level policies and procedures for Part C states with higher data completion rates, and provided extensive training and technical assistance for early intervention services (EIS) programs and providers.  MA-C attributes the increases in its performance on data completeness to these actions.</w:t>
      </w: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None</w:t>
      </w:r>
    </w:p>
    <w:p w14:paraId="043E739C" w14:textId="77777777" w:rsidR="004C1CEE" w:rsidRPr="00ED172B" w:rsidRDefault="004C1CEE" w:rsidP="00DC0682">
      <w:pPr>
        <w:rPr>
          <w:rFonts w:cs="Arial"/>
          <w:color w:val="000000" w:themeColor="text1"/>
          <w:szCs w:val="16"/>
        </w:rPr>
      </w:pP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5C14C2" w:rsidP="005C14C2">
      <w:pPr>
        <w:rPr>
          <w:color w:val="000000" w:themeColor="text1"/>
        </w:rPr>
      </w:pPr>
      <w:r w:rsidRPr="00ED172B">
        <w:rPr>
          <w:color w:val="000000" w:themeColor="text1"/>
        </w:rPr>
        <w:t/>
      </w: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5C14C2" w:rsidP="005C14C2">
      <w:pPr>
        <w:rPr>
          <w:color w:val="000000" w:themeColor="text1"/>
        </w:rPr>
      </w:pPr>
      <w:r w:rsidRPr="00ED172B">
        <w:rPr>
          <w:color w:val="000000" w:themeColor="text1"/>
        </w:rPr>
        <w:t/>
      </w: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7"/>
      <w:bookmarkEnd w:id="18"/>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19"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A. Know their rights;</w:t>
      </w:r>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20" w:name="_Toc392159272"/>
      <w:bookmarkEnd w:id="19"/>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6EC0D8CE" w:rsidR="00AD10DA" w:rsidRPr="003D3ED1" w:rsidRDefault="00AD10DA" w:rsidP="00AD10DA">
      <w:pPr>
        <w:pStyle w:val="Subhed"/>
        <w:rPr>
          <w:rFonts w:cstheme="minorBidi"/>
          <w:b w:val="0"/>
        </w:rPr>
      </w:pPr>
      <w:r w:rsidRPr="003D3ED1">
        <w:rPr>
          <w:rFonts w:cstheme="minorBidi"/>
          <w:b w:val="0"/>
        </w:rPr>
        <w:t xml:space="preserve">States will be required to </w:t>
      </w:r>
      <w:bookmarkStart w:id="21" w:name="_Hlk78829878"/>
      <w:r w:rsidRPr="003D3ED1">
        <w:rPr>
          <w:rFonts w:cstheme="minorBidi"/>
          <w:b w:val="0"/>
        </w:rPr>
        <w:t>compare the current year’s response rate to the previous year(s) response rate(s)</w:t>
      </w:r>
      <w:r w:rsidR="00BF0C35">
        <w:rPr>
          <w:rFonts w:cstheme="minorBidi"/>
          <w:b w:val="0"/>
        </w:rPr>
        <w:t xml:space="preserve"> </w:t>
      </w:r>
      <w:r w:rsidRPr="003D3ED1">
        <w:rPr>
          <w:rFonts w:cstheme="minorBidi"/>
          <w:b w:val="0"/>
        </w:rPr>
        <w:t>and describe strategies that will be implemented which are expected to increase the response rate year over year, particularly for those groups that are underrepresented</w:t>
      </w:r>
      <w:bookmarkEnd w:id="21"/>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119D756E"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2" w:name="_Hlk80187466"/>
      <w:r w:rsidR="00D45F98" w:rsidRPr="003D3ED1">
        <w:t>infants or toddlers for whom</w:t>
      </w:r>
      <w:bookmarkEnd w:id="22"/>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3" w:name="_Hlk80187529"/>
      <w:r w:rsidR="00D45F98" w:rsidRPr="003D3ED1">
        <w:t>receiving services</w:t>
      </w:r>
      <w:bookmarkEnd w:id="23"/>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418566D4"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r w:rsidR="000550D9">
        <w:t>.</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4" w:name="_Hlk80196581"/>
      <w:r w:rsidR="00D57F7D" w:rsidRPr="003D3ED1">
        <w:t>infants or toddlers for whom</w:t>
      </w:r>
      <w:bookmarkEnd w:id="24"/>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3F60F9DA" w:rsidR="00DB61F6" w:rsidRPr="00E6031E" w:rsidRDefault="00AB026B" w:rsidP="00DB61F6">
      <w:pPr>
        <w:pStyle w:val="Subhed"/>
        <w:rPr>
          <w:rFonts w:cstheme="minorBidi"/>
          <w:b w:val="0"/>
        </w:rPr>
      </w:pPr>
      <w:r>
        <w:rPr>
          <w:rFonts w:cstheme="minorBidi"/>
          <w:b w:val="0"/>
        </w:rPr>
        <w:t>When reporting the extent to which the demographics of the infants or toddlers for whom families responded are representative of the demographics of infants and toddlers enrolled in the Part C program, States must include race/ethnicity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20"/>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5"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6" w:type="pct"/>
            <w:tcBorders>
              <w:top w:val="single" w:sz="4" w:space="0" w:color="auto"/>
              <w:left w:val="single" w:sz="4" w:space="0" w:color="auto"/>
              <w:bottom w:val="single" w:sz="4" w:space="0" w:color="auto"/>
              <w:right w:val="single" w:sz="4" w:space="0" w:color="auto"/>
            </w:tcBorders>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2020</w:t>
            </w:r>
          </w:p>
        </w:tc>
        <w:tc>
          <w:tcPr>
            <w:tcW w:w="776" w:type="pct"/>
            <w:tcBorders>
              <w:top w:val="single" w:sz="4" w:space="0" w:color="auto"/>
              <w:left w:val="single" w:sz="4" w:space="0" w:color="auto"/>
              <w:bottom w:val="single" w:sz="4" w:space="0" w:color="auto"/>
              <w:right w:val="single" w:sz="4" w:space="0" w:color="auto"/>
            </w:tcBorders>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2022</w:t>
            </w:r>
          </w:p>
        </w:tc>
        <w:tc>
          <w:tcPr>
            <w:tcW w:w="775" w:type="pct"/>
            <w:tcBorders>
              <w:top w:val="single" w:sz="4" w:space="0" w:color="auto"/>
              <w:left w:val="single" w:sz="4" w:space="0" w:color="auto"/>
              <w:bottom w:val="single" w:sz="4" w:space="0" w:color="auto"/>
              <w:right w:val="single" w:sz="4" w:space="0" w:color="auto"/>
            </w:tcBorders>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2023</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vAlign w:val="center"/>
          </w:tcPr>
          <w:p w14:paraId="1C8EF858"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tcPr>
          <w:p w14:paraId="33DA05CA" w14:textId="47A2DCDE"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hideMark/>
          </w:tcPr>
          <w:p w14:paraId="4E1CDB3E" w14:textId="4B1DF262"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c>
          <w:tcPr>
            <w:tcW w:w="776" w:type="pct"/>
            <w:tcBorders>
              <w:top w:val="single" w:sz="4" w:space="0" w:color="auto"/>
              <w:left w:val="single" w:sz="4" w:space="0" w:color="auto"/>
              <w:bottom w:val="single" w:sz="4" w:space="0" w:color="auto"/>
              <w:right w:val="single" w:sz="4" w:space="0" w:color="auto"/>
            </w:tcBorders>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5" w:type="pct"/>
            <w:tcBorders>
              <w:top w:val="single" w:sz="4" w:space="0" w:color="auto"/>
              <w:left w:val="single" w:sz="4" w:space="0" w:color="auto"/>
              <w:bottom w:val="single" w:sz="4" w:space="0" w:color="auto"/>
              <w:right w:val="single" w:sz="4" w:space="0" w:color="auto"/>
            </w:tcBorders>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r>
      <w:tr w:rsidR="00ED172B" w:rsidRPr="00ED172B" w14:paraId="5726E534" w14:textId="0FEBCB20" w:rsidTr="00A40EE1">
        <w:trPr>
          <w:trHeight w:val="85"/>
        </w:trPr>
        <w:tc>
          <w:tcPr>
            <w:tcW w:w="415" w:type="pct"/>
            <w:tcBorders>
              <w:left w:val="single" w:sz="4" w:space="0" w:color="auto"/>
              <w:right w:val="single" w:sz="4" w:space="0" w:color="auto"/>
            </w:tcBorders>
            <w:vAlign w:val="center"/>
          </w:tcPr>
          <w:p w14:paraId="327818F6" w14:textId="7DE1C4D2" w:rsidR="00013004" w:rsidRPr="00ED172B" w:rsidRDefault="004B755C" w:rsidP="00D21F29">
            <w:pPr>
              <w:jc w:val="cente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tcPr>
          <w:p w14:paraId="44626205" w14:textId="5FE5D1F3" w:rsidR="00013004" w:rsidRPr="00ED172B" w:rsidRDefault="00291EA9" w:rsidP="00ED172B">
            <w:pPr>
              <w:jc w:val="center"/>
              <w:rPr>
                <w:color w:val="000000" w:themeColor="text1"/>
              </w:rPr>
            </w:pPr>
            <w:r w:rsidRPr="00ED172B">
              <w:rPr>
                <w:color w:val="000000" w:themeColor="text1"/>
              </w:rPr>
              <w:t>74.90%</w:t>
            </w:r>
          </w:p>
        </w:tc>
        <w:tc>
          <w:tcPr>
            <w:tcW w:w="374" w:type="pct"/>
            <w:tcBorders>
              <w:top w:val="single" w:sz="4" w:space="0" w:color="auto"/>
              <w:left w:val="single" w:sz="4" w:space="0" w:color="auto"/>
              <w:bottom w:val="single" w:sz="4" w:space="0" w:color="auto"/>
              <w:right w:val="single" w:sz="4" w:space="0" w:color="auto"/>
            </w:tcBorders>
            <w:hideMark/>
          </w:tcPr>
          <w:p w14:paraId="0D572CB1" w14:textId="457533E8"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87.08%</w:t>
            </w:r>
          </w:p>
        </w:tc>
        <w:tc>
          <w:tcPr>
            <w:tcW w:w="776" w:type="pct"/>
            <w:tcBorders>
              <w:top w:val="single" w:sz="4" w:space="0" w:color="auto"/>
              <w:left w:val="single" w:sz="4" w:space="0" w:color="auto"/>
              <w:bottom w:val="single" w:sz="4" w:space="0" w:color="auto"/>
              <w:right w:val="single" w:sz="4" w:space="0" w:color="auto"/>
            </w:tcBorders>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82.75%</w:t>
            </w:r>
          </w:p>
        </w:tc>
        <w:tc>
          <w:tcPr>
            <w:tcW w:w="776" w:type="pct"/>
            <w:tcBorders>
              <w:top w:val="single" w:sz="4" w:space="0" w:color="auto"/>
              <w:left w:val="single" w:sz="4" w:space="0" w:color="auto"/>
              <w:bottom w:val="single" w:sz="4" w:space="0" w:color="auto"/>
              <w:right w:val="single" w:sz="4" w:space="0" w:color="auto"/>
            </w:tcBorders>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83.52%</w:t>
            </w:r>
          </w:p>
        </w:tc>
        <w:tc>
          <w:tcPr>
            <w:tcW w:w="776" w:type="pct"/>
            <w:tcBorders>
              <w:top w:val="single" w:sz="4" w:space="0" w:color="auto"/>
              <w:left w:val="single" w:sz="4" w:space="0" w:color="auto"/>
              <w:bottom w:val="single" w:sz="4" w:space="0" w:color="auto"/>
              <w:right w:val="single" w:sz="4" w:space="0" w:color="auto"/>
            </w:tcBorders>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82.97%</w:t>
            </w:r>
          </w:p>
        </w:tc>
        <w:tc>
          <w:tcPr>
            <w:tcW w:w="775" w:type="pct"/>
            <w:tcBorders>
              <w:top w:val="single" w:sz="4" w:space="0" w:color="auto"/>
              <w:left w:val="single" w:sz="4" w:space="0" w:color="auto"/>
              <w:bottom w:val="single" w:sz="4" w:space="0" w:color="auto"/>
              <w:right w:val="single" w:sz="4" w:space="0" w:color="auto"/>
            </w:tcBorders>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84.44%</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vAlign w:val="center"/>
          </w:tcPr>
          <w:p w14:paraId="0A33D9B4"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023391C1" w14:textId="31C75DD5"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hideMark/>
          </w:tcPr>
          <w:p w14:paraId="0F6B57E8" w14:textId="74B5ED90"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80.00%</w:t>
            </w:r>
          </w:p>
        </w:tc>
        <w:tc>
          <w:tcPr>
            <w:tcW w:w="776" w:type="pct"/>
            <w:tcBorders>
              <w:top w:val="single" w:sz="4" w:space="0" w:color="auto"/>
              <w:left w:val="single" w:sz="4" w:space="0" w:color="auto"/>
              <w:bottom w:val="single" w:sz="4" w:space="0" w:color="auto"/>
              <w:right w:val="single" w:sz="4" w:space="0" w:color="auto"/>
            </w:tcBorders>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c>
          <w:tcPr>
            <w:tcW w:w="776" w:type="pct"/>
            <w:tcBorders>
              <w:top w:val="single" w:sz="4" w:space="0" w:color="auto"/>
              <w:left w:val="single" w:sz="4" w:space="0" w:color="auto"/>
              <w:bottom w:val="single" w:sz="4" w:space="0" w:color="auto"/>
              <w:right w:val="single" w:sz="4" w:space="0" w:color="auto"/>
            </w:tcBorders>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c>
          <w:tcPr>
            <w:tcW w:w="776" w:type="pct"/>
            <w:tcBorders>
              <w:top w:val="single" w:sz="4" w:space="0" w:color="auto"/>
              <w:left w:val="single" w:sz="4" w:space="0" w:color="auto"/>
              <w:bottom w:val="single" w:sz="4" w:space="0" w:color="auto"/>
              <w:right w:val="single" w:sz="4" w:space="0" w:color="auto"/>
            </w:tcBorders>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c>
          <w:tcPr>
            <w:tcW w:w="775" w:type="pct"/>
            <w:tcBorders>
              <w:top w:val="single" w:sz="4" w:space="0" w:color="auto"/>
              <w:left w:val="single" w:sz="4" w:space="0" w:color="auto"/>
              <w:bottom w:val="single" w:sz="4" w:space="0" w:color="auto"/>
              <w:right w:val="single" w:sz="4" w:space="0" w:color="auto"/>
            </w:tcBorders>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85.50%</w:t>
            </w:r>
          </w:p>
        </w:tc>
      </w:tr>
      <w:tr w:rsidR="00ED172B" w:rsidRPr="00ED172B" w14:paraId="48448318" w14:textId="1BF5AF3A" w:rsidTr="00A40EE1">
        <w:trPr>
          <w:trHeight w:val="85"/>
        </w:trPr>
        <w:tc>
          <w:tcPr>
            <w:tcW w:w="415" w:type="pct"/>
            <w:tcBorders>
              <w:left w:val="single" w:sz="4" w:space="0" w:color="auto"/>
              <w:right w:val="single" w:sz="4" w:space="0" w:color="auto"/>
            </w:tcBorders>
            <w:vAlign w:val="center"/>
          </w:tcPr>
          <w:p w14:paraId="08404016" w14:textId="59489EEE" w:rsidR="00013004" w:rsidRPr="00ED172B" w:rsidRDefault="004B755C" w:rsidP="00D21F29">
            <w:pPr>
              <w:jc w:val="cente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tcPr>
          <w:p w14:paraId="23E7373A" w14:textId="433300C8" w:rsidR="00013004" w:rsidRPr="00ED172B" w:rsidRDefault="00291EA9" w:rsidP="00ED172B">
            <w:pPr>
              <w:jc w:val="center"/>
              <w:rPr>
                <w:color w:val="000000" w:themeColor="text1"/>
              </w:rPr>
            </w:pPr>
            <w:r w:rsidRPr="00ED172B">
              <w:rPr>
                <w:color w:val="000000" w:themeColor="text1"/>
              </w:rPr>
              <w:t>71.60%</w:t>
            </w:r>
          </w:p>
        </w:tc>
        <w:tc>
          <w:tcPr>
            <w:tcW w:w="374" w:type="pct"/>
            <w:tcBorders>
              <w:top w:val="single" w:sz="4" w:space="0" w:color="auto"/>
              <w:left w:val="single" w:sz="4" w:space="0" w:color="auto"/>
              <w:bottom w:val="single" w:sz="4" w:space="0" w:color="auto"/>
              <w:right w:val="single" w:sz="4" w:space="0" w:color="auto"/>
            </w:tcBorders>
            <w:hideMark/>
          </w:tcPr>
          <w:p w14:paraId="783E7E7D" w14:textId="4EA3BF01" w:rsidR="00013004" w:rsidRPr="00ED172B" w:rsidRDefault="00013004" w:rsidP="00D21F29">
            <w:pPr>
              <w:jc w:val="center"/>
              <w:rPr>
                <w:rFonts w:cs="Arial"/>
                <w:color w:val="000000" w:themeColor="text1"/>
                <w:szCs w:val="16"/>
              </w:rPr>
            </w:pPr>
            <w:r w:rsidRPr="00ED172B">
              <w:rPr>
                <w:rFonts w:cs="Arial"/>
                <w:color w:val="000000" w:themeColor="text1"/>
                <w:szCs w:val="16"/>
              </w:rPr>
              <w:lastRenderedPageBreak/>
              <w:t>Data</w:t>
            </w:r>
          </w:p>
        </w:tc>
        <w:tc>
          <w:tcPr>
            <w:tcW w:w="776" w:type="pct"/>
            <w:tcBorders>
              <w:top w:val="single" w:sz="4" w:space="0" w:color="auto"/>
              <w:left w:val="single" w:sz="4" w:space="0" w:color="auto"/>
              <w:bottom w:val="single" w:sz="4" w:space="0" w:color="auto"/>
              <w:right w:val="single" w:sz="4" w:space="0" w:color="auto"/>
            </w:tcBorders>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84.53%</w:t>
            </w:r>
          </w:p>
        </w:tc>
        <w:tc>
          <w:tcPr>
            <w:tcW w:w="776" w:type="pct"/>
            <w:tcBorders>
              <w:top w:val="single" w:sz="4" w:space="0" w:color="auto"/>
              <w:left w:val="single" w:sz="4" w:space="0" w:color="auto"/>
              <w:bottom w:val="single" w:sz="4" w:space="0" w:color="auto"/>
              <w:right w:val="single" w:sz="4" w:space="0" w:color="auto"/>
            </w:tcBorders>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78.48%</w:t>
            </w:r>
          </w:p>
        </w:tc>
        <w:tc>
          <w:tcPr>
            <w:tcW w:w="776" w:type="pct"/>
            <w:tcBorders>
              <w:top w:val="single" w:sz="4" w:space="0" w:color="auto"/>
              <w:left w:val="single" w:sz="4" w:space="0" w:color="auto"/>
              <w:bottom w:val="single" w:sz="4" w:space="0" w:color="auto"/>
              <w:right w:val="single" w:sz="4" w:space="0" w:color="auto"/>
            </w:tcBorders>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79.99%</w:t>
            </w:r>
          </w:p>
        </w:tc>
        <w:tc>
          <w:tcPr>
            <w:tcW w:w="776" w:type="pct"/>
            <w:tcBorders>
              <w:top w:val="single" w:sz="4" w:space="0" w:color="auto"/>
              <w:left w:val="single" w:sz="4" w:space="0" w:color="auto"/>
              <w:bottom w:val="single" w:sz="4" w:space="0" w:color="auto"/>
              <w:right w:val="single" w:sz="4" w:space="0" w:color="auto"/>
            </w:tcBorders>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79.22%</w:t>
            </w:r>
          </w:p>
        </w:tc>
        <w:tc>
          <w:tcPr>
            <w:tcW w:w="775" w:type="pct"/>
            <w:tcBorders>
              <w:top w:val="single" w:sz="4" w:space="0" w:color="auto"/>
              <w:left w:val="single" w:sz="4" w:space="0" w:color="auto"/>
              <w:bottom w:val="single" w:sz="4" w:space="0" w:color="auto"/>
              <w:right w:val="single" w:sz="4" w:space="0" w:color="auto"/>
            </w:tcBorders>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80.86%</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vAlign w:val="center"/>
          </w:tcPr>
          <w:p w14:paraId="07661252" w14:textId="77777777" w:rsidR="00013004" w:rsidRPr="00ED172B" w:rsidRDefault="00013004"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71D9797A" w14:textId="3DD6EFF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hideMark/>
          </w:tcPr>
          <w:p w14:paraId="3F16252C" w14:textId="6ECE509E" w:rsidR="00013004" w:rsidRPr="00ED172B" w:rsidRDefault="00013004" w:rsidP="00D21F29">
            <w:pPr>
              <w:jc w:val="cente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6" w:type="pct"/>
            <w:tcBorders>
              <w:top w:val="single" w:sz="4" w:space="0" w:color="auto"/>
              <w:left w:val="single" w:sz="4" w:space="0" w:color="auto"/>
              <w:bottom w:val="single" w:sz="4" w:space="0" w:color="auto"/>
              <w:right w:val="single" w:sz="4" w:space="0" w:color="auto"/>
            </w:tcBorders>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c>
          <w:tcPr>
            <w:tcW w:w="776" w:type="pct"/>
            <w:tcBorders>
              <w:top w:val="single" w:sz="4" w:space="0" w:color="auto"/>
              <w:left w:val="single" w:sz="4" w:space="0" w:color="auto"/>
              <w:bottom w:val="single" w:sz="4" w:space="0" w:color="auto"/>
              <w:right w:val="single" w:sz="4" w:space="0" w:color="auto"/>
            </w:tcBorders>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c>
          <w:tcPr>
            <w:tcW w:w="776" w:type="pct"/>
            <w:tcBorders>
              <w:top w:val="single" w:sz="4" w:space="0" w:color="auto"/>
              <w:left w:val="single" w:sz="4" w:space="0" w:color="auto"/>
              <w:bottom w:val="single" w:sz="4" w:space="0" w:color="auto"/>
              <w:right w:val="single" w:sz="4" w:space="0" w:color="auto"/>
            </w:tcBorders>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93.50%</w:t>
            </w:r>
          </w:p>
        </w:tc>
        <w:tc>
          <w:tcPr>
            <w:tcW w:w="775" w:type="pct"/>
            <w:tcBorders>
              <w:top w:val="single" w:sz="4" w:space="0" w:color="auto"/>
              <w:left w:val="single" w:sz="4" w:space="0" w:color="auto"/>
              <w:bottom w:val="single" w:sz="4" w:space="0" w:color="auto"/>
              <w:right w:val="single" w:sz="4" w:space="0" w:color="auto"/>
            </w:tcBorders>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93.50%</w:t>
            </w:r>
          </w:p>
        </w:tc>
      </w:tr>
      <w:tr w:rsidR="00ED172B" w:rsidRPr="00ED172B" w14:paraId="1584FE47" w14:textId="5B96356D" w:rsidTr="00A40EE1">
        <w:trPr>
          <w:trHeight w:val="85"/>
        </w:trPr>
        <w:tc>
          <w:tcPr>
            <w:tcW w:w="415" w:type="pct"/>
            <w:tcBorders>
              <w:left w:val="single" w:sz="4" w:space="0" w:color="auto"/>
              <w:right w:val="single" w:sz="4" w:space="0" w:color="auto"/>
            </w:tcBorders>
            <w:vAlign w:val="center"/>
          </w:tcPr>
          <w:p w14:paraId="2BD768BF" w14:textId="5205E701" w:rsidR="00013004" w:rsidRPr="00ED172B" w:rsidRDefault="004B755C" w:rsidP="00D21F29">
            <w:pPr>
              <w:jc w:val="cente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tcPr>
          <w:p w14:paraId="01DA383D" w14:textId="70C11D05" w:rsidR="00013004" w:rsidRPr="00ED172B" w:rsidRDefault="00291EA9" w:rsidP="00ED172B">
            <w:pPr>
              <w:jc w:val="center"/>
              <w:rPr>
                <w:color w:val="000000" w:themeColor="text1"/>
              </w:rPr>
            </w:pPr>
            <w:r w:rsidRPr="00ED172B">
              <w:rPr>
                <w:color w:val="000000" w:themeColor="text1"/>
              </w:rPr>
              <w:t>85.90%</w:t>
            </w:r>
          </w:p>
        </w:tc>
        <w:tc>
          <w:tcPr>
            <w:tcW w:w="374" w:type="pct"/>
            <w:tcBorders>
              <w:top w:val="single" w:sz="4" w:space="0" w:color="auto"/>
              <w:left w:val="single" w:sz="4" w:space="0" w:color="auto"/>
              <w:bottom w:val="single" w:sz="4" w:space="0" w:color="auto"/>
              <w:right w:val="single" w:sz="4" w:space="0" w:color="auto"/>
            </w:tcBorders>
            <w:hideMark/>
          </w:tcPr>
          <w:p w14:paraId="2BAC2F43" w14:textId="4BB05AAA" w:rsidR="00013004" w:rsidRPr="00ED172B" w:rsidRDefault="00013004" w:rsidP="00D21F29">
            <w:pPr>
              <w:jc w:val="cente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93.91%</w:t>
            </w:r>
          </w:p>
        </w:tc>
        <w:tc>
          <w:tcPr>
            <w:tcW w:w="776" w:type="pct"/>
            <w:tcBorders>
              <w:top w:val="single" w:sz="4" w:space="0" w:color="auto"/>
              <w:left w:val="single" w:sz="4" w:space="0" w:color="auto"/>
              <w:bottom w:val="single" w:sz="4" w:space="0" w:color="auto"/>
              <w:right w:val="single" w:sz="4" w:space="0" w:color="auto"/>
            </w:tcBorders>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90.81%</w:t>
            </w:r>
          </w:p>
        </w:tc>
        <w:tc>
          <w:tcPr>
            <w:tcW w:w="776" w:type="pct"/>
            <w:tcBorders>
              <w:top w:val="single" w:sz="4" w:space="0" w:color="auto"/>
              <w:left w:val="single" w:sz="4" w:space="0" w:color="auto"/>
              <w:bottom w:val="single" w:sz="4" w:space="0" w:color="auto"/>
              <w:right w:val="single" w:sz="4" w:space="0" w:color="auto"/>
            </w:tcBorders>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91.41%</w:t>
            </w:r>
          </w:p>
        </w:tc>
        <w:tc>
          <w:tcPr>
            <w:tcW w:w="776" w:type="pct"/>
            <w:tcBorders>
              <w:top w:val="single" w:sz="4" w:space="0" w:color="auto"/>
              <w:left w:val="single" w:sz="4" w:space="0" w:color="auto"/>
              <w:bottom w:val="single" w:sz="4" w:space="0" w:color="auto"/>
              <w:right w:val="single" w:sz="4" w:space="0" w:color="auto"/>
            </w:tcBorders>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90.66%</w:t>
            </w:r>
          </w:p>
        </w:tc>
        <w:tc>
          <w:tcPr>
            <w:tcW w:w="775" w:type="pct"/>
            <w:tcBorders>
              <w:top w:val="single" w:sz="4" w:space="0" w:color="auto"/>
              <w:left w:val="single" w:sz="4" w:space="0" w:color="auto"/>
              <w:bottom w:val="single" w:sz="4" w:space="0" w:color="auto"/>
              <w:right w:val="single" w:sz="4" w:space="0" w:color="auto"/>
            </w:tcBorders>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92.36%</w:t>
            </w:r>
          </w:p>
        </w:tc>
      </w:tr>
    </w:tbl>
    <w:p w14:paraId="2A1BA25E" w14:textId="124175C6" w:rsidR="001F545F" w:rsidRPr="00ED172B" w:rsidRDefault="005918D1">
      <w:pPr>
        <w:rPr>
          <w:b/>
          <w:color w:val="000000" w:themeColor="text1"/>
        </w:rPr>
      </w:pPr>
      <w:r w:rsidRPr="00ED172B">
        <w:rPr>
          <w:b/>
          <w:color w:val="000000" w:themeColor="text1"/>
        </w:rPr>
        <w:t>Targets</w:t>
      </w:r>
    </w:p>
    <w:tbl>
      <w:tblPr>
        <w:tblW w:w="1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8"/>
        <w:gridCol w:w="1681"/>
        <w:gridCol w:w="1676"/>
      </w:tblGrid>
      <w:tr w:rsidR="00CF59E2" w:rsidRPr="00ED172B" w14:paraId="6C023CDC" w14:textId="05C08FAC" w:rsidTr="00811738">
        <w:trPr>
          <w:trHeight w:val="350"/>
        </w:trPr>
        <w:tc>
          <w:tcPr>
            <w:tcW w:w="890" w:type="pct"/>
            <w:tcBorders>
              <w:bottom w:val="single" w:sz="4" w:space="0" w:color="auto"/>
            </w:tcBorders>
            <w:vAlign w:val="bottom"/>
          </w:tcPr>
          <w:p w14:paraId="0130A8F3" w14:textId="77777777" w:rsidR="00CF59E2" w:rsidRPr="00ED172B" w:rsidRDefault="00CF59E2" w:rsidP="008654C9">
            <w:pPr>
              <w:jc w:val="center"/>
              <w:rPr>
                <w:rFonts w:cs="Arial"/>
                <w:b/>
                <w:color w:val="000000" w:themeColor="text1"/>
                <w:szCs w:val="16"/>
              </w:rPr>
            </w:pPr>
            <w:r w:rsidRPr="00ED172B">
              <w:rPr>
                <w:rFonts w:cs="Arial"/>
                <w:b/>
                <w:color w:val="000000" w:themeColor="text1"/>
                <w:szCs w:val="16"/>
              </w:rPr>
              <w:t>FFY</w:t>
            </w:r>
          </w:p>
        </w:tc>
        <w:tc>
          <w:tcPr>
            <w:tcW w:w="2058" w:type="pct"/>
            <w:vAlign w:val="center"/>
          </w:tcPr>
          <w:p w14:paraId="4732CBBC" w14:textId="72AD1B78" w:rsidR="00CF59E2" w:rsidRPr="00ED172B" w:rsidRDefault="00CF59E2" w:rsidP="008654C9">
            <w:pPr>
              <w:jc w:val="center"/>
              <w:rPr>
                <w:rFonts w:cs="Arial"/>
                <w:b/>
                <w:color w:val="000000" w:themeColor="text1"/>
                <w:szCs w:val="16"/>
              </w:rPr>
            </w:pPr>
            <w:r w:rsidRPr="00ED172B">
              <w:rPr>
                <w:rFonts w:cs="Arial"/>
                <w:b/>
                <w:color w:val="000000" w:themeColor="text1"/>
                <w:szCs w:val="16"/>
              </w:rPr>
              <w:t>2024</w:t>
            </w:r>
          </w:p>
        </w:tc>
        <w:tc>
          <w:tcPr>
            <w:tcW w:w="2053" w:type="pct"/>
          </w:tcPr>
          <w:p w14:paraId="4A6AC503" w14:textId="202CF51F" w:rsidR="00CF59E2" w:rsidRPr="00ED172B" w:rsidRDefault="00CF59E2" w:rsidP="008654C9">
            <w:pPr>
              <w:jc w:val="center"/>
              <w:rPr>
                <w:rFonts w:cs="Arial"/>
                <w:b/>
                <w:color w:val="000000" w:themeColor="text1"/>
                <w:szCs w:val="16"/>
              </w:rPr>
            </w:pPr>
            <w:r>
              <w:rPr>
                <w:rFonts w:cs="Arial"/>
                <w:b/>
                <w:color w:val="000000" w:themeColor="text1"/>
                <w:szCs w:val="16"/>
              </w:rPr>
              <w:t>2025</w:t>
            </w:r>
          </w:p>
        </w:tc>
      </w:tr>
      <w:tr w:rsidR="00CF59E2" w:rsidRPr="00ED172B" w14:paraId="737B1FB1" w14:textId="0E9417A5" w:rsidTr="00811738">
        <w:trPr>
          <w:trHeight w:val="357"/>
        </w:trPr>
        <w:tc>
          <w:tcPr>
            <w:tcW w:w="890" w:type="pct"/>
          </w:tcPr>
          <w:p w14:paraId="2CE5A688" w14:textId="4C4E1C28" w:rsidR="00CF59E2" w:rsidRPr="00ED172B" w:rsidRDefault="00CF59E2" w:rsidP="00D21F29">
            <w:pPr>
              <w:jc w:val="center"/>
              <w:rPr>
                <w:rFonts w:cs="Arial"/>
                <w:color w:val="000000" w:themeColor="text1"/>
                <w:szCs w:val="16"/>
              </w:rPr>
            </w:pPr>
            <w:r w:rsidRPr="00ED172B">
              <w:rPr>
                <w:rFonts w:cs="Arial"/>
                <w:color w:val="000000" w:themeColor="text1"/>
                <w:szCs w:val="16"/>
              </w:rPr>
              <w:t>Target A&gt;=</w:t>
            </w:r>
          </w:p>
        </w:tc>
        <w:tc>
          <w:tcPr>
            <w:tcW w:w="2058" w:type="pct"/>
            <w:vAlign w:val="center"/>
          </w:tcPr>
          <w:p w14:paraId="0B768807" w14:textId="2DC3CAE1" w:rsidR="00CF59E2" w:rsidRPr="00ED172B" w:rsidRDefault="00CF59E2" w:rsidP="002F2336">
            <w:pPr>
              <w:jc w:val="center"/>
              <w:rPr>
                <w:color w:val="000000" w:themeColor="text1"/>
              </w:rPr>
            </w:pPr>
            <w:r w:rsidRPr="00ED172B">
              <w:rPr>
                <w:color w:val="000000" w:themeColor="text1"/>
              </w:rPr>
              <w:t>90.00%</w:t>
            </w:r>
          </w:p>
        </w:tc>
        <w:tc>
          <w:tcPr>
            <w:tcW w:w="2053" w:type="pct"/>
            <w:vAlign w:val="center"/>
          </w:tcPr>
          <w:p w14:paraId="4F6C0542" w14:textId="15CB8941" w:rsidR="00CF59E2" w:rsidRPr="00794BA1" w:rsidRDefault="00CF59E2" w:rsidP="002F2336">
            <w:pPr>
              <w:jc w:val="center"/>
              <w:rPr>
                <w:color w:val="000000" w:themeColor="text1"/>
              </w:rPr>
            </w:pPr>
            <w:r w:rsidRPr="00794BA1">
              <w:rPr>
                <w:color w:val="000000" w:themeColor="text1"/>
              </w:rPr>
              <w:t>90.00%</w:t>
            </w:r>
          </w:p>
        </w:tc>
      </w:tr>
      <w:tr w:rsidR="00CF59E2" w:rsidRPr="00ED172B" w14:paraId="710D542D" w14:textId="756C8AD1" w:rsidTr="00811738">
        <w:trPr>
          <w:trHeight w:val="357"/>
        </w:trPr>
        <w:tc>
          <w:tcPr>
            <w:tcW w:w="890" w:type="pct"/>
          </w:tcPr>
          <w:p w14:paraId="557BCF0C" w14:textId="6B9B0AD0" w:rsidR="00CF59E2" w:rsidRPr="00ED172B" w:rsidRDefault="00CF59E2" w:rsidP="00D21F29">
            <w:pPr>
              <w:jc w:val="center"/>
              <w:rPr>
                <w:rFonts w:cs="Arial"/>
                <w:color w:val="000000" w:themeColor="text1"/>
                <w:szCs w:val="16"/>
              </w:rPr>
            </w:pPr>
            <w:r w:rsidRPr="00ED172B">
              <w:rPr>
                <w:rFonts w:cs="Arial"/>
                <w:color w:val="000000" w:themeColor="text1"/>
                <w:szCs w:val="16"/>
              </w:rPr>
              <w:t>Target B&gt;=</w:t>
            </w:r>
          </w:p>
        </w:tc>
        <w:tc>
          <w:tcPr>
            <w:tcW w:w="2058" w:type="pct"/>
            <w:vAlign w:val="center"/>
          </w:tcPr>
          <w:p w14:paraId="2EE14986" w14:textId="19D08E1A" w:rsidR="00CF59E2" w:rsidRPr="00ED172B" w:rsidRDefault="00CF59E2" w:rsidP="002F2336">
            <w:pPr>
              <w:jc w:val="center"/>
              <w:rPr>
                <w:color w:val="000000" w:themeColor="text1"/>
              </w:rPr>
            </w:pPr>
            <w:r w:rsidRPr="00ED172B">
              <w:rPr>
                <w:color w:val="000000" w:themeColor="text1"/>
              </w:rPr>
              <w:t>85.50%</w:t>
            </w:r>
          </w:p>
        </w:tc>
        <w:tc>
          <w:tcPr>
            <w:tcW w:w="2053" w:type="pct"/>
            <w:vAlign w:val="center"/>
          </w:tcPr>
          <w:p w14:paraId="45E8EA8A" w14:textId="192846CF" w:rsidR="00CF59E2" w:rsidRPr="00794BA1" w:rsidRDefault="00CF59E2" w:rsidP="002F2336">
            <w:pPr>
              <w:jc w:val="center"/>
              <w:rPr>
                <w:color w:val="000000" w:themeColor="text1"/>
              </w:rPr>
            </w:pPr>
            <w:r w:rsidRPr="00794BA1">
              <w:rPr>
                <w:color w:val="000000" w:themeColor="text1"/>
              </w:rPr>
              <w:t>85.50%</w:t>
            </w:r>
          </w:p>
        </w:tc>
      </w:tr>
      <w:tr w:rsidR="00CF59E2" w:rsidRPr="00ED172B" w14:paraId="6BF95698" w14:textId="57A8B0C9" w:rsidTr="00811738">
        <w:trPr>
          <w:trHeight w:val="357"/>
        </w:trPr>
        <w:tc>
          <w:tcPr>
            <w:tcW w:w="890" w:type="pct"/>
          </w:tcPr>
          <w:p w14:paraId="27634074" w14:textId="35FAB710" w:rsidR="00CF59E2" w:rsidRPr="00ED172B" w:rsidRDefault="00CF59E2" w:rsidP="00D21F29">
            <w:pPr>
              <w:jc w:val="center"/>
              <w:rPr>
                <w:rFonts w:cs="Arial"/>
                <w:color w:val="000000" w:themeColor="text1"/>
                <w:szCs w:val="16"/>
              </w:rPr>
            </w:pPr>
            <w:r w:rsidRPr="00ED172B">
              <w:rPr>
                <w:rFonts w:cs="Arial"/>
                <w:color w:val="000000" w:themeColor="text1"/>
                <w:szCs w:val="16"/>
              </w:rPr>
              <w:t>Target C&gt;=</w:t>
            </w:r>
          </w:p>
        </w:tc>
        <w:tc>
          <w:tcPr>
            <w:tcW w:w="2058" w:type="pct"/>
            <w:vAlign w:val="center"/>
          </w:tcPr>
          <w:p w14:paraId="51F920AE" w14:textId="186AEDBE" w:rsidR="00CF59E2" w:rsidRPr="00ED172B" w:rsidRDefault="00CF59E2" w:rsidP="002F2336">
            <w:pPr>
              <w:jc w:val="center"/>
              <w:rPr>
                <w:color w:val="000000" w:themeColor="text1"/>
              </w:rPr>
            </w:pPr>
            <w:r w:rsidRPr="00ED172B">
              <w:rPr>
                <w:color w:val="000000" w:themeColor="text1"/>
              </w:rPr>
              <w:t>94.00%</w:t>
            </w:r>
          </w:p>
        </w:tc>
        <w:tc>
          <w:tcPr>
            <w:tcW w:w="2053" w:type="pct"/>
            <w:vAlign w:val="center"/>
          </w:tcPr>
          <w:p w14:paraId="29A82995" w14:textId="6F06C337" w:rsidR="00CF59E2" w:rsidRPr="00794BA1" w:rsidRDefault="00CF59E2" w:rsidP="002F2336">
            <w:pPr>
              <w:jc w:val="center"/>
              <w:rPr>
                <w:color w:val="000000" w:themeColor="text1"/>
              </w:rPr>
            </w:pPr>
            <w:r w:rsidRPr="00794BA1">
              <w:rPr>
                <w:color w:val="000000" w:themeColor="text1"/>
              </w:rPr>
              <w:t>94.00%</w:t>
            </w:r>
          </w:p>
        </w:tc>
      </w:tr>
    </w:tbl>
    <w:bookmarkEnd w:id="25"/>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519933C" w14:textId="63B27792" w:rsidR="006902F0" w:rsidRPr="00ED172B" w:rsidRDefault="006902F0" w:rsidP="00B83404">
      <w:pPr>
        <w:rPr>
          <w:color w:val="000000" w:themeColor="text1"/>
        </w:rPr>
      </w:pPr>
      <w:r w:rsidRPr="00ED172B">
        <w:rPr>
          <w:rFonts w:cs="Arial"/>
          <w:color w:val="000000" w:themeColor="text1"/>
          <w:szCs w:val="16"/>
        </w:rPr>
        <w:t xml:space="preserve">In August 2024, the Part C Coordinator presented Indicator 4 data to the members of the State Interagency Coordinating Council’s Family and Community Engagement subcommittee. She presented a special focus on MA-C’s representativeness, outcomes, and improving data quality over time. and asked for advice and assistance on how to improve response rates, especially among historically underrepresented groups. Parent representatives recommended that MA-C develop family-facing materials to increase awareness of the survey. Provider representatives suggested that MA-C could distribute the survey directly to parents rather than asking service coordinators at early intervention services programs to do so; this recommendation was debated and did not have uniform support. </w:t>
      </w:r>
    </w:p>
    <w:p>
      <w:pPr>
        <w:pStyle w:val=""/>
      </w:pPr>
      <w:r>
        <w:rPr>
          <w:rFonts w:ascii="" w:hAnsi="" w:cs="" w:eastAsia=""/>
          <w:b w:val="false"/>
          <w:i w:val="false"/>
          <w:color w:val="000000"/>
        </w:rPr>
        <w:t/>
      </w:r>
    </w:p>
    <w:p>
      <w:pPr>
        <w:pStyle w:val=""/>
      </w:pPr>
      <w:r>
        <w:rPr>
          <w:rFonts w:ascii="" w:hAnsi="" w:cs="" w:eastAsia=""/>
          <w:b w:val="false"/>
          <w:i w:val="false"/>
          <w:color w:val="000000"/>
        </w:rPr>
        <w:t xml:space="preserve">In December 2024, the Lead Agency (MA-C) held a two-day in-person gathering to engage stakeholders about the survey used to collect Indicator 4 data. These stakeholders were comprised of five early intervention services (EIS) program directors who represented different geographic regions of the Commonwealth. The Part C Coordinator and the Family &amp; Community Engagement Manager presented information about MA-C’s response rate and representativeness data beginning with FFY12 and asked for recommendations for revising its procedures for distributing the survey to increase response rate and representativeness. Specifically, the Part C Coordinator asked for recommendations on how to move from using sampling to a census approach, in which every child enrolled for six months or more receives a survey. The Part C Coordinator also presented information about the differences in response rate between paper and web-based surveys. Stakeholders recommended implementing a census approach beginning in FFY25, enhancing the state database, the Early Intervention Client System, creating an ongoing community of practice to support EIS program directors in the transition, and reducing the number of paper surveys printed. </w:t>
      </w:r>
    </w:p>
    <w:p>
      <w:pPr>
        <w:pStyle w:val=""/>
      </w:pPr>
      <w:r>
        <w:rPr>
          <w:rFonts w:ascii="" w:hAnsi="" w:cs="" w:eastAsia=""/>
          <w:b w:val="false"/>
          <w:i w:val="false"/>
          <w:color w:val="000000"/>
        </w:rPr>
        <w:t/>
      </w:r>
    </w:p>
    <w:p>
      <w:pPr>
        <w:pStyle w:val=""/>
      </w:pPr>
      <w:r>
        <w:rPr>
          <w:rFonts w:ascii="" w:hAnsi="" w:cs="" w:eastAsia=""/>
          <w:b w:val="false"/>
          <w:i w:val="false"/>
          <w:color w:val="000000"/>
        </w:rPr>
        <w:t>In addition to the Part C Coordinator’s interactions, MA-C’s Family and Community Engagement Manager has shared information with and sought feedback from the State Interagency Coordinating Council (ICC)’s Family and Community Engagement subcommittee several consistently through the reporting year. In March 2025, MA-C’s Family and Community Engagement Manager shared information with about recommendations from the December 2024 stakeholder event. Subcommittee members recommended that MA-C have the Indicator 4 survey open to collect responses for as long as possible during the reporting year. In April 2025, she sought feedback from subcommittee members about the recommended timing for the implementation of the census approach. Finally, in June 2025, she sought feedback from subcommittee members about early intervention services programs capacity for family engagement and how the Indicator 4 survey can support family engagement.</w:t>
      </w:r>
    </w:p>
    <w:p>
      <w:pPr>
        <w:pStyle w:val=""/>
      </w:pPr>
      <w:r>
        <w:rPr>
          <w:rFonts w:ascii="" w:hAnsi="" w:cs="" w:eastAsia=""/>
          <w:b w:val="false"/>
          <w:i w:val="false"/>
          <w:color w:val="000000"/>
        </w:rPr>
        <w:t/>
      </w:r>
    </w:p>
    <w:p>
      <w:pPr>
        <w:pStyle w:val=""/>
      </w:pPr>
      <w:r>
        <w:rPr>
          <w:rFonts w:ascii="" w:hAnsi="" w:cs="" w:eastAsia=""/>
          <w:b w:val="false"/>
          <w:i w:val="false"/>
          <w:color w:val="000000"/>
        </w:rPr>
        <w:t xml:space="preserve">At a State Interagency Coordinating Council (ICC) meeting on January 14, 2026, members of the Family and Community Engagement subcommittee reviewed results from FFY24 (July 1, 2024-June 30, 2025) for indicator 4 with a special focus on the response rate and representativeness of the survey data. During this meeting, MA-C’s Family and Community Engagement Manager asked attendees for recommendations in increasing the response rate and representativeness and the utility of a paper-based survey. Provider representatives recommended MA-C develop standard instructions for EIS programs distributing the survey and emphasized that someone familiar to the family (e.g., Service Coordinator) would be best-positioned to distribute the survey information because of their established relationship with the family and believed this would increase response rates. Subcommittee members recommended using text messages or messaging apps to distribute the survey. Parent representatives noted that electronic surveys and forms are becoming increasingly common in healthcare settings (e.g., patient questionnaires at doctor’s offices) and suggested this may account for the higher-levels of response rates for web-based surveys compared to paper-based surveys. </w:t>
      </w:r>
    </w:p>
    <w:p w14:paraId="3FB4EB9B" w14:textId="77777777" w:rsidR="007011EC" w:rsidRPr="00ED172B" w:rsidRDefault="007011EC" w:rsidP="00F80C9C">
      <w:pPr>
        <w:rPr>
          <w:rFonts w:cs="Arial"/>
          <w:color w:val="000000" w:themeColor="text1"/>
          <w:szCs w:val="16"/>
        </w:rPr>
      </w:pPr>
    </w:p>
    <w:p w14:paraId="03DEBF84" w14:textId="774A4E7E" w:rsidR="004D140B"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8146"/>
        <w:gridCol w:w="2644"/>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6" w:name="_Toc392159275"/>
            <w:bookmarkStart w:id="27" w:name="_Toc382082367"/>
            <w:bookmarkStart w:id="28" w:name="_Toc392159276"/>
            <w:r w:rsidRPr="00ED172B">
              <w:rPr>
                <w:rFonts w:cs="Arial"/>
                <w:color w:val="000000" w:themeColor="text1"/>
                <w:szCs w:val="16"/>
              </w:rPr>
              <w:t>The number of families to whom surveys were distributed</w:t>
            </w:r>
          </w:p>
        </w:tc>
        <w:tc>
          <w:tcPr>
            <w:tcW w:w="665" w:type="pct"/>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17,176</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4,178</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24.32%</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3,584</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4,178</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3,431</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4,178</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3,893</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4,178</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vAlign w:val="bottom"/>
          </w:tcPr>
          <w:p w14:paraId="1B40DAB0" w14:textId="78B23B1F" w:rsidR="004B755C" w:rsidRPr="00ED172B" w:rsidRDefault="00CD74B5" w:rsidP="004B755C">
            <w:pPr>
              <w:jc w:val="center"/>
              <w:rPr>
                <w:rFonts w:cs="Arial"/>
                <w:b/>
                <w:color w:val="000000" w:themeColor="text1"/>
                <w:szCs w:val="16"/>
              </w:rPr>
            </w:pPr>
            <w:r>
              <w:rPr>
                <w:rFonts w:cs="Arial"/>
                <w:b/>
                <w:color w:val="000000" w:themeColor="text1"/>
                <w:szCs w:val="16"/>
              </w:rPr>
              <w:t>FFY 2023 Data</w:t>
            </w:r>
          </w:p>
        </w:tc>
        <w:tc>
          <w:tcPr>
            <w:tcW w:w="626" w:type="pct"/>
            <w:vAlign w:val="bottom"/>
          </w:tcPr>
          <w:p w14:paraId="68283261" w14:textId="6892FE22" w:rsidR="004B755C" w:rsidRPr="00ED172B" w:rsidRDefault="00F22D09" w:rsidP="004B755C">
            <w:pPr>
              <w:jc w:val="center"/>
              <w:rPr>
                <w:rFonts w:cs="Arial"/>
                <w:b/>
                <w:color w:val="000000" w:themeColor="text1"/>
                <w:szCs w:val="16"/>
              </w:rPr>
            </w:pPr>
            <w:r>
              <w:rPr>
                <w:rFonts w:cs="Arial"/>
                <w:b/>
                <w:color w:val="000000" w:themeColor="text1"/>
                <w:szCs w:val="16"/>
              </w:rPr>
              <w:t>FFY 2024 Target</w:t>
            </w:r>
          </w:p>
        </w:tc>
        <w:tc>
          <w:tcPr>
            <w:tcW w:w="667" w:type="pct"/>
            <w:vAlign w:val="bottom"/>
          </w:tcPr>
          <w:p w14:paraId="7105063D" w14:textId="6A2C5184" w:rsidR="004B755C" w:rsidRPr="00ED172B" w:rsidRDefault="00F22D09" w:rsidP="004B755C">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84.44%</w:t>
            </w:r>
          </w:p>
        </w:tc>
        <w:tc>
          <w:tcPr>
            <w:tcW w:w="626" w:type="pct"/>
            <w:vAlign w:val="center"/>
          </w:tcPr>
          <w:p w14:paraId="4A24E7CC" w14:textId="4BA3C3ED" w:rsidR="00D20529" w:rsidRPr="00ED172B" w:rsidRDefault="00291EA9" w:rsidP="00291EA9">
            <w:pPr>
              <w:jc w:val="center"/>
              <w:rPr>
                <w:color w:val="000000" w:themeColor="text1"/>
              </w:rPr>
            </w:pPr>
            <w:r w:rsidRPr="00ED172B">
              <w:rPr>
                <w:color w:val="000000" w:themeColor="text1"/>
              </w:rPr>
              <w:t>90.00%</w:t>
            </w:r>
          </w:p>
        </w:tc>
        <w:tc>
          <w:tcPr>
            <w:tcW w:w="667" w:type="pct"/>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85.78%</w:t>
            </w:r>
          </w:p>
        </w:tc>
        <w:tc>
          <w:tcPr>
            <w:tcW w:w="542" w:type="pct"/>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142BDFFF" w14:textId="2297D36E" w:rsidTr="00986B99">
        <w:trPr>
          <w:trHeight w:val="361"/>
        </w:trPr>
        <w:tc>
          <w:tcPr>
            <w:tcW w:w="2041" w:type="pct"/>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80.86%</w:t>
            </w:r>
          </w:p>
        </w:tc>
        <w:tc>
          <w:tcPr>
            <w:tcW w:w="626" w:type="pct"/>
            <w:vAlign w:val="center"/>
          </w:tcPr>
          <w:p w14:paraId="383B5286" w14:textId="71CDE4D7" w:rsidR="00D20529" w:rsidRPr="00ED172B" w:rsidRDefault="00291EA9" w:rsidP="00291EA9">
            <w:pPr>
              <w:jc w:val="center"/>
              <w:rPr>
                <w:color w:val="000000" w:themeColor="text1"/>
              </w:rPr>
            </w:pPr>
            <w:r w:rsidRPr="00ED172B">
              <w:rPr>
                <w:color w:val="000000" w:themeColor="text1"/>
              </w:rPr>
              <w:t>85.50%</w:t>
            </w:r>
          </w:p>
        </w:tc>
        <w:tc>
          <w:tcPr>
            <w:tcW w:w="667" w:type="pct"/>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82.12%</w:t>
            </w:r>
          </w:p>
        </w:tc>
        <w:tc>
          <w:tcPr>
            <w:tcW w:w="542" w:type="pct"/>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431428E4" w14:textId="78B5A0F3" w:rsidTr="00986B99">
        <w:trPr>
          <w:trHeight w:val="361"/>
        </w:trPr>
        <w:tc>
          <w:tcPr>
            <w:tcW w:w="2041" w:type="pct"/>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92.36%</w:t>
            </w:r>
          </w:p>
        </w:tc>
        <w:tc>
          <w:tcPr>
            <w:tcW w:w="626" w:type="pct"/>
            <w:vAlign w:val="center"/>
          </w:tcPr>
          <w:p w14:paraId="76133FD1" w14:textId="24F530F0" w:rsidR="00D20529" w:rsidRPr="00ED172B" w:rsidRDefault="00291EA9" w:rsidP="00291EA9">
            <w:pPr>
              <w:jc w:val="center"/>
              <w:rPr>
                <w:color w:val="000000" w:themeColor="text1"/>
              </w:rPr>
            </w:pPr>
            <w:r w:rsidRPr="00ED172B">
              <w:rPr>
                <w:color w:val="000000" w:themeColor="text1"/>
              </w:rPr>
              <w:t>94.00%</w:t>
            </w:r>
          </w:p>
        </w:tc>
        <w:tc>
          <w:tcPr>
            <w:tcW w:w="667" w:type="pct"/>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93.18%</w:t>
            </w:r>
          </w:p>
        </w:tc>
        <w:tc>
          <w:tcPr>
            <w:tcW w:w="542" w:type="pct"/>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54E81158" w14:textId="77777777" w:rsidTr="00186420">
        <w:tc>
          <w:tcPr>
            <w:tcW w:w="3960" w:type="pct"/>
          </w:tcPr>
          <w:p w14:paraId="28DC7BC3" w14:textId="65D9E6DA" w:rsidR="00013004" w:rsidRPr="00ED172B" w:rsidRDefault="001C5219" w:rsidP="00781A26">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14:paraId="2D84A62E" w14:textId="505AFA9C"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0729206F" w14:textId="40A2118D" w:rsidR="00013004" w:rsidRPr="00ED172B" w:rsidRDefault="00013004" w:rsidP="00013004">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14:paraId="4FCDE50E" w14:textId="4304FCDE" w:rsidR="00013004" w:rsidRDefault="00860830" w:rsidP="00013004">
      <w:pPr>
        <w:rPr>
          <w:rFonts w:cs="Arial"/>
          <w:color w:val="000000" w:themeColor="text1"/>
          <w:szCs w:val="16"/>
        </w:rPr>
      </w:pPr>
      <w:r w:rsidRPr="00ED172B">
        <w:rPr>
          <w:rFonts w:cs="Arial"/>
          <w:color w:val="000000" w:themeColor="text1"/>
          <w:szCs w:val="16"/>
        </w:rPr>
        <w:t xml:space="preserve">The Lead Agency (MA-C) used Simple Random Sampling with Oversampling. The random sampling approach mitigated the risk of selection bias and ensured a fair representation of the target population. The target population included infants and toddlers actively receiving early intervention services for at least six months as of May of the previous reporting year (i.e., May 2024 for FFY24). From the defined population (n=17,176 for FFY24), each child was assigned a unique random number. Randomization was designed to reduce selection bias by providing an unbiased representation of the target population. Thirty-nine percent of children were randomly selected utilizing Microsoft SQL Server to participate in the survey with a goal of a response rate of greater than or equal to 37%. To increase the probability of a representative sample, oversampling was conducted in the Black or African American population as responses from this group were not proportionate to the total child count in previous survey administrations. Although the sample may differ in disability category, age, gender, and local early intervention services (EIS) program count, all areas were represented. </w:t>
      </w:r>
    </w:p>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2"/>
        <w:gridCol w:w="2268"/>
      </w:tblGrid>
      <w:tr w:rsidR="00ED172B" w:rsidRPr="00ED172B" w14:paraId="0407055E" w14:textId="77777777" w:rsidTr="002167E3">
        <w:trPr>
          <w:tblHeader/>
        </w:trPr>
        <w:tc>
          <w:tcPr>
            <w:tcW w:w="3949"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1"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2167E3">
        <w:tc>
          <w:tcPr>
            <w:tcW w:w="3949"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1" w:type="pct"/>
          </w:tcPr>
          <w:p w14:paraId="7F712EBC" w14:textId="0CC49D8E" w:rsidR="00013004" w:rsidRPr="00ED172B" w:rsidRDefault="00860830" w:rsidP="009B2EB4">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2167E3">
        <w:tc>
          <w:tcPr>
            <w:tcW w:w="3949"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1" w:type="pct"/>
          </w:tcPr>
          <w:p w14:paraId="703575B9" w14:textId="567842E0" w:rsidR="00013004" w:rsidRPr="00ED172B" w:rsidRDefault="00860830" w:rsidP="009B2EB4">
            <w:pPr>
              <w:rPr>
                <w:rFonts w:cs="Arial"/>
                <w:color w:val="000000" w:themeColor="text1"/>
                <w:szCs w:val="16"/>
              </w:rPr>
            </w:pPr>
            <w:r w:rsidRPr="00ED172B">
              <w:rPr>
                <w:rFonts w:cs="Arial"/>
                <w:color w:val="000000" w:themeColor="text1"/>
                <w:szCs w:val="16"/>
              </w:rPr>
              <w:t>NO</w:t>
            </w:r>
          </w:p>
        </w:tc>
      </w:tr>
    </w:tbl>
    <w:p w14:paraId="1EC7965B" w14:textId="77777777" w:rsidR="00437F97" w:rsidRDefault="00437F97" w:rsidP="00437F97">
      <w:pPr>
        <w:rPr>
          <w:rFonts w:cs="Arial"/>
          <w:b/>
          <w:color w:val="000000" w:themeColor="text1"/>
          <w:szCs w:val="16"/>
        </w:rPr>
      </w:pPr>
    </w:p>
    <w:p w14:paraId="13E7C533" w14:textId="7A868FC9" w:rsidR="00BD192E" w:rsidRPr="00E310A4" w:rsidRDefault="00BD192E" w:rsidP="00BD192E">
      <w:pPr>
        <w:rPr>
          <w:rFonts w:cs="Arial"/>
          <w:b/>
          <w:bCs/>
          <w:szCs w:val="16"/>
        </w:rPr>
      </w:pPr>
      <w:r w:rsidRPr="00E310A4">
        <w:rPr>
          <w:rFonts w:cs="Arial"/>
          <w:b/>
          <w:bCs/>
          <w:szCs w:val="16"/>
        </w:rPr>
        <w:t>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2023</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2024</w:t>
            </w:r>
          </w:p>
        </w:tc>
      </w:tr>
      <w:tr w:rsidR="00550FC1" w:rsidRPr="00794BA1" w14:paraId="0C44F5DB" w14:textId="77777777" w:rsidTr="0055373D">
        <w:trPr>
          <w:trHeight w:val="357"/>
        </w:trPr>
        <w:tc>
          <w:tcPr>
            <w:tcW w:w="888" w:type="pct"/>
          </w:tcPr>
          <w:p w14:paraId="58E7AE90" w14:textId="63CAE467" w:rsidR="00550FC1" w:rsidRPr="00ED172B" w:rsidRDefault="00550FC1" w:rsidP="00D21F29">
            <w:pPr>
              <w:jc w:val="center"/>
              <w:rPr>
                <w:rFonts w:cs="Arial"/>
                <w:color w:val="000000" w:themeColor="text1"/>
                <w:szCs w:val="16"/>
              </w:rPr>
            </w:pPr>
            <w:r>
              <w:rPr>
                <w:rFonts w:cs="Arial"/>
                <w:szCs w:val="16"/>
              </w:rPr>
              <w:t>Survey Response Rate</w:t>
            </w:r>
          </w:p>
        </w:tc>
        <w:tc>
          <w:tcPr>
            <w:tcW w:w="2056" w:type="pct"/>
            <w:vAlign w:val="center"/>
          </w:tcPr>
          <w:p w14:paraId="4B20A07B" w14:textId="0AA48EA3" w:rsidR="00550FC1" w:rsidRPr="00ED172B" w:rsidRDefault="00550FC1" w:rsidP="00B073DB">
            <w:pPr>
              <w:jc w:val="center"/>
              <w:rPr>
                <w:color w:val="000000" w:themeColor="text1"/>
              </w:rPr>
            </w:pPr>
            <w:r w:rsidRPr="00ED172B">
              <w:rPr>
                <w:color w:val="000000" w:themeColor="text1"/>
              </w:rPr>
              <w:t>28.81%</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24.32%</w:t>
            </w:r>
          </w:p>
        </w:tc>
      </w:tr>
    </w:tbl>
    <w:p w14:paraId="751565F3" w14:textId="77777777" w:rsidR="00BD192E" w:rsidRDefault="00BD192E" w:rsidP="00437F97">
      <w:pPr>
        <w:rPr>
          <w:rFonts w:cs="Arial"/>
          <w:b/>
          <w:color w:val="000000" w:themeColor="text1"/>
          <w:szCs w:val="16"/>
        </w:rPr>
      </w:pPr>
    </w:p>
    <w:p w14:paraId="620CE314" w14:textId="25B157D3" w:rsidR="00437F97" w:rsidRPr="005E75A0" w:rsidRDefault="6D93630C" w:rsidP="7116EC8A">
      <w:pPr>
        <w:rPr>
          <w:rFonts w:cs="Arial"/>
          <w:b/>
          <w:bCs/>
          <w:color w:val="000000" w:themeColor="text1"/>
        </w:rPr>
      </w:pPr>
      <w:r w:rsidRPr="7116EC8A">
        <w:rPr>
          <w:rFonts w:cs="Arial"/>
          <w:b/>
          <w:bCs/>
          <w:color w:val="000000" w:themeColor="text1"/>
        </w:rPr>
        <w:t>Describe the metric used to determine representativeness (e.g., +/- 3% discrepancy in the proportion of responders compared to target group).</w:t>
      </w:r>
    </w:p>
    <w:p w14:paraId="406DCC06" w14:textId="77777777" w:rsidR="00437F97" w:rsidRPr="00F85A5B" w:rsidRDefault="00437F97" w:rsidP="00437F97">
      <w:pPr>
        <w:rPr>
          <w:rFonts w:cs="Arial"/>
          <w:color w:val="000000" w:themeColor="text1"/>
          <w:szCs w:val="16"/>
        </w:rPr>
      </w:pPr>
      <w:r w:rsidRPr="00ED172B">
        <w:rPr>
          <w:rFonts w:cs="Arial"/>
          <w:color w:val="000000" w:themeColor="text1"/>
          <w:szCs w:val="16"/>
        </w:rPr>
        <w:t>The Lead Agency (MA-C) used the DaSy/ECTA Response Rate and Representativeness Calculator to determine representativeness. The calculator uses an accepted formula (i.e., Chi-square test) to evaluate the statistical significance of the overall table. If this overall test shows no significant difference, the data are representative of the population. If the overall test shows a significant difference there are groups within the table that are under- or over-represented. The calculator uses an accepted formula (i.e., z test of proportional difference) to determine whether the difference between the expected percentage and the observed percentage within a category is statistically significant based upon the 95% confidence intervals for each table (significance level = 0.05). Differences that are statistically significant are marked as "No" in the row labeled "Are your data representative?" The calculator uses the Bonferroni method to correct for the increased probability of finding a significant difference that results from conducting multiple significance tests on a table of dependent data. This method divides the significance level (i.e., p&lt;.05) by the number of tests conducted on the table (overall Chi Square test plus all pairwise tests of individual categories).</w:t>
      </w:r>
    </w:p>
    <w:p w14:paraId="487053D7" w14:textId="77777777" w:rsidR="0084778F" w:rsidRDefault="0084778F" w:rsidP="00013004">
      <w:pPr>
        <w:rPr>
          <w:rFonts w:cs="Arial"/>
          <w:b/>
          <w:color w:val="000000" w:themeColor="text1"/>
          <w:szCs w:val="16"/>
        </w:rPr>
      </w:pPr>
    </w:p>
    <w:p w14:paraId="5A646F67" w14:textId="6737FB8D" w:rsidR="00437F97" w:rsidRPr="005E75A0" w:rsidRDefault="00437F97" w:rsidP="00437F9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14:paraId="1C32899A" w14:textId="545EF832" w:rsidR="00437F97" w:rsidRPr="00437F97" w:rsidRDefault="00437F97" w:rsidP="00437F97">
      <w:pPr>
        <w:rPr>
          <w:b/>
          <w:color w:val="000000" w:themeColor="text1"/>
        </w:rPr>
      </w:pPr>
      <w:r w:rsidRPr="00437F97">
        <w:rPr>
          <w:rFonts w:cs="Arial"/>
          <w:bCs/>
          <w:color w:val="000000" w:themeColor="text1"/>
          <w:szCs w:val="16"/>
        </w:rPr>
        <w:t>The Lead Agency (MA-C) analyzed the representativeness of responses received by race/ethnicity and geography using the Dasy/ECTA Response Rate and Representativeness Calculator to compare the differences between the target population and the responses received. This analysis suggests that the responses are not representative of the infants and toddlers enrolled in the MA-C system.</w:t>
      </w:r>
    </w:p>
    <w:p>
      <w:pPr>
        <w:pStyle w:val=""/>
      </w:pPr>
      <w:r>
        <w:rPr>
          <w:rFonts w:ascii="" w:hAnsi="" w:cs="" w:eastAsia=""/>
          <w:b w:val="false"/>
          <w:i w:val="false"/>
          <w:color w:val="000000"/>
        </w:rPr>
        <w:t/>
      </w:r>
    </w:p>
    <w:p>
      <w:pPr>
        <w:pStyle w:val=""/>
      </w:pPr>
      <w:r>
        <w:rPr>
          <w:rFonts w:ascii="" w:hAnsi="" w:cs="" w:eastAsia=""/>
          <w:b w:val="false"/>
          <w:i w:val="false"/>
          <w:color w:val="000000"/>
        </w:rPr>
        <w:t xml:space="preserve">First, MA-C analyzed its survey data to determine the extent to which it was representative of families participating in Part C disaggregated by race/ethnicity. The calculator suggests that the survey data are representative of the number of families participating in Part C for families who identify as American Indian or Alaskan Native and Asian. The calculator suggests that the survey data are not representative of the number of families participating in Part C who identify as African American or Black, White, two or more races, and Hispanic. The representativeness for families who identify as Native Hawaiian or Pacific Islander could not be calculated because the number of responses was too low. </w:t>
      </w:r>
    </w:p>
    <w:p>
      <w:pPr>
        <w:pStyle w:val=""/>
      </w:pPr>
      <w:r>
        <w:rPr>
          <w:rFonts w:ascii="" w:hAnsi="" w:cs="" w:eastAsia=""/>
          <w:b w:val="false"/>
          <w:i w:val="false"/>
          <w:color w:val="000000"/>
        </w:rPr>
        <w:t/>
      </w:r>
    </w:p>
    <w:p>
      <w:pPr>
        <w:pStyle w:val=""/>
      </w:pPr>
      <w:r>
        <w:rPr>
          <w:rFonts w:ascii="" w:hAnsi="" w:cs="" w:eastAsia=""/>
          <w:b w:val="false"/>
          <w:i w:val="false"/>
          <w:color w:val="000000"/>
        </w:rPr>
        <w:t>Next, MA-C analyzed its survey data to determine the extent to which it was representative of the number of families surveyed disaggregated by geographic location. The survey data are representative of the number of families surveyed for families who reside in the Boston, northeast, and west regions. The survey data are not representative of the number of families surveyed who reside in the central, metro, and southeast regions.</w:t>
      </w:r>
    </w:p>
    <w:p w14:paraId="4CD0DA7B" w14:textId="3B7BFD0F" w:rsidR="00437F97" w:rsidRPr="000762B0" w:rsidRDefault="00846C1E" w:rsidP="00437F97">
      <w:pPr>
        <w:pStyle w:val="Subhed"/>
        <w:rPr>
          <w:bCs/>
        </w:rPr>
      </w:pPr>
      <w:r w:rsidRPr="00ED172B">
        <w:rPr>
          <w:color w:val="000000" w:themeColor="text1"/>
        </w:rPr>
        <w:t>The demographics of the infants or toddlers for whom families responded are representative of the demographics of infants and toddlers enrolled in the Part C program. (</w:t>
      </w:r>
      <w:r w:rsidR="00437F97" w:rsidRPr="000762B0">
        <w:rPr>
          <w:bCs/>
        </w:rPr>
        <w:t>yes/no)</w:t>
      </w:r>
    </w:p>
    <w:p w14:paraId="1F122EF3" w14:textId="1F82FAD8" w:rsidR="00F5591B" w:rsidRDefault="00846C1E" w:rsidP="00437F97">
      <w:pPr>
        <w:pStyle w:val="Subhed"/>
        <w:rPr>
          <w:b w:val="0"/>
          <w:bCs/>
          <w:color w:val="000000" w:themeColor="text1"/>
        </w:rPr>
      </w:pPr>
      <w:r w:rsidRPr="00ED172B">
        <w:rPr>
          <w:color w:val="000000" w:themeColor="text1"/>
        </w:rPr>
        <w:t>NO</w:t>
      </w:r>
    </w:p>
    <w:p w14:paraId="3C660309" w14:textId="174702B7" w:rsidR="00013004" w:rsidRPr="00ED172B" w:rsidRDefault="00B24CA0" w:rsidP="00013004">
      <w:pPr>
        <w:rPr>
          <w:rFonts w:cs="Arial"/>
          <w:b/>
          <w:color w:val="000000" w:themeColor="text1"/>
          <w:szCs w:val="16"/>
        </w:rPr>
      </w:pPr>
      <w:r w:rsidRPr="00ED172B">
        <w:rPr>
          <w:rFonts w:cs="Arial"/>
          <w:b/>
          <w:color w:val="000000" w:themeColor="text1"/>
          <w:szCs w:val="16"/>
        </w:rPr>
        <w:t xml:space="preserve">If no, describe the strategies that the State will use to ensure that in the future the response data are representative of those demographics. </w:t>
      </w:r>
    </w:p>
    <w:p w14:paraId="547D835A" w14:textId="77777777" w:rsidR="00F5591B" w:rsidRDefault="00F5591B" w:rsidP="00F5591B">
      <w:pPr>
        <w:rPr>
          <w:rFonts w:cs="Arial"/>
          <w:color w:val="000000" w:themeColor="text1"/>
          <w:szCs w:val="16"/>
        </w:rPr>
      </w:pPr>
      <w:r w:rsidRPr="00ED172B">
        <w:rPr>
          <w:rFonts w:cs="Arial"/>
          <w:color w:val="000000" w:themeColor="text1"/>
          <w:szCs w:val="16"/>
        </w:rPr>
        <w:t xml:space="preserve">Moving forward, the Lead Agency (MA-C) will employ specific strategies to ensure that in the future the response data are representative of those demographics including changing the methodology from a sampling to a census approach (i.e., families of all children enrolled for 6-mos or more receive a survey) and providing guidance to EIS programs on the use of reminders. </w:t>
      </w:r>
    </w:p>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 xml:space="preserve">Moving forward, the Lead Agency (MA-C) will employ specific strategies expected to increase the response rate year-over-year, particularly for those groups that are underrepresented including eliminating unnecessary questions and working with the Commonwealth's Parent Information Center and trusted community partners to message the purpose and importance of completing the survey. </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lastRenderedPageBreak/>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 xml:space="preserve">The Lead Agency (MA-C) used the Dasy/ECTA Response Rate and Representativeness Calculator to determine any nonresponse bias. This tool was used to analyze the response rate by comparing the number of surveys returned to the number of families included in the sample. MA-C's response rate during FFY24 was 24.3%, a decline from FFY23's response rate of 28.8%. </w:t>
      </w:r>
    </w:p>
    <w:p>
      <w:pPr>
        <w:pStyle w:val=""/>
      </w:pPr>
      <w:r>
        <w:rPr>
          <w:rFonts w:ascii="" w:hAnsi="" w:cs="" w:eastAsia=""/>
          <w:b w:val="false"/>
          <w:i w:val="false"/>
          <w:color w:val="000000"/>
        </w:rPr>
        <w:t/>
      </w:r>
    </w:p>
    <w:p>
      <w:pPr>
        <w:pStyle w:val=""/>
      </w:pPr>
      <w:r>
        <w:rPr>
          <w:rFonts w:ascii="" w:hAnsi="" w:cs="" w:eastAsia=""/>
          <w:b w:val="false"/>
          <w:i w:val="false"/>
          <w:color w:val="000000"/>
        </w:rPr>
        <w:t>As described above, MA-C's analyses suggest nonresponse bias for some groups. However, when compared to FFY23 (July 1, 2023-June 30, 2024) analyses, the data demonstrate marked improvement in response rates when disaggregated by race/ethnicity. By way of example, the response rate among families who identify as Black or African American increased from 18.38% in FFY23 to 19.29% in FFY24. Similar increases were observed among other groups: American Indian or Alaskan Native (38.10% in FFY23 to 45% in FFY24), Asian families (25.59% in FFY23 to 29.32% in FFY24), and Hispanic families (15.29% in FFY23 to 17.60% in FFY24). Taken together, these data suggest MA-C's strategies to reduce nonresponse bias implemented in FFY24 are effective and will be continued in FFY25.</w:t>
      </w:r>
    </w:p>
    <w:bookmarkEnd w:id="26"/>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860830" w:rsidP="003A3693">
      <w:pPr>
        <w:rPr>
          <w:rFonts w:cs="Arial"/>
          <w:color w:val="000000" w:themeColor="text1"/>
          <w:szCs w:val="16"/>
        </w:rPr>
      </w:pPr>
      <w:r w:rsidRPr="00ED172B">
        <w:rPr>
          <w:rFonts w:cs="Arial"/>
          <w:color w:val="000000" w:themeColor="text1"/>
          <w:szCs w:val="16"/>
        </w:rPr>
        <w:t xml:space="preserve">30 of the 4,178 responses did not answer the question asking for the respondent's race/ethnicity. For this reason, the representativeness calculations disaggregated by race/ethnicity are based on the 4,148 responses that answered the question asking for the respondent's race/ethnicity. </w:t>
      </w:r>
    </w:p>
    <w:p>
      <w:pPr>
        <w:pStyle w:val=""/>
      </w:pPr>
      <w:r>
        <w:rPr>
          <w:rFonts w:ascii="" w:hAnsi="" w:cs="" w:eastAsia=""/>
          <w:b w:val="false"/>
          <w:i w:val="false"/>
          <w:color w:val="000000"/>
        </w:rPr>
        <w:t/>
      </w:r>
    </w:p>
    <w:p>
      <w:pPr>
        <w:pStyle w:val=""/>
      </w:pPr>
      <w:r>
        <w:rPr>
          <w:rFonts w:ascii="" w:hAnsi="" w:cs="" w:eastAsia=""/>
          <w:b w:val="false"/>
          <w:i w:val="false"/>
          <w:color w:val="000000"/>
        </w:rPr>
        <w:t xml:space="preserve">The survey was administered by MA-C and includes a one-rating scale developed and validated by the National Center for Special Education Accountability Monitoring (NCSEAM). The 23-item Impact on Family Scale (IFS) measured the extent to which Early Intervention helped families achieve positive outcomes, including the three outcomes specified in Indicator 4: (a) know their rights, (b) effectively communicate their children’s needs, and (c) help their children develop and learn. </w:t>
      </w:r>
    </w:p>
    <w:p>
      <w:pPr>
        <w:pStyle w:val=""/>
      </w:pPr>
      <w:r>
        <w:rPr>
          <w:rFonts w:ascii="" w:hAnsi="" w:cs="" w:eastAsia=""/>
          <w:b w:val="false"/>
          <w:i w:val="false"/>
          <w:color w:val="000000"/>
        </w:rPr>
        <w:t/>
      </w:r>
    </w:p>
    <w:p>
      <w:pPr>
        <w:pStyle w:val=""/>
      </w:pPr>
      <w:r>
        <w:rPr>
          <w:rFonts w:ascii="" w:hAnsi="" w:cs="" w:eastAsia=""/>
          <w:b w:val="false"/>
          <w:i w:val="false"/>
          <w:color w:val="000000"/>
        </w:rPr>
        <w:t xml:space="preserve">The survey was distributed by the 63 early intervention services (EIS) programs via email and text for the online version (available in English, Spanish, Portuguese, Haitian Creole, Vietnamese, Chinese, and Arabic), and by postal mail for the paper version (available in English, Spanish, Portuguese, Haitian Creole, and Vietnamese). Because higher response rates produce more robust and informative data on early intervention services for infants and toddlers, MA-C took action to promote high response rates, such as targeted follow-up by email and phone was conducted by MA-C’s Clinical Oversight &amp; Support Specialists with local EIS program directors. Additionally, EIS program directors and Clinical Oversight &amp; Support Specialists used the real-time data dashboard to retrieve live response rates and monitor survey progress. Respondents were encouraged to complete the survey in its entirety to ensure comprehensive data collection. In accordance with MA-C’s data suppression rules, programs with less than six responses had data suppressed to protect respondent confidentiality and maintain data integrity. In summary, the random sampling approach, along with oversampling in specific population groups, resulted in a sample that closely mirrors the characteristics of the overall target population. The combination of data-based feedback and the real-time data dashboards contibute to response rates and comprehensive data collection. </w:t>
      </w:r>
    </w:p>
    <w:p>
      <w:pPr>
        <w:pStyle w:val=""/>
      </w:pPr>
      <w:r>
        <w:rPr>
          <w:rFonts w:ascii="" w:hAnsi="" w:cs="" w:eastAsia=""/>
          <w:b w:val="false"/>
          <w:i w:val="false"/>
          <w:color w:val="000000"/>
        </w:rPr>
        <w:t/>
      </w:r>
    </w:p>
    <w:p>
      <w:pPr>
        <w:pStyle w:val=""/>
      </w:pPr>
      <w:r>
        <w:rPr>
          <w:rFonts w:ascii="" w:hAnsi="" w:cs="" w:eastAsia=""/>
          <w:b w:val="false"/>
          <w:i w:val="false"/>
          <w:color w:val="000000"/>
        </w:rPr>
        <w:t>A contracted vendor compiled the survey data for MA-C and used tests of statistical significance to confirm the sample yielded valid and reliable estimates: "The properties of the distribution of IFS measures for the 4,178 families who responded to the IFS items are shown in Table 4. The sample mean is 732. The standard deviation of measures is 190, indicating that the average distance of measures from the mean measure is 190 units. The standard error of the sample mean, that is, the expected error of the sample mean in estimating the true population mean for Massachusetts, is 2.9. The 95% confidence interval for the true population mean for Massachusetts extends from 726.7 to 738.2, indicating that we are 95% confident that the true population mean for families of children served by the MDPH’s Early Intervention Program lies somewhere in this range. The sample mean for the weighted data is 735 which is consistent with the unweighted mean (732)."</w:t>
      </w:r>
    </w:p>
    <w:p w14:paraId="1A02BAFD" w14:textId="4A2D5F8A" w:rsidR="00DC0682" w:rsidRPr="00A40EE1" w:rsidRDefault="000D0117" w:rsidP="005C3FFD">
      <w:pPr>
        <w:pStyle w:val="Heading2"/>
      </w:pPr>
      <w:r w:rsidRPr="00A40EE1">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In the FFY 2024 SPP/APR, the State must report whether its FFY 2024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r>
    </w:p>
    <w:p w14:paraId="097370A1" w14:textId="77777777" w:rsidR="004C1CEE" w:rsidRPr="00ED172B" w:rsidRDefault="004C1CEE" w:rsidP="00DC0682">
      <w:pPr>
        <w:rPr>
          <w:rFonts w:cs="Arial"/>
          <w:color w:val="000000" w:themeColor="text1"/>
          <w:szCs w:val="16"/>
        </w:rPr>
      </w:pPr>
    </w:p>
    <w:p w14:paraId="36FD66B9" w14:textId="414015C3" w:rsidR="00DC0682" w:rsidRPr="00ED172B" w:rsidRDefault="00DC0682"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517638FD" w14:textId="11CB85A2" w:rsidR="004C1CEE" w:rsidRPr="00ED172B" w:rsidRDefault="00291EA9" w:rsidP="00027F39">
      <w:pPr>
        <w:rPr>
          <w:color w:val="000000" w:themeColor="text1"/>
        </w:rPr>
      </w:pPr>
      <w:r w:rsidRPr="00ED172B">
        <w:rPr>
          <w:color w:val="000000" w:themeColor="text1"/>
        </w:rPr>
        <w:t xml:space="preserve">During FFY23, the Lead Agency (MA-C) reported that its data were not representative of the demographics of the infants, toddlers, and families enrolled in the Part C program. During federal fiscal year 2024 (FFY24; July 1, 2024-June 30, 2025), MA-C implemented additional tactics to increase the extent to which the survey data are representative of the infants, toddlers, and families enrolled in the Part C program. Specifically, MA-C sought stakeholder feedback about the underlying reasons for underlying bias and recommendations for promoting a response from underrepresented groups. </w:t>
      </w: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t xml:space="preserve">4 - </w:t>
      </w:r>
      <w:r w:rsidR="00DC0682" w:rsidRPr="00A40EE1">
        <w:t>OSEP Response</w:t>
      </w:r>
    </w:p>
    <w:p w14:paraId="55B96259" w14:textId="37B92EE8" w:rsidR="00DC0682" w:rsidRPr="00ED172B" w:rsidRDefault="00291EA9" w:rsidP="00027F39">
      <w:pPr>
        <w:rPr>
          <w:color w:val="000000" w:themeColor="text1"/>
        </w:rPr>
      </w:pPr>
      <w:r w:rsidRPr="00ED172B">
        <w:rPr>
          <w:color w:val="000000" w:themeColor="text1"/>
        </w:rPr>
        <w:t/>
      </w:r>
    </w:p>
    <w:p w14:paraId="43FEC740" w14:textId="22A7B19A" w:rsidR="00DC0682" w:rsidRPr="00A40EE1" w:rsidRDefault="000D0117" w:rsidP="005C3FFD">
      <w:pPr>
        <w:pStyle w:val="Heading2"/>
      </w:pPr>
      <w:r w:rsidRPr="00A40EE1">
        <w:t xml:space="preserve">4 - </w:t>
      </w:r>
      <w:r w:rsidR="00DC0682" w:rsidRPr="00A40EE1">
        <w:t>Required Actions</w:t>
      </w:r>
    </w:p>
    <w:p w14:paraId="202EB0B4" w14:textId="1EF7FA87" w:rsidR="00DC0682" w:rsidRPr="00ED172B" w:rsidRDefault="00291EA9" w:rsidP="00027F39">
      <w:pPr>
        <w:rPr>
          <w:color w:val="000000" w:themeColor="text1"/>
        </w:rPr>
      </w:pPr>
      <w:r w:rsidRPr="00ED172B">
        <w:rPr>
          <w:color w:val="000000" w:themeColor="text1"/>
        </w:rPr>
        <w:t/>
      </w:r>
    </w:p>
    <w:p w14:paraId="11D8B7F8" w14:textId="77777777" w:rsidR="003D02CD" w:rsidRPr="00ED172B" w:rsidRDefault="003D02CD" w:rsidP="008D619C">
      <w:pPr>
        <w:rPr>
          <w:color w:val="000000" w:themeColor="text1"/>
        </w:rPr>
        <w:sectPr w:rsidR="003D02CD" w:rsidRPr="00ED172B" w:rsidSect="00BF3AB4">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29" w:name="_Toc384383330"/>
      <w:bookmarkStart w:id="30" w:name="_Toc392159282"/>
      <w:bookmarkStart w:id="31" w:name="_Toc382082372"/>
      <w:bookmarkEnd w:id="27"/>
      <w:bookmarkEnd w:id="28"/>
      <w:r w:rsidRPr="00ED172B">
        <w:rPr>
          <w:color w:val="000000" w:themeColor="text1"/>
        </w:rPr>
        <w:lastRenderedPageBreak/>
        <w:t xml:space="preserve">Indicator </w:t>
      </w:r>
      <w:bookmarkEnd w:id="29"/>
      <w:bookmarkEnd w:id="30"/>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2" w:name="_Toc384383331"/>
      <w:bookmarkStart w:id="33"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07924A7A" w14:textId="77777777" w:rsidR="00913F1E" w:rsidRPr="00F446DC" w:rsidRDefault="00913F1E" w:rsidP="00913F1E">
      <w:pPr>
        <w:rPr>
          <w:szCs w:val="16"/>
        </w:rPr>
      </w:pPr>
      <w:r w:rsidRPr="00ED3380">
        <w:rPr>
          <w:szCs w:val="16"/>
        </w:rPr>
        <w:t xml:space="preserve">Same data as used for reporting to the Department under section 618 of the IDEA, using the definitions in EDFacts file specification FS902 </w:t>
      </w:r>
      <w:r w:rsidRPr="0084279D">
        <w:rPr>
          <w:rFonts w:cs="Arial"/>
          <w:szCs w:val="16"/>
        </w:rPr>
        <w:t>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116796DA" w:rsidR="005918D1" w:rsidRDefault="005918D1" w:rsidP="00815A6D">
      <w:pPr>
        <w:rPr>
          <w:rFonts w:cs="Arial"/>
          <w:color w:val="000000" w:themeColor="text1"/>
          <w:szCs w:val="16"/>
        </w:rPr>
      </w:pPr>
      <w:r w:rsidRPr="00ED172B">
        <w:rPr>
          <w:rFonts w:cs="Arial"/>
          <w:color w:val="000000" w:themeColor="text1"/>
          <w:szCs w:val="16"/>
        </w:rPr>
        <w:t>Describe the results of the calculations. The data reported in this indicator should be consistent with the State’s reported 618 data reported in Table 1. If not, explain why.</w:t>
      </w:r>
    </w:p>
    <w:p w14:paraId="6E1D4582" w14:textId="29402B1C" w:rsidR="000D4875" w:rsidRPr="003461DB" w:rsidRDefault="000D4875" w:rsidP="008E5722">
      <w:pPr>
        <w:rPr>
          <w:rFonts w:cs="Arial"/>
          <w:szCs w:val="16"/>
        </w:rPr>
      </w:pPr>
      <w:r w:rsidRPr="00FE01D6">
        <w:rPr>
          <w:rFonts w:cs="Arial"/>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analyses.</w:t>
      </w:r>
    </w:p>
    <w:bookmarkEnd w:id="32"/>
    <w:bookmarkEnd w:id="33"/>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4" w:name="_Toc384383332"/>
      <w:bookmarkStart w:id="35"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vAlign w:val="center"/>
          </w:tcPr>
          <w:p w14:paraId="2BDEA77F" w14:textId="77777777" w:rsidR="00E30D86" w:rsidRPr="00ED172B" w:rsidRDefault="00E30D86" w:rsidP="00C15786">
            <w:pPr>
              <w:jc w:val="center"/>
              <w:rPr>
                <w:b/>
                <w:color w:val="000000" w:themeColor="text1"/>
              </w:rPr>
            </w:pPr>
            <w:r w:rsidRPr="00ED172B">
              <w:rPr>
                <w:color w:val="000000" w:themeColor="text1"/>
              </w:rPr>
              <w:t>2009</w:t>
            </w:r>
          </w:p>
        </w:tc>
        <w:tc>
          <w:tcPr>
            <w:tcW w:w="2500" w:type="pct"/>
            <w:tcBorders>
              <w:top w:val="single" w:sz="4" w:space="0" w:color="auto"/>
              <w:right w:val="single" w:sz="4" w:space="0" w:color="auto"/>
            </w:tcBorders>
            <w:vAlign w:val="center"/>
          </w:tcPr>
          <w:p w14:paraId="17CC8BB4" w14:textId="77777777" w:rsidR="00E30D86" w:rsidRPr="00ED172B" w:rsidRDefault="00E30D86" w:rsidP="00C15786">
            <w:pPr>
              <w:jc w:val="center"/>
              <w:rPr>
                <w:b/>
                <w:color w:val="000000" w:themeColor="text1"/>
              </w:rPr>
            </w:pPr>
            <w:r w:rsidRPr="00ED172B">
              <w:rPr>
                <w:color w:val="000000" w:themeColor="text1"/>
              </w:rPr>
              <w:t>2.45%</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06A3AA4A" w14:textId="77777777" w:rsidTr="00986B99">
        <w:trPr>
          <w:trHeight w:val="357"/>
        </w:trPr>
        <w:tc>
          <w:tcPr>
            <w:tcW w:w="415" w:type="pct"/>
          </w:tcPr>
          <w:p w14:paraId="0F1B242F" w14:textId="0D1F307B" w:rsidR="0085799B" w:rsidRPr="00ED172B" w:rsidRDefault="0085799B"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3.00%</w:t>
            </w:r>
          </w:p>
        </w:tc>
        <w:tc>
          <w:tcPr>
            <w:tcW w:w="1026" w:type="pct"/>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3.00%</w:t>
            </w:r>
          </w:p>
        </w:tc>
        <w:tc>
          <w:tcPr>
            <w:tcW w:w="867" w:type="pct"/>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3.00%</w:t>
            </w:r>
          </w:p>
        </w:tc>
        <w:tc>
          <w:tcPr>
            <w:tcW w:w="867" w:type="pct"/>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3.00%</w:t>
            </w:r>
          </w:p>
        </w:tc>
        <w:tc>
          <w:tcPr>
            <w:tcW w:w="866" w:type="pct"/>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3.00%</w:t>
            </w:r>
          </w:p>
        </w:tc>
      </w:tr>
      <w:tr w:rsidR="00ED172B" w:rsidRPr="00ED172B" w14:paraId="341885EA" w14:textId="77777777" w:rsidTr="00986B99">
        <w:trPr>
          <w:trHeight w:val="85"/>
        </w:trPr>
        <w:tc>
          <w:tcPr>
            <w:tcW w:w="415" w:type="pct"/>
          </w:tcPr>
          <w:p w14:paraId="4FC87C40" w14:textId="77777777" w:rsidR="0085799B" w:rsidRPr="00ED172B" w:rsidRDefault="0085799B" w:rsidP="00D21F29">
            <w:pPr>
              <w:jc w:val="center"/>
              <w:rPr>
                <w:color w:val="000000" w:themeColor="text1"/>
                <w:szCs w:val="16"/>
              </w:rPr>
            </w:pPr>
            <w:r w:rsidRPr="00ED172B">
              <w:rPr>
                <w:color w:val="000000" w:themeColor="text1"/>
                <w:szCs w:val="16"/>
              </w:rPr>
              <w:t>Data</w:t>
            </w:r>
          </w:p>
        </w:tc>
        <w:tc>
          <w:tcPr>
            <w:tcW w:w="959" w:type="pct"/>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4.97%</w:t>
            </w:r>
          </w:p>
        </w:tc>
        <w:tc>
          <w:tcPr>
            <w:tcW w:w="1026" w:type="pct"/>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4.66%</w:t>
            </w:r>
          </w:p>
        </w:tc>
        <w:tc>
          <w:tcPr>
            <w:tcW w:w="867" w:type="pct"/>
            <w:tcBorders>
              <w:bottom w:val="single" w:sz="4" w:space="0" w:color="auto"/>
            </w:tcBorders>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4.17%</w:t>
            </w:r>
          </w:p>
        </w:tc>
        <w:tc>
          <w:tcPr>
            <w:tcW w:w="867" w:type="pct"/>
            <w:tcBorders>
              <w:bottom w:val="single" w:sz="4" w:space="0" w:color="auto"/>
            </w:tcBorders>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4.23%</w:t>
            </w:r>
          </w:p>
        </w:tc>
        <w:tc>
          <w:tcPr>
            <w:tcW w:w="866" w:type="pct"/>
            <w:tcBorders>
              <w:bottom w:val="single" w:sz="4" w:space="0" w:color="auto"/>
            </w:tcBorders>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4.63%</w:t>
            </w:r>
          </w:p>
        </w:tc>
      </w:tr>
    </w:tbl>
    <w:p w14:paraId="2BD62AC4" w14:textId="77777777" w:rsidR="0085799B" w:rsidRPr="00ED172B" w:rsidRDefault="0085799B">
      <w:pPr>
        <w:rPr>
          <w:b/>
          <w:color w:val="000000" w:themeColor="text1"/>
        </w:rPr>
      </w:pPr>
      <w:r w:rsidRPr="00ED172B">
        <w:rPr>
          <w:b/>
          <w:color w:val="000000" w:themeColor="text1"/>
        </w:rPr>
        <w:t>Targets</w:t>
      </w:r>
    </w:p>
    <w:tbl>
      <w:tblPr>
        <w:tblW w:w="2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8"/>
        <w:gridCol w:w="2206"/>
        <w:gridCol w:w="1549"/>
      </w:tblGrid>
      <w:tr w:rsidR="00CF59E2" w:rsidRPr="00ED172B" w14:paraId="74AFA9B9" w14:textId="3E825C5D" w:rsidTr="00811738">
        <w:trPr>
          <w:trHeight w:val="116"/>
        </w:trPr>
        <w:tc>
          <w:tcPr>
            <w:tcW w:w="964" w:type="pct"/>
            <w:tcBorders>
              <w:bottom w:val="single" w:sz="4" w:space="0" w:color="auto"/>
            </w:tcBorders>
          </w:tcPr>
          <w:p w14:paraId="523362FD"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371" w:type="pct"/>
            <w:vAlign w:val="center"/>
          </w:tcPr>
          <w:p w14:paraId="1869702F" w14:textId="32C21C20"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5" w:type="pct"/>
          </w:tcPr>
          <w:p w14:paraId="1E994EDB" w14:textId="1B6309A9"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0186A9C7" w14:textId="618C48DC" w:rsidTr="00811738">
        <w:trPr>
          <w:trHeight w:val="47"/>
        </w:trPr>
        <w:tc>
          <w:tcPr>
            <w:tcW w:w="964" w:type="pct"/>
          </w:tcPr>
          <w:p w14:paraId="120F223C" w14:textId="3DF65C2B"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2371" w:type="pct"/>
            <w:vAlign w:val="center"/>
          </w:tcPr>
          <w:p w14:paraId="69A10D5E" w14:textId="2F3AB178" w:rsidR="00CF59E2" w:rsidRPr="00ED172B" w:rsidRDefault="00CF59E2" w:rsidP="006B2FE9">
            <w:pPr>
              <w:jc w:val="center"/>
              <w:rPr>
                <w:color w:val="000000" w:themeColor="text1"/>
              </w:rPr>
            </w:pPr>
            <w:r w:rsidRPr="00ED172B">
              <w:rPr>
                <w:color w:val="000000" w:themeColor="text1"/>
              </w:rPr>
              <w:t>3.00%</w:t>
            </w:r>
          </w:p>
        </w:tc>
        <w:tc>
          <w:tcPr>
            <w:tcW w:w="1665" w:type="pct"/>
          </w:tcPr>
          <w:p w14:paraId="712AD20E" w14:textId="70001C50" w:rsidR="00CF59E2" w:rsidRPr="00ED172B" w:rsidRDefault="00CF59E2" w:rsidP="006B2FE9">
            <w:pPr>
              <w:jc w:val="center"/>
              <w:rPr>
                <w:color w:val="000000" w:themeColor="text1"/>
              </w:rPr>
            </w:pPr>
            <w:r>
              <w:rPr>
                <w:rFonts w:cs="Arial"/>
                <w:color w:val="000000" w:themeColor="text1"/>
                <w:szCs w:val="16"/>
              </w:rPr>
              <w:t>3.00%</w:t>
            </w:r>
          </w:p>
        </w:tc>
      </w:tr>
    </w:tbl>
    <w:bookmarkEnd w:id="34"/>
    <w:bookmarkEnd w:id="35"/>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0D1A7E1" w14:textId="184B178A" w:rsidR="00A2772B" w:rsidRPr="00ED172B" w:rsidRDefault="00A2772B" w:rsidP="00F80C9C">
      <w:pPr>
        <w:pStyle w:val="Bold"/>
        <w:rPr>
          <w:b w:val="0"/>
          <w:color w:val="000000" w:themeColor="text1"/>
        </w:rPr>
      </w:pPr>
      <w:r w:rsidRPr="00ED172B">
        <w:rPr>
          <w:rFonts w:cs="Arial"/>
          <w:b w:val="0"/>
          <w:color w:val="000000" w:themeColor="text1"/>
          <w:szCs w:val="16"/>
        </w:rPr>
        <w:t/>
      </w: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544" w:type="pct"/>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07/30/2025</w:t>
            </w:r>
          </w:p>
        </w:tc>
        <w:tc>
          <w:tcPr>
            <w:tcW w:w="1334" w:type="pct"/>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3,292</w:t>
            </w:r>
          </w:p>
        </w:tc>
      </w:tr>
      <w:tr w:rsidR="00ED172B" w:rsidRPr="00ED172B" w14:paraId="189CFC15" w14:textId="77777777" w:rsidTr="00986B99">
        <w:trPr>
          <w:trHeight w:val="380"/>
        </w:trPr>
        <w:tc>
          <w:tcPr>
            <w:tcW w:w="1332" w:type="pct"/>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2024</w:t>
            </w:r>
          </w:p>
        </w:tc>
        <w:tc>
          <w:tcPr>
            <w:tcW w:w="1544" w:type="pct"/>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06/03/2025</w:t>
            </w:r>
          </w:p>
        </w:tc>
        <w:tc>
          <w:tcPr>
            <w:tcW w:w="1334" w:type="pct"/>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69,047</w:t>
            </w:r>
          </w:p>
        </w:tc>
      </w:tr>
    </w:tbl>
    <w:p w14:paraId="10606B16" w14:textId="1DC2ACA9" w:rsidR="005918D1"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vAlign w:val="bottom"/>
          </w:tcPr>
          <w:p w14:paraId="49A3AF77" w14:textId="5066A0EA"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625" w:type="pct"/>
            <w:vAlign w:val="bottom"/>
          </w:tcPr>
          <w:p w14:paraId="278F3E66" w14:textId="0C3822D4"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42" w:type="pct"/>
            <w:vAlign w:val="bottom"/>
          </w:tcPr>
          <w:p w14:paraId="3D59A48C" w14:textId="609CCF1E"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3,292</w:t>
            </w:r>
          </w:p>
        </w:tc>
        <w:tc>
          <w:tcPr>
            <w:tcW w:w="918" w:type="pct"/>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69,047</w:t>
            </w:r>
          </w:p>
        </w:tc>
        <w:tc>
          <w:tcPr>
            <w:tcW w:w="668" w:type="pct"/>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4.63%</w:t>
            </w:r>
          </w:p>
        </w:tc>
        <w:tc>
          <w:tcPr>
            <w:tcW w:w="625" w:type="pct"/>
            <w:vAlign w:val="center"/>
          </w:tcPr>
          <w:p w14:paraId="2B5C85A7" w14:textId="7D699F44" w:rsidR="00D3555C" w:rsidRPr="00ED172B" w:rsidRDefault="00632DF6" w:rsidP="00632DF6">
            <w:pPr>
              <w:jc w:val="center"/>
              <w:rPr>
                <w:color w:val="000000" w:themeColor="text1"/>
              </w:rPr>
            </w:pPr>
            <w:r w:rsidRPr="00ED172B">
              <w:rPr>
                <w:color w:val="000000" w:themeColor="text1"/>
              </w:rPr>
              <w:t>3.00%</w:t>
            </w:r>
          </w:p>
        </w:tc>
        <w:tc>
          <w:tcPr>
            <w:tcW w:w="542" w:type="pct"/>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4.77%</w:t>
            </w:r>
          </w:p>
        </w:tc>
        <w:tc>
          <w:tcPr>
            <w:tcW w:w="542" w:type="pct"/>
            <w:vAlign w:val="center"/>
          </w:tcPr>
          <w:p w14:paraId="29F870EC" w14:textId="610FD0F7" w:rsidR="00D3555C" w:rsidRPr="00ED172B" w:rsidRDefault="00632DF6" w:rsidP="00632DF6">
            <w:pPr>
              <w:jc w:val="center"/>
              <w:rPr>
                <w:color w:val="000000" w:themeColor="text1"/>
              </w:rPr>
            </w:pPr>
            <w:r w:rsidRPr="00ED172B">
              <w:rPr>
                <w:color w:val="000000" w:themeColor="text1"/>
              </w:rPr>
              <w:t>Met target</w:t>
            </w:r>
          </w:p>
        </w:tc>
        <w:tc>
          <w:tcPr>
            <w:tcW w:w="496" w:type="pct"/>
            <w:vAlign w:val="center"/>
          </w:tcPr>
          <w:p w14:paraId="3B10C568" w14:textId="17A3466F" w:rsidR="00D3555C" w:rsidRPr="00ED172B" w:rsidRDefault="00632DF6" w:rsidP="00632DF6">
            <w:pPr>
              <w:jc w:val="center"/>
              <w:rPr>
                <w:color w:val="000000" w:themeColor="text1"/>
              </w:rPr>
            </w:pPr>
            <w:r w:rsidRPr="00ED172B">
              <w:rPr>
                <w:color w:val="000000" w:themeColor="text1"/>
              </w:rPr>
              <w:t>No Slippage</w:t>
            </w:r>
          </w:p>
        </w:tc>
      </w:tr>
    </w:tbl>
    <w:p w14:paraId="65353B58" w14:textId="7AC2A343" w:rsidR="000D4875" w:rsidRDefault="000D4875" w:rsidP="003A3693">
      <w:pPr>
        <w:rPr>
          <w:b/>
          <w:bCs/>
        </w:rPr>
      </w:pPr>
      <w:r w:rsidRPr="00977221">
        <w:rPr>
          <w:b/>
          <w:bCs/>
        </w:rPr>
        <w:t>Provide results of the root cause analysis of child find identification rates</w:t>
      </w:r>
    </w:p>
    <w:p w14:paraId="0085FD5B" w14:textId="2C1D6095" w:rsidR="000D4875" w:rsidRPr="005900EB" w:rsidRDefault="000D4875" w:rsidP="003A3693">
      <w:pPr>
        <w:rPr>
          <w:rFonts w:cs="Arial"/>
          <w:color w:val="000000" w:themeColor="text1"/>
          <w:szCs w:val="16"/>
        </w:rPr>
      </w:pPr>
      <w:r w:rsidRPr="005900EB">
        <w:lastRenderedPageBreak/>
        <w:t xml:space="preserve">MA-C relies on the Performance Diagnostic Checklist-Human Services (PDC-HS; Carr, Wilder, Majdalany, Mathisen, &amp; Strain, 2013) as one tool to understand the contributing factors to its high-levels of child find identification rates. In completing the PDC-HS with respect to its federal fiscal year 2024 (FFY24; July 1, 2024-June 30, 2025) Indicator 5 data, MA-C considered (1) antecedents and information it offers to its 63 contracted agencies, such as its policies, procedures, and technical assistance documents related expectations for child find activities, (2) a review of the processes and electronic equipment used by early intervention services providers to respond to and manage referrals, such as ensuring that MA-C's database is reliable, efficiently designed, and in good working order, (3) the knowledge and skills of early intervention services providers and of the Parent Training and Information Center staff, such as ensuring they understand the Part C care cascade, parent's rights, and required timelines, and (4) the motivation contractors have to complete child find activities as required. </w:t>
      </w:r>
    </w:p>
    <w:p w14:paraId="3CBC9B31" w14:textId="09BBA20B"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A9A6EA9" w14:textId="71C8D759" w:rsidR="003A3693" w:rsidRPr="00ED172B" w:rsidRDefault="00860830" w:rsidP="00632DF6">
      <w:pPr>
        <w:rPr>
          <w:color w:val="000000" w:themeColor="text1"/>
        </w:rPr>
      </w:pPr>
      <w:r w:rsidRPr="00ED172B">
        <w:rPr>
          <w:color w:val="000000" w:themeColor="text1"/>
        </w:rPr>
        <w:t/>
      </w:r>
    </w:p>
    <w:p w14:paraId="570F9CF2" w14:textId="73DF43E4" w:rsidR="00DC0682" w:rsidRPr="00A40EE1" w:rsidRDefault="000D0117" w:rsidP="005C3FFD">
      <w:pPr>
        <w:pStyle w:val="Heading2"/>
      </w:pPr>
      <w:r w:rsidRPr="00A40EE1">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632DF6" w:rsidP="00027F39">
      <w:pPr>
        <w:rPr>
          <w:color w:val="000000" w:themeColor="text1"/>
        </w:rPr>
      </w:pPr>
      <w:r w:rsidRPr="00ED172B">
        <w:rPr>
          <w:color w:val="000000" w:themeColor="text1"/>
        </w:rPr>
        <w:t/>
      </w: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632DF6" w:rsidP="00027F39">
      <w:pPr>
        <w:rPr>
          <w:color w:val="000000" w:themeColor="text1"/>
        </w:rPr>
      </w:pPr>
      <w:r w:rsidRPr="00ED172B">
        <w:rPr>
          <w:color w:val="000000" w:themeColor="text1"/>
        </w:rPr>
        <w:t/>
      </w:r>
    </w:p>
    <w:p w14:paraId="4FD273CC" w14:textId="77777777" w:rsidR="00447F6D" w:rsidRPr="00ED172B" w:rsidRDefault="00447F6D" w:rsidP="00B83404">
      <w:pPr>
        <w:rPr>
          <w:color w:val="000000" w:themeColor="text1"/>
        </w:rPr>
        <w:sectPr w:rsidR="00447F6D" w:rsidRPr="00ED172B" w:rsidSect="00BF3AB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6" w:name="_Toc381956335"/>
      <w:bookmarkStart w:id="37" w:name="_Toc384383336"/>
      <w:bookmarkStart w:id="38" w:name="_Toc392159288"/>
      <w:r w:rsidRPr="00ED172B">
        <w:rPr>
          <w:color w:val="000000" w:themeColor="text1"/>
        </w:rPr>
        <w:lastRenderedPageBreak/>
        <w:t xml:space="preserve">Indicator </w:t>
      </w:r>
      <w:bookmarkEnd w:id="36"/>
      <w:bookmarkEnd w:id="37"/>
      <w:bookmarkEnd w:id="38"/>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52595BF1" w14:textId="77777777" w:rsidR="00E25050" w:rsidRPr="00F446DC" w:rsidRDefault="00E25050" w:rsidP="00E25050">
      <w:pPr>
        <w:rPr>
          <w:szCs w:val="16"/>
        </w:rPr>
      </w:pPr>
      <w:r w:rsidRPr="00ED3380">
        <w:rPr>
          <w:szCs w:val="16"/>
        </w:rPr>
        <w:t xml:space="preserve">Same data as used for reporting to the Department under section 618 of the IDEA, using the definitions in EDFacts file specification FS902 </w:t>
      </w:r>
      <w:r w:rsidRPr="0084279D">
        <w:rPr>
          <w:rFonts w:cs="Arial"/>
          <w:szCs w:val="16"/>
        </w:rPr>
        <w:t>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568018E6" w:rsidR="001C3D0E" w:rsidRDefault="001C3D0E" w:rsidP="00B609A4">
      <w:pPr>
        <w:rPr>
          <w:color w:val="000000" w:themeColor="text1"/>
          <w:szCs w:val="16"/>
        </w:rPr>
      </w:pPr>
      <w:r w:rsidRPr="00ED172B">
        <w:rPr>
          <w:color w:val="000000" w:themeColor="text1"/>
          <w:szCs w:val="16"/>
        </w:rPr>
        <w:t>Describe the results of the calculations. The data reported in this indicator should be consistent with the State’s reported 618 data reported in Table 1. If not, explain why.</w:t>
      </w:r>
    </w:p>
    <w:p w14:paraId="4B39FAA2" w14:textId="21F2FACF" w:rsidR="003643D6" w:rsidRDefault="003643D6" w:rsidP="003643D6">
      <w:pPr>
        <w:rPr>
          <w:szCs w:val="16"/>
        </w:rPr>
      </w:pPr>
      <w:r w:rsidRPr="00FE01D6">
        <w:rPr>
          <w:szCs w:val="16"/>
        </w:rPr>
        <w:t>The State should conduct a root cause analysis of child find identification rates, including reviewing data (if available) on the number of children referred, evaluated, and identified. This analysis may include examining not only demographic data but also other child-find related data available to the State (e.g. geographic location, family income, primary language, etc.). The State should report the results of this analysis. If the State is required to report on the reasons for slippage, the State must include the results of its analysis.</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7FFF69C8" w:rsidR="00C779B5" w:rsidRDefault="000F5FCD" w:rsidP="00C779B5">
      <w:r>
        <w:t>Historical Data</w:t>
      </w:r>
    </w:p>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vAlign w:val="center"/>
          </w:tcPr>
          <w:p w14:paraId="7FCE749A" w14:textId="77777777" w:rsidR="00CA65C9" w:rsidRPr="00ED172B" w:rsidRDefault="00CA65C9" w:rsidP="00C15786">
            <w:pPr>
              <w:jc w:val="center"/>
              <w:rPr>
                <w:b/>
                <w:color w:val="000000" w:themeColor="text1"/>
              </w:rPr>
            </w:pPr>
            <w:r w:rsidRPr="00ED172B">
              <w:rPr>
                <w:color w:val="000000" w:themeColor="text1"/>
              </w:rPr>
              <w:t>5.90%</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tcPr>
          <w:p w14:paraId="5CA2C8B5" w14:textId="77777777" w:rsidR="00EF4A30" w:rsidRPr="00ED172B" w:rsidRDefault="00EF4A30" w:rsidP="00186420">
            <w:pPr>
              <w:jc w:val="center"/>
              <w:rPr>
                <w:b/>
                <w:color w:val="000000" w:themeColor="text1"/>
                <w:szCs w:val="16"/>
              </w:rPr>
            </w:pPr>
            <w:bookmarkStart w:id="39" w:name="_Toc392159294"/>
            <w:r w:rsidRPr="00ED172B">
              <w:rPr>
                <w:b/>
                <w:color w:val="000000" w:themeColor="text1"/>
                <w:szCs w:val="16"/>
              </w:rPr>
              <w:t>FFY</w:t>
            </w:r>
          </w:p>
        </w:tc>
        <w:tc>
          <w:tcPr>
            <w:tcW w:w="959" w:type="pct"/>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1026" w:type="pct"/>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2020</w:t>
            </w:r>
          </w:p>
        </w:tc>
        <w:tc>
          <w:tcPr>
            <w:tcW w:w="867" w:type="pct"/>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2021</w:t>
            </w:r>
          </w:p>
        </w:tc>
        <w:tc>
          <w:tcPr>
            <w:tcW w:w="867" w:type="pct"/>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2022</w:t>
            </w:r>
          </w:p>
        </w:tc>
        <w:tc>
          <w:tcPr>
            <w:tcW w:w="866" w:type="pct"/>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2487552A" w14:textId="77777777" w:rsidTr="00986B99">
        <w:trPr>
          <w:trHeight w:val="357"/>
        </w:trPr>
        <w:tc>
          <w:tcPr>
            <w:tcW w:w="415" w:type="pct"/>
          </w:tcPr>
          <w:p w14:paraId="0BDCC722" w14:textId="2BFAD67F" w:rsidR="00EF4A30" w:rsidRPr="00ED172B" w:rsidRDefault="00EF4A30" w:rsidP="00D21F29">
            <w:pPr>
              <w:jc w:val="cente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6.00%</w:t>
            </w:r>
          </w:p>
        </w:tc>
        <w:tc>
          <w:tcPr>
            <w:tcW w:w="1026" w:type="pct"/>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6.00%</w:t>
            </w:r>
          </w:p>
        </w:tc>
        <w:tc>
          <w:tcPr>
            <w:tcW w:w="867" w:type="pct"/>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6.00%</w:t>
            </w:r>
          </w:p>
        </w:tc>
        <w:tc>
          <w:tcPr>
            <w:tcW w:w="867" w:type="pct"/>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6.00%</w:t>
            </w:r>
          </w:p>
        </w:tc>
        <w:tc>
          <w:tcPr>
            <w:tcW w:w="866" w:type="pct"/>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6.00%</w:t>
            </w:r>
          </w:p>
        </w:tc>
      </w:tr>
      <w:tr w:rsidR="00ED172B" w:rsidRPr="00ED172B" w14:paraId="3DE11503" w14:textId="77777777" w:rsidTr="00986B99">
        <w:trPr>
          <w:trHeight w:val="85"/>
        </w:trPr>
        <w:tc>
          <w:tcPr>
            <w:tcW w:w="415" w:type="pct"/>
          </w:tcPr>
          <w:p w14:paraId="76DAE92C" w14:textId="77777777" w:rsidR="00EF4A30" w:rsidRPr="00ED172B" w:rsidRDefault="00EF4A30" w:rsidP="00D21F29">
            <w:pPr>
              <w:jc w:val="center"/>
              <w:rPr>
                <w:color w:val="000000" w:themeColor="text1"/>
                <w:szCs w:val="16"/>
              </w:rPr>
            </w:pPr>
            <w:r w:rsidRPr="00ED172B">
              <w:rPr>
                <w:color w:val="000000" w:themeColor="text1"/>
                <w:szCs w:val="16"/>
              </w:rPr>
              <w:t>Data</w:t>
            </w:r>
          </w:p>
        </w:tc>
        <w:tc>
          <w:tcPr>
            <w:tcW w:w="959" w:type="pct"/>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10.59%</w:t>
            </w:r>
          </w:p>
        </w:tc>
        <w:tc>
          <w:tcPr>
            <w:tcW w:w="1026" w:type="pct"/>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10.45%</w:t>
            </w:r>
          </w:p>
        </w:tc>
        <w:tc>
          <w:tcPr>
            <w:tcW w:w="867" w:type="pct"/>
            <w:tcBorders>
              <w:bottom w:val="single" w:sz="4" w:space="0" w:color="auto"/>
            </w:tcBorders>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9.95%</w:t>
            </w:r>
          </w:p>
        </w:tc>
        <w:tc>
          <w:tcPr>
            <w:tcW w:w="867" w:type="pct"/>
            <w:tcBorders>
              <w:bottom w:val="single" w:sz="4" w:space="0" w:color="auto"/>
            </w:tcBorders>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10.40%</w:t>
            </w:r>
          </w:p>
        </w:tc>
        <w:tc>
          <w:tcPr>
            <w:tcW w:w="866" w:type="pct"/>
            <w:tcBorders>
              <w:bottom w:val="single" w:sz="4" w:space="0" w:color="auto"/>
            </w:tcBorders>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10.82%</w:t>
            </w:r>
          </w:p>
        </w:tc>
      </w:tr>
    </w:tbl>
    <w:p w14:paraId="7EEFF1E6" w14:textId="77777777" w:rsidR="00EF4A30" w:rsidRPr="00ED172B" w:rsidRDefault="00EF4A30">
      <w:pPr>
        <w:rPr>
          <w:b/>
          <w:color w:val="000000" w:themeColor="text1"/>
        </w:rPr>
      </w:pPr>
      <w:r w:rsidRPr="00ED172B">
        <w:rPr>
          <w:b/>
          <w:color w:val="000000" w:themeColor="text1"/>
        </w:rPr>
        <w:t>Targets</w:t>
      </w:r>
    </w:p>
    <w:tbl>
      <w:tblPr>
        <w:tblW w:w="2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1"/>
        <w:gridCol w:w="1542"/>
        <w:gridCol w:w="1542"/>
      </w:tblGrid>
      <w:tr w:rsidR="00CF59E2" w:rsidRPr="00ED172B" w14:paraId="1D435074" w14:textId="5FE636B7" w:rsidTr="00811738">
        <w:trPr>
          <w:trHeight w:val="277"/>
        </w:trPr>
        <w:tc>
          <w:tcPr>
            <w:tcW w:w="1665" w:type="pct"/>
            <w:tcBorders>
              <w:bottom w:val="single" w:sz="4" w:space="0" w:color="auto"/>
            </w:tcBorders>
          </w:tcPr>
          <w:p w14:paraId="561FEE47"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1667" w:type="pct"/>
            <w:vAlign w:val="center"/>
          </w:tcPr>
          <w:p w14:paraId="2204FF06" w14:textId="1616FAAA"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1667" w:type="pct"/>
          </w:tcPr>
          <w:p w14:paraId="1DCDE632" w14:textId="0D933CB4"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43BE8A8B" w14:textId="18ECC93C" w:rsidTr="00811738">
        <w:trPr>
          <w:trHeight w:val="283"/>
        </w:trPr>
        <w:tc>
          <w:tcPr>
            <w:tcW w:w="1665" w:type="pct"/>
          </w:tcPr>
          <w:p w14:paraId="3A722C96" w14:textId="7558E2BE" w:rsidR="00CF59E2" w:rsidRPr="00ED172B" w:rsidRDefault="00CF59E2" w:rsidP="00D21F29">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667" w:type="pct"/>
            <w:vAlign w:val="center"/>
          </w:tcPr>
          <w:p w14:paraId="4925440B" w14:textId="6DFF86C9" w:rsidR="00CF59E2" w:rsidRPr="00ED172B" w:rsidRDefault="00CF59E2" w:rsidP="006B2FE9">
            <w:pPr>
              <w:jc w:val="center"/>
              <w:rPr>
                <w:color w:val="000000" w:themeColor="text1"/>
              </w:rPr>
            </w:pPr>
            <w:r w:rsidRPr="00ED172B">
              <w:rPr>
                <w:color w:val="000000" w:themeColor="text1"/>
              </w:rPr>
              <w:t>6.00%</w:t>
            </w:r>
          </w:p>
        </w:tc>
        <w:tc>
          <w:tcPr>
            <w:tcW w:w="1667" w:type="pct"/>
          </w:tcPr>
          <w:p w14:paraId="4EF0C269" w14:textId="5AFCA64F" w:rsidR="00CF59E2" w:rsidRPr="00811738" w:rsidRDefault="00CF59E2" w:rsidP="006B2FE9">
            <w:pPr>
              <w:jc w:val="center"/>
              <w:rPr>
                <w:strike/>
                <w:color w:val="000000" w:themeColor="text1"/>
              </w:rPr>
            </w:pPr>
            <w:r>
              <w:rPr>
                <w:rFonts w:cs="Arial"/>
                <w:color w:val="000000" w:themeColor="text1"/>
                <w:szCs w:val="16"/>
              </w:rPr>
              <w:t>6.00%</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712D4B5A" w14:textId="60F10C46" w:rsidR="004A1179" w:rsidRPr="00ED172B" w:rsidRDefault="004A1179" w:rsidP="00F80C9C">
      <w:pPr>
        <w:pStyle w:val="Bold"/>
        <w:rPr>
          <w:b w:val="0"/>
          <w:color w:val="000000" w:themeColor="text1"/>
        </w:rPr>
      </w:pPr>
      <w:r w:rsidRPr="00ED172B">
        <w:rPr>
          <w:rFonts w:cs="Arial"/>
          <w:b w:val="0"/>
          <w:color w:val="000000" w:themeColor="text1"/>
          <w:szCs w:val="16"/>
        </w:rPr>
        <w:t/>
      </w: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2024-25 IDEA Part C Child Count - Infants and Toddlers with Disabilities (EDFacts file spec FS902; Data group 5023)</w:t>
            </w:r>
          </w:p>
        </w:tc>
        <w:tc>
          <w:tcPr>
            <w:tcW w:w="1585" w:type="pct"/>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07/30/2025</w:t>
            </w:r>
          </w:p>
        </w:tc>
        <w:tc>
          <w:tcPr>
            <w:tcW w:w="1167" w:type="pct"/>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22,312</w:t>
            </w:r>
          </w:p>
        </w:tc>
      </w:tr>
      <w:tr w:rsidR="00ED172B" w:rsidRPr="00ED172B" w14:paraId="27E196B0" w14:textId="77777777" w:rsidTr="00986B99">
        <w:trPr>
          <w:trHeight w:val="380"/>
        </w:trPr>
        <w:tc>
          <w:tcPr>
            <w:tcW w:w="1457" w:type="pct"/>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2024</w:t>
            </w:r>
          </w:p>
        </w:tc>
        <w:tc>
          <w:tcPr>
            <w:tcW w:w="1585" w:type="pct"/>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06/03/2025</w:t>
            </w:r>
          </w:p>
        </w:tc>
        <w:tc>
          <w:tcPr>
            <w:tcW w:w="1167" w:type="pct"/>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210,483</w:t>
            </w:r>
          </w:p>
        </w:tc>
      </w:tr>
    </w:tbl>
    <w:p w14:paraId="145EA13A" w14:textId="018C953E" w:rsidR="00B609A4" w:rsidRPr="00ED172B" w:rsidRDefault="00F22D09">
      <w:pPr>
        <w:rPr>
          <w:b/>
          <w:color w:val="000000" w:themeColor="text1"/>
        </w:rPr>
      </w:pPr>
      <w:r>
        <w:rPr>
          <w:b/>
          <w:color w:val="000000" w:themeColor="text1"/>
        </w:rPr>
        <w:t>FFY 2024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vAlign w:val="bottom"/>
          </w:tcPr>
          <w:p w14:paraId="27E4FD75" w14:textId="09462E4A" w:rsidR="00967D30" w:rsidRPr="00ED172B" w:rsidRDefault="00CD74B5" w:rsidP="00967D30">
            <w:pPr>
              <w:jc w:val="center"/>
              <w:rPr>
                <w:rFonts w:cs="Arial"/>
                <w:b/>
                <w:color w:val="000000" w:themeColor="text1"/>
                <w:szCs w:val="16"/>
              </w:rPr>
            </w:pPr>
            <w:r>
              <w:rPr>
                <w:rFonts w:cs="Arial"/>
                <w:b/>
                <w:color w:val="000000" w:themeColor="text1"/>
                <w:szCs w:val="16"/>
              </w:rPr>
              <w:t>FFY 2023 Data</w:t>
            </w:r>
          </w:p>
        </w:tc>
        <w:tc>
          <w:tcPr>
            <w:tcW w:w="584" w:type="pct"/>
            <w:vAlign w:val="bottom"/>
          </w:tcPr>
          <w:p w14:paraId="16DC2F19" w14:textId="646A7A4A" w:rsidR="00967D30" w:rsidRPr="00ED172B" w:rsidRDefault="00F22D09" w:rsidP="00967D30">
            <w:pPr>
              <w:jc w:val="center"/>
              <w:rPr>
                <w:rFonts w:cs="Arial"/>
                <w:b/>
                <w:color w:val="000000" w:themeColor="text1"/>
                <w:szCs w:val="16"/>
              </w:rPr>
            </w:pPr>
            <w:r>
              <w:rPr>
                <w:rFonts w:cs="Arial"/>
                <w:b/>
                <w:color w:val="000000" w:themeColor="text1"/>
                <w:szCs w:val="16"/>
              </w:rPr>
              <w:t>FFY 2024 Target</w:t>
            </w:r>
          </w:p>
        </w:tc>
        <w:tc>
          <w:tcPr>
            <w:tcW w:w="583" w:type="pct"/>
            <w:vAlign w:val="bottom"/>
          </w:tcPr>
          <w:p w14:paraId="18079166" w14:textId="63E25112" w:rsidR="00967D30" w:rsidRPr="00ED172B" w:rsidRDefault="00F22D09" w:rsidP="00967D30">
            <w:pPr>
              <w:jc w:val="center"/>
              <w:rPr>
                <w:rFonts w:cs="Arial"/>
                <w:b/>
                <w:color w:val="000000" w:themeColor="text1"/>
                <w:szCs w:val="16"/>
              </w:rPr>
            </w:pPr>
            <w:r>
              <w:rPr>
                <w:rFonts w:cs="Arial"/>
                <w:b/>
                <w:color w:val="000000" w:themeColor="text1"/>
                <w:szCs w:val="16"/>
              </w:rPr>
              <w:t>FFY 2024 Data</w:t>
            </w:r>
          </w:p>
        </w:tc>
        <w:tc>
          <w:tcPr>
            <w:tcW w:w="584" w:type="pct"/>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22,312</w:t>
            </w:r>
          </w:p>
        </w:tc>
        <w:tc>
          <w:tcPr>
            <w:tcW w:w="959" w:type="pct"/>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210,483</w:t>
            </w:r>
          </w:p>
        </w:tc>
        <w:tc>
          <w:tcPr>
            <w:tcW w:w="625" w:type="pct"/>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10.82%</w:t>
            </w:r>
          </w:p>
        </w:tc>
        <w:tc>
          <w:tcPr>
            <w:tcW w:w="584" w:type="pct"/>
            <w:vAlign w:val="center"/>
          </w:tcPr>
          <w:p w14:paraId="2F4AA092" w14:textId="5BD12D82" w:rsidR="00897554" w:rsidRPr="00ED172B" w:rsidRDefault="00632DF6" w:rsidP="00632DF6">
            <w:pPr>
              <w:jc w:val="center"/>
              <w:rPr>
                <w:color w:val="000000" w:themeColor="text1"/>
              </w:rPr>
            </w:pPr>
            <w:r w:rsidRPr="00ED172B">
              <w:rPr>
                <w:color w:val="000000" w:themeColor="text1"/>
              </w:rPr>
              <w:t>6.00%</w:t>
            </w:r>
          </w:p>
        </w:tc>
        <w:tc>
          <w:tcPr>
            <w:tcW w:w="583" w:type="pct"/>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10.60%</w:t>
            </w:r>
          </w:p>
        </w:tc>
        <w:tc>
          <w:tcPr>
            <w:tcW w:w="584" w:type="pct"/>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02CF8883" w14:textId="77777777" w:rsidR="003643D6" w:rsidRPr="009B6E8C" w:rsidRDefault="003643D6" w:rsidP="009B6E8C">
      <w:pPr>
        <w:rPr>
          <w:b/>
          <w:bCs/>
        </w:rPr>
      </w:pPr>
      <w:r w:rsidRPr="009B6E8C">
        <w:rPr>
          <w:b/>
          <w:bCs/>
        </w:rPr>
        <w:t>Provide results of the root cause analysis of child find identification rates</w:t>
      </w:r>
    </w:p>
    <w:p w14:paraId="417C51E8" w14:textId="57E6CC37" w:rsidR="003643D6" w:rsidRPr="009B6E8C" w:rsidRDefault="003643D6" w:rsidP="003A3693">
      <w:pPr>
        <w:rPr>
          <w:rFonts w:cs="Arial"/>
          <w:bCs/>
          <w:color w:val="000000" w:themeColor="text1"/>
          <w:szCs w:val="16"/>
        </w:rPr>
      </w:pPr>
      <w:r>
        <w:rPr>
          <w:rFonts w:cs="Arial"/>
          <w:bCs/>
          <w:color w:val="000000" w:themeColor="text1"/>
          <w:szCs w:val="16"/>
        </w:rPr>
        <w:t xml:space="preserve">MA-C relies on the Performance Diagnostic Checklist-Human Services (PDC-HS; Carr, Wilder, Majdalany, Mathisen, &amp; Strain, 2013) as one tool to understand the contributing factors to its high-levels of child find identification rates. In completing the PDC-HS with respect to its federal fiscal year 2024 (FFY24; July 1, 2024-June 30, 2025) Indicator 6 data, MA-C considered (1) antecedents and information it offers to its 63 contracted agencies, such as its policies, procedures, and technical assistance documents related expectations for child find activities, (2) a review of the processes and electronic equipment used by early intervention services providers to respond to and manage referrals, such as ensuring that MA-C's database is reliable, efficiently designed, and in good working order, (3) the knowledge and skills of early intervention services providers and of the Parent Training and Information Center staff, such as ensuring they understand the Part C care cascade, parent's rights, and required timelines, and (4) the motivation contractors have to complete child find activities as required. </w:t>
      </w:r>
    </w:p>
    <w:p w14:paraId="6FBC07A0" w14:textId="19BEA2E8" w:rsidR="003A3693" w:rsidRPr="00ED172B" w:rsidRDefault="003A3693" w:rsidP="003A3693">
      <w:pPr>
        <w:rPr>
          <w:rFonts w:cs="Arial"/>
          <w:b/>
          <w:color w:val="000000" w:themeColor="text1"/>
          <w:szCs w:val="16"/>
        </w:rPr>
      </w:pPr>
      <w:r w:rsidRPr="00ED172B">
        <w:rPr>
          <w:rFonts w:cs="Arial"/>
          <w:b/>
          <w:color w:val="000000" w:themeColor="text1"/>
          <w:szCs w:val="16"/>
        </w:rPr>
        <w:lastRenderedPageBreak/>
        <w:t>Provide additional information about this indicator (optional).</w:t>
      </w:r>
    </w:p>
    <w:p w14:paraId="1B7D851B" w14:textId="10D0339D" w:rsidR="003A3693" w:rsidRPr="00ED172B" w:rsidRDefault="00860830" w:rsidP="003A3693">
      <w:pPr>
        <w:rPr>
          <w:rFonts w:cs="Arial"/>
          <w:color w:val="000000" w:themeColor="text1"/>
          <w:szCs w:val="16"/>
        </w:rPr>
      </w:pPr>
      <w:r w:rsidRPr="00ED172B">
        <w:rPr>
          <w:rFonts w:cs="Arial"/>
          <w:color w:val="000000" w:themeColor="text1"/>
          <w:szCs w:val="16"/>
        </w:rPr>
        <w:t/>
      </w:r>
    </w:p>
    <w:p w14:paraId="38A791C3" w14:textId="149CEBCF" w:rsidR="00DC0682" w:rsidRPr="00A40EE1" w:rsidRDefault="000D0117" w:rsidP="005C3FFD">
      <w:pPr>
        <w:pStyle w:val="Heading2"/>
      </w:pPr>
      <w:r w:rsidRPr="00A40EE1">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632DF6" w:rsidP="00632DF6">
      <w:pPr>
        <w:rPr>
          <w:color w:val="000000" w:themeColor="text1"/>
        </w:rPr>
      </w:pPr>
      <w:r w:rsidRPr="00ED172B">
        <w:rPr>
          <w:color w:val="000000" w:themeColor="text1"/>
        </w:rPr>
        <w:t/>
      </w: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632DF6" w:rsidP="00027F39">
      <w:pPr>
        <w:rPr>
          <w:rFonts w:eastAsiaTheme="majorEastAsia" w:cstheme="majorBidi"/>
          <w:b/>
          <w:bCs/>
          <w:color w:val="000000" w:themeColor="text1"/>
          <w:sz w:val="22"/>
          <w:szCs w:val="28"/>
        </w:rPr>
      </w:pPr>
      <w:r w:rsidRPr="00ED172B">
        <w:rPr>
          <w:color w:val="000000" w:themeColor="text1"/>
        </w:rPr>
        <w:t/>
      </w:r>
      <w:r w:rsidR="00DC0682"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31"/>
      <w:bookmarkEnd w:id="39"/>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40"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36806EAA"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17D96FDF" w:rsidR="001C3D0E" w:rsidRPr="00ED172B" w:rsidRDefault="001C3D0E" w:rsidP="00B609A4">
      <w:pPr>
        <w:rPr>
          <w:color w:val="000000" w:themeColor="text1"/>
          <w:szCs w:val="16"/>
        </w:rPr>
      </w:pPr>
      <w:r w:rsidRPr="00ED172B">
        <w:rPr>
          <w:color w:val="000000" w:themeColor="text1"/>
          <w:szCs w:val="16"/>
        </w:rPr>
        <w:t>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1FE83D6D" w:rsidR="001C3D0E"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4865246" w14:textId="4C2CF3BA" w:rsidR="00C04685" w:rsidRPr="00D3011A" w:rsidRDefault="00C538B3" w:rsidP="00C04685">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51C65A33" w14:textId="77777777" w:rsidR="00C04685" w:rsidRPr="00ED172B" w:rsidRDefault="00C04685" w:rsidP="00B609A4">
      <w:pPr>
        <w:rPr>
          <w:color w:val="000000" w:themeColor="text1"/>
          <w:szCs w:val="16"/>
        </w:rPr>
      </w:pPr>
    </w:p>
    <w:bookmarkEnd w:id="40"/>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41" w:name="_Toc382082375"/>
      <w:bookmarkStart w:id="42"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1876"/>
        <w:gridCol w:w="1898"/>
      </w:tblGrid>
      <w:tr w:rsidR="00C25621" w:rsidRPr="00ED172B" w14:paraId="416D2651" w14:textId="77777777" w:rsidTr="00A40EE1">
        <w:trPr>
          <w:trHeight w:val="350"/>
          <w:tblHeader/>
        </w:trPr>
        <w:tc>
          <w:tcPr>
            <w:tcW w:w="4285" w:type="pct"/>
            <w:tcBorders>
              <w:bottom w:val="single" w:sz="4" w:space="0" w:color="auto"/>
            </w:tcBorders>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vAlign w:val="center"/>
          </w:tcPr>
          <w:p w14:paraId="534E96B1" w14:textId="77777777" w:rsidR="00C25621" w:rsidRPr="00ED172B" w:rsidRDefault="00C25621" w:rsidP="00C15786">
            <w:pPr>
              <w:jc w:val="center"/>
              <w:rPr>
                <w:color w:val="000000" w:themeColor="text1"/>
              </w:rPr>
            </w:pPr>
            <w:r w:rsidRPr="00ED172B">
              <w:rPr>
                <w:color w:val="000000" w:themeColor="text1"/>
              </w:rPr>
              <w:t>93.30%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565"/>
        <w:gridCol w:w="2045"/>
        <w:gridCol w:w="2045"/>
        <w:gridCol w:w="2045"/>
        <w:gridCol w:w="2045"/>
        <w:gridCol w:w="2045"/>
      </w:tblGrid>
      <w:tr w:rsidR="00ED172B" w:rsidRPr="00ED172B" w14:paraId="410B72DC" w14:textId="77777777" w:rsidTr="00A40EE1">
        <w:trPr>
          <w:trHeight w:val="350"/>
        </w:trPr>
        <w:tc>
          <w:tcPr>
            <w:tcW w:w="327" w:type="pct"/>
            <w:tcBorders>
              <w:bottom w:val="single" w:sz="4" w:space="0" w:color="auto"/>
            </w:tcBorders>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5" w:type="pct"/>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5" w:type="pct"/>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5" w:type="pct"/>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7519736B" w14:textId="77777777" w:rsidTr="00A40EE1">
        <w:trPr>
          <w:trHeight w:val="357"/>
        </w:trPr>
        <w:tc>
          <w:tcPr>
            <w:tcW w:w="327" w:type="pct"/>
          </w:tcPr>
          <w:p w14:paraId="6F4234B7" w14:textId="2FA82786" w:rsidR="00DC0682" w:rsidRPr="00ED172B" w:rsidRDefault="00DC0682" w:rsidP="00D21F29">
            <w:pPr>
              <w:jc w:val="center"/>
              <w:rPr>
                <w:color w:val="000000" w:themeColor="text1"/>
                <w:szCs w:val="16"/>
              </w:rPr>
            </w:pPr>
            <w:r w:rsidRPr="00ED172B">
              <w:rPr>
                <w:color w:val="000000" w:themeColor="text1"/>
                <w:szCs w:val="16"/>
              </w:rPr>
              <w:t>Target</w:t>
            </w:r>
          </w:p>
        </w:tc>
        <w:tc>
          <w:tcPr>
            <w:tcW w:w="935" w:type="pct"/>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tcPr>
          <w:p w14:paraId="6C6DCCED"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5" w:type="pct"/>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99.68%</w:t>
            </w:r>
          </w:p>
        </w:tc>
        <w:tc>
          <w:tcPr>
            <w:tcW w:w="935" w:type="pct"/>
            <w:tcBorders>
              <w:bottom w:val="single" w:sz="4" w:space="0" w:color="auto"/>
            </w:tcBorders>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99.86%</w:t>
            </w:r>
          </w:p>
        </w:tc>
        <w:tc>
          <w:tcPr>
            <w:tcW w:w="935" w:type="pct"/>
            <w:tcBorders>
              <w:bottom w:val="single" w:sz="4" w:space="0" w:color="auto"/>
            </w:tcBorders>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98.44%</w:t>
            </w:r>
          </w:p>
        </w:tc>
        <w:tc>
          <w:tcPr>
            <w:tcW w:w="935" w:type="pct"/>
            <w:tcBorders>
              <w:bottom w:val="single" w:sz="4" w:space="0" w:color="auto"/>
            </w:tcBorders>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99.03%</w:t>
            </w:r>
          </w:p>
        </w:tc>
        <w:tc>
          <w:tcPr>
            <w:tcW w:w="935" w:type="pct"/>
            <w:tcBorders>
              <w:bottom w:val="single" w:sz="4" w:space="0" w:color="auto"/>
            </w:tcBorders>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98.98%</w:t>
            </w:r>
          </w:p>
        </w:tc>
      </w:tr>
    </w:tbl>
    <w:p w14:paraId="2990C042" w14:textId="77777777" w:rsidR="00DC0682" w:rsidRPr="00ED172B" w:rsidRDefault="00DC0682">
      <w:pPr>
        <w:rPr>
          <w:b/>
          <w:color w:val="000000" w:themeColor="text1"/>
        </w:rPr>
      </w:pPr>
      <w:r w:rsidRPr="00ED172B">
        <w:rPr>
          <w:b/>
          <w:color w:val="000000" w:themeColor="text1"/>
        </w:rPr>
        <w:t>Targets</w:t>
      </w:r>
    </w:p>
    <w:tbl>
      <w:tblPr>
        <w:tblW w:w="2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679"/>
        <w:gridCol w:w="2475"/>
        <w:gridCol w:w="2653"/>
      </w:tblGrid>
      <w:tr w:rsidR="00CF59E2" w:rsidRPr="00ED172B" w14:paraId="42B56D41" w14:textId="5E4E59B3" w:rsidTr="00811738">
        <w:trPr>
          <w:trHeight w:val="290"/>
        </w:trPr>
        <w:tc>
          <w:tcPr>
            <w:tcW w:w="585" w:type="pct"/>
            <w:tcBorders>
              <w:bottom w:val="single" w:sz="4" w:space="0" w:color="auto"/>
            </w:tcBorders>
          </w:tcPr>
          <w:p w14:paraId="312C61F2" w14:textId="77777777" w:rsidR="00CF59E2" w:rsidRPr="00ED172B" w:rsidRDefault="00CF59E2" w:rsidP="006B2FE9">
            <w:pPr>
              <w:jc w:val="center"/>
              <w:rPr>
                <w:b/>
                <w:color w:val="000000" w:themeColor="text1"/>
                <w:szCs w:val="16"/>
              </w:rPr>
            </w:pPr>
            <w:r w:rsidRPr="00ED172B">
              <w:rPr>
                <w:b/>
                <w:color w:val="000000" w:themeColor="text1"/>
                <w:szCs w:val="16"/>
              </w:rPr>
              <w:t>FFY</w:t>
            </w:r>
          </w:p>
        </w:tc>
        <w:tc>
          <w:tcPr>
            <w:tcW w:w="2131" w:type="pct"/>
            <w:vAlign w:val="center"/>
          </w:tcPr>
          <w:p w14:paraId="0EB63CB6" w14:textId="5BB5F4E7" w:rsidR="00CF59E2" w:rsidRPr="00ED172B" w:rsidRDefault="00CF59E2" w:rsidP="006B2FE9">
            <w:pPr>
              <w:jc w:val="center"/>
              <w:rPr>
                <w:b/>
                <w:color w:val="000000" w:themeColor="text1"/>
                <w:szCs w:val="16"/>
              </w:rPr>
            </w:pPr>
            <w:r w:rsidRPr="00ED172B">
              <w:rPr>
                <w:rFonts w:cs="Arial"/>
                <w:b/>
                <w:color w:val="000000" w:themeColor="text1"/>
                <w:szCs w:val="16"/>
              </w:rPr>
              <w:t>2024</w:t>
            </w:r>
          </w:p>
        </w:tc>
        <w:tc>
          <w:tcPr>
            <w:tcW w:w="2284" w:type="pct"/>
          </w:tcPr>
          <w:p w14:paraId="7ED41A5E" w14:textId="7318A542" w:rsidR="00CF59E2" w:rsidRPr="00ED172B" w:rsidRDefault="00CF59E2" w:rsidP="006B2FE9">
            <w:pPr>
              <w:jc w:val="center"/>
              <w:rPr>
                <w:rFonts w:cs="Arial"/>
                <w:b/>
                <w:color w:val="000000" w:themeColor="text1"/>
                <w:szCs w:val="16"/>
              </w:rPr>
            </w:pPr>
            <w:r>
              <w:rPr>
                <w:rFonts w:cs="Arial"/>
                <w:b/>
                <w:color w:val="000000" w:themeColor="text1"/>
                <w:szCs w:val="16"/>
              </w:rPr>
              <w:t>2025</w:t>
            </w:r>
          </w:p>
        </w:tc>
      </w:tr>
      <w:tr w:rsidR="00CF59E2" w:rsidRPr="00ED172B" w14:paraId="20F2223E" w14:textId="133D85CD" w:rsidTr="00811738">
        <w:trPr>
          <w:trHeight w:val="296"/>
        </w:trPr>
        <w:tc>
          <w:tcPr>
            <w:tcW w:w="585" w:type="pct"/>
          </w:tcPr>
          <w:p w14:paraId="452D2810"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31" w:type="pct"/>
          </w:tcPr>
          <w:p w14:paraId="7066C0AE" w14:textId="42C4A4CE" w:rsidR="00CF59E2" w:rsidRPr="00ED172B" w:rsidRDefault="00CF59E2" w:rsidP="006B2FE9">
            <w:pPr>
              <w:jc w:val="center"/>
              <w:rPr>
                <w:color w:val="000000" w:themeColor="text1"/>
              </w:rPr>
            </w:pPr>
            <w:r w:rsidRPr="00ED172B">
              <w:rPr>
                <w:color w:val="000000" w:themeColor="text1"/>
              </w:rPr>
              <w:t>100%</w:t>
            </w:r>
          </w:p>
        </w:tc>
        <w:tc>
          <w:tcPr>
            <w:tcW w:w="2284" w:type="pct"/>
          </w:tcPr>
          <w:p w14:paraId="3A42CBDC" w14:textId="4C7BA2D0" w:rsidR="00CF59E2" w:rsidRPr="00811738" w:rsidRDefault="00CF59E2" w:rsidP="006B2FE9">
            <w:pPr>
              <w:jc w:val="center"/>
              <w:rPr>
                <w:strike/>
                <w:color w:val="000000" w:themeColor="text1"/>
              </w:rPr>
            </w:pPr>
            <w:r>
              <w:rPr>
                <w:rFonts w:cs="Arial"/>
                <w:color w:val="000000" w:themeColor="text1"/>
                <w:szCs w:val="16"/>
              </w:rPr>
              <w:t>100%</w:t>
            </w:r>
          </w:p>
        </w:tc>
      </w:tr>
    </w:tbl>
    <w:p w14:paraId="61F72181" w14:textId="39009F85" w:rsidR="001C3D0E"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vAlign w:val="bottom"/>
          </w:tcPr>
          <w:p w14:paraId="07D96066" w14:textId="67F48B4E" w:rsidR="008872E7" w:rsidRPr="00ED172B" w:rsidRDefault="00CD74B5" w:rsidP="008872E7">
            <w:pPr>
              <w:jc w:val="center"/>
              <w:rPr>
                <w:b/>
                <w:color w:val="000000" w:themeColor="text1"/>
                <w:szCs w:val="16"/>
              </w:rPr>
            </w:pPr>
            <w:r>
              <w:rPr>
                <w:rFonts w:cs="Arial"/>
                <w:b/>
                <w:color w:val="000000" w:themeColor="text1"/>
                <w:szCs w:val="16"/>
              </w:rPr>
              <w:t>FFY 2023 Data</w:t>
            </w:r>
          </w:p>
        </w:tc>
        <w:tc>
          <w:tcPr>
            <w:tcW w:w="626" w:type="pct"/>
            <w:vAlign w:val="bottom"/>
          </w:tcPr>
          <w:p w14:paraId="02F56F6D" w14:textId="2B9125F3" w:rsidR="008872E7" w:rsidRPr="00ED172B" w:rsidRDefault="00F22D09" w:rsidP="008872E7">
            <w:pPr>
              <w:jc w:val="center"/>
              <w:rPr>
                <w:b/>
                <w:color w:val="000000" w:themeColor="text1"/>
                <w:szCs w:val="16"/>
              </w:rPr>
            </w:pPr>
            <w:r>
              <w:rPr>
                <w:rFonts w:cs="Arial"/>
                <w:b/>
                <w:color w:val="000000" w:themeColor="text1"/>
                <w:szCs w:val="16"/>
              </w:rPr>
              <w:t>FFY 2024 Target</w:t>
            </w:r>
          </w:p>
        </w:tc>
        <w:tc>
          <w:tcPr>
            <w:tcW w:w="584" w:type="pct"/>
            <w:vAlign w:val="bottom"/>
          </w:tcPr>
          <w:p w14:paraId="43BEDF85" w14:textId="7A69A35B" w:rsidR="008872E7" w:rsidRPr="00ED172B" w:rsidRDefault="00F22D09" w:rsidP="008872E7">
            <w:pPr>
              <w:jc w:val="center"/>
              <w:rPr>
                <w:b/>
                <w:color w:val="000000" w:themeColor="text1"/>
                <w:szCs w:val="16"/>
              </w:rPr>
            </w:pPr>
            <w:r>
              <w:rPr>
                <w:rFonts w:cs="Arial"/>
                <w:b/>
                <w:color w:val="000000" w:themeColor="text1"/>
                <w:szCs w:val="16"/>
              </w:rPr>
              <w:t>FFY 2024 Data</w:t>
            </w:r>
          </w:p>
        </w:tc>
        <w:tc>
          <w:tcPr>
            <w:tcW w:w="584" w:type="pct"/>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4,054</w:t>
            </w:r>
          </w:p>
        </w:tc>
        <w:tc>
          <w:tcPr>
            <w:tcW w:w="876" w:type="pct"/>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5,825</w:t>
            </w:r>
          </w:p>
        </w:tc>
        <w:tc>
          <w:tcPr>
            <w:tcW w:w="667" w:type="pct"/>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98.98%</w:t>
            </w:r>
          </w:p>
        </w:tc>
        <w:tc>
          <w:tcPr>
            <w:tcW w:w="626" w:type="pct"/>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99.48%</w:t>
            </w:r>
          </w:p>
        </w:tc>
        <w:tc>
          <w:tcPr>
            <w:tcW w:w="584" w:type="pct"/>
          </w:tcPr>
          <w:p w14:paraId="1648FF7B" w14:textId="4177CD65" w:rsidR="008872E7" w:rsidRPr="00ED172B" w:rsidRDefault="00027F39" w:rsidP="00027F39">
            <w:pPr>
              <w:jc w:val="center"/>
              <w:rPr>
                <w:color w:val="000000" w:themeColor="text1"/>
              </w:rPr>
            </w:pPr>
            <w:r w:rsidRPr="00ED172B">
              <w:rPr>
                <w:color w:val="000000" w:themeColor="text1"/>
              </w:rPr>
              <w:t>Did not meet target</w:t>
            </w:r>
          </w:p>
        </w:tc>
        <w:tc>
          <w:tcPr>
            <w:tcW w:w="498" w:type="pct"/>
          </w:tcPr>
          <w:p w14:paraId="38A3D273" w14:textId="3D8308F3" w:rsidR="008872E7" w:rsidRPr="00ED172B" w:rsidRDefault="00632DF6" w:rsidP="00027F39">
            <w:pPr>
              <w:jc w:val="center"/>
              <w:rPr>
                <w:color w:val="000000" w:themeColor="text1"/>
              </w:rPr>
            </w:pPr>
            <w:r w:rsidRPr="00ED172B">
              <w:rPr>
                <w:color w:val="000000" w:themeColor="text1"/>
              </w:rPr>
              <w:t>No Slippage</w:t>
            </w:r>
          </w:p>
        </w:tc>
      </w:tr>
    </w:tbl>
    <w:p w14:paraId="23726145" w14:textId="77777777" w:rsidR="00293B59" w:rsidRPr="00ED172B" w:rsidRDefault="00293B59" w:rsidP="00293B59">
      <w:pPr>
        <w:rPr>
          <w:color w:val="000000" w:themeColor="text1"/>
          <w:szCs w:val="16"/>
        </w:rPr>
      </w:pPr>
      <w:r w:rsidRPr="00ED172B">
        <w:rPr>
          <w:b/>
          <w:color w:val="000000" w:themeColor="text1"/>
          <w:szCs w:val="16"/>
        </w:rPr>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1,741</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t xml:space="preserve">MA-C relies on validations within its database to identify the initial evaluation, assessment, and IFSP meeting as timely or collect reasons for delayed services. When data related to initial evaluation, assessment, and initial IFSP meeting are not entered into the child's record in a timely manner, MA-C's state database (Early Intervention Client System; EICS) prompts the early intervention services (EIS) provider to enter the reasons for delayed initial evaluation, assessment, and IFSP meetings, which MA-C later reviews. </w:t>
      </w:r>
    </w:p>
    <w:p>
      <w:pPr>
        <w:pStyle w:val=""/>
      </w:pPr>
      <w:r>
        <w:rPr>
          <w:rFonts w:ascii="" w:hAnsi="" w:cs="" w:eastAsia=""/>
          <w:b w:val="false"/>
          <w:i w:val="false"/>
          <w:color w:val="000000"/>
        </w:rPr>
        <w:t/>
      </w:r>
    </w:p>
    <w:p>
      <w:pPr>
        <w:pStyle w:val=""/>
      </w:pPr>
      <w:r>
        <w:rPr>
          <w:rFonts w:ascii="" w:hAnsi="" w:cs="" w:eastAsia=""/>
          <w:b w:val="false"/>
          <w:i w:val="false"/>
          <w:color w:val="000000"/>
        </w:rPr>
        <w:t xml:space="preserve">Delays attributable to exceptional family circumstances include difficulty scheduling with a family, family unavailability due to illness or COVID-19 isolation protocols, and extreme weather. </w:t>
      </w:r>
    </w:p>
    <w:p>
      <w:pPr>
        <w:pStyle w:val=""/>
      </w:pPr>
      <w:r>
        <w:rPr>
          <w:rFonts w:ascii="" w:hAnsi="" w:cs="" w:eastAsia=""/>
          <w:b w:val="false"/>
          <w:i w:val="false"/>
          <w:color w:val="000000"/>
        </w:rPr>
        <w:t/>
      </w:r>
    </w:p>
    <w:p>
      <w:pPr>
        <w:pStyle w:val=""/>
      </w:pPr>
      <w:r>
        <w:rPr>
          <w:rFonts w:ascii="" w:hAnsi="" w:cs="" w:eastAsia=""/>
          <w:b w:val="false"/>
          <w:i w:val="false"/>
          <w:color w:val="000000"/>
        </w:rPr>
        <w:t xml:space="preserve">There were 30 children with delayed IFSPs that were not attributable to an exceptional family circumstance. In these cases, the delay was due to a program error or staffing issue at the EIS program. </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Federal Fiscal Year 2024, Quarter 1 (July 1, 2024 - September 30, 2024)</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 xml:space="preserve">As allowed by the measurement table, MA-C is reporting data for a selection of the full reporting year. The Lead Agency (MA-C) implemented its documented process to select a quarter of data that accurately reflect data for infants and toddlers with IFSPs for the full reporting period. First, MA-C’s Part C Data Manager defined the analytic population and the full federal fiscal year benchmark. For Indicator 7, she did so by reviewing the OSEP Measurement Table and defining the specific denominator (i.e., the total number of infants and toddlers with IFSPs during federal fiscal year 2025 (FFY24; July 1, 2024-June 30, 2025).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she constructed candidate quarters using consistent date rules. She did this by querying four candidate quarter datasets (i.e., Q1-Q4) using the same denominator rules and key date fields used in the indicator calculation. MA-C maintains documentation of each quarter’s start and end dates and the exact date of the database query.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the Part C Data Manager evaluates representativeness by geographic region, child race/ethnicity, and early intervention services program distribution. To demonstrate that the selected quarter reflects data for infants and toddlers with IFSPs for the full reporting period, MA-C compares each candidate quarter to the full FFY benchmark using these three representativeness dimensions. MA-C selected these dimensions to mirror OSEP’s general expectation that, when sampling is used, states must describe how key aspects of the population are represented and that samples must be representative of the programs included.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MA-C applies and explicit representativeness metric and minimum-N stability rules. MA-C does this by using a simple, auditable metric to quantify representativeness: for each geographic region, race/ethnicity group, and EIS program, MA-C computes the absolute percentage-point difference between the quarter distribution and the full FFY distribution. MA-C sets and documents a threshold (“no group differs by more than ±10 percentage points”) and applies minimum-N rules to avoid unstable estimates, particularly for small programs/regions. This is consistent with OSEP’s emphasis that designs yield valid and reliable estimates and that MA-C avoid public reporting where data are too small to be statistically reliable or could risk disclosure. </w:t>
      </w:r>
    </w:p>
    <w:p>
      <w:pPr>
        <w:pStyle w:val=""/>
      </w:pPr>
      <w:r>
        <w:rPr>
          <w:rFonts w:ascii="" w:hAnsi="" w:cs="" w:eastAsia=""/>
          <w:b w:val="false"/>
          <w:i w:val="false"/>
          <w:color w:val="000000"/>
        </w:rPr>
        <w:t/>
      </w:r>
    </w:p>
    <w:p>
      <w:pPr>
        <w:pStyle w:val=""/>
      </w:pPr>
      <w:r>
        <w:rPr>
          <w:rFonts w:ascii="" w:hAnsi="" w:cs="" w:eastAsia=""/>
          <w:b w:val="false"/>
          <w:i w:val="false"/>
          <w:color w:val="000000"/>
        </w:rPr>
        <w:t xml:space="preserve">Then, the MA-C Part C Data Manager selects the quarter and documents the rationale. She selects the quarter that (a) meets the representativeness thresholds across EI Region, race/ethnicity, and program distribution, and (b) supports stable denominators for statewide and program-level reporting. For the SPP/APR indicator narrative, MA-C documents: the quarter used (e.g., “September–December / fourth quarter”), the reason the quarter was selected, and a concise statement describing how the quarter’s distributions align with the full FFY population, addressing OSEP’s requirement to explain the time period and how it accurately reflects the full reporting period for Indicator 7 when using a State database. </w:t>
      </w:r>
    </w:p>
    <w:p>
      <w:pPr>
        <w:pStyle w:val=""/>
      </w:pPr>
      <w:r>
        <w:rPr>
          <w:rFonts w:ascii="" w:hAnsi="" w:cs="" w:eastAsia=""/>
          <w:b w:val="false"/>
          <w:i w:val="false"/>
          <w:color w:val="000000"/>
        </w:rPr>
        <w:t/>
      </w:r>
    </w:p>
    <w:p>
      <w:pPr>
        <w:pStyle w:val=""/>
      </w:pPr>
      <w:r>
        <w:rPr>
          <w:rFonts w:ascii="" w:hAnsi="" w:cs="" w:eastAsia=""/>
          <w:b w:val="false"/>
          <w:i w:val="false"/>
          <w:color w:val="000000"/>
        </w:rPr>
        <w:t>In the event that no single quarter meets representativeness and stability thresholds, MA-C expands the analytic window (e.g., combining two adjacent quarters) or uses a defined supplementation approach (i.e., adding records from underrepresented geographic regions, EIS programs, or race/ethnicity strata) and then reruns the representativeness checks. The selected time period and remediation steps are documented so MA-C can still describe the “time period used” and how it reflects the full reporting period.</w:t>
      </w:r>
    </w:p>
    <w:p w14:paraId="239AE944" w14:textId="7F02781E" w:rsidR="003A3693" w:rsidRPr="00ED172B" w:rsidRDefault="003A3693" w:rsidP="003A3693">
      <w:pPr>
        <w:rPr>
          <w:rFonts w:cs="Arial"/>
          <w:b/>
          <w:color w:val="000000" w:themeColor="text1"/>
          <w:szCs w:val="16"/>
        </w:rPr>
      </w:pPr>
      <w:bookmarkStart w:id="43" w:name="_Toc386209666"/>
      <w:bookmarkStart w:id="44" w:name="_Toc392159299"/>
      <w:bookmarkEnd w:id="41"/>
      <w:bookmarkEnd w:id="42"/>
      <w:r w:rsidRPr="00ED172B">
        <w:rPr>
          <w:rFonts w:cs="Arial"/>
          <w:b/>
          <w:color w:val="000000" w:themeColor="text1"/>
          <w:szCs w:val="16"/>
        </w:rPr>
        <w:t>Provide additional information about this indicator (optional).</w:t>
      </w:r>
    </w:p>
    <w:p w14:paraId="08F3AB46" w14:textId="3AE7E453" w:rsidR="003A3693" w:rsidRPr="00ED172B" w:rsidRDefault="00860830" w:rsidP="003A3693">
      <w:pPr>
        <w:rPr>
          <w:rFonts w:cs="Arial"/>
          <w:color w:val="000000" w:themeColor="text1"/>
          <w:szCs w:val="16"/>
        </w:rPr>
      </w:pPr>
      <w:r w:rsidRPr="00ED172B">
        <w:rPr>
          <w:rFonts w:cs="Arial"/>
          <w:color w:val="000000" w:themeColor="text1"/>
          <w:szCs w:val="16"/>
        </w:rPr>
        <w:t/>
      </w:r>
    </w:p>
    <w:p w14:paraId="78CA7AEE" w14:textId="1DBCDF6B"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3</w:t>
            </w:r>
          </w:p>
        </w:tc>
        <w:tc>
          <w:tcPr>
            <w:tcW w:w="1286" w:type="pct"/>
          </w:tcPr>
          <w:p w14:paraId="6713A327" w14:textId="087EB1ED" w:rsidR="008203B4" w:rsidRPr="00ED172B" w:rsidRDefault="00860830" w:rsidP="00186420">
            <w:pPr>
              <w:jc w:val="center"/>
              <w:rPr>
                <w:rFonts w:cs="Arial"/>
                <w:color w:val="000000" w:themeColor="text1"/>
                <w:szCs w:val="16"/>
              </w:rPr>
            </w:pPr>
            <w:r w:rsidRPr="00ED172B">
              <w:rPr>
                <w:rFonts w:cs="Arial"/>
                <w:color w:val="000000" w:themeColor="text1"/>
                <w:szCs w:val="16"/>
              </w:rPr>
              <w:t>3</w:t>
            </w:r>
          </w:p>
        </w:tc>
        <w:tc>
          <w:tcPr>
            <w:tcW w:w="1229" w:type="pct"/>
          </w:tcPr>
          <w:p w14:paraId="7767046D" w14:textId="6877FBBE"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4E4C4062" w14:textId="71D3D500" w:rsidR="008203B4" w:rsidRPr="00ED172B" w:rsidRDefault="00CD74B5" w:rsidP="00B83404">
      <w:pPr>
        <w:rPr>
          <w:color w:val="000000" w:themeColor="text1"/>
        </w:rPr>
      </w:pPr>
      <w:r>
        <w:rPr>
          <w:b/>
          <w:color w:val="000000" w:themeColor="text1"/>
        </w:rPr>
        <w:t>FFY 2023 Findings of Noncompliance Verified as Corrected</w:t>
      </w:r>
    </w:p>
    <w:p w14:paraId="5E4ECBB0" w14:textId="1CC718D4"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0031099B" w:rsidRPr="00ED172B">
        <w:rPr>
          <w:rFonts w:cs="Arial"/>
          <w:b/>
          <w:i/>
          <w:color w:val="000000" w:themeColor="text1"/>
          <w:szCs w:val="16"/>
        </w:rPr>
        <w:t>regulatory requirements</w:t>
      </w:r>
      <w:r w:rsidR="002959B0">
        <w:rPr>
          <w:rFonts w:cs="Arial"/>
          <w:b/>
          <w:i/>
          <w:color w:val="000000" w:themeColor="text1"/>
          <w:szCs w:val="16"/>
        </w:rPr>
        <w:t>.</w:t>
      </w:r>
    </w:p>
    <w:p w14:paraId="0FE901D9" w14:textId="490B580D" w:rsidR="008203B4" w:rsidRPr="00ED172B" w:rsidRDefault="00860830" w:rsidP="008203B4">
      <w:pPr>
        <w:rPr>
          <w:rFonts w:cs="Arial"/>
          <w:color w:val="000000" w:themeColor="text1"/>
          <w:szCs w:val="16"/>
        </w:rPr>
      </w:pPr>
      <w:r w:rsidRPr="00ED172B">
        <w:rPr>
          <w:rFonts w:cs="Arial"/>
          <w:color w:val="000000" w:themeColor="text1"/>
          <w:szCs w:val="16"/>
        </w:rPr>
        <w:t xml:space="preserve">During federal fiscal year 2023 (FFY23; July 1, 2023-June 30, 2024), MA-C did not report 100% compliance for Indicator 7, the percentage of eligible infants and toddlers with IFSPs for whom an initial evaluation and assessment and an initial IFSP meeting was conducted within Part C's 45-day timeline. MA-C implemented a process to distinguish inaccurate implementation of the regulatory requirement from inaccurate or delayed data entry in federal fiscal year 2023 (FFY23; July 1, 2023-June 30, 2024). After completing this process, MA-C reviewed its state database and discovered 59 records across five EIS programs that suggested timely evaluation and IFSP were not provided. </w:t>
      </w:r>
    </w:p>
    <w:p>
      <w:pPr>
        <w:pStyle w:val=""/>
      </w:pPr>
      <w:r>
        <w:rPr>
          <w:rFonts w:ascii="" w:hAnsi="" w:cs="" w:eastAsia=""/>
          <w:b w:val="false"/>
          <w:i w:val="false"/>
          <w:color w:val="000000"/>
        </w:rPr>
        <w:t/>
      </w:r>
    </w:p>
    <w:p>
      <w:pPr>
        <w:pStyle w:val=""/>
      </w:pPr>
      <w:r>
        <w:rPr>
          <w:rFonts w:ascii="" w:hAnsi="" w:cs="" w:eastAsia=""/>
          <w:b w:val="false"/>
          <w:i w:val="false"/>
          <w:color w:val="000000"/>
        </w:rPr>
        <w:t xml:space="preserve">Of the 59, no children had left MA-C's jurisdiction before services could be provided. In all 59 instances, the children received services, although late. MA-C makes findings of noncompliance by EIS program. In two of the five EIS programs identified, MA-C made pre-finding corrections. For all EIS programs identified related to these 59 records (5 EIS programs), MA-C identified two  pre-finding corrections and three findings of noncompliance. </w:t>
      </w:r>
    </w:p>
    <w:p>
      <w:pPr>
        <w:pStyle w:val=""/>
      </w:pPr>
      <w:r>
        <w:rPr>
          <w:rFonts w:ascii="" w:hAnsi="" w:cs="" w:eastAsia=""/>
          <w:b w:val="false"/>
          <w:i w:val="false"/>
          <w:color w:val="000000"/>
        </w:rPr>
        <w:t/>
      </w:r>
    </w:p>
    <w:p>
      <w:pPr>
        <w:pStyle w:val=""/>
      </w:pPr>
      <w:r>
        <w:rPr>
          <w:rFonts w:ascii="" w:hAnsi="" w:cs="" w:eastAsia=""/>
          <w:b w:val="false"/>
          <w:i w:val="false"/>
          <w:color w:val="000000"/>
        </w:rPr>
        <w:t>Three of the five EIS Programs identified with noncompliance received formal written notification of their findings of noncompliance. To verify correction of this noncompliance, one of MA-C's Clinical Oversight and Support Specialist verified ongoing compliance for each of the three early intervention services (EIS) programs with compliance rates below 100%. For each EIS program, the Clinical Oversight and Support Specialist sampled 10 to20 child records at random (based on a z score analysis of a representative sample by program size) using subsequent IFSP level data entered by the EIS programs and determined 100% compliance had been demonstrated for this requirement (received their initial evaluation and IFSP within 45 calendar days as required by Part C).</w:t>
      </w:r>
    </w:p>
    <w:p>
      <w:pPr>
        <w:pStyle w:val=""/>
      </w:pPr>
      <w:r>
        <w:rPr>
          <w:rFonts w:ascii="" w:hAnsi="" w:cs="" w:eastAsia=""/>
          <w:b w:val="false"/>
          <w:i w:val="false"/>
          <w:color w:val="000000"/>
        </w:rPr>
        <w:t/>
      </w:r>
    </w:p>
    <w:p>
      <w:pPr>
        <w:pStyle w:val=""/>
      </w:pPr>
      <w:r>
        <w:rPr>
          <w:rFonts w:ascii="" w:hAnsi="" w:cs="" w:eastAsia=""/>
          <w:b w:val="false"/>
          <w:i w:val="false"/>
          <w:color w:val="000000"/>
        </w:rPr>
        <w:t>MA-C identified three instances of noncompliance across three EIS programs (i.e., Kennedy-Donovan Center-Cape &amp; Islands, Eliot, and People Incorporated EI Program) for indicator 7 through annual monitoring of its state database (the Early Intervention Client System; EICS).</w:t>
      </w:r>
    </w:p>
    <w:p w14:paraId="78F88C50" w14:textId="1D102F4C" w:rsidR="008203B4" w:rsidRPr="00ED172B" w:rsidRDefault="008203B4" w:rsidP="008203B4">
      <w:pPr>
        <w:rPr>
          <w:rFonts w:cs="Arial"/>
          <w:b/>
          <w:color w:val="000000" w:themeColor="text1"/>
          <w:szCs w:val="16"/>
        </w:rPr>
      </w:pPr>
      <w:r w:rsidRPr="00ED172B">
        <w:rPr>
          <w:rFonts w:cs="Arial"/>
          <w:b/>
          <w:color w:val="000000" w:themeColor="text1"/>
          <w:szCs w:val="16"/>
        </w:rPr>
        <w:t xml:space="preserve">Describe how the State verified that each </w:t>
      </w:r>
      <w:r w:rsidR="0031099B" w:rsidRPr="00ED172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14:paraId="722BD8E3" w14:textId="23E43957" w:rsidR="008203B4" w:rsidRDefault="00860830" w:rsidP="008203B4">
      <w:pPr>
        <w:rPr>
          <w:rFonts w:cs="Arial"/>
          <w:color w:val="000000" w:themeColor="text1"/>
          <w:szCs w:val="16"/>
        </w:rPr>
      </w:pPr>
      <w:r w:rsidRPr="00ED172B">
        <w:rPr>
          <w:rFonts w:cs="Arial"/>
          <w:color w:val="000000" w:themeColor="text1"/>
          <w:szCs w:val="16"/>
        </w:rPr>
        <w:t>MA-C verified that all 59 children identified, received their initial evaluation and IFSP although late (greater than 45 calendar days as required by Part C).</w:t>
      </w:r>
    </w:p>
    <w:p>
      <w:pPr>
        <w:pStyle w:val=""/>
      </w:pPr>
      <w:r>
        <w:rPr>
          <w:rFonts w:ascii="" w:hAnsi="" w:cs="" w:eastAsia=""/>
          <w:b w:val="false"/>
          <w:i w:val="false"/>
          <w:color w:val="000000"/>
        </w:rPr>
        <w:t/>
      </w:r>
    </w:p>
    <w:p>
      <w:pPr>
        <w:pStyle w:val=""/>
      </w:pPr>
      <w:r>
        <w:rPr>
          <w:rFonts w:ascii="" w:hAnsi="" w:cs="" w:eastAsia=""/>
          <w:b w:val="false"/>
          <w:i w:val="false"/>
          <w:color w:val="000000"/>
        </w:rPr>
        <w:t>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no children left the jurisdiction before an initial evaluation and IFSP could be developed. All 59 children had an initial evaluation and IFSP which were provided late, as demonstrated by IFSP-level data entered by the EIS programs into EICS.</w:t>
      </w:r>
    </w:p>
    <w:p w14:paraId="55CDBA12"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5068232C" w14:textId="77777777" w:rsidR="00416EBD" w:rsidRPr="00510A22" w:rsidRDefault="00416EBD" w:rsidP="00416EBD">
      <w:pPr>
        <w:rPr>
          <w:color w:val="00B0F0"/>
        </w:rPr>
      </w:pPr>
      <w:r w:rsidRPr="00EE69F5">
        <w:t xml:space="preserve">During FFY23, MA-C allowed two pre-finding corrections. </w:t>
      </w:r>
    </w:p>
    <w:p>
      <w:pPr>
        <w:pStyle w:val=""/>
      </w:pPr>
      <w:r>
        <w:rPr>
          <w:rFonts w:ascii="" w:hAnsi="" w:cs="" w:eastAsia=""/>
          <w:b w:val="false"/>
          <w:i w:val="false"/>
          <w:color w:val=""/>
        </w:rPr>
        <w:t/>
      </w:r>
    </w:p>
    <w:p>
      <w:pPr>
        <w:pStyle w:val=""/>
      </w:pPr>
      <w:r>
        <w:rPr>
          <w:rFonts w:ascii="" w:hAnsi="" w:cs="" w:eastAsia=""/>
          <w:b w:val="false"/>
          <w:i w:val="false"/>
          <w:color w:val=""/>
        </w:rPr>
        <w:t>Upon discovery and before written findings of noncompliance were issued, MA-C initiated a pre-finding correction process consistent with its general supervision practices. MA-C's Clinical Oversight and Support Specialist queried the state database (Early Intervention Client System; EICS) to review the children's individual records. MA-C was able to verify within 3 months of identification of noncompliance, prior to issuing a finding, that the EIS program was correctly implementing the specific regulatory requirement. This was verified based on a review of subsequent data for each EIS program in the Early Intervention Client System that showed they were meeting the requirement at 100% (Initial Evaluation and IFSP within 45 calendar days as required by IDEA part C) and had corrected each individual case of child-specific noncompliance (received the initial evaluation and IFSP although late). MA-C also verified no outstanding corrective action existed under a State complaint or due process hearing decision for each child. Because noncompliance was corrected prior to detection and the programs' ongoing compliance was verified using updated data, no formal findings were issued. Instead, MA-C emailed the two EIS programs who had reported an evaluation and IFSP outside of the required timeframe to remind them of the regulatory requirement and offer training and technical assistance to sustain compliance.</w:t>
      </w:r>
    </w:p>
    <w:p w14:paraId="32FC1C4C" w14:textId="073F093C"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vAlign w:val="bottom"/>
          </w:tcPr>
          <w:p w14:paraId="16F76534" w14:textId="1851EAD0"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94" w:type="pct"/>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tcPr>
          <w:p w14:paraId="128A230A" w14:textId="50E2AC27" w:rsidR="008203B4" w:rsidRPr="00ED172B" w:rsidRDefault="00860830" w:rsidP="00D21F29">
            <w:pPr>
              <w:jc w:val="center"/>
              <w:rPr>
                <w:rFonts w:cs="Arial"/>
                <w:color w:val="000000" w:themeColor="text1"/>
                <w:szCs w:val="16"/>
              </w:rPr>
            </w:pPr>
            <w:r w:rsidRPr="00ED172B">
              <w:rPr>
                <w:rFonts w:cs="Arial"/>
                <w:color w:val="000000" w:themeColor="text1"/>
                <w:szCs w:val="16"/>
              </w:rPr>
              <w:t>FFY 2022</w:t>
            </w:r>
          </w:p>
        </w:tc>
        <w:tc>
          <w:tcPr>
            <w:tcW w:w="1399" w:type="pct"/>
          </w:tcPr>
          <w:p w14:paraId="586EEE14" w14:textId="68B417D1" w:rsidR="008203B4" w:rsidRPr="00ED172B" w:rsidRDefault="00860830" w:rsidP="00CD79C5">
            <w:pPr>
              <w:jc w:val="center"/>
              <w:rPr>
                <w:rFonts w:cs="Arial"/>
                <w:noProof/>
                <w:color w:val="000000" w:themeColor="text1"/>
                <w:szCs w:val="16"/>
              </w:rPr>
            </w:pPr>
            <w:r w:rsidRPr="00ED172B">
              <w:rPr>
                <w:rFonts w:cs="Arial"/>
                <w:color w:val="000000" w:themeColor="text1"/>
                <w:szCs w:val="16"/>
              </w:rPr>
              <w:t>1</w:t>
            </w:r>
          </w:p>
        </w:tc>
        <w:tc>
          <w:tcPr>
            <w:tcW w:w="1394" w:type="pct"/>
          </w:tcPr>
          <w:p w14:paraId="32B05EFE" w14:textId="5D65EE73" w:rsidR="008203B4" w:rsidRPr="00ED172B" w:rsidRDefault="00860830" w:rsidP="00CD79C5">
            <w:pPr>
              <w:jc w:val="center"/>
              <w:rPr>
                <w:rFonts w:cs="Arial"/>
                <w:noProof/>
                <w:color w:val="000000" w:themeColor="text1"/>
                <w:szCs w:val="16"/>
              </w:rPr>
            </w:pPr>
            <w:r w:rsidRPr="00ED172B">
              <w:rPr>
                <w:rFonts w:cs="Arial"/>
                <w:color w:val="000000" w:themeColor="text1"/>
                <w:szCs w:val="16"/>
              </w:rPr>
              <w:t>1</w:t>
            </w:r>
          </w:p>
        </w:tc>
        <w:tc>
          <w:tcPr>
            <w:tcW w:w="1307" w:type="pct"/>
          </w:tcPr>
          <w:p w14:paraId="3338F511" w14:textId="15EAC72F" w:rsidR="008203B4" w:rsidRPr="00ED172B" w:rsidRDefault="00860830" w:rsidP="00CD79C5">
            <w:pPr>
              <w:jc w:val="center"/>
              <w:rPr>
                <w:rFonts w:cs="Arial"/>
                <w:noProof/>
                <w:color w:val="000000" w:themeColor="text1"/>
                <w:szCs w:val="16"/>
              </w:rPr>
            </w:pPr>
            <w:r w:rsidRPr="00ED172B">
              <w:rPr>
                <w:rFonts w:cs="Arial"/>
                <w:color w:val="000000" w:themeColor="text1"/>
                <w:szCs w:val="16"/>
              </w:rPr>
              <w:t>0</w:t>
            </w:r>
          </w:p>
        </w:tc>
      </w:tr>
      <w:tr w:rsidR="00ED172B" w:rsidRPr="00ED172B" w14:paraId="744B3351" w14:textId="77777777" w:rsidTr="00986B99">
        <w:tc>
          <w:tcPr>
            <w:tcW w:w="899" w:type="pct"/>
          </w:tcPr>
          <w:p w14:paraId="43DF4A1D" w14:textId="629DD993"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99" w:type="pct"/>
          </w:tcPr>
          <w:p w14:paraId="682B1AF7" w14:textId="04856098"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94" w:type="pct"/>
          </w:tcPr>
          <w:p w14:paraId="58B66D2A" w14:textId="5E2142F5"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7" w:type="pct"/>
          </w:tcPr>
          <w:p w14:paraId="6986D2A0" w14:textId="0E05F3E2"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62EEE336" w14:textId="77777777" w:rsidTr="00986B99">
        <w:tc>
          <w:tcPr>
            <w:tcW w:w="899" w:type="pct"/>
          </w:tcPr>
          <w:p w14:paraId="03FC998C" w14:textId="17CC0145"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99" w:type="pct"/>
          </w:tcPr>
          <w:p w14:paraId="0C9B51BA" w14:textId="69C64714"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94" w:type="pct"/>
          </w:tcPr>
          <w:p w14:paraId="3D9AF315" w14:textId="35A24922"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7" w:type="pct"/>
          </w:tcPr>
          <w:p w14:paraId="7C6C5467" w14:textId="7AD30721"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DE328D" w:rsidRPr="00ED172B" w14:paraId="37EAC70D" w14:textId="77777777" w:rsidTr="00986B99">
        <w:tc>
          <w:tcPr>
            <w:tcW w:w="899" w:type="pct"/>
          </w:tcPr>
          <w:p w14:paraId="6C4A41C4" w14:textId="01E82ED5" w:rsidR="00DE328D" w:rsidRPr="00ED172B" w:rsidRDefault="00DE328D" w:rsidP="00D21F29">
            <w:pPr>
              <w:jc w:val="center"/>
              <w:rPr>
                <w:rFonts w:cs="Arial"/>
                <w:color w:val="000000" w:themeColor="text1"/>
                <w:szCs w:val="16"/>
              </w:rPr>
            </w:pPr>
            <w:r w:rsidRPr="00ED172B">
              <w:rPr>
                <w:rFonts w:cs="Arial"/>
                <w:color w:val="000000" w:themeColor="text1"/>
                <w:szCs w:val="16"/>
              </w:rPr>
              <w:t/>
            </w:r>
          </w:p>
        </w:tc>
        <w:tc>
          <w:tcPr>
            <w:tcW w:w="1399" w:type="pct"/>
          </w:tcPr>
          <w:p w14:paraId="77C9F595" w14:textId="34715600" w:rsidR="00DE328D" w:rsidRPr="00ED172B" w:rsidRDefault="00DE328D" w:rsidP="00DE328D">
            <w:pPr>
              <w:jc w:val="center"/>
              <w:rPr>
                <w:rFonts w:cs="Arial"/>
                <w:color w:val="000000" w:themeColor="text1"/>
                <w:szCs w:val="16"/>
              </w:rPr>
            </w:pPr>
            <w:r w:rsidRPr="00ED172B">
              <w:rPr>
                <w:rFonts w:cs="Arial"/>
                <w:color w:val="000000" w:themeColor="text1"/>
                <w:szCs w:val="16"/>
              </w:rPr>
              <w:t/>
            </w:r>
          </w:p>
        </w:tc>
        <w:tc>
          <w:tcPr>
            <w:tcW w:w="1394" w:type="pct"/>
          </w:tcPr>
          <w:p w14:paraId="19DF5F39" w14:textId="56F991D4" w:rsidR="00DE328D" w:rsidRPr="00ED172B" w:rsidRDefault="00DE328D" w:rsidP="00DE328D">
            <w:pPr>
              <w:jc w:val="center"/>
              <w:rPr>
                <w:rFonts w:cs="Arial"/>
                <w:color w:val="000000" w:themeColor="text1"/>
                <w:szCs w:val="16"/>
              </w:rPr>
            </w:pPr>
            <w:r w:rsidRPr="00ED172B">
              <w:rPr>
                <w:rFonts w:cs="Arial"/>
                <w:color w:val="000000" w:themeColor="text1"/>
                <w:szCs w:val="16"/>
              </w:rPr>
              <w:t/>
            </w:r>
          </w:p>
        </w:tc>
        <w:tc>
          <w:tcPr>
            <w:tcW w:w="1307" w:type="pct"/>
          </w:tcPr>
          <w:p w14:paraId="2954DE8E" w14:textId="1B7BB7AE" w:rsidR="00DE328D" w:rsidRPr="00ED172B" w:rsidRDefault="00DE328D" w:rsidP="00DE328D">
            <w:pPr>
              <w:jc w:val="center"/>
              <w:rPr>
                <w:rFonts w:cs="Arial"/>
                <w:color w:val="000000" w:themeColor="text1"/>
                <w:szCs w:val="16"/>
              </w:rPr>
            </w:pPr>
            <w:r w:rsidRPr="00ED172B">
              <w:rPr>
                <w:rFonts w:cs="Arial"/>
                <w:color w:val="000000" w:themeColor="text1"/>
                <w:szCs w:val="16"/>
              </w:rPr>
              <w:t/>
            </w:r>
          </w:p>
        </w:tc>
      </w:tr>
      <w:tr w:rsidR="00DE328D" w:rsidRPr="00ED172B" w14:paraId="3205E0F1" w14:textId="77777777" w:rsidTr="00986B99">
        <w:tc>
          <w:tcPr>
            <w:tcW w:w="899" w:type="pct"/>
          </w:tcPr>
          <w:p w14:paraId="304EA88F" w14:textId="5291E613" w:rsidR="00DE328D" w:rsidRPr="00ED172B" w:rsidRDefault="00DE328D" w:rsidP="00D21F29">
            <w:pPr>
              <w:jc w:val="center"/>
              <w:rPr>
                <w:rFonts w:cs="Arial"/>
                <w:color w:val="000000" w:themeColor="text1"/>
                <w:szCs w:val="16"/>
              </w:rPr>
            </w:pPr>
            <w:r w:rsidRPr="00ED172B">
              <w:rPr>
                <w:rFonts w:cs="Arial"/>
                <w:color w:val="000000" w:themeColor="text1"/>
                <w:szCs w:val="16"/>
              </w:rPr>
              <w:t/>
            </w:r>
          </w:p>
        </w:tc>
        <w:tc>
          <w:tcPr>
            <w:tcW w:w="1399" w:type="pct"/>
          </w:tcPr>
          <w:p w14:paraId="54A53497" w14:textId="232A2A7D" w:rsidR="00DE328D" w:rsidRPr="00ED172B" w:rsidRDefault="00DE328D" w:rsidP="00DE328D">
            <w:pPr>
              <w:jc w:val="center"/>
              <w:rPr>
                <w:rFonts w:cs="Arial"/>
                <w:color w:val="000000" w:themeColor="text1"/>
                <w:szCs w:val="16"/>
              </w:rPr>
            </w:pPr>
            <w:r w:rsidRPr="00ED172B">
              <w:rPr>
                <w:rFonts w:cs="Arial"/>
                <w:color w:val="000000" w:themeColor="text1"/>
                <w:szCs w:val="16"/>
              </w:rPr>
              <w:t/>
            </w:r>
          </w:p>
        </w:tc>
        <w:tc>
          <w:tcPr>
            <w:tcW w:w="1394" w:type="pct"/>
          </w:tcPr>
          <w:p w14:paraId="60DF5900" w14:textId="7E0E7098" w:rsidR="00DE328D" w:rsidRPr="00ED172B" w:rsidRDefault="00DE328D" w:rsidP="00DE328D">
            <w:pPr>
              <w:jc w:val="center"/>
              <w:rPr>
                <w:rFonts w:cs="Arial"/>
                <w:color w:val="000000" w:themeColor="text1"/>
                <w:szCs w:val="16"/>
              </w:rPr>
            </w:pPr>
            <w:r w:rsidRPr="00ED172B">
              <w:rPr>
                <w:rFonts w:cs="Arial"/>
                <w:color w:val="000000" w:themeColor="text1"/>
                <w:szCs w:val="16"/>
              </w:rPr>
              <w:t/>
            </w:r>
          </w:p>
        </w:tc>
        <w:tc>
          <w:tcPr>
            <w:tcW w:w="1307" w:type="pct"/>
          </w:tcPr>
          <w:p w14:paraId="73662E29" w14:textId="2A7774EF" w:rsidR="00DE328D" w:rsidRPr="00ED172B" w:rsidRDefault="00DE328D" w:rsidP="00DE328D">
            <w:pPr>
              <w:jc w:val="center"/>
              <w:rPr>
                <w:rFonts w:cs="Arial"/>
                <w:color w:val="000000" w:themeColor="text1"/>
                <w:szCs w:val="16"/>
              </w:rPr>
            </w:pPr>
            <w:r w:rsidRPr="00ED172B">
              <w:rPr>
                <w:rFonts w:cs="Arial"/>
                <w:color w:val="000000" w:themeColor="text1"/>
                <w:szCs w:val="16"/>
              </w:rPr>
              <w:t/>
            </w:r>
          </w:p>
        </w:tc>
      </w:tr>
    </w:tbl>
    <w:p w14:paraId="7D044851" w14:textId="4FA37089" w:rsidR="00B5154D" w:rsidRPr="00ED172B" w:rsidRDefault="00B5154D" w:rsidP="00B83404">
      <w:pPr>
        <w:rPr>
          <w:rFonts w:cs="Arial"/>
          <w:b/>
          <w:bCs/>
          <w:color w:val="000000" w:themeColor="text1"/>
          <w:szCs w:val="16"/>
        </w:rPr>
      </w:pPr>
      <w:r w:rsidRPr="00ED172B">
        <w:rPr>
          <w:rFonts w:cs="Arial"/>
          <w:b/>
          <w:bCs/>
          <w:color w:val="000000" w:themeColor="text1"/>
          <w:szCs w:val="16"/>
        </w:rPr>
        <w:t>FFY 2022</w:t>
      </w:r>
    </w:p>
    <w:p w14:paraId="018F68C3" w14:textId="0CC574A7" w:rsidR="008203B4" w:rsidRPr="00ED172B" w:rsidRDefault="008203B4" w:rsidP="00B83404">
      <w:pPr>
        <w:rPr>
          <w:color w:val="000000" w:themeColor="text1"/>
        </w:rPr>
      </w:pPr>
      <w:r w:rsidRPr="00ED172B">
        <w:rPr>
          <w:b/>
          <w:color w:val="000000" w:themeColor="text1"/>
        </w:rPr>
        <w:t>Findings of Noncompliance Verified as Corrected</w:t>
      </w:r>
    </w:p>
    <w:p w14:paraId="75B2A1A8" w14:textId="10F32585" w:rsidR="008203B4" w:rsidRPr="00ED172B" w:rsidRDefault="008203B4">
      <w:pPr>
        <w:rPr>
          <w:b/>
          <w:color w:val="000000" w:themeColor="text1"/>
        </w:rPr>
      </w:pPr>
      <w:r w:rsidRPr="00ED172B">
        <w:rPr>
          <w:b/>
          <w:color w:val="000000" w:themeColor="text1"/>
        </w:rPr>
        <w:lastRenderedPageBreak/>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60F0994D" w14:textId="0E18E14B" w:rsidR="008203B4" w:rsidRPr="00ED172B" w:rsidRDefault="00860830">
      <w:pPr>
        <w:rPr>
          <w:color w:val="000000" w:themeColor="text1"/>
        </w:rPr>
      </w:pPr>
      <w:r w:rsidRPr="00ED172B">
        <w:rPr>
          <w:color w:val="000000" w:themeColor="text1"/>
        </w:rPr>
        <w:t xml:space="preserve">During federal fiscal year 2022 (FFY22; July 1, 2022-June 30, 2023), MA-C did not report 100% compliance for Indicator 7, the percentage of eligible infants and toddlers with IFSPs for whom an initial evaluation and assessment and an initial IFSP meeting was conducted within Part C's 45-day timeline. The Lead Agency (MA-C) verified all child level noncompliance was corrected, all 59 children identified as not receiving an initial evaluation and assessment and an initial IFSP meeting within Part C's 45-day timeline received their initial evaluation and assessment and an initial IFSP, although late. However, MA-C was unable to verify systemic and ongoing noncompliance as corrected for one early intervention services program, Kennedy Donovan Center-Cape &amp; Islands, by the time of its FFY23 SPP/APR submission. </w:t>
      </w:r>
    </w:p>
    <w:p>
      <w:pPr>
        <w:pStyle w:val=""/>
      </w:pPr>
      <w:r>
        <w:rPr>
          <w:rFonts w:ascii="" w:hAnsi="" w:cs="" w:eastAsia=""/>
          <w:b w:val="false"/>
          <w:i w:val="false"/>
          <w:color w:val="000000"/>
        </w:rPr>
        <w:t/>
      </w:r>
    </w:p>
    <w:p>
      <w:pPr>
        <w:pStyle w:val=""/>
      </w:pPr>
      <w:r>
        <w:rPr>
          <w:rFonts w:ascii="" w:hAnsi="" w:cs="" w:eastAsia=""/>
          <w:b w:val="false"/>
          <w:i w:val="false"/>
          <w:color w:val="000000"/>
        </w:rPr>
        <w:t>To verify correction of this noncompliance, one of MA-C's Clinical Oversight and Support Specialists verified ongoing compliance for the early intervention services (EIS) program with compliance rates below 100% (Kennedy Donovan Center-Cape &amp; Islands). For this EIS program, the Clinical Oversight and Support Specialist sampled 11 subsequent child records at random (based on a z score analysis of a representative sample by program size) using subsequent IFSP-level data entered by the EIS program into EICS and determined 100% compliance had been demonstrated for this requirement.</w:t>
      </w:r>
    </w:p>
    <w:p w14:paraId="0935FA50" w14:textId="5AF3078D" w:rsidR="008203B4" w:rsidRPr="00ED172B" w:rsidRDefault="008203B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6D092A5" w14:textId="320BC94C" w:rsidR="008203B4" w:rsidRDefault="00860830">
      <w:pPr>
        <w:rPr>
          <w:color w:val="000000" w:themeColor="text1"/>
        </w:rPr>
      </w:pPr>
      <w:r w:rsidRPr="00ED172B">
        <w:rPr>
          <w:color w:val="000000" w:themeColor="text1"/>
        </w:rPr>
        <w:t>MA-C verified that all 59 children identified received their initial evaluation and IFSP, although late (i.e., greater than 45 calendar days as required by Part C).</w:t>
      </w:r>
    </w:p>
    <w:p>
      <w:pPr>
        <w:pStyle w:val=""/>
      </w:pPr>
      <w:r>
        <w:rPr>
          <w:rFonts w:ascii="" w:hAnsi="" w:cs="" w:eastAsia=""/>
          <w:b w:val="false"/>
          <w:i w:val="false"/>
          <w:color w:val="000000"/>
        </w:rPr>
        <w:t/>
      </w:r>
    </w:p>
    <w:p>
      <w:pPr>
        <w:pStyle w:val=""/>
      </w:pPr>
      <w:r>
        <w:rPr>
          <w:rFonts w:ascii="" w:hAnsi="" w:cs="" w:eastAsia=""/>
          <w:b w:val="false"/>
          <w:i w:val="false"/>
          <w:color w:val="000000"/>
        </w:rPr>
        <w:t xml:space="preserve">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all children had an initial evaluation and IFSP which were provided late, as demonstrated by IFSP-level data entered by the EIS programs into EICS. </w:t>
      </w:r>
    </w:p>
    <w:p w14:paraId="0F22F40D" w14:textId="77777777" w:rsidR="00DE328D" w:rsidRPr="00ED172B" w:rsidRDefault="00DE328D">
      <w:pPr>
        <w:rPr>
          <w:color w:val="000000" w:themeColor="text1"/>
        </w:rPr>
      </w:pPr>
    </w:p>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Because the State reported less than 100% compliance for FFY 2023, the State must report on the status of correction of noncompliance identified in FFY 2023 for this indicator. In addition, the State must demonstrate, in the FFY 2024 SPP/APR, that the remaining one uncorrected finding of noncompliance identified in FFY 2022 was corrected. When reporting on the correction of noncompliance, the State must report, in the FFY 2024 SPP/APR, that it has verified that each EIS program or provider with findings of noncompliance identified in FFY 2023 and each EIS program or provider with remaining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w:t>
      </w:r>
    </w:p>
    <w:p w14:paraId="4F1F97B2" w14:textId="19A9E0E4" w:rsidR="008203B4" w:rsidRPr="00ED172B" w:rsidRDefault="008203B4" w:rsidP="00B83404">
      <w:pPr>
        <w:rPr>
          <w:color w:val="000000" w:themeColor="text1"/>
        </w:rPr>
      </w:pPr>
      <w:r w:rsidRPr="00ED172B">
        <w:rPr>
          <w:b/>
          <w:color w:val="000000" w:themeColor="text1"/>
        </w:rPr>
        <w:t>Response to actions required in FFY 2023 SPP/APR</w:t>
      </w:r>
    </w:p>
    <w:p w14:paraId="6341AF1F" w14:textId="0B05114A" w:rsidR="004C1CEE" w:rsidRPr="00ED172B" w:rsidRDefault="00027F39" w:rsidP="00027F39">
      <w:pPr>
        <w:rPr>
          <w:color w:val="000000" w:themeColor="text1"/>
        </w:rPr>
      </w:pPr>
      <w:r w:rsidRPr="00ED172B">
        <w:rPr>
          <w:color w:val="000000" w:themeColor="text1"/>
        </w:rPr>
        <w:t>MA-C has verified as corrected all noncompliance from FFY22 and FFY23.</w:t>
      </w:r>
    </w:p>
    <w:p>
      <w:pPr>
        <w:pStyle w:val=""/>
      </w:pPr>
      <w:r>
        <w:rPr>
          <w:rFonts w:ascii="" w:hAnsi="" w:cs="" w:eastAsia=""/>
          <w:b w:val="false"/>
          <w:i w:val="false"/>
          <w:color w:val="000000"/>
        </w:rPr>
        <w:t/>
      </w:r>
    </w:p>
    <w:p>
      <w:pPr>
        <w:pStyle w:val=""/>
      </w:pPr>
      <w:r>
        <w:rPr>
          <w:rFonts w:ascii="" w:hAnsi="" w:cs="" w:eastAsia=""/>
          <w:b w:val="false"/>
          <w:i w:val="false"/>
          <w:color w:val="000000"/>
        </w:rPr>
        <w:t xml:space="preserve">During federal fiscal year 2022 (FFY22; July 1, 2022-June 30, 2023), MA-C did not report 100% compliance for Indicator 7, the percentage of eligible infants and toddlers with IFSPs for whom an initial evaluation and assessment and an initial IFSP meeting was conducted within Part C's 45-day timeline. The Lead Agency (MA-C) verified all child level noncompliance was corrected, all 59 children identified as not receiving an initial evaluation and assessment and an initial IFSP meeting within Part C's 45-day timeline received their initial evaluation and assessment and an initial IFSP, although late. However, MA-C was unable to verify systemic and ongoing noncompliance as corrected for one early intervention services program, Kennedy Donovan Center-Cape &amp; Islands, by the time of its FFY23 SPP/APR submission. </w:t>
      </w:r>
    </w:p>
    <w:p>
      <w:pPr>
        <w:pStyle w:val=""/>
      </w:pPr>
      <w:r>
        <w:rPr>
          <w:rFonts w:ascii="" w:hAnsi="" w:cs="" w:eastAsia=""/>
          <w:b w:val="false"/>
          <w:i w:val="false"/>
          <w:color w:val="000000"/>
        </w:rPr>
        <w:t xml:space="preserve">To verify correction of this noncompliance, one of MA-C's Clinical Oversight and Support Specialists verified ongoing compliance for the early intervention services (EIS) program with compliance rates below 100% (Kennedy Donovan Center-Cape &amp; Islands). For this EIS program, the Clinical Oversight and Support Specialist sampled 11 subsequent child records at random (based on a z score analysis of a representative sample by program size) using subsequent IFSP-level data entered by the EIS program into EICS and determined 100% compliance had been demonstrated for this requirement. MA-C verified that all 59 children identified received their initial evaluation and IFSP, although late (i.e., greater than 45 calendar days as required by Part C). 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all children had an initial evaluation and IFSP which were provided late, as demonstrated by IFSP-level data entered by the EIS programs into EICS. </w:t>
      </w:r>
    </w:p>
    <w:p>
      <w:pPr>
        <w:pStyle w:val=""/>
      </w:pPr>
      <w:r>
        <w:rPr>
          <w:rFonts w:ascii="" w:hAnsi="" w:cs="" w:eastAsia=""/>
          <w:b w:val="false"/>
          <w:i w:val="false"/>
          <w:color w:val="000000"/>
        </w:rPr>
        <w:t/>
      </w:r>
    </w:p>
    <w:p>
      <w:pPr>
        <w:pStyle w:val=""/>
      </w:pPr>
      <w:r>
        <w:rPr>
          <w:rFonts w:ascii="" w:hAnsi="" w:cs="" w:eastAsia=""/>
          <w:b w:val="false"/>
          <w:i w:val="false"/>
          <w:color w:val="000000"/>
        </w:rPr>
        <w:t/>
      </w:r>
    </w:p>
    <w:p>
      <w:pPr>
        <w:pStyle w:val=""/>
      </w:pPr>
      <w:r>
        <w:rPr>
          <w:rFonts w:ascii="" w:hAnsi="" w:cs="" w:eastAsia=""/>
          <w:b w:val="false"/>
          <w:i w:val="false"/>
          <w:color w:val="000000"/>
        </w:rPr>
        <w:t xml:space="preserve">During federal fiscal year 2023 (FFY23; July 1, 2023-June 30, 2024), MA-C did not report 100% compliance for Indicator 7, the percentage of eligible infants and toddlers with IFSPs for whom an initial evaluation and assessment and an initial IFSP meeting was conducted within Part C's 45-day timeline. MA-C implemented a process to distinguish inaccurate implementation of the regulatory requirement from inaccurate or delayed data entry in federal fiscal year 2023 (FFY23; July 1, 2023-June 30, 2024). After completing this process, MA-C reviewed its state database and discovered 59 records across five EIS programs that suggested timely evaluation and IFSP were not provided. Of the 59, no children had left MA-C's jurisdiction before services could be provided. In all 59 instances, the children received the initial evaluation and IFSP, although late. </w:t>
      </w:r>
    </w:p>
    <w:p>
      <w:pPr>
        <w:pStyle w:val=""/>
      </w:pPr>
      <w:r>
        <w:rPr>
          <w:rFonts w:ascii="" w:hAnsi="" w:cs="" w:eastAsia=""/>
          <w:b w:val="false"/>
          <w:i w:val="false"/>
          <w:color w:val="000000"/>
        </w:rPr>
        <w:t xml:space="preserve">MA-C makes findings of noncompliance by EIS program. </w:t>
      </w:r>
    </w:p>
    <w:p>
      <w:pPr>
        <w:pStyle w:val=""/>
      </w:pPr>
      <w:r>
        <w:rPr>
          <w:rFonts w:ascii="" w:hAnsi="" w:cs="" w:eastAsia=""/>
          <w:b w:val="false"/>
          <w:i w:val="false"/>
          <w:color w:val="000000"/>
        </w:rPr>
        <w:t xml:space="preserve">In two of the 5 EIS programs identified, MA-C made pre-finding corrections. MA-C was able to verify within 3 months of identification of noncompliance, prior to issuing a finding, that the EIS programs were correctly implementing the specific regulatory requirement. This was verified based on a review of subsequent data (size of sample between 10 to 20 based on z score analysis for program size) for each EIS program in the Early Intervention Client System that showed they were meeting the requirement at 100% (Initial Evaluation and IFSP within 45 calendar days as required by IDEA part C) and had corrected each individual case of child-specific noncompliance (received the initial evaluation and IFSP although late), unless the child was no longer within the jurisdiction. MA-C also verified no outstanding corrective action existed under a State complaint or due process hearing decision for each child. Because these two EIS programs corrected the child level noncompliance (received initial evaluation and IFSP although late) prior to detection and the programs' ongoing compliance was verified using updated data, no formal findings were issued. Instead, MA-C then notified the directors of the two affected EIS programs of the discovery and subsequent correction of noncompliance and, in accordance with MA-C's General Supervision procedures, no written findings were issued. </w:t>
      </w:r>
    </w:p>
    <w:p>
      <w:pPr>
        <w:pStyle w:val=""/>
      </w:pPr>
      <w:r>
        <w:rPr>
          <w:rFonts w:ascii="" w:hAnsi="" w:cs="" w:eastAsia=""/>
          <w:b w:val="false"/>
          <w:i w:val="false"/>
          <w:color w:val="000000"/>
        </w:rPr>
        <w:t>Three of the Five EIS Programs identified with noncompliance received formal written notification of their findings of noncompliance. To verify correction of this noncompliance, one of MA-C's Clinical Oversight and Support Specialist verified ongoing compliance for each of the three early intervention services (EIS) programs with compliance rates below 100%. For each EIS program, the Clinical Oversight and Support Specialist sampled 10 to20 child records at random (based on a z score analysis of a representative sample by program size) using subsequent service-level data entered by the EIS programs and determined 100% compliance had been demonstrated for this requirement. MA-C identified three instances of noncompliance across three EIS programs (i.e., Kennedy-Donovan Center-Cape &amp; Islands, Eliot, and People Incorporated EI Program) for indicator 7 through annual monitoring of its state database (the Early Intervention Client System; EICS). MA-C verified that all 59 children identified, received their initial evaluation and IFSP although late (greater than 45 calendar days as required by Part C). 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no children left the jurisdiction before an initial evaluation and IFSP could be developed. All 59 children had an initial evaluation and IFSP which were provided late, as demonstrated by IFSP-level data entered by the EIS programs into EICS.</w:t>
      </w: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320806" w:rsidP="00320806">
      <w:pPr>
        <w:rPr>
          <w:color w:val="000000" w:themeColor="text1"/>
        </w:rPr>
      </w:pPr>
      <w:r w:rsidRPr="00ED172B">
        <w:rPr>
          <w:color w:val="000000" w:themeColor="text1"/>
        </w:rPr>
        <w:t/>
      </w: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3"/>
    </w:p>
    <w:p w14:paraId="530F89E6" w14:textId="77777777" w:rsidR="00F51610" w:rsidRPr="00ED172B" w:rsidRDefault="00F51610" w:rsidP="00186420">
      <w:pPr>
        <w:rPr>
          <w:color w:val="000000" w:themeColor="text1"/>
          <w:szCs w:val="20"/>
        </w:rPr>
      </w:pPr>
      <w:bookmarkStart w:id="45"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6" w:name="_Hlk25310256"/>
      <w:r w:rsidR="00616172" w:rsidRPr="00ED172B">
        <w:rPr>
          <w:color w:val="000000" w:themeColor="text1"/>
          <w:szCs w:val="16"/>
        </w:rPr>
        <w:t>Effective Transition</w:t>
      </w:r>
      <w:bookmarkEnd w:id="46"/>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5B4038B7"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639FF337" w:rsidR="00AD77EF"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3DC599CD" w14:textId="3B3F0D57" w:rsidR="00955129" w:rsidRPr="00EC51AB" w:rsidRDefault="00955129" w:rsidP="008E7B96">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24207A88" w14:textId="0A427899"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33194379"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F4C204A" w14:textId="6B3E5424"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667F7D63" w14:textId="242885CC"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2343CBF2" w:rsidR="00A639B7"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2AEB46E3" w14:textId="7AF3D063" w:rsidR="00294186" w:rsidRPr="00EC51AB" w:rsidRDefault="00C538B3" w:rsidP="008E7B96">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217D72C9" w14:textId="61BA321B" w:rsidR="00D30AF1" w:rsidRPr="00A40EE1" w:rsidRDefault="000D0117" w:rsidP="007B0787">
      <w:pPr>
        <w:pStyle w:val="Heading2"/>
      </w:pPr>
      <w:bookmarkStart w:id="47" w:name="_Toc386209669"/>
      <w:bookmarkEnd w:id="45"/>
      <w:r w:rsidRPr="00A40EE1">
        <w:t xml:space="preserve">8A - </w:t>
      </w:r>
      <w:r w:rsidR="00D30AF1" w:rsidRPr="00A40EE1">
        <w:t>Indicator</w:t>
      </w:r>
      <w:r w:rsidR="000C5918" w:rsidRPr="00A40EE1">
        <w:t xml:space="preserve"> Data</w:t>
      </w:r>
    </w:p>
    <w:bookmarkEnd w:id="47"/>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1861"/>
        <w:gridCol w:w="2004"/>
      </w:tblGrid>
      <w:tr w:rsidR="00C25621" w:rsidRPr="00ED172B" w14:paraId="01FC8539" w14:textId="77777777" w:rsidTr="00A40EE1">
        <w:trPr>
          <w:trHeight w:val="350"/>
          <w:tblHeader/>
        </w:trPr>
        <w:tc>
          <w:tcPr>
            <w:tcW w:w="4185" w:type="pct"/>
            <w:tcBorders>
              <w:bottom w:val="single" w:sz="4" w:space="0" w:color="auto"/>
            </w:tcBorders>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vAlign w:val="center"/>
          </w:tcPr>
          <w:p w14:paraId="4E589392" w14:textId="3D95CEBC" w:rsidR="00C25621" w:rsidRPr="00ED172B" w:rsidRDefault="00C25621" w:rsidP="00C15786">
            <w:pPr>
              <w:jc w:val="center"/>
              <w:rPr>
                <w:color w:val="000000" w:themeColor="text1"/>
              </w:rPr>
            </w:pPr>
            <w:r w:rsidRPr="00ED172B">
              <w:rPr>
                <w:color w:val="000000" w:themeColor="text1"/>
              </w:rPr>
              <w:t>98.30%</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550"/>
        <w:gridCol w:w="2048"/>
        <w:gridCol w:w="2048"/>
        <w:gridCol w:w="2048"/>
        <w:gridCol w:w="2048"/>
        <w:gridCol w:w="2048"/>
      </w:tblGrid>
      <w:tr w:rsidR="00ED172B" w:rsidRPr="00ED172B" w14:paraId="49BAF88D" w14:textId="77777777" w:rsidTr="00A40EE1">
        <w:trPr>
          <w:trHeight w:val="350"/>
        </w:trPr>
        <w:tc>
          <w:tcPr>
            <w:tcW w:w="317" w:type="pct"/>
            <w:tcBorders>
              <w:bottom w:val="single" w:sz="4" w:space="0" w:color="auto"/>
            </w:tcBorders>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72A41C4C" w14:textId="77777777" w:rsidTr="00A40EE1">
        <w:trPr>
          <w:trHeight w:val="357"/>
        </w:trPr>
        <w:tc>
          <w:tcPr>
            <w:tcW w:w="317" w:type="pct"/>
          </w:tcPr>
          <w:p w14:paraId="24DE0713" w14:textId="6F5CD266"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tcPr>
          <w:p w14:paraId="1CDE7165"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98.41%</w:t>
            </w:r>
          </w:p>
        </w:tc>
        <w:tc>
          <w:tcPr>
            <w:tcW w:w="937" w:type="pct"/>
            <w:tcBorders>
              <w:bottom w:val="single" w:sz="4" w:space="0" w:color="auto"/>
            </w:tcBorders>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99.18%</w:t>
            </w:r>
          </w:p>
        </w:tc>
        <w:tc>
          <w:tcPr>
            <w:tcW w:w="937" w:type="pct"/>
            <w:tcBorders>
              <w:bottom w:val="single" w:sz="4" w:space="0" w:color="auto"/>
            </w:tcBorders>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99.07%</w:t>
            </w:r>
          </w:p>
        </w:tc>
        <w:tc>
          <w:tcPr>
            <w:tcW w:w="937" w:type="pct"/>
            <w:tcBorders>
              <w:bottom w:val="single" w:sz="4" w:space="0" w:color="auto"/>
            </w:tcBorders>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99.71%</w:t>
            </w:r>
          </w:p>
        </w:tc>
        <w:tc>
          <w:tcPr>
            <w:tcW w:w="937" w:type="pct"/>
            <w:tcBorders>
              <w:bottom w:val="single" w:sz="4" w:space="0" w:color="auto"/>
            </w:tcBorders>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99.97%</w:t>
            </w:r>
          </w:p>
        </w:tc>
      </w:tr>
    </w:tbl>
    <w:p w14:paraId="52279886"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679"/>
        <w:gridCol w:w="2582"/>
        <w:gridCol w:w="2760"/>
      </w:tblGrid>
      <w:tr w:rsidR="00CF59E2" w:rsidRPr="00ED172B" w14:paraId="05C3EE9D" w14:textId="0A135A6E" w:rsidTr="00811738">
        <w:trPr>
          <w:trHeight w:val="259"/>
        </w:trPr>
        <w:tc>
          <w:tcPr>
            <w:tcW w:w="564" w:type="pct"/>
            <w:tcBorders>
              <w:bottom w:val="single" w:sz="4" w:space="0" w:color="auto"/>
            </w:tcBorders>
          </w:tcPr>
          <w:p w14:paraId="3665F13E" w14:textId="77777777" w:rsidR="00CF59E2" w:rsidRPr="00ED172B" w:rsidRDefault="00CF59E2" w:rsidP="00B268B5">
            <w:pPr>
              <w:jc w:val="center"/>
              <w:rPr>
                <w:b/>
                <w:color w:val="000000" w:themeColor="text1"/>
                <w:szCs w:val="16"/>
              </w:rPr>
            </w:pPr>
            <w:r w:rsidRPr="00ED172B">
              <w:rPr>
                <w:b/>
                <w:color w:val="000000" w:themeColor="text1"/>
                <w:szCs w:val="16"/>
              </w:rPr>
              <w:t>FFY</w:t>
            </w:r>
          </w:p>
        </w:tc>
        <w:tc>
          <w:tcPr>
            <w:tcW w:w="2144" w:type="pct"/>
            <w:vAlign w:val="center"/>
          </w:tcPr>
          <w:p w14:paraId="7FE4AA04" w14:textId="595FC7A1" w:rsidR="00CF59E2" w:rsidRPr="00ED172B" w:rsidRDefault="00CF59E2" w:rsidP="00B268B5">
            <w:pPr>
              <w:jc w:val="center"/>
              <w:rPr>
                <w:b/>
                <w:color w:val="000000" w:themeColor="text1"/>
                <w:szCs w:val="16"/>
              </w:rPr>
            </w:pPr>
            <w:r w:rsidRPr="00ED172B">
              <w:rPr>
                <w:rFonts w:cs="Arial"/>
                <w:b/>
                <w:color w:val="000000" w:themeColor="text1"/>
                <w:szCs w:val="16"/>
              </w:rPr>
              <w:t>2024</w:t>
            </w:r>
          </w:p>
        </w:tc>
        <w:tc>
          <w:tcPr>
            <w:tcW w:w="2292" w:type="pct"/>
          </w:tcPr>
          <w:p w14:paraId="2380F080" w14:textId="41CA4895" w:rsidR="00CF59E2" w:rsidRPr="00ED172B" w:rsidRDefault="00CF59E2" w:rsidP="00B268B5">
            <w:pPr>
              <w:jc w:val="center"/>
              <w:rPr>
                <w:rFonts w:cs="Arial"/>
                <w:b/>
                <w:color w:val="000000" w:themeColor="text1"/>
                <w:szCs w:val="16"/>
              </w:rPr>
            </w:pPr>
            <w:r>
              <w:rPr>
                <w:rFonts w:cs="Arial"/>
                <w:b/>
                <w:color w:val="000000" w:themeColor="text1"/>
                <w:szCs w:val="16"/>
              </w:rPr>
              <w:t>2025</w:t>
            </w:r>
          </w:p>
        </w:tc>
      </w:tr>
      <w:tr w:rsidR="00CF59E2" w:rsidRPr="00ED172B" w14:paraId="4D4A7670" w14:textId="63A571E3" w:rsidTr="00811738">
        <w:trPr>
          <w:trHeight w:val="264"/>
        </w:trPr>
        <w:tc>
          <w:tcPr>
            <w:tcW w:w="564" w:type="pct"/>
          </w:tcPr>
          <w:p w14:paraId="48A5A68C"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15F32B75" w14:textId="1AD070A4" w:rsidR="00CF59E2" w:rsidRPr="00ED172B" w:rsidRDefault="00CF59E2" w:rsidP="00B268B5">
            <w:pPr>
              <w:jc w:val="center"/>
              <w:rPr>
                <w:color w:val="000000" w:themeColor="text1"/>
                <w:szCs w:val="16"/>
              </w:rPr>
            </w:pPr>
            <w:r w:rsidRPr="00ED172B">
              <w:rPr>
                <w:color w:val="000000" w:themeColor="text1"/>
                <w:szCs w:val="16"/>
              </w:rPr>
              <w:t>100%</w:t>
            </w:r>
          </w:p>
        </w:tc>
        <w:tc>
          <w:tcPr>
            <w:tcW w:w="2292" w:type="pct"/>
          </w:tcPr>
          <w:p w14:paraId="5D0EEB3A" w14:textId="61EE92E1" w:rsidR="00CF59E2" w:rsidRPr="00ED172B" w:rsidRDefault="00CF59E2" w:rsidP="00B268B5">
            <w:pPr>
              <w:jc w:val="center"/>
              <w:rPr>
                <w:color w:val="000000" w:themeColor="text1"/>
                <w:szCs w:val="16"/>
              </w:rPr>
            </w:pPr>
            <w:r>
              <w:rPr>
                <w:rFonts w:cs="Arial"/>
                <w:color w:val="000000" w:themeColor="text1"/>
                <w:szCs w:val="16"/>
              </w:rPr>
              <w:t>100%</w:t>
            </w:r>
          </w:p>
        </w:tc>
      </w:tr>
    </w:tbl>
    <w:p w14:paraId="5FD6765E" w14:textId="77777777" w:rsidR="00955129" w:rsidRDefault="00955129">
      <w:pPr>
        <w:rPr>
          <w:b/>
          <w:color w:val="000000" w:themeColor="text1"/>
        </w:rPr>
      </w:pPr>
    </w:p>
    <w:p w14:paraId="31F20CDA" w14:textId="768E5F1F" w:rsidR="008E7B96" w:rsidRPr="00ED172B" w:rsidRDefault="00F22D09">
      <w:pPr>
        <w:rPr>
          <w:b/>
          <w:color w:val="000000" w:themeColor="text1"/>
        </w:rPr>
      </w:pPr>
      <w:r>
        <w:rPr>
          <w:b/>
          <w:color w:val="000000" w:themeColor="text1"/>
        </w:rPr>
        <w:t>FFY 2024 SPP/APR Data</w:t>
      </w:r>
    </w:p>
    <w:p w14:paraId="063239BF" w14:textId="03A060F4" w:rsidR="00E440C8" w:rsidRPr="00EC51AB" w:rsidRDefault="00E440C8">
      <w:pPr>
        <w:rPr>
          <w:rFonts w:cs="Arial"/>
          <w:bCs/>
          <w:color w:val="000000" w:themeColor="text1"/>
          <w:szCs w:val="16"/>
        </w:rPr>
      </w:pPr>
      <w:r w:rsidRPr="00EC51AB">
        <w:rPr>
          <w:rFonts w:cs="Arial"/>
          <w:bCs/>
          <w:color w:val="000000" w:themeColor="text1"/>
          <w:szCs w:val="16"/>
        </w:rPr>
        <w:t>Data include only those toddlers with disabilities exiting Part C at age 3 for whom the Lead Agency was required to develop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vAlign w:val="bottom"/>
          </w:tcPr>
          <w:p w14:paraId="7032C738" w14:textId="4EE41D86" w:rsidR="00F939F8" w:rsidRPr="00ED172B" w:rsidRDefault="00CD74B5" w:rsidP="00F939F8">
            <w:pPr>
              <w:jc w:val="center"/>
              <w:rPr>
                <w:rFonts w:cs="Arial"/>
                <w:b/>
                <w:color w:val="000000" w:themeColor="text1"/>
                <w:szCs w:val="16"/>
              </w:rPr>
            </w:pPr>
            <w:r>
              <w:rPr>
                <w:rFonts w:cs="Arial"/>
                <w:b/>
                <w:color w:val="000000" w:themeColor="text1"/>
                <w:szCs w:val="16"/>
              </w:rPr>
              <w:t>FFY 2023 Data</w:t>
            </w:r>
          </w:p>
        </w:tc>
        <w:tc>
          <w:tcPr>
            <w:tcW w:w="542" w:type="pct"/>
            <w:vAlign w:val="bottom"/>
          </w:tcPr>
          <w:p w14:paraId="6711AE0C" w14:textId="204D81DC" w:rsidR="00F939F8" w:rsidRPr="00ED172B" w:rsidRDefault="00F22D09" w:rsidP="00F939F8">
            <w:pPr>
              <w:jc w:val="center"/>
              <w:rPr>
                <w:rFonts w:cs="Arial"/>
                <w:b/>
                <w:color w:val="000000" w:themeColor="text1"/>
                <w:szCs w:val="16"/>
              </w:rPr>
            </w:pPr>
            <w:r>
              <w:rPr>
                <w:rFonts w:cs="Arial"/>
                <w:b/>
                <w:color w:val="000000" w:themeColor="text1"/>
                <w:szCs w:val="16"/>
              </w:rPr>
              <w:t>FFY 2024 Target</w:t>
            </w:r>
          </w:p>
        </w:tc>
        <w:tc>
          <w:tcPr>
            <w:tcW w:w="584" w:type="pct"/>
            <w:vAlign w:val="bottom"/>
          </w:tcPr>
          <w:p w14:paraId="2C4EE232" w14:textId="587BA924" w:rsidR="00F939F8" w:rsidRPr="00ED172B" w:rsidRDefault="00F22D09" w:rsidP="00F939F8">
            <w:pPr>
              <w:jc w:val="center"/>
              <w:rPr>
                <w:rFonts w:cs="Arial"/>
                <w:b/>
                <w:color w:val="000000" w:themeColor="text1"/>
                <w:szCs w:val="16"/>
              </w:rPr>
            </w:pPr>
            <w:r>
              <w:rPr>
                <w:rFonts w:cs="Arial"/>
                <w:b/>
                <w:color w:val="000000" w:themeColor="text1"/>
                <w:szCs w:val="16"/>
              </w:rPr>
              <w:t>FFY 2024 Data</w:t>
            </w:r>
          </w:p>
        </w:tc>
        <w:tc>
          <w:tcPr>
            <w:tcW w:w="542" w:type="pct"/>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3,117</w:t>
            </w:r>
          </w:p>
        </w:tc>
        <w:tc>
          <w:tcPr>
            <w:tcW w:w="875" w:type="pct"/>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4,170</w:t>
            </w:r>
          </w:p>
        </w:tc>
        <w:tc>
          <w:tcPr>
            <w:tcW w:w="625" w:type="pct"/>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99.97%</w:t>
            </w:r>
          </w:p>
        </w:tc>
        <w:tc>
          <w:tcPr>
            <w:tcW w:w="542" w:type="pct"/>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99.93%</w:t>
            </w:r>
          </w:p>
        </w:tc>
        <w:tc>
          <w:tcPr>
            <w:tcW w:w="542" w:type="pct"/>
          </w:tcPr>
          <w:p w14:paraId="6EB785D3" w14:textId="6A67BD93" w:rsidR="00F939F8" w:rsidRPr="00ED172B" w:rsidRDefault="00320806" w:rsidP="00320806">
            <w:pPr>
              <w:jc w:val="center"/>
              <w:rPr>
                <w:color w:val="000000" w:themeColor="text1"/>
              </w:rPr>
            </w:pPr>
            <w:r w:rsidRPr="00ED172B">
              <w:rPr>
                <w:color w:val="000000" w:themeColor="text1"/>
              </w:rPr>
              <w:t>Did not meet target</w:t>
            </w:r>
          </w:p>
        </w:tc>
        <w:tc>
          <w:tcPr>
            <w:tcW w:w="539" w:type="pct"/>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70F5A41" w14:textId="7521511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C51AB">
        <w:rPr>
          <w:rFonts w:cs="Arial"/>
          <w:bCs/>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1,050</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r w:rsidRPr="00ED172B">
        <w:rPr>
          <w:color w:val="000000" w:themeColor="text1"/>
          <w:szCs w:val="16"/>
        </w:rPr>
        <w:t xml:space="preserve">MA-C relies on validations within its database to identify the IFSP with transition steps and services as timely or collect reasons for delayed services. When data related to IFSP with transition steps and services are not entered into the child's record in a timely manner, MA-C's state database (Early Intervention Client System; EICS) prompts the early intervention services (EIS) provider to enter the reasons for delayed IFSP with transition steps and services, which MA-C later reviews.</w:t>
      </w:r>
    </w:p>
    <w:p>
      <w:pPr>
        <w:pStyle w:val=""/>
      </w:pPr>
      <w:r>
        <w:rPr>
          <w:rFonts w:ascii="" w:hAnsi="" w:cs="" w:eastAsia=""/>
          <w:b w:val="false"/>
          <w:i w:val="false"/>
          <w:color w:val="000000"/>
        </w:rPr>
        <w:t/>
      </w:r>
    </w:p>
    <w:p>
      <w:pPr>
        <w:pStyle w:val=""/>
      </w:pPr>
      <w:r>
        <w:rPr>
          <w:rFonts w:ascii="" w:hAnsi="" w:cs="" w:eastAsia=""/>
          <w:b w:val="false"/>
          <w:i w:val="false"/>
          <w:color w:val="000000"/>
        </w:rPr>
        <w:t xml:space="preserve">Delays attributable to exceptional family circumstances include a family problem scheduling appointment to hold the IFSP meeting, the family missing or cancelling an appointment, weather or other emergency declared, and illness if the child or family were unavailable for the appointment. </w:t>
      </w:r>
    </w:p>
    <w:p>
      <w:pPr>
        <w:pStyle w:val=""/>
      </w:pPr>
      <w:r>
        <w:rPr>
          <w:rFonts w:ascii="" w:hAnsi="" w:cs="" w:eastAsia=""/>
          <w:b w:val="false"/>
          <w:i w:val="false"/>
          <w:color w:val="000000"/>
        </w:rPr>
        <w:t/>
      </w:r>
    </w:p>
    <w:p>
      <w:pPr>
        <w:pStyle w:val=""/>
      </w:pPr>
      <w:r>
        <w:rPr>
          <w:rFonts w:ascii="" w:hAnsi="" w:cs="" w:eastAsia=""/>
          <w:b w:val="false"/>
          <w:i w:val="false"/>
          <w:color w:val="000000"/>
        </w:rPr>
        <w:t xml:space="preserve">Three children's records indicated that services were delayed for reasons not attributable to exceptional family circumstances. In these cases, the delay was due to a program error or staffing issue at the EIS program. </w:t>
      </w: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database</w:t>
      </w:r>
    </w:p>
    <w:p w14:paraId="5D003928" w14:textId="19976D09"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C9D911D" w14:textId="0FF876C8" w:rsidR="000709B9" w:rsidRPr="00ED172B" w:rsidRDefault="00860830" w:rsidP="000709B9">
      <w:pPr>
        <w:rPr>
          <w:color w:val="000000" w:themeColor="text1"/>
        </w:rPr>
      </w:pPr>
      <w:r w:rsidRPr="00ED172B">
        <w:rPr>
          <w:color w:val="000000" w:themeColor="text1"/>
        </w:rPr>
        <w:t>Federal Fiscal Year 2024, Quarter 1 (July 1, 2024 - September 30, 2024)</w:t>
      </w:r>
    </w:p>
    <w:p w14:paraId="73D500B7" w14:textId="4C4F39BA"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4D895DFF" w14:textId="74CFB1B8" w:rsidR="000709B9" w:rsidRDefault="00860830" w:rsidP="000709B9">
      <w:pPr>
        <w:rPr>
          <w:rFonts w:cs="Arial"/>
          <w:color w:val="000000" w:themeColor="text1"/>
          <w:szCs w:val="16"/>
        </w:rPr>
      </w:pPr>
      <w:r w:rsidRPr="00ED172B">
        <w:rPr>
          <w:rFonts w:cs="Arial"/>
          <w:color w:val="000000" w:themeColor="text1"/>
          <w:szCs w:val="16"/>
        </w:rPr>
        <w:t xml:space="preserve">As allowed by the measurement table, The Lead Agency (MA-C) is reporting data for a selection of the full reporting year. MA-C implemented its documented process to select a quarter of data that accurately reflect data for infants and toddlers with IFSPs for the full reporting period. First, MA-C’s Part C Data Manager defined the analytic population and the full federal fiscal year benchmark. For Indicator 8A, she did so by reviewing the OSEP Measurement Table and defining the specific denominator (i.e., the total number of infants and toddlers with IFSPs during federal fiscal year 2025 (FFY24; July 1, 2024-June 30, 2025).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she constructed candidate quarters using consistent date rules. She did this by querying four candidate quarter datasets (i.e., Q1-Q4) using the same denominator rules and key date fields used in the indicator calculation. MA-C maintains documentation of each quarter’s start and end dates and the exact date of the database query.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the Part C Data Manager evaluates representativeness by geographic region, child race/ethnicity, and early intervention services program distribution. To demonstrate that the selected quarter reflects data for infants and toddlers with IFSPs for the full reporting period, MA-C compares each candidate quarter to the full FFY benchmark using these three representativeness dimensions. MA-C selected these dimensions to mirror OSEP’s general expectation that, when sampling is used, states must describe how key aspects of the population are represented and that samples must be representative of the programs included.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MA-C applies and explicit representativeness metric and minimum-N stability rules. MA-C does this by using a simple, auditable metric to quantify representativeness: for each geographic region, race/ethnicity group, and EIS program, MA-C computes the absolute percentage-point difference between the quarter distribution and the full FFY distribution. MA-C sets and documents a threshold (“no group differs by more than ±10 percentage points”) and applies minimum-N rules to avoid unstable estimates, particularly for small programs/regions. This is consistent with OSEP’s emphasis that designs yield valid and reliable estimates and that MA-C avoid public reporting where data are too small to be statistically reliable or could risk disclosure. </w:t>
      </w:r>
    </w:p>
    <w:p>
      <w:pPr>
        <w:pStyle w:val=""/>
      </w:pPr>
      <w:r>
        <w:rPr>
          <w:rFonts w:ascii="" w:hAnsi="" w:cs="" w:eastAsia=""/>
          <w:b w:val="false"/>
          <w:i w:val="false"/>
          <w:color w:val="000000"/>
        </w:rPr>
        <w:t/>
      </w:r>
    </w:p>
    <w:p>
      <w:pPr>
        <w:pStyle w:val=""/>
      </w:pPr>
      <w:r>
        <w:rPr>
          <w:rFonts w:ascii="" w:hAnsi="" w:cs="" w:eastAsia=""/>
          <w:b w:val="false"/>
          <w:i w:val="false"/>
          <w:color w:val="000000"/>
        </w:rPr>
        <w:t xml:space="preserve">Then, the MA-C Part C Data Manager selects the quarter and documents the rationale. She selects the quarter that (a) meets the representativeness thresholds across EI Region, race/ethnicity, and program distribution, and (b) supports stable denominators for statewide and program-level reporting. For the SPP/APR indicator narrative, MA-C documents: the quarter used (e.g., “September–December / fourth quarter”), the reason the quarter was selected, and a concise statement describing how the quarter’s distributions align with the full FFY population, addressing OSEP’s requirement to explain the time period and how it accurately reflects the full reporting period for Indicator 8A when using a State database. </w:t>
      </w:r>
    </w:p>
    <w:p>
      <w:pPr>
        <w:pStyle w:val=""/>
      </w:pPr>
      <w:r>
        <w:rPr>
          <w:rFonts w:ascii="" w:hAnsi="" w:cs="" w:eastAsia=""/>
          <w:b w:val="false"/>
          <w:i w:val="false"/>
          <w:color w:val="000000"/>
        </w:rPr>
        <w:t/>
      </w:r>
    </w:p>
    <w:p>
      <w:pPr>
        <w:pStyle w:val=""/>
      </w:pPr>
      <w:r>
        <w:rPr>
          <w:rFonts w:ascii="" w:hAnsi="" w:cs="" w:eastAsia=""/>
          <w:b w:val="false"/>
          <w:i w:val="false"/>
          <w:color w:val="000000"/>
        </w:rPr>
        <w:t>In the event that no single quarter meets representativeness and stability thresholds, MA-C expands the analytic window (e.g., combining two adjacent quarters) or uses a defined supplementation approach (i.e., adding records from underrepresented geographic regions, EIS programs, or race/ethnicity strata) and then reruns the representativeness checks. The selected time period and remediation steps are documented so MA-C can still describe the “time period used” and how it reflects the full reporting period.</w:t>
      </w:r>
    </w:p>
    <w:p w14:paraId="679E0C72" w14:textId="13C4427A"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860830" w:rsidP="003A3693">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EIS programs with compliance rates less than 100%. During federal fiscal year 2024 (FFY24; July 1, 2024-June 30, 2025), the vendor provided collaborative convening meetings for early intervention service programs and local education agencies to attend together. These convenings featured panel discussions highlighting strategies that LEAs and EIS providers are using to support smooth transitions from Part C early intervention to Part B early childhood special education services. Each meeting focused on a different topic based on feedback from participants in TA the previous fiscal year. The provider also created a voices from the field series in which they highlighted specific providers and educators for innovative practices and strong collaboration. They hosted office hours by appointment hours, there were six office hours by appointment offered. The provider also engaged in intensive TA with many EIS programs, 8 EIS programs engaged in this intensive TA throughout FFY24. In addition, the vendor developed targeted technical assistance plans to several MA-B LEAs and included the corresponding EIS programs in those events. MA-C attributes the increases in its performance on Indicator 8A to this technical assistance.</w:t>
      </w:r>
    </w:p>
    <w:p w14:paraId="78ECDB3E" w14:textId="1B14AA37" w:rsidR="00E61C4B" w:rsidRPr="00510A22" w:rsidRDefault="00E61C4B" w:rsidP="00E61C4B">
      <w:pPr>
        <w:rPr>
          <w:color w:val="00B0F0"/>
        </w:rPr>
      </w:pPr>
      <w:r w:rsidRPr="00510A22">
        <w:rPr>
          <w:color w:val="00B0F0"/>
        </w:rPr>
        <w:t xml:space="preserve"> </w:t>
      </w:r>
    </w:p>
    <w:p w14:paraId="367CB071" w14:textId="02D2B52F"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APFFYNCFINDINGS"/>
      </w:tblPr>
      <w:tblGrid>
        <w:gridCol w:w="2610"/>
        <w:gridCol w:w="2740"/>
        <w:gridCol w:w="2618"/>
        <w:gridCol w:w="2822"/>
      </w:tblGrid>
      <w:tr w:rsidR="00ED172B" w:rsidRPr="00ED172B" w14:paraId="2D4FE5FD" w14:textId="77777777" w:rsidTr="00986B99">
        <w:trPr>
          <w:trHeight w:val="389"/>
          <w:tblHeader/>
        </w:trPr>
        <w:tc>
          <w:tcPr>
            <w:tcW w:w="1210" w:type="pct"/>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tcPr>
          <w:p w14:paraId="6D36EEFA" w14:textId="77759E1D"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tcPr>
          <w:p w14:paraId="6F7AE561" w14:textId="0506DBB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tcPr>
          <w:p w14:paraId="58BE9E1E" w14:textId="2A20A5FA"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23C4C3AF" w14:textId="3B5B521A"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3AC88CD1"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604E1C9C" w14:textId="77777777" w:rsidR="00416EBD" w:rsidRDefault="00416EBD" w:rsidP="00416EBD">
      <w:pPr>
        <w:rPr>
          <w:color w:val="00B0F0"/>
        </w:rPr>
      </w:pPr>
      <w:r w:rsidRPr="00EE69F5">
        <w:t xml:space="preserve">During FFY23, MA-C allowed for one pre-finding correction. During federal fiscal year 2023 (FFY23; July 1, 2023-June 30, 2024), the Lead Agency (MA-C) did not report 100% compliance for Indicator 8A, the percentage of infants and toddlers for whom an IFSP with transition steps and services is developed at least 90 days, and at the discretion of all parties, not more than nine months, prior to the toddler’s third birthday. MA-C reviewed its state database (Early Intervention Client System; EICS) and discovered 1 child record across 1 early intervention services (EIS) program that suggested that an IFSP with transition steps and services was not developed in a timely manner. </w:t>
      </w:r>
    </w:p>
    <w:p>
      <w:pPr>
        <w:pStyle w:val=""/>
      </w:pPr>
      <w:r>
        <w:rPr>
          <w:rFonts w:ascii="" w:hAnsi="" w:cs="" w:eastAsia=""/>
          <w:b w:val="false"/>
          <w:i w:val="false"/>
          <w:color w:val=""/>
        </w:rPr>
        <w:t/>
      </w:r>
    </w:p>
    <w:p>
      <w:pPr>
        <w:pStyle w:val=""/>
      </w:pPr>
      <w:r>
        <w:rPr>
          <w:rFonts w:ascii="" w:hAnsi="" w:cs="" w:eastAsia=""/>
          <w:b w:val="false"/>
          <w:i w:val="false"/>
          <w:color w:val=""/>
        </w:rPr>
        <w:t xml:space="preserve">Upon discovery and before written findings of noncompliance were issued, MA-C initiated a pre-finding correction process consistent with its general supervision practices. MA-C was able to verify within three months of identification of noncompliance, prior to issuing a finding, that the EIS program was correctly implementing the specific regulatory requirement. This was verified based on a review of subsequent data for the EIS program in the Early Intervention Client System that showed they were meeting the requirement at 100% (IFSP with transition steps and services within the required IDEA part C timeframe) and had corrected the individual case of child-specific noncompliance (left the jurisdiction before an IFSP with transition steps and services was created). MA-C also verified no outstanding corrective action existed under a State complaint or due process hearing decision for this child. MA-C's Clinical Oversight and Support Specialist queried the state database (Early Intervention Client System; EICS) to review the children's individual records. Using data entered by the EIS program into EICS, the Clinical Oversight and Support Specialist determined that the one child identified left the jurisdiction before an IFSP with transition steps and services was created; Because this instance of noncompliance was corrected prior to a finding of noncompliance being made, and the program’s ongoing compliance was verified using updated data, no formal findings were issued. Instead, MA-C emailed the 1 EIS program who had reported an IFSP with transition steps and services outside of the required timeframe to remind them of the regulatory requirement and offer training and technical assistance to sustain compliance. </w:t>
      </w:r>
    </w:p>
    <w:p w14:paraId="300F7028" w14:textId="31C8708E" w:rsidR="008203B4" w:rsidRPr="00ED172B" w:rsidRDefault="008203B4" w:rsidP="00416EBD">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vAlign w:val="bottom"/>
          </w:tcPr>
          <w:p w14:paraId="6E009F9F" w14:textId="7192B600"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3" w:type="pct"/>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tcPr>
          <w:p w14:paraId="3B9EE4C9" w14:textId="36893AED"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88" w:type="pct"/>
          </w:tcPr>
          <w:p w14:paraId="59BBBE3F" w14:textId="119CB64D"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3" w:type="pct"/>
          </w:tcPr>
          <w:p w14:paraId="127E5ED1" w14:textId="5E826401"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0" w:type="pct"/>
          </w:tcPr>
          <w:p w14:paraId="150828EF" w14:textId="74F3132B"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1FB93036" w14:textId="77777777" w:rsidTr="00986B99">
        <w:tc>
          <w:tcPr>
            <w:tcW w:w="929" w:type="pct"/>
          </w:tcPr>
          <w:p w14:paraId="0F0F055B" w14:textId="44C477C9"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88" w:type="pct"/>
          </w:tcPr>
          <w:p w14:paraId="4E4D35EC" w14:textId="3014D54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3" w:type="pct"/>
          </w:tcPr>
          <w:p w14:paraId="031A6B9D" w14:textId="25F039A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0" w:type="pct"/>
          </w:tcPr>
          <w:p w14:paraId="279F2773" w14:textId="6B96ACE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541BD90C" w14:textId="77777777" w:rsidTr="00986B99">
        <w:tc>
          <w:tcPr>
            <w:tcW w:w="929" w:type="pct"/>
          </w:tcPr>
          <w:p w14:paraId="1E7B5266" w14:textId="4224D93A"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88" w:type="pct"/>
          </w:tcPr>
          <w:p w14:paraId="7C14D12B" w14:textId="3003CF69"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3" w:type="pct"/>
          </w:tcPr>
          <w:p w14:paraId="45A94EB7" w14:textId="2538AC18"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0" w:type="pct"/>
          </w:tcPr>
          <w:p w14:paraId="0B3D9222" w14:textId="41BA0134"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3567DA" w:rsidRPr="00ED172B" w14:paraId="7E195BF3" w14:textId="77777777" w:rsidTr="00986B99">
        <w:tc>
          <w:tcPr>
            <w:tcW w:w="929" w:type="pct"/>
          </w:tcPr>
          <w:p w14:paraId="4AF2A60C" w14:textId="3576B2CF" w:rsidR="003567DA" w:rsidRPr="00ED172B" w:rsidRDefault="003567DA" w:rsidP="00D21F29">
            <w:pPr>
              <w:jc w:val="center"/>
              <w:rPr>
                <w:rFonts w:cs="Arial"/>
                <w:color w:val="000000" w:themeColor="text1"/>
                <w:szCs w:val="16"/>
              </w:rPr>
            </w:pPr>
            <w:r w:rsidRPr="00ED172B">
              <w:rPr>
                <w:rFonts w:cs="Arial"/>
                <w:color w:val="000000" w:themeColor="text1"/>
                <w:szCs w:val="16"/>
              </w:rPr>
              <w:t/>
            </w:r>
          </w:p>
        </w:tc>
        <w:tc>
          <w:tcPr>
            <w:tcW w:w="1388" w:type="pct"/>
          </w:tcPr>
          <w:p w14:paraId="59D9013C" w14:textId="1941712A" w:rsidR="003567DA" w:rsidRPr="00ED172B" w:rsidRDefault="003567DA" w:rsidP="003567DA">
            <w:pPr>
              <w:jc w:val="center"/>
              <w:rPr>
                <w:rFonts w:cs="Arial"/>
                <w:color w:val="000000" w:themeColor="text1"/>
                <w:szCs w:val="16"/>
              </w:rPr>
            </w:pPr>
            <w:r w:rsidRPr="00ED172B">
              <w:rPr>
                <w:rFonts w:cs="Arial"/>
                <w:color w:val="000000" w:themeColor="text1"/>
                <w:szCs w:val="16"/>
              </w:rPr>
              <w:t/>
            </w:r>
          </w:p>
        </w:tc>
        <w:tc>
          <w:tcPr>
            <w:tcW w:w="1383" w:type="pct"/>
          </w:tcPr>
          <w:p w14:paraId="751143B2" w14:textId="0A52A4C8" w:rsidR="003567DA" w:rsidRPr="00ED172B" w:rsidRDefault="003567DA" w:rsidP="003567DA">
            <w:pPr>
              <w:jc w:val="center"/>
              <w:rPr>
                <w:rFonts w:cs="Arial"/>
                <w:color w:val="000000" w:themeColor="text1"/>
                <w:szCs w:val="16"/>
              </w:rPr>
            </w:pPr>
            <w:r w:rsidRPr="00ED172B">
              <w:rPr>
                <w:rFonts w:cs="Arial"/>
                <w:color w:val="000000" w:themeColor="text1"/>
                <w:szCs w:val="16"/>
              </w:rPr>
              <w:t/>
            </w:r>
          </w:p>
        </w:tc>
        <w:tc>
          <w:tcPr>
            <w:tcW w:w="1300" w:type="pct"/>
          </w:tcPr>
          <w:p w14:paraId="325EE8E5" w14:textId="6960CE55" w:rsidR="003567DA" w:rsidRPr="00ED172B" w:rsidRDefault="003567DA" w:rsidP="003567DA">
            <w:pPr>
              <w:jc w:val="center"/>
              <w:rPr>
                <w:rFonts w:cs="Arial"/>
                <w:color w:val="000000" w:themeColor="text1"/>
                <w:szCs w:val="16"/>
              </w:rPr>
            </w:pPr>
            <w:r w:rsidRPr="00ED172B">
              <w:rPr>
                <w:rFonts w:cs="Arial"/>
                <w:color w:val="000000" w:themeColor="text1"/>
                <w:szCs w:val="16"/>
              </w:rPr>
              <w:t/>
            </w:r>
          </w:p>
        </w:tc>
      </w:tr>
      <w:tr w:rsidR="003567DA" w:rsidRPr="00ED172B" w14:paraId="5BC0AB2F" w14:textId="77777777" w:rsidTr="00986B99">
        <w:tc>
          <w:tcPr>
            <w:tcW w:w="929" w:type="pct"/>
          </w:tcPr>
          <w:p w14:paraId="7320BAB7" w14:textId="21191BEE" w:rsidR="003567DA" w:rsidRPr="00ED172B" w:rsidRDefault="003567DA" w:rsidP="00D21F29">
            <w:pPr>
              <w:jc w:val="center"/>
              <w:rPr>
                <w:rFonts w:cs="Arial"/>
                <w:color w:val="000000" w:themeColor="text1"/>
                <w:szCs w:val="16"/>
              </w:rPr>
            </w:pPr>
            <w:r w:rsidRPr="00ED172B">
              <w:rPr>
                <w:rFonts w:cs="Arial"/>
                <w:color w:val="000000" w:themeColor="text1"/>
                <w:szCs w:val="16"/>
              </w:rPr>
              <w:t/>
            </w:r>
          </w:p>
        </w:tc>
        <w:tc>
          <w:tcPr>
            <w:tcW w:w="1388" w:type="pct"/>
          </w:tcPr>
          <w:p w14:paraId="49A8062D" w14:textId="27001B2C" w:rsidR="003567DA" w:rsidRPr="00ED172B" w:rsidRDefault="003567DA" w:rsidP="003567DA">
            <w:pPr>
              <w:jc w:val="center"/>
              <w:rPr>
                <w:rFonts w:cs="Arial"/>
                <w:color w:val="000000" w:themeColor="text1"/>
                <w:szCs w:val="16"/>
              </w:rPr>
            </w:pPr>
            <w:r w:rsidRPr="00ED172B">
              <w:rPr>
                <w:rFonts w:cs="Arial"/>
                <w:color w:val="000000" w:themeColor="text1"/>
                <w:szCs w:val="16"/>
              </w:rPr>
              <w:t/>
            </w:r>
          </w:p>
        </w:tc>
        <w:tc>
          <w:tcPr>
            <w:tcW w:w="1383" w:type="pct"/>
          </w:tcPr>
          <w:p w14:paraId="4E01C463" w14:textId="785D827D" w:rsidR="003567DA" w:rsidRPr="00ED172B" w:rsidRDefault="003567DA" w:rsidP="003567DA">
            <w:pPr>
              <w:jc w:val="center"/>
              <w:rPr>
                <w:rFonts w:cs="Arial"/>
                <w:color w:val="000000" w:themeColor="text1"/>
                <w:szCs w:val="16"/>
              </w:rPr>
            </w:pPr>
            <w:r w:rsidRPr="00ED172B">
              <w:rPr>
                <w:rFonts w:cs="Arial"/>
                <w:color w:val="000000" w:themeColor="text1"/>
                <w:szCs w:val="16"/>
              </w:rPr>
              <w:t/>
            </w:r>
          </w:p>
        </w:tc>
        <w:tc>
          <w:tcPr>
            <w:tcW w:w="1300" w:type="pct"/>
          </w:tcPr>
          <w:p w14:paraId="34D7F437" w14:textId="447F553F" w:rsidR="003567DA" w:rsidRPr="00ED172B" w:rsidRDefault="003567DA" w:rsidP="003567DA">
            <w:pPr>
              <w:jc w:val="center"/>
              <w:rPr>
                <w:rFonts w:cs="Arial"/>
                <w:color w:val="000000" w:themeColor="text1"/>
                <w:szCs w:val="16"/>
              </w:rPr>
            </w:pPr>
            <w:r w:rsidRPr="00ED172B">
              <w:rPr>
                <w:rFonts w:cs="Arial"/>
                <w:color w:val="000000" w:themeColor="text1"/>
                <w:szCs w:val="16"/>
              </w:rPr>
              <w:t/>
            </w: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61E6D547" w14:textId="245D039B" w:rsidR="008203B4" w:rsidRPr="00ED172B" w:rsidRDefault="008203B4"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4E3E58E2" w14:textId="3B865535" w:rsidR="004C1CEE" w:rsidRPr="00ED172B" w:rsidRDefault="00320806" w:rsidP="00027F39">
      <w:pPr>
        <w:rPr>
          <w:color w:val="000000" w:themeColor="text1"/>
        </w:rPr>
      </w:pPr>
      <w:r w:rsidRPr="00ED172B">
        <w:rPr>
          <w:color w:val="000000" w:themeColor="text1"/>
        </w:rPr>
        <w:t xml:space="preserve">During federal fiscal year 2023 (FFY23; July 1, 2023-June 30, 2024), the Lead Agency (MA-C) did not report 100% compliance for Indicator 8A, the percentage of infants and toddlers for whom an IFSP with transition steps and services is developed at least 90 days, and at the discretion of all parties, not more than nine months, prior to the toddler’s third birthday. MA-C reviewed its state database (Early Intervention Client System; EICS) and discovered one child record across one early intervention services (EIS) program that suggested that an IFSP with transition steps and services were not developed in a timely manner. </w:t>
      </w:r>
    </w:p>
    <w:p>
      <w:pPr>
        <w:pStyle w:val=""/>
      </w:pPr>
      <w:r>
        <w:rPr>
          <w:rFonts w:ascii="" w:hAnsi="" w:cs="" w:eastAsia=""/>
          <w:b w:val="false"/>
          <w:i w:val="false"/>
          <w:color w:val="000000"/>
        </w:rPr>
        <w:t/>
      </w:r>
    </w:p>
    <w:p>
      <w:pPr>
        <w:pStyle w:val=""/>
      </w:pPr>
      <w:r>
        <w:rPr>
          <w:rFonts w:ascii="" w:hAnsi="" w:cs="" w:eastAsia=""/>
          <w:b w:val="false"/>
          <w:i w:val="false"/>
          <w:color w:val="000000"/>
        </w:rPr>
        <w:t xml:space="preserve">Upon discovery and before written findings of noncompliance were issued, MA-C initiated a pre-finding correction process consistent with its general supervision practices. MA-C was able to verify within three months of identification of noncompliance, prior to issuing a finding, that the EIS program was correctly implementing the specific regulatory requirement. This was verified based on a review of subsequent data for the EIS program in the Early Intervention Client System that showed they were meeting the requirement at 100% (IFSP with transition steps and services within the required IDEA part C timeframe) and had corrected the individual case of child-specific noncompliance (left the jurisdiction before an IFSP with transition steps and services was created). MA-C also verified no outstanding corrective action existed under a State complaint or due process hearing decision for this child. MA-C's Clinical Oversight and Support Specialist queried the state database (Early Intervention Client System; EICS) to review the child's individual record. Using data entered by EIS programs into EICS, the Clinical Oversight and Support Specialist determined that the one child identified left the jurisdiction before an IFSP with transition steps and services was created; Because this instance of noncompliance was corrected prior to a finding of noncompliance being issued, and the program’s ongoing compliance was verified using updated data, no formal findings were issued. Instead, MA-C emailed the one EIS program who had reported an IFSP with transition steps and services outside of the required timeframe to remind them of the regulatory requirement and offer training and technical assistance to sustain compliance. </w:t>
      </w: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320806" w:rsidP="00320806">
      <w:pPr>
        <w:rPr>
          <w:color w:val="000000" w:themeColor="text1"/>
        </w:rPr>
      </w:pPr>
      <w:r w:rsidRPr="00ED172B">
        <w:rPr>
          <w:color w:val="000000" w:themeColor="text1"/>
        </w:rPr>
        <w:t/>
      </w: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4873A31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0AD2B5FF"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D7A2FAD" w14:textId="549676A0" w:rsidR="00955129" w:rsidRPr="00EC51AB" w:rsidRDefault="00955129"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0060440D" w:rsidRPr="00ED172B">
        <w:rPr>
          <w:color w:val="000000" w:themeColor="text1"/>
          <w:szCs w:val="16"/>
        </w:rPr>
        <w:t>§</w:t>
      </w:r>
      <w:r w:rsidRPr="00EC51AB">
        <w:rPr>
          <w:szCs w:val="16"/>
        </w:rPr>
        <w:t>303.209(d) and, as such, only children between 2 years 3 months and 2 years 9 months should be included in the denominator.</w:t>
      </w:r>
    </w:p>
    <w:p w14:paraId="569464D6" w14:textId="509C9DB3"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235AC05C"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49458D75" w14:textId="6B924536"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0C5095CD" w14:textId="41A1BA7A"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4364D084"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17413C61" w14:textId="0DA03AA3"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1800"/>
        <w:gridCol w:w="2004"/>
      </w:tblGrid>
      <w:tr w:rsidR="00C25621" w:rsidRPr="00ED172B" w14:paraId="20E9FA47" w14:textId="77777777" w:rsidTr="00A40EE1">
        <w:trPr>
          <w:trHeight w:val="350"/>
          <w:tblHeader/>
        </w:trPr>
        <w:tc>
          <w:tcPr>
            <w:tcW w:w="4285" w:type="pct"/>
            <w:tcBorders>
              <w:bottom w:val="single" w:sz="4" w:space="0" w:color="auto"/>
            </w:tcBorders>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vAlign w:val="center"/>
          </w:tcPr>
          <w:p w14:paraId="0666BADC" w14:textId="408974FB" w:rsidR="000378F3" w:rsidRPr="00ED172B" w:rsidRDefault="000378F3" w:rsidP="000378F3">
            <w:pPr>
              <w:jc w:val="center"/>
              <w:rPr>
                <w:color w:val="000000" w:themeColor="text1"/>
              </w:rPr>
            </w:pPr>
            <w:r w:rsidRPr="00ED172B">
              <w:rPr>
                <w:color w:val="000000" w:themeColor="text1"/>
              </w:rPr>
              <w:t>80.40%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550"/>
        <w:gridCol w:w="2048"/>
        <w:gridCol w:w="2048"/>
        <w:gridCol w:w="2048"/>
        <w:gridCol w:w="2048"/>
        <w:gridCol w:w="2048"/>
      </w:tblGrid>
      <w:tr w:rsidR="00ED172B" w:rsidRPr="00ED172B" w14:paraId="74E8D900" w14:textId="77777777" w:rsidTr="00A40EE1">
        <w:trPr>
          <w:trHeight w:val="350"/>
        </w:trPr>
        <w:tc>
          <w:tcPr>
            <w:tcW w:w="317" w:type="pct"/>
            <w:tcBorders>
              <w:bottom w:val="single" w:sz="4" w:space="0" w:color="auto"/>
            </w:tcBorders>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2CC40DB3" w14:textId="77777777" w:rsidTr="00A40EE1">
        <w:trPr>
          <w:trHeight w:val="357"/>
        </w:trPr>
        <w:tc>
          <w:tcPr>
            <w:tcW w:w="317" w:type="pct"/>
          </w:tcPr>
          <w:p w14:paraId="23D9DCFF" w14:textId="6DF7F7F5"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tcPr>
          <w:p w14:paraId="784E6590"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80.55%</w:t>
            </w:r>
          </w:p>
        </w:tc>
        <w:tc>
          <w:tcPr>
            <w:tcW w:w="937" w:type="pct"/>
            <w:tcBorders>
              <w:bottom w:val="single" w:sz="4" w:space="0" w:color="auto"/>
            </w:tcBorders>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99.02%</w:t>
            </w:r>
          </w:p>
        </w:tc>
        <w:tc>
          <w:tcPr>
            <w:tcW w:w="937" w:type="pct"/>
            <w:tcBorders>
              <w:bottom w:val="single" w:sz="4" w:space="0" w:color="auto"/>
            </w:tcBorders>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78.24%</w:t>
            </w:r>
          </w:p>
        </w:tc>
        <w:tc>
          <w:tcPr>
            <w:tcW w:w="937" w:type="pct"/>
            <w:tcBorders>
              <w:bottom w:val="single" w:sz="4" w:space="0" w:color="auto"/>
            </w:tcBorders>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80.29%</w:t>
            </w:r>
          </w:p>
        </w:tc>
        <w:tc>
          <w:tcPr>
            <w:tcW w:w="937" w:type="pct"/>
            <w:tcBorders>
              <w:bottom w:val="single" w:sz="4" w:space="0" w:color="auto"/>
            </w:tcBorders>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90.56%</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2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679"/>
        <w:gridCol w:w="2582"/>
        <w:gridCol w:w="2760"/>
      </w:tblGrid>
      <w:tr w:rsidR="00CF59E2" w:rsidRPr="00ED172B" w14:paraId="02FB5FEC" w14:textId="0147A57A" w:rsidTr="00811738">
        <w:trPr>
          <w:trHeight w:val="265"/>
        </w:trPr>
        <w:tc>
          <w:tcPr>
            <w:tcW w:w="564" w:type="pct"/>
            <w:tcBorders>
              <w:bottom w:val="single" w:sz="4" w:space="0" w:color="auto"/>
            </w:tcBorders>
          </w:tcPr>
          <w:p w14:paraId="66965110"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4" w:type="pct"/>
            <w:vAlign w:val="center"/>
          </w:tcPr>
          <w:p w14:paraId="2FB0CA2D" w14:textId="618E9216"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2" w:type="pct"/>
          </w:tcPr>
          <w:p w14:paraId="34A3F497" w14:textId="71FBA966"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1880903D" w14:textId="5D794342" w:rsidTr="00811738">
        <w:trPr>
          <w:trHeight w:val="270"/>
        </w:trPr>
        <w:tc>
          <w:tcPr>
            <w:tcW w:w="564" w:type="pct"/>
          </w:tcPr>
          <w:p w14:paraId="009B82C2"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4" w:type="pct"/>
          </w:tcPr>
          <w:p w14:paraId="68F3EB6C" w14:textId="1DC405D3" w:rsidR="00CF59E2" w:rsidRPr="00ED172B" w:rsidRDefault="00CF59E2" w:rsidP="00A74C59">
            <w:pPr>
              <w:jc w:val="center"/>
              <w:rPr>
                <w:color w:val="000000" w:themeColor="text1"/>
                <w:szCs w:val="16"/>
              </w:rPr>
            </w:pPr>
            <w:r w:rsidRPr="00ED172B">
              <w:rPr>
                <w:color w:val="000000" w:themeColor="text1"/>
                <w:szCs w:val="16"/>
              </w:rPr>
              <w:t>100%</w:t>
            </w:r>
          </w:p>
        </w:tc>
        <w:tc>
          <w:tcPr>
            <w:tcW w:w="2292" w:type="pct"/>
          </w:tcPr>
          <w:p w14:paraId="1016327E" w14:textId="3AD6E01E" w:rsidR="00CF59E2" w:rsidRPr="00ED172B" w:rsidRDefault="00CF59E2" w:rsidP="00A74C59">
            <w:pPr>
              <w:jc w:val="center"/>
              <w:rPr>
                <w:color w:val="000000" w:themeColor="text1"/>
                <w:szCs w:val="16"/>
              </w:rPr>
            </w:pPr>
            <w:r>
              <w:rPr>
                <w:rFonts w:cs="Arial"/>
                <w:color w:val="000000" w:themeColor="text1"/>
                <w:szCs w:val="16"/>
              </w:rPr>
              <w:t>100%</w:t>
            </w:r>
          </w:p>
        </w:tc>
      </w:tr>
    </w:tbl>
    <w:p w14:paraId="621A396D" w14:textId="56F63B28" w:rsidR="008E7B96" w:rsidRPr="00ED172B" w:rsidRDefault="00F22D09">
      <w:pPr>
        <w:rPr>
          <w:b/>
          <w:color w:val="000000" w:themeColor="text1"/>
        </w:rPr>
      </w:pPr>
      <w:r>
        <w:rPr>
          <w:b/>
          <w:color w:val="000000" w:themeColor="text1"/>
        </w:rPr>
        <w:t>FFY 2024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vAlign w:val="bottom"/>
          </w:tcPr>
          <w:p w14:paraId="12765FCA" w14:textId="3F48535C" w:rsidR="00F939F8" w:rsidRPr="00ED172B" w:rsidRDefault="00CD74B5" w:rsidP="00F939F8">
            <w:pPr>
              <w:jc w:val="center"/>
              <w:rPr>
                <w:b/>
                <w:color w:val="000000" w:themeColor="text1"/>
                <w:szCs w:val="16"/>
              </w:rPr>
            </w:pPr>
            <w:r>
              <w:rPr>
                <w:rFonts w:cs="Arial"/>
                <w:b/>
                <w:color w:val="000000" w:themeColor="text1"/>
                <w:szCs w:val="16"/>
              </w:rPr>
              <w:t>FFY 2023 Data</w:t>
            </w:r>
          </w:p>
        </w:tc>
        <w:tc>
          <w:tcPr>
            <w:tcW w:w="625" w:type="pct"/>
            <w:vAlign w:val="bottom"/>
          </w:tcPr>
          <w:p w14:paraId="6245781C" w14:textId="54B2C47E" w:rsidR="00F939F8" w:rsidRPr="00ED172B" w:rsidRDefault="00F22D09" w:rsidP="00F939F8">
            <w:pPr>
              <w:jc w:val="center"/>
              <w:rPr>
                <w:b/>
                <w:color w:val="000000" w:themeColor="text1"/>
                <w:szCs w:val="16"/>
              </w:rPr>
            </w:pPr>
            <w:r>
              <w:rPr>
                <w:rFonts w:cs="Arial"/>
                <w:b/>
                <w:color w:val="000000" w:themeColor="text1"/>
                <w:szCs w:val="16"/>
              </w:rPr>
              <w:t>FFY 2024 Target</w:t>
            </w:r>
          </w:p>
        </w:tc>
        <w:tc>
          <w:tcPr>
            <w:tcW w:w="542" w:type="pct"/>
            <w:vAlign w:val="bottom"/>
          </w:tcPr>
          <w:p w14:paraId="1E1DBF10" w14:textId="6928E7F8" w:rsidR="00F939F8" w:rsidRPr="00ED172B" w:rsidRDefault="00F22D09" w:rsidP="00F939F8">
            <w:pPr>
              <w:jc w:val="center"/>
              <w:rPr>
                <w:b/>
                <w:color w:val="000000" w:themeColor="text1"/>
                <w:szCs w:val="16"/>
              </w:rPr>
            </w:pPr>
            <w:r>
              <w:rPr>
                <w:rFonts w:cs="Arial"/>
                <w:b/>
                <w:color w:val="000000" w:themeColor="text1"/>
                <w:szCs w:val="16"/>
              </w:rPr>
              <w:t>FFY 2024 Data</w:t>
            </w:r>
          </w:p>
        </w:tc>
        <w:tc>
          <w:tcPr>
            <w:tcW w:w="542" w:type="pct"/>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1,656</w:t>
            </w:r>
          </w:p>
        </w:tc>
        <w:tc>
          <w:tcPr>
            <w:tcW w:w="750" w:type="pct"/>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2,131</w:t>
            </w:r>
          </w:p>
        </w:tc>
        <w:tc>
          <w:tcPr>
            <w:tcW w:w="626" w:type="pct"/>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90.56%</w:t>
            </w:r>
          </w:p>
        </w:tc>
        <w:tc>
          <w:tcPr>
            <w:tcW w:w="625" w:type="pct"/>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99.16%</w:t>
            </w:r>
          </w:p>
        </w:tc>
        <w:tc>
          <w:tcPr>
            <w:tcW w:w="542" w:type="pct"/>
          </w:tcPr>
          <w:p w14:paraId="3C770A13" w14:textId="0F1127A3" w:rsidR="00F939F8" w:rsidRPr="00ED172B" w:rsidRDefault="00320806" w:rsidP="00320806">
            <w:pPr>
              <w:jc w:val="center"/>
              <w:rPr>
                <w:color w:val="000000" w:themeColor="text1"/>
              </w:rPr>
            </w:pPr>
            <w:r w:rsidRPr="00ED172B">
              <w:rPr>
                <w:color w:val="000000" w:themeColor="text1"/>
              </w:rPr>
              <w:t>Did not meet target</w:t>
            </w:r>
          </w:p>
        </w:tc>
        <w:tc>
          <w:tcPr>
            <w:tcW w:w="539" w:type="pct"/>
          </w:tcPr>
          <w:p w14:paraId="3DCA4621" w14:textId="6D456C28" w:rsidR="00F939F8" w:rsidRPr="00ED172B" w:rsidRDefault="00320806" w:rsidP="00320806">
            <w:pPr>
              <w:jc w:val="center"/>
              <w:rPr>
                <w:color w:val="000000" w:themeColor="text1"/>
              </w:rPr>
            </w:pPr>
            <w:r w:rsidRPr="00ED172B">
              <w:rPr>
                <w:color w:val="000000" w:themeColor="text1"/>
              </w:rPr>
              <w:t>No Slippage</w:t>
            </w:r>
          </w:p>
        </w:tc>
      </w:tr>
    </w:tbl>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461</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r w:rsidRPr="00ED172B">
        <w:rPr>
          <w:color w:val="000000" w:themeColor="text1"/>
          <w:szCs w:val="16"/>
        </w:rPr>
        <w:t xml:space="preserve">The Lead Agency (MA-C) is responsible for sending notifications to the state education agency (SEA) for toddlers potentially eligible for Part B preschool services; early intervention services (EIS) programs are responsible for sending notification to the local education agency (LEA) notification. MA-C's procedures to send SEA notification are reliant on data its EIS programs enter into its state database (Early Intervention Client System; EICS) to identify potentially eligible children and generate lists of potentially eligible toddlers of whom the SEA should be notified. </w:t>
      </w:r>
    </w:p>
    <w:p>
      <w:pPr>
        <w:pStyle w:val=""/>
      </w:pPr>
      <w:r>
        <w:rPr>
          <w:rFonts w:ascii="" w:hAnsi="" w:cs="" w:eastAsia=""/>
          <w:b w:val="false"/>
          <w:i w:val="false"/>
          <w:color w:val="000000"/>
        </w:rPr>
        <w:t/>
      </w:r>
    </w:p>
    <w:p>
      <w:pPr>
        <w:pStyle w:val=""/>
      </w:pPr>
      <w:r>
        <w:rPr>
          <w:rFonts w:ascii="" w:hAnsi="" w:cs="" w:eastAsia=""/>
          <w:b w:val="false"/>
          <w:i w:val="false"/>
          <w:color w:val="000000"/>
        </w:rPr>
        <w:t xml:space="preserve">When data related to the LEA notification are not entered into the child's record, MA-C's state database (Early Intervention Client System; EICS) prompts the early intervention services (EIS) provider to enter the reasons for delay, which MA-C later reviews. </w:t>
      </w:r>
    </w:p>
    <w:p>
      <w:pPr>
        <w:pStyle w:val=""/>
      </w:pPr>
      <w:r>
        <w:rPr>
          <w:rFonts w:ascii="" w:hAnsi="" w:cs="" w:eastAsia=""/>
          <w:b w:val="false"/>
          <w:i w:val="false"/>
          <w:color w:val="000000"/>
        </w:rPr>
        <w:t/>
      </w:r>
    </w:p>
    <w:p>
      <w:pPr>
        <w:pStyle w:val=""/>
      </w:pPr>
      <w:r>
        <w:rPr>
          <w:rFonts w:ascii="" w:hAnsi="" w:cs="" w:eastAsia=""/>
          <w:b w:val="false"/>
          <w:i w:val="false"/>
          <w:color w:val="000000"/>
        </w:rPr>
        <w:t xml:space="preserve">Fourteen children's records indicated that services were delayed due to program or staffing error. </w:t>
      </w: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These data are collected from MA-C's state database, the Early Intervention Client System (EICS). Local early intervention services (EIS) programs are responsible for the LEA notification and MA-C is responsible for SEA notification; after an LEA notification is made, the EIS program updates the child's record in EICS to document the date on which the LEA notification was sent. EICS then generates a list of toddlers who are potentially eligible for Part B preschool services for whom MA-C should send SEA notification. MA-C's Reporting Analyst downloads the file and transmits it via a secure file transfer protocol to the state education agency (MA-B) each business day. In cases where data are missing (e.g., undocumented reason for delayed notification to the LEA), MA-C provides the EIS program a data report for exiting children to verify the data as accurate or make necessary corrections or additions.</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YES</w:t>
      </w:r>
    </w:p>
    <w:p w14:paraId="5B060883" w14:textId="1855C3FD" w:rsidR="00C476A6" w:rsidRPr="00ED172B" w:rsidRDefault="00C476A6" w:rsidP="003C1AB9">
      <w:pPr>
        <w:rPr>
          <w:b/>
          <w:color w:val="000000" w:themeColor="text1"/>
          <w:szCs w:val="16"/>
        </w:rPr>
      </w:pPr>
      <w:r w:rsidRPr="00ED172B">
        <w:rPr>
          <w:b/>
          <w:color w:val="000000" w:themeColor="text1"/>
          <w:szCs w:val="16"/>
        </w:rPr>
        <w:t>If yes, is the policy on file with the Department? (yes/no)</w:t>
      </w:r>
    </w:p>
    <w:p w14:paraId="2D4C7284" w14:textId="05A1EF1F" w:rsidR="00C476A6" w:rsidRDefault="00C476A6" w:rsidP="003C1AB9">
      <w:pPr>
        <w:rPr>
          <w:color w:val="000000" w:themeColor="text1"/>
          <w:szCs w:val="16"/>
        </w:rPr>
      </w:pPr>
      <w:r w:rsidRPr="00ED172B">
        <w:rPr>
          <w:color w:val="000000" w:themeColor="text1"/>
          <w:szCs w:val="16"/>
        </w:rPr>
        <w:t>YES</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database</w:t>
      </w:r>
    </w:p>
    <w:p w14:paraId="107C7D72" w14:textId="2784E578"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12E53171" w14:textId="271EAFE5" w:rsidR="000709B9" w:rsidRPr="00ED172B" w:rsidRDefault="00860830" w:rsidP="000709B9">
      <w:pPr>
        <w:rPr>
          <w:color w:val="000000" w:themeColor="text1"/>
        </w:rPr>
      </w:pPr>
      <w:r w:rsidRPr="00ED172B">
        <w:rPr>
          <w:color w:val="000000" w:themeColor="text1"/>
        </w:rPr>
        <w:t>Federal Fiscal Year 2024, Quarter 1 (July 1, 2024 - September 30, 2024)</w:t>
      </w:r>
    </w:p>
    <w:p w14:paraId="7DA68A46" w14:textId="0572035E"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7913918B" w14:textId="1A88B429" w:rsidR="000709B9" w:rsidRDefault="00860830" w:rsidP="000709B9">
      <w:pPr>
        <w:rPr>
          <w:rFonts w:cs="Arial"/>
          <w:color w:val="000000" w:themeColor="text1"/>
          <w:szCs w:val="16"/>
        </w:rPr>
      </w:pPr>
      <w:r w:rsidRPr="00ED172B">
        <w:rPr>
          <w:rFonts w:cs="Arial"/>
          <w:color w:val="000000" w:themeColor="text1"/>
          <w:szCs w:val="16"/>
        </w:rPr>
        <w:t xml:space="preserve">As allowed by the measurement table, MA-C is reporting data for a selection of the full reporting year. The Lead Agency (MA-C) implemented its documented process to select a quarter of data that accurately reflect data for infants and toddlers with IFSPs for the full reporting period. First, MA-C’s Part C Data Manager defined the analytic population and the full federal fiscal year benchmark. For Indicator 8B, she did so by reviewing the OSEP Measurement Table and defining the specific denominator (i.e., the total number of infants and toddlers with IFSPs during federal fiscal year 2025 (FFY24; July 1, 2024-June 30, 2025).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she constructed candidate quarters using consistent date rules. She did this by querying four candidate quarter datasets (i.e., Q1-Q4) using the same denominator rules and key date fields used in the indicator calculation. MA-C maintains documentation of each quarter’s start and end dates and the exact date of the database query.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the Part C Data Manager evaluates representativeness by geographic region, child race/ethnicity, and early intervention services program distribution. To demonstrate that the selected quarter reflects data for infants and toddlers with IFSPs for the full reporting period, MA-C compares each candidate quarter to the full FFY benchmark using these three representativeness dimensions. MA-C selected these dimensions to mirror OSEP’s general expectation that, when sampling is used, states must describe how key aspects of the population are represented and that samples must be representative of the programs included.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MA-C applies and explicit representativeness metric and minimum-N stability rules. MA-C does this by using a simple, auditable metric to quantify representativeness: for each geographic region, race/ethnicity group, and EIS program, MA-C computes the absolute percentage-point difference between the quarter distribution and the full FFY distribution. MA-C sets and documents a threshold (“no group differs by more than ±10 percentage points”) and applies minimum-N rules to avoid unstable estimates, particularly for small programs/regions. This is consistent with OSEP’s emphasis that designs yield valid and reliable estimates and that MA-C avoid public reporting where data are too small to be statistically reliable or could risk disclosure. </w:t>
      </w:r>
    </w:p>
    <w:p>
      <w:pPr>
        <w:pStyle w:val=""/>
      </w:pPr>
      <w:r>
        <w:rPr>
          <w:rFonts w:ascii="" w:hAnsi="" w:cs="" w:eastAsia=""/>
          <w:b w:val="false"/>
          <w:i w:val="false"/>
          <w:color w:val="000000"/>
        </w:rPr>
        <w:t/>
      </w:r>
    </w:p>
    <w:p>
      <w:pPr>
        <w:pStyle w:val=""/>
      </w:pPr>
      <w:r>
        <w:rPr>
          <w:rFonts w:ascii="" w:hAnsi="" w:cs="" w:eastAsia=""/>
          <w:b w:val="false"/>
          <w:i w:val="false"/>
          <w:color w:val="000000"/>
        </w:rPr>
        <w:t xml:space="preserve">Then, the MA-C Part C Data Manager selects the quarter and documents the rationale. She selects the quarter that (a) meets the representativeness thresholds across EI Region, race/ethnicity, and program distribution, and (b) supports stable denominators for statewide and program-level reporting. For the SPP/APR indicator narrative, MA-C documents: the quarter used (e.g., “September–December / fourth quarter”), the reason the quarter was selected, and a concise statement describing how the quarter’s distributions align with the full FFY population, addressing OSEP’s requirement to explain the time period and how it accurately reflects the full reporting period for Indicator 8B when using a State database. </w:t>
      </w:r>
    </w:p>
    <w:p>
      <w:pPr>
        <w:pStyle w:val=""/>
      </w:pPr>
      <w:r>
        <w:rPr>
          <w:rFonts w:ascii="" w:hAnsi="" w:cs="" w:eastAsia=""/>
          <w:b w:val="false"/>
          <w:i w:val="false"/>
          <w:color w:val="000000"/>
        </w:rPr>
        <w:t/>
      </w:r>
    </w:p>
    <w:p>
      <w:pPr>
        <w:pStyle w:val=""/>
      </w:pPr>
      <w:r>
        <w:rPr>
          <w:rFonts w:ascii="" w:hAnsi="" w:cs="" w:eastAsia=""/>
          <w:b w:val="false"/>
          <w:i w:val="false"/>
          <w:color w:val="000000"/>
        </w:rPr>
        <w:t>In the event that no single quarter meets representativeness and stability thresholds, MA-C expands the analytic window (e.g., combining two adjacent quarters) or uses a defined supplementation approach (i.e., adding records from underrepresented geographic regions, EIS programs, or race/ethnicity strata) and then reruns the representativeness checks. The selected time period and remediation steps are documented so MA-C can still describe the “time period used” and how it reflects the full reporting period.</w:t>
      </w:r>
    </w:p>
    <w:p w14:paraId="608340F2" w14:textId="0ECFEC2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65F7C53" w14:textId="7585271E" w:rsidR="003A3693" w:rsidRPr="00ED172B" w:rsidRDefault="00860830" w:rsidP="003A3693">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EIS programs with compliance rates less than 100%. During federal fiscal year 2024 (FFY24; July 1, 2024-June 30, 2025), the vendor provided collaborative convening meetings for early intervention service programs and local education agencies to attend together. These convenings featured panel discussions highlighting strategies that LEAs and EIS providers are using to support smooth transitions from Part C early intervention to Part B early childhood special education services. Each meeting focused on a different topic based on feedback from participants in TA the previous fiscal year. The provider also created a voices from the field series in which they highlighted specific providers and educators for innovative practices and strong collaboration. They hosted office hours by appointment hours, there were six office hours by appointment offered. The provider also engaged in intensive TA with many EIS programs, 8 EIS programs engaged in this intensive TA throughout FFY24. In addition, the vendor developed targeted technical assistance plans to several MA-B LEAs and included the corresponding EIS programs in those events. MA-C attributes the increases in its sustained performance on Indicator 8B to this technical assistance.</w:t>
      </w:r>
    </w:p>
    <w:p w14:paraId="6D5F3961" w14:textId="06F4674D" w:rsidR="008203B4" w:rsidRPr="00ED172B" w:rsidRDefault="008203B4"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BPFFYNCFINDINGS"/>
      </w:tblPr>
      <w:tblGrid>
        <w:gridCol w:w="2610"/>
        <w:gridCol w:w="2740"/>
        <w:gridCol w:w="2618"/>
        <w:gridCol w:w="2822"/>
      </w:tblGrid>
      <w:tr w:rsidR="00ED172B" w:rsidRPr="00ED172B" w14:paraId="53712311" w14:textId="77777777" w:rsidTr="00986B99">
        <w:trPr>
          <w:tblHeader/>
        </w:trPr>
        <w:tc>
          <w:tcPr>
            <w:tcW w:w="1210" w:type="pct"/>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tcPr>
          <w:p w14:paraId="365B227C" w14:textId="33AB4B7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70" w:type="pct"/>
          </w:tcPr>
          <w:p w14:paraId="6146CAAF" w14:textId="53F3D613"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213" w:type="pct"/>
          </w:tcPr>
          <w:p w14:paraId="73DA7B08" w14:textId="5CC5A5B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tcPr>
          <w:p w14:paraId="1FAECB7C" w14:textId="288F3E14" w:rsidR="008203B4" w:rsidRPr="00ED172B" w:rsidRDefault="00860830" w:rsidP="00EC51AB">
            <w:pPr>
              <w:jc w:val="center"/>
              <w:rPr>
                <w:rFonts w:cs="Arial"/>
                <w:color w:val="000000" w:themeColor="text1"/>
                <w:szCs w:val="16"/>
              </w:rPr>
            </w:pPr>
            <w:r w:rsidRPr="00ED172B">
              <w:rPr>
                <w:rFonts w:cs="Arial"/>
                <w:color w:val="000000" w:themeColor="text1"/>
                <w:szCs w:val="16"/>
              </w:rPr>
              <w:t>0</w:t>
            </w:r>
          </w:p>
        </w:tc>
      </w:tr>
    </w:tbl>
    <w:p w14:paraId="31AF69D8"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317C3E97" w14:textId="77777777" w:rsidR="00416EBD" w:rsidRPr="00EE69F5" w:rsidRDefault="00416EBD" w:rsidP="00416EBD">
      <w:r w:rsidRPr="00EE69F5">
        <w:t xml:space="preserve">During FFY23, MA-C allowed for one pre-finding correction. </w:t>
      </w:r>
    </w:p>
    <w:p>
      <w:pPr>
        <w:pStyle w:val=""/>
      </w:pPr>
      <w:r>
        <w:rPr>
          <w:rFonts w:ascii="" w:hAnsi="" w:cs="" w:eastAsia=""/>
          <w:b w:val="false"/>
          <w:i w:val="false"/>
          <w:color w:val=""/>
        </w:rPr>
        <w:t/>
      </w:r>
    </w:p>
    <w:p>
      <w:pPr>
        <w:pStyle w:val=""/>
      </w:pPr>
      <w:r>
        <w:rPr>
          <w:rFonts w:ascii="" w:hAnsi="" w:cs="" w:eastAsia=""/>
          <w:b w:val="false"/>
          <w:i w:val="false"/>
          <w:color w:val=""/>
        </w:rPr>
        <w:t xml:space="preserve">During federal fiscal year 2023 (FFY23; July 1, 2023-June 30, 2024), the Lead Agency (MA-C) did not report 100% compliance for Indicator 8B, the percentage of infants and toddlers potentially eligible for Part B services for whom notification is sent to the state education agency and local education agency at least 90 days prior to the toddler’s third birthday. MA-C's Data Manager reviewed its state database (Early Intervention Client System; EICS) and discovered 168 records that suggested that SEA/LEA notification was not sent in a timely manner. </w:t>
      </w:r>
    </w:p>
    <w:p>
      <w:pPr>
        <w:pStyle w:val=""/>
      </w:pPr>
      <w:r>
        <w:rPr>
          <w:rFonts w:ascii="" w:hAnsi="" w:cs="" w:eastAsia=""/>
          <w:b w:val="false"/>
          <w:i w:val="false"/>
          <w:color w:val=""/>
        </w:rPr>
        <w:t/>
      </w:r>
    </w:p>
    <w:p>
      <w:pPr>
        <w:pStyle w:val=""/>
      </w:pPr>
      <w:r>
        <w:rPr>
          <w:rFonts w:ascii="" w:hAnsi="" w:cs="" w:eastAsia=""/>
          <w:b w:val="false"/>
          <w:i w:val="false"/>
          <w:color w:val=""/>
        </w:rPr>
        <w:t xml:space="preserve">In 167 of the 168 instances, MA-C determined that LEA notification had been sent timely by the EIS program, but SEA notification was delayed due to late data entry on the part of the EIS programs. In these 167 instances of the 168 records, she confirmed that SEA notification had been sent, although late. MA-C's Clinical Quality Manager notified the affected EIS programs of the requirement to enter data into EICS within 14 calendar days and invited them to attend targeted technical assistance roundtables on transition activities. </w:t>
      </w:r>
    </w:p>
    <w:p>
      <w:pPr>
        <w:pStyle w:val=""/>
      </w:pPr>
      <w:r>
        <w:rPr>
          <w:rFonts w:ascii="" w:hAnsi="" w:cs="" w:eastAsia=""/>
          <w:b w:val="false"/>
          <w:i w:val="false"/>
          <w:color w:val=""/>
        </w:rPr>
        <w:t/>
      </w:r>
    </w:p>
    <w:p>
      <w:pPr>
        <w:pStyle w:val=""/>
      </w:pPr>
      <w:r>
        <w:rPr>
          <w:rFonts w:ascii="" w:hAnsi="" w:cs="" w:eastAsia=""/>
          <w:b w:val="false"/>
          <w:i w:val="false"/>
          <w:color w:val=""/>
        </w:rPr>
        <w:t xml:space="preserve">For the 1 child out of 168 across 1 EIS program that had a late LEA notification, upon discovery and before written findings of noncompliance were issued, MA-C initiated a pre-finding correction process consistent with its general supervision practices. </w:t>
      </w:r>
    </w:p>
    <w:p>
      <w:pPr>
        <w:pStyle w:val=""/>
      </w:pPr>
      <w:r>
        <w:rPr>
          <w:rFonts w:ascii="" w:hAnsi="" w:cs="" w:eastAsia=""/>
          <w:b w:val="false"/>
          <w:i w:val="false"/>
          <w:color w:val=""/>
        </w:rPr>
        <w:t/>
      </w:r>
    </w:p>
    <w:p>
      <w:pPr>
        <w:pStyle w:val=""/>
      </w:pPr>
      <w:r>
        <w:rPr>
          <w:rFonts w:ascii="" w:hAnsi="" w:cs="" w:eastAsia=""/>
          <w:b w:val="false"/>
          <w:i w:val="false"/>
          <w:color w:val=""/>
        </w:rPr>
        <w:t>In the one instance of late LEA notification in the 168 records, MA-C was able to verify within three months of identification of noncompliance, prior to issuing a finding, that the EIS program was correctly implementing the specific regulatory requirement. MA-C's Clinical Oversight and Support Specialist queried the EICS for the one EIS program with compliance rates below 100%. For this EIS program, she sampled 10 child records at random using subsequent transition planning data entered by the EIS program and determined 100% compliance for the program (i.e., notification for potentially eligible children was sent within the required timeframe). MA-C's Clinical Oversight and Support Specialist used data entered by the EIS program into EICS to determine the EIS program corrected the individual case of child-specific noncompliance, the child had notification sent to the LEA and SEA, although late, as demonstrated by transition data entered by the EIS program into EICS. MA-C also verified no outstanding corrective action existed under a State complaint or due process hearing decision for this child. Because this instance of noncompliance was corrected prior to a finding being made and the program’s ongoing compliance was verified using updated data, no formal findings were issued. Instead, the Clinical Oversight and Support Specialist emailed the one EIS program who had reported untimely notification to the LEA to remind them of the regulatory requirement and offer training and technical assistance to sustain compliance.</w:t>
      </w:r>
    </w:p>
    <w:p w14:paraId="1AAE6B0A" w14:textId="29306CE6" w:rsidR="008203B4" w:rsidRPr="00ED172B" w:rsidRDefault="008203B4"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BPPFFYNCFINDINGS"/>
      </w:tblPr>
      <w:tblGrid>
        <w:gridCol w:w="2004"/>
        <w:gridCol w:w="3185"/>
        <w:gridCol w:w="2858"/>
        <w:gridCol w:w="2743"/>
      </w:tblGrid>
      <w:tr w:rsidR="00ED172B" w:rsidRPr="00ED172B" w14:paraId="67C85C4C" w14:textId="77777777" w:rsidTr="00986B99">
        <w:trPr>
          <w:tblHeader/>
        </w:trPr>
        <w:tc>
          <w:tcPr>
            <w:tcW w:w="929" w:type="pct"/>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vAlign w:val="bottom"/>
          </w:tcPr>
          <w:p w14:paraId="19DBD567" w14:textId="41CE6ED3"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24" w:type="pct"/>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tcPr>
          <w:p w14:paraId="0C89AE3F" w14:textId="04BB92FE"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476" w:type="pct"/>
          </w:tcPr>
          <w:p w14:paraId="18EE6A2D" w14:textId="2B02CD87"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24" w:type="pct"/>
          </w:tcPr>
          <w:p w14:paraId="0D6BF82C" w14:textId="259370D0"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71" w:type="pct"/>
          </w:tcPr>
          <w:p w14:paraId="021C6FD4" w14:textId="245B9AF4"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6E9AA680" w14:textId="77777777" w:rsidTr="00986B99">
        <w:tc>
          <w:tcPr>
            <w:tcW w:w="929" w:type="pct"/>
          </w:tcPr>
          <w:p w14:paraId="09F9027D" w14:textId="69544FBD"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476" w:type="pct"/>
          </w:tcPr>
          <w:p w14:paraId="30E1255E" w14:textId="62840257"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24" w:type="pct"/>
          </w:tcPr>
          <w:p w14:paraId="48634437" w14:textId="19C6DF89"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71" w:type="pct"/>
          </w:tcPr>
          <w:p w14:paraId="233CCD3F" w14:textId="7D7A4788"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6101D2C3" w14:textId="77777777" w:rsidTr="00986B99">
        <w:tc>
          <w:tcPr>
            <w:tcW w:w="929" w:type="pct"/>
          </w:tcPr>
          <w:p w14:paraId="3DF27AAE" w14:textId="57173885" w:rsidR="008203B4"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476" w:type="pct"/>
          </w:tcPr>
          <w:p w14:paraId="1A593A8F" w14:textId="30E039E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24" w:type="pct"/>
          </w:tcPr>
          <w:p w14:paraId="6C282F27" w14:textId="22019EAC"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71" w:type="pct"/>
          </w:tcPr>
          <w:p w14:paraId="5CA5D5A4" w14:textId="3330E222"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422BEE" w:rsidRPr="00ED172B" w14:paraId="09E2C04F" w14:textId="77777777" w:rsidTr="00986B99">
        <w:tc>
          <w:tcPr>
            <w:tcW w:w="929" w:type="pct"/>
          </w:tcPr>
          <w:p w14:paraId="00537DC9" w14:textId="44D75868" w:rsidR="00422BEE" w:rsidRPr="00ED172B" w:rsidRDefault="00422BEE" w:rsidP="00D21F29">
            <w:pPr>
              <w:jc w:val="center"/>
              <w:rPr>
                <w:rFonts w:cs="Arial"/>
                <w:color w:val="000000" w:themeColor="text1"/>
                <w:szCs w:val="16"/>
              </w:rPr>
            </w:pPr>
            <w:r w:rsidRPr="00ED172B">
              <w:rPr>
                <w:rFonts w:cs="Arial"/>
                <w:color w:val="000000" w:themeColor="text1"/>
                <w:szCs w:val="16"/>
              </w:rPr>
              <w:t/>
            </w:r>
          </w:p>
        </w:tc>
        <w:tc>
          <w:tcPr>
            <w:tcW w:w="1476" w:type="pct"/>
          </w:tcPr>
          <w:p w14:paraId="1E0D45D6" w14:textId="3A34773C"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324" w:type="pct"/>
          </w:tcPr>
          <w:p w14:paraId="7E3CF6F6" w14:textId="661AA01A"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271" w:type="pct"/>
          </w:tcPr>
          <w:p w14:paraId="03DB29E4" w14:textId="4909658A"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r>
      <w:tr w:rsidR="00422BEE" w:rsidRPr="00ED172B" w14:paraId="315C7B6E" w14:textId="77777777" w:rsidTr="00986B99">
        <w:tc>
          <w:tcPr>
            <w:tcW w:w="929" w:type="pct"/>
          </w:tcPr>
          <w:p w14:paraId="4D88A348" w14:textId="7FDC3505" w:rsidR="00422BEE" w:rsidRPr="00ED172B" w:rsidRDefault="00422BEE" w:rsidP="00D21F29">
            <w:pPr>
              <w:jc w:val="center"/>
              <w:rPr>
                <w:rFonts w:cs="Arial"/>
                <w:color w:val="000000" w:themeColor="text1"/>
                <w:szCs w:val="16"/>
              </w:rPr>
            </w:pPr>
            <w:r w:rsidRPr="00ED172B">
              <w:rPr>
                <w:rFonts w:cs="Arial"/>
                <w:color w:val="000000" w:themeColor="text1"/>
                <w:szCs w:val="16"/>
              </w:rPr>
              <w:t/>
            </w:r>
          </w:p>
        </w:tc>
        <w:tc>
          <w:tcPr>
            <w:tcW w:w="1476" w:type="pct"/>
          </w:tcPr>
          <w:p w14:paraId="0DECE723" w14:textId="533FA631"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324" w:type="pct"/>
          </w:tcPr>
          <w:p w14:paraId="546BE55B" w14:textId="3A092DCE"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271" w:type="pct"/>
          </w:tcPr>
          <w:p w14:paraId="4A4AC460" w14:textId="6246F9AE"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r>
    </w:tbl>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38009665" w14:textId="277E6221" w:rsidR="008203B4" w:rsidRPr="00ED172B" w:rsidRDefault="008203B4"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3B4843EA" w14:textId="2A07CA87" w:rsidR="004C1CEE" w:rsidRPr="00ED172B" w:rsidRDefault="00027F39" w:rsidP="00027F39">
      <w:pPr>
        <w:rPr>
          <w:color w:val="000000" w:themeColor="text1"/>
        </w:rPr>
      </w:pPr>
      <w:r w:rsidRPr="00ED172B">
        <w:rPr>
          <w:color w:val="000000" w:themeColor="text1"/>
        </w:rPr>
        <w:t xml:space="preserve">During federal fiscal year 2023 (FFY23; July 1, 2023-June 30, 2024), the Lead Agency (MA-C) did not report 100% compliance for Indicator 8B, the percentage of infants and toddlers potentially eligible for Part B services for whom notification is sent to the state education agency and local education agency at least 90 days prior to the toddler’s third birthday. MA-C's Data Manager reviewed its state database (Early Intervention Client System; EICS) and discovered 168 records that suggested that SEA/LEA notification was not sent in a timely manner. </w:t>
      </w:r>
    </w:p>
    <w:p>
      <w:pPr>
        <w:pStyle w:val=""/>
      </w:pPr>
      <w:r>
        <w:rPr>
          <w:rFonts w:ascii="" w:hAnsi="" w:cs="" w:eastAsia=""/>
          <w:b w:val="false"/>
          <w:i w:val="false"/>
          <w:color w:val="000000"/>
        </w:rPr>
        <w:t xml:space="preserve">In 167 of the 168 instances, MA-C determined that LEA notification had been sent timely by the EIS program, but SEA notification was delayed due to late data entry on the part of the EIS programs. In these 167 instances of the 168 records, MA-C’s Data Manager confirmed that SEA notification had been sent, although late. MA-C's Clinical Quality Manager notified the affected EIS programs of the requirement to enter data into EICS within 14 calendar days and invited them to attend targeted technical assistance roundtables on transition activities. </w:t>
      </w:r>
    </w:p>
    <w:p>
      <w:pPr>
        <w:pStyle w:val=""/>
      </w:pPr>
      <w:r>
        <w:rPr>
          <w:rFonts w:ascii="" w:hAnsi="" w:cs="" w:eastAsia=""/>
          <w:b w:val="false"/>
          <w:i w:val="false"/>
          <w:color w:val="000000"/>
        </w:rPr>
        <w:t/>
      </w:r>
    </w:p>
    <w:p>
      <w:pPr>
        <w:pStyle w:val=""/>
      </w:pPr>
      <w:r>
        <w:rPr>
          <w:rFonts w:ascii="" w:hAnsi="" w:cs="" w:eastAsia=""/>
          <w:b w:val="false"/>
          <w:i w:val="false"/>
          <w:color w:val="000000"/>
        </w:rPr>
        <w:t xml:space="preserve">For the 1 child out of 168 that had a late LEA notification, upon discovery and before written findings of noncompliance were issued, MA-C initiated a pre-finding correction process consistent with its general supervision practices. </w:t>
      </w:r>
    </w:p>
    <w:p>
      <w:pPr>
        <w:pStyle w:val=""/>
      </w:pPr>
      <w:r>
        <w:rPr>
          <w:rFonts w:ascii="" w:hAnsi="" w:cs="" w:eastAsia=""/>
          <w:b w:val="false"/>
          <w:i w:val="false"/>
          <w:color w:val="000000"/>
        </w:rPr>
        <w:t/>
      </w:r>
    </w:p>
    <w:p>
      <w:pPr>
        <w:pStyle w:val=""/>
      </w:pPr>
      <w:r>
        <w:rPr>
          <w:rFonts w:ascii="" w:hAnsi="" w:cs="" w:eastAsia=""/>
          <w:b w:val="false"/>
          <w:i w:val="false"/>
          <w:color w:val="000000"/>
        </w:rPr>
        <w:t>In the one instance of the 168 records with a late LEA notification, MA-C was able to verify within three months of identification of noncompliance, prior to issuing a finding, that the EIS program was correctly implementing the specific regulatory requirement.  MA-C's Clinical Oversight and Support Specialist queried the EICS for the one EIS program with compliance rates below 100%. For this EIS program, she sampled 10 child records at random using subsequent transition planning data entered by the EIS program and determined 100% compliance for  the program (i.e., notification for potentially eligible children was sent within the required timeframe). MA-C's Clinical Oversight and Support Specialist used data entered by the EIS program into EICS to determine the EIS program corrected the individual case of child-specific noncompliance, the child had notification sent to the LEA and SEA, although late, as demonstrated by transition data entered by the EIS program into EICS. MA-C also verified no outstanding corrective action existed under a State complaint or due process hearing decision for this child.  Because these instances of noncompliance were corrected prior to a finding being made, and the program’s ongoing compliance was verified using updated data, no formal findings were issued. Instead, the Clinical Oversight and Support Specialist emailed the one EIS program who had reported untimely notification to the LEA to remind them of the regulatory requirement and offer training and technical assistance to sustain compliance.</w:t>
      </w: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737AE102" w14:textId="64B3C8F0" w:rsidR="008203B4" w:rsidRPr="00A40EE1" w:rsidRDefault="000D0117" w:rsidP="007B0787">
      <w:pPr>
        <w:pStyle w:val="Heading2"/>
      </w:pPr>
      <w:r w:rsidRPr="00A40EE1">
        <w:t xml:space="preserve">8B - </w:t>
      </w:r>
      <w:r w:rsidR="008203B4" w:rsidRPr="00A40EE1">
        <w:t>Required Actions</w:t>
      </w:r>
    </w:p>
    <w:p w14:paraId="6FEEB595" w14:textId="36875EC9" w:rsidR="00D77E41" w:rsidRPr="00ED172B" w:rsidRDefault="00320806" w:rsidP="00811738">
      <w:pPr>
        <w:rPr>
          <w:rFonts w:eastAsiaTheme="majorEastAsia" w:cstheme="majorBidi"/>
          <w:b/>
          <w:bCs/>
          <w:color w:val="000000" w:themeColor="text1"/>
          <w:sz w:val="20"/>
          <w:szCs w:val="26"/>
        </w:rPr>
      </w:pPr>
      <w:r w:rsidRPr="00ED172B">
        <w:rPr>
          <w:color w:val="000000" w:themeColor="text1"/>
        </w:rPr>
        <w:t/>
      </w:r>
      <w:r w:rsidR="00D77E41"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52AE52C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at age 3 who have an IFSP with transition steps and services at least 90 days, and at the discretion of all parties not more than nine months, prior to their third birthday) divided by the (# of toddlers with disabilities exiting Part C at age 3)]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6AE1490A" w:rsidR="00D77E41"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1022D3E" w14:textId="29D6969E" w:rsidR="0060440D" w:rsidRPr="00EC51AB" w:rsidRDefault="0060440D" w:rsidP="00D77E41">
      <w:pPr>
        <w:rPr>
          <w:szCs w:val="16"/>
        </w:rPr>
      </w:pPr>
      <w:r w:rsidRPr="00EC51AB">
        <w:rPr>
          <w:szCs w:val="16"/>
        </w:rPr>
        <w:t xml:space="preserve">Indicator 8A: The measurement is intended to capture those children exiting at age 3 for whom an IFSP must be developed with transition steps and services within the required timeline consistent with 34 CFR </w:t>
      </w:r>
      <w:r w:rsidRPr="00ED172B">
        <w:rPr>
          <w:color w:val="000000" w:themeColor="text1"/>
          <w:szCs w:val="16"/>
        </w:rPr>
        <w:t>§</w:t>
      </w:r>
      <w:r w:rsidRPr="00EC51AB">
        <w:rPr>
          <w:szCs w:val="16"/>
        </w:rPr>
        <w:t>303.209(d) and, as such, only children between 2 years 3 months and 2 years 9 months should be included in the denominator.</w:t>
      </w:r>
    </w:p>
    <w:p w14:paraId="7CDA386C" w14:textId="5FBBE7C3"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46B709AB"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consistent with 34 CFR §303.209(e) and, as such, only children between 2 years 3 months and 2 years 9 months should be included in the denominator.</w:t>
      </w:r>
    </w:p>
    <w:p w14:paraId="35DB145D" w14:textId="76FAB930"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30A90D40" w14:textId="747BAC3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child-specific and regulatory/systemic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3BA2229B" w:rsidR="00D77E41"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2024 SPP/APR, the data for FFY 2023), and the State did not identify any findings of noncompliance, provide an explanation of why the State did not identify any findings of noncompliance.</w:t>
      </w:r>
    </w:p>
    <w:p w14:paraId="398A899B" w14:textId="561665AF" w:rsidR="00C1243C" w:rsidRPr="00EC51AB" w:rsidRDefault="00C538B3" w:rsidP="00D77E41">
      <w:pPr>
        <w:rPr>
          <w:szCs w:val="16"/>
        </w:rPr>
      </w:pPr>
      <w:r>
        <w:rPr>
          <w:szCs w:val="16"/>
        </w:rPr>
        <w:t>If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1809"/>
        <w:gridCol w:w="2013"/>
      </w:tblGrid>
      <w:tr w:rsidR="00C25621" w:rsidRPr="00ED172B" w14:paraId="30A17130" w14:textId="77777777" w:rsidTr="00A40EE1">
        <w:trPr>
          <w:trHeight w:val="350"/>
          <w:tblHeader/>
        </w:trPr>
        <w:tc>
          <w:tcPr>
            <w:tcW w:w="4285" w:type="pct"/>
            <w:tcBorders>
              <w:bottom w:val="single" w:sz="4" w:space="0" w:color="auto"/>
            </w:tcBorders>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vAlign w:val="center"/>
          </w:tcPr>
          <w:p w14:paraId="178C8059" w14:textId="6EB88F64" w:rsidR="000378F3" w:rsidRPr="00ED172B" w:rsidRDefault="000378F3" w:rsidP="000378F3">
            <w:pPr>
              <w:jc w:val="center"/>
              <w:rPr>
                <w:color w:val="000000" w:themeColor="text1"/>
              </w:rPr>
            </w:pPr>
            <w:r w:rsidRPr="00ED172B">
              <w:rPr>
                <w:color w:val="000000" w:themeColor="text1"/>
              </w:rPr>
              <w:t>97.70%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550"/>
        <w:gridCol w:w="2048"/>
        <w:gridCol w:w="2048"/>
        <w:gridCol w:w="2048"/>
        <w:gridCol w:w="2048"/>
        <w:gridCol w:w="2048"/>
      </w:tblGrid>
      <w:tr w:rsidR="00ED172B" w:rsidRPr="00ED172B" w14:paraId="2758FAB4" w14:textId="77777777" w:rsidTr="00A40EE1">
        <w:trPr>
          <w:trHeight w:val="350"/>
        </w:trPr>
        <w:tc>
          <w:tcPr>
            <w:tcW w:w="317" w:type="pct"/>
            <w:tcBorders>
              <w:bottom w:val="single" w:sz="4" w:space="0" w:color="auto"/>
            </w:tcBorders>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2020</w:t>
            </w:r>
          </w:p>
        </w:tc>
        <w:tc>
          <w:tcPr>
            <w:tcW w:w="937" w:type="pct"/>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2021</w:t>
            </w:r>
          </w:p>
        </w:tc>
        <w:tc>
          <w:tcPr>
            <w:tcW w:w="937" w:type="pct"/>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2022</w:t>
            </w:r>
          </w:p>
        </w:tc>
        <w:tc>
          <w:tcPr>
            <w:tcW w:w="937" w:type="pct"/>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2023</w:t>
            </w:r>
          </w:p>
        </w:tc>
      </w:tr>
      <w:tr w:rsidR="00ED172B" w:rsidRPr="00ED172B" w14:paraId="7BEE33EE" w14:textId="77777777" w:rsidTr="00A40EE1">
        <w:trPr>
          <w:trHeight w:val="357"/>
        </w:trPr>
        <w:tc>
          <w:tcPr>
            <w:tcW w:w="317" w:type="pct"/>
          </w:tcPr>
          <w:p w14:paraId="1B969246" w14:textId="74F4A18D" w:rsidR="00DC0682" w:rsidRPr="00ED172B" w:rsidRDefault="00DC0682" w:rsidP="00D21F29">
            <w:pPr>
              <w:jc w:val="center"/>
              <w:rPr>
                <w:color w:val="000000" w:themeColor="text1"/>
                <w:szCs w:val="16"/>
              </w:rPr>
            </w:pPr>
            <w:r w:rsidRPr="00ED172B">
              <w:rPr>
                <w:color w:val="000000" w:themeColor="text1"/>
                <w:szCs w:val="16"/>
              </w:rPr>
              <w:t>Target</w:t>
            </w:r>
          </w:p>
        </w:tc>
        <w:tc>
          <w:tcPr>
            <w:tcW w:w="937" w:type="pct"/>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tcPr>
          <w:p w14:paraId="7C4B21B3" w14:textId="77777777" w:rsidR="00DC0682" w:rsidRPr="00ED172B" w:rsidRDefault="00DC0682" w:rsidP="00D21F29">
            <w:pPr>
              <w:jc w:val="center"/>
              <w:rPr>
                <w:color w:val="000000" w:themeColor="text1"/>
                <w:szCs w:val="16"/>
              </w:rPr>
            </w:pPr>
            <w:r w:rsidRPr="00ED172B">
              <w:rPr>
                <w:color w:val="000000" w:themeColor="text1"/>
                <w:szCs w:val="16"/>
              </w:rPr>
              <w:t>Data</w:t>
            </w:r>
          </w:p>
        </w:tc>
        <w:tc>
          <w:tcPr>
            <w:tcW w:w="937" w:type="pct"/>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99.80%</w:t>
            </w:r>
          </w:p>
        </w:tc>
        <w:tc>
          <w:tcPr>
            <w:tcW w:w="937" w:type="pct"/>
            <w:tcBorders>
              <w:bottom w:val="single" w:sz="4" w:space="0" w:color="auto"/>
            </w:tcBorders>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98.48%</w:t>
            </w:r>
          </w:p>
        </w:tc>
        <w:tc>
          <w:tcPr>
            <w:tcW w:w="937" w:type="pct"/>
            <w:tcBorders>
              <w:bottom w:val="single" w:sz="4" w:space="0" w:color="auto"/>
            </w:tcBorders>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98.72%</w:t>
            </w:r>
          </w:p>
        </w:tc>
        <w:tc>
          <w:tcPr>
            <w:tcW w:w="937" w:type="pct"/>
            <w:tcBorders>
              <w:bottom w:val="single" w:sz="4" w:space="0" w:color="auto"/>
            </w:tcBorders>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99.76%</w:t>
            </w:r>
          </w:p>
        </w:tc>
        <w:tc>
          <w:tcPr>
            <w:tcW w:w="937" w:type="pct"/>
            <w:tcBorders>
              <w:bottom w:val="single" w:sz="4" w:space="0" w:color="auto"/>
            </w:tcBorders>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99.71%</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2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679"/>
        <w:gridCol w:w="2591"/>
        <w:gridCol w:w="2769"/>
      </w:tblGrid>
      <w:tr w:rsidR="00CF59E2" w:rsidRPr="00ED172B" w14:paraId="4A0A94D5" w14:textId="2110C8A4" w:rsidTr="00811738">
        <w:trPr>
          <w:trHeight w:val="328"/>
        </w:trPr>
        <w:tc>
          <w:tcPr>
            <w:tcW w:w="562" w:type="pct"/>
            <w:tcBorders>
              <w:bottom w:val="single" w:sz="4" w:space="0" w:color="auto"/>
            </w:tcBorders>
          </w:tcPr>
          <w:p w14:paraId="313F5767" w14:textId="77777777" w:rsidR="00CF59E2" w:rsidRPr="00ED172B" w:rsidRDefault="00CF59E2" w:rsidP="00A74C59">
            <w:pPr>
              <w:jc w:val="center"/>
              <w:rPr>
                <w:b/>
                <w:color w:val="000000" w:themeColor="text1"/>
                <w:szCs w:val="16"/>
              </w:rPr>
            </w:pPr>
            <w:r w:rsidRPr="00ED172B">
              <w:rPr>
                <w:b/>
                <w:color w:val="000000" w:themeColor="text1"/>
                <w:szCs w:val="16"/>
              </w:rPr>
              <w:t>FFY</w:t>
            </w:r>
          </w:p>
        </w:tc>
        <w:tc>
          <w:tcPr>
            <w:tcW w:w="2145" w:type="pct"/>
            <w:vAlign w:val="center"/>
          </w:tcPr>
          <w:p w14:paraId="6608DBF0" w14:textId="3185DA2A" w:rsidR="00CF59E2" w:rsidRPr="00ED172B" w:rsidRDefault="00CF59E2" w:rsidP="00A74C59">
            <w:pPr>
              <w:jc w:val="center"/>
              <w:rPr>
                <w:b/>
                <w:color w:val="000000" w:themeColor="text1"/>
                <w:szCs w:val="16"/>
              </w:rPr>
            </w:pPr>
            <w:r w:rsidRPr="00ED172B">
              <w:rPr>
                <w:rFonts w:cs="Arial"/>
                <w:b/>
                <w:color w:val="000000" w:themeColor="text1"/>
                <w:szCs w:val="16"/>
              </w:rPr>
              <w:t>2024</w:t>
            </w:r>
          </w:p>
        </w:tc>
        <w:tc>
          <w:tcPr>
            <w:tcW w:w="2293" w:type="pct"/>
          </w:tcPr>
          <w:p w14:paraId="1BEDEEFC" w14:textId="6DD58D98" w:rsidR="00CF59E2" w:rsidRPr="00ED172B" w:rsidRDefault="00CF59E2" w:rsidP="00A74C59">
            <w:pPr>
              <w:jc w:val="center"/>
              <w:rPr>
                <w:rFonts w:cs="Arial"/>
                <w:b/>
                <w:color w:val="000000" w:themeColor="text1"/>
                <w:szCs w:val="16"/>
              </w:rPr>
            </w:pPr>
            <w:r>
              <w:rPr>
                <w:rFonts w:cs="Arial"/>
                <w:b/>
                <w:color w:val="000000" w:themeColor="text1"/>
                <w:szCs w:val="16"/>
              </w:rPr>
              <w:t>2025</w:t>
            </w:r>
          </w:p>
        </w:tc>
      </w:tr>
      <w:tr w:rsidR="00CF59E2" w:rsidRPr="00ED172B" w14:paraId="330A4207" w14:textId="28309058" w:rsidTr="00811738">
        <w:trPr>
          <w:trHeight w:val="334"/>
        </w:trPr>
        <w:tc>
          <w:tcPr>
            <w:tcW w:w="562" w:type="pct"/>
          </w:tcPr>
          <w:p w14:paraId="12FC7A89" w14:textId="77777777" w:rsidR="00CF59E2" w:rsidRPr="00ED172B" w:rsidRDefault="00CF59E2" w:rsidP="00D21F29">
            <w:pPr>
              <w:jc w:val="center"/>
              <w:rPr>
                <w:color w:val="000000" w:themeColor="text1"/>
                <w:szCs w:val="16"/>
              </w:rPr>
            </w:pPr>
            <w:r w:rsidRPr="00ED172B">
              <w:rPr>
                <w:color w:val="000000" w:themeColor="text1"/>
                <w:szCs w:val="16"/>
              </w:rPr>
              <w:t>Target</w:t>
            </w:r>
          </w:p>
        </w:tc>
        <w:tc>
          <w:tcPr>
            <w:tcW w:w="2145" w:type="pct"/>
          </w:tcPr>
          <w:p w14:paraId="7AF5945C" w14:textId="2C6978AD" w:rsidR="00CF59E2" w:rsidRPr="00ED172B" w:rsidRDefault="00CF59E2" w:rsidP="00A74C59">
            <w:pPr>
              <w:jc w:val="center"/>
              <w:rPr>
                <w:color w:val="000000" w:themeColor="text1"/>
                <w:szCs w:val="16"/>
              </w:rPr>
            </w:pPr>
            <w:r w:rsidRPr="00ED172B">
              <w:rPr>
                <w:color w:val="000000" w:themeColor="text1"/>
                <w:szCs w:val="16"/>
              </w:rPr>
              <w:t>100%</w:t>
            </w:r>
          </w:p>
        </w:tc>
        <w:tc>
          <w:tcPr>
            <w:tcW w:w="2293" w:type="pct"/>
          </w:tcPr>
          <w:p w14:paraId="6A1E3CBC" w14:textId="7AF93675" w:rsidR="00CF59E2" w:rsidRPr="00ED172B" w:rsidRDefault="00CF59E2" w:rsidP="00A74C59">
            <w:pPr>
              <w:jc w:val="center"/>
              <w:rPr>
                <w:color w:val="000000" w:themeColor="text1"/>
                <w:szCs w:val="16"/>
              </w:rPr>
            </w:pPr>
            <w:r>
              <w:rPr>
                <w:rFonts w:cs="Arial"/>
                <w:color w:val="000000" w:themeColor="text1"/>
                <w:szCs w:val="16"/>
              </w:rPr>
              <w:t>100%</w:t>
            </w:r>
          </w:p>
        </w:tc>
      </w:tr>
    </w:tbl>
    <w:p w14:paraId="4A23C4F7" w14:textId="3447BF18" w:rsidR="003C1AB9" w:rsidRPr="00ED172B" w:rsidRDefault="00F22D09">
      <w:pPr>
        <w:rPr>
          <w:b/>
          <w:color w:val="000000" w:themeColor="text1"/>
        </w:rPr>
      </w:pPr>
      <w:r>
        <w:rPr>
          <w:b/>
          <w:color w:val="000000" w:themeColor="text1"/>
        </w:rPr>
        <w:t>FFY 2024 SPP/APR Data</w:t>
      </w:r>
    </w:p>
    <w:p w14:paraId="4035DB23" w14:textId="3F7AD15D" w:rsidR="00D3572A" w:rsidRPr="00ED172B" w:rsidRDefault="00D3572A">
      <w:pPr>
        <w:rPr>
          <w:b/>
          <w:color w:val="000000" w:themeColor="text1"/>
          <w:szCs w:val="16"/>
        </w:rPr>
      </w:pPr>
      <w:r w:rsidRPr="00ED172B">
        <w:rPr>
          <w:b/>
          <w:color w:val="000000" w:themeColor="text1"/>
          <w:szCs w:val="16"/>
        </w:rPr>
        <w:t>Data reflect only those toddlers for whom the Lead Agency was required to conduct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vAlign w:val="bottom"/>
          </w:tcPr>
          <w:p w14:paraId="658290B6" w14:textId="65BEA7DD" w:rsidR="00781A26" w:rsidRPr="00ED172B" w:rsidRDefault="00CD74B5" w:rsidP="00781A26">
            <w:pPr>
              <w:jc w:val="center"/>
              <w:rPr>
                <w:b/>
                <w:color w:val="000000" w:themeColor="text1"/>
                <w:szCs w:val="16"/>
              </w:rPr>
            </w:pPr>
            <w:r>
              <w:rPr>
                <w:rFonts w:cs="Arial"/>
                <w:b/>
                <w:color w:val="000000" w:themeColor="text1"/>
                <w:szCs w:val="16"/>
              </w:rPr>
              <w:t>FFY 2023 Data</w:t>
            </w:r>
          </w:p>
        </w:tc>
        <w:tc>
          <w:tcPr>
            <w:tcW w:w="542" w:type="pct"/>
            <w:vAlign w:val="bottom"/>
          </w:tcPr>
          <w:p w14:paraId="5CF67A25" w14:textId="5E3AA346" w:rsidR="00781A26" w:rsidRPr="00ED172B" w:rsidRDefault="00F22D09" w:rsidP="00781A26">
            <w:pPr>
              <w:jc w:val="center"/>
              <w:rPr>
                <w:b/>
                <w:color w:val="000000" w:themeColor="text1"/>
                <w:szCs w:val="16"/>
              </w:rPr>
            </w:pPr>
            <w:r>
              <w:rPr>
                <w:rFonts w:cs="Arial"/>
                <w:b/>
                <w:color w:val="000000" w:themeColor="text1"/>
                <w:szCs w:val="16"/>
              </w:rPr>
              <w:t>FFY 2024 Target</w:t>
            </w:r>
          </w:p>
        </w:tc>
        <w:tc>
          <w:tcPr>
            <w:tcW w:w="542" w:type="pct"/>
            <w:vAlign w:val="bottom"/>
          </w:tcPr>
          <w:p w14:paraId="76B8CA16" w14:textId="0A96940B" w:rsidR="00781A26" w:rsidRPr="00ED172B" w:rsidRDefault="00F22D09" w:rsidP="00781A26">
            <w:pPr>
              <w:jc w:val="center"/>
              <w:rPr>
                <w:b/>
                <w:color w:val="000000" w:themeColor="text1"/>
                <w:szCs w:val="16"/>
              </w:rPr>
            </w:pPr>
            <w:r>
              <w:rPr>
                <w:rFonts w:cs="Arial"/>
                <w:b/>
                <w:color w:val="000000" w:themeColor="text1"/>
                <w:szCs w:val="16"/>
              </w:rPr>
              <w:t>FFY 2024 Data</w:t>
            </w:r>
          </w:p>
        </w:tc>
        <w:tc>
          <w:tcPr>
            <w:tcW w:w="542" w:type="pct"/>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2,319</w:t>
            </w:r>
          </w:p>
        </w:tc>
        <w:tc>
          <w:tcPr>
            <w:tcW w:w="751" w:type="pct"/>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2,982</w:t>
            </w:r>
          </w:p>
        </w:tc>
        <w:tc>
          <w:tcPr>
            <w:tcW w:w="625" w:type="pct"/>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99.71%</w:t>
            </w:r>
          </w:p>
        </w:tc>
        <w:tc>
          <w:tcPr>
            <w:tcW w:w="542" w:type="pct"/>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99.73%</w:t>
            </w:r>
          </w:p>
        </w:tc>
        <w:tc>
          <w:tcPr>
            <w:tcW w:w="542" w:type="pct"/>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tcPr>
          <w:p w14:paraId="36D4F9B5" w14:textId="3DEAC2DD" w:rsidR="00781A26" w:rsidRPr="00ED172B" w:rsidRDefault="00320806" w:rsidP="00027F39">
            <w:pPr>
              <w:jc w:val="center"/>
              <w:rPr>
                <w:color w:val="000000" w:themeColor="text1"/>
              </w:rPr>
            </w:pPr>
            <w:r w:rsidRPr="00ED172B">
              <w:rPr>
                <w:color w:val="000000" w:themeColor="text1"/>
              </w:rPr>
              <w:t>No Slippage</w:t>
            </w:r>
          </w:p>
        </w:tc>
      </w:tr>
    </w:tbl>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0</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655</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 xml:space="preserve">When data related to the transition conference is not entered into the child's record, MA-C's state database (Early Intervention Client System; EICS) prompts the early intervention services (EIS) provider to enter the reasons for delayed transition conferences, which MA-C reviews. </w:t>
      </w:r>
    </w:p>
    <w:p>
      <w:pPr>
        <w:pStyle w:val=""/>
      </w:pPr>
      <w:r>
        <w:rPr>
          <w:rFonts w:ascii="" w:hAnsi="" w:cs="" w:eastAsia=""/>
          <w:b w:val="false"/>
          <w:i w:val="false"/>
          <w:color w:val="000000"/>
        </w:rPr>
        <w:t/>
      </w:r>
    </w:p>
    <w:p>
      <w:pPr>
        <w:pStyle w:val=""/>
      </w:pPr>
      <w:r>
        <w:rPr>
          <w:rFonts w:ascii="" w:hAnsi="" w:cs="" w:eastAsia=""/>
          <w:b w:val="false"/>
          <w:i w:val="false"/>
          <w:color w:val="000000"/>
        </w:rPr>
        <w:t xml:space="preserve">Delays attributable to exceptional family circumstances include a family problem scheduling appointment to hold the transition conference, the family missing or cancelling an appointment, weather or other emergency declared, and illness if the child or family were unavailable for the appointment. </w:t>
      </w:r>
    </w:p>
    <w:p>
      <w:pPr>
        <w:pStyle w:val=""/>
      </w:pPr>
      <w:r>
        <w:rPr>
          <w:rFonts w:ascii="" w:hAnsi="" w:cs="" w:eastAsia=""/>
          <w:b w:val="false"/>
          <w:i w:val="false"/>
          <w:color w:val="000000"/>
        </w:rPr>
        <w:t/>
      </w:r>
    </w:p>
    <w:p>
      <w:pPr>
        <w:pStyle w:val=""/>
      </w:pPr>
      <w:r>
        <w:rPr>
          <w:rFonts w:ascii="" w:hAnsi="" w:cs="" w:eastAsia=""/>
          <w:b w:val="false"/>
          <w:i w:val="false"/>
          <w:color w:val="000000"/>
        </w:rPr>
        <w:t xml:space="preserve">Eight children's records indicated that a transition conference was delayed for reasons not attributable to exceptional family circumstances. In seven of the eight records, data entered into the record by the EIS providers indicated that transition conferences were delayed for reasons including a provider scheduling problem or other local program administrative reasons. The remaining one child's record did not have documented reasons for delay and is considered noncompliant. </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database</w:t>
      </w:r>
    </w:p>
    <w:p w14:paraId="1D234BC8" w14:textId="55633D84" w:rsidR="00781A26" w:rsidRPr="00ED172B" w:rsidRDefault="00781A26">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1EF1B9" w14:textId="471657D2" w:rsidR="00781A26" w:rsidRPr="00ED172B" w:rsidRDefault="00860830" w:rsidP="00781A26">
      <w:pPr>
        <w:rPr>
          <w:color w:val="000000" w:themeColor="text1"/>
        </w:rPr>
      </w:pPr>
      <w:r w:rsidRPr="00ED172B">
        <w:rPr>
          <w:color w:val="000000" w:themeColor="text1"/>
        </w:rPr>
        <w:t>Federal Fiscal Year 2024, Quarter 1 (July 1, 2024 - September 30, 2024)</w:t>
      </w:r>
    </w:p>
    <w:p w14:paraId="342C3DA5" w14:textId="22804128" w:rsidR="00781A26" w:rsidRPr="00ED172B" w:rsidRDefault="00781A26">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045AB1A" w14:textId="660FC827" w:rsidR="00781A26" w:rsidRDefault="00860830" w:rsidP="00781A26">
      <w:pPr>
        <w:rPr>
          <w:rFonts w:cs="Arial"/>
          <w:color w:val="000000" w:themeColor="text1"/>
          <w:szCs w:val="16"/>
        </w:rPr>
      </w:pPr>
      <w:r w:rsidRPr="00ED172B">
        <w:rPr>
          <w:rFonts w:cs="Arial"/>
          <w:color w:val="000000" w:themeColor="text1"/>
          <w:szCs w:val="16"/>
        </w:rPr>
        <w:t xml:space="preserve">As allowed by the measurement table, MA-C is reporting data for a selection of the full reporting year. The Lead Agency (MA-C) implemented its documented process to select a quarter of data that accurately reflect data for infants and toddlers with IFSPs for the full reporting period. First, MA-C’s Part C Data Manager defined the analytic population and the full federal fiscal year benchmark. For Indicator 8C, she did so by reviewing the OSEP Measurement Table and defining the specific denominator (i.e., the total number of infants and toddlers with IFSPs during federal fiscal year 2025 (FFY24; July 1, 2024-June 30, 2025).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she constructed candidate quarters using consistent date rules. She did this by querying four candidate quarter datasets (i.e., Q1-Q4) using the same denominator rules and key date fields used in the indicator calculation. MA-C maintains documentation of each quarter’s start and end dates and the exact date of the database query.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the Part C Data Manager evaluates representativeness by geographic region, child race/ethnicity, and early intervention services program distribution. To demonstrate that the selected quarter reflects data for infants and toddlers with IFSPs for the full reporting period, MA-C compares each candidate quarter to the full FFY benchmark using these three representativeness dimensions. MA-C selected these dimensions to mirror OSEP’s general expectation that, when sampling is used, states must describe how key aspects of the population are represented and that samples must be representative of the programs included. </w:t>
      </w:r>
    </w:p>
    <w:p>
      <w:pPr>
        <w:pStyle w:val=""/>
      </w:pPr>
      <w:r>
        <w:rPr>
          <w:rFonts w:ascii="" w:hAnsi="" w:cs="" w:eastAsia=""/>
          <w:b w:val="false"/>
          <w:i w:val="false"/>
          <w:color w:val="000000"/>
        </w:rPr>
        <w:t/>
      </w:r>
    </w:p>
    <w:p>
      <w:pPr>
        <w:pStyle w:val=""/>
      </w:pPr>
      <w:r>
        <w:rPr>
          <w:rFonts w:ascii="" w:hAnsi="" w:cs="" w:eastAsia=""/>
          <w:b w:val="false"/>
          <w:i w:val="false"/>
          <w:color w:val="000000"/>
        </w:rPr>
        <w:t xml:space="preserve">Next, MA-C applies and explicit representativeness metric and minimum-N stability rules. MA-C does this by using a simple, auditable metric to quantify representativeness: for each geographic region, race/ethnicity group, and EIS program, MA-C computes the absolute percentage-point difference between the quarter distribution and the full FFY distribution. MA-C sets and documents a threshold (“no group differs by more than ±10 percentage points”) and applies minimum-N rules to avoid unstable estimates, particularly for small programs/regions. This is consistent with OSEP’s emphasis that designs yield valid and reliable estimates and that MA-C avoid public reporting where data are too small to be statistically reliable or could risk disclosure. </w:t>
      </w:r>
    </w:p>
    <w:p>
      <w:pPr>
        <w:pStyle w:val=""/>
      </w:pPr>
      <w:r>
        <w:rPr>
          <w:rFonts w:ascii="" w:hAnsi="" w:cs="" w:eastAsia=""/>
          <w:b w:val="false"/>
          <w:i w:val="false"/>
          <w:color w:val="000000"/>
        </w:rPr>
        <w:t/>
      </w:r>
    </w:p>
    <w:p>
      <w:pPr>
        <w:pStyle w:val=""/>
      </w:pPr>
      <w:r>
        <w:rPr>
          <w:rFonts w:ascii="" w:hAnsi="" w:cs="" w:eastAsia=""/>
          <w:b w:val="false"/>
          <w:i w:val="false"/>
          <w:color w:val="000000"/>
        </w:rPr>
        <w:t xml:space="preserve">Then, the MA-C Part C Data Manager selects the quarter and documents the rationale. She selects the quarter that (a) meets the representativeness thresholds across EI Region, race/ethnicity, and program distribution, and (b) supports stable denominators for statewide and program-level reporting. For the SPP/APR indicator narrative, MA-C documents: the quarter used (e.g., “September–December / fourth quarter”), the reason the quarter was selected, and a concise statement describing how the quarter’s distributions align with the full FFY population, addressing OSEP’s requirement to explain the time period and how it accurately reflects the full reporting period for Indicator 8C when using a State database. </w:t>
      </w:r>
    </w:p>
    <w:p>
      <w:pPr>
        <w:pStyle w:val=""/>
      </w:pPr>
      <w:r>
        <w:rPr>
          <w:rFonts w:ascii="" w:hAnsi="" w:cs="" w:eastAsia=""/>
          <w:b w:val="false"/>
          <w:i w:val="false"/>
          <w:color w:val="000000"/>
        </w:rPr>
        <w:t/>
      </w:r>
    </w:p>
    <w:p>
      <w:pPr>
        <w:pStyle w:val=""/>
      </w:pPr>
      <w:r>
        <w:rPr>
          <w:rFonts w:ascii="" w:hAnsi="" w:cs="" w:eastAsia=""/>
          <w:b w:val="false"/>
          <w:i w:val="false"/>
          <w:color w:val="000000"/>
        </w:rPr>
        <w:t>In the event that no single quarter meets representativeness and stability thresholds, MA-C expands the analytic window (e.g., combining two adjacent quarters) or uses a defined supplementation approach (i.e., adding records from underrepresented geographic regions, EIS programs, or race/ethnicity strata) and then reruns the representativeness checks. The selected time period and remediation steps are documented so MA-C can still describe the “time period used” and how it reflects the full reporting period.</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860830" w:rsidP="003A3693">
      <w:pPr>
        <w:rPr>
          <w:rFonts w:cs="Arial"/>
          <w:color w:val="000000" w:themeColor="text1"/>
          <w:szCs w:val="16"/>
        </w:rPr>
      </w:pPr>
      <w:r w:rsidRPr="00ED172B">
        <w:rPr>
          <w:rFonts w:cs="Arial"/>
          <w:color w:val="000000" w:themeColor="text1"/>
          <w:szCs w:val="16"/>
        </w:rPr>
        <w:lastRenderedPageBreak/>
        <w:t>MA-C's performance with respect to indicators 8A, 8B, and 8C has been below the required 100% for several years. In direct response, MA-C has partnered with MA-B to provide general and targeted technical assistance and training to EIS programs with compliance rates less than 100%. During federal fiscal year 2024 (FFY24; July 1, 2024-June 30, 2025), the vendor provided collaborative convening meetings for early intervention service programs and local education agencies to attend together. These convenings featured panel discussions highlighting strategies that LEAs and EIS providers are using to support smooth transitions from Part C early intervention to Part B early childhood special education services. Each meeting focused on a different topic based on feedback from participants in TA the previous fiscal year. The provider also created a “voices from the field” series in which they highlighted specific providers and educators for innovative practices and strong collaboration. They hosted office hours by appointment hours, there were six office hours by appointment offered. The provider also engaged in intensive TA with many EIS programs, 8 EIS programs engaged in this intensive TA throughout FFY24. In addition, the vendor developed targeted technical assistance plans to several MA-B LEAs and included the corresponding EIS programs in those events.</w:t>
      </w:r>
    </w:p>
    <w:p w14:paraId="0F5F1132" w14:textId="76BC0BA1" w:rsidR="00E06C1E" w:rsidRPr="00ED172B" w:rsidRDefault="00E06C1E" w:rsidP="00B83404">
      <w:pPr>
        <w:rPr>
          <w:color w:val="000000" w:themeColor="text1"/>
        </w:rPr>
      </w:pPr>
      <w:r w:rsidRPr="00ED172B">
        <w:rPr>
          <w:b/>
          <w:color w:val="000000" w:themeColor="text1"/>
        </w:rPr>
        <w:t>Correction of Findings of Noncompliance Identified in FFY 2023</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68" w:type="pct"/>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1</w:t>
            </w:r>
          </w:p>
        </w:tc>
        <w:tc>
          <w:tcPr>
            <w:tcW w:w="1268" w:type="pct"/>
          </w:tcPr>
          <w:p w14:paraId="2EF88B35" w14:textId="56AB0211" w:rsidR="00E06C1E" w:rsidRPr="00ED172B" w:rsidRDefault="00860830" w:rsidP="00ED172B">
            <w:pPr>
              <w:jc w:val="center"/>
              <w:rPr>
                <w:rFonts w:cs="Arial"/>
                <w:color w:val="000000" w:themeColor="text1"/>
                <w:szCs w:val="16"/>
              </w:rPr>
            </w:pPr>
            <w:r w:rsidRPr="00ED172B">
              <w:rPr>
                <w:rFonts w:cs="Arial"/>
                <w:color w:val="000000" w:themeColor="text1"/>
                <w:szCs w:val="16"/>
              </w:rPr>
              <w:t>1</w:t>
            </w:r>
          </w:p>
        </w:tc>
        <w:tc>
          <w:tcPr>
            <w:tcW w:w="1211" w:type="pct"/>
          </w:tcPr>
          <w:p w14:paraId="0C3899CA" w14:textId="52A91E73" w:rsidR="00E06C1E" w:rsidRPr="00ED172B" w:rsidRDefault="00860830" w:rsidP="00B17243">
            <w:pPr>
              <w:jc w:val="center"/>
              <w:rPr>
                <w:rFonts w:cs="Arial"/>
                <w:color w:val="000000" w:themeColor="text1"/>
                <w:szCs w:val="16"/>
              </w:rPr>
            </w:pPr>
            <w:r w:rsidRPr="00ED172B">
              <w:rPr>
                <w:rFonts w:cs="Arial"/>
                <w:color w:val="000000" w:themeColor="text1"/>
                <w:szCs w:val="16"/>
              </w:rPr>
              <w:t>0</w:t>
            </w:r>
          </w:p>
        </w:tc>
        <w:tc>
          <w:tcPr>
            <w:tcW w:w="1312" w:type="pct"/>
          </w:tcPr>
          <w:p w14:paraId="17C46319" w14:textId="0968AE1A" w:rsidR="00E06C1E" w:rsidRPr="00ED172B" w:rsidRDefault="00860830" w:rsidP="00D21F29">
            <w:pPr>
              <w:jc w:val="center"/>
              <w:rPr>
                <w:rFonts w:cs="Arial"/>
                <w:color w:val="000000" w:themeColor="text1"/>
                <w:szCs w:val="16"/>
              </w:rPr>
            </w:pPr>
            <w:r w:rsidRPr="00ED172B">
              <w:rPr>
                <w:rFonts w:cs="Arial"/>
                <w:color w:val="000000" w:themeColor="text1"/>
                <w:szCs w:val="16"/>
              </w:rPr>
              <w:t>0</w:t>
            </w:r>
          </w:p>
        </w:tc>
      </w:tr>
    </w:tbl>
    <w:p w14:paraId="516D9735" w14:textId="27170A90" w:rsidR="00E06C1E" w:rsidRPr="00ED172B" w:rsidRDefault="00CD74B5" w:rsidP="00B83404">
      <w:pPr>
        <w:rPr>
          <w:color w:val="000000" w:themeColor="text1"/>
        </w:rPr>
      </w:pPr>
      <w:r>
        <w:rPr>
          <w:b/>
          <w:color w:val="000000" w:themeColor="text1"/>
        </w:rPr>
        <w:t>FFY 2023 Findings of Noncompliance Verified as Corrected</w:t>
      </w:r>
    </w:p>
    <w:p w14:paraId="744E9FCC" w14:textId="4DDC632D" w:rsidR="00E06C1E" w:rsidRPr="00ED172B" w:rsidRDefault="00E06C1E">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7554342" w14:textId="19034021" w:rsidR="00E06C1E" w:rsidRPr="00ED172B" w:rsidRDefault="00860830">
      <w:pPr>
        <w:rPr>
          <w:color w:val="000000" w:themeColor="text1"/>
        </w:rPr>
      </w:pPr>
      <w:r w:rsidRPr="00ED172B">
        <w:rPr>
          <w:color w:val="000000" w:themeColor="text1"/>
        </w:rPr>
        <w:t xml:space="preserve">During federal fiscal year 2023 (FFY23; July 1, 2023-June 30, 2024), the Lead Agency (MA-C) did not report 100% compliance for Indicator 8C, the percentage of infants and toddlers for whom a transition conference is held at least 90 days prior to the toddler’s third birthday. MA-C reviewed its state database (Early Intervention Client System; EICS) and discovered seven records across four early intervention services (EIS) programs that suggested that transition conferences were not provided in a timely manner. </w:t>
      </w:r>
    </w:p>
    <w:p>
      <w:pPr>
        <w:pStyle w:val=""/>
      </w:pPr>
      <w:r>
        <w:rPr>
          <w:rFonts w:ascii="" w:hAnsi="" w:cs="" w:eastAsia=""/>
          <w:b w:val="false"/>
          <w:i w:val="false"/>
          <w:color w:val="000000"/>
        </w:rPr>
        <w:t/>
      </w:r>
    </w:p>
    <w:p>
      <w:pPr>
        <w:pStyle w:val=""/>
      </w:pPr>
      <w:r>
        <w:rPr>
          <w:rFonts w:ascii="" w:hAnsi="" w:cs="" w:eastAsia=""/>
          <w:b w:val="false"/>
          <w:i w:val="false"/>
          <w:color w:val="000000"/>
        </w:rPr>
        <w:t xml:space="preserve">In six of the seven instances, MA-C verified that the children received services, although late. In one of the seven instances MA-C verified that the child was no longer in jurisdiction. MA-C makes findings of noncompliance by EIS program. MA-C initiated a pre-finding correction process consistent with its general supervision practices. For all EIS programs identified related to these seven records (four EIS programs), MA-C identified three pre-finding corrections and one findings of noncompliance. </w:t>
      </w:r>
    </w:p>
    <w:p>
      <w:pPr>
        <w:pStyle w:val=""/>
      </w:pPr>
      <w:r>
        <w:rPr>
          <w:rFonts w:ascii="" w:hAnsi="" w:cs="" w:eastAsia=""/>
          <w:b w:val="false"/>
          <w:i w:val="false"/>
          <w:color w:val="000000"/>
        </w:rPr>
        <w:t/>
      </w:r>
    </w:p>
    <w:p>
      <w:pPr>
        <w:pStyle w:val=""/>
      </w:pPr>
      <w:r>
        <w:rPr>
          <w:rFonts w:ascii="" w:hAnsi="" w:cs="" w:eastAsia=""/>
          <w:b w:val="false"/>
          <w:i w:val="false"/>
          <w:color w:val="000000"/>
        </w:rPr>
        <w:t/>
      </w:r>
    </w:p>
    <w:p>
      <w:pPr>
        <w:pStyle w:val=""/>
      </w:pPr>
      <w:r>
        <w:rPr>
          <w:rFonts w:ascii="" w:hAnsi="" w:cs="" w:eastAsia=""/>
          <w:b w:val="false"/>
          <w:i w:val="false"/>
          <w:color w:val="000000"/>
        </w:rPr>
        <w:t xml:space="preserve">One of the four EIS Programs identified with noncompliance received formal written notification of their finding of noncompliance. To verify correction of this noncompliance, one of MA-C's Clinical Oversight and Support Specialist verified ongoing compliance for the early intervention services (EIS) program with compliance rates below 100%. For this EIS program, the Clinical Oversight and Support Specialist sampled 10 child records at random (based on a z score analysis of a representative sample by program size) using subsequent transition data entered by the EIS program and determined 100% compliance had been demonstrated for this requirement. The clinical oversight and support specialist also queried the database for each individual child record with noncompliance to verify the child received the transition conference although late or was out of the jurisdiction of that EIS program. </w:t>
      </w:r>
    </w:p>
    <w:p>
      <w:pPr>
        <w:pStyle w:val=""/>
      </w:pPr>
      <w:r>
        <w:rPr>
          <w:rFonts w:ascii="" w:hAnsi="" w:cs="" w:eastAsia=""/>
          <w:b w:val="false"/>
          <w:i w:val="false"/>
          <w:color w:val="000000"/>
        </w:rPr>
        <w:t/>
      </w:r>
    </w:p>
    <w:p>
      <w:pPr>
        <w:pStyle w:val=""/>
      </w:pPr>
      <w:r>
        <w:rPr>
          <w:rFonts w:ascii="" w:hAnsi="" w:cs="" w:eastAsia=""/>
          <w:b w:val="false"/>
          <w:i w:val="false"/>
          <w:color w:val="000000"/>
        </w:rPr>
        <w:t>MA-C identified one instance of noncompliance across one EIS program (i.e., The May Center) for indicator 8C through annual monitoring of its state database (the Early Intervention Client System; EICS).</w:t>
      </w:r>
    </w:p>
    <w:p w14:paraId="6D01EF0D" w14:textId="1AD582C0" w:rsidR="00E06C1E" w:rsidRPr="00ED172B" w:rsidRDefault="00E06C1E">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7E3CA8C6" w14:textId="7957D363" w:rsidR="00E06C1E" w:rsidRDefault="00860830">
      <w:pPr>
        <w:rPr>
          <w:color w:val="000000" w:themeColor="text1"/>
        </w:rPr>
      </w:pPr>
      <w:r w:rsidRPr="00ED172B">
        <w:rPr>
          <w:color w:val="000000" w:themeColor="text1"/>
        </w:rPr>
        <w:t>MA-C verified that six of the seven children identified received their transition conference although late (less than 90 days before their 3rd birthday as required by part C) and one of the seven children was out of jurisdiction.</w:t>
      </w:r>
    </w:p>
    <w:p>
      <w:pPr>
        <w:pStyle w:val=""/>
      </w:pPr>
      <w:r>
        <w:rPr>
          <w:rFonts w:ascii="" w:hAnsi="" w:cs="" w:eastAsia=""/>
          <w:b w:val="false"/>
          <w:i w:val="false"/>
          <w:color w:val="000000"/>
        </w:rPr>
        <w:t/>
      </w:r>
    </w:p>
    <w:p>
      <w:pPr>
        <w:pStyle w:val=""/>
      </w:pPr>
      <w:r>
        <w:rPr>
          <w:rFonts w:ascii="" w:hAnsi="" w:cs="" w:eastAsia=""/>
          <w:b w:val="false"/>
          <w:i w:val="false"/>
          <w:color w:val="000000"/>
        </w:rPr>
        <w:t>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one of seven children left the jurisdiction before a transition conference could be held. Six of the seven children had a transition conference provided late, as demonstrated by transition data entered by the EIS programs into EICS.</w:t>
      </w:r>
    </w:p>
    <w:p w14:paraId="107D06A1" w14:textId="77777777" w:rsidR="00416EBD" w:rsidRPr="00964E73" w:rsidRDefault="00416EBD" w:rsidP="00416EBD">
      <w:pPr>
        <w:rPr>
          <w:b/>
          <w:color w:val="000000" w:themeColor="text1"/>
        </w:rPr>
      </w:pPr>
      <w:r w:rsidRPr="00964E73">
        <w:rPr>
          <w:b/>
          <w:color w:val="000000" w:themeColor="text1"/>
        </w:rPr>
        <w:t xml:space="preserve">If procedures have been adopted that permit EIS program or providers to correct noncompliance prior to the State’s issuance of a finding (i.e., pre-finding correction), describe how, for instances of noncompliance discovered in FFY 2023, the State verified: (1) that the source of noncompliance is correctly implementing the </w:t>
      </w:r>
      <w:r w:rsidRPr="00964E73">
        <w:rPr>
          <w:b/>
          <w:i/>
          <w:iCs/>
          <w:color w:val="000000" w:themeColor="text1"/>
        </w:rPr>
        <w:t>regulatory requirements</w:t>
      </w:r>
      <w:r w:rsidRPr="00964E73">
        <w:rPr>
          <w:b/>
          <w:color w:val="000000" w:themeColor="text1"/>
        </w:rPr>
        <w:t xml:space="preserve">; </w:t>
      </w:r>
      <w:r w:rsidRPr="00B46909">
        <w:rPr>
          <w:b/>
          <w:color w:val="000000" w:themeColor="text1"/>
        </w:rPr>
        <w:t>and, (</w:t>
      </w:r>
      <w:r w:rsidRPr="00964E73">
        <w:rPr>
          <w:b/>
          <w:color w:val="000000" w:themeColor="text1"/>
        </w:rPr>
        <w:t xml:space="preserve">2) each </w:t>
      </w:r>
      <w:r w:rsidRPr="00964E73">
        <w:rPr>
          <w:b/>
          <w:i/>
          <w:iCs/>
          <w:color w:val="000000" w:themeColor="text1"/>
        </w:rPr>
        <w:t>individual case</w:t>
      </w:r>
      <w:r w:rsidRPr="00964E73">
        <w:rPr>
          <w:b/>
          <w:color w:val="000000" w:themeColor="text1"/>
        </w:rPr>
        <w:t xml:space="preserve"> of noncompliance was corrected.</w:t>
      </w:r>
    </w:p>
    <w:p w14:paraId="277404E3" w14:textId="77777777" w:rsidR="00416EBD" w:rsidRPr="00EE69F5" w:rsidRDefault="00416EBD" w:rsidP="00416EBD">
      <w:r w:rsidRPr="00EE69F5">
        <w:t>During FFY23, MA-C allowed for three pre-finding corrections. MA-C was able to verify within 3 months of identification of noncompliance, prior to issuing a finding, that the EIS programs were correctly implementing the specific regulatory requirement. This was verified based on a review of subsequent data for the EIS program in the Early Intervention Client System (sample of 10 to 20 children for each EIS program based on z score analysis of program size)  that showed they were meeting the requirement at 100% (Transition Conference held within the required IDEA part C timeframe). Because these three EIS programs corrected the child level noncompliance (i.e., the child received the transition conference, although late or was no longer in jurisdiction) prior to detection and the programs' ongoing compliance was verified as 100% using updated data, no formal findings were issued. Instead, MA-C then notified the directors of the three affected EIS programs of the discovery and subsequent correction of noncompliance and, in accordance with MA-C's General Supervision procedures, no written findings were issued.</w:t>
      </w:r>
    </w:p>
    <w:p w14:paraId="24E59DC5" w14:textId="39E3568D" w:rsidR="00E06C1E" w:rsidRPr="00ED172B" w:rsidRDefault="00E06C1E" w:rsidP="00B83404">
      <w:pPr>
        <w:rPr>
          <w:color w:val="000000" w:themeColor="text1"/>
        </w:rPr>
      </w:pPr>
      <w:r w:rsidRPr="00ED172B">
        <w:rPr>
          <w:b/>
          <w:color w:val="000000" w:themeColor="text1"/>
        </w:rPr>
        <w:t>Correction of Findings of Noncompliance Identified Prior to FFY 2023</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vAlign w:val="bottom"/>
          </w:tcPr>
          <w:p w14:paraId="5E5FCDEA" w14:textId="617C32C4"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2023 APR</w:t>
            </w:r>
          </w:p>
        </w:tc>
        <w:tc>
          <w:tcPr>
            <w:tcW w:w="1385" w:type="pct"/>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tcPr>
          <w:p w14:paraId="0462C17B" w14:textId="6F7A2E92" w:rsidR="00E06C1E"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69" w:type="pct"/>
          </w:tcPr>
          <w:p w14:paraId="5BA52FCC" w14:textId="3D598A47"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5" w:type="pct"/>
          </w:tcPr>
          <w:p w14:paraId="6B279413" w14:textId="2F1AADB8"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92" w:type="pct"/>
          </w:tcPr>
          <w:p w14:paraId="68689D7A" w14:textId="2D874336"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56685A6A" w14:textId="77777777" w:rsidTr="00986B99">
        <w:tc>
          <w:tcPr>
            <w:tcW w:w="954" w:type="pct"/>
          </w:tcPr>
          <w:p w14:paraId="7179E786" w14:textId="392A4084" w:rsidR="00E06C1E"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69" w:type="pct"/>
          </w:tcPr>
          <w:p w14:paraId="6CB3F624" w14:textId="24F9CFE3"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5" w:type="pct"/>
          </w:tcPr>
          <w:p w14:paraId="4EF6A3A9" w14:textId="5371D864"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92" w:type="pct"/>
          </w:tcPr>
          <w:p w14:paraId="66F1697A" w14:textId="51875C1A"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423BF0B3" w14:textId="77777777" w:rsidTr="00986B99">
        <w:tc>
          <w:tcPr>
            <w:tcW w:w="954" w:type="pct"/>
          </w:tcPr>
          <w:p w14:paraId="7C618054" w14:textId="50E5413D" w:rsidR="00E06C1E" w:rsidRPr="00ED172B" w:rsidRDefault="00860830" w:rsidP="00D21F29">
            <w:pPr>
              <w:jc w:val="center"/>
              <w:rPr>
                <w:rFonts w:cs="Arial"/>
                <w:color w:val="000000" w:themeColor="text1"/>
                <w:szCs w:val="16"/>
              </w:rPr>
            </w:pPr>
            <w:r w:rsidRPr="00ED172B">
              <w:rPr>
                <w:rFonts w:cs="Arial"/>
                <w:color w:val="000000" w:themeColor="text1"/>
                <w:szCs w:val="16"/>
              </w:rPr>
              <w:t/>
            </w:r>
          </w:p>
        </w:tc>
        <w:tc>
          <w:tcPr>
            <w:tcW w:w="1369" w:type="pct"/>
          </w:tcPr>
          <w:p w14:paraId="4384FEF7" w14:textId="06049B4E"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5" w:type="pct"/>
          </w:tcPr>
          <w:p w14:paraId="60362BA9" w14:textId="53FAE770"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92" w:type="pct"/>
          </w:tcPr>
          <w:p w14:paraId="1935DBBF" w14:textId="5B8D837C"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422BEE" w:rsidRPr="00ED172B" w14:paraId="6EF5CDEF" w14:textId="77777777" w:rsidTr="00986B99">
        <w:tc>
          <w:tcPr>
            <w:tcW w:w="954" w:type="pct"/>
          </w:tcPr>
          <w:p w14:paraId="74463FE6" w14:textId="4B3ED3AA" w:rsidR="00422BEE" w:rsidRPr="00ED172B" w:rsidRDefault="00422BEE" w:rsidP="00D21F29">
            <w:pPr>
              <w:jc w:val="center"/>
              <w:rPr>
                <w:rFonts w:cs="Arial"/>
                <w:color w:val="000000" w:themeColor="text1"/>
                <w:szCs w:val="16"/>
              </w:rPr>
            </w:pPr>
            <w:r w:rsidRPr="00ED172B">
              <w:rPr>
                <w:rFonts w:cs="Arial"/>
                <w:color w:val="000000" w:themeColor="text1"/>
                <w:szCs w:val="16"/>
              </w:rPr>
              <w:t/>
            </w:r>
          </w:p>
        </w:tc>
        <w:tc>
          <w:tcPr>
            <w:tcW w:w="1369" w:type="pct"/>
          </w:tcPr>
          <w:p w14:paraId="460E61A6" w14:textId="48EA216E"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385" w:type="pct"/>
          </w:tcPr>
          <w:p w14:paraId="30C50A54" w14:textId="55A06122"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292" w:type="pct"/>
          </w:tcPr>
          <w:p w14:paraId="1229F702" w14:textId="4C186FAB"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r>
      <w:tr w:rsidR="00422BEE" w:rsidRPr="00ED172B" w14:paraId="4701CE6F" w14:textId="77777777" w:rsidTr="00986B99">
        <w:tc>
          <w:tcPr>
            <w:tcW w:w="954" w:type="pct"/>
          </w:tcPr>
          <w:p w14:paraId="5B94419F" w14:textId="7AC21A0A" w:rsidR="00422BEE" w:rsidRPr="00ED172B" w:rsidRDefault="00422BEE" w:rsidP="00D21F29">
            <w:pPr>
              <w:jc w:val="center"/>
              <w:rPr>
                <w:rFonts w:cs="Arial"/>
                <w:color w:val="000000" w:themeColor="text1"/>
                <w:szCs w:val="16"/>
              </w:rPr>
            </w:pPr>
            <w:r w:rsidRPr="00ED172B">
              <w:rPr>
                <w:rFonts w:cs="Arial"/>
                <w:color w:val="000000" w:themeColor="text1"/>
                <w:szCs w:val="16"/>
              </w:rPr>
              <w:t/>
            </w:r>
          </w:p>
        </w:tc>
        <w:tc>
          <w:tcPr>
            <w:tcW w:w="1369" w:type="pct"/>
          </w:tcPr>
          <w:p w14:paraId="61A65B88" w14:textId="46B3C92D"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385" w:type="pct"/>
          </w:tcPr>
          <w:p w14:paraId="46126A64" w14:textId="42C89DB5"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c>
          <w:tcPr>
            <w:tcW w:w="1292" w:type="pct"/>
          </w:tcPr>
          <w:p w14:paraId="4B884D14" w14:textId="4359A626" w:rsidR="00422BEE" w:rsidRPr="00ED172B" w:rsidRDefault="00422BEE" w:rsidP="00422BEE">
            <w:pPr>
              <w:jc w:val="center"/>
              <w:rPr>
                <w:rFonts w:cs="Arial"/>
                <w:color w:val="000000" w:themeColor="text1"/>
                <w:szCs w:val="16"/>
              </w:rPr>
            </w:pPr>
            <w:r w:rsidRPr="00ED172B">
              <w:rPr>
                <w:rFonts w:cs="Arial"/>
                <w:color w:val="000000" w:themeColor="text1"/>
                <w:szCs w:val="16"/>
              </w:rPr>
              <w:t/>
            </w:r>
          </w:p>
        </w:tc>
      </w:tr>
    </w:tbl>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EIS program or provider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of noncompliance in FFY 2023. If the State did not issue any findings because it has adopted procedures that permit its EIS programs/providers to correct noncompliance prior to the State's issuance of a finding (i.e., pre-finding correction), the explanation must include how the State verified, prior to issuing a finding, that the EIS program/provider has corrected each individual case of child-specific noncompliance and is correctly implementing the specific regulatory requirements. </w:t>
      </w:r>
    </w:p>
    <w:p w14:paraId="4EE6B923" w14:textId="74B47758" w:rsidR="00E06C1E" w:rsidRPr="00ED172B" w:rsidRDefault="00E06C1E"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7FE546ED" w14:textId="628A60E0" w:rsidR="00720D77" w:rsidRPr="00ED172B" w:rsidRDefault="00027F39" w:rsidP="00027F39">
      <w:pPr>
        <w:rPr>
          <w:color w:val="000000" w:themeColor="text1"/>
        </w:rPr>
      </w:pPr>
      <w:r w:rsidRPr="00ED172B">
        <w:rPr>
          <w:color w:val="000000" w:themeColor="text1"/>
        </w:rPr>
        <w:t>During federal fiscal year 2023 (FFY23; July 1, 2023-June 30, 2024), the Lead Agency (MA-C) did not report 100% compliance for Indicator 8C, the percentage of infants and toddlers for whom a transition conference is held at least 90 days prior to the toddler’s third birthday. MA-C reviewed its state database (Early Intervention Client System; EICS) and discovered seven records across four early intervention services (EIS) programs that suggested that transition conferences were not provided in a timely manner. A transition conference was held for six of the seven children, although late, and one of the seven children was no longer in jurisdiction.</w:t>
      </w:r>
    </w:p>
    <w:p>
      <w:pPr>
        <w:pStyle w:val=""/>
      </w:pPr>
      <w:r>
        <w:rPr>
          <w:rFonts w:ascii="" w:hAnsi="" w:cs="" w:eastAsia=""/>
          <w:b w:val="false"/>
          <w:i w:val="false"/>
          <w:color w:val="000000"/>
        </w:rPr>
        <w:t/>
      </w:r>
    </w:p>
    <w:p>
      <w:pPr>
        <w:pStyle w:val=""/>
      </w:pPr>
      <w:r>
        <w:rPr>
          <w:rFonts w:ascii="" w:hAnsi="" w:cs="" w:eastAsia=""/>
          <w:b w:val="false"/>
          <w:i w:val="false"/>
          <w:color w:val="000000"/>
        </w:rPr>
        <w:t xml:space="preserve">In six of the seven instances, MA-C verified that the children had a transition conference, although late. In one of the seven instances MA-C verified that the child was no longer in jurisdiction. </w:t>
      </w:r>
    </w:p>
    <w:p>
      <w:pPr>
        <w:pStyle w:val=""/>
      </w:pPr>
      <w:r>
        <w:rPr>
          <w:rFonts w:ascii="" w:hAnsi="" w:cs="" w:eastAsia=""/>
          <w:b w:val="false"/>
          <w:i w:val="false"/>
          <w:color w:val="000000"/>
        </w:rPr>
        <w:t>MA-C makes findings of noncompliance by EIS program. In three of the four EIS programs identified, MA-C made pre-finding corrections. MA-C was able to verify within 3 months of identification of noncompliance, prior to issuing a finding, that the EIS programs were correctly implementing the specific regulatory requirement. This was verified based on a review of subsequent data for the EIS program in the Early Intervention Client System (sample of 10 to 20 children for each EIS program based on z score analysis of program size)  that showed they were meeting the requirement at 100% (Transition Conference held within the required IDEA part C timeframe) for all children reviewed. MA-C also verified that these three EIS programs corrected the individual cases of child-specific noncompliance (an IFSP with transition steps and services was held, although late, or the child was out of jurisdiction) by reviewing each child’s transition data record in EICS. No outstanding corrective action existed under a State complaint or due process hearing decision for these children. Because these three EIS programs corrected the child level noncompliance (received services although late) prior findings being made, and the programs' ongoing compliance was verified as 100% using updated data, no formal findings were issued. Instead, MA-C then notified the directors of the three affected EIS programs of the discovery and subsequent correction of noncompliance and, in accordance with MA-C's General Supervision procedures, no written findings were issued.</w:t>
      </w:r>
    </w:p>
    <w:p>
      <w:pPr>
        <w:pStyle w:val=""/>
      </w:pPr>
      <w:r>
        <w:rPr>
          <w:rFonts w:ascii="" w:hAnsi="" w:cs="" w:eastAsia=""/>
          <w:b w:val="false"/>
          <w:i w:val="false"/>
          <w:color w:val="000000"/>
        </w:rPr>
        <w:t/>
      </w:r>
    </w:p>
    <w:p>
      <w:pPr>
        <w:pStyle w:val=""/>
      </w:pPr>
      <w:r>
        <w:rPr>
          <w:rFonts w:ascii="" w:hAnsi="" w:cs="" w:eastAsia=""/>
          <w:b w:val="false"/>
          <w:i w:val="false"/>
          <w:color w:val="000000"/>
        </w:rPr>
        <w:t xml:space="preserve">One of the four EIS Programs identified with noncompliance received formal written notification of their finding of noncompliance. To verify correction of this noncompliance, one of MA-C's Clinical Oversight and Support Specialist verified ongoing compliance for the early intervention services (EIS) program with compliance rates below 100%. For this EIS program, the Clinical Oversight and Support Specialist sampled 10 child records at random (based on a z score analysis of a representative sample by program size) using subsequent transition data entered by the EIS program and determined 100% compliance had been demonstrated for this requirement. </w:t>
      </w:r>
    </w:p>
    <w:p>
      <w:pPr>
        <w:pStyle w:val=""/>
      </w:pPr>
      <w:r>
        <w:rPr>
          <w:rFonts w:ascii="" w:hAnsi="" w:cs="" w:eastAsia=""/>
          <w:b w:val="false"/>
          <w:i w:val="false"/>
          <w:color w:val="000000"/>
        </w:rPr>
        <w:t/>
      </w:r>
    </w:p>
    <w:p>
      <w:pPr>
        <w:pStyle w:val=""/>
      </w:pPr>
      <w:r>
        <w:rPr>
          <w:rFonts w:ascii="" w:hAnsi="" w:cs="" w:eastAsia=""/>
          <w:b w:val="false"/>
          <w:i w:val="false"/>
          <w:color w:val="000000"/>
        </w:rPr>
        <w:t>MA-C identified one instance of noncompliance across one EIS program (i.e., The May Center) for indicator 8C through annual monitoring of its state database (the Early Intervention Client System; EICS).</w:t>
      </w:r>
    </w:p>
    <w:p>
      <w:pPr>
        <w:pStyle w:val=""/>
      </w:pPr>
      <w:r>
        <w:rPr>
          <w:rFonts w:ascii="" w:hAnsi="" w:cs="" w:eastAsia=""/>
          <w:b w:val="false"/>
          <w:i w:val="false"/>
          <w:color w:val="000000"/>
        </w:rPr>
        <w:t/>
      </w:r>
    </w:p>
    <w:p>
      <w:pPr>
        <w:pStyle w:val=""/>
      </w:pPr>
      <w:r>
        <w:rPr>
          <w:rFonts w:ascii="" w:hAnsi="" w:cs="" w:eastAsia=""/>
          <w:b w:val="false"/>
          <w:i w:val="false"/>
          <w:color w:val="000000"/>
        </w:rPr>
        <w:t>MA-C verified that six of the seven children identified received their transition conference although late (less than 90 days before their 3rd birthday as required by part C) and one of the seven children was out of jurisdiction.</w:t>
      </w:r>
    </w:p>
    <w:p>
      <w:pPr>
        <w:pStyle w:val=""/>
      </w:pPr>
      <w:r>
        <w:rPr>
          <w:rFonts w:ascii="" w:hAnsi="" w:cs="" w:eastAsia=""/>
          <w:b w:val="false"/>
          <w:i w:val="false"/>
          <w:color w:val="000000"/>
        </w:rPr>
        <w:t/>
      </w:r>
    </w:p>
    <w:p>
      <w:pPr>
        <w:pStyle w:val=""/>
      </w:pPr>
      <w:r>
        <w:rPr>
          <w:rFonts w:ascii="" w:hAnsi="" w:cs="" w:eastAsia=""/>
          <w:b w:val="false"/>
          <w:i w:val="false"/>
          <w:color w:val="000000"/>
        </w:rPr>
        <w:t>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one of seven children left the jurisdiction before a transition conference could be held. Six of the seven children had a transition conference provided late, as demonstrated by transition data entered by the EIS programs into EICS.</w:t>
      </w: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2024- June 30, 2025). The State described how the time period in which the data were collected accurately reflects data for infants and toddlers with IFSPs for the full reporting period.</w:t>
      </w: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BF3AB4">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8" w:name="_Toc382082390"/>
      <w:bookmarkStart w:id="49" w:name="_Toc392159339"/>
      <w:bookmarkEnd w:id="44"/>
      <w:r w:rsidRPr="00ED172B">
        <w:rPr>
          <w:color w:val="000000" w:themeColor="text1"/>
        </w:rPr>
        <w:lastRenderedPageBreak/>
        <w:t>Indicator 9: Resolution Sessions</w:t>
      </w:r>
      <w:bookmarkEnd w:id="48"/>
      <w:bookmarkEnd w:id="49"/>
    </w:p>
    <w:p w14:paraId="162A1EA4" w14:textId="77777777" w:rsidR="00F51610" w:rsidRPr="00ED172B" w:rsidRDefault="00F51610" w:rsidP="00186420">
      <w:pPr>
        <w:rPr>
          <w:color w:val="000000" w:themeColor="text1"/>
          <w:szCs w:val="20"/>
        </w:rPr>
      </w:pPr>
      <w:bookmarkStart w:id="50" w:name="_Toc381786822"/>
      <w:bookmarkStart w:id="51" w:name="_Toc382731911"/>
      <w:bookmarkStart w:id="52" w:name="_Toc382731912"/>
      <w:bookmarkStart w:id="53" w:name="_Toc392159340"/>
      <w:bookmarkEnd w:id="50"/>
      <w:bookmarkEnd w:id="51"/>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22B5CC4C" w14:textId="77777777" w:rsidR="005916DB" w:rsidRPr="00F446DC" w:rsidRDefault="005916DB" w:rsidP="005916DB">
      <w:pPr>
        <w:rPr>
          <w:szCs w:val="16"/>
        </w:rPr>
      </w:pPr>
      <w:r w:rsidRPr="00ED3380">
        <w:rPr>
          <w:szCs w:val="16"/>
        </w:rPr>
        <w:t>Same data as used for reporting to the Department under section 618 of the IDEA, using the definitions in EDFacts file specification FS908</w:t>
      </w:r>
      <w:r w:rsidRPr="0084279D">
        <w:rPr>
          <w:rFonts w:cs="Arial"/>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3016DCDE"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resolution sessions is less than 10. In a reporting period when the number of resolution sessions reaches 10 or greater, the State must develop baselines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2"/>
    <w:bookmarkEnd w:id="53"/>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YES</w:t>
      </w:r>
    </w:p>
    <w:p w14:paraId="2D577CD3" w14:textId="47D29935" w:rsidR="00781A26" w:rsidRPr="00ED172B" w:rsidRDefault="00D12606" w:rsidP="00B83404">
      <w:pPr>
        <w:rPr>
          <w:b/>
          <w:color w:val="000000" w:themeColor="text1"/>
        </w:rPr>
      </w:pPr>
      <w:r w:rsidRPr="00ED172B">
        <w:rPr>
          <w:b/>
          <w:color w:val="000000" w:themeColor="text1"/>
        </w:rPr>
        <w:t xml:space="preserve">Provide an explanation of why it is not applicable below. </w:t>
      </w:r>
    </w:p>
    <w:p w14:paraId="15AA9D9C" w14:textId="77098EE1" w:rsidR="00D12606" w:rsidRPr="00ED172B" w:rsidRDefault="00860830" w:rsidP="00B83404">
      <w:pPr>
        <w:rPr>
          <w:color w:val="000000" w:themeColor="text1"/>
        </w:rPr>
      </w:pPr>
      <w:r w:rsidRPr="00ED172B">
        <w:rPr>
          <w:color w:val="000000" w:themeColor="text1"/>
        </w:rPr>
        <w:t>This indicator is not applicable because the Lead Agency (MA-C) uses the Part C hearing procedures under Section 639, 34 CFR 303.430, CFR 303.435-438 and does not provide resolution sessions.</w:t>
      </w: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6" w:name="_Toc381786825"/>
      <w:bookmarkStart w:id="57" w:name="_Toc382731915"/>
      <w:bookmarkStart w:id="58" w:name="_Toc392159343"/>
      <w:bookmarkEnd w:id="54"/>
      <w:bookmarkEnd w:id="55"/>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OSEP notes that this indicator is not applicable.</w:t>
      </w:r>
    </w:p>
    <w:p w14:paraId="0C618A6B" w14:textId="358EA37B" w:rsidR="00DC0682" w:rsidRPr="00ED172B" w:rsidRDefault="00DC0682" w:rsidP="00B83404">
      <w:pPr>
        <w:rPr>
          <w:color w:val="000000" w:themeColor="text1"/>
        </w:rPr>
      </w:pPr>
      <w:r w:rsidRPr="00ED172B">
        <w:rPr>
          <w:b/>
          <w:color w:val="000000" w:themeColor="text1"/>
        </w:rPr>
        <w:t>Response to actions required in FFY 2023 SPP/APR</w:t>
      </w:r>
      <w:r w:rsidR="00950382" w:rsidRPr="00ED172B">
        <w:rPr>
          <w:color w:val="000000" w:themeColor="text1"/>
        </w:rPr>
        <w:t xml:space="preserve"> </w:t>
      </w:r>
    </w:p>
    <w:p w14:paraId="1507D5E2" w14:textId="766D3B15" w:rsidR="00DC0682" w:rsidRPr="00ED172B" w:rsidRDefault="00320806" w:rsidP="00320806">
      <w:pPr>
        <w:rPr>
          <w:color w:val="000000" w:themeColor="text1"/>
        </w:rPr>
      </w:pPr>
      <w:r w:rsidRPr="00ED172B">
        <w:rPr>
          <w:color w:val="000000" w:themeColor="text1"/>
        </w:rPr>
        <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
</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320806" w:rsidP="00320806">
      <w:pPr>
        <w:rPr>
          <w:color w:val="000000" w:themeColor="text1"/>
        </w:rPr>
      </w:pPr>
      <w:r w:rsidRPr="00ED172B">
        <w:rPr>
          <w:color w:val="000000" w:themeColor="text1"/>
        </w:rPr>
        <w:t/>
      </w:r>
    </w:p>
    <w:p w14:paraId="0B4933B5" w14:textId="77777777" w:rsidR="00B87A9B" w:rsidRDefault="00B87A9B">
      <w:pPr>
        <w:spacing w:before="0" w:after="200" w:line="276" w:lineRule="auto"/>
        <w:rPr>
          <w:rFonts w:eastAsiaTheme="majorEastAsia" w:cstheme="majorBidi"/>
          <w:b/>
          <w:bCs/>
          <w:color w:val="000000" w:themeColor="text1"/>
          <w:sz w:val="22"/>
          <w:szCs w:val="28"/>
        </w:rPr>
      </w:pPr>
      <w:bookmarkStart w:id="59" w:name="_Hlk109646703"/>
      <w:r>
        <w:rPr>
          <w:color w:val="000000" w:themeColor="text1"/>
        </w:rPr>
        <w:br w:type="page"/>
      </w:r>
    </w:p>
    <w:p w14:paraId="40C7A32D" w14:textId="4F9B1388" w:rsidR="007F0CEC" w:rsidRPr="00ED172B" w:rsidRDefault="007F0CEC" w:rsidP="0077063D">
      <w:pPr>
        <w:pStyle w:val="Heading1"/>
        <w:rPr>
          <w:color w:val="000000" w:themeColor="text1"/>
        </w:rPr>
      </w:pPr>
      <w:r w:rsidRPr="00ED172B">
        <w:rPr>
          <w:color w:val="000000" w:themeColor="text1"/>
        </w:rPr>
        <w:lastRenderedPageBreak/>
        <w:t>Indicator 10: Mediation</w:t>
      </w:r>
      <w:bookmarkEnd w:id="56"/>
      <w:bookmarkEnd w:id="57"/>
      <w:bookmarkEnd w:id="58"/>
    </w:p>
    <w:p w14:paraId="68E62423" w14:textId="77777777" w:rsidR="00F51610" w:rsidRPr="00ED172B" w:rsidRDefault="00F51610" w:rsidP="00186420">
      <w:pPr>
        <w:rPr>
          <w:color w:val="000000" w:themeColor="text1"/>
          <w:szCs w:val="20"/>
        </w:rPr>
      </w:pPr>
      <w:bookmarkStart w:id="60" w:name="_Toc382731916"/>
      <w:bookmarkStart w:id="61"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8470AE7" w14:textId="77777777" w:rsidR="006F4546" w:rsidRPr="00F446DC" w:rsidRDefault="006F4546" w:rsidP="006F4546">
      <w:pPr>
        <w:rPr>
          <w:szCs w:val="16"/>
        </w:rPr>
      </w:pPr>
      <w:r w:rsidRPr="00ED3380">
        <w:rPr>
          <w:szCs w:val="16"/>
        </w:rPr>
        <w:t>Same data as used for reporting to the Department under section 618 of the IDEA, using the definitions in EDFacts file specification FS907</w:t>
      </w:r>
      <w:r w:rsidRPr="0084279D">
        <w:rPr>
          <w:rFonts w:cs="Arial"/>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D21F29" w:rsidRDefault="00F90BF8" w:rsidP="00715B7C">
      <w:pPr>
        <w:rPr>
          <w:i/>
          <w:iCs/>
          <w:color w:val="000000" w:themeColor="text1"/>
          <w:szCs w:val="16"/>
        </w:rPr>
      </w:pPr>
      <w:r w:rsidRPr="00D21F29">
        <w:rPr>
          <w:i/>
          <w:iCs/>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0538FDD7" w:rsidR="00F90BF8" w:rsidRPr="00ED172B" w:rsidRDefault="00F90BF8" w:rsidP="00715B7C">
      <w:pPr>
        <w:rPr>
          <w:color w:val="000000" w:themeColor="text1"/>
          <w:szCs w:val="16"/>
        </w:rPr>
      </w:pPr>
      <w:r w:rsidRPr="00ED172B">
        <w:rPr>
          <w:color w:val="000000" w:themeColor="text1"/>
          <w:szCs w:val="16"/>
        </w:rPr>
        <w:t>States are not required to establish baselines or targets if the number of mediations is less than 10. In a reporting period when the number of mediations reaches 10 or greater, the State must develop baseline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9"/>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r w:rsidRPr="00ED172B">
        <w:rPr>
          <w:rFonts w:cs="Arial"/>
          <w:color w:val="000000" w:themeColor="text1"/>
          <w:szCs w:val="16"/>
        </w:rPr>
        <w:t>Target Range not used</w:t>
      </w:r>
    </w:p>
    <w:p w14:paraId="69A772DE" w14:textId="75DD0403"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14:paraId="4DEB85CE" w14:textId="14D6670E" w:rsidR="00631022" w:rsidRDefault="00631022">
      <w:pPr>
        <w:rPr>
          <w:color w:val="000000" w:themeColor="text1"/>
        </w:rPr>
      </w:pPr>
      <w:r w:rsidRPr="00ED172B">
        <w:rPr>
          <w:color w:val="000000" w:themeColor="text1"/>
        </w:rPr>
        <w:t>NO</w:t>
      </w: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tcPr>
          <w:p w14:paraId="7C060BC8" w14:textId="451F6157" w:rsidR="00781A26" w:rsidRPr="00ED172B" w:rsidRDefault="00027F39" w:rsidP="00ED172B">
            <w:pPr>
              <w:jc w:val="center"/>
              <w:rPr>
                <w:color w:val="000000" w:themeColor="text1"/>
              </w:rPr>
            </w:pPr>
            <w:r w:rsidRPr="00ED172B">
              <w:rPr>
                <w:color w:val="000000" w:themeColor="text1"/>
              </w:rPr>
              <w:t>1</w:t>
            </w:r>
          </w:p>
        </w:tc>
      </w:tr>
      <w:tr w:rsidR="00ED172B" w:rsidRPr="00ED172B" w14:paraId="2A1CAAF1" w14:textId="77777777" w:rsidTr="00986B99">
        <w:trPr>
          <w:trHeight w:val="380"/>
        </w:trPr>
        <w:tc>
          <w:tcPr>
            <w:tcW w:w="1519" w:type="pct"/>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tcPr>
          <w:p w14:paraId="71FDA12A" w14:textId="64FE476C" w:rsidR="00781A26" w:rsidRPr="00ED172B" w:rsidRDefault="00027F39" w:rsidP="00ED172B">
            <w:pPr>
              <w:jc w:val="center"/>
              <w:rPr>
                <w:color w:val="000000" w:themeColor="text1"/>
              </w:rPr>
            </w:pPr>
            <w:r w:rsidRPr="00ED172B">
              <w:rPr>
                <w:color w:val="000000" w:themeColor="text1"/>
              </w:rPr>
              <w:t>1</w:t>
            </w:r>
          </w:p>
        </w:tc>
      </w:tr>
      <w:tr w:rsidR="00ED172B" w:rsidRPr="00ED172B" w14:paraId="4CAA107A" w14:textId="77777777" w:rsidTr="00986B99">
        <w:trPr>
          <w:trHeight w:val="380"/>
        </w:trPr>
        <w:tc>
          <w:tcPr>
            <w:tcW w:w="1519" w:type="pct"/>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SY 2024-25 IDEA Part C Dispute Resolution - Mediation Requests (EDFacts file spec FS907; Data group 5030)</w:t>
            </w:r>
          </w:p>
        </w:tc>
        <w:tc>
          <w:tcPr>
            <w:tcW w:w="1565" w:type="pct"/>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11/19/2025</w:t>
            </w:r>
          </w:p>
        </w:tc>
        <w:tc>
          <w:tcPr>
            <w:tcW w:w="1175" w:type="pct"/>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tcPr>
          <w:p w14:paraId="3FFC49DA" w14:textId="780C2FE5"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68E60F77" w14:textId="50BC5DCB" w:rsidR="00287B52" w:rsidRPr="00ED172B" w:rsidRDefault="00E44DFC" w:rsidP="00287B52">
      <w:pPr>
        <w:pStyle w:val="Bold"/>
        <w:rPr>
          <w:b w:val="0"/>
          <w:color w:val="000000" w:themeColor="text1"/>
        </w:rPr>
      </w:pPr>
      <w:r w:rsidRPr="00ED172B">
        <w:rPr>
          <w:rFonts w:cs="Arial"/>
          <w:b w:val="0"/>
          <w:color w:val="000000" w:themeColor="text1"/>
          <w:szCs w:val="16"/>
        </w:rPr>
        <w:t/>
      </w: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1788"/>
        <w:gridCol w:w="1898"/>
      </w:tblGrid>
      <w:tr w:rsidR="000378F3" w:rsidRPr="00ED172B" w14:paraId="799A45A9" w14:textId="77777777" w:rsidTr="00A40EE1">
        <w:trPr>
          <w:trHeight w:val="350"/>
          <w:tblHeader/>
        </w:trPr>
        <w:tc>
          <w:tcPr>
            <w:tcW w:w="4389" w:type="pct"/>
            <w:tcBorders>
              <w:bottom w:val="single" w:sz="4" w:space="0" w:color="auto"/>
            </w:tcBorders>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vAlign w:val="center"/>
          </w:tcPr>
          <w:p w14:paraId="03A9855E" w14:textId="5D4201BC" w:rsidR="000378F3" w:rsidRPr="00ED172B" w:rsidRDefault="000378F3" w:rsidP="000378F3">
            <w:pPr>
              <w:jc w:val="center"/>
              <w:rPr>
                <w:color w:val="000000" w:themeColor="text1"/>
              </w:rPr>
            </w:pPr>
            <w:r w:rsidRPr="00ED172B">
              <w:rPr>
                <w:color w:val="000000" w:themeColor="text1"/>
              </w:rPr>
              <w:t/>
            </w: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2020</w:t>
            </w:r>
          </w:p>
        </w:tc>
        <w:tc>
          <w:tcPr>
            <w:tcW w:w="875" w:type="pct"/>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2021</w:t>
            </w:r>
          </w:p>
        </w:tc>
        <w:tc>
          <w:tcPr>
            <w:tcW w:w="875" w:type="pct"/>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2022</w:t>
            </w:r>
          </w:p>
        </w:tc>
        <w:tc>
          <w:tcPr>
            <w:tcW w:w="875" w:type="pct"/>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2023</w:t>
            </w:r>
          </w:p>
        </w:tc>
      </w:tr>
      <w:tr w:rsidR="00ED172B" w:rsidRPr="00ED172B" w14:paraId="47A8721B" w14:textId="77777777" w:rsidTr="00986B99">
        <w:trPr>
          <w:trHeight w:val="357"/>
        </w:trPr>
        <w:tc>
          <w:tcPr>
            <w:tcW w:w="623" w:type="pct"/>
          </w:tcPr>
          <w:p w14:paraId="721E2942" w14:textId="5670436E" w:rsidR="00965010" w:rsidRPr="00ED172B" w:rsidRDefault="00965010" w:rsidP="00D21F29">
            <w:pPr>
              <w:jc w:val="center"/>
              <w:rPr>
                <w:rFonts w:cs="Arial"/>
                <w:color w:val="000000" w:themeColor="text1"/>
                <w:szCs w:val="16"/>
              </w:rPr>
            </w:pPr>
            <w:r w:rsidRPr="00ED172B">
              <w:rPr>
                <w:rFonts w:cs="Arial"/>
                <w:color w:val="000000" w:themeColor="text1"/>
                <w:szCs w:val="16"/>
              </w:rPr>
              <w:t>Target&gt;=</w:t>
            </w:r>
          </w:p>
        </w:tc>
        <w:tc>
          <w:tcPr>
            <w:tcW w:w="875" w:type="pct"/>
          </w:tcPr>
          <w:p w14:paraId="0A21AF8F" w14:textId="5612EC32"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Pr>
          <w:p w14:paraId="4958A7B0" w14:textId="75FC1EB5"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c>
          <w:tcPr>
            <w:tcW w:w="875" w:type="pct"/>
            <w:vAlign w:val="center"/>
          </w:tcPr>
          <w:p w14:paraId="6925E141" w14:textId="6C4655F4"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c>
          <w:tcPr>
            <w:tcW w:w="875" w:type="pct"/>
            <w:vAlign w:val="center"/>
          </w:tcPr>
          <w:p w14:paraId="6D3F5E0A" w14:textId="302FDA6B"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c>
          <w:tcPr>
            <w:tcW w:w="875" w:type="pct"/>
            <w:vAlign w:val="center"/>
          </w:tcPr>
          <w:p w14:paraId="3307A743" w14:textId="0DA1032C"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r>
      <w:tr w:rsidR="00ED172B" w:rsidRPr="00ED172B" w14:paraId="70310803" w14:textId="77777777" w:rsidTr="00986B99">
        <w:trPr>
          <w:trHeight w:val="85"/>
        </w:trPr>
        <w:tc>
          <w:tcPr>
            <w:tcW w:w="623" w:type="pct"/>
          </w:tcPr>
          <w:p w14:paraId="242E5B90" w14:textId="77777777" w:rsidR="00965010" w:rsidRPr="00ED172B" w:rsidRDefault="00965010" w:rsidP="00D21F29">
            <w:pPr>
              <w:jc w:val="center"/>
              <w:rPr>
                <w:rFonts w:cs="Arial"/>
                <w:color w:val="000000" w:themeColor="text1"/>
                <w:szCs w:val="16"/>
              </w:rPr>
            </w:pPr>
            <w:r w:rsidRPr="00ED172B">
              <w:rPr>
                <w:rFonts w:cs="Arial"/>
                <w:color w:val="000000" w:themeColor="text1"/>
                <w:szCs w:val="16"/>
              </w:rPr>
              <w:t>Data</w:t>
            </w:r>
          </w:p>
        </w:tc>
        <w:tc>
          <w:tcPr>
            <w:tcW w:w="875" w:type="pct"/>
          </w:tcPr>
          <w:p w14:paraId="217B706A" w14:textId="7317F284"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Pr>
          <w:p w14:paraId="179468D4" w14:textId="6AEF13A0"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Borders>
              <w:bottom w:val="single" w:sz="4" w:space="0" w:color="auto"/>
            </w:tcBorders>
            <w:vAlign w:val="center"/>
          </w:tcPr>
          <w:p w14:paraId="33864A15" w14:textId="13EED87A"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Borders>
              <w:bottom w:val="single" w:sz="4" w:space="0" w:color="auto"/>
            </w:tcBorders>
            <w:vAlign w:val="center"/>
          </w:tcPr>
          <w:p w14:paraId="41D4E2E4" w14:textId="36C47BB5" w:rsidR="00965010" w:rsidRPr="00ED172B" w:rsidRDefault="00860830" w:rsidP="00186420">
            <w:pPr>
              <w:jc w:val="center"/>
              <w:rPr>
                <w:rFonts w:cs="Arial"/>
                <w:color w:val="000000" w:themeColor="text1"/>
                <w:szCs w:val="16"/>
              </w:rPr>
            </w:pPr>
            <w:r w:rsidRPr="00ED172B">
              <w:rPr>
                <w:rFonts w:cs="Arial"/>
                <w:color w:val="000000" w:themeColor="text1"/>
                <w:szCs w:val="16"/>
              </w:rPr>
              <w:t>0.00%</w:t>
            </w:r>
          </w:p>
        </w:tc>
        <w:tc>
          <w:tcPr>
            <w:tcW w:w="875" w:type="pct"/>
            <w:tcBorders>
              <w:bottom w:val="single" w:sz="4" w:space="0" w:color="auto"/>
            </w:tcBorders>
            <w:vAlign w:val="center"/>
          </w:tcPr>
          <w:p w14:paraId="1F1127D0" w14:textId="3B0BE864"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2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866"/>
        <w:gridCol w:w="2476"/>
        <w:gridCol w:w="2653"/>
      </w:tblGrid>
      <w:tr w:rsidR="00CF59E2" w:rsidRPr="00ED172B" w14:paraId="3367B66C" w14:textId="18B525E5" w:rsidTr="00811738">
        <w:trPr>
          <w:trHeight w:val="360"/>
        </w:trPr>
        <w:tc>
          <w:tcPr>
            <w:tcW w:w="722" w:type="pct"/>
            <w:tcBorders>
              <w:bottom w:val="single" w:sz="4" w:space="0" w:color="auto"/>
            </w:tcBorders>
          </w:tcPr>
          <w:p w14:paraId="3C2EA831" w14:textId="77777777" w:rsidR="00CF59E2" w:rsidRPr="00ED172B" w:rsidRDefault="00CF59E2" w:rsidP="00C375EA">
            <w:pPr>
              <w:jc w:val="center"/>
              <w:rPr>
                <w:b/>
                <w:color w:val="000000" w:themeColor="text1"/>
              </w:rPr>
            </w:pPr>
            <w:r w:rsidRPr="00ED172B">
              <w:rPr>
                <w:b/>
                <w:color w:val="000000" w:themeColor="text1"/>
              </w:rPr>
              <w:t>FFY</w:t>
            </w:r>
          </w:p>
        </w:tc>
        <w:tc>
          <w:tcPr>
            <w:tcW w:w="2065" w:type="pct"/>
            <w:vAlign w:val="center"/>
          </w:tcPr>
          <w:p w14:paraId="64F739CA" w14:textId="43EC1A3D" w:rsidR="00CF59E2" w:rsidRPr="00ED172B" w:rsidRDefault="00CF59E2" w:rsidP="00C375EA">
            <w:pPr>
              <w:jc w:val="center"/>
              <w:rPr>
                <w:b/>
                <w:color w:val="000000" w:themeColor="text1"/>
              </w:rPr>
            </w:pPr>
            <w:r w:rsidRPr="00ED172B">
              <w:rPr>
                <w:b/>
                <w:color w:val="000000" w:themeColor="text1"/>
              </w:rPr>
              <w:t>2024</w:t>
            </w:r>
          </w:p>
        </w:tc>
        <w:tc>
          <w:tcPr>
            <w:tcW w:w="2213" w:type="pct"/>
          </w:tcPr>
          <w:p w14:paraId="787B7032" w14:textId="0281A2A2" w:rsidR="00CF59E2" w:rsidRPr="00ED172B" w:rsidRDefault="00CF59E2" w:rsidP="00C375EA">
            <w:pPr>
              <w:jc w:val="center"/>
              <w:rPr>
                <w:b/>
                <w:color w:val="000000" w:themeColor="text1"/>
              </w:rPr>
            </w:pPr>
            <w:r>
              <w:rPr>
                <w:rFonts w:cs="Arial"/>
                <w:b/>
                <w:color w:val="000000" w:themeColor="text1"/>
                <w:szCs w:val="16"/>
              </w:rPr>
              <w:t>2025</w:t>
            </w:r>
          </w:p>
        </w:tc>
      </w:tr>
      <w:tr w:rsidR="00CF59E2" w:rsidRPr="00ED172B" w14:paraId="0276B9DA" w14:textId="556EB458" w:rsidTr="00811738">
        <w:trPr>
          <w:trHeight w:val="367"/>
        </w:trPr>
        <w:tc>
          <w:tcPr>
            <w:tcW w:w="722" w:type="pct"/>
          </w:tcPr>
          <w:p w14:paraId="2CCE1C49" w14:textId="473A3F03" w:rsidR="00CF59E2" w:rsidRPr="00ED172B" w:rsidRDefault="00CF59E2" w:rsidP="00D21F29">
            <w:pPr>
              <w:jc w:val="center"/>
              <w:rPr>
                <w:rFonts w:cs="Arial"/>
                <w:color w:val="000000" w:themeColor="text1"/>
                <w:szCs w:val="16"/>
              </w:rPr>
            </w:pPr>
            <w:r w:rsidRPr="00ED172B">
              <w:rPr>
                <w:rFonts w:cs="Arial"/>
                <w:color w:val="000000" w:themeColor="text1"/>
                <w:szCs w:val="16"/>
              </w:rPr>
              <w:lastRenderedPageBreak/>
              <w:t>Target&gt;=</w:t>
            </w:r>
          </w:p>
        </w:tc>
        <w:tc>
          <w:tcPr>
            <w:tcW w:w="2065" w:type="pct"/>
            <w:vAlign w:val="center"/>
          </w:tcPr>
          <w:p w14:paraId="7A1FE832" w14:textId="7EA6C6B8" w:rsidR="00CF59E2" w:rsidRPr="00ED172B" w:rsidRDefault="00CF59E2" w:rsidP="00C375EA">
            <w:pPr>
              <w:jc w:val="center"/>
              <w:rPr>
                <w:color w:val="000000" w:themeColor="text1"/>
              </w:rPr>
            </w:pPr>
            <w:r w:rsidRPr="00ED172B">
              <w:rPr>
                <w:color w:val="000000" w:themeColor="text1"/>
              </w:rPr>
              <w:t/>
            </w:r>
          </w:p>
        </w:tc>
        <w:tc>
          <w:tcPr>
            <w:tcW w:w="2213" w:type="pct"/>
          </w:tcPr>
          <w:p w14:paraId="1309820B" w14:textId="7FA1AFB9" w:rsidR="00CF59E2" w:rsidRPr="00ED172B" w:rsidRDefault="00CF59E2" w:rsidP="00C375EA">
            <w:pPr>
              <w:jc w:val="center"/>
              <w:rPr>
                <w:color w:val="000000" w:themeColor="text1"/>
              </w:rPr>
            </w:pPr>
            <w:r>
              <w:rPr>
                <w:rFonts w:cs="Arial"/>
                <w:color w:val="000000" w:themeColor="text1"/>
                <w:szCs w:val="16"/>
              </w:rPr>
              <w:t/>
            </w:r>
          </w:p>
        </w:tc>
      </w:tr>
    </w:tbl>
    <w:p w14:paraId="1E64FA85" w14:textId="77777777" w:rsidR="0065724F" w:rsidRPr="00ED172B" w:rsidRDefault="0065724F">
      <w:pPr>
        <w:rPr>
          <w:b/>
          <w:color w:val="000000" w:themeColor="text1"/>
        </w:rPr>
      </w:pPr>
    </w:p>
    <w:p w14:paraId="2299CDE5" w14:textId="5F36B202" w:rsidR="00715B7C" w:rsidRPr="00ED172B" w:rsidRDefault="00F22D09">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1466"/>
        <w:gridCol w:w="1465"/>
        <w:gridCol w:w="1517"/>
        <w:gridCol w:w="1128"/>
        <w:gridCol w:w="1671"/>
        <w:gridCol w:w="1019"/>
        <w:gridCol w:w="1282"/>
        <w:gridCol w:w="1242"/>
      </w:tblGrid>
      <w:tr w:rsidR="00ED172B" w:rsidRPr="00ED172B" w14:paraId="1FE1A8B6" w14:textId="77777777" w:rsidTr="00986B99">
        <w:trPr>
          <w:tblHeader/>
        </w:trPr>
        <w:tc>
          <w:tcPr>
            <w:tcW w:w="0" w:type="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vAlign w:val="bottom"/>
          </w:tcPr>
          <w:p w14:paraId="75756C39" w14:textId="5057E878" w:rsidR="003F7F2F" w:rsidRPr="00ED172B" w:rsidRDefault="00CD74B5" w:rsidP="00CD79C5">
            <w:pPr>
              <w:jc w:val="center"/>
              <w:rPr>
                <w:rFonts w:cs="Arial"/>
                <w:b/>
                <w:color w:val="000000" w:themeColor="text1"/>
                <w:szCs w:val="16"/>
              </w:rPr>
            </w:pPr>
            <w:r>
              <w:rPr>
                <w:rFonts w:cs="Arial"/>
                <w:b/>
                <w:color w:val="000000" w:themeColor="text1"/>
                <w:szCs w:val="16"/>
              </w:rPr>
              <w:t>FFY 2023 Data</w:t>
            </w:r>
          </w:p>
        </w:tc>
        <w:tc>
          <w:tcPr>
            <w:tcW w:w="0" w:type="auto"/>
            <w:vAlign w:val="bottom"/>
          </w:tcPr>
          <w:p w14:paraId="34C5B321" w14:textId="577E1317" w:rsidR="003F7F2F" w:rsidRPr="00ED172B" w:rsidRDefault="00F22D09" w:rsidP="00CD79C5">
            <w:pPr>
              <w:jc w:val="center"/>
              <w:rPr>
                <w:rFonts w:cs="Arial"/>
                <w:b/>
                <w:color w:val="000000" w:themeColor="text1"/>
                <w:szCs w:val="16"/>
              </w:rPr>
            </w:pPr>
            <w:r>
              <w:rPr>
                <w:rFonts w:cs="Arial"/>
                <w:b/>
                <w:color w:val="000000" w:themeColor="text1"/>
                <w:szCs w:val="16"/>
              </w:rPr>
              <w:t>FFY 2024 Target</w:t>
            </w:r>
          </w:p>
        </w:tc>
        <w:tc>
          <w:tcPr>
            <w:tcW w:w="472" w:type="pct"/>
            <w:vAlign w:val="bottom"/>
          </w:tcPr>
          <w:p w14:paraId="1F75CC89" w14:textId="1AAF4ED8" w:rsidR="003F7F2F" w:rsidRPr="00ED172B" w:rsidRDefault="00F22D09" w:rsidP="00CD79C5">
            <w:pPr>
              <w:jc w:val="center"/>
              <w:rPr>
                <w:rFonts w:cs="Arial"/>
                <w:b/>
                <w:color w:val="000000" w:themeColor="text1"/>
                <w:szCs w:val="16"/>
              </w:rPr>
            </w:pPr>
            <w:r>
              <w:rPr>
                <w:rFonts w:cs="Arial"/>
                <w:b/>
                <w:color w:val="000000" w:themeColor="text1"/>
                <w:szCs w:val="16"/>
              </w:rPr>
              <w:t>FFY 2024 Data</w:t>
            </w:r>
          </w:p>
        </w:tc>
        <w:tc>
          <w:tcPr>
            <w:tcW w:w="594" w:type="pct"/>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tcPr>
          <w:p w14:paraId="2F120EC8" w14:textId="33134B41" w:rsidR="003F7F2F" w:rsidRPr="00ED172B" w:rsidRDefault="00320806" w:rsidP="00320806">
            <w:pPr>
              <w:jc w:val="center"/>
              <w:rPr>
                <w:color w:val="000000" w:themeColor="text1"/>
              </w:rPr>
            </w:pPr>
            <w:r w:rsidRPr="00ED172B">
              <w:rPr>
                <w:color w:val="000000" w:themeColor="text1"/>
              </w:rPr>
              <w:t>1</w:t>
            </w:r>
          </w:p>
        </w:tc>
        <w:tc>
          <w:tcPr>
            <w:tcW w:w="0" w:type="auto"/>
          </w:tcPr>
          <w:p w14:paraId="62CDDF21" w14:textId="2544E9A4" w:rsidR="003F7F2F" w:rsidRPr="00ED172B" w:rsidRDefault="00320806" w:rsidP="00320806">
            <w:pPr>
              <w:jc w:val="center"/>
              <w:rPr>
                <w:color w:val="000000" w:themeColor="text1"/>
              </w:rPr>
            </w:pPr>
            <w:r w:rsidRPr="00ED172B">
              <w:rPr>
                <w:color w:val="000000" w:themeColor="text1"/>
              </w:rPr>
              <w:t>0</w:t>
            </w:r>
          </w:p>
        </w:tc>
        <w:tc>
          <w:tcPr>
            <w:tcW w:w="0" w:type="auto"/>
            <w:vAlign w:val="center"/>
          </w:tcPr>
          <w:p w14:paraId="0EF5D1FA" w14:textId="11C9790B" w:rsidR="003F7F2F" w:rsidRPr="00ED172B" w:rsidRDefault="00320806" w:rsidP="00320806">
            <w:pPr>
              <w:jc w:val="center"/>
              <w:rPr>
                <w:color w:val="000000" w:themeColor="text1"/>
              </w:rPr>
            </w:pPr>
            <w:r w:rsidRPr="00ED172B">
              <w:rPr>
                <w:color w:val="000000" w:themeColor="text1"/>
              </w:rPr>
              <w:t>1</w:t>
            </w:r>
          </w:p>
        </w:tc>
        <w:tc>
          <w:tcPr>
            <w:tcW w:w="0" w:type="auto"/>
          </w:tcPr>
          <w:p w14:paraId="07852742" w14:textId="74D08B36" w:rsidR="003F7F2F" w:rsidRPr="00ED172B" w:rsidRDefault="00320806" w:rsidP="00320806">
            <w:pPr>
              <w:jc w:val="center"/>
              <w:rPr>
                <w:color w:val="000000" w:themeColor="text1"/>
              </w:rPr>
            </w:pPr>
            <w:r w:rsidRPr="00ED172B">
              <w:rPr>
                <w:color w:val="000000" w:themeColor="text1"/>
              </w:rPr>
              <w:t/>
            </w:r>
          </w:p>
        </w:tc>
        <w:tc>
          <w:tcPr>
            <w:tcW w:w="0" w:type="auto"/>
          </w:tcPr>
          <w:p w14:paraId="1A3FD4BD" w14:textId="73FB264C" w:rsidR="003F7F2F" w:rsidRPr="00ED172B" w:rsidRDefault="00320806" w:rsidP="00320806">
            <w:pPr>
              <w:jc w:val="center"/>
              <w:rPr>
                <w:color w:val="000000" w:themeColor="text1"/>
              </w:rPr>
            </w:pPr>
            <w:r w:rsidRPr="00ED172B">
              <w:rPr>
                <w:color w:val="000000" w:themeColor="text1"/>
              </w:rPr>
              <w:t/>
            </w:r>
          </w:p>
        </w:tc>
        <w:tc>
          <w:tcPr>
            <w:tcW w:w="472" w:type="pct"/>
          </w:tcPr>
          <w:p w14:paraId="1DD10E42" w14:textId="62FF3817" w:rsidR="003F7F2F" w:rsidRPr="00ED172B" w:rsidRDefault="00320806" w:rsidP="00320806">
            <w:pPr>
              <w:jc w:val="center"/>
              <w:rPr>
                <w:color w:val="000000" w:themeColor="text1"/>
              </w:rPr>
            </w:pPr>
            <w:r w:rsidRPr="00ED172B">
              <w:rPr>
                <w:color w:val="000000" w:themeColor="text1"/>
              </w:rPr>
              <w:t>100.00%</w:t>
            </w:r>
          </w:p>
        </w:tc>
        <w:tc>
          <w:tcPr>
            <w:tcW w:w="594" w:type="pct"/>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tcPr>
          <w:p w14:paraId="03AF1958" w14:textId="597B8C94" w:rsidR="003F7F2F" w:rsidRPr="00ED172B" w:rsidRDefault="00320806" w:rsidP="00320806">
            <w:pPr>
              <w:jc w:val="center"/>
              <w:rPr>
                <w:color w:val="000000" w:themeColor="text1"/>
              </w:rPr>
            </w:pPr>
            <w:r w:rsidRPr="00ED172B">
              <w:rPr>
                <w:color w:val="000000" w:themeColor="text1"/>
              </w:rPr>
              <w:t>N/A</w:t>
            </w:r>
          </w:p>
        </w:tc>
      </w:tr>
    </w:tbl>
    <w:bookmarkEnd w:id="60"/>
    <w:bookmarkEnd w:id="61"/>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860830" w:rsidP="00EA0143">
      <w:pPr>
        <w:rPr>
          <w:rFonts w:cs="Arial"/>
          <w:color w:val="000000" w:themeColor="text1"/>
          <w:szCs w:val="16"/>
        </w:rPr>
      </w:pPr>
      <w:r w:rsidRPr="00ED172B">
        <w:rPr>
          <w:rFonts w:cs="Arial"/>
          <w:color w:val="000000" w:themeColor="text1"/>
          <w:szCs w:val="16"/>
        </w:rPr>
        <w:t xml:space="preserve">During federal fiscal year 2024 (FFY24; July 1, 2024-June 30, 2025), the Lead Agency (MA-C) held one mediation and is not required to establish baseline or targets because the number of mediations is less than 10. </w:t>
      </w:r>
    </w:p>
    <w:p>
      <w:pPr>
        <w:pStyle w:val=""/>
      </w:pPr>
      <w:r>
        <w:rPr>
          <w:rFonts w:ascii="" w:hAnsi="" w:cs="" w:eastAsia=""/>
          <w:b w:val="false"/>
          <w:i w:val="false"/>
          <w:color w:val="000000"/>
        </w:rPr>
        <w:t/>
      </w:r>
    </w:p>
    <w:p>
      <w:pPr>
        <w:pStyle w:val=""/>
      </w:pPr>
      <w:r>
        <w:rPr>
          <w:rFonts w:ascii="" w:hAnsi="" w:cs="" w:eastAsia=""/>
          <w:b w:val="false"/>
          <w:i w:val="false"/>
          <w:color w:val="000000"/>
        </w:rPr>
        <w:t xml:space="preserve">MA-C works closely with another state agency, the Division of Law Appeals (DALA), to ensure that requests for mediation are processed and completed in a timely manner by an impartial mediator with knowledge of Part C requirements. </w:t>
      </w:r>
    </w:p>
    <w:p w14:paraId="51685558" w14:textId="51A1E7FE" w:rsidR="00DC0682" w:rsidRPr="00A40EE1" w:rsidRDefault="000D0117" w:rsidP="007B0787">
      <w:pPr>
        <w:pStyle w:val="Heading2"/>
      </w:pPr>
      <w:bookmarkStart w:id="62" w:name="_Hlk79570511"/>
      <w:r w:rsidRPr="00A40EE1">
        <w:t xml:space="preserve">10 - </w:t>
      </w:r>
      <w:r w:rsidR="00DC0682" w:rsidRPr="00A40EE1">
        <w:t>Prior FFY Required Actions</w:t>
      </w:r>
      <w:bookmarkEnd w:id="62"/>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The State reported fewer than ten mediations held in FFY 2024. The State is not required to provide targets until any fiscal year in which ten or more mediations were held.</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320806" w:rsidP="00320806">
      <w:pPr>
        <w:rPr>
          <w:color w:val="000000" w:themeColor="text1"/>
        </w:rPr>
      </w:pPr>
      <w:r w:rsidRPr="00ED172B">
        <w:rPr>
          <w:color w:val="000000" w:themeColor="text1"/>
        </w:rPr>
        <w:t/>
      </w: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3" w:name="_Hlk109646734"/>
      <w:bookmarkStart w:id="64" w:name="_Toc392159348"/>
      <w:r w:rsidRPr="00ED172B">
        <w:rPr>
          <w:color w:val="000000" w:themeColor="text1"/>
        </w:rPr>
        <w:lastRenderedPageBreak/>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45F37AD0" w:rsidR="009E3024" w:rsidRDefault="0010664F" w:rsidP="009E3024">
      <w:r w:rsidRPr="00811738">
        <w:rPr>
          <w:b/>
          <w:bCs/>
        </w:rPr>
        <w:t>Results Indicator:</w:t>
      </w:r>
      <w:r>
        <w:t xml:space="preserve"> </w:t>
      </w:r>
      <w:r w:rsidR="009E3024">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29ABA6B1" w14:textId="48D3CB72" w:rsidR="00CE7219" w:rsidRPr="00D77E41" w:rsidRDefault="00CE7219" w:rsidP="00CE7219">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14:paraId="39268BD3" w14:textId="18973069" w:rsidR="00CE7219" w:rsidRPr="00D77E41" w:rsidRDefault="00CE7219" w:rsidP="00CE721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14:paraId="16CEE7FC" w14:textId="74956C98" w:rsidR="00CE7219" w:rsidRPr="00D77E41" w:rsidRDefault="00CE7219" w:rsidP="00CE7219">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the State must provide updated data for that specific FFY (expressed as percentages</w:t>
      </w:r>
      <w:r w:rsidR="00763F1C" w:rsidRPr="00D77E41">
        <w:t>),</w:t>
      </w:r>
      <w:r w:rsidRPr="00D77E41">
        <w:t xml:space="preserve">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Data Analysis;</w:t>
      </w:r>
    </w:p>
    <w:p w14:paraId="2AF202E6" w14:textId="7A737778" w:rsidR="009E3024" w:rsidRPr="00D77E41" w:rsidRDefault="00FB141D" w:rsidP="00F85A5B">
      <w:pPr>
        <w:ind w:left="360"/>
      </w:pPr>
      <w:r>
        <w:t xml:space="preserve">- </w:t>
      </w:r>
      <w:r w:rsidR="009E3024" w:rsidRPr="00D77E41">
        <w:t>Analysis of State Infrastructure to Support Improvement and Build Capacity;</w:t>
      </w:r>
    </w:p>
    <w:p w14:paraId="2165FD76" w14:textId="397475D4" w:rsidR="009E3024" w:rsidRPr="00D77E41" w:rsidRDefault="00FB141D" w:rsidP="00F85A5B">
      <w:pPr>
        <w:ind w:left="360"/>
      </w:pPr>
      <w:r>
        <w:t xml:space="preserve">- </w:t>
      </w:r>
      <w:r w:rsidR="009E3024" w:rsidRPr="00D77E41">
        <w:t>State-identified Measurable Result(s) for Infants and Toddlers with Disabilities and their Families;</w:t>
      </w:r>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Infrastructure Development;</w:t>
      </w:r>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0C06481A" w:rsidR="009E3024" w:rsidRPr="00D77E41" w:rsidRDefault="009E3024" w:rsidP="009E3024">
      <w:r w:rsidRPr="00D77E41">
        <w:t xml:space="preserve">As required in the Instructions for the Indicator/Measurement, in its FFYs </w:t>
      </w:r>
      <w:r w:rsidR="00483791">
        <w:t>202</w:t>
      </w:r>
      <w:r w:rsidR="007137B3">
        <w:t>0</w:t>
      </w:r>
      <w:r w:rsidR="00483791" w:rsidRPr="00D77E4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408AB108" w:rsidR="009E3024" w:rsidRPr="00D77E41" w:rsidRDefault="009E3024" w:rsidP="009E3024">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rsidR="000550D9">
        <w:t>3</w:t>
      </w:r>
      <w:r w:rsidRPr="00D77E41">
        <w:t xml:space="preserve">, </w:t>
      </w:r>
      <w:r w:rsidR="00A54A87">
        <w:t>2025</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6F854EC4"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A54A87">
        <w:t>2024</w:t>
      </w:r>
      <w:r w:rsidR="00BC6E1E" w:rsidRPr="00D77E41">
        <w:t xml:space="preserve"> </w:t>
      </w:r>
      <w:r w:rsidRPr="00D77E41">
        <w:t xml:space="preserve">APR, report on anticipated outcomes to be obtained during FFY </w:t>
      </w:r>
      <w:r w:rsidR="00A54A87">
        <w:t>2025</w:t>
      </w:r>
      <w:r w:rsidRPr="00D77E41">
        <w:t xml:space="preserve">, i.e., July 1, </w:t>
      </w:r>
      <w:r w:rsidR="00A54A87">
        <w:t>2025</w:t>
      </w:r>
      <w:r w:rsidRPr="00D77E41">
        <w:t xml:space="preserve">-June 30, </w:t>
      </w:r>
      <w:r w:rsidR="00A54A87">
        <w:t>2026</w:t>
      </w:r>
      <w:r w:rsidRPr="00D77E41">
        <w:t>).</w:t>
      </w:r>
    </w:p>
    <w:p w14:paraId="391F34BE" w14:textId="089C8C20"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id="65" w:name="_Hlk109647955"/>
      <w:r w:rsidRPr="00D77E41">
        <w:t>(</w:t>
      </w:r>
      <w:r w:rsidR="00F37E58" w:rsidRPr="00D21F29">
        <w:rPr>
          <w:i/>
          <w:iCs/>
        </w:rPr>
        <w:t>e.</w:t>
      </w:r>
      <w:r w:rsidR="00B04149" w:rsidRPr="00D21F29">
        <w:rPr>
          <w:i/>
          <w:iCs/>
        </w:rPr>
        <w:t>g.</w:t>
      </w:r>
      <w:r w:rsidRPr="00D21F29">
        <w:rPr>
          <w:i/>
          <w:iCs/>
        </w:rPr>
        <w:t>,</w:t>
      </w:r>
      <w:r w:rsidRPr="00D77E41">
        <w:t xml:space="preserve"> behaviors), parent/caregiver outcomes, </w:t>
      </w:r>
      <w:r w:rsidRPr="00D77E41">
        <w:lastRenderedPageBreak/>
        <w:t>and/or child outcomes. Describe any additional data (</w:t>
      </w:r>
      <w:r w:rsidR="00B04149" w:rsidRPr="00D21F2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5"/>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3A76F9B8" w:rsidR="009E3024" w:rsidRDefault="009E3024" w:rsidP="009E3024">
      <w:r w:rsidRPr="00D77E41">
        <w:t xml:space="preserve">The State should identify any activities not already described that it intends to implement in the next fiscal year (e.g., for the </w:t>
      </w:r>
      <w:r>
        <w:t xml:space="preserve">FFY </w:t>
      </w:r>
      <w:r w:rsidR="00A54A87">
        <w:t>2024</w:t>
      </w:r>
      <w:r w:rsidR="00B7212B" w:rsidRPr="00D77E41">
        <w:t xml:space="preserve"> </w:t>
      </w:r>
      <w:r w:rsidRPr="00D77E41">
        <w:t xml:space="preserve">APR, report on activities it intends to implement in FFY </w:t>
      </w:r>
      <w:r w:rsidR="00A54A87">
        <w:t>2025</w:t>
      </w:r>
      <w:r w:rsidRPr="00D77E41">
        <w:t xml:space="preserve">, i.e., July 1, </w:t>
      </w:r>
      <w:r w:rsidR="00A54A87">
        <w:t>2025</w:t>
      </w:r>
      <w:r w:rsidRPr="00D77E41">
        <w:t xml:space="preserve">-June 30, </w:t>
      </w:r>
      <w:r w:rsidR="00A54A87">
        <w:t>2026</w:t>
      </w:r>
      <w:r w:rsidRPr="00D77E41">
        <w:t>) including a timeline, anticipated data collection and measures, and expected outcomes that are related to the SiMR. The State should describe any newly identified barriers and include steps to address these barriers.</w:t>
      </w:r>
    </w:p>
    <w:bookmarkEnd w:id="63"/>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(SiMR)?</w:t>
      </w:r>
    </w:p>
    <w:p w14:paraId="5EF17788" w14:textId="2FA358EC" w:rsidR="008517CB" w:rsidRPr="00F85A5B" w:rsidRDefault="008517CB" w:rsidP="00741E58">
      <w:pPr>
        <w:rPr>
          <w:color w:val="000000" w:themeColor="text1"/>
        </w:rPr>
      </w:pPr>
      <w:r w:rsidRPr="00ED172B">
        <w:rPr>
          <w:color w:val="000000" w:themeColor="text1"/>
        </w:rPr>
        <w:t>During the State Systemic Improvement Plan Phase I in 2015, the Lead Agency (MA-C) identified improving positive social-emotional skills (including social relationships), as measured by Summary Statement 1, as its State-Identified Measurable Result (SIMR).</w:t>
      </w:r>
    </w:p>
    <w:p w14:paraId="3035665E" w14:textId="2B992CBD" w:rsidR="008517CB" w:rsidRDefault="008517CB" w:rsidP="008517CB">
      <w:pPr>
        <w:rPr>
          <w:b/>
          <w:bCs/>
        </w:rPr>
      </w:pPr>
      <w:r w:rsidRPr="008517CB">
        <w:rPr>
          <w:b/>
          <w:bCs/>
        </w:rPr>
        <w:t>Has the SiMR changed since the last SSIP submission? (yes/no)</w:t>
      </w:r>
    </w:p>
    <w:p w14:paraId="1894103D" w14:textId="08DFDF04" w:rsidR="001C46CD" w:rsidRPr="000123EB" w:rsidRDefault="001C46CD" w:rsidP="008517CB">
      <w:r w:rsidRPr="000123EB">
        <w:t>NO</w:t>
      </w:r>
    </w:p>
    <w:bookmarkEnd w:id="66"/>
    <w:bookmarkEnd w:id="67"/>
    <w:bookmarkEnd w:id="68"/>
    <w:bookmarkEnd w:id="69"/>
    <w:p w14:paraId="6EC47F33" w14:textId="77777777" w:rsidR="00E46F5E" w:rsidRDefault="00E46F5E" w:rsidP="008517CB">
      <w:pPr>
        <w:rPr>
          <w:b/>
          <w:bCs/>
        </w:rPr>
      </w:pPr>
    </w:p>
    <w:p w14:paraId="160C27D7" w14:textId="03F97943" w:rsidR="008517CB" w:rsidRDefault="008517CB" w:rsidP="008517CB">
      <w:pPr>
        <w:rPr>
          <w:b/>
          <w:bCs/>
        </w:rPr>
      </w:pPr>
      <w:bookmarkStart w:id="70"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70"/>
    <w:p w14:paraId="2DFF9C44" w14:textId="3D7DE653" w:rsidR="00E46F5E" w:rsidRPr="000123EB" w:rsidRDefault="00E46F5E" w:rsidP="008517CB">
      <w:pPr>
        <w:rPr>
          <w:color w:val="000000" w:themeColor="text1"/>
        </w:rPr>
      </w:pPr>
      <w:r w:rsidRPr="000123EB">
        <w:rPr>
          <w:color w:val="000000" w:themeColor="text1"/>
        </w:rPr>
        <w:t>NO</w:t>
      </w:r>
    </w:p>
    <w:bookmarkEnd w:id="71"/>
    <w:p w14:paraId="750D781D" w14:textId="77777777" w:rsidR="00E46F5E" w:rsidRPr="008517CB" w:rsidRDefault="00E46F5E" w:rsidP="008517CB">
      <w:pPr>
        <w:rPr>
          <w:b/>
          <w:bCs/>
        </w:rPr>
      </w:pPr>
    </w:p>
    <w:p w14:paraId="67311EEB" w14:textId="5E251F48" w:rsidR="00A5616C" w:rsidRDefault="00A5616C" w:rsidP="00A5616C">
      <w:pPr>
        <w:rPr>
          <w:b/>
          <w:bCs/>
        </w:rPr>
      </w:pPr>
      <w:bookmarkStart w:id="72" w:name="_Hlk109646832"/>
      <w:r w:rsidRPr="00A5616C">
        <w:rPr>
          <w:b/>
          <w:bCs/>
        </w:rPr>
        <w:t>Is the State’s theory of action new or revised since the previous submission? (yes/no)</w:t>
      </w:r>
    </w:p>
    <w:bookmarkEnd w:id="72"/>
    <w:p w14:paraId="66909F1C" w14:textId="33FCF0A9" w:rsidR="00A5616C" w:rsidRPr="000123EB" w:rsidRDefault="00A5616C" w:rsidP="00A5616C">
      <w:r w:rsidRPr="000123EB">
        <w:t>NO</w:t>
      </w:r>
    </w:p>
    <w:bookmarkEnd w:id="73"/>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https://www.mass.gov/lists/public-reporting-for-early-intervention#state-systemic-improvement-plan-</w:t>
      </w:r>
    </w:p>
    <w:p w14:paraId="7076EF11" w14:textId="77777777" w:rsidR="006A3544" w:rsidRDefault="006A3544" w:rsidP="008517CB">
      <w:pPr>
        <w:rPr>
          <w:b/>
          <w:bCs/>
        </w:rPr>
      </w:pPr>
    </w:p>
    <w:p w14:paraId="106F39B4" w14:textId="77777777" w:rsidR="00A3455E" w:rsidRDefault="00A3455E" w:rsidP="00A3455E">
      <w:pPr>
        <w:pStyle w:val="Subhed"/>
      </w:pPr>
      <w:bookmarkStart w:id="74" w:name="_Hlk109646858"/>
      <w:r w:rsidRPr="000315F0">
        <w:t>Progress toward the SiMR</w:t>
      </w:r>
    </w:p>
    <w:p w14:paraId="16056B16" w14:textId="399C7865"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3645021F" w14:textId="058BAA46" w:rsidR="00A3455E" w:rsidRDefault="00A3455E" w:rsidP="00741E58">
      <w:pPr>
        <w:rPr>
          <w:b/>
          <w:bCs/>
        </w:rPr>
      </w:pPr>
      <w:r w:rsidRPr="00A3455E">
        <w:rPr>
          <w:b/>
          <w:bCs/>
        </w:rPr>
        <w:t>Select yes if the State uses two targets for measurement. (yes/no)</w:t>
      </w:r>
    </w:p>
    <w:bookmarkEnd w:id="74"/>
    <w:p w14:paraId="1D770D42" w14:textId="74DA622B" w:rsidR="00C00467" w:rsidRPr="000123EB" w:rsidRDefault="00935B33" w:rsidP="00741E58">
      <w:r w:rsidRPr="000123EB">
        <w:t>NO</w:t>
      </w:r>
    </w:p>
    <w:p w14:paraId="0023F992" w14:textId="77777777" w:rsidR="00C83574" w:rsidRDefault="00C83574" w:rsidP="00C83574">
      <w:pPr>
        <w:rPr>
          <w:rFonts w:cs="Arial"/>
          <w:b/>
          <w:color w:val="000000" w:themeColor="text1"/>
          <w:szCs w:val="16"/>
        </w:rPr>
      </w:pPr>
      <w:r w:rsidRPr="00ED172B">
        <w:rPr>
          <w:rFonts w:cs="Arial"/>
          <w:b/>
          <w:color w:val="000000" w:themeColor="text1"/>
          <w:szCs w:val="16"/>
        </w:rPr>
        <w:t>Historical Data</w:t>
      </w:r>
    </w:p>
    <w:p w14:paraId="7F2A0158" w14:textId="77777777" w:rsidR="00C83574" w:rsidRDefault="00C83574" w:rsidP="00C83574">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1788"/>
        <w:gridCol w:w="1898"/>
      </w:tblGrid>
      <w:tr w:rsidR="008C5AD3" w:rsidRPr="00ED172B" w14:paraId="0EFB88A4" w14:textId="77777777">
        <w:trPr>
          <w:trHeight w:val="350"/>
          <w:tblHeader/>
        </w:trPr>
        <w:tc>
          <w:tcPr>
            <w:tcW w:w="2425" w:type="pct"/>
            <w:tcBorders>
              <w:bottom w:val="single" w:sz="4" w:space="0" w:color="auto"/>
            </w:tcBorders>
            <w:vAlign w:val="center"/>
          </w:tcPr>
          <w:p w14:paraId="2D527EBC" w14:textId="77777777" w:rsidR="008C5AD3" w:rsidRPr="001071FD" w:rsidRDefault="008C5AD3" w:rsidP="0082735C">
            <w:pPr>
              <w:jc w:val="center"/>
              <w:rPr>
                <w:b/>
                <w:bCs/>
                <w:color w:val="000000" w:themeColor="text1"/>
              </w:rPr>
            </w:pPr>
            <w:r>
              <w:rPr>
                <w:b/>
                <w:bCs/>
                <w:color w:val="000000" w:themeColor="text1"/>
              </w:rPr>
              <w:t>Baseline Year</w:t>
            </w:r>
          </w:p>
        </w:tc>
        <w:tc>
          <w:tcPr>
            <w:tcW w:w="2575" w:type="pct"/>
            <w:vAlign w:val="center"/>
          </w:tcPr>
          <w:p w14:paraId="50D4CE4F"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5A4971F9" w14:textId="77777777">
        <w:trPr>
          <w:trHeight w:val="350"/>
        </w:trPr>
        <w:tc>
          <w:tcPr>
            <w:tcW w:w="2425" w:type="pct"/>
            <w:tcBorders>
              <w:bottom w:val="single" w:sz="4" w:space="0" w:color="auto"/>
            </w:tcBorders>
          </w:tcPr>
          <w:p w14:paraId="62B5AA2F" w14:textId="66A1FAED" w:rsidR="008C5AD3" w:rsidRPr="00ED172B" w:rsidRDefault="008C5AD3" w:rsidP="0082735C">
            <w:pPr>
              <w:jc w:val="center"/>
              <w:rPr>
                <w:b/>
                <w:color w:val="000000" w:themeColor="text1"/>
              </w:rPr>
            </w:pPr>
            <w:r w:rsidRPr="00ED172B">
              <w:rPr>
                <w:color w:val="000000" w:themeColor="text1"/>
              </w:rPr>
              <w:t>2013</w:t>
            </w:r>
          </w:p>
        </w:tc>
        <w:tc>
          <w:tcPr>
            <w:tcW w:w="2575" w:type="pct"/>
            <w:vAlign w:val="center"/>
          </w:tcPr>
          <w:p w14:paraId="6E4EA629" w14:textId="5D8BB69D" w:rsidR="008C5AD3" w:rsidRPr="00ED172B" w:rsidRDefault="008C5AD3" w:rsidP="0082735C">
            <w:pPr>
              <w:jc w:val="center"/>
              <w:rPr>
                <w:color w:val="000000" w:themeColor="text1"/>
              </w:rPr>
            </w:pPr>
            <w:r w:rsidRPr="00ED172B">
              <w:rPr>
                <w:color w:val="000000" w:themeColor="text1"/>
              </w:rPr>
              <w:t>56.57%</w:t>
            </w:r>
          </w:p>
        </w:tc>
      </w:tr>
    </w:tbl>
    <w:p w14:paraId="42E70098" w14:textId="77777777" w:rsidR="00C83574" w:rsidRDefault="00C83574" w:rsidP="00E7729E">
      <w:pPr>
        <w:rPr>
          <w:b/>
          <w:color w:val="000000" w:themeColor="text1"/>
        </w:rPr>
      </w:pPr>
    </w:p>
    <w:p w14:paraId="65CF2969" w14:textId="77777777" w:rsidR="00C83574" w:rsidRDefault="00C83574" w:rsidP="00E7729E">
      <w:pPr>
        <w:rPr>
          <w:b/>
          <w:color w:val="000000" w:themeColor="text1"/>
        </w:rPr>
      </w:pPr>
    </w:p>
    <w:p w14:paraId="4233C402" w14:textId="77777777" w:rsidR="00C00467" w:rsidRDefault="00C00467" w:rsidP="00E7729E">
      <w:pPr>
        <w:rPr>
          <w:b/>
          <w:color w:val="000000" w:themeColor="text1"/>
        </w:rPr>
      </w:pPr>
    </w:p>
    <w:p w14:paraId="68448D17" w14:textId="77777777" w:rsidR="00C00467" w:rsidRDefault="00C00467" w:rsidP="00E7729E">
      <w:pPr>
        <w:rPr>
          <w:b/>
          <w:color w:val="000000" w:themeColor="text1"/>
        </w:rPr>
      </w:pPr>
    </w:p>
    <w:p w14:paraId="59B3B9CC" w14:textId="77777777" w:rsidR="00C00467" w:rsidRDefault="00C00467" w:rsidP="00E7729E">
      <w:pPr>
        <w:rPr>
          <w:b/>
          <w:color w:val="000000" w:themeColor="text1"/>
        </w:rPr>
      </w:pPr>
    </w:p>
    <w:p w14:paraId="1FB4EA3C" w14:textId="77777777" w:rsidR="00C00467" w:rsidRDefault="00C00467" w:rsidP="00E7729E">
      <w:pPr>
        <w:rPr>
          <w:b/>
          <w:color w:val="000000" w:themeColor="text1"/>
        </w:rPr>
      </w:pPr>
    </w:p>
    <w:p w14:paraId="6F57E88A" w14:textId="7FC386E1" w:rsidR="00E7729E" w:rsidRPr="00ED172B" w:rsidRDefault="00E7729E" w:rsidP="00E7729E">
      <w:pPr>
        <w:rPr>
          <w:color w:val="000000" w:themeColor="text1"/>
        </w:rPr>
      </w:pPr>
      <w:r w:rsidRPr="00A10714">
        <w:rPr>
          <w:b/>
          <w:color w:val="000000" w:themeColor="text1"/>
        </w:rPr>
        <w:t>Targets</w:t>
      </w:r>
    </w:p>
    <w:tbl>
      <w:tblPr>
        <w:tblW w:w="3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679"/>
        <w:gridCol w:w="2351"/>
        <w:gridCol w:w="2475"/>
        <w:gridCol w:w="2653"/>
      </w:tblGrid>
      <w:tr w:rsidR="00CF59E2" w:rsidRPr="00ED172B" w14:paraId="0453CCC2" w14:textId="77777777" w:rsidTr="00811738">
        <w:trPr>
          <w:trHeight w:val="360"/>
        </w:trPr>
        <w:tc>
          <w:tcPr>
            <w:tcW w:w="416" w:type="pct"/>
            <w:tcBorders>
              <w:bottom w:val="single" w:sz="4" w:space="0" w:color="auto"/>
            </w:tcBorders>
          </w:tcPr>
          <w:p w14:paraId="1A80DB10" w14:textId="77777777" w:rsidR="00CF59E2" w:rsidRPr="00ED172B" w:rsidRDefault="00CF59E2" w:rsidP="0082735C">
            <w:pPr>
              <w:jc w:val="center"/>
              <w:rPr>
                <w:b/>
                <w:color w:val="000000" w:themeColor="text1"/>
              </w:rPr>
            </w:pPr>
            <w:r w:rsidRPr="00ED172B">
              <w:rPr>
                <w:b/>
                <w:color w:val="000000" w:themeColor="text1"/>
              </w:rPr>
              <w:lastRenderedPageBreak/>
              <w:t>FFY</w:t>
            </w:r>
          </w:p>
        </w:tc>
        <w:tc>
          <w:tcPr>
            <w:tcW w:w="1441" w:type="pct"/>
          </w:tcPr>
          <w:p w14:paraId="44E988D2" w14:textId="7BD43327" w:rsidR="00CF59E2" w:rsidRPr="00ED172B" w:rsidRDefault="00CF59E2" w:rsidP="0082735C">
            <w:pPr>
              <w:jc w:val="center"/>
              <w:rPr>
                <w:b/>
                <w:color w:val="000000" w:themeColor="text1"/>
              </w:rPr>
            </w:pPr>
            <w:r w:rsidRPr="00B67020">
              <w:rPr>
                <w:b/>
                <w:color w:val="000000" w:themeColor="text1"/>
              </w:rPr>
              <w:t>Current Relationship</w:t>
            </w:r>
          </w:p>
        </w:tc>
        <w:tc>
          <w:tcPr>
            <w:tcW w:w="1517" w:type="pct"/>
            <w:vAlign w:val="center"/>
          </w:tcPr>
          <w:p w14:paraId="5C60C210" w14:textId="397126C8" w:rsidR="00CF59E2" w:rsidRPr="00ED172B" w:rsidRDefault="00CF59E2" w:rsidP="0082735C">
            <w:pPr>
              <w:jc w:val="center"/>
              <w:rPr>
                <w:b/>
                <w:color w:val="000000" w:themeColor="text1"/>
              </w:rPr>
            </w:pPr>
            <w:r w:rsidRPr="00ED172B">
              <w:rPr>
                <w:b/>
                <w:color w:val="000000" w:themeColor="text1"/>
              </w:rPr>
              <w:t>2024</w:t>
            </w:r>
          </w:p>
        </w:tc>
        <w:tc>
          <w:tcPr>
            <w:tcW w:w="1626" w:type="pct"/>
          </w:tcPr>
          <w:p w14:paraId="0701C412" w14:textId="77777777" w:rsidR="00CF59E2" w:rsidRPr="00ED172B" w:rsidRDefault="00CF59E2" w:rsidP="0082735C">
            <w:pPr>
              <w:jc w:val="center"/>
              <w:rPr>
                <w:b/>
                <w:color w:val="000000" w:themeColor="text1"/>
              </w:rPr>
            </w:pPr>
            <w:r>
              <w:rPr>
                <w:rFonts w:cs="Arial"/>
                <w:b/>
                <w:color w:val="000000" w:themeColor="text1"/>
                <w:szCs w:val="16"/>
              </w:rPr>
              <w:t>2025</w:t>
            </w:r>
          </w:p>
        </w:tc>
      </w:tr>
      <w:tr w:rsidR="00CF59E2" w:rsidRPr="00ED172B" w14:paraId="02BF8447" w14:textId="77777777" w:rsidTr="00811738">
        <w:trPr>
          <w:trHeight w:val="367"/>
        </w:trPr>
        <w:tc>
          <w:tcPr>
            <w:tcW w:w="416" w:type="pct"/>
          </w:tcPr>
          <w:p w14:paraId="1DE2EEC4" w14:textId="0B1A6EEF" w:rsidR="00CF59E2" w:rsidRPr="00ED172B" w:rsidRDefault="00CF59E2" w:rsidP="00D21F29">
            <w:pPr>
              <w:jc w:val="center"/>
              <w:rPr>
                <w:rFonts w:cs="Arial"/>
                <w:color w:val="000000" w:themeColor="text1"/>
                <w:szCs w:val="16"/>
              </w:rPr>
            </w:pPr>
            <w:r w:rsidRPr="00ED172B">
              <w:rPr>
                <w:rFonts w:cs="Arial"/>
                <w:color w:val="000000" w:themeColor="text1"/>
                <w:szCs w:val="16"/>
              </w:rPr>
              <w:t>Target</w:t>
            </w:r>
          </w:p>
        </w:tc>
        <w:tc>
          <w:tcPr>
            <w:tcW w:w="1441" w:type="pct"/>
          </w:tcPr>
          <w:p w14:paraId="09BF8550" w14:textId="1015C7F4" w:rsidR="00CF59E2" w:rsidRPr="00ED172B" w:rsidRDefault="00CF59E2" w:rsidP="0082735C">
            <w:pPr>
              <w:jc w:val="center"/>
              <w:rPr>
                <w:color w:val="000000" w:themeColor="text1"/>
              </w:rPr>
            </w:pPr>
            <w:r w:rsidRPr="00B67020">
              <w:rPr>
                <w:color w:val="000000" w:themeColor="text1"/>
              </w:rPr>
              <w:t>Data must be greater than or equal to the target</w:t>
            </w:r>
          </w:p>
        </w:tc>
        <w:tc>
          <w:tcPr>
            <w:tcW w:w="1517" w:type="pct"/>
            <w:vAlign w:val="center"/>
          </w:tcPr>
          <w:p w14:paraId="25EEA933" w14:textId="4E32B110" w:rsidR="00CF59E2" w:rsidRPr="00ED172B" w:rsidRDefault="00CF59E2" w:rsidP="0082735C">
            <w:pPr>
              <w:jc w:val="center"/>
              <w:rPr>
                <w:color w:val="000000" w:themeColor="text1"/>
              </w:rPr>
            </w:pPr>
            <w:r w:rsidRPr="00ED172B">
              <w:rPr>
                <w:color w:val="000000" w:themeColor="text1"/>
              </w:rPr>
              <w:t>57.20%</w:t>
            </w:r>
          </w:p>
        </w:tc>
        <w:tc>
          <w:tcPr>
            <w:tcW w:w="1626" w:type="pct"/>
          </w:tcPr>
          <w:p w14:paraId="4FDDD4C1" w14:textId="5C51D581" w:rsidR="00CF59E2" w:rsidRPr="00ED172B" w:rsidRDefault="00CF59E2" w:rsidP="0082735C">
            <w:pPr>
              <w:jc w:val="center"/>
              <w:rPr>
                <w:color w:val="000000" w:themeColor="text1"/>
              </w:rPr>
            </w:pPr>
            <w:r>
              <w:rPr>
                <w:rFonts w:cs="Arial"/>
                <w:color w:val="000000" w:themeColor="text1"/>
                <w:szCs w:val="16"/>
              </w:rPr>
              <w:t>57.20%</w:t>
            </w:r>
          </w:p>
        </w:tc>
      </w:tr>
    </w:tbl>
    <w:p w14:paraId="7BA6F57E" w14:textId="77777777" w:rsidR="008C5AD3" w:rsidRPr="00ED172B" w:rsidRDefault="008C5AD3" w:rsidP="008C5AD3">
      <w:pPr>
        <w:pStyle w:val="Italic"/>
        <w:rPr>
          <w:rFonts w:cs="Arial"/>
          <w:i w:val="0"/>
          <w:color w:val="000000" w:themeColor="text1"/>
          <w:szCs w:val="16"/>
        </w:rPr>
      </w:pPr>
    </w:p>
    <w:p w14:paraId="3FAB99C9" w14:textId="0156D8B2" w:rsidR="005A3EDC" w:rsidRPr="00ED172B" w:rsidRDefault="005A3EDC" w:rsidP="005A3EDC">
      <w:pPr>
        <w:rPr>
          <w:b/>
          <w:color w:val="000000" w:themeColor="text1"/>
        </w:rPr>
      </w:pPr>
      <w:r>
        <w:rPr>
          <w:b/>
          <w:color w:val="000000" w:themeColor="text1"/>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6E048B6B" w14:textId="77777777" w:rsidTr="009C4033">
        <w:trPr>
          <w:trHeight w:val="354"/>
        </w:trPr>
        <w:tc>
          <w:tcPr>
            <w:tcW w:w="1165" w:type="pct"/>
            <w:vAlign w:val="bottom"/>
          </w:tcPr>
          <w:p w14:paraId="35377E80" w14:textId="2AF6D1B5" w:rsidR="005A3EDC" w:rsidRPr="00ED172B" w:rsidRDefault="005E3DB9" w:rsidP="0082735C">
            <w:pPr>
              <w:jc w:val="center"/>
              <w:rPr>
                <w:b/>
                <w:color w:val="000000" w:themeColor="text1"/>
                <w:szCs w:val="16"/>
              </w:rPr>
            </w:pPr>
            <w:r w:rsidRPr="00ED172B">
              <w:rPr>
                <w:color w:val="000000" w:themeColor="text1"/>
                <w:szCs w:val="16"/>
              </w:rPr>
              <w:t>Not including at-risk toddlers, children who entered or exited the program below age expectations in Outcome A</w:t>
            </w:r>
          </w:p>
        </w:tc>
        <w:tc>
          <w:tcPr>
            <w:tcW w:w="876" w:type="pct"/>
            <w:vAlign w:val="bottom"/>
          </w:tcPr>
          <w:p w14:paraId="2CFCBD1B" w14:textId="129F1692" w:rsidR="005A3EDC" w:rsidRPr="00ED172B" w:rsidRDefault="005E3DB9" w:rsidP="0082735C">
            <w:pPr>
              <w:jc w:val="center"/>
              <w:rPr>
                <w:b/>
                <w:color w:val="000000" w:themeColor="text1"/>
                <w:szCs w:val="16"/>
              </w:rPr>
            </w:pPr>
            <w:r w:rsidRPr="00ED172B">
              <w:rPr>
                <w:color w:val="000000" w:themeColor="text1"/>
                <w:szCs w:val="16"/>
              </w:rPr>
              <w:t>Not including at-risk toddlers, children who entered or exited the program below age expectations in Outcome A</w:t>
            </w:r>
          </w:p>
        </w:tc>
        <w:tc>
          <w:tcPr>
            <w:tcW w:w="667" w:type="pct"/>
            <w:vAlign w:val="bottom"/>
          </w:tcPr>
          <w:p w14:paraId="76EF8F05" w14:textId="7BC3D7C3" w:rsidR="005A3EDC" w:rsidRPr="00ED172B" w:rsidRDefault="005A3EDC" w:rsidP="0082735C">
            <w:pPr>
              <w:jc w:val="center"/>
              <w:rPr>
                <w:b/>
                <w:color w:val="000000" w:themeColor="text1"/>
                <w:szCs w:val="16"/>
              </w:rPr>
            </w:pPr>
            <w:r>
              <w:rPr>
                <w:rFonts w:cs="Arial"/>
                <w:b/>
                <w:color w:val="000000" w:themeColor="text1"/>
                <w:szCs w:val="16"/>
              </w:rPr>
              <w:t>FFY 2023 Data</w:t>
            </w:r>
          </w:p>
        </w:tc>
        <w:tc>
          <w:tcPr>
            <w:tcW w:w="626" w:type="pct"/>
            <w:vAlign w:val="bottom"/>
          </w:tcPr>
          <w:p w14:paraId="5F4EA754" w14:textId="23394F66" w:rsidR="005A3EDC" w:rsidRPr="00ED172B" w:rsidRDefault="005A3EDC" w:rsidP="0082735C">
            <w:pPr>
              <w:jc w:val="center"/>
              <w:rPr>
                <w:b/>
                <w:color w:val="000000" w:themeColor="text1"/>
                <w:szCs w:val="16"/>
              </w:rPr>
            </w:pPr>
            <w:r>
              <w:rPr>
                <w:rFonts w:cs="Arial"/>
                <w:b/>
                <w:color w:val="000000" w:themeColor="text1"/>
                <w:szCs w:val="16"/>
              </w:rPr>
              <w:t>FFY 2024 Target</w:t>
            </w:r>
          </w:p>
        </w:tc>
        <w:tc>
          <w:tcPr>
            <w:tcW w:w="584" w:type="pct"/>
            <w:vAlign w:val="bottom"/>
          </w:tcPr>
          <w:p w14:paraId="67762CBC" w14:textId="68A7CF4C" w:rsidR="005A3EDC" w:rsidRPr="00ED172B" w:rsidRDefault="005A3EDC" w:rsidP="0082735C">
            <w:pPr>
              <w:jc w:val="center"/>
              <w:rPr>
                <w:b/>
                <w:color w:val="000000" w:themeColor="text1"/>
                <w:szCs w:val="16"/>
              </w:rPr>
            </w:pPr>
            <w:r>
              <w:rPr>
                <w:rFonts w:cs="Arial"/>
                <w:b/>
                <w:color w:val="000000" w:themeColor="text1"/>
                <w:szCs w:val="16"/>
              </w:rPr>
              <w:t>FFY 2024 Data</w:t>
            </w:r>
          </w:p>
        </w:tc>
        <w:tc>
          <w:tcPr>
            <w:tcW w:w="584" w:type="pct"/>
            <w:vAlign w:val="bottom"/>
          </w:tcPr>
          <w:p w14:paraId="3B9F25BA"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vAlign w:val="bottom"/>
          </w:tcPr>
          <w:p w14:paraId="63772CF4"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6DBCB096" w14:textId="77777777" w:rsidTr="009C4033">
        <w:trPr>
          <w:trHeight w:val="287"/>
        </w:trPr>
        <w:tc>
          <w:tcPr>
            <w:tcW w:w="1165" w:type="pct"/>
            <w:vAlign w:val="center"/>
          </w:tcPr>
          <w:p w14:paraId="3F656E99" w14:textId="27CC2589" w:rsidR="005A3EDC" w:rsidRPr="00ED172B" w:rsidRDefault="005A3EDC" w:rsidP="0082735C">
            <w:pPr>
              <w:jc w:val="center"/>
              <w:rPr>
                <w:color w:val="000000" w:themeColor="text1"/>
                <w:szCs w:val="16"/>
              </w:rPr>
            </w:pPr>
            <w:r w:rsidRPr="00ED172B">
              <w:rPr>
                <w:color w:val="000000" w:themeColor="text1"/>
                <w:szCs w:val="16"/>
              </w:rPr>
              <w:t>2,256</w:t>
            </w:r>
          </w:p>
        </w:tc>
        <w:tc>
          <w:tcPr>
            <w:tcW w:w="876" w:type="pct"/>
            <w:vAlign w:val="center"/>
          </w:tcPr>
          <w:p w14:paraId="3150BE9F" w14:textId="5DC8C558" w:rsidR="005A3EDC" w:rsidRPr="00ED172B" w:rsidRDefault="005A3EDC" w:rsidP="0082735C">
            <w:pPr>
              <w:jc w:val="center"/>
              <w:rPr>
                <w:color w:val="000000" w:themeColor="text1"/>
                <w:szCs w:val="16"/>
              </w:rPr>
            </w:pPr>
            <w:r w:rsidRPr="00ED172B">
              <w:rPr>
                <w:color w:val="000000" w:themeColor="text1"/>
                <w:szCs w:val="16"/>
              </w:rPr>
              <w:t>4,761</w:t>
            </w:r>
          </w:p>
        </w:tc>
        <w:tc>
          <w:tcPr>
            <w:tcW w:w="667" w:type="pct"/>
          </w:tcPr>
          <w:p w14:paraId="01ADA7D7" w14:textId="7A44C784" w:rsidR="005A3EDC" w:rsidRPr="00ED172B" w:rsidRDefault="005A3EDC" w:rsidP="0082735C">
            <w:pPr>
              <w:jc w:val="center"/>
              <w:rPr>
                <w:color w:val="000000" w:themeColor="text1"/>
                <w:szCs w:val="16"/>
              </w:rPr>
            </w:pPr>
            <w:r w:rsidRPr="00ED172B">
              <w:rPr>
                <w:rFonts w:cs="Arial"/>
                <w:color w:val="000000" w:themeColor="text1"/>
                <w:szCs w:val="16"/>
              </w:rPr>
              <w:t>45.91%</w:t>
            </w:r>
          </w:p>
        </w:tc>
        <w:tc>
          <w:tcPr>
            <w:tcW w:w="626" w:type="pct"/>
          </w:tcPr>
          <w:p w14:paraId="7E0CA0EB" w14:textId="2BC1966F" w:rsidR="005A3EDC" w:rsidRPr="00ED172B" w:rsidRDefault="005A3EDC" w:rsidP="0082735C">
            <w:pPr>
              <w:jc w:val="center"/>
              <w:rPr>
                <w:color w:val="000000" w:themeColor="text1"/>
                <w:szCs w:val="16"/>
              </w:rPr>
            </w:pPr>
            <w:r w:rsidRPr="00ED172B">
              <w:rPr>
                <w:color w:val="000000" w:themeColor="text1"/>
                <w:szCs w:val="16"/>
              </w:rPr>
              <w:t>57.20%</w:t>
            </w:r>
          </w:p>
        </w:tc>
        <w:tc>
          <w:tcPr>
            <w:tcW w:w="584" w:type="pct"/>
          </w:tcPr>
          <w:p w14:paraId="458651F5" w14:textId="00EF1137" w:rsidR="005A3EDC" w:rsidRPr="00ED172B" w:rsidRDefault="005A3EDC" w:rsidP="0082735C">
            <w:pPr>
              <w:jc w:val="center"/>
              <w:rPr>
                <w:color w:val="000000" w:themeColor="text1"/>
                <w:szCs w:val="16"/>
              </w:rPr>
            </w:pPr>
            <w:r w:rsidRPr="00ED172B">
              <w:rPr>
                <w:rFonts w:cs="Arial"/>
                <w:color w:val="000000" w:themeColor="text1"/>
                <w:szCs w:val="16"/>
              </w:rPr>
              <w:t>47.39%</w:t>
            </w:r>
          </w:p>
        </w:tc>
        <w:tc>
          <w:tcPr>
            <w:tcW w:w="584" w:type="pct"/>
          </w:tcPr>
          <w:p w14:paraId="4D02F4DA" w14:textId="5ECE8E78" w:rsidR="005A3EDC" w:rsidRPr="00ED172B" w:rsidRDefault="005A3EDC" w:rsidP="0082735C">
            <w:pPr>
              <w:jc w:val="center"/>
              <w:rPr>
                <w:color w:val="000000" w:themeColor="text1"/>
              </w:rPr>
            </w:pPr>
            <w:r w:rsidRPr="00ED172B">
              <w:rPr>
                <w:color w:val="000000" w:themeColor="text1"/>
              </w:rPr>
              <w:t>Did not meet target</w:t>
            </w:r>
          </w:p>
        </w:tc>
        <w:tc>
          <w:tcPr>
            <w:tcW w:w="498" w:type="pct"/>
          </w:tcPr>
          <w:p w14:paraId="057828AA" w14:textId="1DB7167A" w:rsidR="005A3EDC" w:rsidRPr="00ED172B" w:rsidRDefault="005A3EDC" w:rsidP="0082735C">
            <w:pPr>
              <w:jc w:val="center"/>
              <w:rPr>
                <w:color w:val="000000" w:themeColor="text1"/>
              </w:rPr>
            </w:pPr>
            <w:r w:rsidRPr="00ED172B">
              <w:rPr>
                <w:color w:val="000000" w:themeColor="text1"/>
              </w:rPr>
              <w:t>No Slippage</w:t>
            </w:r>
          </w:p>
        </w:tc>
      </w:tr>
    </w:tbl>
    <w:bookmarkEnd w:id="75"/>
    <w:bookmarkEnd w:id="76"/>
    <w:p w14:paraId="4F07CE97" w14:textId="2F5F51F8" w:rsidR="00693B33" w:rsidRDefault="00693B33" w:rsidP="00741E58"/>
    <w:p w14:paraId="7FBF3D2A" w14:textId="2550263E" w:rsidR="00305E79" w:rsidRDefault="00305E79" w:rsidP="00C14BC7">
      <w:pPr>
        <w:rPr>
          <w:b/>
          <w:bCs/>
        </w:rPr>
      </w:pPr>
      <w:r>
        <w:rPr>
          <w:b/>
          <w:bCs/>
        </w:rPr>
        <w:t>Provide the data source for the FFY 2024 data.</w:t>
      </w:r>
    </w:p>
    <w:p w14:paraId="39EA1EF2" w14:textId="4442F412" w:rsidR="00305E79" w:rsidRDefault="00305E79" w:rsidP="00305E79">
      <w:pPr>
        <w:rPr>
          <w:color w:val="000000" w:themeColor="text1"/>
        </w:rPr>
      </w:pPr>
      <w:r w:rsidRPr="00ED172B">
        <w:rPr>
          <w:color w:val="000000" w:themeColor="text1"/>
        </w:rPr>
        <w:t>MA-C collects data on Child Outcome 3A, Summary Statement 1 from its state database. Early intervention services (EIS) providers enter evaluation data at the outset of an infant or toddler’s enrollment in Part C services and upon exiting. EIS providers use the Battelle Developmental Inventory to evaluate progress. During federal fiscal year 2024 (FFY24; July 1, 2024-June 30, 2025), the Lead Agency (MA-C) used two different instruments to calculate the Indicator 3 Outcomes. From July 1, 2024 - January 5, 2025, the Battelle Developmental Inventory (2nd edition) was used. From January 6, 2025-June 30, 2025, the Battelle Developmental Inventory (3rd edition) was used.</w:t>
      </w:r>
    </w:p>
    <w:p w14:paraId="58E947E6" w14:textId="35C272EA" w:rsidR="00C14BC7" w:rsidRPr="00C14BC7" w:rsidRDefault="00C14BC7" w:rsidP="00C14BC7">
      <w:r w:rsidRPr="00F85A5B">
        <w:rPr>
          <w:b/>
          <w:bCs/>
        </w:rPr>
        <w:t>Please describe how data are collected and analyzed for the SiMR</w:t>
      </w:r>
      <w:r w:rsidRPr="00C14BC7">
        <w:t>.</w:t>
      </w:r>
    </w:p>
    <w:p w14:paraId="6315B3BF" w14:textId="4A2D6D59" w:rsidR="00C14BC7" w:rsidRDefault="00C14BC7" w:rsidP="00C14BC7">
      <w:pPr>
        <w:rPr>
          <w:color w:val="000000" w:themeColor="text1"/>
        </w:rPr>
      </w:pPr>
      <w:r w:rsidRPr="00ED172B">
        <w:rPr>
          <w:color w:val="000000" w:themeColor="text1"/>
        </w:rPr>
        <w:t>First, early intervention services (EIS) providers administer and score the Battelle Developmental Inventory, 2nd edition (BDI-2; used between July 1, 2024-January 5, 2025) and Battelle Developmental Inventory, 3rd edition (BDI-3; used between January 6, 2025-June 30, 2025) following the publisher's manual. Next, EIS providers enter the developmental quotient (DQ) into the state database. Third, MA-C's Data Manager analyzes the duration of early intervention services provided to the child prior to the administration of the BDI-2; children who received less than six months of services are excluded from future analyses. Similarly, children who have only one administration (e.g., completed upon exit but not entry) or have incomplete scoring information are also excluded. Having identified the children to be included in this calculation, MA-C determines which of five BDI-2 or BDI-3 categories the child's performance falls: (a) child did not improve functioning, (b) child's functioning improved but is not comparable to same-aged peers, (c) child's functioning improved to near-age expectations but did not reach it, (d) child's functioning improved and is comparable to same-aged peers, or (e) child entered with functioning comparable to same-aged peers and the level was maintained. MA-C then prepares a report of the number of children included in each category and compares the raw number and percentage of children in each category across prior reporting years. To calculate the summary statement (used for the SiMR), MA-C adds the number of children included in the two middle categories (i.e., categories C and D, described above) and then divides the sum by the sum of the number of children in categories A, B, C, and D (described above). Children in category E (i.e., those who enter and exit with functioning comparable to same-aged peers) are excluded from this analysis.</w:t>
      </w:r>
    </w:p>
    <w:p w14:paraId="76D8647E" w14:textId="78CCE65B" w:rsidR="00270F92" w:rsidRDefault="00270F92" w:rsidP="00741E58"/>
    <w:p w14:paraId="3CC869D1" w14:textId="77777777" w:rsidR="00177098" w:rsidRDefault="006D5F86" w:rsidP="006D5F86">
      <w:pPr>
        <w:rPr>
          <w:rFonts w:cs="Arial"/>
          <w:b/>
          <w:bCs/>
        </w:rPr>
      </w:pPr>
      <w:bookmarkStart w:id="77"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00CD071F" w:rsidRPr="00CD071F">
        <w:rPr>
          <w:b/>
          <w:bCs/>
        </w:rPr>
        <w:t>(yes/no)</w:t>
      </w:r>
    </w:p>
    <w:bookmarkEnd w:id="77"/>
    <w:p w14:paraId="6A765DFA" w14:textId="1921A02D" w:rsidR="00831891" w:rsidRPr="000123EB" w:rsidRDefault="00831891" w:rsidP="00831891">
      <w:pPr>
        <w:rPr>
          <w:color w:val="000000" w:themeColor="text1"/>
        </w:rPr>
      </w:pPr>
      <w:r w:rsidRPr="00ED172B">
        <w:rPr>
          <w:color w:val="000000" w:themeColor="text1"/>
        </w:rPr>
        <w:lastRenderedPageBreak/>
        <w:t>NO</w:t>
      </w:r>
    </w:p>
    <w:bookmarkEnd w:id="78"/>
    <w:p w14:paraId="5AF54FE1" w14:textId="1D928FAB" w:rsidR="006F322B" w:rsidRDefault="006F322B" w:rsidP="00741E58">
      <w:pPr>
        <w:rPr>
          <w:b/>
          <w:bCs/>
        </w:rPr>
      </w:pPr>
    </w:p>
    <w:p w14:paraId="7345EC60" w14:textId="31ACD1AB" w:rsidR="00C77A39" w:rsidRDefault="00C77A39" w:rsidP="00C77A39">
      <w:pPr>
        <w:spacing w:after="0"/>
        <w:rPr>
          <w:rFonts w:cs="Arial"/>
          <w:b/>
          <w:bCs/>
        </w:rPr>
      </w:pPr>
      <w:bookmarkStart w:id="79" w:name="_Hlk109646937"/>
      <w:r w:rsidRPr="00F85A5B">
        <w:rPr>
          <w:rFonts w:cs="Arial"/>
          <w:b/>
          <w:bCs/>
        </w:rPr>
        <w:t xml:space="preserve">Did the State identify any general data quality concerns, unrelated to COVID-19, which affected progress toward the SiMR during the reporting period? </w:t>
      </w:r>
      <w:r w:rsidR="00CD071F" w:rsidRPr="00CD071F">
        <w:rPr>
          <w:b/>
          <w:bCs/>
        </w:rPr>
        <w:t>(yes/no)</w:t>
      </w:r>
    </w:p>
    <w:bookmarkEnd w:id="79"/>
    <w:p w14:paraId="0DD31B03" w14:textId="7D01B3CB" w:rsidR="005838E8" w:rsidRDefault="005838E8" w:rsidP="00C77A39">
      <w:pPr>
        <w:spacing w:after="0"/>
        <w:rPr>
          <w:rFonts w:cs="Arial"/>
          <w:b/>
          <w:bCs/>
        </w:rPr>
      </w:pPr>
      <w:r w:rsidRPr="00ED172B">
        <w:rPr>
          <w:color w:val="000000" w:themeColor="text1"/>
        </w:rPr>
        <w:t>NO</w:t>
      </w:r>
    </w:p>
    <w:bookmarkEnd w:id="80"/>
    <w:p w14:paraId="2806BED7" w14:textId="77777777" w:rsidR="005838E8" w:rsidRDefault="005838E8" w:rsidP="00741E58">
      <w:pPr>
        <w:rPr>
          <w:b/>
          <w:bCs/>
        </w:rPr>
      </w:pPr>
    </w:p>
    <w:p w14:paraId="2F92DA5E" w14:textId="040E23FA" w:rsidR="00FC7972" w:rsidRDefault="00FC7972" w:rsidP="00741E58">
      <w:pPr>
        <w:rPr>
          <w:b/>
          <w:bCs/>
        </w:rPr>
      </w:pPr>
      <w:bookmarkStart w:id="81" w:name="_Hlk109646952"/>
      <w:r w:rsidRPr="00FC7972">
        <w:rPr>
          <w:b/>
          <w:bCs/>
        </w:rPr>
        <w:t>Did the State identify any data quality concerns directly related to the COVID-19 pandemic during the reporting period? (yes/no)</w:t>
      </w:r>
    </w:p>
    <w:bookmarkEnd w:id="81"/>
    <w:p w14:paraId="315EE8A6" w14:textId="43B354C8" w:rsidR="005838E8" w:rsidRDefault="005838E8" w:rsidP="00741E58">
      <w:pPr>
        <w:rPr>
          <w:b/>
          <w:bCs/>
        </w:rPr>
      </w:pPr>
      <w:r w:rsidRPr="00ED172B">
        <w:rPr>
          <w:color w:val="000000" w:themeColor="text1"/>
        </w:rPr>
        <w:t>NO</w:t>
      </w:r>
    </w:p>
    <w:bookmarkEnd w:id="82"/>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E8FFD0" w14:textId="77777777" w:rsidR="0041306A" w:rsidRDefault="0041306A" w:rsidP="0041306A">
      <w:pPr>
        <w:rPr>
          <w:rFonts w:cs="Arial"/>
          <w:b/>
          <w:bCs/>
        </w:rPr>
      </w:pPr>
      <w:r>
        <w:rPr>
          <w:rFonts w:cs="Arial"/>
          <w:b/>
          <w:bCs/>
        </w:rPr>
        <w:t>Please provide a link to the State’s current evaluation plan.</w:t>
      </w:r>
    </w:p>
    <w:p w14:paraId="2EAA92E6" w14:textId="1D331164" w:rsidR="0041306A" w:rsidRDefault="0041306A" w:rsidP="0041306A">
      <w:pPr>
        <w:rPr>
          <w:color w:val="000000" w:themeColor="text1"/>
        </w:rPr>
      </w:pPr>
      <w:r>
        <w:rPr>
          <w:color w:val="000000" w:themeColor="text1"/>
        </w:rPr>
        <w:t>https://www.mass.gov/lists/public-reporting-for-early-intervention#state-systemic-improvement-plan-</w:t>
      </w:r>
    </w:p>
    <w:p w14:paraId="60D24E34"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7F0F1A1F" w14:textId="4B2EF83A" w:rsidR="0041306A" w:rsidRDefault="0041306A" w:rsidP="0041306A">
      <w:pPr>
        <w:rPr>
          <w:color w:val="000000" w:themeColor="text1"/>
        </w:rPr>
      </w:pPr>
      <w:r>
        <w:rPr>
          <w:color w:val="000000" w:themeColor="text1"/>
        </w:rPr>
        <w:t>NO</w:t>
      </w:r>
    </w:p>
    <w:p w14:paraId="2D4D51DA" w14:textId="58145AD2" w:rsidR="00EE4E0F" w:rsidRDefault="00EE4E0F" w:rsidP="003B71AB">
      <w:pPr>
        <w:rPr>
          <w:rFonts w:cs="Arial"/>
          <w:b/>
          <w:bCs/>
        </w:rPr>
      </w:pPr>
    </w:p>
    <w:p w14:paraId="1FED1D02" w14:textId="77777777" w:rsidR="0041306A" w:rsidRDefault="0041306A" w:rsidP="003B71AB">
      <w:pPr>
        <w:rPr>
          <w:rFonts w:cs="Arial"/>
          <w:b/>
          <w:bCs/>
        </w:rPr>
      </w:pPr>
    </w:p>
    <w:p w14:paraId="051DAFDE" w14:textId="4F021F29" w:rsidR="003B71AB" w:rsidRPr="00E30972" w:rsidRDefault="00A85B6E" w:rsidP="003B71AB">
      <w:pPr>
        <w:rPr>
          <w:rFonts w:cs="Arial"/>
          <w:b/>
        </w:rPr>
      </w:pPr>
      <w:bookmarkStart w:id="83" w:name="_Hlk109647010"/>
      <w:r w:rsidRPr="008E5E4F">
        <w:rPr>
          <w:rFonts w:cs="Arial"/>
          <w:b/>
          <w:szCs w:val="16"/>
        </w:rPr>
        <w:t>Provide a summary of each infrastructure improvement strategy implemented in the reporting period.</w:t>
      </w:r>
    </w:p>
    <w:bookmarkEnd w:id="83"/>
    <w:p w14:paraId="25F98C7D" w14:textId="49E84F34" w:rsidR="00EE4E0F" w:rsidRPr="009A49C9" w:rsidRDefault="00EE4E0F" w:rsidP="00EE4E0F">
      <w:pPr>
        <w:rPr>
          <w:b/>
          <w:bCs/>
        </w:rPr>
      </w:pPr>
      <w:r w:rsidRPr="00ED172B">
        <w:rPr>
          <w:color w:val="000000" w:themeColor="text1"/>
        </w:rPr>
        <w:t>The Lead Agency (MA-C) continued to prioritize its infrastructure improvements and is pleased to report progress on the following strategies during federal fiscal year 2024 (FFY24; July 1, 2024-June 30, 2025):</w:t>
      </w:r>
    </w:p>
    <w:p>
      <w:pPr>
        <w:pStyle w:val=""/>
      </w:pPr>
      <w:r>
        <w:rPr>
          <w:rFonts w:ascii="" w:hAnsi="" w:cs="" w:eastAsia=""/>
          <w:b w:val="false"/>
          <w:i w:val="false"/>
          <w:color w:val="000000"/>
        </w:rPr>
        <w:t/>
      </w:r>
    </w:p>
    <w:p>
      <w:pPr>
        <w:pStyle w:val=""/>
      </w:pPr>
      <w:r>
        <w:rPr>
          <w:rFonts w:ascii="" w:hAnsi="" w:cs="" w:eastAsia=""/>
          <w:b w:val="false"/>
          <w:i w:val="false"/>
          <w:color w:val="000000"/>
        </w:rPr>
        <w:t xml:space="preserve">Governance (output 1) and Data (outputs 8, 19, 20, 26, 27, 28, 29, &amp; 30): MA-C improved the quality of data entered into its database through additional enhancements and validations. MA-C established and facilitated several subject matter expert panels (SME) to improve the accuracy, reliability, and validity of the data collected and reported.   These SME panels were comprised of a representative group of stakeholders who would be most affected by the initiative of change proposed. MA-C improved its data infrastructure by adopting a new assessment instrument, the Battelle Developmental Inventory (3rd ed.) after detecting that the norms used for the BDI-2 were more than 20 years old and did not accurately reflect the most current research and developmental milestones.  These activities will help improve the SiMR by increasing data completeness, higher-quality data, and increasing data-based decision-making for the purposes of programmatic monitoring and improvement. </w:t>
      </w:r>
    </w:p>
    <w:p>
      <w:pPr>
        <w:pStyle w:val=""/>
      </w:pPr>
      <w:r>
        <w:rPr>
          <w:rFonts w:ascii="" w:hAnsi="" w:cs="" w:eastAsia=""/>
          <w:b w:val="false"/>
          <w:i w:val="false"/>
          <w:color w:val="000000"/>
        </w:rPr>
        <w:t/>
      </w:r>
    </w:p>
    <w:p>
      <w:pPr>
        <w:pStyle w:val=""/>
      </w:pPr>
      <w:r>
        <w:rPr>
          <w:rFonts w:ascii="" w:hAnsi="" w:cs="" w:eastAsia=""/>
          <w:b w:val="false"/>
          <w:i w:val="false"/>
          <w:color w:val="000000"/>
        </w:rPr>
        <w:t xml:space="preserve">Personnel (Outputs 2 &amp; 3): MA-C transitioned to a new instrument used to calculate Indicator 3 outcomes and the SiMR, the Battelle Developmental Inventory (3rd ed). This transition included an automated platform to guide early intervention services (EIS) providers during administration with a goal of increased fidelity, as well as on-demand training to learn how to administer the new tool with a goal of easily accessible training for EIS providers. This activity will help improve the SiMR by yielding higher-quality data. </w:t>
      </w:r>
    </w:p>
    <w:p>
      <w:pPr>
        <w:pStyle w:val=""/>
      </w:pPr>
      <w:r>
        <w:rPr>
          <w:rFonts w:ascii="" w:hAnsi="" w:cs="" w:eastAsia=""/>
          <w:b w:val="false"/>
          <w:i w:val="false"/>
          <w:color w:val="000000"/>
        </w:rPr>
        <w:t/>
      </w:r>
    </w:p>
    <w:p>
      <w:pPr>
        <w:pStyle w:val=""/>
      </w:pPr>
      <w:r>
        <w:rPr>
          <w:rFonts w:ascii="" w:hAnsi="" w:cs="" w:eastAsia=""/>
          <w:b w:val="false"/>
          <w:i w:val="false"/>
          <w:color w:val="000000"/>
        </w:rPr>
        <w:t>Finance (Output 4): MA-C continued to revise its fiscal monitoring procedures and update its standard operating procedures. During federal fiscal year 2024 (FFY24, July 1, 2024-June 30, 2025), MA-C documented long-standing practices related to Payor of Last Resort requirements. These activities helped improve the SiMR by demonstrably meeting IDEA requirements under 20 USC 1435(a)(10) and 34 CFR 303.120.</w:t>
      </w:r>
    </w:p>
    <w:p>
      <w:pPr>
        <w:pStyle w:val=""/>
      </w:pPr>
      <w:r>
        <w:rPr>
          <w:rFonts w:ascii="" w:hAnsi="" w:cs="" w:eastAsia=""/>
          <w:b w:val="false"/>
          <w:i w:val="false"/>
          <w:color w:val="000000"/>
        </w:rPr>
        <w:t/>
      </w:r>
    </w:p>
    <w:p>
      <w:pPr>
        <w:pStyle w:val=""/>
      </w:pPr>
      <w:r>
        <w:rPr>
          <w:rFonts w:ascii="" w:hAnsi="" w:cs="" w:eastAsia=""/>
          <w:b w:val="false"/>
          <w:i w:val="false"/>
          <w:color w:val="000000"/>
        </w:rPr>
        <w:t>Training &amp; Technical Assistance (Outputs 5,6,7, 9,21, 22, 23, 24, 25): MA-C increased training and technical assistance related to data completeness and prepare to transition to a new instrument for Indicator 3 Outcomes. For example, the Part C Data Manager held multiple webinars to educate EIS providers about how data completeness and the SiMR are calculated. Following these presentations, the Clinical Oversight and Support Specialists shared data on each EIS program’s respective data completeness across several FFYs. MA-C created family guides describing each step of the early intervention care cascade and translate these toolkits into multiple languages to ensure access (family guides available at https://massclearinghouse.ehs.state.ma.us/category/EARLYI.html). These activities will help improve the SiMR by increasing the number of children included in Indicator 3 outcomes and families being empowered to engage in each step of the care cascade.</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bookmarkStart w:id="84"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84"/>
    <w:p w14:paraId="6C845F06" w14:textId="7D9487AF" w:rsidR="000379F6" w:rsidRDefault="00717461" w:rsidP="006237B0">
      <w:pPr>
        <w:rPr>
          <w:rFonts w:cs="Arial"/>
          <w:b/>
          <w:bCs/>
        </w:rPr>
      </w:pPr>
      <w:r w:rsidRPr="00ED172B">
        <w:rPr>
          <w:color w:val="000000" w:themeColor="text1"/>
        </w:rPr>
        <w:t xml:space="preserve">The Lead Agency (MA-C) observed short-term and intermediate outcomes for each infrastructure improvement strategy and is pleased to report progress on the following strategies during federal fiscal year 2024 (FFY24; July 1, 2024-June 30, 2025): </w:t>
      </w:r>
    </w:p>
    <w:p>
      <w:pPr>
        <w:pStyle w:val=""/>
      </w:pPr>
      <w:r>
        <w:rPr>
          <w:rFonts w:ascii="" w:hAnsi="" w:cs="" w:eastAsia=""/>
          <w:b w:val="false"/>
          <w:i w:val="false"/>
          <w:color w:val="000000"/>
        </w:rPr>
        <w:t/>
      </w:r>
    </w:p>
    <w:p>
      <w:pPr>
        <w:pStyle w:val=""/>
      </w:pPr>
      <w:r>
        <w:rPr>
          <w:rFonts w:ascii="" w:hAnsi="" w:cs="" w:eastAsia=""/>
          <w:b w:val="false"/>
          <w:i w:val="false"/>
          <w:color w:val="000000"/>
        </w:rPr>
        <w:t>Governance and Data: MA-C achieved short-term and intermediate outcomes related to governance and data infrastructure that strengthen its capacity to collect, analyze, and use high-quality data for system improvement. Through targeted database enhancements and additional system validations, MA-C improved the completeness, accuracy, and reliability of data entered into the Early Intervention Client System (EICS), as evidenced by reductions in missing or inconsistent data elements. MA-C also established and facilitated multiple subject matter expert panels composed of stakeholders most affected by proposed enhancements, including early intervention services (EIS) providers and state staff. These panels resulted in clearer data definitions and a shared understanding of expectations for data collection and reporting. Short-term outcomes included increased stakeholder understanding of data requirements and improved consistency in data entry, and intermediate outcomes included increased trust in reported data and greater use of data for programmatic monitoring and improvement. These governance activities support sustainability by embedding stakeholder engagement and transparency into decision-making processes. MA-C strengthened its data infrastructure by adopting a new standardized assessment instrument, the Battelle Developmental Inventory, Third Edition (BDI-3), after determining that the norms associated with the previous instrument (BDI-2) were outdated. This transition improved the validity of the State-identified Measurable Result (SiMR) by using contemporary norms and evidence-based developmental expectations. Taken together, these activities are necessary to achieve the SiMR because they promote complete, accurate, and valid Indicator 3 data, enabling MA-C and EIS programs to draw meaningful conclusions, test improvement strategies, and evaluate service efficacy. These activities also support sustainability by modernizing the instrument used to calculate the SiMR and support scale-up by establishing a replicable model for future EICS enhancements.</w:t>
      </w:r>
    </w:p>
    <w:p>
      <w:pPr>
        <w:pStyle w:val=""/>
      </w:pPr>
      <w:r>
        <w:rPr>
          <w:rFonts w:ascii="" w:hAnsi="" w:cs="" w:eastAsia=""/>
          <w:b w:val="false"/>
          <w:i w:val="false"/>
          <w:color w:val="000000"/>
        </w:rPr>
        <w:t/>
      </w:r>
    </w:p>
    <w:p>
      <w:pPr>
        <w:pStyle w:val=""/>
      </w:pPr>
      <w:r>
        <w:rPr>
          <w:rFonts w:ascii="" w:hAnsi="" w:cs="" w:eastAsia=""/>
          <w:b w:val="false"/>
          <w:i w:val="false"/>
          <w:color w:val="000000"/>
        </w:rPr>
        <w:t>Personnel: MA-C achieved short-term outcomes related to personnel and professional development through the transition to the BDI-3, including implementation of an automated assessment platform designed to guide EIS providers during administration. Short-term outcomes included improved access to standardized guidance, reduced variability in administration practices, and increased provider confidence. The automated platform serves as a built-in fidelity support, reinforcing correct administration procedures and reducing reliance on informal or program-specific practices. MA-C also made available on-demand training resources to support EIS providers in learning how to administer the BDI-3, increasing training accessibility by reducing barriers related to scheduling, geography, and staff turnover. MA-C assessed these outcomes by monitoring training utilization and data completeness by program. These activities are necessary to achieve the SiMR because they improve the fidelity, consistency, and validity of assessment data used to measure child outcomes. They also support sustainability and scale-up by creating a replicable professional development infrastructure capable of accommodating workforce growth and turnover while maintaining high-quality implementation statewide.</w:t>
      </w:r>
    </w:p>
    <w:p>
      <w:pPr>
        <w:pStyle w:val=""/>
      </w:pPr>
      <w:r>
        <w:rPr>
          <w:rFonts w:ascii="" w:hAnsi="" w:cs="" w:eastAsia=""/>
          <w:b w:val="false"/>
          <w:i w:val="false"/>
          <w:color w:val="000000"/>
        </w:rPr>
        <w:t/>
      </w:r>
    </w:p>
    <w:p>
      <w:pPr>
        <w:pStyle w:val=""/>
      </w:pPr>
      <w:r>
        <w:rPr>
          <w:rFonts w:ascii="" w:hAnsi="" w:cs="" w:eastAsia=""/>
          <w:b w:val="false"/>
          <w:i w:val="false"/>
          <w:color w:val="000000"/>
        </w:rPr>
        <w:t>Finance: MA-C achieved short-term and intermediate outcomes related to finance and fiscal accountability through continued revision and strengthening of its fiscal monitoring procedures. During FFY24, MA-C documented long-standing practices related to Payor of Last Resort requirements, clarifying how these practices operationalize statutory and regulatory obligations under 20 U.S.C. § 1435(a)(10) and 34 C.F.R. § 303.120. Short-term outcomes included increased clarity and consistency in how fiscal requirements are documented, implemented, and monitored across EIS programs, as well as increased demonstrable compliance with IDEA requirements and OSEP Memo 23-01. These outcomes were assessed through internal review of fiscal procedures and improved alignment between written guidance and practice. Intermediate outcomes include enhanced capacity to identify and address potential fiscal noncompliance in a timely manner and to apply oversight consistently across programs. These activities are necessary to achieve the SiMR because they ensure fiscal practices do not delay or impede access to services and support sustainability by institutionalizing fiscal monitoring procedures that can withstand staff turnover and leadership changes.</w:t>
      </w:r>
    </w:p>
    <w:p>
      <w:pPr>
        <w:pStyle w:val=""/>
      </w:pPr>
      <w:r>
        <w:rPr>
          <w:rFonts w:ascii="" w:hAnsi="" w:cs="" w:eastAsia=""/>
          <w:b w:val="false"/>
          <w:i w:val="false"/>
          <w:color w:val="000000"/>
        </w:rPr>
        <w:t/>
      </w:r>
    </w:p>
    <w:p>
      <w:pPr>
        <w:pStyle w:val=""/>
      </w:pPr>
      <w:r>
        <w:rPr>
          <w:rFonts w:ascii="" w:hAnsi="" w:cs="" w:eastAsia=""/>
          <w:b w:val="false"/>
          <w:i w:val="false"/>
          <w:color w:val="000000"/>
        </w:rPr>
        <w:t>Training and Technical Assistance: MA-C achieved short-term and intermediate outcomes related to training and technical assistance by expanding supports focused on data completeness and preparing EICS to collect information from the new instrument used to calculate Indicator 3 outcomes and the SiMR. These activities strengthened EIS provider understanding of data collection expectations, reduced variability in data entry practices, and supported accurate and timely Indicator 3 data collection. Short-term outcomes included increased provider awareness of the importance of complete data and improved understanding of differences between the BDI-2 and BDI-3, as assessed through training participation and early indicators of improved data entry. MA-C also developed family-facing guides describing each step of the Part C care cascade and translated these resources into multiple languages to ensure equitable access. These activities support achievement of the SiMR by increasing data completeness and family engagement, support sustainability by embedding family-centered communication into ongoing technical assistance structures, and support scale-up by creating standardized resources that can be broadly disseminated and adapted for future initiatives without additional infrastructure.</w:t>
      </w:r>
    </w:p>
    <w:p w14:paraId="372876BC" w14:textId="75D5A78F" w:rsidR="009C2256" w:rsidRDefault="009C2256" w:rsidP="009C2256">
      <w:pPr>
        <w:rPr>
          <w:rFonts w:cs="Arial"/>
          <w:b/>
          <w:bCs/>
        </w:rPr>
      </w:pPr>
      <w:bookmarkStart w:id="85"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85"/>
    <w:p w14:paraId="15FABCCC" w14:textId="764152CE" w:rsidR="000039B6" w:rsidRPr="000039B6" w:rsidRDefault="000039B6" w:rsidP="009C2256">
      <w:pPr>
        <w:rPr>
          <w:b/>
          <w:bCs/>
        </w:rPr>
      </w:pPr>
      <w:r w:rsidRPr="00ED172B">
        <w:rPr>
          <w:color w:val="000000" w:themeColor="text1"/>
        </w:rPr>
        <w:t>NO</w:t>
      </w:r>
    </w:p>
    <w:bookmarkEnd w:id="86"/>
    <w:p w14:paraId="0B9E8F82" w14:textId="77777777" w:rsidR="00EB4B7B" w:rsidRPr="00EB4B7B" w:rsidRDefault="00EB4B7B" w:rsidP="00EB4B7B">
      <w:pPr>
        <w:rPr>
          <w:rFonts w:cs="Arial"/>
          <w:b/>
          <w:bCs/>
        </w:rPr>
      </w:pPr>
      <w:bookmarkStart w:id="87" w:name="_Hlk109647038"/>
      <w:r w:rsidRPr="00EB4B7B">
        <w:rPr>
          <w:rFonts w:cs="Arial"/>
          <w:b/>
          <w:bCs/>
        </w:rPr>
        <w:t xml:space="preserve">Provide a summary of the next steps for each infrastructure improvement strategy and the anticipated outcomes to be attained during the next reporting period. </w:t>
      </w:r>
    </w:p>
    <w:bookmarkEnd w:id="87"/>
    <w:p w14:paraId="2B44D59F" w14:textId="71C78214" w:rsidR="00370225" w:rsidRPr="005137B6" w:rsidRDefault="00370225" w:rsidP="00370225">
      <w:pPr>
        <w:rPr>
          <w:b/>
          <w:bCs/>
        </w:rPr>
      </w:pPr>
      <w:r w:rsidRPr="00ED172B">
        <w:rPr>
          <w:color w:val="000000" w:themeColor="text1"/>
        </w:rPr>
        <w:t>The Lead Agency (MA-C) expects to complete additional action for each infrastructure improvement strategy in federal fiscal year 2025 (i.e., FFY25, July 1, 2025-June 30, 2026):</w:t>
      </w:r>
    </w:p>
    <w:p>
      <w:pPr>
        <w:pStyle w:val=""/>
      </w:pPr>
      <w:r>
        <w:rPr>
          <w:rFonts w:ascii="" w:hAnsi="" w:cs="" w:eastAsia=""/>
          <w:b w:val="false"/>
          <w:i w:val="false"/>
          <w:color w:val="000000"/>
        </w:rPr>
        <w:t/>
      </w:r>
    </w:p>
    <w:p>
      <w:pPr>
        <w:pStyle w:val=""/>
      </w:pPr>
      <w:r>
        <w:rPr>
          <w:rFonts w:ascii="" w:hAnsi="" w:cs="" w:eastAsia=""/>
          <w:b w:val="false"/>
          <w:i w:val="false"/>
          <w:color w:val="000000"/>
        </w:rPr>
        <w:t xml:space="preserve">Governance and Data: MA-C anticipates improving the quality of data entered into its database through additional enhancements and validations, as well as clarifying guidance and data entry expectations for EIS providers. MA-C expects several outputs (e.g., enhancements released into the Early Intervention Client System, increased reporting capabilities for EIS program directors, increased uniformity in data entry) that will produce the outcomes of higher-quality data and increased data-based decision-making for the purposes of programmatic monitoring and improvement. </w:t>
      </w:r>
    </w:p>
    <w:p>
      <w:pPr>
        <w:pStyle w:val=""/>
      </w:pPr>
      <w:r>
        <w:rPr>
          <w:rFonts w:ascii="" w:hAnsi="" w:cs="" w:eastAsia=""/>
          <w:b w:val="false"/>
          <w:i w:val="false"/>
          <w:color w:val="000000"/>
        </w:rPr>
        <w:t/>
      </w:r>
    </w:p>
    <w:p>
      <w:pPr>
        <w:pStyle w:val=""/>
      </w:pPr>
      <w:r>
        <w:rPr>
          <w:rFonts w:ascii="" w:hAnsi="" w:cs="" w:eastAsia=""/>
          <w:b w:val="false"/>
          <w:i w:val="false"/>
          <w:color w:val="000000"/>
        </w:rPr>
        <w:t>Personnel: MA-C anticipates establishing new threshold scores and Indicator 3 outcomes calculations following its transition to the BDI-3. MA-C expects to make parallel updates to its curriculum for orienting new EIS program directors. MA-C expects outputs (e.g., threshold score established, calculation for Indicator 3 outcomes and SiMR using BDI-3, updated curriculum) that will produce the outcomes of complete, accurate, and valid Indicator 3 data that can be used to monitor progress toward the SiMR.</w:t>
      </w:r>
    </w:p>
    <w:p>
      <w:pPr>
        <w:pStyle w:val=""/>
      </w:pPr>
      <w:r>
        <w:rPr>
          <w:rFonts w:ascii="" w:hAnsi="" w:cs="" w:eastAsia=""/>
          <w:b w:val="false"/>
          <w:i w:val="false"/>
          <w:color w:val="000000"/>
        </w:rPr>
        <w:t/>
      </w:r>
    </w:p>
    <w:p>
      <w:pPr>
        <w:pStyle w:val=""/>
      </w:pPr>
      <w:r>
        <w:rPr>
          <w:rFonts w:ascii="" w:hAnsi="" w:cs="" w:eastAsia=""/>
          <w:b w:val="false"/>
          <w:i w:val="false"/>
          <w:color w:val="000000"/>
        </w:rPr>
        <w:t>Finance: MA-C anticipates revising its fiscal monitoring procedures to better align with OSEP 23-01 and proposing parallel revisions to its fiscal policies. Additionally, MA-C anticipates creating dashboards to make monitoring use of state and federal funds easier and allow for more accurate budgetary projections. Expected outputs include written monitoring procedures, a revised fiscal policy, and the creation of internal dashboards; MA-C expects the outcomes of these activities to be improvement in demonstrably meeting IDEA requirements for monitoring and fiscal oversight.</w:t>
      </w:r>
    </w:p>
    <w:p>
      <w:pPr>
        <w:pStyle w:val=""/>
      </w:pPr>
      <w:r>
        <w:rPr>
          <w:rFonts w:ascii="" w:hAnsi="" w:cs="" w:eastAsia=""/>
          <w:b w:val="false"/>
          <w:i w:val="false"/>
          <w:color w:val="000000"/>
        </w:rPr>
        <w:t/>
      </w:r>
    </w:p>
    <w:p>
      <w:pPr>
        <w:pStyle w:val=""/>
      </w:pPr>
      <w:r>
        <w:rPr>
          <w:rFonts w:ascii="" w:hAnsi="" w:cs="" w:eastAsia=""/>
          <w:b w:val="false"/>
          <w:i w:val="false"/>
          <w:color w:val="000000"/>
        </w:rPr>
        <w:t xml:space="preserve">Training &amp; Technical Assistance: MA-C anticipates developing increased training for its orientation for new EIS providers that provides greater focus on Part C regulatory requirements for timely service delivery and the dispute resolution system. MA-C anticipates convening in-person training events focused on the dispute resolution system, the importance of timely services, and educating EIS providers about how MA-C’s monitoring procedures. Additionally, MA-C plans to continue monthly data sharing with its EIS program directors, which includes program-level data as compared to the state average and a discussion of contributing factors and recommendations for improvement. The expected outputs include additional training materials (e.g., revised presentations and materials) with anticipated outcomes of increased EIS provider knowledge of Part C requirements. </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bookmarkStart w:id="88" w:name="_Hlk109647044"/>
      <w:r w:rsidRPr="0072398B">
        <w:rPr>
          <w:rFonts w:cs="Arial"/>
          <w:b/>
          <w:bCs/>
        </w:rPr>
        <w:t>List the selected evidence-based practices implemented in the reporting period:</w:t>
      </w:r>
    </w:p>
    <w:bookmarkEnd w:id="88"/>
    <w:p w14:paraId="741AB6F5" w14:textId="3EC0E8B5" w:rsidR="00582D95" w:rsidRDefault="00582D95" w:rsidP="00582D95">
      <w:pPr>
        <w:rPr>
          <w:color w:val="000000" w:themeColor="text1"/>
        </w:rPr>
      </w:pPr>
      <w:r w:rsidRPr="00ED172B">
        <w:rPr>
          <w:color w:val="000000" w:themeColor="text1"/>
        </w:rPr>
        <w:t>Organizational Behavior Management, Quality improvement activities, Parents Interacting With Infants, and Evidence-Based Supervision.</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bookmarkStart w:id="89" w:name="_Hlk109647049"/>
      <w:r w:rsidRPr="00AB24A4">
        <w:rPr>
          <w:rFonts w:cs="Arial"/>
          <w:b/>
          <w:bCs/>
        </w:rPr>
        <w:t>Provide a summary of each evidence-based practice.</w:t>
      </w:r>
    </w:p>
    <w:bookmarkEnd w:id="89"/>
    <w:p w14:paraId="0AE8C012" w14:textId="0CF0516A" w:rsidR="002679EA" w:rsidRPr="005137B6" w:rsidRDefault="002679EA" w:rsidP="002679EA">
      <w:pPr>
        <w:rPr>
          <w:b/>
          <w:bCs/>
        </w:rPr>
      </w:pPr>
      <w:r w:rsidRPr="00ED172B">
        <w:rPr>
          <w:color w:val="000000" w:themeColor="text1"/>
        </w:rPr>
        <w:t xml:space="preserve">Organizational Behavior Management (OBM; Brethower, 1972; Daniels, 2000; Rodriguez, Sundberg, &amp; Biagi, 2017; McGee &amp; Crowley-Koch, 2019) is a science that focuses on evaluating and modifying the work environment to improve employee performance and and an organization's culture. Organizational Behavior Management is a specialty within the science of Applied Behavior Analysis and can be applied to performance management, evaluation and development of systems, training and development, and leadership and culture. </w:t>
      </w:r>
    </w:p>
    <w:p>
      <w:pPr>
        <w:pStyle w:val=""/>
      </w:pPr>
      <w:r>
        <w:rPr>
          <w:rFonts w:ascii="" w:hAnsi="" w:cs="" w:eastAsia=""/>
          <w:b w:val="false"/>
          <w:i w:val="false"/>
          <w:color w:val="000000"/>
        </w:rPr>
        <w:t/>
      </w:r>
    </w:p>
    <w:p>
      <w:pPr>
        <w:pStyle w:val=""/>
      </w:pPr>
      <w:r>
        <w:rPr>
          <w:rFonts w:ascii="" w:hAnsi="" w:cs="" w:eastAsia=""/>
          <w:b w:val="false"/>
          <w:i w:val="false"/>
          <w:color w:val="000000"/>
        </w:rPr>
        <w:t>Quality Improvement (QI; Reed, Davey, &amp; Woodcock, 2016) is a science that emphasizes rapid-cycle testing, and extension to generate learning about what changes produce improvement and in which contexts. Research indicates that QI methods can be effectively employed across educational and healthcare settings to improve staff practices and outcomes.</w:t>
      </w:r>
    </w:p>
    <w:p>
      <w:pPr>
        <w:pStyle w:val=""/>
      </w:pPr>
      <w:r>
        <w:rPr>
          <w:rFonts w:ascii="" w:hAnsi="" w:cs="" w:eastAsia=""/>
          <w:b w:val="false"/>
          <w:i w:val="false"/>
          <w:color w:val="000000"/>
        </w:rPr>
        <w:t/>
      </w:r>
    </w:p>
    <w:p>
      <w:pPr>
        <w:pStyle w:val=""/>
      </w:pPr>
      <w:r>
        <w:rPr>
          <w:rFonts w:ascii="" w:hAnsi="" w:cs="" w:eastAsia=""/>
          <w:b w:val="false"/>
          <w:i w:val="false"/>
          <w:color w:val="000000"/>
        </w:rPr>
        <w:t>Parents Interacting With Infants (PIWI; Yates and McCollum, 2017) is an evidenced-based set of practices based on beliefs (i.e., a “philosophy”) about families, children, and helping relationships. The objectives of PIWI are to increase confidence, competence, and positive relationships for parents and children ages 0-2. It does so by focusing on the parent-child relationship and using coaching to promote responsive, respectful parent-child interactions. Research indicates that early interactions with parents influence a child's future outcomes (e.g., Center for the Developing Child, 2016). The PIWI model encourages the use of evidence-based strategies including family-centered practices, family-capacity building, and family-professional collaboration (DEC, 2014).</w:t>
      </w:r>
    </w:p>
    <w:p>
      <w:pPr>
        <w:pStyle w:val=""/>
      </w:pPr>
      <w:r>
        <w:rPr>
          <w:rFonts w:ascii="" w:hAnsi="" w:cs="" w:eastAsia=""/>
          <w:b w:val="false"/>
          <w:i w:val="false"/>
          <w:color w:val="000000"/>
        </w:rPr>
        <w:t/>
      </w:r>
    </w:p>
    <w:p>
      <w:pPr>
        <w:pStyle w:val=""/>
      </w:pPr>
      <w:r>
        <w:rPr>
          <w:rFonts w:ascii="" w:hAnsi="" w:cs="" w:eastAsia=""/>
          <w:b w:val="false"/>
          <w:i w:val="false"/>
          <w:color w:val="000000"/>
        </w:rPr>
        <w:t>Supervision is a critically important skill for the provision of early intervention services for which an ample and growing body of evidence exists (e.g., Reid, Parsons, &amp; Green, 2012; Sellers, Valentino, &amp; LeBlanc, 2016; Beaulieu &amp; Jimenez-Gomez, 2022; Gatzunis, Edwards, Rodriguez Diaz, Conners, &amp; Weiss, 2022). The characteristics of evidence-based supervision practices have been embedded with MA-C's Reflective Supervision Institute.</w:t>
      </w:r>
    </w:p>
    <w:p w14:paraId="4B178C88" w14:textId="595701A4" w:rsidR="00AB24A4" w:rsidRPr="00AB24A4" w:rsidRDefault="00AB24A4" w:rsidP="00AB24A4">
      <w:pPr>
        <w:rPr>
          <w:rFonts w:cs="Arial"/>
          <w:b/>
          <w:bCs/>
        </w:rPr>
      </w:pPr>
      <w:r w:rsidRPr="00AB24A4">
        <w:rPr>
          <w:rFonts w:cs="Arial"/>
          <w:b/>
          <w:bCs/>
        </w:rPr>
        <w:lastRenderedPageBreak/>
        <w:t xml:space="preserve"> </w:t>
      </w:r>
    </w:p>
    <w:p w14:paraId="61132AC2" w14:textId="366CA00C" w:rsidR="00F05ED0" w:rsidRDefault="00B8661E" w:rsidP="00B8661E">
      <w:pPr>
        <w:rPr>
          <w:rFonts w:cs="Arial"/>
          <w:b/>
          <w:bCs/>
        </w:rPr>
      </w:pPr>
      <w:bookmarkStart w:id="90" w:name="_Hlk109647058"/>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90"/>
    <w:p w14:paraId="2FC32005" w14:textId="20E8C2E6" w:rsidR="00F05ED0" w:rsidRPr="005137B6" w:rsidRDefault="00F05ED0" w:rsidP="00F05ED0">
      <w:pPr>
        <w:rPr>
          <w:b/>
          <w:bCs/>
        </w:rPr>
      </w:pPr>
      <w:r w:rsidRPr="00ED172B">
        <w:rPr>
          <w:color w:val="000000" w:themeColor="text1"/>
        </w:rPr>
        <w:t>The Lead Agency (MA-C) used implemented several strategies and activities to ensure evidence-based practices designed to increase the SiMR were implemented with fidelity.</w:t>
      </w:r>
    </w:p>
    <w:p>
      <w:pPr>
        <w:pStyle w:val=""/>
      </w:pPr>
      <w:r>
        <w:rPr>
          <w:rFonts w:ascii="" w:hAnsi="" w:cs="" w:eastAsia=""/>
          <w:b w:val="false"/>
          <w:i w:val="false"/>
          <w:color w:val="000000"/>
        </w:rPr>
        <w:t/>
      </w:r>
    </w:p>
    <w:p>
      <w:pPr>
        <w:pStyle w:val=""/>
      </w:pPr>
      <w:r>
        <w:rPr>
          <w:rFonts w:ascii="" w:hAnsi="" w:cs="" w:eastAsia=""/>
          <w:b w:val="false"/>
          <w:i w:val="false"/>
          <w:color w:val="000000"/>
        </w:rPr>
        <w:t xml:space="preserve">First, MA-C relied on the science of organizational behavior management (OBM) to drive its large-scale organizational change efforts in federal fiscal year 2024 (FFY24; July 1, 2024-June 30, 2025). Examples include conducting behavioral systems analyses (e.g., Diener, McGee, &amp; Miguel, 2009) to identify and implement required infrastructure changes before implementing new change initiatives, completing an analysis of the variables that are contributing to poor performance (Carr, Wilder, Majdalany, Mathison, &amp; Strain, 2013), developing targeted interventions to remediate those variables, and using data to determine the efficacy of the interventions on the performance. For example, MA-C planned and implemented a series of interventions to improve its data completeness (i.e., the proportion of children exiting Part C that are included in its Indicator 3 outcomes calculations) and transitioned to a new instrument to calculate Indicator 3 outcomes. A structured and systematic approach to large-scale organizational change is necessary to improve the SiMR because it produces an adaptive, proactive, and data-driven organization that can sustain improvements and changes across time. </w:t>
      </w:r>
    </w:p>
    <w:p>
      <w:pPr>
        <w:pStyle w:val=""/>
      </w:pPr>
      <w:r>
        <w:rPr>
          <w:rFonts w:ascii="" w:hAnsi="" w:cs="" w:eastAsia=""/>
          <w:b w:val="false"/>
          <w:i w:val="false"/>
          <w:color w:val="000000"/>
        </w:rPr>
        <w:t/>
      </w:r>
    </w:p>
    <w:p>
      <w:pPr>
        <w:pStyle w:val=""/>
      </w:pPr>
      <w:r>
        <w:rPr>
          <w:rFonts w:ascii="" w:hAnsi="" w:cs="" w:eastAsia=""/>
          <w:b w:val="false"/>
          <w:i w:val="false"/>
          <w:color w:val="000000"/>
        </w:rPr>
        <w:t xml:space="preserve">Second, MA-C relied on the science of quality improvement (QI) that, if implemented with integrity, will impact the SiMR. Specifically, QI is a science that includes engagement and ongoing feedback from key representatives and collect data to quickly monitor and learn if the intervention is producing the desired outcome. A major focus during FFY24 was preparing for and transitioning to the Battelle Developmental Inventory, 3rd edition, as the new instrument for calculating Indicator 3 outcomes. MA-C continued to refine its internal procedures and infrastructure (e.g., communication with EIS programs, database structure, training and technical assistance)  to ensure effective implementation, which will necessarily impact the SiMR. Improving these internal practices will continue to improve outcomes for infants, toddlers, and their families across the Commonwealth's Part C System. </w:t>
      </w:r>
    </w:p>
    <w:p>
      <w:pPr>
        <w:pStyle w:val=""/>
      </w:pPr>
      <w:r>
        <w:rPr>
          <w:rFonts w:ascii="" w:hAnsi="" w:cs="" w:eastAsia=""/>
          <w:b w:val="false"/>
          <w:i w:val="false"/>
          <w:color w:val="000000"/>
        </w:rPr>
        <w:t/>
      </w:r>
    </w:p>
    <w:p>
      <w:pPr>
        <w:pStyle w:val=""/>
      </w:pPr>
      <w:r>
        <w:rPr>
          <w:rFonts w:ascii="" w:hAnsi="" w:cs="" w:eastAsia=""/>
          <w:b w:val="false"/>
          <w:i w:val="false"/>
          <w:color w:val="000000"/>
        </w:rPr>
        <w:t>Next, MA-C has previously endorsed PIWI as a strategy that, if implemented with integrity, will impact the SiMR. Specifically, PIWI is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When EIS providers implement evidence-based strategies such as family-centered practices, family-capacity building, and family-professional collaboration, children are more likely to substantially increase their positive social-emotional outcomes.</w:t>
      </w:r>
    </w:p>
    <w:p>
      <w:pPr>
        <w:pStyle w:val=""/>
      </w:pPr>
      <w:r>
        <w:rPr>
          <w:rFonts w:ascii="" w:hAnsi="" w:cs="" w:eastAsia=""/>
          <w:b w:val="false"/>
          <w:i w:val="false"/>
          <w:color w:val="000000"/>
        </w:rPr>
        <w:t/>
      </w:r>
    </w:p>
    <w:p>
      <w:pPr>
        <w:pStyle w:val=""/>
      </w:pPr>
      <w:r>
        <w:rPr>
          <w:rFonts w:ascii="" w:hAnsi="" w:cs="" w:eastAsia=""/>
          <w:b w:val="false"/>
          <w:i w:val="false"/>
          <w:color w:val="000000"/>
        </w:rPr>
        <w:t xml:space="preserve">Finally, MA-C relied on evidence-based supervision practices during FFY24 at all levels (i.e., in supervising MA-C staff, in overseeing early intervention services [EIS] programs, and in expecting early intervention services programs providing supervision to their staff). MA-C has established effective supervisor-supervisee relationships (internally with its staff and externally with EIS program directors) by setting clear expectations, receiving and accepting feedback, and creating a committed and positive relationship (e.g., Sellers, Valentino, &amp; LeBlanc, 2016). This actions are necessary to improve the SiMR because effective supervision is critical to the quality of ongoing service delivery. </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bookmarkStart w:id="91" w:name="_Hlk109647063"/>
      <w:r w:rsidRPr="00F008FE">
        <w:rPr>
          <w:rFonts w:cs="Arial"/>
          <w:b/>
          <w:bCs/>
        </w:rPr>
        <w:t xml:space="preserve">Describe the data collected to monitor fidelity of implementation and to assess practice change. </w:t>
      </w:r>
    </w:p>
    <w:bookmarkEnd w:id="91"/>
    <w:p w14:paraId="6371547D" w14:textId="42F6C7DD" w:rsidR="0051509A" w:rsidRPr="005137B6" w:rsidRDefault="0051509A" w:rsidP="0051509A">
      <w:pPr>
        <w:rPr>
          <w:b/>
          <w:bCs/>
        </w:rPr>
      </w:pPr>
      <w:r w:rsidRPr="00ED172B">
        <w:rPr>
          <w:color w:val="000000" w:themeColor="text1"/>
        </w:rPr>
        <w:t>The Lead Agency (MA-C) has focused on training to competency to PIWI method in federal fiscal year 2024 (FFY24; July 1, 2024-June 30, 2025). MA-C has employed several rapid PDSA cycles to evaluate its own internal policies and procedures.</w:t>
      </w:r>
    </w:p>
    <w:p w14:paraId="6003DDF2" w14:textId="77777777" w:rsidR="0051509A" w:rsidRPr="00F008FE" w:rsidRDefault="0051509A" w:rsidP="00F008FE">
      <w:pPr>
        <w:rPr>
          <w:rFonts w:cs="Arial"/>
          <w:b/>
          <w:bCs/>
        </w:rPr>
      </w:pPr>
    </w:p>
    <w:p w14:paraId="44008222" w14:textId="31268970" w:rsidR="00F255D2" w:rsidRPr="006A6410" w:rsidRDefault="006A6410" w:rsidP="00F255D2">
      <w:pPr>
        <w:rPr>
          <w:rFonts w:cs="Arial"/>
          <w:b/>
          <w:bCs/>
        </w:rPr>
      </w:pPr>
      <w:bookmarkStart w:id="92" w:name="_Hlk109647068"/>
      <w:r w:rsidRPr="00E30972">
        <w:rPr>
          <w:rFonts w:cs="Arial"/>
          <w:b/>
          <w:bCs/>
        </w:rPr>
        <w:t xml:space="preserve">Describe any additional data (e.g., progress monitoring) that was collected that supports the decision to continue the ongoing use of each evidence-based practice. </w:t>
      </w:r>
    </w:p>
    <w:bookmarkEnd w:id="92"/>
    <w:p w14:paraId="007AE64F" w14:textId="127A4D0F" w:rsidR="00107600" w:rsidRPr="005137B6" w:rsidRDefault="00107600" w:rsidP="00107600">
      <w:pPr>
        <w:rPr>
          <w:b/>
          <w:bCs/>
        </w:rPr>
      </w:pPr>
      <w:r w:rsidRPr="00ED172B">
        <w:rPr>
          <w:color w:val="000000" w:themeColor="text1"/>
        </w:rPr>
        <w:t/>
      </w:r>
    </w:p>
    <w:p w14:paraId="72F94657" w14:textId="77777777" w:rsidR="00107600" w:rsidRDefault="00107600" w:rsidP="00F255D2">
      <w:pPr>
        <w:rPr>
          <w:rFonts w:cs="Arial"/>
          <w:b/>
          <w:bCs/>
        </w:rPr>
      </w:pPr>
    </w:p>
    <w:p w14:paraId="52E9D5CB" w14:textId="4DF448EA" w:rsidR="006A6410" w:rsidRDefault="006A6410" w:rsidP="00064BA4">
      <w:pPr>
        <w:rPr>
          <w:rFonts w:cs="Arial"/>
          <w:b/>
          <w:bCs/>
        </w:rPr>
      </w:pPr>
      <w:bookmarkStart w:id="93" w:name="_Hlk109647074"/>
      <w:r w:rsidRPr="006A6410">
        <w:rPr>
          <w:rFonts w:cs="Arial"/>
          <w:b/>
          <w:bCs/>
        </w:rPr>
        <w:t xml:space="preserve">Provide a summary of the next steps for each evidence-based practice and the anticipated outcomes to be attained during the next reporting period. </w:t>
      </w:r>
    </w:p>
    <w:bookmarkEnd w:id="93"/>
    <w:p w14:paraId="5FC33224" w14:textId="66099ED0" w:rsidR="00026ADD" w:rsidRPr="005137B6" w:rsidRDefault="00026ADD" w:rsidP="00026ADD">
      <w:pPr>
        <w:rPr>
          <w:b/>
          <w:bCs/>
        </w:rPr>
      </w:pPr>
      <w:r w:rsidRPr="00ED172B">
        <w:rPr>
          <w:color w:val="000000" w:themeColor="text1"/>
        </w:rPr>
        <w:t>The Lead Agency (MA-C) will continue to implement these evidence-based practices during federal fiscal year 2025 (FFY25; July 1, 2025-June 30, 2026).</w:t>
      </w:r>
    </w:p>
    <w:p>
      <w:pPr>
        <w:pStyle w:val=""/>
      </w:pPr>
      <w:r>
        <w:rPr>
          <w:rFonts w:ascii="" w:hAnsi="" w:cs="" w:eastAsia=""/>
          <w:b w:val="false"/>
          <w:i w:val="false"/>
          <w:color w:val="000000"/>
        </w:rPr>
        <w:t/>
      </w:r>
    </w:p>
    <w:p>
      <w:pPr>
        <w:pStyle w:val=""/>
      </w:pPr>
      <w:r>
        <w:rPr>
          <w:rFonts w:ascii="" w:hAnsi="" w:cs="" w:eastAsia=""/>
          <w:b w:val="false"/>
          <w:i w:val="false"/>
          <w:color w:val="000000"/>
        </w:rPr>
        <w:t xml:space="preserve">First, MA-C will continue to rely on the science of organizational behavior management (OBM) to drive its large-scale organizational change efforts. As MA-C plans, develops, and implements a transition to a new evaluation tool, the Battelle Developmental Inventory (3rd ed.) behavioral systems analyses (e.g., Diener, McGee, &amp; Miguel, 2009) will be conducted to identify and implement required infrastructure changes before implementation. Additionally, analyzing the variables that are contributing to poor performance (Carr, Wilder, Majdalany, Mathison, &amp; Strain, 2013) will be used to develop targeted interventions to remediate those variables, and using data to determine the efficacy of the interventions on the performance. </w:t>
      </w:r>
    </w:p>
    <w:p>
      <w:pPr>
        <w:pStyle w:val=""/>
      </w:pPr>
      <w:r>
        <w:rPr>
          <w:rFonts w:ascii="" w:hAnsi="" w:cs="" w:eastAsia=""/>
          <w:b w:val="false"/>
          <w:i w:val="false"/>
          <w:color w:val="000000"/>
        </w:rPr>
        <w:t/>
      </w:r>
    </w:p>
    <w:p>
      <w:pPr>
        <w:pStyle w:val=""/>
      </w:pPr>
      <w:r>
        <w:rPr>
          <w:rFonts w:ascii="" w:hAnsi="" w:cs="" w:eastAsia=""/>
          <w:b w:val="false"/>
          <w:i w:val="false"/>
          <w:color w:val="000000"/>
        </w:rPr>
        <w:t>Second, MA-C will continue to rely on the science of quality improvement (QI) to engage and receive ongoing feedback from stakeholders and collect data to quickly monitor and learn if the intervention is producing the desired outcome. As MA-C plans, develops, and implements revised procedures as  part of its oversight responsibilities under Part C, rapid PDSA cycles will be used to refine MA-C's implementation, communication, and outreach.</w:t>
      </w:r>
    </w:p>
    <w:p>
      <w:pPr>
        <w:pStyle w:val=""/>
      </w:pPr>
      <w:r>
        <w:rPr>
          <w:rFonts w:ascii="" w:hAnsi="" w:cs="" w:eastAsia=""/>
          <w:b w:val="false"/>
          <w:i w:val="false"/>
          <w:color w:val="000000"/>
        </w:rPr>
        <w:t/>
      </w:r>
    </w:p>
    <w:p>
      <w:pPr>
        <w:pStyle w:val=""/>
      </w:pPr>
      <w:r>
        <w:rPr>
          <w:rFonts w:ascii="" w:hAnsi="" w:cs="" w:eastAsia=""/>
          <w:b w:val="false"/>
          <w:i w:val="false"/>
          <w:color w:val="000000"/>
        </w:rPr>
        <w:t>Next, MA-C has endorsed PIWI as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MA-C will continue to educate EIS providers about PIWI in its pre-service training.</w:t>
      </w:r>
    </w:p>
    <w:p>
      <w:pPr>
        <w:pStyle w:val=""/>
      </w:pPr>
      <w:r>
        <w:rPr>
          <w:rFonts w:ascii="" w:hAnsi="" w:cs="" w:eastAsia=""/>
          <w:b w:val="false"/>
          <w:i w:val="false"/>
          <w:color w:val="000000"/>
        </w:rPr>
        <w:t/>
      </w:r>
    </w:p>
    <w:p>
      <w:pPr>
        <w:pStyle w:val=""/>
      </w:pPr>
      <w:r>
        <w:rPr>
          <w:rFonts w:ascii="" w:hAnsi="" w:cs="" w:eastAsia=""/>
          <w:b w:val="false"/>
          <w:i w:val="false"/>
          <w:color w:val="000000"/>
        </w:rPr>
        <w:t>Finally, MA-C will continue to rely on evidence-based supervision practices at all levels (i.e., in supervising MA-C staff, in overseeing early intervention services [EIS] programs, and in expecting early intervention services programs providing supervision to their staff). MA-C will establish and maintain effective supervisor-supervisee relationships (internally with its staff and externally with EIS program directors) by setting clear expectations, receiving and accepting feedback, and creating a committed and positive relationship (e.g., Sellers, Valentino, &amp; LeBlanc, 2016).</w:t>
      </w:r>
    </w:p>
    <w:p w14:paraId="20BF17A9" w14:textId="77777777" w:rsidR="00026ADD" w:rsidRDefault="00026ADD" w:rsidP="00064BA4">
      <w:pPr>
        <w:rPr>
          <w:rFonts w:cs="Arial"/>
          <w:b/>
          <w:bCs/>
        </w:rPr>
      </w:pPr>
      <w:bookmarkStart w:id="94" w:name="_Hlk109647080"/>
    </w:p>
    <w:bookmarkEnd w:id="94"/>
    <w:p w14:paraId="0218F587"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01CB62A6" w14:textId="77248C90" w:rsidR="00540BB9" w:rsidRDefault="00540BB9" w:rsidP="00253D4F">
      <w:r w:rsidRPr="00781112">
        <w:t>NO</w:t>
      </w:r>
    </w:p>
    <w:p w14:paraId="3446D120" w14:textId="16C795D2" w:rsidR="00253D4F" w:rsidRPr="006A3544" w:rsidRDefault="00253D4F" w:rsidP="00253D4F">
      <w:pPr>
        <w:rPr>
          <w:b/>
          <w:bCs/>
          <w:szCs w:val="16"/>
        </w:rPr>
      </w:pPr>
      <w:r w:rsidRPr="006A3544">
        <w:rPr>
          <w:b/>
          <w:bCs/>
          <w:szCs w:val="16"/>
        </w:rPr>
        <w:t xml:space="preserve">If no, describe any changes to the activities, strategies or timelines described in the previous submission and include a rationale or justification for the changes. </w:t>
      </w:r>
    </w:p>
    <w:p w14:paraId="6F250BE3" w14:textId="37BCA0C5" w:rsidR="00540BB9" w:rsidRDefault="00540BB9" w:rsidP="00540BB9">
      <w:r w:rsidRPr="00781112">
        <w:t xml:space="preserve">MA-C's current SSIP includes activities specific to the Battelle Development Inventory (2nd ed), which is no longer used as of January 6, 2025. For this reason, expected outputs and activities will be revised during FFY25 to reflect MA-C's current instrument, the Battelle Developmental Inventory (3rd ed) for reporting in the FFY25 SPP/APR. </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10DD8D81" w14:textId="77777777" w:rsidR="00436802" w:rsidRPr="00ED172B" w:rsidRDefault="00436802" w:rsidP="00436802">
      <w:pPr>
        <w:pStyle w:val="Bold"/>
        <w:rPr>
          <w:b w:val="0"/>
          <w:color w:val="000000" w:themeColor="text1"/>
        </w:rPr>
      </w:pPr>
      <w:r w:rsidRPr="00ED172B">
        <w:rPr>
          <w:rFonts w:cs="Arial"/>
          <w:b w:val="0"/>
          <w:color w:val="000000" w:themeColor="text1"/>
          <w:szCs w:val="16"/>
        </w:rPr>
        <w:t>At a State Interagency Coordinating Council (ICC) meeting onMarch 13, 2025, the Part C Coordinator reviewed the purposes of the State Systemmic Improvement Plan and the history of its implementation in Massachusetts, including a description of the SSIP, the definition and source of the SiMR, and what SiMRs were selected by other Part C states and territories. She then asked members for feedback about the SiMR and if it reflected the current priorities in MA. Most members reported that it did, though some noted that a SiMR that focused on family engagement should be considered because of the presumed relation between family engagement and improved child outcomes. Members reported that the root cause for the low performance on the SiMR across time could be contributed to variation in admministration of the tool used, unclear policies from the Lead Agency (MA-C) about which children should be included in the SiMR calculations, and barriers to assessment, such as rates of reimbursement and the annual cap of 10 hours of assessment.</w:t>
      </w:r>
    </w:p>
    <w:p>
      <w:pPr>
        <w:pStyle w:val="Bold"/>
      </w:pPr>
      <w:r>
        <w:rPr>
          <w:rFonts w:ascii="" w:hAnsi="" w:cs="" w:eastAsia=""/>
          <w:b w:val="false"/>
          <w:i w:val="false"/>
          <w:color w:val="000000"/>
        </w:rPr>
        <w:t/>
      </w:r>
    </w:p>
    <w:p>
      <w:pPr>
        <w:pStyle w:val="Bold"/>
      </w:pPr>
      <w:r>
        <w:rPr>
          <w:rFonts w:ascii="" w:hAnsi="" w:cs="" w:eastAsia=""/>
          <w:b w:val="false"/>
          <w:i w:val="false"/>
          <w:color w:val="000000"/>
        </w:rPr>
        <w:t>At a State Interagency Coordinating Council (ICC) meeting on June 5, 2025, the Part C Coordinator reviewed the target-setting process with members, including definitions (e.g., baseline, target), the purpose of setting targets, when targets are set in the SPP/APR cycle, and a review of the current targets for the FFY20-FFY25 State Performance Plan/Annual Performance Report cycle.</w:t>
      </w: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bookmarkStart w:id="95" w:name="_Hlk109647088"/>
      <w:r w:rsidRPr="000F3CCC">
        <w:rPr>
          <w:rFonts w:cs="Arial"/>
          <w:b/>
          <w:bCs/>
        </w:rPr>
        <w:t xml:space="preserve">Describe the specific strategies implemented to engage stakeholders in key improvement efforts. </w:t>
      </w:r>
    </w:p>
    <w:bookmarkEnd w:id="95"/>
    <w:p w14:paraId="7A97D15A" w14:textId="346F07A8" w:rsidR="00D96943" w:rsidRPr="00B50A83" w:rsidRDefault="00D96943" w:rsidP="00D96943">
      <w:pPr>
        <w:rPr>
          <w:b/>
          <w:bCs/>
        </w:rPr>
      </w:pPr>
      <w:r w:rsidRPr="00ED172B">
        <w:rPr>
          <w:color w:val="000000" w:themeColor="text1"/>
        </w:rPr>
        <w:t xml:space="preserve">During federal fiscal year 2024 (i.e., July 1, 2024-June 30, 2025), the Lead Agency (MA-C) consistently implemented stakeholders in its improvement efforts. MA-C continued to rely on the State Interagency Coordinating Council (ICC) as its primary stakeholder body and increased representation from state agencies involved in the early childhood system of care. During each ICC meeting and subcommittee meetings, the Part C Coordinator or her designee defined, described, and provided an example of the problem or data to be reviewed before orienting attendees to the figures, presenting the data, and asking for assistance to contextualize the data and draw meaningful conclusions from it. MA-C also released a Request for Information to the public and held listening sessions to receive feedback about its Medically Complex Care Consultation Program in preparation for its procurement process. Additionally, roundtables with early intervention services (EIS) providers were introduced to review and receive feedback on specified topics. MA-C implemented its coordinated cascading communication plans to improve proactive communications to different stakeholders with targeted communications for each stakeholder group and expanded it by coordinating with the Department of Public Health's Legislative Affairs office to engage elected officials and with its Division of Insurance to engage commercial insurance representatives. MA-C further increased its data available to EIS program directors within its database, the Early Intervention Client System (EICS). These reports were developed in part to engage stakeholders by providing easier access to data for decision-making activities. </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bookmarkStart w:id="96"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96"/>
    <w:p w14:paraId="6ABDC33E" w14:textId="3149C6FF" w:rsidR="00DA6A6C" w:rsidRPr="000420BE" w:rsidRDefault="000420BE" w:rsidP="00DA6A6C">
      <w:pPr>
        <w:rPr>
          <w:b/>
          <w:bCs/>
        </w:rPr>
      </w:pPr>
      <w:r w:rsidRPr="00ED172B">
        <w:rPr>
          <w:color w:val="000000" w:themeColor="text1"/>
        </w:rPr>
        <w:t>YES</w:t>
      </w:r>
    </w:p>
    <w:p w14:paraId="3189F8DE" w14:textId="274B0BF2" w:rsidR="003D4AAD" w:rsidRPr="003D4AAD" w:rsidRDefault="00436802" w:rsidP="003D4AAD">
      <w:pPr>
        <w:rPr>
          <w:rFonts w:cs="Arial"/>
          <w:b/>
          <w:bCs/>
        </w:rPr>
      </w:pPr>
      <w:bookmarkStart w:id="97" w:name="_Hlk109647102"/>
      <w:r>
        <w:rPr>
          <w:rFonts w:cs="Arial"/>
          <w:b/>
          <w:bCs/>
        </w:rPr>
        <w:t xml:space="preserve">Describe how the State addressed the concerns expressed by stakeholders. </w:t>
      </w:r>
    </w:p>
    <w:bookmarkEnd w:id="97"/>
    <w:p w14:paraId="18AA4CF0" w14:textId="426ABC15" w:rsidR="0072398B" w:rsidRDefault="004A571B" w:rsidP="006237B0">
      <w:pPr>
        <w:rPr>
          <w:color w:val="000000" w:themeColor="text1"/>
        </w:rPr>
      </w:pPr>
      <w:r w:rsidRPr="00ED172B">
        <w:rPr>
          <w:color w:val="000000" w:themeColor="text1"/>
        </w:rPr>
        <w:t xml:space="preserve">Stakeholders continued expressed concern about what the SiMR is and how it is measured. As in prior years, early intervention services (EIS) program directors expressed concern about using a standardized assessment to measure the SiMR (Indicator 3, Outcome A, Summary Statement 1) because they felt that a standardized tool was insensitive to the unique needs of individual children. Some parent representatives to the State Interagency Coordinating Council (ICC) expressed concern that some families may not feel comfortable providing consent for standardized assessments if they did not see the value in such assessments. MA-C responded to this concern by creating a family guide to evaluation and assessment and is currently drafting an additional family guide designed to educate families about the benefits of standardized assessment, especially as their child prepares to exit Part C. </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bookmarkStart w:id="98" w:name="_Hlk109647117"/>
      <w:r w:rsidRPr="00F85A5B">
        <w:rPr>
          <w:b/>
          <w:bCs/>
        </w:rPr>
        <w:t>List any activities not already described that the State intends to implement in the next fiscal year that are related to the SiMR.</w:t>
      </w:r>
    </w:p>
    <w:bookmarkEnd w:id="98"/>
    <w:p w14:paraId="54FDC4CC" w14:textId="4E342817" w:rsidR="00917FC3" w:rsidRPr="00F85A5B" w:rsidRDefault="00917FC3" w:rsidP="004E393A">
      <w:pPr>
        <w:rPr>
          <w:color w:val="000000" w:themeColor="text1"/>
        </w:rPr>
      </w:pPr>
      <w:r w:rsidRPr="00ED172B">
        <w:rPr>
          <w:color w:val="000000" w:themeColor="text1"/>
        </w:rPr>
        <w:t/>
      </w:r>
    </w:p>
    <w:p w14:paraId="7E4D8D02" w14:textId="77777777" w:rsidR="00297898" w:rsidRPr="00297898" w:rsidRDefault="00297898" w:rsidP="00297898">
      <w:pPr>
        <w:rPr>
          <w:rFonts w:cs="Arial"/>
          <w:b/>
          <w:bCs/>
        </w:rPr>
      </w:pPr>
      <w:bookmarkStart w:id="99" w:name="_Hlk109647119"/>
      <w:r w:rsidRPr="00297898">
        <w:rPr>
          <w:rFonts w:cs="Arial"/>
          <w:b/>
          <w:bCs/>
        </w:rPr>
        <w:t xml:space="preserve">Provide a timeline, anticipated data collection and measures, and expected outcomes for these activities that are related to the SiMR. </w:t>
      </w:r>
    </w:p>
    <w:bookmarkEnd w:id="99"/>
    <w:p w14:paraId="08124F49" w14:textId="4CDFC9D0" w:rsidR="006237B0" w:rsidRDefault="007B151D" w:rsidP="00067F9F">
      <w:pPr>
        <w:spacing w:before="0" w:after="0"/>
        <w:rPr>
          <w:color w:val="000000" w:themeColor="text1"/>
        </w:rPr>
      </w:pPr>
      <w:r w:rsidRPr="00ED172B">
        <w:rPr>
          <w:color w:val="000000" w:themeColor="text1"/>
        </w:rPr>
        <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bookmarkStart w:id="100" w:name="_Hlk109647121"/>
      <w:r w:rsidRPr="009E0726">
        <w:rPr>
          <w:rFonts w:cs="Arial"/>
          <w:b/>
          <w:bCs/>
        </w:rPr>
        <w:t>Describe any newly identified barriers and include steps to address these barriers.</w:t>
      </w:r>
    </w:p>
    <w:bookmarkEnd w:id="100"/>
    <w:p w14:paraId="6E8B2008" w14:textId="0F892B41" w:rsidR="00F40121" w:rsidRDefault="00F40121" w:rsidP="00F40121">
      <w:pPr>
        <w:rPr>
          <w:color w:val="000000" w:themeColor="text1"/>
        </w:rPr>
      </w:pPr>
      <w:r w:rsidRPr="00ED172B">
        <w:rPr>
          <w:color w:val="000000" w:themeColor="text1"/>
        </w:rPr>
        <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bookmarkStart w:id="101" w:name="_Hlk109647123"/>
      <w:r w:rsidRPr="00261010">
        <w:rPr>
          <w:rFonts w:cs="Arial"/>
          <w:b/>
          <w:bCs/>
        </w:rPr>
        <w:t>Provide additional information about this indicator (optional).</w:t>
      </w:r>
    </w:p>
    <w:bookmarkEnd w:id="101"/>
    <w:p w14:paraId="58D41C9E" w14:textId="2B949EC4" w:rsidR="00F40121" w:rsidRDefault="00F40121" w:rsidP="00F40121">
      <w:pPr>
        <w:rPr>
          <w:color w:val="000000" w:themeColor="text1"/>
        </w:rPr>
      </w:pPr>
      <w:r w:rsidRPr="00ED172B">
        <w:rPr>
          <w:color w:val="000000" w:themeColor="text1"/>
        </w:rPr>
        <w:t/>
      </w: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lastRenderedPageBreak/>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None</w:t>
      </w:r>
    </w:p>
    <w:p w14:paraId="68A5FD13" w14:textId="2BE41878" w:rsidR="00F5460E" w:rsidRPr="00A40EE1" w:rsidRDefault="00F5460E" w:rsidP="00F5460E">
      <w:pPr>
        <w:pStyle w:val="Heading2"/>
      </w:pPr>
      <w:r w:rsidRPr="00A40EE1">
        <w:t>1</w:t>
      </w:r>
      <w:r w:rsidR="001C46CD">
        <w:t>1</w:t>
      </w:r>
      <w:r w:rsidRPr="00A40EE1">
        <w:t xml:space="preserve"> - OSEP Response</w:t>
      </w:r>
    </w:p>
    <w:p w14:paraId="42EAAED9" w14:textId="7B889C41" w:rsidR="00F5460E" w:rsidRPr="00ED172B" w:rsidRDefault="00F5460E" w:rsidP="00F5460E">
      <w:pPr>
        <w:rPr>
          <w:color w:val="000000" w:themeColor="text1"/>
        </w:rPr>
      </w:pPr>
      <w:r w:rsidRPr="00ED172B">
        <w:rPr>
          <w:color w:val="000000" w:themeColor="text1"/>
        </w:rPr>
        <w:t/>
      </w: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r w:rsidRPr="00ED172B">
        <w:rPr>
          <w:color w:val="000000" w:themeColor="text1"/>
        </w:rPr>
        <w:t/>
      </w:r>
    </w:p>
    <w:p w14:paraId="4FD6E4E7" w14:textId="77777777" w:rsidR="00530511" w:rsidRDefault="00621DEC" w:rsidP="00530511">
      <w:pPr>
        <w:pStyle w:val="Heading1"/>
      </w:pPr>
      <w:r>
        <w:rPr>
          <w:color w:val="000000" w:themeColor="text1"/>
        </w:rPr>
        <w:br w:type="page"/>
      </w:r>
      <w:r w:rsidR="00530511">
        <w:lastRenderedPageBreak/>
        <w:t>Indicator 12: General Supervision</w:t>
      </w:r>
    </w:p>
    <w:p w14:paraId="4A70D54F" w14:textId="515AA04A" w:rsidR="00DE79BF" w:rsidRPr="00727602" w:rsidRDefault="00DE79BF" w:rsidP="00727602">
      <w:pPr>
        <w:rPr>
          <w:b/>
          <w:color w:val="000000" w:themeColor="text1"/>
          <w:sz w:val="20"/>
          <w:szCs w:val="20"/>
        </w:rPr>
      </w:pPr>
      <w:r w:rsidRPr="00727602">
        <w:rPr>
          <w:b/>
          <w:color w:val="000000" w:themeColor="text1"/>
          <w:sz w:val="20"/>
          <w:szCs w:val="20"/>
        </w:rPr>
        <w:t>Instructions and Measurement</w:t>
      </w:r>
    </w:p>
    <w:p w14:paraId="65B40493" w14:textId="77777777" w:rsidR="00DE79BF" w:rsidRPr="007D0769" w:rsidRDefault="00DE79BF" w:rsidP="00DE79BF">
      <w:pPr>
        <w:keepNext/>
        <w:spacing w:after="0"/>
        <w:rPr>
          <w:rFonts w:eastAsia="Calibri" w:cs="Arial"/>
          <w:bCs/>
          <w:szCs w:val="16"/>
        </w:rPr>
      </w:pPr>
      <w:r w:rsidRPr="007D0769">
        <w:rPr>
          <w:rFonts w:eastAsia="Calibri" w:cs="Arial"/>
          <w:b/>
          <w:szCs w:val="16"/>
        </w:rPr>
        <w:t xml:space="preserve">Monitoring Priority: </w:t>
      </w:r>
      <w:r w:rsidRPr="007D0769">
        <w:rPr>
          <w:rFonts w:eastAsia="Calibri" w:cs="Arial"/>
          <w:bCs/>
          <w:szCs w:val="16"/>
        </w:rPr>
        <w:t>General Supervision</w:t>
      </w:r>
    </w:p>
    <w:p w14:paraId="4620632E" w14:textId="22C2C86F" w:rsidR="00DE79BF" w:rsidRPr="007D0769" w:rsidRDefault="00DE79BF" w:rsidP="00DE79BF">
      <w:pPr>
        <w:keepNext/>
        <w:spacing w:after="0"/>
        <w:rPr>
          <w:rFonts w:eastAsia="Calibri" w:cs="Arial"/>
          <w:szCs w:val="16"/>
        </w:rPr>
      </w:pPr>
      <w:r w:rsidRPr="007D0769">
        <w:rPr>
          <w:rFonts w:eastAsia="Calibri" w:cs="Arial"/>
          <w:b/>
          <w:szCs w:val="16"/>
        </w:rPr>
        <w:t xml:space="preserve">Compliance indicator: </w:t>
      </w:r>
      <w:r w:rsidRPr="007D0769">
        <w:rPr>
          <w:rFonts w:eastAsia="Calibri" w:cs="Arial"/>
          <w:szCs w:val="16"/>
        </w:rPr>
        <w:t>This SPP/APR indicator focuses on the State lead agency’s exercise of its general supervision responsibility to monitor its Early Intervention Service (EIS) Providers and EIS Programs for requirements under Part C of the Individuals with Disabilities Act (IDEA) through the State’s reporting on timely correction of noncompliance (20 U.S.C. 1416(a) and 1435(a)(10); 34 C.F.R. §§ 303.120 and 303.700).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389A524" w14:textId="77777777" w:rsidR="00DE79BF" w:rsidRPr="007D0769" w:rsidRDefault="00DE79BF" w:rsidP="00DE79BF">
      <w:pPr>
        <w:keepNext/>
        <w:spacing w:after="0"/>
        <w:rPr>
          <w:rFonts w:eastAsia="Calibri" w:cs="Arial"/>
          <w:b/>
          <w:szCs w:val="16"/>
        </w:rPr>
      </w:pPr>
      <w:r w:rsidRPr="007D0769">
        <w:rPr>
          <w:rFonts w:eastAsia="Calibri" w:cs="Arial"/>
          <w:b/>
          <w:szCs w:val="16"/>
        </w:rPr>
        <w:t>Data Source</w:t>
      </w:r>
    </w:p>
    <w:p w14:paraId="32913038" w14:textId="77777777" w:rsidR="00DE79BF" w:rsidRPr="007D0769" w:rsidRDefault="00DE79BF" w:rsidP="00DE79BF">
      <w:pPr>
        <w:keepNext/>
        <w:spacing w:after="0"/>
        <w:rPr>
          <w:rFonts w:eastAsia="Calibri" w:cs="Arial"/>
          <w:bCs/>
          <w:szCs w:val="16"/>
        </w:rPr>
      </w:pPr>
      <w:r w:rsidRPr="007D0769">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p>
    <w:p w14:paraId="06F39B88" w14:textId="77777777" w:rsidR="00DE79BF" w:rsidRPr="007D0769" w:rsidRDefault="00DE79BF" w:rsidP="00DE79BF">
      <w:pPr>
        <w:keepNext/>
        <w:spacing w:after="0"/>
        <w:rPr>
          <w:rFonts w:eastAsia="Calibri" w:cs="Arial"/>
          <w:b/>
          <w:szCs w:val="16"/>
        </w:rPr>
      </w:pPr>
      <w:r w:rsidRPr="007D0769">
        <w:rPr>
          <w:rFonts w:eastAsia="Calibri" w:cs="Arial"/>
          <w:b/>
          <w:szCs w:val="16"/>
        </w:rPr>
        <w:t>Measurement</w:t>
      </w:r>
    </w:p>
    <w:p w14:paraId="4AA252F3" w14:textId="77777777" w:rsidR="00DE79BF" w:rsidRPr="007D0769" w:rsidRDefault="00DE79BF" w:rsidP="00DE79BF">
      <w:pPr>
        <w:keepNext/>
        <w:spacing w:after="0"/>
        <w:rPr>
          <w:rFonts w:eastAsia="Calibri" w:cs="Arial"/>
          <w:szCs w:val="16"/>
        </w:rPr>
      </w:pPr>
      <w:r w:rsidRPr="007D0769">
        <w:rPr>
          <w:rFonts w:eastAsia="Calibri" w:cs="Arial"/>
          <w:szCs w:val="16"/>
        </w:rPr>
        <w:t xml:space="preserve">This SPP/APR indicator requires the reporting on the percent of findings of noncompliance corrected within one year of identification: </w:t>
      </w:r>
    </w:p>
    <w:p w14:paraId="50550400" w14:textId="60157AF5"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issued the prior Federal fiscal year (FFY) (e.g., for the FFY 2024 submission, use FFY 2023, July 1, 2023 – June 30, 2024)</w:t>
      </w:r>
    </w:p>
    <w:p w14:paraId="68875807" w14:textId="069BCD19" w:rsidR="00DE79BF" w:rsidRPr="007D0769" w:rsidRDefault="00DE79BF" w:rsidP="00DE79BF">
      <w:pPr>
        <w:keepNext/>
        <w:numPr>
          <w:ilvl w:val="0"/>
          <w:numId w:val="28"/>
        </w:numPr>
        <w:spacing w:after="0"/>
        <w:rPr>
          <w:rFonts w:eastAsia="Calibri" w:cs="Arial"/>
          <w:szCs w:val="16"/>
        </w:rPr>
      </w:pPr>
      <w:r w:rsidRPr="007D0769">
        <w:rPr>
          <w:rFonts w:eastAsia="Calibri" w:cs="Arial"/>
          <w:szCs w:val="16"/>
        </w:rPr>
        <w:t># of findings of noncompliance the State verified were corrected no later than one year after the State’s written notification of findings of noncompliance</w:t>
      </w:r>
    </w:p>
    <w:p w14:paraId="2B48F131" w14:textId="77777777" w:rsidR="00DE79BF" w:rsidRDefault="00DE79BF" w:rsidP="00DE79BF">
      <w:pPr>
        <w:keepNext/>
        <w:spacing w:after="0"/>
        <w:rPr>
          <w:rFonts w:eastAsia="Calibri" w:cs="Arial"/>
          <w:szCs w:val="16"/>
        </w:rPr>
      </w:pPr>
      <w:r w:rsidRPr="007D0769">
        <w:rPr>
          <w:rFonts w:eastAsia="Calibri" w:cs="Arial"/>
          <w:szCs w:val="16"/>
        </w:rPr>
        <w:t>Percent = [(b) divided by (a)] times 100</w:t>
      </w:r>
    </w:p>
    <w:p w14:paraId="60A9E150" w14:textId="77777777" w:rsidR="00CD53D3" w:rsidRPr="007D0769" w:rsidRDefault="00CD53D3" w:rsidP="00CD53D3">
      <w:pPr>
        <w:keepNext/>
        <w:spacing w:after="0"/>
        <w:rPr>
          <w:rFonts w:eastAsia="Calibri" w:cs="Arial"/>
          <w:b/>
          <w:szCs w:val="16"/>
        </w:rPr>
      </w:pPr>
      <w:r w:rsidRPr="007D0769">
        <w:rPr>
          <w:rFonts w:eastAsia="Calibri" w:cs="Arial"/>
          <w:b/>
          <w:szCs w:val="16"/>
        </w:rPr>
        <w:t>Instructions</w:t>
      </w:r>
    </w:p>
    <w:p w14:paraId="7035AF2C" w14:textId="77777777" w:rsidR="00CD53D3" w:rsidRPr="007D0769" w:rsidRDefault="00CD53D3" w:rsidP="00CD53D3">
      <w:pPr>
        <w:rPr>
          <w:rFonts w:eastAsia="Calibri" w:cs="Arial"/>
          <w:szCs w:val="16"/>
        </w:rPr>
      </w:pPr>
      <w:r w:rsidRPr="007D0769">
        <w:rPr>
          <w:rFonts w:eastAsia="Calibri" w:cs="Arial"/>
          <w:szCs w:val="16"/>
        </w:rPr>
        <w:t xml:space="preserve">Targets must be 100%. </w:t>
      </w:r>
    </w:p>
    <w:p w14:paraId="568E2784" w14:textId="77777777" w:rsidR="00CD53D3" w:rsidRPr="00EC51AB" w:rsidRDefault="00CD53D3" w:rsidP="00CD53D3">
      <w:pPr>
        <w:keepNext/>
        <w:spacing w:after="0"/>
        <w:rPr>
          <w:rFonts w:eastAsia="Calibri" w:cs="Arial"/>
          <w:i/>
          <w:iCs/>
          <w:szCs w:val="16"/>
        </w:rPr>
      </w:pPr>
      <w:r w:rsidRPr="00EC51AB">
        <w:rPr>
          <w:rFonts w:eastAsia="Calibri" w:cs="Arial"/>
          <w:i/>
          <w:iCs/>
          <w:szCs w:val="16"/>
        </w:rPr>
        <w:t>States are required to complete the General Supervision Data Table within the online reporting tool.</w:t>
      </w:r>
    </w:p>
    <w:p w14:paraId="268EC899" w14:textId="77777777" w:rsidR="00CD53D3" w:rsidRPr="002A486B" w:rsidRDefault="00CD53D3" w:rsidP="00CD53D3">
      <w:pPr>
        <w:rPr>
          <w:rFonts w:eastAsia="Calibri" w:cs="Arial"/>
          <w:b/>
          <w:bCs/>
          <w:iCs/>
          <w:szCs w:val="16"/>
        </w:rPr>
      </w:pPr>
      <w:r w:rsidRPr="002A486B">
        <w:rPr>
          <w:rFonts w:eastAsia="Calibri" w:cs="Arial"/>
          <w:szCs w:val="16"/>
        </w:rPr>
        <w:t>Report in Column A, the number of findings of noncompliance made in FFY 2023 (July 1, 2023 – June 30, 2024), as reported in the compliance indicator, and report in Column C1, the number of those findings which were timely corrected, as soon as possible and in no case later than one year after the State’s written notification of noncompliance. Report in Column B, t</w:t>
      </w:r>
      <w:r w:rsidRPr="002A486B">
        <w:rPr>
          <w:rFonts w:eastAsia="Calibri" w:cs="Arial"/>
          <w:iCs/>
          <w:szCs w:val="16"/>
        </w:rPr>
        <w:t xml:space="preserve">he number of additional findings </w:t>
      </w:r>
      <w:r>
        <w:rPr>
          <w:rFonts w:eastAsia="Calibri" w:cs="Arial"/>
          <w:iCs/>
          <w:szCs w:val="16"/>
        </w:rPr>
        <w:t xml:space="preserve">of noncompliance related to the compliance indicator made in FFY 2023 (July 1, 2023-June 30, 2024) </w:t>
      </w:r>
      <w:r w:rsidRPr="002A486B">
        <w:rPr>
          <w:rFonts w:eastAsia="Calibri" w:cs="Arial"/>
          <w:iCs/>
          <w:szCs w:val="16"/>
        </w:rPr>
        <w:t>and</w:t>
      </w:r>
      <w:r>
        <w:rPr>
          <w:rFonts w:eastAsia="Calibri" w:cs="Arial"/>
          <w:iCs/>
          <w:szCs w:val="16"/>
        </w:rPr>
        <w:t xml:space="preserve"> report in Column C2,</w:t>
      </w:r>
      <w:r w:rsidRPr="002A486B">
        <w:rPr>
          <w:rFonts w:eastAsia="Calibri" w:cs="Arial"/>
          <w:iCs/>
          <w:szCs w:val="16"/>
        </w:rPr>
        <w:t xml:space="preserve"> the number of those additional findings </w:t>
      </w:r>
      <w:r>
        <w:rPr>
          <w:rFonts w:eastAsia="Calibri" w:cs="Arial"/>
          <w:iCs/>
          <w:szCs w:val="16"/>
        </w:rPr>
        <w:t>related to the compliance indicator</w:t>
      </w:r>
      <w:r w:rsidRPr="002A486B">
        <w:rPr>
          <w:rFonts w:eastAsia="Calibri" w:cs="Arial"/>
          <w:iCs/>
          <w:szCs w:val="16"/>
        </w:rPr>
        <w:t xml:space="preserve"> which were timely corrected, as soon as possible and in no case later than one year after the State’s written notification of noncompliance. </w:t>
      </w:r>
    </w:p>
    <w:p w14:paraId="4EB260A9" w14:textId="77777777" w:rsidR="00CD53D3" w:rsidRPr="007D0769" w:rsidRDefault="00CD53D3" w:rsidP="00CD53D3">
      <w:pPr>
        <w:rPr>
          <w:rFonts w:eastAsia="Calibri" w:cs="Arial"/>
          <w:iCs/>
          <w:szCs w:val="16"/>
        </w:rPr>
      </w:pPr>
      <w:r w:rsidRPr="007D0769">
        <w:rPr>
          <w:rFonts w:eastAsia="Calibri" w:cs="Arial"/>
          <w:iCs/>
          <w:szCs w:val="16"/>
        </w:rPr>
        <w:t xml:space="preserve">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(e.g., Results indicators (including related requirements), Fiscal, Dispute Resolution, etc.). In future years (e.g., with the FFY 2026 SPP/APR), States may be required to further disaggregate findings by results indicators (2, 3, 4, 5, 6, 9, 10, and 11), fiscal and other areas. </w:t>
      </w:r>
    </w:p>
    <w:p w14:paraId="5EEC1516" w14:textId="2C330D63" w:rsidR="00DE79BF" w:rsidRDefault="00CD53D3" w:rsidP="00CD53D3">
      <w:pPr>
        <w:rPr>
          <w:rFonts w:eastAsia="Calibri" w:cs="Arial"/>
          <w:szCs w:val="16"/>
        </w:rPr>
      </w:pPr>
      <w:r w:rsidRPr="00AB52AD">
        <w:rPr>
          <w:szCs w:val="16"/>
        </w:rPr>
        <w:t xml:space="preserve">Provide detailed information about the timely correction of </w:t>
      </w:r>
      <w:r w:rsidRPr="009C5A4A">
        <w:rPr>
          <w:color w:val="000000" w:themeColor="text1"/>
          <w:szCs w:val="16"/>
        </w:rPr>
        <w:t xml:space="preserve">child-specific and regulatory/systemic </w:t>
      </w:r>
      <w:r w:rsidRPr="00AB52AD">
        <w:rPr>
          <w:szCs w:val="16"/>
        </w:rPr>
        <w:t xml:space="preserve">noncompliance as noted in OSEP’s response for the previous SPP/APR. If the State did not ensure timely correction of the previous </w:t>
      </w:r>
      <w:r>
        <w:rPr>
          <w:szCs w:val="16"/>
        </w:rPr>
        <w:t xml:space="preserve">findings of </w:t>
      </w:r>
      <w:r w:rsidRPr="00AB52AD">
        <w:rPr>
          <w:szCs w:val="16"/>
        </w:rPr>
        <w:t xml:space="preserve">noncompliance, provide information on the extent to which noncompliance was subsequently corrected (more than one year after identification). In addition, provide information regarding the nature of any continuing noncompliance </w:t>
      </w:r>
      <w:r>
        <w:rPr>
          <w:szCs w:val="16"/>
        </w:rPr>
        <w:t>and the</w:t>
      </w:r>
      <w:r w:rsidRPr="00AB52AD">
        <w:rPr>
          <w:szCs w:val="16"/>
        </w:rPr>
        <w:t xml:space="preserve"> actions that </w:t>
      </w:r>
      <w:r>
        <w:rPr>
          <w:szCs w:val="16"/>
        </w:rPr>
        <w:t>have been</w:t>
      </w:r>
      <w:r w:rsidRPr="00AB52AD">
        <w:rPr>
          <w:szCs w:val="16"/>
        </w:rPr>
        <w:t xml:space="preserve"> taken</w:t>
      </w:r>
      <w:r>
        <w:rPr>
          <w:szCs w:val="16"/>
        </w:rPr>
        <w:t xml:space="preserve">, or will be taken, </w:t>
      </w:r>
      <w:r w:rsidRPr="007D0769">
        <w:rPr>
          <w:rFonts w:eastAsia="Calibri" w:cs="Arial"/>
          <w:szCs w:val="16"/>
        </w:rPr>
        <w:t>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7B66C660" w14:textId="79A98C25" w:rsidR="00DE79BF" w:rsidRPr="007D0769" w:rsidRDefault="00E73FB9" w:rsidP="00EC51AB">
      <w:pPr>
        <w:pStyle w:val="Heading2"/>
      </w:pPr>
      <w:r>
        <w:t xml:space="preserve">12 - </w:t>
      </w:r>
      <w:r w:rsidR="00DE79BF" w:rsidRPr="007D0769">
        <w:t>Indicator Data</w:t>
      </w:r>
    </w:p>
    <w:p w14:paraId="30D55A72" w14:textId="77777777" w:rsidR="00DE79BF" w:rsidRPr="007D0769" w:rsidRDefault="00DE79BF" w:rsidP="00DE79BF">
      <w:pPr>
        <w:keepNext/>
        <w:spacing w:after="0"/>
        <w:rPr>
          <w:rFonts w:eastAsia="Calibri" w:cs="Arial"/>
          <w:b/>
          <w:szCs w:val="16"/>
        </w:rPr>
      </w:pPr>
      <w:r w:rsidRPr="007D0769">
        <w:rPr>
          <w:rFonts w:eastAsia="Calibri" w:cs="Arial"/>
          <w:b/>
          <w:szCs w:val="16"/>
        </w:rPr>
        <w:t>Historical Data</w:t>
      </w:r>
    </w:p>
    <w:tbl>
      <w:tblPr>
        <w:tblStyle w:val="TableGrid"/>
        <w:tblW w:w="0" w:type="auto"/>
        <w:tblLayout w:type="fixed"/>
        <w:tblLook w:val="04A0" w:firstRow="1" w:lastRow="0" w:firstColumn="1" w:lastColumn="0" w:noHBand="0" w:noVBand="1"/>
        <w:tblCaption w:val="C12BASELINEDATA"/>
      </w:tblPr>
      <w:tblGrid>
        <w:gridCol w:w="1797"/>
        <w:gridCol w:w="1798"/>
      </w:tblGrid>
      <w:tr w:rsidR="00DE79BF" w:rsidRPr="007D0769" w14:paraId="516E9A56" w14:textId="77777777" w:rsidTr="00EC51AB">
        <w:trPr>
          <w:trHeight w:val="360"/>
          <w:tblHeader/>
        </w:trPr>
        <w:tc>
          <w:tcPr>
            <w:tcW w:w="1797" w:type="dxa"/>
          </w:tcPr>
          <w:p w14:paraId="03FB8DC7"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Year</w:t>
            </w:r>
          </w:p>
        </w:tc>
        <w:tc>
          <w:tcPr>
            <w:tcW w:w="1798" w:type="dxa"/>
          </w:tcPr>
          <w:p w14:paraId="647AADE8" w14:textId="77777777" w:rsidR="00DE79BF" w:rsidRPr="007D0769" w:rsidRDefault="00DE79BF">
            <w:pPr>
              <w:jc w:val="center"/>
              <w:rPr>
                <w:rFonts w:eastAsia="Calibri" w:cs="Arial"/>
                <w:b/>
                <w:color w:val="000000"/>
                <w:szCs w:val="16"/>
              </w:rPr>
            </w:pPr>
            <w:r w:rsidRPr="007D0769">
              <w:rPr>
                <w:rFonts w:eastAsia="Calibri" w:cs="Arial"/>
                <w:b/>
                <w:color w:val="000000"/>
                <w:szCs w:val="16"/>
              </w:rPr>
              <w:t>Baseline Data</w:t>
            </w:r>
          </w:p>
        </w:tc>
      </w:tr>
      <w:tr w:rsidR="00DE79BF" w:rsidRPr="007D0769" w14:paraId="6B0E0681" w14:textId="77777777" w:rsidTr="00EC51AB">
        <w:trPr>
          <w:trHeight w:val="360"/>
          <w:tblHeader/>
        </w:trPr>
        <w:tc>
          <w:tcPr>
            <w:tcW w:w="1797" w:type="dxa"/>
          </w:tcPr>
          <w:p w14:paraId="1B23B527" w14:textId="0061F487" w:rsidR="00DE79BF" w:rsidRPr="007D0769" w:rsidRDefault="00DE79BF" w:rsidP="00DE79BF">
            <w:pPr>
              <w:jc w:val="center"/>
              <w:rPr>
                <w:rFonts w:eastAsia="Calibri" w:cs="Arial"/>
                <w:b/>
                <w:color w:val="000000"/>
                <w:szCs w:val="16"/>
              </w:rPr>
            </w:pPr>
            <w:r w:rsidRPr="00ED172B">
              <w:rPr>
                <w:color w:val="000000" w:themeColor="text1"/>
              </w:rPr>
              <w:t>2023</w:t>
            </w:r>
          </w:p>
        </w:tc>
        <w:tc>
          <w:tcPr>
            <w:tcW w:w="1798" w:type="dxa"/>
            <w:vAlign w:val="center"/>
          </w:tcPr>
          <w:p w14:paraId="43E95FD3" w14:textId="04763CF4" w:rsidR="00DE79BF" w:rsidRPr="007D0769" w:rsidRDefault="00DE79BF" w:rsidP="00DE79BF">
            <w:pPr>
              <w:jc w:val="center"/>
              <w:rPr>
                <w:rFonts w:eastAsia="Calibri" w:cs="Arial"/>
                <w:b/>
                <w:color w:val="000000"/>
                <w:szCs w:val="16"/>
              </w:rPr>
            </w:pPr>
            <w:r w:rsidRPr="00ED172B">
              <w:rPr>
                <w:color w:val="000000" w:themeColor="text1"/>
              </w:rPr>
              <w:t>90.91%</w:t>
            </w:r>
          </w:p>
        </w:tc>
      </w:tr>
    </w:tbl>
    <w:p w14:paraId="2D17BD08" w14:textId="77777777" w:rsidR="00C81504" w:rsidRDefault="00C81504" w:rsidP="00DE79B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12HISTDATA"/>
      </w:tblPr>
      <w:tblGrid>
        <w:gridCol w:w="1797"/>
        <w:gridCol w:w="1797"/>
        <w:gridCol w:w="1800"/>
        <w:gridCol w:w="1798"/>
        <w:gridCol w:w="1798"/>
        <w:gridCol w:w="1800"/>
      </w:tblGrid>
      <w:tr w:rsidR="00E61C4B" w14:paraId="0BCA9567" w14:textId="77777777" w:rsidTr="00E61C4B">
        <w:trPr>
          <w:trHeight w:val="350"/>
        </w:trPr>
        <w:tc>
          <w:tcPr>
            <w:tcW w:w="833" w:type="pct"/>
            <w:hideMark/>
          </w:tcPr>
          <w:p w14:paraId="4D782DD4" w14:textId="77777777" w:rsidR="00DC2E2E" w:rsidRDefault="00DC2E2E" w:rsidP="00AC640E">
            <w:pPr>
              <w:spacing w:line="276" w:lineRule="auto"/>
              <w:jc w:val="center"/>
              <w:rPr>
                <w:rFonts w:cs="Arial"/>
                <w:b/>
                <w:color w:val="000000" w:themeColor="text1"/>
                <w:szCs w:val="16"/>
              </w:rPr>
            </w:pPr>
            <w:r>
              <w:rPr>
                <w:rFonts w:cs="Arial"/>
                <w:b/>
                <w:color w:val="000000" w:themeColor="text1"/>
                <w:szCs w:val="16"/>
              </w:rPr>
              <w:t>FFY</w:t>
            </w:r>
          </w:p>
        </w:tc>
        <w:tc>
          <w:tcPr>
            <w:tcW w:w="833" w:type="pct"/>
            <w:hideMark/>
          </w:tcPr>
          <w:p w14:paraId="16830126" w14:textId="60E28157" w:rsidR="00DC2E2E" w:rsidRDefault="00DC2E2E" w:rsidP="00AC640E">
            <w:pPr>
              <w:spacing w:line="276" w:lineRule="auto"/>
              <w:jc w:val="center"/>
              <w:rPr>
                <w:rFonts w:cs="Arial"/>
                <w:b/>
                <w:color w:val="000000" w:themeColor="text1"/>
                <w:szCs w:val="16"/>
              </w:rPr>
            </w:pPr>
            <w:r>
              <w:rPr>
                <w:rFonts w:cs="Arial"/>
                <w:b/>
                <w:color w:val="000000" w:themeColor="text1"/>
                <w:szCs w:val="16"/>
              </w:rPr>
              <w:t>2019</w:t>
            </w:r>
          </w:p>
        </w:tc>
        <w:tc>
          <w:tcPr>
            <w:tcW w:w="834" w:type="pct"/>
            <w:hideMark/>
          </w:tcPr>
          <w:p w14:paraId="3ACFCE32" w14:textId="6C88D01A" w:rsidR="00DC2E2E" w:rsidRDefault="00DC2E2E" w:rsidP="00AC640E">
            <w:pPr>
              <w:spacing w:line="276" w:lineRule="auto"/>
              <w:jc w:val="center"/>
              <w:rPr>
                <w:rFonts w:cs="Arial"/>
                <w:b/>
                <w:color w:val="000000" w:themeColor="text1"/>
                <w:szCs w:val="16"/>
              </w:rPr>
            </w:pPr>
            <w:r>
              <w:rPr>
                <w:rFonts w:cs="Arial"/>
                <w:b/>
                <w:color w:val="000000" w:themeColor="text1"/>
                <w:szCs w:val="16"/>
              </w:rPr>
              <w:t>2020</w:t>
            </w:r>
          </w:p>
        </w:tc>
        <w:tc>
          <w:tcPr>
            <w:tcW w:w="833" w:type="pct"/>
            <w:vAlign w:val="center"/>
            <w:hideMark/>
          </w:tcPr>
          <w:p w14:paraId="51262144" w14:textId="57A46C0E" w:rsidR="00DC2E2E" w:rsidRDefault="00DC2E2E" w:rsidP="00AC640E">
            <w:pPr>
              <w:spacing w:line="276" w:lineRule="auto"/>
              <w:jc w:val="center"/>
              <w:rPr>
                <w:rFonts w:cs="Arial"/>
                <w:b/>
                <w:color w:val="000000" w:themeColor="text1"/>
                <w:szCs w:val="16"/>
              </w:rPr>
            </w:pPr>
            <w:r>
              <w:rPr>
                <w:rFonts w:cs="Arial"/>
                <w:b/>
                <w:color w:val="000000" w:themeColor="text1"/>
                <w:szCs w:val="16"/>
              </w:rPr>
              <w:t>2021</w:t>
            </w:r>
          </w:p>
        </w:tc>
        <w:tc>
          <w:tcPr>
            <w:tcW w:w="833" w:type="pct"/>
            <w:vAlign w:val="center"/>
            <w:hideMark/>
          </w:tcPr>
          <w:p w14:paraId="3ED70405" w14:textId="59D2439B" w:rsidR="00DC2E2E" w:rsidRDefault="00DC2E2E" w:rsidP="00AC640E">
            <w:pPr>
              <w:spacing w:line="276" w:lineRule="auto"/>
              <w:jc w:val="center"/>
              <w:rPr>
                <w:rFonts w:cs="Arial"/>
                <w:b/>
                <w:color w:val="000000" w:themeColor="text1"/>
                <w:szCs w:val="16"/>
              </w:rPr>
            </w:pPr>
            <w:r>
              <w:rPr>
                <w:rFonts w:cs="Arial"/>
                <w:b/>
                <w:color w:val="000000" w:themeColor="text1"/>
                <w:szCs w:val="16"/>
              </w:rPr>
              <w:t>2022</w:t>
            </w:r>
          </w:p>
        </w:tc>
        <w:tc>
          <w:tcPr>
            <w:tcW w:w="834" w:type="pct"/>
            <w:vAlign w:val="center"/>
            <w:hideMark/>
          </w:tcPr>
          <w:p w14:paraId="59C2173F" w14:textId="72786813" w:rsidR="00DC2E2E" w:rsidRDefault="00DC2E2E" w:rsidP="00AC640E">
            <w:pPr>
              <w:spacing w:line="276" w:lineRule="auto"/>
              <w:jc w:val="center"/>
              <w:rPr>
                <w:rFonts w:cs="Arial"/>
                <w:b/>
                <w:color w:val="000000" w:themeColor="text1"/>
                <w:szCs w:val="16"/>
              </w:rPr>
            </w:pPr>
            <w:r>
              <w:rPr>
                <w:rFonts w:cs="Arial"/>
                <w:b/>
                <w:color w:val="000000" w:themeColor="text1"/>
                <w:szCs w:val="16"/>
              </w:rPr>
              <w:t>2023</w:t>
            </w:r>
          </w:p>
        </w:tc>
      </w:tr>
      <w:tr w:rsidR="00E61C4B" w14:paraId="74D6189A" w14:textId="77777777" w:rsidTr="00E61C4B">
        <w:trPr>
          <w:trHeight w:val="357"/>
        </w:trPr>
        <w:tc>
          <w:tcPr>
            <w:tcW w:w="833" w:type="pct"/>
            <w:hideMark/>
          </w:tcPr>
          <w:p w14:paraId="2ED33FC9"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Target</w:t>
            </w:r>
          </w:p>
        </w:tc>
        <w:tc>
          <w:tcPr>
            <w:tcW w:w="833" w:type="pct"/>
            <w:hideMark/>
          </w:tcPr>
          <w:p w14:paraId="1C7410F3" w14:textId="0FBEADAD" w:rsidR="00DC2E2E" w:rsidRPr="00A33FE0" w:rsidRDefault="00DC2E2E" w:rsidP="00B65DD4">
            <w:pPr>
              <w:spacing w:before="0" w:after="0"/>
              <w:jc w:val="center"/>
              <w:rPr>
                <w:rFonts w:cs="Arial"/>
                <w:b/>
                <w:bCs/>
                <w:color w:val="000000" w:themeColor="text1"/>
                <w:szCs w:val="16"/>
              </w:rPr>
            </w:pPr>
            <w:r w:rsidRPr="00A33FE0">
              <w:rPr>
                <w:rFonts w:cs="Arial"/>
                <w:color w:val="000000" w:themeColor="text1"/>
                <w:szCs w:val="16"/>
              </w:rPr>
              <w:t>100%</w:t>
            </w:r>
          </w:p>
        </w:tc>
        <w:tc>
          <w:tcPr>
            <w:tcW w:w="834" w:type="pct"/>
            <w:hideMark/>
          </w:tcPr>
          <w:p w14:paraId="0A59583F" w14:textId="15C075C9"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0372E9AA" w14:textId="2A5F60B7"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3" w:type="pct"/>
            <w:hideMark/>
          </w:tcPr>
          <w:p w14:paraId="6432B4D5" w14:textId="4419F04A" w:rsidR="00DC2E2E" w:rsidRDefault="00DC2E2E" w:rsidP="00B65DD4">
            <w:pPr>
              <w:spacing w:before="0" w:after="0"/>
              <w:jc w:val="center"/>
              <w:rPr>
                <w:rFonts w:cs="Arial"/>
                <w:color w:val="000000" w:themeColor="text1"/>
                <w:szCs w:val="16"/>
              </w:rPr>
            </w:pPr>
            <w:r>
              <w:rPr>
                <w:rFonts w:cs="Arial"/>
                <w:color w:val="000000" w:themeColor="text1"/>
                <w:szCs w:val="16"/>
              </w:rPr>
              <w:t>100%</w:t>
            </w:r>
          </w:p>
        </w:tc>
        <w:tc>
          <w:tcPr>
            <w:tcW w:w="834" w:type="pct"/>
            <w:hideMark/>
          </w:tcPr>
          <w:p w14:paraId="2F0BDAD0" w14:textId="350BED8F" w:rsidR="00DC2E2E" w:rsidRDefault="00DC2E2E" w:rsidP="00B65DD4">
            <w:pPr>
              <w:spacing w:before="0" w:after="0"/>
              <w:jc w:val="center"/>
              <w:rPr>
                <w:rFonts w:cs="Arial"/>
                <w:color w:val="000000" w:themeColor="text1"/>
                <w:szCs w:val="16"/>
              </w:rPr>
            </w:pPr>
            <w:r>
              <w:rPr>
                <w:rFonts w:cs="Arial"/>
                <w:color w:val="000000" w:themeColor="text1"/>
                <w:szCs w:val="16"/>
              </w:rPr>
              <w:t>100%</w:t>
            </w:r>
          </w:p>
        </w:tc>
      </w:tr>
      <w:tr w:rsidR="00E61C4B" w14:paraId="1457C8BC" w14:textId="77777777" w:rsidTr="00E61C4B">
        <w:trPr>
          <w:trHeight w:val="85"/>
        </w:trPr>
        <w:tc>
          <w:tcPr>
            <w:tcW w:w="833" w:type="pct"/>
            <w:hideMark/>
          </w:tcPr>
          <w:p w14:paraId="547AD13E" w14:textId="77777777" w:rsidR="00DC2E2E" w:rsidRDefault="00DC2E2E" w:rsidP="00AC640E">
            <w:pPr>
              <w:spacing w:before="0" w:after="0" w:line="276" w:lineRule="auto"/>
              <w:jc w:val="center"/>
              <w:rPr>
                <w:rFonts w:cs="Arial"/>
                <w:color w:val="000000" w:themeColor="text1"/>
                <w:szCs w:val="16"/>
              </w:rPr>
            </w:pPr>
            <w:r>
              <w:rPr>
                <w:rFonts w:cs="Arial"/>
                <w:color w:val="000000" w:themeColor="text1"/>
                <w:szCs w:val="16"/>
              </w:rPr>
              <w:t>Data</w:t>
            </w:r>
          </w:p>
        </w:tc>
        <w:tc>
          <w:tcPr>
            <w:tcW w:w="833" w:type="pct"/>
            <w:hideMark/>
          </w:tcPr>
          <w:p w14:paraId="567EFC54" w14:textId="792B460D" w:rsidR="00DC2E2E" w:rsidRDefault="00DC2E2E" w:rsidP="00B65DD4">
            <w:pPr>
              <w:spacing w:before="0" w:after="0"/>
              <w:jc w:val="center"/>
              <w:rPr>
                <w:rFonts w:cs="Arial"/>
                <w:color w:val="000000" w:themeColor="text1"/>
                <w:szCs w:val="16"/>
              </w:rPr>
            </w:pPr>
            <w:r>
              <w:rPr>
                <w:rFonts w:cs="Arial"/>
                <w:color w:val="000000" w:themeColor="text1"/>
                <w:szCs w:val="16"/>
              </w:rPr>
              <w:t/>
            </w:r>
          </w:p>
        </w:tc>
        <w:tc>
          <w:tcPr>
            <w:tcW w:w="834" w:type="pct"/>
            <w:hideMark/>
          </w:tcPr>
          <w:p w14:paraId="6BC70F54" w14:textId="33FB7D26" w:rsidR="00DC2E2E" w:rsidRDefault="00DC2E2E" w:rsidP="00B65DD4">
            <w:pPr>
              <w:spacing w:before="0" w:after="0"/>
              <w:jc w:val="center"/>
              <w:rPr>
                <w:rFonts w:cs="Arial"/>
                <w:color w:val="000000" w:themeColor="text1"/>
                <w:szCs w:val="16"/>
              </w:rPr>
            </w:pPr>
            <w:r>
              <w:rPr>
                <w:rFonts w:cs="Arial"/>
                <w:color w:val="000000" w:themeColor="text1"/>
                <w:szCs w:val="16"/>
              </w:rPr>
              <w:t/>
            </w:r>
          </w:p>
        </w:tc>
        <w:tc>
          <w:tcPr>
            <w:tcW w:w="833" w:type="pct"/>
            <w:hideMark/>
          </w:tcPr>
          <w:p w14:paraId="7F75187B" w14:textId="51FCDADE" w:rsidR="00DC2E2E" w:rsidRDefault="00DC2E2E" w:rsidP="00B65DD4">
            <w:pPr>
              <w:spacing w:before="0" w:after="0"/>
              <w:jc w:val="center"/>
              <w:rPr>
                <w:rFonts w:cs="Arial"/>
                <w:color w:val="000000" w:themeColor="text1"/>
                <w:szCs w:val="16"/>
              </w:rPr>
            </w:pPr>
            <w:r>
              <w:rPr>
                <w:rFonts w:cs="Arial"/>
                <w:color w:val="000000" w:themeColor="text1"/>
                <w:szCs w:val="16"/>
              </w:rPr>
              <w:t/>
            </w:r>
          </w:p>
        </w:tc>
        <w:tc>
          <w:tcPr>
            <w:tcW w:w="833" w:type="pct"/>
            <w:hideMark/>
          </w:tcPr>
          <w:p w14:paraId="3A7942E4" w14:textId="6C655C19" w:rsidR="00DC2E2E" w:rsidRDefault="00DC2E2E" w:rsidP="00B65DD4">
            <w:pPr>
              <w:spacing w:before="0" w:after="0"/>
              <w:jc w:val="center"/>
              <w:rPr>
                <w:rFonts w:cs="Arial"/>
                <w:color w:val="000000" w:themeColor="text1"/>
                <w:szCs w:val="16"/>
              </w:rPr>
            </w:pPr>
            <w:r>
              <w:rPr>
                <w:rFonts w:cs="Arial"/>
                <w:color w:val="000000" w:themeColor="text1"/>
                <w:szCs w:val="16"/>
              </w:rPr>
              <w:t/>
            </w:r>
          </w:p>
        </w:tc>
        <w:tc>
          <w:tcPr>
            <w:tcW w:w="834" w:type="pct"/>
            <w:hideMark/>
          </w:tcPr>
          <w:p w14:paraId="624536E5" w14:textId="078B290A" w:rsidR="00DC2E2E" w:rsidRDefault="00DC2E2E" w:rsidP="00B65DD4">
            <w:pPr>
              <w:spacing w:before="0" w:after="0"/>
              <w:jc w:val="center"/>
              <w:rPr>
                <w:rFonts w:cs="Arial"/>
                <w:color w:val="000000" w:themeColor="text1"/>
                <w:szCs w:val="16"/>
              </w:rPr>
            </w:pPr>
            <w:r>
              <w:rPr>
                <w:rFonts w:cs="Arial"/>
                <w:color w:val="000000" w:themeColor="text1"/>
                <w:szCs w:val="16"/>
              </w:rPr>
              <w:t>90.91%</w:t>
            </w:r>
          </w:p>
        </w:tc>
      </w:tr>
    </w:tbl>
    <w:p w14:paraId="41C43D09" w14:textId="77777777" w:rsidR="00DC2E2E" w:rsidRDefault="00DC2E2E" w:rsidP="00DE79BF">
      <w:pPr>
        <w:rPr>
          <w:rFonts w:eastAsia="Calibri" w:cs="Arial"/>
          <w:b/>
          <w:szCs w:val="16"/>
        </w:rPr>
      </w:pPr>
    </w:p>
    <w:p w14:paraId="75B99B94" w14:textId="459D61F8" w:rsidR="00DE79BF" w:rsidRPr="007D0769" w:rsidRDefault="00DE79BF" w:rsidP="00DE79BF">
      <w:pPr>
        <w:rPr>
          <w:rFonts w:eastAsia="Calibri" w:cs="Arial"/>
          <w:b/>
          <w:szCs w:val="16"/>
        </w:rPr>
      </w:pPr>
      <w:r w:rsidRPr="007D0769">
        <w:rPr>
          <w:rFonts w:eastAsia="Calibri" w:cs="Arial"/>
          <w:b/>
          <w:szCs w:val="16"/>
        </w:rPr>
        <w:t>Targets</w:t>
      </w:r>
    </w:p>
    <w:tbl>
      <w:tblPr>
        <w:tblStyle w:val="TableGrid1"/>
        <w:tblW w:w="2691" w:type="pct"/>
        <w:tblLook w:val="0020" w:firstRow="1" w:lastRow="0" w:firstColumn="0" w:lastColumn="0" w:noHBand="0" w:noVBand="0"/>
        <w:tblCaption w:val="C12TARGETS"/>
      </w:tblPr>
      <w:tblGrid>
        <w:gridCol w:w="679"/>
        <w:gridCol w:w="2475"/>
        <w:gridCol w:w="2653"/>
      </w:tblGrid>
      <w:tr w:rsidR="00CF59E2" w:rsidRPr="007D0769" w14:paraId="69F2B65C" w14:textId="77777777" w:rsidTr="00811738">
        <w:trPr>
          <w:trHeight w:val="360"/>
        </w:trPr>
        <w:tc>
          <w:tcPr>
            <w:tcW w:w="585" w:type="pct"/>
          </w:tcPr>
          <w:p w14:paraId="6C927579" w14:textId="77777777" w:rsidR="00CF59E2" w:rsidRPr="007D0769" w:rsidRDefault="00CF59E2" w:rsidP="006B5AEF">
            <w:pPr>
              <w:keepNext/>
              <w:jc w:val="center"/>
              <w:rPr>
                <w:rFonts w:eastAsia="Calibri" w:cs="Arial"/>
                <w:b/>
                <w:szCs w:val="16"/>
              </w:rPr>
            </w:pPr>
            <w:r w:rsidRPr="007D0769">
              <w:rPr>
                <w:rFonts w:eastAsia="Calibri" w:cs="Arial"/>
                <w:b/>
                <w:szCs w:val="16"/>
              </w:rPr>
              <w:t>FFY</w:t>
            </w:r>
          </w:p>
        </w:tc>
        <w:tc>
          <w:tcPr>
            <w:tcW w:w="2131" w:type="pct"/>
            <w:vAlign w:val="center"/>
          </w:tcPr>
          <w:p w14:paraId="49B194C6" w14:textId="16A5F856" w:rsidR="00CF59E2" w:rsidRPr="007D0769" w:rsidRDefault="00CF59E2" w:rsidP="006675B4">
            <w:pPr>
              <w:keepNext/>
              <w:jc w:val="center"/>
              <w:rPr>
                <w:rFonts w:eastAsia="Calibri" w:cs="Arial"/>
                <w:b/>
                <w:bCs/>
                <w:szCs w:val="16"/>
              </w:rPr>
            </w:pPr>
            <w:r w:rsidRPr="00ED172B">
              <w:rPr>
                <w:b/>
                <w:color w:val="000000" w:themeColor="text1"/>
              </w:rPr>
              <w:t>2024</w:t>
            </w:r>
          </w:p>
        </w:tc>
        <w:tc>
          <w:tcPr>
            <w:tcW w:w="2284" w:type="pct"/>
          </w:tcPr>
          <w:p w14:paraId="3CA54679" w14:textId="17A12035" w:rsidR="00CF59E2" w:rsidRPr="007D0769" w:rsidDel="00654CAF" w:rsidRDefault="00CF59E2" w:rsidP="006675B4">
            <w:pPr>
              <w:keepNext/>
              <w:jc w:val="center"/>
              <w:rPr>
                <w:rFonts w:eastAsia="Calibri" w:cs="Arial"/>
                <w:b/>
                <w:bCs/>
                <w:szCs w:val="16"/>
              </w:rPr>
            </w:pPr>
            <w:r>
              <w:rPr>
                <w:rFonts w:cs="Arial"/>
                <w:b/>
                <w:color w:val="000000" w:themeColor="text1"/>
                <w:szCs w:val="16"/>
              </w:rPr>
              <w:t>2025</w:t>
            </w:r>
          </w:p>
        </w:tc>
      </w:tr>
      <w:tr w:rsidR="00CF59E2" w:rsidRPr="007D0769" w14:paraId="5E114CF3" w14:textId="77777777" w:rsidTr="00811738">
        <w:trPr>
          <w:trHeight w:val="360"/>
        </w:trPr>
        <w:tc>
          <w:tcPr>
            <w:tcW w:w="585" w:type="pct"/>
          </w:tcPr>
          <w:p w14:paraId="1F4ACB87" w14:textId="77777777" w:rsidR="00CF59E2" w:rsidRPr="007D0769" w:rsidRDefault="00CF59E2" w:rsidP="00277E7F">
            <w:pPr>
              <w:rPr>
                <w:rFonts w:eastAsia="Calibri" w:cs="Arial"/>
                <w:szCs w:val="16"/>
              </w:rPr>
            </w:pPr>
            <w:r w:rsidRPr="007D0769">
              <w:rPr>
                <w:rFonts w:eastAsia="Calibri" w:cs="Arial"/>
                <w:szCs w:val="16"/>
              </w:rPr>
              <w:t>Target</w:t>
            </w:r>
          </w:p>
        </w:tc>
        <w:tc>
          <w:tcPr>
            <w:tcW w:w="2131" w:type="pct"/>
            <w:vAlign w:val="center"/>
          </w:tcPr>
          <w:p w14:paraId="136EC74C" w14:textId="3DE60E9F" w:rsidR="00CF59E2" w:rsidRPr="007D0769" w:rsidRDefault="00CF59E2" w:rsidP="00277E7F">
            <w:pPr>
              <w:jc w:val="center"/>
              <w:rPr>
                <w:rFonts w:eastAsia="Calibri" w:cs="Arial"/>
                <w:caps/>
                <w:color w:val="548DD4"/>
                <w:szCs w:val="16"/>
              </w:rPr>
            </w:pPr>
            <w:r w:rsidRPr="00ED172B">
              <w:rPr>
                <w:color w:val="000000" w:themeColor="text1"/>
              </w:rPr>
              <w:t>100%</w:t>
            </w:r>
          </w:p>
        </w:tc>
        <w:tc>
          <w:tcPr>
            <w:tcW w:w="2284" w:type="pct"/>
          </w:tcPr>
          <w:p w14:paraId="1BE06C81" w14:textId="75058524" w:rsidR="00CF59E2" w:rsidRPr="007D0769" w:rsidRDefault="00CF59E2" w:rsidP="00277E7F">
            <w:pPr>
              <w:jc w:val="center"/>
              <w:rPr>
                <w:rFonts w:eastAsia="Calibri" w:cs="Arial"/>
                <w:caps/>
                <w:color w:val="548DD4"/>
                <w:szCs w:val="16"/>
              </w:rPr>
            </w:pPr>
            <w:r>
              <w:rPr>
                <w:rFonts w:cs="Arial"/>
                <w:color w:val="000000" w:themeColor="text1"/>
                <w:szCs w:val="16"/>
              </w:rPr>
              <w:t>100%</w:t>
            </w:r>
          </w:p>
        </w:tc>
      </w:tr>
    </w:tbl>
    <w:p w14:paraId="336EB42D" w14:textId="77777777" w:rsidR="000770F0" w:rsidRPr="007D0769" w:rsidRDefault="000770F0" w:rsidP="00277E7F">
      <w:pPr>
        <w:rPr>
          <w:rFonts w:eastAsia="Calibri" w:cs="Arial"/>
          <w:b/>
          <w:szCs w:val="16"/>
        </w:rPr>
      </w:pPr>
    </w:p>
    <w:p w14:paraId="54ECFA3E" w14:textId="45623B49" w:rsidR="00277E7F" w:rsidRPr="007D0769" w:rsidRDefault="00277E7F" w:rsidP="00277E7F">
      <w:pPr>
        <w:rPr>
          <w:rFonts w:eastAsia="Times New Roman" w:cs="Arial"/>
          <w:b/>
          <w:bCs/>
          <w:szCs w:val="16"/>
        </w:rPr>
      </w:pPr>
      <w:r w:rsidRPr="007D0769">
        <w:rPr>
          <w:rFonts w:eastAsia="Times New Roman" w:cs="Arial"/>
          <w:b/>
          <w:bCs/>
          <w:szCs w:val="16"/>
        </w:rPr>
        <w:t>Indicator 1. Percent of infants and toddlers with Individual Family Service Plans (IFSPs) who receive the early intervention services on their IFSPs in a timely manner. (20 U.S.C. 1416(a)(3)(A) and 1442)</w:t>
      </w:r>
    </w:p>
    <w:p w14:paraId="2248EFEC" w14:textId="312ED3A7" w:rsidR="00277E7F" w:rsidRDefault="00277E7F" w:rsidP="00277E7F">
      <w:pPr>
        <w:spacing w:after="0"/>
        <w:textAlignment w:val="baseline"/>
        <w:rPr>
          <w:rFonts w:eastAsia="Times New Roman" w:cs="Arial"/>
          <w:b/>
          <w:bCs/>
          <w:szCs w:val="16"/>
        </w:rPr>
      </w:pPr>
      <w:r w:rsidRPr="007D0769">
        <w:rPr>
          <w:rFonts w:eastAsia="Times New Roman" w:cs="Arial"/>
          <w:b/>
          <w:bCs/>
          <w:szCs w:val="16"/>
        </w:rPr>
        <w:t>Findings of Noncompliance Identified in FFY 2023</w:t>
      </w:r>
    </w:p>
    <w:tbl>
      <w:tblPr>
        <w:tblStyle w:val="TableGrid"/>
        <w:tblW w:w="4952" w:type="pct"/>
        <w:tblInd w:w="103" w:type="dxa"/>
        <w:tblLayout w:type="fixed"/>
        <w:tblLook w:val="04A0" w:firstRow="1" w:lastRow="0" w:firstColumn="1" w:lastColumn="0" w:noHBand="0" w:noVBand="1"/>
        <w:tblCaption w:val="C12FONC01"/>
      </w:tblPr>
      <w:tblGrid>
        <w:gridCol w:w="1634"/>
        <w:gridCol w:w="2265"/>
        <w:gridCol w:w="2030"/>
        <w:gridCol w:w="2340"/>
        <w:gridCol w:w="2417"/>
      </w:tblGrid>
      <w:tr w:rsidR="001B2809" w:rsidRPr="007D0769" w14:paraId="54C82B66" w14:textId="77777777" w:rsidTr="00EC51AB">
        <w:trPr>
          <w:trHeight w:val="360"/>
          <w:tblHeader/>
        </w:trPr>
        <w:tc>
          <w:tcPr>
            <w:tcW w:w="764" w:type="pct"/>
          </w:tcPr>
          <w:p w14:paraId="33BC124C" w14:textId="68CC0DC1" w:rsidR="00277E7F" w:rsidRPr="007D0769" w:rsidRDefault="00277E7F" w:rsidP="00727602">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1060" w:type="pct"/>
          </w:tcPr>
          <w:p w14:paraId="711C81E3" w14:textId="773888EA" w:rsidR="00277E7F" w:rsidRPr="007D0769" w:rsidRDefault="00277E7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950" w:type="pct"/>
          </w:tcPr>
          <w:p w14:paraId="0E771A0C" w14:textId="46C1E75A"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1095" w:type="pct"/>
          </w:tcPr>
          <w:p w14:paraId="47EEDA2B" w14:textId="17D53074" w:rsidR="00277E7F" w:rsidRPr="007D0769" w:rsidRDefault="00277E7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1132" w:type="pct"/>
          </w:tcPr>
          <w:p w14:paraId="48AF07A8" w14:textId="68B093ED" w:rsidR="00277E7F" w:rsidRPr="007D0769" w:rsidRDefault="00277E7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1B2809" w:rsidRPr="00AC243A" w14:paraId="0E6B46E8" w14:textId="77777777" w:rsidTr="00EC51AB">
        <w:trPr>
          <w:trHeight w:val="360"/>
          <w:tblHeader/>
        </w:trPr>
        <w:tc>
          <w:tcPr>
            <w:tcW w:w="764" w:type="pct"/>
          </w:tcPr>
          <w:p w14:paraId="1E93F408" w14:textId="537A566C" w:rsidR="00277E7F" w:rsidRPr="007D0769" w:rsidRDefault="004A08EB">
            <w:pPr>
              <w:jc w:val="center"/>
              <w:textAlignment w:val="baseline"/>
              <w:rPr>
                <w:rFonts w:eastAsia="Times New Roman" w:cs="Arial"/>
                <w:b/>
                <w:bCs/>
                <w:szCs w:val="16"/>
              </w:rPr>
            </w:pPr>
            <w:r w:rsidRPr="00ED172B">
              <w:rPr>
                <w:rFonts w:cs="Arial"/>
                <w:color w:val="000000" w:themeColor="text1"/>
                <w:szCs w:val="16"/>
              </w:rPr>
              <w:t>10</w:t>
            </w:r>
          </w:p>
        </w:tc>
        <w:tc>
          <w:tcPr>
            <w:tcW w:w="1060" w:type="pct"/>
          </w:tcPr>
          <w:p w14:paraId="2D05A0DD" w14:textId="63E227B6" w:rsidR="00277E7F" w:rsidRPr="007D0769" w:rsidRDefault="004152EB">
            <w:pPr>
              <w:ind w:left="45" w:right="77"/>
              <w:jc w:val="center"/>
              <w:textAlignment w:val="baseline"/>
              <w:rPr>
                <w:rFonts w:eastAsia="Times New Roman" w:cs="Arial"/>
                <w:b/>
                <w:bCs/>
                <w:szCs w:val="16"/>
              </w:rPr>
            </w:pPr>
            <w:r>
              <w:rPr>
                <w:rFonts w:eastAsia="Times New Roman" w:cs="Arial"/>
                <w:szCs w:val="16"/>
              </w:rPr>
              <w:t>0</w:t>
            </w:r>
          </w:p>
        </w:tc>
        <w:tc>
          <w:tcPr>
            <w:tcW w:w="950" w:type="pct"/>
          </w:tcPr>
          <w:p w14:paraId="4BF8FC7A" w14:textId="5A2F7DDE" w:rsidR="00277E7F" w:rsidRPr="007D0769" w:rsidRDefault="004A08EB">
            <w:pPr>
              <w:jc w:val="center"/>
              <w:textAlignment w:val="baseline"/>
              <w:rPr>
                <w:rFonts w:eastAsia="Times New Roman" w:cs="Arial"/>
                <w:b/>
                <w:bCs/>
                <w:szCs w:val="16"/>
              </w:rPr>
            </w:pPr>
            <w:r w:rsidRPr="00ED172B">
              <w:rPr>
                <w:rFonts w:cs="Arial"/>
                <w:color w:val="000000" w:themeColor="text1"/>
                <w:szCs w:val="16"/>
              </w:rPr>
              <w:t>10</w:t>
            </w:r>
          </w:p>
        </w:tc>
        <w:tc>
          <w:tcPr>
            <w:tcW w:w="1095" w:type="pct"/>
          </w:tcPr>
          <w:p w14:paraId="29FAA505" w14:textId="25891110" w:rsidR="00277E7F" w:rsidRPr="007D0769" w:rsidRDefault="004152EB">
            <w:pPr>
              <w:jc w:val="center"/>
              <w:textAlignment w:val="baseline"/>
              <w:rPr>
                <w:rFonts w:eastAsia="Times New Roman" w:cs="Arial"/>
                <w:b/>
                <w:bCs/>
                <w:szCs w:val="16"/>
              </w:rPr>
            </w:pPr>
            <w:r>
              <w:rPr>
                <w:rFonts w:eastAsia="Times New Roman" w:cs="Arial"/>
                <w:szCs w:val="16"/>
              </w:rPr>
              <w:t>0</w:t>
            </w:r>
          </w:p>
        </w:tc>
        <w:tc>
          <w:tcPr>
            <w:tcW w:w="1132" w:type="pct"/>
          </w:tcPr>
          <w:p w14:paraId="0E441968" w14:textId="08043E5D" w:rsidR="00277E7F" w:rsidRPr="00727602" w:rsidRDefault="002E61D5" w:rsidP="00AC243A">
            <w:pPr>
              <w:jc w:val="center"/>
              <w:textAlignment w:val="baseline"/>
              <w:rPr>
                <w:rFonts w:eastAsia="Times New Roman" w:cs="Arial"/>
                <w:szCs w:val="16"/>
              </w:rPr>
            </w:pPr>
            <w:r w:rsidRPr="00727602">
              <w:rPr>
                <w:rFonts w:eastAsia="Times New Roman" w:cs="Arial"/>
                <w:szCs w:val="16"/>
              </w:rPr>
              <w:t>0</w:t>
            </w:r>
          </w:p>
        </w:tc>
      </w:tr>
    </w:tbl>
    <w:p w14:paraId="4B085A27" w14:textId="77777777" w:rsidR="00277E7F" w:rsidRPr="00727602" w:rsidRDefault="00277E7F" w:rsidP="00277E7F">
      <w:pPr>
        <w:rPr>
          <w:rFonts w:eastAsia="Calibri" w:cs="Arial"/>
          <w:b/>
          <w:szCs w:val="16"/>
        </w:rPr>
      </w:pPr>
    </w:p>
    <w:p w14:paraId="47B178D2" w14:textId="4EE9771D" w:rsidR="005369EB" w:rsidRDefault="005369EB" w:rsidP="005369EB">
      <w:pPr>
        <w:keepNext/>
        <w:spacing w:after="0"/>
        <w:rPr>
          <w:rFonts w:eastAsia="Times New Roman" w:cs="Arial"/>
          <w:b/>
          <w:szCs w:val="16"/>
        </w:rPr>
      </w:pPr>
      <w:r w:rsidRPr="00E3228B">
        <w:rPr>
          <w:rFonts w:eastAsia="Times New Roman" w:cs="Arial"/>
          <w:b/>
          <w:szCs w:val="16"/>
        </w:rPr>
        <w:t xml:space="preserve">Please explain the source (e.g., State monitoring, State database/data system, dispute resolution, fiscal, related requirements, etc.) of any additional findings reported in Column B. </w:t>
      </w:r>
    </w:p>
    <w:p w14:paraId="79C67AF2" w14:textId="6D8B61FC" w:rsidR="00A51008" w:rsidRPr="00F7607B" w:rsidRDefault="00A51008" w:rsidP="005369EB">
      <w:pPr>
        <w:keepNext/>
        <w:spacing w:after="0"/>
        <w:rPr>
          <w:rFonts w:eastAsia="Times New Roman" w:cs="Arial"/>
          <w:bCs/>
          <w:szCs w:val="16"/>
        </w:rPr>
      </w:pPr>
      <w:r w:rsidRPr="00F7607B">
        <w:rPr>
          <w:rFonts w:eastAsia="Times New Roman" w:cs="Arial"/>
          <w:bCs/>
          <w:szCs w:val="16"/>
        </w:rPr>
        <w:t>During federal fiscal year 2024 (FFY24; July 1, 2024- June 30, 2025), the Lead Agency (MA-C) did not report any additional findings related to Indicator 1 (i.e., in column B in the table above).</w:t>
      </w:r>
    </w:p>
    <w:p w14:paraId="1A776A61" w14:textId="3ACB1101" w:rsidR="00277E7F" w:rsidRPr="007D0769" w:rsidRDefault="00277E7F" w:rsidP="00277E7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69102369" w14:textId="5211AF02" w:rsidR="00DE79BF" w:rsidRDefault="00277E7F" w:rsidP="00DE79BF">
      <w:pPr>
        <w:rPr>
          <w:rFonts w:eastAsia="Calibri" w:cs="Arial"/>
          <w:szCs w:val="16"/>
        </w:rPr>
      </w:pPr>
      <w:r>
        <w:rPr>
          <w:rFonts w:eastAsia="Calibri" w:cs="Arial"/>
          <w:szCs w:val="16"/>
        </w:rPr>
        <w:t>The Lead Agency (MA-C) did not report additional findings for Indicator 1. MA-C verified that early intervention services (EIS) programs were correctly implementing the regulatory requirements (i.e., providing services within 30 days of a parent's consent to provide such services) based on updated data. After verifying the accuracy of data entered by EIS providers into its state database (Early Intervention Client System; EICS) and verifying each specific instance of noncompliance was corrected at the child-level, MA-C randomly selects 10 records from each EIS program and checks for compliance with the regulatory requirement by comparing the date the parent provided consent to the date that services were provided. When the latency is less than or equal to 30 days, the record is considered compliant. When the latency exceeds 30 days, the record is considered noncompliant.</w:t>
      </w:r>
    </w:p>
    <w:p>
      <w:pPr>
        <w:pStyle w:val=""/>
      </w:pPr>
      <w:r>
        <w:rPr>
          <w:rFonts w:ascii="" w:hAnsi="" w:cs="" w:eastAsia=""/>
          <w:b w:val="false"/>
          <w:i w:val="false"/>
          <w:color w:val=""/>
        </w:rPr>
        <w:t/>
      </w:r>
    </w:p>
    <w:p>
      <w:pPr>
        <w:pStyle w:val=""/>
      </w:pPr>
      <w:r>
        <w:rPr>
          <w:rFonts w:ascii="" w:hAnsi="" w:cs="" w:eastAsia=""/>
          <w:b w:val="false"/>
          <w:i w:val="false"/>
          <w:color w:val=""/>
        </w:rPr>
        <w:t>During federal fiscal year 2023 (FFY23; July 1, 2023-June 30, 2024), MA-C made 10 findings of noncompliance across six early intervention services (EIS) programs (Thom Boston Metro, Thom Springfield, Thom Westfield, Thom Marlboro, Thom Neponset, Reach, People Inc, Minute Man, First EI, BAMS), as reported for indicator 1. During federal fiscal year 2024 (FFY24; July 1, 2024-June 30, 2025), MA-C notified each of the 10 EIS programs in writing of the noncompliance. 8 of the 10 programs were determined to have isolated noncompliance and were offered training and technical assistance. The remaining two of the 10 EIS programs were determined to have systemic noncompliance and were placed on a corrective action plan. The corrective action plans require the EIS program director to complete a root-cause analysis with MA-C's Clinical Oversight and Support Specialist before identifying actionable next steps to implementing Part C of the IDEA consistent with the regulatory requirements. While the corrective action plan is being implemented, the EIS program director met regularly with the Clinical Oversight and Support Specialist to review their progress, provide technical assistance on revisions of the EIS program's policies and procedures, and answer questions about the regulatory requirements. After an EIS program director believes their program is demonstrating 100% compliance, the Clinical Oversight and Support Specialist selected 10 child records at random to verify ongoing compliance using subsequent data, as described in Indicator 1.</w:t>
      </w:r>
    </w:p>
    <w:p w14:paraId="54D56245" w14:textId="77777777" w:rsidR="006B5AEF" w:rsidRPr="007D0769" w:rsidRDefault="006B5AEF" w:rsidP="006B5AE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B6AFFEF" w14:textId="4893E541" w:rsidR="006B5AEF" w:rsidRDefault="002E61D5" w:rsidP="00DE79BF">
      <w:pPr>
        <w:rPr>
          <w:rFonts w:eastAsia="Calibri" w:cs="Arial"/>
          <w:szCs w:val="16"/>
        </w:rPr>
      </w:pPr>
      <w:r>
        <w:rPr>
          <w:rFonts w:eastAsia="Calibri" w:cs="Arial"/>
          <w:szCs w:val="16"/>
        </w:rPr>
        <w:t xml:space="preserve">The Lead Agency (MA-C) did not report additional findings for Indicator 1. As described in Indicator 1 and consistent with OSEP 23-01, MA-C verified that all children determined as having received early intervention services, although late (greater than 30 calendar days after a parent provided consent to implement the IFSP), unless the child was no longer in MA-C's jurisdiction. </w:t>
      </w:r>
    </w:p>
    <w:p>
      <w:pPr>
        <w:pStyle w:val=""/>
      </w:pPr>
      <w:r>
        <w:rPr>
          <w:rFonts w:ascii="" w:hAnsi="" w:cs="" w:eastAsia=""/>
          <w:b w:val="false"/>
          <w:i w:val="false"/>
          <w:color w:val=""/>
        </w:rPr>
        <w:t/>
      </w:r>
    </w:p>
    <w:p>
      <w:pPr>
        <w:pStyle w:val=""/>
      </w:pPr>
      <w:r>
        <w:rPr>
          <w:rFonts w:ascii="" w:hAnsi="" w:cs="" w:eastAsia=""/>
          <w:b w:val="false"/>
          <w:i w:val="false"/>
          <w:color w:val=""/>
        </w:rPr>
        <w:t>Upon detecting the noncompliance, MA-C's Clinical Oversight and Support Specialist queried the state database (Early Intervention Client System; EICS) to review the children's individual records. Using data entered by EIS programs into EICS, the Clinical Oversight and Support Specialist first reviewed the children's records for an active Individualized Family Service Plan (IFSP). If a record did not have an active IFSP, she checked for discharge and exiting data entered by the EIS program to determined that the children left the jurisdiction before services could be provided. If record did have an active IFSP, she checked for the date of the service delivery using progress notes entered by EIS providers and compared it to the date consent was provided to implement the IFSP, confirming that the child received early intervention services, although late.</w:t>
      </w:r>
    </w:p>
    <w:p w14:paraId="1FFBEB9C" w14:textId="77777777" w:rsidR="00EA0734" w:rsidRDefault="00EA0734" w:rsidP="00AC243A">
      <w:pPr>
        <w:spacing w:after="0"/>
        <w:textAlignment w:val="baseline"/>
        <w:rPr>
          <w:rFonts w:eastAsia="Times New Roman" w:cs="Arial"/>
          <w:b/>
          <w:bCs/>
          <w:szCs w:val="16"/>
        </w:rPr>
      </w:pPr>
    </w:p>
    <w:p w14:paraId="7CD40DD0" w14:textId="7DCC418E" w:rsidR="00AC243A" w:rsidRPr="007D0769" w:rsidRDefault="00AC243A" w:rsidP="00AC243A">
      <w:pPr>
        <w:spacing w:after="0"/>
        <w:textAlignment w:val="baseline"/>
        <w:rPr>
          <w:rFonts w:eastAsia="Times New Roman" w:cs="Arial"/>
          <w:b/>
          <w:bCs/>
          <w:szCs w:val="16"/>
        </w:rPr>
      </w:pPr>
      <w:r w:rsidRPr="007D0769">
        <w:rPr>
          <w:rFonts w:eastAsia="Times New Roman" w:cs="Arial"/>
          <w:b/>
          <w:bCs/>
          <w:szCs w:val="16"/>
        </w:rPr>
        <w:t>Indicator 7. Percent of eligible infants and toddlers with IFSPs for whom initial evaluation, initial assessment, and the initial IFSP meeting were conducted within Part C’s 45-day timeline. (20 U.S.C. 1416(a)(3)(B) and 1442)</w:t>
      </w:r>
    </w:p>
    <w:p w14:paraId="607F1D9D" w14:textId="173AE135" w:rsidR="00AC243A" w:rsidRPr="007D0769" w:rsidRDefault="00AC243A" w:rsidP="00AC243A">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7"/>
      </w:tblPr>
      <w:tblGrid>
        <w:gridCol w:w="2158"/>
        <w:gridCol w:w="2158"/>
        <w:gridCol w:w="2158"/>
        <w:gridCol w:w="2158"/>
        <w:gridCol w:w="2158"/>
      </w:tblGrid>
      <w:tr w:rsidR="00684786" w:rsidRPr="007D0769" w14:paraId="07E3FBE8" w14:textId="77777777" w:rsidTr="00EC51AB">
        <w:trPr>
          <w:trHeight w:val="360"/>
          <w:tblHeader/>
        </w:trPr>
        <w:tc>
          <w:tcPr>
            <w:tcW w:w="2158" w:type="dxa"/>
          </w:tcPr>
          <w:p w14:paraId="20909D5F" w14:textId="71372DC4"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6F032FE3" w14:textId="6CE39D81" w:rsidR="00AC243A" w:rsidRPr="007D0769" w:rsidRDefault="00AC243A"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063A3895" w14:textId="5E979B68"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3B5CF4B" w14:textId="7931D22C" w:rsidR="00AC243A" w:rsidRPr="007D0769" w:rsidRDefault="00AC243A"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EA70A4E" w14:textId="0758E9AF" w:rsidR="00AC243A" w:rsidRPr="007D0769" w:rsidRDefault="00AC243A"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684786" w:rsidRPr="00755D89" w14:paraId="60751CB2" w14:textId="77777777" w:rsidTr="00EC51AB">
        <w:trPr>
          <w:trHeight w:val="360"/>
          <w:tblHeader/>
        </w:trPr>
        <w:tc>
          <w:tcPr>
            <w:tcW w:w="2158" w:type="dxa"/>
          </w:tcPr>
          <w:p w14:paraId="46385BA0" w14:textId="272A2883" w:rsidR="00AC243A" w:rsidRPr="007D0769" w:rsidRDefault="00AC243A">
            <w:pPr>
              <w:jc w:val="center"/>
              <w:textAlignment w:val="baseline"/>
              <w:rPr>
                <w:rFonts w:eastAsia="Times New Roman" w:cs="Arial"/>
                <w:b/>
                <w:bCs/>
                <w:szCs w:val="16"/>
              </w:rPr>
            </w:pPr>
            <w:r w:rsidRPr="00ED172B">
              <w:rPr>
                <w:rFonts w:cs="Arial"/>
                <w:color w:val="000000" w:themeColor="text1"/>
                <w:szCs w:val="16"/>
              </w:rPr>
              <w:t>3</w:t>
            </w:r>
          </w:p>
        </w:tc>
        <w:tc>
          <w:tcPr>
            <w:tcW w:w="2158" w:type="dxa"/>
          </w:tcPr>
          <w:p w14:paraId="7B1FEE6D" w14:textId="511033E0" w:rsidR="00AC243A" w:rsidRPr="007D0769" w:rsidRDefault="00AC243A">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130ABB9E" w14:textId="0B724652" w:rsidR="00AC243A" w:rsidRPr="007D0769" w:rsidRDefault="00AC243A">
            <w:pPr>
              <w:jc w:val="center"/>
              <w:textAlignment w:val="baseline"/>
              <w:rPr>
                <w:rFonts w:eastAsia="Times New Roman" w:cs="Arial"/>
                <w:b/>
                <w:bCs/>
                <w:szCs w:val="16"/>
              </w:rPr>
            </w:pPr>
            <w:r w:rsidRPr="00ED172B">
              <w:rPr>
                <w:rFonts w:cs="Arial"/>
                <w:color w:val="000000" w:themeColor="text1"/>
                <w:szCs w:val="16"/>
              </w:rPr>
              <w:t>3</w:t>
            </w:r>
          </w:p>
        </w:tc>
        <w:tc>
          <w:tcPr>
            <w:tcW w:w="2158" w:type="dxa"/>
          </w:tcPr>
          <w:p w14:paraId="1DCC6528" w14:textId="5DF60985" w:rsidR="00AC243A" w:rsidRPr="007D0769" w:rsidRDefault="00AC243A">
            <w:pPr>
              <w:jc w:val="center"/>
              <w:textAlignment w:val="baseline"/>
              <w:rPr>
                <w:rFonts w:eastAsia="Times New Roman" w:cs="Arial"/>
                <w:b/>
                <w:bCs/>
                <w:szCs w:val="16"/>
              </w:rPr>
            </w:pPr>
            <w:r>
              <w:rPr>
                <w:rFonts w:eastAsia="Times New Roman" w:cs="Arial"/>
                <w:szCs w:val="16"/>
              </w:rPr>
              <w:t>0</w:t>
            </w:r>
          </w:p>
        </w:tc>
        <w:tc>
          <w:tcPr>
            <w:tcW w:w="2158" w:type="dxa"/>
          </w:tcPr>
          <w:p w14:paraId="45517151" w14:textId="1656151C" w:rsidR="00AC243A" w:rsidRPr="00755D89" w:rsidRDefault="00AC243A">
            <w:pPr>
              <w:jc w:val="center"/>
              <w:textAlignment w:val="baseline"/>
              <w:rPr>
                <w:rFonts w:eastAsia="Times New Roman" w:cs="Arial"/>
                <w:szCs w:val="16"/>
              </w:rPr>
            </w:pPr>
            <w:r w:rsidRPr="00755D89">
              <w:rPr>
                <w:rFonts w:eastAsia="Times New Roman" w:cs="Arial"/>
                <w:szCs w:val="16"/>
              </w:rPr>
              <w:t>0</w:t>
            </w:r>
          </w:p>
        </w:tc>
      </w:tr>
    </w:tbl>
    <w:p w14:paraId="07DAC491" w14:textId="77777777" w:rsidR="00AC243A" w:rsidRPr="00755D89" w:rsidRDefault="00AC243A" w:rsidP="00AC243A">
      <w:pPr>
        <w:rPr>
          <w:rFonts w:eastAsia="Calibri" w:cs="Arial"/>
          <w:b/>
          <w:szCs w:val="16"/>
        </w:rPr>
      </w:pPr>
    </w:p>
    <w:p w14:paraId="00513726" w14:textId="731E4DE1" w:rsidR="00E51A59" w:rsidRDefault="00E51A59" w:rsidP="00E51A59">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5A1391CE" w14:textId="6C9E9FDB" w:rsidR="00A51008" w:rsidRPr="00F7607B" w:rsidRDefault="00A51008" w:rsidP="00E51A59">
      <w:pPr>
        <w:keepNext/>
        <w:spacing w:after="0"/>
        <w:rPr>
          <w:rFonts w:eastAsia="Times New Roman" w:cs="Arial"/>
          <w:bCs/>
          <w:szCs w:val="16"/>
        </w:rPr>
      </w:pPr>
      <w:r>
        <w:rPr>
          <w:rFonts w:eastAsia="Times New Roman" w:cs="Arial"/>
          <w:bCs/>
          <w:szCs w:val="16"/>
        </w:rPr>
        <w:t>During federal fiscal year 2024 (FFY24; July 1, 2024- June 30, 2025), the Lead Agency (MA-C) did not report any additional findings related to Indicator 7 (i.e., in column B in the table above).</w:t>
      </w:r>
    </w:p>
    <w:p w14:paraId="6EB3915D" w14:textId="4ACC8487" w:rsidR="00AC243A" w:rsidRPr="007D0769" w:rsidRDefault="00AC243A" w:rsidP="00AC243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79DCA0CE" w14:textId="44974603" w:rsidR="00AC243A" w:rsidRDefault="00AC243A" w:rsidP="00AC243A">
      <w:pPr>
        <w:rPr>
          <w:rFonts w:eastAsia="Calibri" w:cs="Arial"/>
          <w:szCs w:val="16"/>
        </w:rPr>
      </w:pPr>
      <w:r>
        <w:rPr>
          <w:rFonts w:eastAsia="Calibri" w:cs="Arial"/>
          <w:szCs w:val="16"/>
        </w:rPr>
        <w:t>The Lead Agency (MA-C) did not report additional findings for Indicator 7. As described in Indicator 7, it verified that early intervention services (EIS) programs were correctly implementing the regulatory requirements (i.e., providing an initial evaluation and IFSP within 45 days of the child's referral)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date of the IFSP meeting to the date the child was referred to the EIS program. When the latency is less than or equal to 45 days, the record is considered compliant. When the latency exceeds 45 days, the record is considered noncompliant.</w:t>
      </w:r>
    </w:p>
    <w:p>
      <w:pPr>
        <w:pStyle w:val=""/>
      </w:pPr>
      <w:r>
        <w:rPr>
          <w:rFonts w:ascii="" w:hAnsi="" w:cs="" w:eastAsia=""/>
          <w:b w:val="false"/>
          <w:i w:val="false"/>
          <w:color w:val=""/>
        </w:rPr>
        <w:t/>
      </w:r>
    </w:p>
    <w:p>
      <w:pPr>
        <w:pStyle w:val=""/>
      </w:pPr>
      <w:r>
        <w:rPr>
          <w:rFonts w:ascii="" w:hAnsi="" w:cs="" w:eastAsia=""/>
          <w:b w:val="false"/>
          <w:i w:val="false"/>
          <w:color w:val=""/>
        </w:rPr>
        <w:t>During federal fiscal year 2023 (FFY23; July 1, 2023-June 30, 2024), MA-C made three findings of noncompliance across three early intervention services (EIS) programs (Kennedy-Donovan Center-Cape &amp; Islands, Eliot, and People Incorporated EI Program), as reported for indicator 7. During federal fiscal year 2024 (FFY24; July 1, 2024-June 30, 2025), MA-C notified each of the three EIS programs in writing of the noncompliance. All three of the EIS programs were determined to have systemic noncompliance and were placed on corrective action plans. The corrective action plans require the EIS program director to complete a root-cause analysis with MA-C's Clinical Oversight and Support Specialist before identifying actionable next steps to implementing Part C of the IDEA consistent with the regulatory requirements. While the corrective action plan is being implemented, the EIS program director meets weekly with the Clinical Oversight and Support Specialist to review their progress, provide technical assistance on revisions of the EIS program's policies and procedures, and answer questions about the regulatory requirements. After an EIS program director believes their program is demonstrating 100% compliance, the Clinical Oversight and Support Specialist selects 10 to 20 child records at random to verify ongoing compliance, as described in Indicator 7.</w:t>
      </w:r>
    </w:p>
    <w:p w14:paraId="20120123" w14:textId="77777777" w:rsidR="00AC243A" w:rsidRPr="007D0769" w:rsidRDefault="00AC243A" w:rsidP="00AC243A">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6DC270C2" w14:textId="38E49C10" w:rsidR="00AC243A" w:rsidRDefault="00AC243A" w:rsidP="00AC243A">
      <w:pPr>
        <w:rPr>
          <w:rFonts w:eastAsia="Calibri" w:cs="Arial"/>
          <w:szCs w:val="16"/>
        </w:rPr>
      </w:pPr>
      <w:r>
        <w:rPr>
          <w:rFonts w:eastAsia="Calibri" w:cs="Arial"/>
          <w:szCs w:val="16"/>
        </w:rPr>
        <w:t xml:space="preserve">The Lead Agency (MA-C) did not report additional findings for Indicator 7. As described in Indicator 7 and consistent with OSEP 23-01, MA-C verified that all children determined as having received their initial evaluation and IFSP, although late (greater than 45 calendar days as required by Part C), unless the child was no longer in MA-C's jurisdiction. </w:t>
      </w:r>
    </w:p>
    <w:p>
      <w:pPr>
        <w:pStyle w:val=""/>
      </w:pPr>
      <w:r>
        <w:rPr>
          <w:rFonts w:ascii="" w:hAnsi="" w:cs="" w:eastAsia=""/>
          <w:b w:val="false"/>
          <w:i w:val="false"/>
          <w:color w:val=""/>
        </w:rPr>
        <w:t/>
      </w:r>
    </w:p>
    <w:p>
      <w:pPr>
        <w:pStyle w:val=""/>
      </w:pPr>
      <w:r>
        <w:rPr>
          <w:rFonts w:ascii="" w:hAnsi="" w:cs="" w:eastAsia=""/>
          <w:b w:val="false"/>
          <w:i w:val="false"/>
          <w:color w:val=""/>
        </w:rPr>
        <w:t>Upon detecting the noncompliance, MA-C's Clinical Oversight and Support Specialist queried the state database (Early Intervention Client System; EICS) to review the children's individual records. Using data entered by EIS programs into EICS, the Clinical Oversight and Support Specialist first reviewed the children's records for an active Individualized Family Service Plan (IFSP). If a record did not have an active IFSP, she checked for discharge and exiting data entered by the EIS program to determined that the children left the jurisdiction before an initial evaluation and ISFP could be developed. If record did have an active IFSP, she checked for the date of the IFSP meeting and compared it to the date of the child's referral to the Part C system, confirming that the child received their initial evaluation and IFSP, although late.</w:t>
      </w:r>
    </w:p>
    <w:p w14:paraId="28FE8A3F" w14:textId="77777777" w:rsidR="008D36D9" w:rsidRDefault="008D36D9" w:rsidP="005B5A95">
      <w:pPr>
        <w:spacing w:after="0"/>
        <w:textAlignment w:val="baseline"/>
        <w:rPr>
          <w:rFonts w:eastAsia="Times New Roman" w:cs="Arial"/>
          <w:b/>
          <w:bCs/>
          <w:szCs w:val="16"/>
        </w:rPr>
      </w:pPr>
    </w:p>
    <w:p w14:paraId="2F81D356" w14:textId="590B7E71"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Indicator 8A. The percentage of toddlers with disabilities exiting Part C with timely transition planning for whom the Lead Agency has:</w:t>
      </w:r>
    </w:p>
    <w:p w14:paraId="22955F37" w14:textId="77777777" w:rsidR="005B5A95" w:rsidRPr="007D0769" w:rsidRDefault="005B5A95" w:rsidP="005B5A95">
      <w:pPr>
        <w:spacing w:after="0"/>
        <w:textAlignment w:val="baseline"/>
        <w:rPr>
          <w:rFonts w:eastAsia="Times New Roman" w:cs="Arial"/>
          <w:b/>
          <w:bCs/>
          <w:szCs w:val="16"/>
        </w:rPr>
      </w:pPr>
      <w:r w:rsidRPr="007D0769">
        <w:rPr>
          <w:rFonts w:eastAsia="Times New Roman" w:cs="Arial"/>
          <w:b/>
          <w:bCs/>
          <w:szCs w:val="16"/>
        </w:rPr>
        <w:t>A. Developed an IFSP with transition steps and services at least 90 days (and, at the discretion of all parties, not more than nine months) prior to the toddler’s third birthday. (20 U.S.C. 1416(a)(3)(B) and 1442).</w:t>
      </w:r>
    </w:p>
    <w:p w14:paraId="577273B5" w14:textId="1C677CC9" w:rsidR="005B5A95" w:rsidRPr="007D0769" w:rsidRDefault="005B5A95" w:rsidP="005B5A95">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A"/>
      </w:tblPr>
      <w:tblGrid>
        <w:gridCol w:w="2158"/>
        <w:gridCol w:w="2158"/>
        <w:gridCol w:w="2158"/>
        <w:gridCol w:w="2158"/>
        <w:gridCol w:w="2158"/>
      </w:tblGrid>
      <w:tr w:rsidR="005B5A95" w:rsidRPr="007D0769" w14:paraId="54F308A6" w14:textId="77777777" w:rsidTr="00EC51AB">
        <w:trPr>
          <w:trHeight w:val="360"/>
          <w:tblHeader/>
        </w:trPr>
        <w:tc>
          <w:tcPr>
            <w:tcW w:w="2158" w:type="dxa"/>
          </w:tcPr>
          <w:p w14:paraId="4F16C5B7" w14:textId="6006A46A"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57928966" w14:textId="79DE5105" w:rsidR="005B5A95" w:rsidRPr="007D0769" w:rsidRDefault="005B5A95"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4A7224AE" w14:textId="5B0C78CD"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A6E978" w14:textId="0883491C" w:rsidR="005B5A95" w:rsidRPr="007D0769" w:rsidRDefault="005B5A95"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5AAA5E5D" w14:textId="2F987B95" w:rsidR="005B5A95" w:rsidRPr="007D0769" w:rsidRDefault="005B5A95"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5B5A95" w:rsidRPr="00755D89" w14:paraId="6D712275" w14:textId="77777777" w:rsidTr="00EC51AB">
        <w:trPr>
          <w:trHeight w:val="360"/>
          <w:tblHeader/>
        </w:trPr>
        <w:tc>
          <w:tcPr>
            <w:tcW w:w="2158" w:type="dxa"/>
          </w:tcPr>
          <w:p w14:paraId="0A9FB39B" w14:textId="278FFD43" w:rsidR="005B5A95" w:rsidRPr="007D0769" w:rsidRDefault="005B5A95">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2BB9F8FB" w14:textId="2D14885E" w:rsidR="005B5A95" w:rsidRPr="007D0769" w:rsidRDefault="005B5A95">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18918D74" w14:textId="7283EB7D" w:rsidR="005B5A95" w:rsidRPr="007D0769" w:rsidRDefault="005B5A95">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22EC4D92" w14:textId="642DCD0A" w:rsidR="005B5A95" w:rsidRPr="007D0769" w:rsidRDefault="005B5A95">
            <w:pPr>
              <w:jc w:val="center"/>
              <w:textAlignment w:val="baseline"/>
              <w:rPr>
                <w:rFonts w:eastAsia="Times New Roman" w:cs="Arial"/>
                <w:b/>
                <w:bCs/>
                <w:szCs w:val="16"/>
              </w:rPr>
            </w:pPr>
            <w:r>
              <w:rPr>
                <w:rFonts w:eastAsia="Times New Roman" w:cs="Arial"/>
                <w:szCs w:val="16"/>
              </w:rPr>
              <w:t>0</w:t>
            </w:r>
          </w:p>
        </w:tc>
        <w:tc>
          <w:tcPr>
            <w:tcW w:w="2158" w:type="dxa"/>
          </w:tcPr>
          <w:p w14:paraId="5E6896E1" w14:textId="520CD455" w:rsidR="005B5A95" w:rsidRPr="00755D89" w:rsidRDefault="005B5A95">
            <w:pPr>
              <w:jc w:val="center"/>
              <w:textAlignment w:val="baseline"/>
              <w:rPr>
                <w:rFonts w:eastAsia="Times New Roman" w:cs="Arial"/>
                <w:szCs w:val="16"/>
              </w:rPr>
            </w:pPr>
            <w:r w:rsidRPr="00755D89">
              <w:rPr>
                <w:rFonts w:eastAsia="Times New Roman" w:cs="Arial"/>
                <w:szCs w:val="16"/>
              </w:rPr>
              <w:t>0</w:t>
            </w:r>
          </w:p>
        </w:tc>
      </w:tr>
    </w:tbl>
    <w:p w14:paraId="2843D1D9" w14:textId="77777777" w:rsidR="005B5A95" w:rsidRPr="00755D89" w:rsidRDefault="005B5A95" w:rsidP="005B5A95">
      <w:pPr>
        <w:rPr>
          <w:rFonts w:eastAsia="Calibri" w:cs="Arial"/>
          <w:b/>
          <w:szCs w:val="16"/>
        </w:rPr>
      </w:pPr>
    </w:p>
    <w:p w14:paraId="0AC5B00B" w14:textId="369410D8" w:rsidR="00435E16" w:rsidRDefault="004650EA" w:rsidP="004650EA">
      <w:pPr>
        <w:keepNext/>
        <w:spacing w:after="0"/>
        <w:rPr>
          <w:rFonts w:eastAsia="Times New Roman" w:cs="Arial"/>
          <w:b/>
          <w:szCs w:val="16"/>
        </w:rPr>
      </w:pPr>
      <w:r w:rsidRPr="00757561">
        <w:rPr>
          <w:rFonts w:eastAsia="Times New Roman" w:cs="Arial"/>
          <w:b/>
          <w:szCs w:val="16"/>
        </w:rPr>
        <w:lastRenderedPageBreak/>
        <w:t xml:space="preserve">Please explain the source (e.g., State monitoring, State database/data system, dispute resolution, fiscal, related requirements, etc.) of any additional findings reported in Column B. </w:t>
      </w:r>
    </w:p>
    <w:p w14:paraId="44BB1CD0" w14:textId="69570708" w:rsidR="004650EA" w:rsidRPr="00FF3A04" w:rsidRDefault="004650EA" w:rsidP="004650EA">
      <w:pPr>
        <w:keepNext/>
        <w:spacing w:after="0"/>
        <w:rPr>
          <w:rFonts w:eastAsia="Times New Roman" w:cs="Arial"/>
          <w:bCs/>
          <w:szCs w:val="16"/>
        </w:rPr>
      </w:pPr>
      <w:r>
        <w:rPr>
          <w:rFonts w:eastAsia="Times New Roman" w:cs="Arial"/>
          <w:bCs/>
          <w:szCs w:val="16"/>
        </w:rPr>
        <w:t>During federal fiscal year 2024 (FFY24; July 1, 2024- June 30, 2025), the Lead Agency (MA-C) did not report any additional findings related to Indicator 8A (i.e., in column B in the table above).</w:t>
      </w:r>
    </w:p>
    <w:p w14:paraId="4CD648AC" w14:textId="76F2B474" w:rsidR="005B5A95" w:rsidRPr="007D0769" w:rsidRDefault="005B5A95" w:rsidP="005B5A95">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3AEDC54" w14:textId="7E87CB41" w:rsidR="005B5A95" w:rsidRDefault="005B5A95" w:rsidP="005B5A95">
      <w:pPr>
        <w:rPr>
          <w:rFonts w:eastAsia="Calibri" w:cs="Arial"/>
          <w:szCs w:val="16"/>
        </w:rPr>
      </w:pPr>
      <w:r>
        <w:rPr>
          <w:rFonts w:eastAsia="Calibri" w:cs="Arial"/>
          <w:szCs w:val="16"/>
        </w:rPr>
        <w:t>The Lead Agency (MA-C) did not report any findings related to Indicator 8A. As described in Indicator 8A, it verified that early intervention services (EIS) programs were correctly implementing the regulatory requirements (i.e., developing an IFSP with transition steps and services at least 90 days, and at the discretion of all parties, not more than nine months, prior to the toddler’s third birthday)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transition data entered by the EIS provider to the child's third birthdate. When the latency is less than or equal to 90 days, the record is considered compliant. When the latency exceeds 90 days, the record is considered noncompliant.</w:t>
      </w:r>
    </w:p>
    <w:p>
      <w:pPr>
        <w:pStyle w:val=""/>
      </w:pPr>
      <w:r>
        <w:rPr>
          <w:rFonts w:ascii="" w:hAnsi="" w:cs="" w:eastAsia=""/>
          <w:b w:val="false"/>
          <w:i w:val="false"/>
          <w:color w:val=""/>
        </w:rPr>
        <w:t/>
      </w:r>
    </w:p>
    <w:p>
      <w:pPr>
        <w:pStyle w:val=""/>
      </w:pPr>
      <w:r>
        <w:rPr>
          <w:rFonts w:ascii="" w:hAnsi="" w:cs="" w:eastAsia=""/>
          <w:b w:val="false"/>
          <w:i w:val="false"/>
          <w:color w:val=""/>
        </w:rPr>
        <w:t>During federal fiscal year 2023 (FFY23; July 1, 2023-June 30, 2024), MA-C made no findings of noncompliance consistent with its pre-finding correction process, as reported for indicator 8A. During federal fiscal year 2024 (FFY24; July 1, 2024-June 30, 2025), MA-C notified the one EIS program in writing of the noncompliance. After an EIS program director believes their program is demonstrating 100% compliance, the Clinical Oversight and Support Specialist selects 10 to 20 child records at random to verify ongoing compliance, as described in Indicator 8A. Because these instances of noncompliance were corrected prior to detection and the programs' ongoing compliance was verified using updated data, no formal findings were issued. Instead, MA-C emailed the one EIS program who had reported an IFSP with transition steps and services outside of the required timeframe to remind them of the regulatory requirement and offer training and technical assistance to sustain compliance.</w:t>
      </w:r>
    </w:p>
    <w:p w14:paraId="7647674B" w14:textId="77777777" w:rsidR="005B5A95" w:rsidRPr="007D0769" w:rsidRDefault="005B5A95" w:rsidP="005B5A95">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C528DDA" w14:textId="1018C91C" w:rsidR="005B5A95" w:rsidRDefault="005B5A95" w:rsidP="005B5A95">
      <w:pPr>
        <w:rPr>
          <w:rFonts w:eastAsia="Calibri" w:cs="Arial"/>
          <w:szCs w:val="16"/>
        </w:rPr>
      </w:pPr>
      <w:r>
        <w:rPr>
          <w:rFonts w:eastAsia="Calibri" w:cs="Arial"/>
          <w:szCs w:val="16"/>
        </w:rPr>
        <w:t>The Lead Agency (MA-C) did not report any findings related to Indicator 8A. As reported in Indicator 8A and consistent with OSEP 23-01, upon discovery and before written findings of noncompliance were issued, MA-C initiated a pre-finding correction process consistent with its general supervision practices. MA-C's Clinical Oversight and Support Specialist queried the state database (Early Intervention Client System; EICS) to review the children's individual records. Using data entered by EIS programs into EICS, the Clinical Oversight and Support Specialist determined that  one child had an IFSP with transition steps and services developed, although late, as demonstrated by IFSP-level data entered by the EIS programs into EICS. Next, MA-C's Clinical Oversight and Support Specialists queried the EICS for the one EIS program with compliance rates below 100%. For the one EIS program, she sampled 10 child records at random for timely transition planning, using subsequent IFSPs with transition steps and services as entered by the EIS programs and determined 100% compliance had been achieved for the one program (i.e., all 10 to 20 sampled records from of the one EIS program showed a timely IFSP with transition steps and services). Consistent with MA-C general supervision practices, no written findings of noncompliance were made because the noncompliance had been corrected. Instead, MA-C emailed the one EIS program who had reported an IFSP with transition steps and services outside of the required timeframe to remind them of the regulatory requirement and offer training and technical assistance to sustain compliance.</w:t>
      </w:r>
    </w:p>
    <w:p w14:paraId="048E9EA5" w14:textId="77777777" w:rsidR="008D36D9" w:rsidRDefault="008D36D9" w:rsidP="00DE12DF">
      <w:pPr>
        <w:spacing w:after="0"/>
        <w:textAlignment w:val="baseline"/>
        <w:rPr>
          <w:rFonts w:eastAsia="Times New Roman" w:cs="Arial"/>
          <w:b/>
          <w:bCs/>
          <w:szCs w:val="16"/>
        </w:rPr>
      </w:pPr>
    </w:p>
    <w:p w14:paraId="020FE753" w14:textId="5A337EA6"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8B. The percentage of toddlers with disabilities exiting Part C with timely transition planning for whom the Lead Agency has:</w:t>
      </w:r>
    </w:p>
    <w:p w14:paraId="372A1F7D" w14:textId="77777777" w:rsidR="00DE12DF" w:rsidRDefault="00DE12DF" w:rsidP="00DE12DF">
      <w:pPr>
        <w:spacing w:after="0"/>
        <w:textAlignment w:val="baseline"/>
        <w:rPr>
          <w:rFonts w:eastAsia="Times New Roman" w:cs="Arial"/>
          <w:b/>
          <w:bCs/>
          <w:szCs w:val="16"/>
        </w:rPr>
      </w:pPr>
      <w:r w:rsidRPr="007D0769">
        <w:rPr>
          <w:rFonts w:eastAsia="Times New Roman" w:cs="Arial"/>
          <w:b/>
          <w:bCs/>
          <w:szCs w:val="16"/>
        </w:rPr>
        <w:t>B.  Notified (consistent with any opt-out policy) the SEA and LEA where the toddler resides at least 90 days prior to the toddler’s third birthday for toddlers potentially eligible for Part B preschool services. (20 U.S.C. 1416(a)(3)(B) and 1442)</w:t>
      </w:r>
    </w:p>
    <w:p w14:paraId="5E6BD07F" w14:textId="4AB5B292"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B"/>
      </w:tblPr>
      <w:tblGrid>
        <w:gridCol w:w="2158"/>
        <w:gridCol w:w="2158"/>
        <w:gridCol w:w="2158"/>
        <w:gridCol w:w="2158"/>
        <w:gridCol w:w="2158"/>
      </w:tblGrid>
      <w:tr w:rsidR="00DE12DF" w:rsidRPr="007D0769" w14:paraId="55B4C5A3" w14:textId="77777777" w:rsidTr="00EC51AB">
        <w:trPr>
          <w:trHeight w:val="360"/>
          <w:tblHeader/>
        </w:trPr>
        <w:tc>
          <w:tcPr>
            <w:tcW w:w="2158" w:type="dxa"/>
          </w:tcPr>
          <w:p w14:paraId="1D0A0DFE" w14:textId="4D6B92EC"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7564F13E" w14:textId="32F038BC"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3E723A19" w14:textId="606A4B9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0A6B4459" w14:textId="68E3A99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D2F96B0" w14:textId="00EED53D"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602C8741" w14:textId="77777777" w:rsidTr="00EC51AB">
        <w:trPr>
          <w:trHeight w:val="360"/>
          <w:tblHeader/>
        </w:trPr>
        <w:tc>
          <w:tcPr>
            <w:tcW w:w="2158" w:type="dxa"/>
          </w:tcPr>
          <w:p w14:paraId="130EE70B" w14:textId="18199E8B"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3DC248E5" w14:textId="38A0F820"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61733FFF" w14:textId="2F27F666" w:rsidR="00DE12DF" w:rsidRPr="007D0769" w:rsidRDefault="00DE12DF">
            <w:pPr>
              <w:jc w:val="center"/>
              <w:textAlignment w:val="baseline"/>
              <w:rPr>
                <w:rFonts w:eastAsia="Times New Roman" w:cs="Arial"/>
                <w:b/>
                <w:bCs/>
                <w:szCs w:val="16"/>
              </w:rPr>
            </w:pPr>
            <w:r w:rsidRPr="00ED172B">
              <w:rPr>
                <w:rFonts w:cs="Arial"/>
                <w:color w:val="000000" w:themeColor="text1"/>
                <w:szCs w:val="16"/>
              </w:rPr>
              <w:t>0</w:t>
            </w:r>
          </w:p>
        </w:tc>
        <w:tc>
          <w:tcPr>
            <w:tcW w:w="2158" w:type="dxa"/>
          </w:tcPr>
          <w:p w14:paraId="1D6B0C6E" w14:textId="3C49875F"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2EC895EE" w14:textId="66F25117"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20FBC410" w14:textId="77777777" w:rsidR="00641B02" w:rsidRDefault="00641B02" w:rsidP="004650EA">
      <w:pPr>
        <w:keepNext/>
        <w:spacing w:after="0"/>
        <w:rPr>
          <w:rFonts w:eastAsia="Times New Roman" w:cs="Arial"/>
          <w:b/>
          <w:szCs w:val="16"/>
        </w:rPr>
      </w:pPr>
    </w:p>
    <w:p w14:paraId="30E47E9E" w14:textId="44BD4556"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0D344A96" w14:textId="2C19C132" w:rsidR="006675B4" w:rsidRDefault="004650EA">
      <w:pPr>
        <w:keepNext/>
        <w:spacing w:after="0"/>
        <w:rPr>
          <w:rFonts w:eastAsia="Times New Roman" w:cs="Arial"/>
          <w:bCs/>
          <w:szCs w:val="16"/>
        </w:rPr>
      </w:pPr>
      <w:r>
        <w:rPr>
          <w:rFonts w:eastAsia="Times New Roman" w:cs="Arial"/>
          <w:bCs/>
          <w:szCs w:val="16"/>
        </w:rPr>
        <w:t>During federal fiscal year 2024 (FFY24; July 1, 2024- June 30, 2025), the Lead Agency (MA-C) did not report any additional findings related to Indicator 8B (i.e., in column B in the table above).</w:t>
      </w:r>
    </w:p>
    <w:p w14:paraId="6813512C" w14:textId="4877B45A" w:rsidR="00DE12DF" w:rsidRPr="007D0769" w:rsidRDefault="00DE12DF" w:rsidP="004650EA">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481DFCCB" w14:textId="0A1893D4" w:rsidR="00DE12DF" w:rsidRDefault="00DE12DF" w:rsidP="00DE12DF">
      <w:pPr>
        <w:rPr>
          <w:rFonts w:eastAsia="Calibri" w:cs="Arial"/>
          <w:szCs w:val="16"/>
        </w:rPr>
      </w:pPr>
      <w:r>
        <w:rPr>
          <w:rFonts w:eastAsia="Calibri" w:cs="Arial"/>
          <w:szCs w:val="16"/>
        </w:rPr>
        <w:t>The Lead Agency (MA-C) did not report any findings related to Indicator 8B. As described in Indicator 8B, it verified that early intervention services (EIS) programs were correctly implementing the regulatory requirements (i.e., sending notification to the LEA and SEA at least 90 days prior to the toddler’s third birthday)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transition data entered by the EIS provider to the child's third birthdate. When the latency is less than or equal to 90 days, the record is considered compliant. When the latency exceeds 90 days, the record is considered noncompliant.</w:t>
      </w:r>
    </w:p>
    <w:p>
      <w:pPr>
        <w:pStyle w:val=""/>
      </w:pPr>
      <w:r>
        <w:rPr>
          <w:rFonts w:ascii="" w:hAnsi="" w:cs="" w:eastAsia=""/>
          <w:b w:val="false"/>
          <w:i w:val="false"/>
          <w:color w:val=""/>
        </w:rPr>
        <w:t/>
      </w:r>
    </w:p>
    <w:p>
      <w:pPr>
        <w:pStyle w:val=""/>
      </w:pPr>
      <w:r>
        <w:rPr>
          <w:rFonts w:ascii="" w:hAnsi="" w:cs="" w:eastAsia=""/>
          <w:b w:val="false"/>
          <w:i w:val="false"/>
          <w:color w:val=""/>
        </w:rPr>
        <w:t>Additionally, MA-C reviews EIS program performance for Indicator 8B on a quarterly basis. The purpose of these quarterly reviews is to identify potential data entry errors, noncompliance, and evaluate the EIS programs' implementation of the regulatory requirement consistent with Part C of IDEA.</w:t>
      </w:r>
    </w:p>
    <w:p>
      <w:pPr>
        <w:pStyle w:val=""/>
      </w:pPr>
      <w:r>
        <w:rPr>
          <w:rFonts w:ascii="" w:hAnsi="" w:cs="" w:eastAsia=""/>
          <w:b w:val="false"/>
          <w:i w:val="false"/>
          <w:color w:val=""/>
        </w:rPr>
        <w:t/>
      </w:r>
    </w:p>
    <w:p>
      <w:pPr>
        <w:pStyle w:val=""/>
      </w:pPr>
      <w:r>
        <w:rPr>
          <w:rFonts w:ascii="" w:hAnsi="" w:cs="" w:eastAsia=""/>
          <w:b w:val="false"/>
          <w:i w:val="false"/>
          <w:color w:val=""/>
        </w:rPr>
        <w:t>During federal fiscal year 2023 (FFY23; July 1, 2023-June 30, 2024), MA-C made no findings of noncompliance consistent with its pre-finding correction process, as reported for indicator 8B. During federal fiscal year 2024 (FFY24; July 1, 2024-June 30, 2025), MA-C notified the one EIS program in writing of the noncompliance. After an EIS program director believes their program is demonstrating 100% compliance, the Clinical Oversight and Support Specialist selects 10 child records at random to verify ongoing compliance, as described in Indicator 8B. Because this instance of noncompliance was corrected prior to detection and the programs' ongoing compliance was verified using updated data, no formal findings were issued. Instead, the Clinical Oversight and Support Specialist emailed the one EIS program who had reported untimely notification to the LEA to remind them of the regulatory requirement and offer training and technical assistance to sustain compliance.</w:t>
      </w:r>
    </w:p>
    <w:p w14:paraId="4177E298"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2F3CBBCF" w14:textId="2D84401A" w:rsidR="00DE12DF" w:rsidRDefault="00DE12DF" w:rsidP="00DE12DF">
      <w:pPr>
        <w:rPr>
          <w:rFonts w:eastAsia="Calibri" w:cs="Arial"/>
          <w:szCs w:val="16"/>
        </w:rPr>
      </w:pPr>
      <w:r>
        <w:rPr>
          <w:rFonts w:eastAsia="Calibri" w:cs="Arial"/>
          <w:szCs w:val="16"/>
        </w:rPr>
        <w:t xml:space="preserve">The Lead Agency (MA-C) did not report any findings related to Indicator 8B. As reported in Indicator 8B and consistent with OSEP 23-01, upon discovery and before written findings of noncompliance were issued, MA-C initiated a pre-finding correction process consistent with it’s general supervision practices. The Part C Data Manager queried the state database (Early Intervention Client System; EICS) to review the 168 children's individual records. </w:t>
      </w:r>
    </w:p>
    <w:p>
      <w:pPr>
        <w:pStyle w:val=""/>
      </w:pPr>
      <w:r>
        <w:rPr>
          <w:rFonts w:ascii="" w:hAnsi="" w:cs="" w:eastAsia=""/>
          <w:b w:val="false"/>
          <w:i w:val="false"/>
          <w:color w:val=""/>
        </w:rPr>
        <w:t/>
      </w:r>
    </w:p>
    <w:p>
      <w:pPr>
        <w:pStyle w:val=""/>
      </w:pPr>
      <w:r>
        <w:rPr>
          <w:rFonts w:ascii="" w:hAnsi="" w:cs="" w:eastAsia=""/>
          <w:b w:val="false"/>
          <w:i w:val="false"/>
          <w:color w:val=""/>
        </w:rPr>
        <w:t xml:space="preserve">In 167 of the 168 instances, she determined that LEA notification had been sent timely by the EIS program, but SEA notification was delayed due to late data entry on the part of the EIS programs. In these 167 instances of the 168 records, she confirmed that SEA notification had been sent, although late. MA-C's Clinical Quality Manager notified the affected EIS programs of the requirement to enter data into EICS within 14 calendar days and invited them to attend targeted technical assistance roundtables on transition activities. </w:t>
      </w:r>
    </w:p>
    <w:p>
      <w:pPr>
        <w:pStyle w:val=""/>
      </w:pPr>
      <w:r>
        <w:rPr>
          <w:rFonts w:ascii="" w:hAnsi="" w:cs="" w:eastAsia=""/>
          <w:b w:val="false"/>
          <w:i w:val="false"/>
          <w:color w:val=""/>
        </w:rPr>
        <w:t/>
      </w:r>
    </w:p>
    <w:p>
      <w:pPr>
        <w:pStyle w:val=""/>
      </w:pPr>
      <w:r>
        <w:rPr>
          <w:rFonts w:ascii="" w:hAnsi="" w:cs="" w:eastAsia=""/>
          <w:b w:val="false"/>
          <w:i w:val="false"/>
          <w:color w:val=""/>
        </w:rPr>
        <w:t>In the remaining 1  instance of the 168 records, MA-C's Clinical Oversight and Support Specialist used data entered by the EIS program into EICS to determine that the child did not leave the jurisdiction before LEA notification could be sent; she also determined that the child had notification sent to the LEA and SEA, although late, as demonstrated by transition data entered by the EIS program into EICS. Next, MA-C's Clinical Oversight and Support Specialists queried the EICS for the one EIS program with compliance rates below 100%. For this EIS program, she sampled 10 child records at random using subsequent transition planning data entered by the EIS programs and determined 100% compliance for all the programs (i.e., notification for potentially eligible children was sent within the required timeframe). Because these instances of noncompliance were corrected prior to detection and the programs' ongoing compliance was verified using updated data, no formal findings were issued. Instead, the Clinical Oversight and Support Specialist emailed the one EIS program who had reported untimely notification to the LEA to remind them of the regulatory requirement and offer training and technical assistance to sustain compliance.</w:t>
      </w:r>
    </w:p>
    <w:p w14:paraId="0A1E9D0D" w14:textId="77777777" w:rsidR="008D36D9" w:rsidRDefault="008D36D9" w:rsidP="00DE12DF">
      <w:pPr>
        <w:spacing w:after="0"/>
        <w:textAlignment w:val="baseline"/>
        <w:rPr>
          <w:rFonts w:eastAsia="Times New Roman" w:cs="Arial"/>
          <w:b/>
          <w:bCs/>
          <w:szCs w:val="16"/>
        </w:rPr>
      </w:pPr>
    </w:p>
    <w:p w14:paraId="6AA8B2EF" w14:textId="79F6BF87" w:rsidR="00DE12DF" w:rsidRPr="007D0769" w:rsidRDefault="00DE12DF" w:rsidP="00DE12DF">
      <w:pPr>
        <w:spacing w:after="0"/>
        <w:textAlignment w:val="baseline"/>
        <w:rPr>
          <w:rFonts w:eastAsia="Times New Roman" w:cs="Arial"/>
          <w:b/>
          <w:bCs/>
          <w:szCs w:val="16"/>
        </w:rPr>
      </w:pPr>
      <w:r w:rsidRPr="007D0769">
        <w:rPr>
          <w:rFonts w:eastAsia="Times New Roman" w:cs="Arial"/>
          <w:b/>
          <w:bCs/>
          <w:szCs w:val="16"/>
        </w:rPr>
        <w:t>Indicator 8C. The percentage of toddlers with disabilities exiting Part C with timely transition planning for whom the Lead Agency has:</w:t>
      </w:r>
    </w:p>
    <w:p w14:paraId="64E56DD6"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C.  Conducted the transition conference held with the approval of the family at least 90 days (and, at the discretion of all parties, not more than nine months) prior to the toddler’s third birthday for toddlers potentially eligible for Part B preschool services. (20 U.S.C. 1416(a)(3)(B) and 1442)</w:t>
      </w:r>
      <w:r w:rsidRPr="007D0769">
        <w:rPr>
          <w:rFonts w:eastAsia="Times New Roman" w:cs="Arial"/>
          <w:szCs w:val="16"/>
        </w:rPr>
        <w:t> </w:t>
      </w:r>
    </w:p>
    <w:p w14:paraId="1B6DF746" w14:textId="7315638B"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Findings of Noncompliance Identified in FFY 2023</w:t>
      </w:r>
    </w:p>
    <w:tbl>
      <w:tblPr>
        <w:tblStyle w:val="TableGrid"/>
        <w:tblW w:w="0" w:type="auto"/>
        <w:tblLayout w:type="fixed"/>
        <w:tblLook w:val="04A0" w:firstRow="1" w:lastRow="0" w:firstColumn="1" w:lastColumn="0" w:noHBand="0" w:noVBand="1"/>
        <w:tblCaption w:val="C12FONC08C"/>
      </w:tblPr>
      <w:tblGrid>
        <w:gridCol w:w="2158"/>
        <w:gridCol w:w="2158"/>
        <w:gridCol w:w="2158"/>
        <w:gridCol w:w="2158"/>
        <w:gridCol w:w="2158"/>
      </w:tblGrid>
      <w:tr w:rsidR="00DE12DF" w:rsidRPr="007D0769" w14:paraId="2DA24872" w14:textId="77777777" w:rsidTr="00EC51AB">
        <w:trPr>
          <w:trHeight w:val="360"/>
          <w:tblHeader/>
        </w:trPr>
        <w:tc>
          <w:tcPr>
            <w:tcW w:w="2158" w:type="dxa"/>
          </w:tcPr>
          <w:p w14:paraId="66BB65F3" w14:textId="54622D3F"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158" w:type="dxa"/>
          </w:tcPr>
          <w:p w14:paraId="2CCA6EA7" w14:textId="556EA06E" w:rsidR="00DE12DF" w:rsidRPr="007D0769" w:rsidRDefault="00DE12DF" w:rsidP="00727602">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58" w:type="dxa"/>
          </w:tcPr>
          <w:p w14:paraId="47320BEF" w14:textId="71653D6D"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19F3A42" w14:textId="53F28278"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2D338C83" w14:textId="198429CF" w:rsidR="00DE12DF" w:rsidRPr="007D0769" w:rsidRDefault="00DE12DF" w:rsidP="00727602">
            <w:pPr>
              <w:jc w:val="center"/>
              <w:textAlignment w:val="baseline"/>
              <w:rPr>
                <w:rFonts w:eastAsia="Calibri" w:cs="Arial"/>
                <w:b/>
                <w:szCs w:val="16"/>
              </w:rPr>
            </w:pPr>
            <w:r w:rsidRPr="00755D89">
              <w:rPr>
                <w:rFonts w:eastAsia="Times New Roman" w:cs="Arial"/>
                <w:b/>
                <w:bCs/>
                <w:szCs w:val="16"/>
              </w:rPr>
              <w:t>Column D: # of written findings of noncompliance from Columns A and B for which correction was not completed or timely corrected</w:t>
            </w:r>
          </w:p>
        </w:tc>
      </w:tr>
      <w:tr w:rsidR="00DE12DF" w:rsidRPr="00755D89" w14:paraId="73A6D33E" w14:textId="77777777" w:rsidTr="00EC51AB">
        <w:trPr>
          <w:trHeight w:val="360"/>
          <w:tblHeader/>
        </w:trPr>
        <w:tc>
          <w:tcPr>
            <w:tcW w:w="2158" w:type="dxa"/>
          </w:tcPr>
          <w:p w14:paraId="45C2027F" w14:textId="38C26324" w:rsidR="00DE12DF" w:rsidRPr="007D0769" w:rsidRDefault="00DE12DF">
            <w:pPr>
              <w:jc w:val="center"/>
              <w:textAlignment w:val="baseline"/>
              <w:rPr>
                <w:rFonts w:eastAsia="Times New Roman" w:cs="Arial"/>
                <w:b/>
                <w:bCs/>
                <w:szCs w:val="16"/>
              </w:rPr>
            </w:pPr>
            <w:r w:rsidRPr="00ED172B">
              <w:rPr>
                <w:rFonts w:cs="Arial"/>
                <w:color w:val="000000" w:themeColor="text1"/>
                <w:szCs w:val="16"/>
              </w:rPr>
              <w:t>1</w:t>
            </w:r>
          </w:p>
        </w:tc>
        <w:tc>
          <w:tcPr>
            <w:tcW w:w="2158" w:type="dxa"/>
          </w:tcPr>
          <w:p w14:paraId="3EE6AE1C" w14:textId="36F83000" w:rsidR="00DE12DF" w:rsidRPr="007D0769" w:rsidRDefault="00DE12DF">
            <w:pPr>
              <w:ind w:left="45" w:right="77"/>
              <w:jc w:val="center"/>
              <w:textAlignment w:val="baseline"/>
              <w:rPr>
                <w:rFonts w:eastAsia="Times New Roman" w:cs="Arial"/>
                <w:b/>
                <w:bCs/>
                <w:szCs w:val="16"/>
              </w:rPr>
            </w:pPr>
            <w:r>
              <w:rPr>
                <w:rFonts w:eastAsia="Times New Roman" w:cs="Arial"/>
                <w:szCs w:val="16"/>
              </w:rPr>
              <w:t>0</w:t>
            </w:r>
          </w:p>
        </w:tc>
        <w:tc>
          <w:tcPr>
            <w:tcW w:w="2158" w:type="dxa"/>
          </w:tcPr>
          <w:p w14:paraId="32B23832" w14:textId="4B3504BF" w:rsidR="00DE12DF" w:rsidRPr="007D0769" w:rsidRDefault="00DE12DF" w:rsidP="00C52090">
            <w:pPr>
              <w:jc w:val="center"/>
              <w:textAlignment w:val="baseline"/>
              <w:rPr>
                <w:rFonts w:eastAsia="Times New Roman" w:cs="Arial"/>
                <w:b/>
                <w:bCs/>
                <w:szCs w:val="16"/>
              </w:rPr>
            </w:pPr>
            <w:r w:rsidRPr="00ED172B">
              <w:rPr>
                <w:rFonts w:cs="Arial"/>
                <w:color w:val="000000" w:themeColor="text1"/>
                <w:szCs w:val="16"/>
              </w:rPr>
              <w:t>1</w:t>
            </w:r>
          </w:p>
        </w:tc>
        <w:tc>
          <w:tcPr>
            <w:tcW w:w="2158" w:type="dxa"/>
          </w:tcPr>
          <w:p w14:paraId="7A22AFB3" w14:textId="763F65D1" w:rsidR="00DE12DF" w:rsidRPr="007D0769" w:rsidRDefault="00DE12DF">
            <w:pPr>
              <w:jc w:val="center"/>
              <w:textAlignment w:val="baseline"/>
              <w:rPr>
                <w:rFonts w:eastAsia="Times New Roman" w:cs="Arial"/>
                <w:b/>
                <w:bCs/>
                <w:szCs w:val="16"/>
              </w:rPr>
            </w:pPr>
            <w:r>
              <w:rPr>
                <w:rFonts w:eastAsia="Times New Roman" w:cs="Arial"/>
                <w:szCs w:val="16"/>
              </w:rPr>
              <w:t>0</w:t>
            </w:r>
          </w:p>
        </w:tc>
        <w:tc>
          <w:tcPr>
            <w:tcW w:w="2158" w:type="dxa"/>
          </w:tcPr>
          <w:p w14:paraId="1FBB688E" w14:textId="3E1297A6" w:rsidR="00DE12DF" w:rsidRPr="00755D89" w:rsidRDefault="00DE12DF">
            <w:pPr>
              <w:jc w:val="center"/>
              <w:textAlignment w:val="baseline"/>
              <w:rPr>
                <w:rFonts w:eastAsia="Times New Roman" w:cs="Arial"/>
                <w:szCs w:val="16"/>
              </w:rPr>
            </w:pPr>
            <w:r w:rsidRPr="00755D89">
              <w:rPr>
                <w:rFonts w:eastAsia="Times New Roman" w:cs="Arial"/>
                <w:szCs w:val="16"/>
              </w:rPr>
              <w:t>0</w:t>
            </w:r>
          </w:p>
        </w:tc>
      </w:tr>
    </w:tbl>
    <w:p w14:paraId="42899D8F" w14:textId="77777777" w:rsidR="00641B02" w:rsidRDefault="00641B02" w:rsidP="004650EA">
      <w:pPr>
        <w:keepNext/>
        <w:spacing w:after="0"/>
        <w:rPr>
          <w:rFonts w:eastAsia="Times New Roman" w:cs="Arial"/>
          <w:b/>
          <w:szCs w:val="16"/>
        </w:rPr>
      </w:pPr>
    </w:p>
    <w:p w14:paraId="260E6FC2" w14:textId="100D6DF0" w:rsidR="004650EA" w:rsidRDefault="004650EA" w:rsidP="004650EA">
      <w:pPr>
        <w:keepNext/>
        <w:spacing w:after="0"/>
        <w:rPr>
          <w:rFonts w:eastAsia="Times New Roman" w:cs="Arial"/>
          <w:b/>
          <w:szCs w:val="16"/>
        </w:rPr>
      </w:pPr>
      <w:r w:rsidRPr="00757561">
        <w:rPr>
          <w:rFonts w:eastAsia="Times New Roman" w:cs="Arial"/>
          <w:b/>
          <w:szCs w:val="16"/>
        </w:rPr>
        <w:t>Please explain the source (e.g., State monitoring, State database/data system, dispute resolution, fiscal, related requirements, etc.) of any additional findings reported in Column B.).</w:t>
      </w:r>
    </w:p>
    <w:p w14:paraId="12E23CD9" w14:textId="6E3F38B9" w:rsidR="004650EA" w:rsidRPr="00FF3A04" w:rsidRDefault="004650EA" w:rsidP="004650EA">
      <w:pPr>
        <w:keepNext/>
        <w:spacing w:after="0"/>
        <w:rPr>
          <w:rFonts w:eastAsia="Times New Roman" w:cs="Arial"/>
          <w:bCs/>
          <w:szCs w:val="16"/>
        </w:rPr>
      </w:pPr>
      <w:r>
        <w:rPr>
          <w:rFonts w:eastAsia="Times New Roman" w:cs="Arial"/>
          <w:bCs/>
          <w:szCs w:val="16"/>
        </w:rPr>
        <w:t>During federal fiscal year 2024 (FFY24; July 1, 2024- June 30, 2025), the Lead Agency (MA-C) did not report any additional findings related to Indicator 8C (i.e., in column B in the table above).</w:t>
      </w:r>
    </w:p>
    <w:p w14:paraId="3A4FCA61" w14:textId="77777777" w:rsidR="00E918FF" w:rsidRPr="007D0769" w:rsidRDefault="00E918FF" w:rsidP="00E918FF">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261FDCF9" w14:textId="4BB82076" w:rsidR="00DE12DF" w:rsidRDefault="00DE12DF" w:rsidP="00DE12DF">
      <w:pPr>
        <w:rPr>
          <w:rFonts w:eastAsia="Calibri" w:cs="Arial"/>
          <w:szCs w:val="16"/>
        </w:rPr>
      </w:pPr>
      <w:r>
        <w:rPr>
          <w:rFonts w:eastAsia="Calibri" w:cs="Arial"/>
          <w:szCs w:val="16"/>
        </w:rPr>
        <w:t>The Lead Agency (MA-C) reported one finding related to Indicator 8C. MA-C verified that early intervention services (EIS) programs were correctly implementing the regulatory requirements (i.e., holding a transition conference at least 90 days prior to the toddler’s third birthday)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transition data entered by the EIS provider to the child's third birthdate. When the latency is less than or equal to 90 days, the record is considered compliant. When the latency exceeds 90 days, the record is considered noncompliant.</w:t>
      </w:r>
    </w:p>
    <w:p>
      <w:pPr>
        <w:pStyle w:val=""/>
      </w:pPr>
      <w:r>
        <w:rPr>
          <w:rFonts w:ascii="" w:hAnsi="" w:cs="" w:eastAsia=""/>
          <w:b w:val="false"/>
          <w:i w:val="false"/>
          <w:color w:val=""/>
        </w:rPr>
        <w:t/>
      </w:r>
    </w:p>
    <w:p>
      <w:pPr>
        <w:pStyle w:val=""/>
      </w:pPr>
      <w:r>
        <w:rPr>
          <w:rFonts w:ascii="" w:hAnsi="" w:cs="" w:eastAsia=""/>
          <w:b w:val="false"/>
          <w:i w:val="false"/>
          <w:color w:val=""/>
        </w:rPr>
        <w:t>Additionally, MA-C reviews EIS program performance for Indicator 8C on a quarterly basis. The purpose of these quarterly reviews is to identify potential data entry errors, noncompliance, and evaluate the EIS programs' implementation of the regulatory requirement consistent with Part C of IDEA.</w:t>
      </w:r>
    </w:p>
    <w:p>
      <w:pPr>
        <w:pStyle w:val=""/>
      </w:pPr>
      <w:r>
        <w:rPr>
          <w:rFonts w:ascii="" w:hAnsi="" w:cs="" w:eastAsia=""/>
          <w:b w:val="false"/>
          <w:i w:val="false"/>
          <w:color w:val=""/>
        </w:rPr>
        <w:t/>
      </w:r>
    </w:p>
    <w:p>
      <w:pPr>
        <w:pStyle w:val=""/>
      </w:pPr>
      <w:r>
        <w:rPr>
          <w:rFonts w:ascii="" w:hAnsi="" w:cs="" w:eastAsia=""/>
          <w:b w:val="false"/>
          <w:i w:val="false"/>
          <w:color w:val=""/>
        </w:rPr>
        <w:t>During federal fiscal year 2023 (FFY23; July 1, 2023-June 30, 2024), MA-C made one findings of noncompliance. During federal fiscal year 2024 (FFY24; July 1, 2024-June 30, 2025), MA-C notified the one EIS program in writing of the noncompliance. The one EIS program was determined not to have systemic noncompliance and was placed on corrective action plans. The corrective action plan requires the EIS program director to complete a root-cause analysis with MA-C's Clinical Oversight and Support Specialist before identifying actionable next steps to implementing Part C of the IDEA consistent with the regulatory requirements. While the corrective action plan is being implemented, the EIS program director meets weekly with the Clinical Oversight and Support Specialist to review their progress, provide technical assistance on revisions of the EIS program's policies and procedures, and answer questions about the regulatory requirements. After an EIS program director believes their program is demonstrating 100% compliance, the Clinical Oversight and Support Specialist selects 10 to 20 child records at random to verify ongoing compliance.</w:t>
      </w:r>
    </w:p>
    <w:p w14:paraId="2F6CF674" w14:textId="77777777" w:rsidR="00DE12DF" w:rsidRPr="007D0769" w:rsidRDefault="00DE12DF" w:rsidP="00DE12DF">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02378A40" w14:textId="5C7FEED7" w:rsidR="00DE12DF" w:rsidRDefault="00DE12DF" w:rsidP="00DE12DF">
      <w:pPr>
        <w:rPr>
          <w:rFonts w:eastAsia="Calibri" w:cs="Arial"/>
          <w:szCs w:val="16"/>
        </w:rPr>
      </w:pPr>
      <w:r>
        <w:rPr>
          <w:rFonts w:eastAsia="Calibri" w:cs="Arial"/>
          <w:szCs w:val="16"/>
        </w:rPr>
        <w:t xml:space="preserve">MA-C verified that all seven children determined as having received their transition conference, although late, unless the child was no longer in MA-C's jurisdiction. </w:t>
      </w:r>
    </w:p>
    <w:p>
      <w:pPr>
        <w:pStyle w:val=""/>
      </w:pPr>
      <w:r>
        <w:rPr>
          <w:rFonts w:ascii="" w:hAnsi="" w:cs="" w:eastAsia=""/>
          <w:b w:val="false"/>
          <w:i w:val="false"/>
          <w:color w:val=""/>
        </w:rPr>
        <w:t/>
      </w:r>
    </w:p>
    <w:p>
      <w:pPr>
        <w:pStyle w:val=""/>
      </w:pPr>
      <w:r>
        <w:rPr>
          <w:rFonts w:ascii="" w:hAnsi="" w:cs="" w:eastAsia=""/>
          <w:b w:val="false"/>
          <w:i w:val="false"/>
          <w:color w:val=""/>
        </w:rPr>
        <w:t>Upon detecting the noncompliance, the Clinical Oversight and Support Specialist queried the state database (Early Intervention Client System; EICS) to review the children's individual records. Using data entered by early intervention services (EIS) programs into EICS, the Clinical Oversight and Support Specialist determined that one of the seven children left the jurisdiction before a transition conference could occur. The remaining six of the seven children had a transition conference provided late, as demonstrated by service-level data entered by the EIS programs into EICS.</w:t>
      </w:r>
    </w:p>
    <w:p w14:paraId="328AC45F" w14:textId="77777777" w:rsidR="00DE12DF" w:rsidRPr="007D0769" w:rsidRDefault="00DE12DF" w:rsidP="00DE12DF">
      <w:pPr>
        <w:spacing w:after="0"/>
        <w:textAlignment w:val="baseline"/>
        <w:rPr>
          <w:rFonts w:eastAsia="Times New Roman" w:cs="Arial"/>
          <w:b/>
          <w:bCs/>
          <w:szCs w:val="16"/>
        </w:rPr>
      </w:pPr>
    </w:p>
    <w:p w14:paraId="5F66EECD" w14:textId="0A6FF551" w:rsidR="00DE12DF" w:rsidRDefault="00DE12DF" w:rsidP="00DE12DF">
      <w:pPr>
        <w:rPr>
          <w:rFonts w:eastAsia="Calibri" w:cs="Arial"/>
          <w:b/>
          <w:i/>
          <w:iCs/>
          <w:szCs w:val="16"/>
        </w:rPr>
      </w:pPr>
      <w:r>
        <w:rPr>
          <w:rFonts w:eastAsia="Calibri" w:cs="Arial"/>
          <w:b/>
          <w:i/>
          <w:iCs/>
          <w:szCs w:val="16"/>
        </w:rPr>
        <w:t xml:space="preserve">Optional for FFY 2024, and 2025: </w:t>
      </w:r>
    </w:p>
    <w:p w14:paraId="0AE408B1" w14:textId="77777777" w:rsidR="00DE12DF" w:rsidRPr="00E1308A" w:rsidRDefault="00DE12DF" w:rsidP="00DE12DF">
      <w:pPr>
        <w:rPr>
          <w:rFonts w:eastAsia="Calibri" w:cs="Arial"/>
          <w:b/>
          <w:i/>
          <w:iCs/>
          <w:szCs w:val="16"/>
        </w:rPr>
      </w:pPr>
      <w:r>
        <w:rPr>
          <w:rFonts w:eastAsia="Calibri" w:cs="Arial"/>
          <w:b/>
          <w:i/>
          <w:iCs/>
          <w:szCs w:val="16"/>
        </w:rPr>
        <w:t xml:space="preserve">Other Areas - All other findings: States may report here on all other findings of noncompliance that were not reported under the compliance indicators listed above (e.g., Results indicators (including related requirements), Fiscal, Dispute Resolution, etc.). </w:t>
      </w:r>
    </w:p>
    <w:p w14:paraId="692E1616" w14:textId="77777777" w:rsidR="00DE12DF" w:rsidRDefault="00DE12DF" w:rsidP="00DE12DF">
      <w:pPr>
        <w:rPr>
          <w:rFonts w:eastAsia="Calibri" w:cs="Arial"/>
          <w:b/>
          <w:i/>
          <w:iCs/>
          <w:szCs w:val="16"/>
        </w:rPr>
      </w:pPr>
    </w:p>
    <w:tbl>
      <w:tblPr>
        <w:tblStyle w:val="TableGrid"/>
        <w:tblW w:w="8725" w:type="dxa"/>
        <w:tblLayout w:type="fixed"/>
        <w:tblLook w:val="04A0" w:firstRow="1" w:lastRow="0" w:firstColumn="1" w:lastColumn="0" w:noHBand="0" w:noVBand="1"/>
        <w:tblCaption w:val="C12FONOTH"/>
      </w:tblPr>
      <w:tblGrid>
        <w:gridCol w:w="2682"/>
        <w:gridCol w:w="2983"/>
        <w:gridCol w:w="3060"/>
      </w:tblGrid>
      <w:tr w:rsidR="00DE12DF" w:rsidRPr="007D0769" w14:paraId="3C17FBCD" w14:textId="77777777" w:rsidTr="00EC51AB">
        <w:trPr>
          <w:trHeight w:val="360"/>
          <w:tblHeader/>
        </w:trPr>
        <w:tc>
          <w:tcPr>
            <w:tcW w:w="2682" w:type="dxa"/>
          </w:tcPr>
          <w:p w14:paraId="5D8D762D" w14:textId="08B91E9E" w:rsidR="00DE12DF" w:rsidRPr="007D0769" w:rsidRDefault="00DE12DF" w:rsidP="00727602">
            <w:pPr>
              <w:jc w:val="center"/>
              <w:textAlignment w:val="baseline"/>
              <w:rPr>
                <w:rFonts w:eastAsia="Calibri" w:cs="Arial"/>
                <w:b/>
                <w:szCs w:val="16"/>
              </w:rPr>
            </w:pPr>
            <w:r w:rsidRPr="007D0769">
              <w:rPr>
                <w:rFonts w:eastAsia="Times New Roman" w:cs="Arial"/>
                <w:b/>
                <w:bCs/>
                <w:szCs w:val="16"/>
              </w:rPr>
              <w:lastRenderedPageBreak/>
              <w:t>Column B:</w:t>
            </w:r>
            <w:r w:rsidRPr="007D0769">
              <w:rPr>
                <w:rFonts w:eastAsia="Times New Roman" w:cs="Arial"/>
                <w:szCs w:val="16"/>
              </w:rPr>
              <w:t> </w:t>
            </w:r>
            <w:r w:rsidRPr="007D0769">
              <w:rPr>
                <w:rFonts w:eastAsia="Times New Roman" w:cs="Arial"/>
                <w:b/>
                <w:bCs/>
                <w:szCs w:val="16"/>
              </w:rPr>
              <w:t xml:space="preserve"># of written findings of noncompliance identified in FFY </w:t>
            </w:r>
            <w:r w:rsidR="00A54A87">
              <w:rPr>
                <w:rFonts w:eastAsia="Times New Roman" w:cs="Arial"/>
                <w:b/>
                <w:bCs/>
                <w:szCs w:val="16"/>
              </w:rPr>
              <w:t>2023</w:t>
            </w:r>
            <w:r w:rsidRPr="007D0769">
              <w:rPr>
                <w:rFonts w:eastAsia="Times New Roman" w:cs="Arial"/>
                <w:b/>
                <w:bCs/>
                <w:szCs w:val="16"/>
              </w:rPr>
              <w:t xml:space="preserve"> (</w:t>
            </w:r>
            <w:r w:rsidR="00A54A87">
              <w:rPr>
                <w:rFonts w:eastAsia="Times New Roman" w:cs="Arial"/>
                <w:b/>
                <w:bCs/>
                <w:szCs w:val="16"/>
              </w:rPr>
              <w:t>7/1/23</w:t>
            </w:r>
            <w:r w:rsidRPr="007D0769">
              <w:rPr>
                <w:rFonts w:eastAsia="Times New Roman" w:cs="Arial"/>
                <w:b/>
                <w:bCs/>
                <w:szCs w:val="16"/>
              </w:rPr>
              <w:t xml:space="preserve"> </w:t>
            </w:r>
            <w:r w:rsidRPr="007D0769">
              <w:rPr>
                <w:rFonts w:eastAsia="Times New Roman" w:cs="Arial"/>
                <w:szCs w:val="16"/>
              </w:rPr>
              <w:t>–</w:t>
            </w:r>
            <w:r w:rsidRPr="007D0769">
              <w:rPr>
                <w:rFonts w:eastAsia="Times New Roman" w:cs="Arial"/>
                <w:b/>
                <w:bCs/>
                <w:szCs w:val="16"/>
              </w:rPr>
              <w:t xml:space="preserve"> </w:t>
            </w:r>
            <w:r w:rsidR="00A54A87">
              <w:rPr>
                <w:rFonts w:eastAsia="Times New Roman" w:cs="Arial"/>
                <w:b/>
                <w:bCs/>
                <w:szCs w:val="16"/>
              </w:rPr>
              <w:t>6/30/24</w:t>
            </w:r>
            <w:r w:rsidRPr="007D0769">
              <w:rPr>
                <w:rFonts w:eastAsia="Times New Roman" w:cs="Arial"/>
                <w:b/>
                <w:bCs/>
                <w:szCs w:val="16"/>
              </w:rPr>
              <w:t>)</w:t>
            </w:r>
          </w:p>
        </w:tc>
        <w:tc>
          <w:tcPr>
            <w:tcW w:w="2983" w:type="dxa"/>
          </w:tcPr>
          <w:p w14:paraId="48F1B599" w14:textId="2EC240A9" w:rsidR="00DE12DF" w:rsidRPr="007D0769" w:rsidRDefault="00DE12DF" w:rsidP="00727602">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060" w:type="dxa"/>
          </w:tcPr>
          <w:p w14:paraId="0C83EC96" w14:textId="7DD75CF9" w:rsidR="00DE12DF" w:rsidRPr="007D0769" w:rsidRDefault="00DE12DF" w:rsidP="00727602">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EE04D0">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DE12DF" w:rsidRPr="007D0769" w14:paraId="4B3A4D39" w14:textId="77777777" w:rsidTr="00EC51AB">
        <w:trPr>
          <w:trHeight w:val="360"/>
          <w:tblHeader/>
        </w:trPr>
        <w:tc>
          <w:tcPr>
            <w:tcW w:w="2682" w:type="dxa"/>
          </w:tcPr>
          <w:p w14:paraId="7F23C1FC" w14:textId="751A6433" w:rsidR="00DE12DF" w:rsidRPr="007D0769" w:rsidRDefault="00D45B4A">
            <w:pPr>
              <w:jc w:val="center"/>
              <w:textAlignment w:val="baseline"/>
              <w:rPr>
                <w:rFonts w:eastAsia="Times New Roman" w:cs="Arial"/>
                <w:b/>
                <w:bCs/>
                <w:szCs w:val="16"/>
              </w:rPr>
            </w:pPr>
            <w:r w:rsidRPr="00ED172B">
              <w:rPr>
                <w:rFonts w:cs="Arial"/>
                <w:color w:val="000000" w:themeColor="text1"/>
                <w:szCs w:val="16"/>
              </w:rPr>
              <w:t/>
            </w:r>
          </w:p>
        </w:tc>
        <w:tc>
          <w:tcPr>
            <w:tcW w:w="2983" w:type="dxa"/>
          </w:tcPr>
          <w:p w14:paraId="19D5CA93" w14:textId="67D86C2D" w:rsidR="00DE12DF" w:rsidRPr="007D0769" w:rsidRDefault="00D45B4A">
            <w:pPr>
              <w:jc w:val="center"/>
              <w:textAlignment w:val="baseline"/>
              <w:rPr>
                <w:rFonts w:eastAsia="Times New Roman" w:cs="Arial"/>
                <w:b/>
                <w:bCs/>
                <w:szCs w:val="16"/>
              </w:rPr>
            </w:pPr>
            <w:r w:rsidRPr="00ED172B">
              <w:rPr>
                <w:rFonts w:cs="Arial"/>
                <w:color w:val="000000" w:themeColor="text1"/>
                <w:szCs w:val="16"/>
              </w:rPr>
              <w:t/>
            </w:r>
          </w:p>
        </w:tc>
        <w:tc>
          <w:tcPr>
            <w:tcW w:w="3060" w:type="dxa"/>
          </w:tcPr>
          <w:p w14:paraId="738833DB" w14:textId="3B618AF3" w:rsidR="00DE12DF" w:rsidRPr="00947802" w:rsidRDefault="00D45B4A" w:rsidP="00C35B75">
            <w:pPr>
              <w:jc w:val="center"/>
              <w:textAlignment w:val="baseline"/>
              <w:rPr>
                <w:rFonts w:eastAsia="Times New Roman" w:cs="Arial"/>
                <w:szCs w:val="16"/>
                <w:lang w:val="es-ES"/>
              </w:rPr>
            </w:pPr>
            <w:r w:rsidRPr="00755D89">
              <w:rPr>
                <w:rFonts w:eastAsia="Times New Roman" w:cs="Arial"/>
                <w:szCs w:val="16"/>
              </w:rPr>
              <w:t/>
            </w:r>
          </w:p>
        </w:tc>
      </w:tr>
    </w:tbl>
    <w:p w14:paraId="16B15681" w14:textId="77777777" w:rsidR="00DE12DF" w:rsidRPr="007D0769" w:rsidRDefault="00DE12DF" w:rsidP="00DE12DF">
      <w:pPr>
        <w:rPr>
          <w:rFonts w:eastAsia="Calibri" w:cs="Arial"/>
          <w:b/>
          <w:szCs w:val="16"/>
        </w:rPr>
      </w:pPr>
    </w:p>
    <w:p w14:paraId="2C5061B0" w14:textId="40D8490C" w:rsidR="00DE12DF" w:rsidRDefault="00DA15A3" w:rsidP="00DE12DF">
      <w:pPr>
        <w:rPr>
          <w:rFonts w:eastAsia="Calibri" w:cs="Arial"/>
          <w:b/>
          <w:szCs w:val="16"/>
        </w:rPr>
      </w:pPr>
      <w:r>
        <w:rPr>
          <w:rFonts w:eastAsia="Calibri" w:cs="Arial"/>
          <w:b/>
          <w:szCs w:val="16"/>
        </w:rPr>
        <w:t xml:space="preserve">Please explain the source (e.g., State monitoring, State database/data system, dispute resolution, fiscal, related requirements, etc.) of any findings reported in this section: </w:t>
      </w:r>
    </w:p>
    <w:p w14:paraId="1C58DDDB" w14:textId="240F608B" w:rsidR="00DE12DF" w:rsidRPr="006675B4" w:rsidRDefault="00DE12DF" w:rsidP="00DE12DF">
      <w:pPr>
        <w:rPr>
          <w:rFonts w:eastAsia="Calibri" w:cs="Arial"/>
          <w:bCs/>
          <w:szCs w:val="16"/>
        </w:rPr>
      </w:pPr>
      <w:r w:rsidRPr="006675B4">
        <w:rPr>
          <w:rFonts w:eastAsia="Calibri" w:cs="Arial"/>
          <w:bCs/>
          <w:szCs w:val="16"/>
        </w:rPr>
        <w:t/>
      </w:r>
    </w:p>
    <w:p w14:paraId="3CA696A7" w14:textId="02C3A683" w:rsidR="00DE12DF" w:rsidRPr="00604167" w:rsidRDefault="00DE12DF" w:rsidP="00DE12DF">
      <w:pPr>
        <w:rPr>
          <w:rFonts w:eastAsia="Calibri" w:cs="Arial"/>
          <w:b/>
          <w:szCs w:val="16"/>
        </w:rPr>
      </w:pPr>
      <w:r>
        <w:rPr>
          <w:rFonts w:eastAsia="Calibri" w:cs="Arial"/>
          <w:b/>
          <w:szCs w:val="16"/>
        </w:rPr>
        <w:t xml:space="preserve">Please describe, consistent with OSEP QA 23-01, how the State verified that the </w:t>
      </w:r>
      <w:r w:rsidR="008A1B8D">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 xml:space="preserve">: </w:t>
      </w:r>
    </w:p>
    <w:p w14:paraId="6A4A6772" w14:textId="4005639E" w:rsidR="00DE12DF" w:rsidRPr="006675B4" w:rsidRDefault="00DE12DF" w:rsidP="00DE12DF">
      <w:pPr>
        <w:rPr>
          <w:rFonts w:eastAsia="Calibri" w:cs="Arial"/>
          <w:bCs/>
          <w:szCs w:val="16"/>
        </w:rPr>
      </w:pPr>
      <w:r w:rsidRPr="006675B4">
        <w:rPr>
          <w:rFonts w:eastAsia="Calibri" w:cs="Arial"/>
          <w:bCs/>
          <w:szCs w:val="16"/>
        </w:rPr>
        <w:t/>
      </w:r>
    </w:p>
    <w:p w14:paraId="59014D00" w14:textId="77777777" w:rsidR="00DE12DF" w:rsidRPr="00C35B75" w:rsidRDefault="00DE12DF" w:rsidP="00DE12DF">
      <w:pPr>
        <w:rPr>
          <w:rFonts w:eastAsia="Calibri" w:cs="Arial"/>
          <w:b/>
          <w:szCs w:val="16"/>
        </w:rPr>
      </w:pPr>
      <w:r w:rsidRPr="00C35B75">
        <w:rPr>
          <w:rFonts w:eastAsia="Calibri" w:cs="Arial"/>
          <w:b/>
          <w:szCs w:val="16"/>
        </w:rPr>
        <w:t xml:space="preserve">Please describe, consistent with OSEP QA 23-01, how the State verified that each </w:t>
      </w:r>
      <w:r w:rsidRPr="00C35B75">
        <w:rPr>
          <w:rFonts w:eastAsia="Calibri" w:cs="Arial"/>
          <w:b/>
          <w:i/>
          <w:iCs/>
          <w:szCs w:val="16"/>
        </w:rPr>
        <w:t>individual case</w:t>
      </w:r>
      <w:r w:rsidRPr="00C35B75">
        <w:rPr>
          <w:rFonts w:eastAsia="Calibri" w:cs="Arial"/>
          <w:b/>
          <w:szCs w:val="16"/>
        </w:rPr>
        <w:t xml:space="preserve"> of noncompliance was corrected: </w:t>
      </w:r>
    </w:p>
    <w:p w14:paraId="72585E78" w14:textId="0A754C7F" w:rsidR="00DE12DF" w:rsidRPr="006675B4" w:rsidRDefault="00DE12DF" w:rsidP="00DE12DF">
      <w:pPr>
        <w:rPr>
          <w:rFonts w:eastAsia="Calibri" w:cs="Arial"/>
          <w:bCs/>
          <w:szCs w:val="16"/>
        </w:rPr>
      </w:pPr>
      <w:r w:rsidRPr="006675B4">
        <w:rPr>
          <w:rFonts w:eastAsia="Calibri" w:cs="Arial"/>
          <w:bCs/>
          <w:szCs w:val="16"/>
        </w:rPr>
        <w:t/>
      </w:r>
    </w:p>
    <w:p w14:paraId="6D0B90EA" w14:textId="77777777" w:rsidR="00957496" w:rsidRPr="00C35B75" w:rsidRDefault="00957496" w:rsidP="00DE12DF">
      <w:pPr>
        <w:rPr>
          <w:rFonts w:eastAsia="Calibri" w:cs="Arial"/>
          <w:b/>
          <w:szCs w:val="16"/>
        </w:rPr>
      </w:pPr>
    </w:p>
    <w:p w14:paraId="5E7BFD76" w14:textId="77777777" w:rsidR="00DE12DF" w:rsidRPr="007D0769" w:rsidRDefault="00DE12DF" w:rsidP="00DE12DF">
      <w:pPr>
        <w:rPr>
          <w:rFonts w:eastAsia="Calibri" w:cs="Arial"/>
          <w:b/>
          <w:szCs w:val="16"/>
        </w:rPr>
      </w:pPr>
      <w:r w:rsidRPr="007D0769">
        <w:rPr>
          <w:rFonts w:eastAsia="Calibri" w:cs="Arial"/>
          <w:b/>
          <w:szCs w:val="16"/>
        </w:rPr>
        <w:t xml:space="preserve">Total for All Noncompliance Identified (Indicators 1, 7, 8A, 8B, 8C, and Optional Areas): </w:t>
      </w: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C12FONTOT"/>
      </w:tblPr>
      <w:tblGrid>
        <w:gridCol w:w="2165"/>
        <w:gridCol w:w="2165"/>
        <w:gridCol w:w="2165"/>
        <w:gridCol w:w="2165"/>
        <w:gridCol w:w="2165"/>
      </w:tblGrid>
      <w:tr w:rsidR="00C35B75" w:rsidRPr="007D0769" w14:paraId="6B39DB63" w14:textId="77777777" w:rsidTr="00EC51AB">
        <w:trPr>
          <w:trHeight w:val="360"/>
          <w:tblHeader/>
        </w:trPr>
        <w:tc>
          <w:tcPr>
            <w:tcW w:w="2165" w:type="dxa"/>
          </w:tcPr>
          <w:p w14:paraId="7C74BD30" w14:textId="5C0AB3DB" w:rsidR="00DE12DF" w:rsidRPr="00947802" w:rsidRDefault="00DE12DF" w:rsidP="00727602">
            <w:pPr>
              <w:jc w:val="center"/>
              <w:textAlignment w:val="baseline"/>
              <w:rPr>
                <w:rFonts w:eastAsia="Times New Roman" w:cs="Arial"/>
                <w:b/>
                <w:bCs/>
                <w:szCs w:val="16"/>
              </w:rPr>
            </w:pPr>
            <w:r w:rsidRPr="007D0769">
              <w:rPr>
                <w:rFonts w:eastAsia="Times New Roman" w:cs="Arial"/>
                <w:b/>
                <w:bCs/>
                <w:szCs w:val="16"/>
              </w:rPr>
              <w:t>Column A: # of written findings of noncompliance identified in FFY 2023 (7/1/23 – 6/30/24)</w:t>
            </w:r>
          </w:p>
        </w:tc>
        <w:tc>
          <w:tcPr>
            <w:tcW w:w="2165" w:type="dxa"/>
          </w:tcPr>
          <w:p w14:paraId="57636065" w14:textId="21A2B147" w:rsidR="00DE12DF" w:rsidRPr="007D0769" w:rsidRDefault="00DE12DF" w:rsidP="00727602">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2023 not reported in Column A (e.g., those issued based on other IDEA requirements), if applicable</w:t>
            </w:r>
          </w:p>
        </w:tc>
        <w:tc>
          <w:tcPr>
            <w:tcW w:w="2165" w:type="dxa"/>
          </w:tcPr>
          <w:p w14:paraId="38ED244F" w14:textId="79F4F0BD"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65" w:type="dxa"/>
          </w:tcPr>
          <w:p w14:paraId="3D91A43B" w14:textId="44C4736D" w:rsidR="00DE12DF" w:rsidRPr="007D0769" w:rsidRDefault="00DE12DF" w:rsidP="00727602">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65" w:type="dxa"/>
          </w:tcPr>
          <w:p w14:paraId="618FF86A" w14:textId="3F8D04AC" w:rsidR="00DE12DF" w:rsidRPr="007D0769" w:rsidRDefault="00DE12DF" w:rsidP="00727602">
            <w:pPr>
              <w:jc w:val="center"/>
              <w:textAlignment w:val="baseline"/>
              <w:rPr>
                <w:rFonts w:eastAsia="Times New Roman" w:cs="Arial"/>
                <w:szCs w:val="16"/>
              </w:rPr>
            </w:pPr>
            <w:r w:rsidRPr="00755D89">
              <w:rPr>
                <w:rFonts w:eastAsia="Times New Roman" w:cs="Arial"/>
                <w:b/>
                <w:bCs/>
                <w:szCs w:val="16"/>
              </w:rPr>
              <w:t>Column D:</w:t>
            </w:r>
            <w:r w:rsidRPr="00755D8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35B75" w:rsidRPr="007D0769" w14:paraId="3F8F7CB1" w14:textId="77777777" w:rsidTr="00EC51AB">
        <w:trPr>
          <w:trHeight w:val="360"/>
          <w:tblHeader/>
        </w:trPr>
        <w:tc>
          <w:tcPr>
            <w:tcW w:w="2165" w:type="dxa"/>
            <w:hideMark/>
          </w:tcPr>
          <w:p w14:paraId="25A25FD9" w14:textId="602B0E69"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14</w:t>
            </w:r>
          </w:p>
        </w:tc>
        <w:tc>
          <w:tcPr>
            <w:tcW w:w="2165" w:type="dxa"/>
          </w:tcPr>
          <w:p w14:paraId="6143DD79" w14:textId="33084780"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03945C67" w14:textId="15DD0772" w:rsidR="00DE12DF" w:rsidRPr="00BF1E35" w:rsidRDefault="00C35B75" w:rsidP="00727602">
            <w:pPr>
              <w:jc w:val="center"/>
              <w:textAlignment w:val="baseline"/>
              <w:rPr>
                <w:rFonts w:eastAsia="Times New Roman" w:cs="Arial"/>
                <w:szCs w:val="16"/>
              </w:rPr>
            </w:pPr>
            <w:r w:rsidRPr="00BF1E35">
              <w:rPr>
                <w:rFonts w:cs="Arial"/>
                <w:color w:val="000000" w:themeColor="text1"/>
                <w:szCs w:val="16"/>
              </w:rPr>
              <w:t>14</w:t>
            </w:r>
          </w:p>
        </w:tc>
        <w:tc>
          <w:tcPr>
            <w:tcW w:w="2165" w:type="dxa"/>
          </w:tcPr>
          <w:p w14:paraId="6DA98F0B" w14:textId="00EE25A6"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c>
          <w:tcPr>
            <w:tcW w:w="2165" w:type="dxa"/>
            <w:hideMark/>
          </w:tcPr>
          <w:p w14:paraId="1CE1789B" w14:textId="053B98AC" w:rsidR="00DE12DF" w:rsidRPr="00BF1E35" w:rsidRDefault="00C35B75" w:rsidP="00727602">
            <w:pPr>
              <w:jc w:val="center"/>
              <w:textAlignment w:val="baseline"/>
              <w:rPr>
                <w:rFonts w:eastAsia="Times New Roman" w:cs="Arial"/>
                <w:szCs w:val="16"/>
              </w:rPr>
            </w:pPr>
            <w:r w:rsidRPr="00BF1E35">
              <w:rPr>
                <w:rFonts w:eastAsia="Times New Roman" w:cs="Arial"/>
                <w:szCs w:val="16"/>
              </w:rPr>
              <w:t>0</w:t>
            </w:r>
          </w:p>
        </w:tc>
      </w:tr>
    </w:tbl>
    <w:p w14:paraId="7563F6EA" w14:textId="77777777" w:rsidR="00F35B4D" w:rsidRDefault="00F35B4D" w:rsidP="00DE12DF">
      <w:pPr>
        <w:rPr>
          <w:rFonts w:eastAsia="Times New Roman" w:cs="Arial"/>
          <w:b/>
          <w:bCs/>
          <w:szCs w:val="16"/>
        </w:rPr>
      </w:pPr>
    </w:p>
    <w:p w14:paraId="7B778E7A" w14:textId="7977A6AA" w:rsidR="00DE12DF" w:rsidRPr="007D0769" w:rsidRDefault="00B55430" w:rsidP="00DE12DF">
      <w:pPr>
        <w:rPr>
          <w:rFonts w:eastAsia="Times New Roman" w:cs="Arial"/>
          <w:b/>
          <w:bCs/>
          <w:szCs w:val="16"/>
        </w:rPr>
      </w:pPr>
      <w:r>
        <w:rPr>
          <w:rFonts w:eastAsia="Times New Roman" w:cs="Arial"/>
          <w:b/>
          <w:bCs/>
          <w:szCs w:val="16"/>
        </w:rPr>
        <w:t>FFY 2024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FYAPRDATA"/>
      </w:tblPr>
      <w:tblGrid>
        <w:gridCol w:w="2338"/>
        <w:gridCol w:w="2338"/>
        <w:gridCol w:w="1221"/>
        <w:gridCol w:w="1224"/>
        <w:gridCol w:w="1224"/>
        <w:gridCol w:w="1224"/>
        <w:gridCol w:w="1221"/>
      </w:tblGrid>
      <w:tr w:rsidR="00B55430" w:rsidRPr="007D0769" w14:paraId="368D7EFA" w14:textId="77777777" w:rsidTr="00EC51AB">
        <w:trPr>
          <w:trHeight w:val="360"/>
          <w:tblHeader/>
        </w:trPr>
        <w:tc>
          <w:tcPr>
            <w:tcW w:w="1083" w:type="pct"/>
          </w:tcPr>
          <w:p w14:paraId="34A1C965" w14:textId="1FF91FCA" w:rsidR="00DE12DF" w:rsidRPr="007D0769" w:rsidRDefault="00DE12DF">
            <w:pPr>
              <w:jc w:val="center"/>
              <w:rPr>
                <w:rFonts w:eastAsia="Calibri" w:cs="Arial"/>
                <w:b/>
                <w:szCs w:val="16"/>
              </w:rPr>
            </w:pPr>
            <w:r w:rsidRPr="007D0769">
              <w:rPr>
                <w:rFonts w:eastAsia="Calibri" w:cs="Arial"/>
                <w:b/>
                <w:szCs w:val="16"/>
              </w:rPr>
              <w:t>Number of findings of Noncompliance that were timely corrected</w:t>
            </w:r>
          </w:p>
        </w:tc>
        <w:tc>
          <w:tcPr>
            <w:tcW w:w="1083" w:type="pct"/>
          </w:tcPr>
          <w:p w14:paraId="3DB7F0E6" w14:textId="7E41B899" w:rsidR="00DE12DF" w:rsidRPr="007D0769" w:rsidRDefault="00DE12DF">
            <w:pPr>
              <w:jc w:val="center"/>
              <w:rPr>
                <w:rFonts w:eastAsia="Calibri" w:cs="Arial"/>
                <w:b/>
                <w:szCs w:val="16"/>
              </w:rPr>
            </w:pPr>
            <w:r w:rsidRPr="007D0769">
              <w:rPr>
                <w:rFonts w:eastAsia="Calibri" w:cs="Arial"/>
                <w:b/>
                <w:szCs w:val="16"/>
              </w:rPr>
              <w:t>Number of findings of Noncompliance that were identified in FFY 2023</w:t>
            </w:r>
          </w:p>
        </w:tc>
        <w:tc>
          <w:tcPr>
            <w:tcW w:w="566" w:type="pct"/>
          </w:tcPr>
          <w:p w14:paraId="12E1F63F" w14:textId="3A53B4B4" w:rsidR="00DE12DF" w:rsidRPr="007D0769" w:rsidRDefault="00DE12DF" w:rsidP="00727602">
            <w:pPr>
              <w:jc w:val="center"/>
              <w:rPr>
                <w:rFonts w:eastAsia="Calibri" w:cs="Arial"/>
                <w:b/>
                <w:szCs w:val="16"/>
              </w:rPr>
            </w:pPr>
            <w:r w:rsidRPr="007D0769">
              <w:rPr>
                <w:rFonts w:eastAsia="Calibri" w:cs="Arial"/>
                <w:b/>
                <w:szCs w:val="16"/>
              </w:rPr>
              <w:t>FFY 2023 Data</w:t>
            </w:r>
          </w:p>
        </w:tc>
        <w:tc>
          <w:tcPr>
            <w:tcW w:w="567" w:type="pct"/>
          </w:tcPr>
          <w:p w14:paraId="01B082D1" w14:textId="38481F41" w:rsidR="00DE12DF" w:rsidRPr="007D0769" w:rsidRDefault="00DE12DF">
            <w:pPr>
              <w:jc w:val="center"/>
              <w:rPr>
                <w:rFonts w:eastAsia="Calibri" w:cs="Arial"/>
                <w:b/>
                <w:szCs w:val="16"/>
              </w:rPr>
            </w:pPr>
            <w:r w:rsidRPr="007D0769">
              <w:rPr>
                <w:rFonts w:eastAsia="Calibri" w:cs="Arial"/>
                <w:b/>
                <w:szCs w:val="16"/>
              </w:rPr>
              <w:t>FFY 2024 Target</w:t>
            </w:r>
          </w:p>
        </w:tc>
        <w:tc>
          <w:tcPr>
            <w:tcW w:w="567" w:type="pct"/>
          </w:tcPr>
          <w:p w14:paraId="23B30C3E" w14:textId="41E3CD7D" w:rsidR="00DE12DF" w:rsidRPr="007D0769" w:rsidRDefault="00DE12DF" w:rsidP="00727602">
            <w:pPr>
              <w:jc w:val="center"/>
              <w:rPr>
                <w:rFonts w:eastAsia="Calibri" w:cs="Arial"/>
                <w:b/>
                <w:szCs w:val="16"/>
              </w:rPr>
            </w:pPr>
            <w:r w:rsidRPr="007D0769">
              <w:rPr>
                <w:rFonts w:eastAsia="Calibri" w:cs="Arial"/>
                <w:b/>
                <w:szCs w:val="16"/>
              </w:rPr>
              <w:t>FFY 2024 Data</w:t>
            </w:r>
          </w:p>
        </w:tc>
        <w:tc>
          <w:tcPr>
            <w:tcW w:w="567" w:type="pct"/>
          </w:tcPr>
          <w:p w14:paraId="26E967A3" w14:textId="77777777" w:rsidR="00DE12DF" w:rsidRPr="007D0769" w:rsidRDefault="00DE12DF">
            <w:pPr>
              <w:jc w:val="center"/>
              <w:rPr>
                <w:rFonts w:eastAsia="Calibri" w:cs="Arial"/>
                <w:b/>
                <w:szCs w:val="16"/>
              </w:rPr>
            </w:pPr>
            <w:r w:rsidRPr="007D0769">
              <w:rPr>
                <w:rFonts w:eastAsia="Calibri" w:cs="Arial"/>
                <w:b/>
                <w:szCs w:val="16"/>
              </w:rPr>
              <w:t>Status</w:t>
            </w:r>
          </w:p>
        </w:tc>
        <w:tc>
          <w:tcPr>
            <w:tcW w:w="566" w:type="pct"/>
          </w:tcPr>
          <w:p w14:paraId="6339AC22" w14:textId="77777777" w:rsidR="00DE12DF" w:rsidRPr="007D0769" w:rsidRDefault="00DE12DF">
            <w:pPr>
              <w:jc w:val="center"/>
              <w:rPr>
                <w:rFonts w:eastAsia="Calibri" w:cs="Arial"/>
                <w:b/>
                <w:szCs w:val="16"/>
              </w:rPr>
            </w:pPr>
            <w:r w:rsidRPr="007D0769">
              <w:rPr>
                <w:rFonts w:eastAsia="Calibri" w:cs="Arial"/>
                <w:b/>
                <w:szCs w:val="16"/>
              </w:rPr>
              <w:t>Slippage</w:t>
            </w:r>
          </w:p>
        </w:tc>
      </w:tr>
      <w:tr w:rsidR="00B55430" w:rsidRPr="007D0769" w14:paraId="08846074" w14:textId="77777777" w:rsidTr="00EC51AB">
        <w:trPr>
          <w:trHeight w:val="360"/>
          <w:tblHeader/>
        </w:trPr>
        <w:tc>
          <w:tcPr>
            <w:tcW w:w="1083" w:type="pct"/>
          </w:tcPr>
          <w:p w14:paraId="6D4D0280" w14:textId="291FF24C" w:rsidR="00DE2DFB" w:rsidRPr="007D0769" w:rsidRDefault="00DE2DFB" w:rsidP="00727602">
            <w:pPr>
              <w:jc w:val="center"/>
              <w:rPr>
                <w:rFonts w:eastAsia="Calibri" w:cs="Arial"/>
                <w:iCs/>
                <w:szCs w:val="16"/>
              </w:rPr>
            </w:pPr>
            <w:r>
              <w:rPr>
                <w:rFonts w:cs="Arial"/>
                <w:color w:val="000000" w:themeColor="text1"/>
                <w:szCs w:val="16"/>
              </w:rPr>
              <w:t>14</w:t>
            </w:r>
          </w:p>
        </w:tc>
        <w:tc>
          <w:tcPr>
            <w:tcW w:w="1083" w:type="pct"/>
          </w:tcPr>
          <w:p w14:paraId="3E65E5DB" w14:textId="096446AE" w:rsidR="00DE2DFB" w:rsidRPr="007D0769" w:rsidRDefault="00DE2DFB" w:rsidP="00727602">
            <w:pPr>
              <w:jc w:val="center"/>
              <w:rPr>
                <w:rFonts w:eastAsia="Calibri" w:cs="Arial"/>
                <w:iCs/>
                <w:szCs w:val="16"/>
              </w:rPr>
            </w:pPr>
            <w:r>
              <w:rPr>
                <w:rFonts w:cs="Arial"/>
                <w:color w:val="000000" w:themeColor="text1"/>
                <w:szCs w:val="16"/>
              </w:rPr>
              <w:t>14</w:t>
            </w:r>
          </w:p>
        </w:tc>
        <w:tc>
          <w:tcPr>
            <w:tcW w:w="566" w:type="pct"/>
          </w:tcPr>
          <w:p w14:paraId="662FD80D" w14:textId="4B94E736" w:rsidR="00DE2DFB" w:rsidRPr="007D0769" w:rsidRDefault="00DE2DFB" w:rsidP="00DE2DFB">
            <w:pPr>
              <w:jc w:val="center"/>
              <w:rPr>
                <w:rFonts w:eastAsia="Calibri" w:cs="Arial"/>
                <w:caps/>
                <w:szCs w:val="16"/>
              </w:rPr>
            </w:pPr>
            <w:r w:rsidRPr="00ED172B">
              <w:rPr>
                <w:rFonts w:cs="Arial"/>
                <w:color w:val="000000" w:themeColor="text1"/>
                <w:szCs w:val="16"/>
              </w:rPr>
              <w:t>90.91%</w:t>
            </w:r>
          </w:p>
        </w:tc>
        <w:tc>
          <w:tcPr>
            <w:tcW w:w="567" w:type="pct"/>
          </w:tcPr>
          <w:p w14:paraId="54804E3A" w14:textId="3471F73A" w:rsidR="00DE2DFB" w:rsidRPr="007D0769" w:rsidRDefault="00DE2DFB" w:rsidP="00DE2DFB">
            <w:pPr>
              <w:jc w:val="center"/>
              <w:rPr>
                <w:rFonts w:eastAsia="Calibri" w:cs="Arial"/>
                <w:caps/>
                <w:szCs w:val="16"/>
              </w:rPr>
            </w:pPr>
            <w:r w:rsidRPr="00ED172B">
              <w:rPr>
                <w:color w:val="000000" w:themeColor="text1"/>
                <w:szCs w:val="16"/>
              </w:rPr>
              <w:t>100%</w:t>
            </w:r>
          </w:p>
        </w:tc>
        <w:tc>
          <w:tcPr>
            <w:tcW w:w="567" w:type="pct"/>
          </w:tcPr>
          <w:p w14:paraId="6A140DD4" w14:textId="129A0DC8" w:rsidR="00DE2DFB" w:rsidRPr="007D0769" w:rsidRDefault="00DE2DFB" w:rsidP="00DE2DFB">
            <w:pPr>
              <w:jc w:val="center"/>
              <w:rPr>
                <w:rFonts w:eastAsia="Calibri" w:cs="Arial"/>
                <w:caps/>
                <w:szCs w:val="16"/>
              </w:rPr>
            </w:pPr>
            <w:r w:rsidRPr="00ED172B">
              <w:rPr>
                <w:rFonts w:cs="Arial"/>
                <w:color w:val="000000" w:themeColor="text1"/>
                <w:szCs w:val="16"/>
              </w:rPr>
              <w:t>100.00%</w:t>
            </w:r>
          </w:p>
        </w:tc>
        <w:tc>
          <w:tcPr>
            <w:tcW w:w="567" w:type="pct"/>
          </w:tcPr>
          <w:p w14:paraId="69AEBEDC" w14:textId="53FE332D" w:rsidR="00DE2DFB" w:rsidRPr="007D0769" w:rsidRDefault="00DE2DFB" w:rsidP="00DE2DFB">
            <w:pPr>
              <w:jc w:val="center"/>
              <w:rPr>
                <w:rFonts w:eastAsia="Calibri" w:cs="Arial"/>
                <w:caps/>
                <w:szCs w:val="16"/>
              </w:rPr>
            </w:pPr>
            <w:r w:rsidRPr="00ED172B">
              <w:rPr>
                <w:color w:val="000000" w:themeColor="text1"/>
              </w:rPr>
              <w:t>Met target</w:t>
            </w:r>
          </w:p>
        </w:tc>
        <w:tc>
          <w:tcPr>
            <w:tcW w:w="566" w:type="pct"/>
          </w:tcPr>
          <w:p w14:paraId="08538E3D" w14:textId="720CF5DE" w:rsidR="00DE2DFB" w:rsidRPr="007D0769" w:rsidRDefault="00DE2DFB" w:rsidP="00DE2DFB">
            <w:pPr>
              <w:jc w:val="center"/>
              <w:rPr>
                <w:rFonts w:eastAsia="Calibri" w:cs="Arial"/>
                <w:caps/>
                <w:szCs w:val="16"/>
              </w:rPr>
            </w:pPr>
            <w:r w:rsidRPr="00ED172B">
              <w:rPr>
                <w:color w:val="000000" w:themeColor="text1"/>
              </w:rPr>
              <w:t>No Slippage</w:t>
            </w:r>
          </w:p>
        </w:tc>
      </w:tr>
    </w:tbl>
    <w:p w14:paraId="5974EEA6" w14:textId="6949B283" w:rsidR="00DE12DF" w:rsidRDefault="00DE12DF" w:rsidP="00DE12DF">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2FONNTC"/>
      </w:tblPr>
      <w:tblGrid>
        <w:gridCol w:w="8095"/>
        <w:gridCol w:w="2695"/>
      </w:tblGrid>
      <w:tr w:rsidR="00DE12DF" w:rsidRPr="007D0769" w14:paraId="1BDA54D5" w14:textId="77777777" w:rsidTr="00EC51AB">
        <w:trPr>
          <w:trHeight w:val="720"/>
        </w:trPr>
        <w:tc>
          <w:tcPr>
            <w:tcW w:w="3751" w:type="pct"/>
            <w:vAlign w:val="center"/>
          </w:tcPr>
          <w:p w14:paraId="75F42C18" w14:textId="77777777" w:rsidR="00DE12DF" w:rsidRPr="007D0769" w:rsidRDefault="00DE12DF">
            <w:pPr>
              <w:jc w:val="center"/>
              <w:rPr>
                <w:rFonts w:eastAsia="Calibri" w:cs="Arial"/>
                <w:caps/>
                <w:szCs w:val="16"/>
              </w:rPr>
            </w:pPr>
            <w:r w:rsidRPr="00F471F8">
              <w:rPr>
                <w:rFonts w:eastAsia="Calibri" w:cs="Arial"/>
                <w:iCs/>
                <w:szCs w:val="16"/>
              </w:rPr>
              <w:t>Percent of findings of noncompliance not corrected or not verified as corrected within one year of identification</w:t>
            </w:r>
          </w:p>
        </w:tc>
        <w:tc>
          <w:tcPr>
            <w:tcW w:w="1249" w:type="pct"/>
            <w:vAlign w:val="center"/>
          </w:tcPr>
          <w:p w14:paraId="334C9419" w14:textId="69DEA4D5" w:rsidR="00DE12DF" w:rsidRPr="00727602" w:rsidRDefault="0055390C" w:rsidP="0055390C">
            <w:pPr>
              <w:jc w:val="center"/>
              <w:rPr>
                <w:rFonts w:eastAsia="Calibri" w:cs="Arial"/>
                <w:iCs/>
                <w:szCs w:val="16"/>
              </w:rPr>
            </w:pPr>
            <w:r>
              <w:rPr>
                <w:rFonts w:eastAsia="Calibri" w:cs="Arial"/>
                <w:iCs/>
                <w:szCs w:val="16"/>
              </w:rPr>
              <w:t>0.00%</w:t>
            </w:r>
          </w:p>
        </w:tc>
      </w:tr>
    </w:tbl>
    <w:p w14:paraId="4DFFE92C" w14:textId="77777777" w:rsidR="00DE12DF" w:rsidRPr="00947802" w:rsidRDefault="00DE12DF" w:rsidP="00DE12DF">
      <w:pPr>
        <w:keepNext/>
        <w:spacing w:after="0"/>
        <w:rPr>
          <w:rFonts w:eastAsia="Calibri" w:cs="Arial"/>
          <w:b/>
          <w:szCs w:val="16"/>
        </w:rPr>
      </w:pPr>
      <w:r w:rsidRPr="00947802">
        <w:rPr>
          <w:rFonts w:eastAsia="Calibri" w:cs="Arial"/>
          <w:b/>
          <w:szCs w:val="16"/>
        </w:rPr>
        <w:t>Provide additional information about this indicator (optional)</w:t>
      </w:r>
    </w:p>
    <w:p w14:paraId="00BFCBCF" w14:textId="6F71B63F" w:rsidR="00DE12DF" w:rsidRPr="006675B4" w:rsidRDefault="00DE12DF" w:rsidP="00DE12DF">
      <w:pPr>
        <w:rPr>
          <w:rFonts w:eastAsia="Calibri" w:cs="Arial"/>
          <w:bCs/>
        </w:rPr>
      </w:pPr>
      <w:r w:rsidRPr="006675B4">
        <w:rPr>
          <w:rFonts w:eastAsia="Calibri" w:cs="Arial"/>
          <w:bCs/>
        </w:rPr>
        <w:t/>
      </w:r>
    </w:p>
    <w:p w14:paraId="0FF2C638" w14:textId="77777777" w:rsidR="00DE12DF" w:rsidRPr="00604167" w:rsidRDefault="00DE12DF" w:rsidP="00DE12DF">
      <w:pPr>
        <w:rPr>
          <w:rFonts w:eastAsia="Calibri" w:cs="Arial"/>
          <w:b/>
          <w:szCs w:val="16"/>
        </w:rPr>
      </w:pPr>
    </w:p>
    <w:p w14:paraId="3DC9E2B4" w14:textId="04F926DF" w:rsidR="00DE12DF" w:rsidRPr="007D0769" w:rsidRDefault="00DE12DF" w:rsidP="00DE12DF">
      <w:pPr>
        <w:rPr>
          <w:rFonts w:eastAsia="Times New Roman" w:cs="Arial"/>
          <w:b/>
          <w:bCs/>
          <w:szCs w:val="16"/>
        </w:rPr>
      </w:pPr>
      <w:r w:rsidRPr="007D0769">
        <w:rPr>
          <w:rFonts w:eastAsia="Times New Roman" w:cs="Arial"/>
          <w:b/>
          <w:bCs/>
          <w:szCs w:val="16"/>
        </w:rPr>
        <w:t>Summary of Findings of Noncompliance identified in FFY 2023 Corrected in FFY 2024 (corrected within one year from identification of the noncompliance):</w:t>
      </w:r>
    </w:p>
    <w:tbl>
      <w:tblPr>
        <w:tblW w:w="10759"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TCSUMMARY"/>
      </w:tblPr>
      <w:tblGrid>
        <w:gridCol w:w="6750"/>
        <w:gridCol w:w="4009"/>
      </w:tblGrid>
      <w:tr w:rsidR="00F90937" w:rsidRPr="007D0769" w14:paraId="5F0015DF"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050AF241" w14:textId="33772B95" w:rsidR="00DE12DF" w:rsidRPr="007D0769" w:rsidRDefault="00DE12DF" w:rsidP="00727602">
            <w:pPr>
              <w:textAlignment w:val="baseline"/>
              <w:rPr>
                <w:rFonts w:eastAsia="Times New Roman" w:cs="Arial"/>
                <w:szCs w:val="16"/>
              </w:rPr>
            </w:pPr>
            <w:r w:rsidRPr="007D0769">
              <w:rPr>
                <w:rFonts w:eastAsia="Times New Roman" w:cs="Arial"/>
                <w:szCs w:val="16"/>
              </w:rPr>
              <w:t xml:space="preserve">1. Number of findings of noncompliance the State identified during FFY 2023 (the period from July 1, 2023 through June 30, 2024). </w:t>
            </w:r>
          </w:p>
        </w:tc>
        <w:tc>
          <w:tcPr>
            <w:tcW w:w="4009" w:type="dxa"/>
            <w:tcBorders>
              <w:top w:val="single" w:sz="6" w:space="0" w:color="auto"/>
              <w:left w:val="single" w:sz="6" w:space="0" w:color="auto"/>
              <w:bottom w:val="single" w:sz="6" w:space="0" w:color="auto"/>
              <w:right w:val="single" w:sz="6" w:space="0" w:color="auto"/>
            </w:tcBorders>
            <w:vAlign w:val="center"/>
          </w:tcPr>
          <w:p w14:paraId="0FFC5972" w14:textId="591CF621" w:rsidR="00DE12DF" w:rsidRPr="007D0769" w:rsidRDefault="0055390C" w:rsidP="00727602">
            <w:pPr>
              <w:jc w:val="center"/>
              <w:textAlignment w:val="baseline"/>
              <w:rPr>
                <w:rFonts w:eastAsia="Times New Roman" w:cs="Arial"/>
                <w:szCs w:val="16"/>
              </w:rPr>
            </w:pPr>
            <w:r>
              <w:rPr>
                <w:rFonts w:eastAsia="Times New Roman" w:cs="Arial"/>
                <w:szCs w:val="16"/>
              </w:rPr>
              <w:t>14</w:t>
            </w:r>
          </w:p>
        </w:tc>
      </w:tr>
      <w:tr w:rsidR="00F90937" w:rsidRPr="007D0769" w14:paraId="3A8E6B5C" w14:textId="77777777" w:rsidTr="00EC51AB">
        <w:trPr>
          <w:trHeight w:val="360"/>
        </w:trPr>
        <w:tc>
          <w:tcPr>
            <w:tcW w:w="6750" w:type="dxa"/>
            <w:tcBorders>
              <w:top w:val="single" w:sz="6" w:space="0" w:color="auto"/>
              <w:left w:val="single" w:sz="6" w:space="0" w:color="auto"/>
              <w:bottom w:val="single" w:sz="6" w:space="0" w:color="auto"/>
              <w:right w:val="single" w:sz="6" w:space="0" w:color="auto"/>
            </w:tcBorders>
            <w:hideMark/>
          </w:tcPr>
          <w:p w14:paraId="2153F357" w14:textId="2782CE73" w:rsidR="00DE12DF" w:rsidRPr="007D0769" w:rsidRDefault="00DE12DF" w:rsidP="00727602">
            <w:pPr>
              <w:textAlignment w:val="baseline"/>
              <w:rPr>
                <w:rFonts w:eastAsia="Times New Roman" w:cs="Arial"/>
                <w:szCs w:val="16"/>
              </w:rPr>
            </w:pPr>
            <w:r w:rsidRPr="007D0769">
              <w:rPr>
                <w:rFonts w:eastAsia="Times New Roman" w:cs="Arial"/>
                <w:szCs w:val="16"/>
              </w:rPr>
              <w:t xml:space="preserve">2. Number of findings the State verified as timely corrected (corrected within one year from the date of written notification to the EIS program/provider of the finding) </w:t>
            </w:r>
          </w:p>
        </w:tc>
        <w:tc>
          <w:tcPr>
            <w:tcW w:w="4009" w:type="dxa"/>
            <w:tcBorders>
              <w:top w:val="single" w:sz="6" w:space="0" w:color="auto"/>
              <w:left w:val="single" w:sz="6" w:space="0" w:color="auto"/>
              <w:bottom w:val="single" w:sz="6" w:space="0" w:color="000000"/>
              <w:right w:val="single" w:sz="6" w:space="0" w:color="auto"/>
            </w:tcBorders>
            <w:vAlign w:val="center"/>
          </w:tcPr>
          <w:p w14:paraId="2CAB1697" w14:textId="29E98100" w:rsidR="00DE12DF" w:rsidRPr="007D0769" w:rsidRDefault="0055390C" w:rsidP="00727602">
            <w:pPr>
              <w:jc w:val="center"/>
              <w:textAlignment w:val="baseline"/>
              <w:rPr>
                <w:rFonts w:eastAsia="Times New Roman" w:cs="Arial"/>
                <w:szCs w:val="16"/>
              </w:rPr>
            </w:pPr>
            <w:r>
              <w:rPr>
                <w:rFonts w:eastAsia="Times New Roman" w:cs="Arial"/>
                <w:szCs w:val="16"/>
              </w:rPr>
              <w:t>14</w:t>
            </w:r>
          </w:p>
        </w:tc>
      </w:tr>
      <w:tr w:rsidR="00F90937" w:rsidRPr="007D0769" w14:paraId="449EB656" w14:textId="77777777" w:rsidTr="00EC51AB">
        <w:trPr>
          <w:trHeight w:val="360"/>
        </w:trPr>
        <w:tc>
          <w:tcPr>
            <w:tcW w:w="6750" w:type="dxa"/>
            <w:tcBorders>
              <w:top w:val="single" w:sz="6" w:space="0" w:color="auto"/>
              <w:left w:val="single" w:sz="6" w:space="0" w:color="auto"/>
              <w:bottom w:val="single" w:sz="6" w:space="0" w:color="000000"/>
              <w:right w:val="single" w:sz="6" w:space="0" w:color="auto"/>
            </w:tcBorders>
            <w:hideMark/>
          </w:tcPr>
          <w:p w14:paraId="04B96D5C"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3. Number of findings </w:t>
            </w:r>
            <w:r w:rsidRPr="007D0769">
              <w:rPr>
                <w:rFonts w:eastAsia="Times New Roman" w:cs="Arial"/>
                <w:szCs w:val="16"/>
                <w:u w:val="single"/>
              </w:rPr>
              <w:t>not</w:t>
            </w:r>
            <w:r w:rsidRPr="007D0769">
              <w:rPr>
                <w:rFonts w:eastAsia="Times New Roman" w:cs="Arial"/>
                <w:szCs w:val="16"/>
              </w:rPr>
              <w:t xml:space="preserve"> verified as corrected within one year </w:t>
            </w:r>
          </w:p>
        </w:tc>
        <w:tc>
          <w:tcPr>
            <w:tcW w:w="4009" w:type="dxa"/>
            <w:tcBorders>
              <w:top w:val="single" w:sz="6" w:space="0" w:color="auto"/>
              <w:left w:val="single" w:sz="6" w:space="0" w:color="auto"/>
              <w:bottom w:val="single" w:sz="6" w:space="0" w:color="000000"/>
              <w:right w:val="single" w:sz="6" w:space="0" w:color="auto"/>
            </w:tcBorders>
            <w:vAlign w:val="center"/>
          </w:tcPr>
          <w:p w14:paraId="50E6E2FC" w14:textId="005A0512" w:rsidR="00DE12DF" w:rsidRPr="007D0769" w:rsidRDefault="0055390C" w:rsidP="00727602">
            <w:pPr>
              <w:jc w:val="center"/>
              <w:textAlignment w:val="baseline"/>
              <w:rPr>
                <w:rFonts w:eastAsia="Times New Roman" w:cs="Arial"/>
                <w:szCs w:val="16"/>
              </w:rPr>
            </w:pPr>
            <w:r>
              <w:rPr>
                <w:rFonts w:eastAsia="Times New Roman" w:cs="Arial"/>
                <w:szCs w:val="16"/>
              </w:rPr>
              <w:t>0</w:t>
            </w:r>
          </w:p>
        </w:tc>
      </w:tr>
    </w:tbl>
    <w:p w14:paraId="17C5E473" w14:textId="07C1F65C" w:rsidR="00DE12DF" w:rsidRPr="007D0769" w:rsidRDefault="00DE12DF" w:rsidP="00DE12DF">
      <w:pPr>
        <w:spacing w:after="0"/>
        <w:jc w:val="both"/>
        <w:textAlignment w:val="baseline"/>
        <w:rPr>
          <w:rFonts w:eastAsia="Times New Roman" w:cs="Arial"/>
          <w:szCs w:val="16"/>
        </w:rPr>
      </w:pPr>
    </w:p>
    <w:p w14:paraId="1DD9D623" w14:textId="2673093A" w:rsidR="00DE12DF" w:rsidRPr="007D0769" w:rsidRDefault="00DE12DF" w:rsidP="00DE12DF">
      <w:pPr>
        <w:rPr>
          <w:rFonts w:eastAsia="Times New Roman" w:cs="Arial"/>
          <w:b/>
          <w:bCs/>
          <w:szCs w:val="16"/>
        </w:rPr>
      </w:pPr>
      <w:r w:rsidRPr="007D0769">
        <w:rPr>
          <w:rFonts w:eastAsia="Times New Roman" w:cs="Arial"/>
          <w:b/>
          <w:bCs/>
          <w:szCs w:val="16"/>
        </w:rPr>
        <w:t>Subsequent Correction: Summary of All Outstanding Findings of Noncompliance identified in FFY 2023 Not Timely Corrected in FFY 2024 (corrected more than one year from identification of the noncompliance):  </w:t>
      </w:r>
    </w:p>
    <w:tbl>
      <w:tblPr>
        <w:tblW w:w="10718" w:type="dxa"/>
        <w:tblInd w:w="-8"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firstRow="1" w:lastRow="0" w:firstColumn="1" w:lastColumn="0" w:noHBand="0" w:noVBand="1"/>
        <w:tblCaption w:val="C12FONSC"/>
      </w:tblPr>
      <w:tblGrid>
        <w:gridCol w:w="6546"/>
        <w:gridCol w:w="4172"/>
      </w:tblGrid>
      <w:tr w:rsidR="006E5DBC" w:rsidRPr="007D0769" w14:paraId="44912275"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48F8C5B2" w14:textId="77777777" w:rsidR="00DE12DF" w:rsidRPr="007D0769" w:rsidRDefault="00DE12DF" w:rsidP="00727602">
            <w:pPr>
              <w:textAlignment w:val="baseline"/>
              <w:rPr>
                <w:rFonts w:eastAsia="Times New Roman" w:cs="Arial"/>
                <w:szCs w:val="16"/>
              </w:rPr>
            </w:pPr>
            <w:r w:rsidRPr="007D0769">
              <w:rPr>
                <w:rFonts w:eastAsia="Times New Roman" w:cs="Arial"/>
                <w:szCs w:val="16"/>
              </w:rPr>
              <w:t xml:space="preserve">4. Number of findings of noncompliance not timely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0AC5145C" w14:textId="2B3ACAA9"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6E5DBC" w:rsidRPr="007D0769" w14:paraId="69EE1084"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hideMark/>
          </w:tcPr>
          <w:p w14:paraId="439FDEC0" w14:textId="77DFEAFB" w:rsidR="00DE12DF" w:rsidRPr="007D0769" w:rsidRDefault="00DE12DF" w:rsidP="00727602">
            <w:pPr>
              <w:textAlignment w:val="baseline"/>
              <w:rPr>
                <w:rFonts w:eastAsia="Times New Roman" w:cs="Arial"/>
                <w:szCs w:val="16"/>
              </w:rPr>
            </w:pPr>
            <w:r w:rsidRPr="007D0769">
              <w:rPr>
                <w:rFonts w:eastAsia="Times New Roman" w:cs="Arial"/>
                <w:szCs w:val="16"/>
              </w:rPr>
              <w:lastRenderedPageBreak/>
              <w:t>5. Number of written findings of noncompliance (Col. A) the State has verified as corrected beyond the one-year timeline ("subsequent correction") - as reported in Indicator 1, 7, 8A, 8B, 8C</w:t>
            </w:r>
          </w:p>
        </w:tc>
        <w:tc>
          <w:tcPr>
            <w:tcW w:w="4172" w:type="dxa"/>
            <w:tcBorders>
              <w:top w:val="single" w:sz="6" w:space="0" w:color="auto"/>
              <w:left w:val="single" w:sz="6" w:space="0" w:color="auto"/>
              <w:bottom w:val="single" w:sz="6" w:space="0" w:color="000000"/>
              <w:right w:val="single" w:sz="6" w:space="0" w:color="auto"/>
            </w:tcBorders>
            <w:vAlign w:val="center"/>
          </w:tcPr>
          <w:p w14:paraId="6731509A" w14:textId="6970D8FA" w:rsidR="00DE12DF" w:rsidRPr="007D0769" w:rsidRDefault="006E5DBC" w:rsidP="00727602">
            <w:pPr>
              <w:jc w:val="center"/>
              <w:textAlignment w:val="baseline"/>
              <w:rPr>
                <w:rFonts w:eastAsia="Times New Roman" w:cs="Arial"/>
                <w:szCs w:val="16"/>
              </w:rPr>
            </w:pPr>
            <w:r>
              <w:rPr>
                <w:rFonts w:eastAsia="Times New Roman" w:cs="Arial"/>
                <w:szCs w:val="16"/>
              </w:rPr>
              <w:t>0</w:t>
            </w:r>
          </w:p>
        </w:tc>
      </w:tr>
      <w:tr w:rsidR="00A95B74" w:rsidRPr="007D0769" w14:paraId="4AE28AA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75E493C6" w14:textId="77BE02D3" w:rsidR="00A95B74" w:rsidRPr="007D0769" w:rsidRDefault="00A95B74" w:rsidP="00A95B74">
            <w:pPr>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1</w:t>
            </w:r>
          </w:p>
        </w:tc>
        <w:tc>
          <w:tcPr>
            <w:tcW w:w="4172" w:type="dxa"/>
            <w:tcBorders>
              <w:top w:val="single" w:sz="6" w:space="0" w:color="auto"/>
              <w:left w:val="single" w:sz="6" w:space="0" w:color="auto"/>
              <w:bottom w:val="single" w:sz="6" w:space="0" w:color="000000"/>
              <w:right w:val="single" w:sz="6" w:space="0" w:color="auto"/>
            </w:tcBorders>
            <w:vAlign w:val="center"/>
          </w:tcPr>
          <w:p w14:paraId="5D06045F" w14:textId="5BDDFB65" w:rsidR="00A95B74" w:rsidRPr="00A95B74" w:rsidRDefault="00A95B74" w:rsidP="00A95B74">
            <w:pPr>
              <w:jc w:val="center"/>
              <w:textAlignment w:val="baseline"/>
              <w:rPr>
                <w:rFonts w:cs="Arial"/>
                <w:color w:val="00B0F0"/>
                <w:szCs w:val="16"/>
              </w:rPr>
            </w:pPr>
            <w:r w:rsidRPr="00EC51AB">
              <w:rPr>
                <w:rFonts w:cs="Arial"/>
                <w:szCs w:val="16"/>
              </w:rPr>
              <w:t/>
            </w:r>
          </w:p>
        </w:tc>
      </w:tr>
      <w:tr w:rsidR="00A95B74" w:rsidRPr="007D0769" w14:paraId="013BC180"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61F0B0BD" w14:textId="2B5E41ED" w:rsidR="00A95B74" w:rsidRPr="007D0769" w:rsidRDefault="00A95B74" w:rsidP="00A95B74">
            <w:pPr>
              <w:textAlignment w:val="baseline"/>
              <w:rPr>
                <w:rFonts w:eastAsia="Times New Roman" w:cs="Arial"/>
                <w:szCs w:val="16"/>
              </w:rPr>
            </w:pPr>
            <w:r w:rsidRPr="00DD1AE0">
              <w:rPr>
                <w:rFonts w:eastAsia="Times New Roman" w:cs="Arial"/>
                <w:szCs w:val="16"/>
              </w:rPr>
              <w:t>6b. Number of additional written findings of noncompliance (Col. B) the state has verified as corrected beyond the one-year timeline (“subsequent correction”) - Indicator 7</w:t>
            </w:r>
          </w:p>
        </w:tc>
        <w:tc>
          <w:tcPr>
            <w:tcW w:w="4172" w:type="dxa"/>
            <w:tcBorders>
              <w:top w:val="single" w:sz="6" w:space="0" w:color="auto"/>
              <w:left w:val="single" w:sz="6" w:space="0" w:color="auto"/>
              <w:bottom w:val="single" w:sz="6" w:space="0" w:color="000000"/>
              <w:right w:val="single" w:sz="6" w:space="0" w:color="auto"/>
            </w:tcBorders>
            <w:vAlign w:val="center"/>
          </w:tcPr>
          <w:p w14:paraId="69B93539" w14:textId="719BA7DC" w:rsidR="00A95B74" w:rsidRPr="00EC51AB" w:rsidRDefault="00A95B74" w:rsidP="00A95B74">
            <w:pPr>
              <w:jc w:val="center"/>
              <w:textAlignment w:val="baseline"/>
              <w:rPr>
                <w:rFonts w:cs="Arial"/>
                <w:szCs w:val="16"/>
              </w:rPr>
            </w:pPr>
            <w:r w:rsidRPr="00EC51AB">
              <w:rPr>
                <w:rFonts w:cs="Arial"/>
                <w:szCs w:val="16"/>
              </w:rPr>
              <w:t/>
            </w:r>
          </w:p>
        </w:tc>
      </w:tr>
      <w:tr w:rsidR="00A95B74" w:rsidRPr="007D0769" w14:paraId="7A092AD6"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6CCDC90D" w14:textId="34156EA6" w:rsidR="00A95B74" w:rsidRPr="007D0769" w:rsidRDefault="00A95B74" w:rsidP="00A95B74">
            <w:pPr>
              <w:textAlignment w:val="baseline"/>
              <w:rPr>
                <w:rFonts w:eastAsia="Times New Roman" w:cs="Arial"/>
                <w:szCs w:val="16"/>
              </w:rPr>
            </w:pPr>
            <w:r w:rsidRPr="00DD1AE0">
              <w:rPr>
                <w:rFonts w:eastAsia="Times New Roman" w:cs="Arial"/>
                <w:szCs w:val="16"/>
              </w:rPr>
              <w:t>6c. Number of additional written findings of noncompliance (Col. B) the state has verified as corrected beyond the one-year timeline (“subsequent correction”) - Indicator 8A</w:t>
            </w:r>
          </w:p>
        </w:tc>
        <w:tc>
          <w:tcPr>
            <w:tcW w:w="4172" w:type="dxa"/>
            <w:tcBorders>
              <w:top w:val="single" w:sz="6" w:space="0" w:color="auto"/>
              <w:left w:val="single" w:sz="6" w:space="0" w:color="auto"/>
              <w:bottom w:val="single" w:sz="6" w:space="0" w:color="000000"/>
              <w:right w:val="single" w:sz="6" w:space="0" w:color="auto"/>
            </w:tcBorders>
            <w:vAlign w:val="center"/>
          </w:tcPr>
          <w:p w14:paraId="2DA6FB73" w14:textId="2A6368DD" w:rsidR="00A95B74" w:rsidRPr="00EC51AB" w:rsidRDefault="00A95B74" w:rsidP="00A95B74">
            <w:pPr>
              <w:jc w:val="center"/>
              <w:textAlignment w:val="baseline"/>
              <w:rPr>
                <w:rFonts w:cs="Arial"/>
                <w:szCs w:val="16"/>
              </w:rPr>
            </w:pPr>
            <w:r w:rsidRPr="00EC51AB">
              <w:rPr>
                <w:rFonts w:cs="Arial"/>
                <w:szCs w:val="16"/>
              </w:rPr>
              <w:t/>
            </w:r>
          </w:p>
        </w:tc>
      </w:tr>
      <w:tr w:rsidR="00A95B74" w:rsidRPr="007D0769" w14:paraId="7DAAFCA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4CBD5F8F" w14:textId="7EF14C0F" w:rsidR="00A95B74" w:rsidRPr="007D0769" w:rsidRDefault="00A95B74" w:rsidP="00A95B74">
            <w:pPr>
              <w:textAlignment w:val="baseline"/>
              <w:rPr>
                <w:rFonts w:eastAsia="Times New Roman" w:cs="Arial"/>
                <w:szCs w:val="16"/>
              </w:rPr>
            </w:pPr>
            <w:r w:rsidRPr="00DD1AE0">
              <w:rPr>
                <w:rFonts w:eastAsia="Times New Roman" w:cs="Arial"/>
                <w:szCs w:val="16"/>
              </w:rPr>
              <w:t>6d. Number of additional written findings of noncompliance (Col. B) the state has verified as corrected beyond the one-year timeline (“subsequent correction”) - Indicator 8B</w:t>
            </w:r>
          </w:p>
        </w:tc>
        <w:tc>
          <w:tcPr>
            <w:tcW w:w="4172" w:type="dxa"/>
            <w:tcBorders>
              <w:top w:val="single" w:sz="6" w:space="0" w:color="auto"/>
              <w:left w:val="single" w:sz="6" w:space="0" w:color="auto"/>
              <w:bottom w:val="single" w:sz="6" w:space="0" w:color="000000"/>
              <w:right w:val="single" w:sz="6" w:space="0" w:color="auto"/>
            </w:tcBorders>
            <w:vAlign w:val="center"/>
          </w:tcPr>
          <w:p w14:paraId="1807C8B1" w14:textId="1BC96919" w:rsidR="00A95B74" w:rsidRPr="00EC51AB" w:rsidRDefault="00A95B74" w:rsidP="00A95B74">
            <w:pPr>
              <w:jc w:val="center"/>
              <w:textAlignment w:val="baseline"/>
              <w:rPr>
                <w:rFonts w:cs="Arial"/>
                <w:szCs w:val="16"/>
              </w:rPr>
            </w:pPr>
            <w:r w:rsidRPr="00EC51AB">
              <w:rPr>
                <w:rFonts w:cs="Arial"/>
                <w:szCs w:val="16"/>
              </w:rPr>
              <w:t/>
            </w:r>
          </w:p>
        </w:tc>
      </w:tr>
      <w:tr w:rsidR="00A95B74" w:rsidRPr="007D0769" w14:paraId="406B7D6F"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574B84E4" w14:textId="5BA5C384" w:rsidR="00A95B74" w:rsidRPr="007D0769" w:rsidRDefault="00A95B74" w:rsidP="00A95B74">
            <w:pPr>
              <w:textAlignment w:val="baseline"/>
              <w:rPr>
                <w:rFonts w:eastAsia="Times New Roman" w:cs="Arial"/>
                <w:szCs w:val="16"/>
              </w:rPr>
            </w:pPr>
            <w:r w:rsidRPr="00DD1AE0">
              <w:rPr>
                <w:rFonts w:eastAsia="Times New Roman" w:cs="Arial"/>
                <w:szCs w:val="16"/>
              </w:rPr>
              <w:t>6e. Number of additional written findings of noncompliance (Col. B) the state has verified as corrected beyond the one-year timeline (“subsequent correction”) - Indicator 8C</w:t>
            </w:r>
          </w:p>
        </w:tc>
        <w:tc>
          <w:tcPr>
            <w:tcW w:w="4172" w:type="dxa"/>
            <w:tcBorders>
              <w:top w:val="single" w:sz="6" w:space="0" w:color="auto"/>
              <w:left w:val="single" w:sz="6" w:space="0" w:color="auto"/>
              <w:bottom w:val="single" w:sz="6" w:space="0" w:color="000000"/>
              <w:right w:val="single" w:sz="6" w:space="0" w:color="auto"/>
            </w:tcBorders>
            <w:vAlign w:val="center"/>
          </w:tcPr>
          <w:p w14:paraId="0736125F" w14:textId="4034FE21" w:rsidR="00A95B74" w:rsidRPr="00EC51AB" w:rsidRDefault="00A95B74" w:rsidP="00A95B74">
            <w:pPr>
              <w:jc w:val="center"/>
              <w:textAlignment w:val="baseline"/>
              <w:rPr>
                <w:rFonts w:cs="Arial"/>
                <w:szCs w:val="16"/>
              </w:rPr>
            </w:pPr>
            <w:r w:rsidRPr="00EC51AB">
              <w:rPr>
                <w:rFonts w:cs="Arial"/>
                <w:szCs w:val="16"/>
              </w:rPr>
              <w:t/>
            </w:r>
          </w:p>
        </w:tc>
      </w:tr>
      <w:tr w:rsidR="003A2D51" w:rsidRPr="007D0769" w14:paraId="148FD10C" w14:textId="77777777" w:rsidTr="00EC51AB">
        <w:trPr>
          <w:trHeight w:val="369"/>
        </w:trPr>
        <w:tc>
          <w:tcPr>
            <w:tcW w:w="6546" w:type="dxa"/>
            <w:tcBorders>
              <w:top w:val="single" w:sz="6" w:space="0" w:color="auto"/>
              <w:left w:val="single" w:sz="6" w:space="0" w:color="auto"/>
              <w:bottom w:val="single" w:sz="6" w:space="0" w:color="000000"/>
              <w:right w:val="single" w:sz="6" w:space="0" w:color="auto"/>
            </w:tcBorders>
          </w:tcPr>
          <w:p w14:paraId="44D3F1DB" w14:textId="10DC8985" w:rsidR="003A2D51" w:rsidRPr="00DD1AE0" w:rsidRDefault="003A2D51" w:rsidP="003A2D51">
            <w:pPr>
              <w:textAlignment w:val="baseline"/>
              <w:rPr>
                <w:rFonts w:eastAsia="Times New Roman" w:cs="Arial"/>
                <w:szCs w:val="16"/>
              </w:rPr>
            </w:pPr>
            <w:r w:rsidRPr="00DD1AE0">
              <w:rPr>
                <w:rFonts w:eastAsia="Times New Roman" w:cs="Arial"/>
                <w:szCs w:val="16"/>
              </w:rPr>
              <w:t xml:space="preserve">6f. (optional) Number of written findings of noncompliance (Col. B) the state has verified as corrected beyond the one-year timeline (“subsequent correction”) - </w:t>
            </w:r>
            <w:r w:rsidRPr="00DA5B64">
              <w:rPr>
                <w:rFonts w:eastAsia="Calibri" w:cs="Arial"/>
                <w:bCs/>
                <w:szCs w:val="16"/>
              </w:rPr>
              <w:t xml:space="preserve">Other Areas - </w:t>
            </w:r>
            <w:r w:rsidRPr="00DA5B64">
              <w:rPr>
                <w:rFonts w:eastAsia="Calibri" w:cs="Arial"/>
                <w:bCs/>
                <w:szCs w:val="16"/>
                <w:u w:val="single"/>
              </w:rPr>
              <w:t>All other findings</w:t>
            </w:r>
          </w:p>
        </w:tc>
        <w:tc>
          <w:tcPr>
            <w:tcW w:w="4172" w:type="dxa"/>
            <w:tcBorders>
              <w:top w:val="single" w:sz="6" w:space="0" w:color="auto"/>
              <w:left w:val="single" w:sz="6" w:space="0" w:color="auto"/>
              <w:bottom w:val="single" w:sz="6" w:space="0" w:color="000000"/>
              <w:right w:val="single" w:sz="6" w:space="0" w:color="auto"/>
            </w:tcBorders>
            <w:vAlign w:val="center"/>
          </w:tcPr>
          <w:p w14:paraId="11F23960" w14:textId="77946E6F" w:rsidR="003A2D51" w:rsidRPr="00EC51AB" w:rsidRDefault="003A2D51" w:rsidP="003A2D51">
            <w:pPr>
              <w:jc w:val="center"/>
              <w:textAlignment w:val="baseline"/>
              <w:rPr>
                <w:rFonts w:cs="Arial"/>
                <w:szCs w:val="16"/>
              </w:rPr>
            </w:pPr>
            <w:r w:rsidRPr="00EC51AB">
              <w:rPr>
                <w:rFonts w:cs="Arial"/>
                <w:szCs w:val="16"/>
              </w:rPr>
              <w:t/>
            </w:r>
          </w:p>
        </w:tc>
      </w:tr>
      <w:tr w:rsidR="003A2D51" w:rsidRPr="007D0769" w14:paraId="07141246" w14:textId="77777777" w:rsidTr="00E719EB">
        <w:trPr>
          <w:trHeight w:val="369"/>
        </w:trPr>
        <w:tc>
          <w:tcPr>
            <w:tcW w:w="6546" w:type="dxa"/>
            <w:tcBorders>
              <w:top w:val="single" w:sz="6" w:space="0" w:color="auto"/>
              <w:left w:val="single" w:sz="6" w:space="0" w:color="auto"/>
              <w:bottom w:val="single" w:sz="6" w:space="0" w:color="auto"/>
              <w:right w:val="single" w:sz="6" w:space="0" w:color="auto"/>
            </w:tcBorders>
            <w:hideMark/>
          </w:tcPr>
          <w:p w14:paraId="6CFC795C" w14:textId="145D7E3B" w:rsidR="003A2D51" w:rsidRPr="007D0769" w:rsidRDefault="003A2D51" w:rsidP="003A2D51">
            <w:pPr>
              <w:textAlignment w:val="baseline"/>
              <w:rPr>
                <w:rFonts w:eastAsia="Times New Roman" w:cs="Arial"/>
                <w:szCs w:val="16"/>
              </w:rPr>
            </w:pPr>
            <w:r>
              <w:rPr>
                <w:rFonts w:eastAsia="Times New Roman" w:cs="Arial"/>
                <w:szCs w:val="16"/>
              </w:rPr>
              <w:t xml:space="preserve">7. Number of findings </w:t>
            </w:r>
            <w:r w:rsidRPr="007D0769">
              <w:rPr>
                <w:rFonts w:eastAsia="Times New Roman" w:cs="Arial"/>
                <w:szCs w:val="16"/>
                <w:u w:val="single"/>
              </w:rPr>
              <w:t>not</w:t>
            </w:r>
            <w:r w:rsidRPr="007D0769">
              <w:rPr>
                <w:rFonts w:eastAsia="Times New Roman" w:cs="Arial"/>
                <w:szCs w:val="16"/>
              </w:rPr>
              <w:t xml:space="preserve"> yet verified as corrected </w:t>
            </w:r>
          </w:p>
        </w:tc>
        <w:tc>
          <w:tcPr>
            <w:tcW w:w="4172" w:type="dxa"/>
            <w:tcBorders>
              <w:top w:val="single" w:sz="6" w:space="0" w:color="auto"/>
              <w:left w:val="single" w:sz="6" w:space="0" w:color="auto"/>
              <w:bottom w:val="single" w:sz="6" w:space="0" w:color="auto"/>
              <w:right w:val="single" w:sz="6" w:space="0" w:color="auto"/>
            </w:tcBorders>
            <w:vAlign w:val="center"/>
          </w:tcPr>
          <w:p w14:paraId="27498B4B" w14:textId="7E1376D7" w:rsidR="003A2D51" w:rsidRPr="00840417" w:rsidRDefault="003A2D51" w:rsidP="003A2D51">
            <w:pPr>
              <w:jc w:val="center"/>
              <w:textAlignment w:val="baseline"/>
              <w:rPr>
                <w:rFonts w:eastAsia="Times New Roman" w:cs="Arial"/>
                <w:szCs w:val="16"/>
              </w:rPr>
            </w:pPr>
            <w:r w:rsidRPr="00840417">
              <w:rPr>
                <w:rFonts w:eastAsia="Times New Roman" w:cs="Arial"/>
                <w:szCs w:val="16"/>
              </w:rPr>
              <w:t>0</w:t>
            </w:r>
          </w:p>
        </w:tc>
      </w:tr>
    </w:tbl>
    <w:p w14:paraId="5ED14496" w14:textId="171F7A0A" w:rsidR="00DE12DF" w:rsidRPr="007D0769" w:rsidRDefault="00DE12DF" w:rsidP="00DE12DF">
      <w:pPr>
        <w:spacing w:after="0"/>
        <w:ind w:left="15"/>
        <w:textAlignment w:val="baseline"/>
        <w:rPr>
          <w:rFonts w:eastAsia="Times New Roman" w:cs="Arial"/>
          <w:szCs w:val="16"/>
        </w:rPr>
      </w:pPr>
    </w:p>
    <w:p w14:paraId="1D4117B2" w14:textId="77777777" w:rsidR="00DE12DF" w:rsidRPr="007D0769" w:rsidRDefault="00DE12DF" w:rsidP="00DE12DF">
      <w:pPr>
        <w:spacing w:after="0"/>
        <w:textAlignment w:val="baseline"/>
        <w:rPr>
          <w:rFonts w:eastAsia="Times New Roman" w:cs="Arial"/>
          <w:szCs w:val="16"/>
        </w:rPr>
      </w:pPr>
      <w:r w:rsidRPr="007D0769">
        <w:rPr>
          <w:rFonts w:eastAsia="Times New Roman" w:cs="Arial"/>
          <w:b/>
          <w:bCs/>
          <w:szCs w:val="16"/>
        </w:rPr>
        <w:t>Subsequent correction:</w:t>
      </w:r>
      <w:r w:rsidRPr="007D0769">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w:t>
      </w:r>
    </w:p>
    <w:p w14:paraId="6D6F947D" w14:textId="5C6D0B58" w:rsidR="00AC243A" w:rsidRDefault="00DE12DF" w:rsidP="00DE79BF">
      <w:pPr>
        <w:rPr>
          <w:rFonts w:eastAsia="Calibri" w:cs="Arial"/>
          <w:szCs w:val="16"/>
        </w:rPr>
      </w:pPr>
      <w:r>
        <w:rPr>
          <w:rFonts w:eastAsia="Calibri" w:cs="Arial"/>
          <w:szCs w:val="16"/>
        </w:rPr>
        <w:t/>
      </w:r>
    </w:p>
    <w:p w14:paraId="0CD04222" w14:textId="77777777" w:rsidR="0013498C" w:rsidRDefault="0013498C" w:rsidP="00DE79BF">
      <w:pPr>
        <w:rPr>
          <w:rFonts w:eastAsia="Calibri" w:cs="Arial"/>
          <w:szCs w:val="16"/>
        </w:rPr>
      </w:pPr>
    </w:p>
    <w:p w14:paraId="7FA11781" w14:textId="77777777" w:rsidR="001F2D64" w:rsidRPr="00781112" w:rsidRDefault="001F2D64" w:rsidP="001F2D64">
      <w:pPr>
        <w:rPr>
          <w:color w:val="000000" w:themeColor="text1"/>
        </w:rPr>
      </w:pPr>
      <w:r>
        <w:rPr>
          <w:b/>
          <w:color w:val="000000" w:themeColor="text1"/>
        </w:rPr>
        <w:t>Correction of Findings of Noncompliance Identified Prior to FFY 2023</w:t>
      </w:r>
    </w:p>
    <w:tbl>
      <w:tblPr>
        <w:tblStyle w:val="TableGrid"/>
        <w:tblW w:w="5000" w:type="pct"/>
        <w:tblLayout w:type="fixed"/>
        <w:tblLook w:val="04A0" w:firstRow="1" w:lastRow="0" w:firstColumn="1" w:lastColumn="0" w:noHBand="0" w:noVBand="1"/>
        <w:tblCaption w:val="B13PPFFYNCFINDINGS"/>
      </w:tblPr>
      <w:tblGrid>
        <w:gridCol w:w="2697"/>
        <w:gridCol w:w="2697"/>
        <w:gridCol w:w="2698"/>
        <w:gridCol w:w="2698"/>
      </w:tblGrid>
      <w:tr w:rsidR="001F2D64" w:rsidRPr="00781112" w14:paraId="23A9E7A5" w14:textId="77777777" w:rsidTr="00D663A6">
        <w:trPr>
          <w:tblHeader/>
        </w:trPr>
        <w:tc>
          <w:tcPr>
            <w:tcW w:w="1250" w:type="pct"/>
            <w:tcBorders>
              <w:bottom w:val="single" w:sz="4" w:space="0" w:color="auto"/>
            </w:tcBorders>
            <w:vAlign w:val="bottom"/>
          </w:tcPr>
          <w:p w14:paraId="620FAEA4"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250" w:type="pct"/>
            <w:tcBorders>
              <w:bottom w:val="single" w:sz="4" w:space="0" w:color="auto"/>
            </w:tcBorders>
            <w:vAlign w:val="bottom"/>
          </w:tcPr>
          <w:p w14:paraId="0EABB04F" w14:textId="2635BC6E" w:rsidR="001F2D64" w:rsidRPr="00781112" w:rsidRDefault="001F2D64" w:rsidP="00AC640E">
            <w:pPr>
              <w:jc w:val="center"/>
              <w:rPr>
                <w:rFonts w:cs="Arial"/>
                <w:b/>
                <w:color w:val="000000" w:themeColor="text1"/>
                <w:szCs w:val="16"/>
              </w:rPr>
            </w:pPr>
            <w:r>
              <w:rPr>
                <w:rFonts w:cs="Arial"/>
                <w:b/>
                <w:color w:val="000000" w:themeColor="text1"/>
                <w:szCs w:val="16"/>
              </w:rPr>
              <w:t>Findings of Noncompliance Not Yet Verified as Corrected as of FFY 2023 APR</w:t>
            </w:r>
          </w:p>
        </w:tc>
        <w:tc>
          <w:tcPr>
            <w:tcW w:w="1250" w:type="pct"/>
            <w:tcBorders>
              <w:bottom w:val="single" w:sz="4" w:space="0" w:color="auto"/>
            </w:tcBorders>
            <w:vAlign w:val="bottom"/>
          </w:tcPr>
          <w:p w14:paraId="6B977B4C"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50" w:type="pct"/>
            <w:tcBorders>
              <w:bottom w:val="single" w:sz="4" w:space="0" w:color="auto"/>
            </w:tcBorders>
            <w:vAlign w:val="bottom"/>
          </w:tcPr>
          <w:p w14:paraId="2D620015" w14:textId="77777777" w:rsidR="001F2D64" w:rsidRPr="00781112" w:rsidRDefault="001F2D64" w:rsidP="00AC640E">
            <w:pPr>
              <w:jc w:val="center"/>
              <w:rPr>
                <w:rFonts w:cs="Arial"/>
                <w:b/>
                <w:color w:val="000000" w:themeColor="text1"/>
                <w:szCs w:val="16"/>
              </w:rPr>
            </w:pPr>
            <w:r w:rsidRPr="00781112">
              <w:rPr>
                <w:rFonts w:cs="Arial"/>
                <w:b/>
                <w:color w:val="000000" w:themeColor="text1"/>
                <w:szCs w:val="16"/>
              </w:rPr>
              <w:t>Findings Not Yet Verified as Corrected</w:t>
            </w:r>
          </w:p>
        </w:tc>
      </w:tr>
      <w:tr w:rsidR="001F2D64" w:rsidRPr="00781112" w14:paraId="7015B5DD" w14:textId="77777777" w:rsidTr="00D663A6">
        <w:tc>
          <w:tcPr>
            <w:tcW w:w="1250" w:type="pct"/>
          </w:tcPr>
          <w:p w14:paraId="65E27AEC" w14:textId="3555CB2B" w:rsidR="001F2D64" w:rsidRPr="00781112" w:rsidRDefault="001F2D64" w:rsidP="00B24004">
            <w:pPr>
              <w:jc w:val="center"/>
              <w:rPr>
                <w:rFonts w:cs="Arial"/>
                <w:color w:val="000000" w:themeColor="text1"/>
                <w:szCs w:val="16"/>
              </w:rPr>
            </w:pPr>
            <w:r w:rsidRPr="00ED172B">
              <w:rPr>
                <w:rFonts w:cs="Arial"/>
                <w:color w:val="000000" w:themeColor="text1"/>
                <w:szCs w:val="16"/>
              </w:rPr>
              <w:t>FFY 2022</w:t>
            </w:r>
          </w:p>
        </w:tc>
        <w:tc>
          <w:tcPr>
            <w:tcW w:w="1250" w:type="pct"/>
          </w:tcPr>
          <w:p w14:paraId="68B9AE02" w14:textId="0DE2FB06" w:rsidR="001F2D64" w:rsidRPr="00781112" w:rsidRDefault="001F2D64" w:rsidP="00B24004">
            <w:pPr>
              <w:jc w:val="center"/>
              <w:rPr>
                <w:rFonts w:cs="Arial"/>
                <w:color w:val="000000" w:themeColor="text1"/>
                <w:szCs w:val="16"/>
              </w:rPr>
            </w:pPr>
            <w:r w:rsidRPr="00ED172B">
              <w:rPr>
                <w:rFonts w:cs="Arial"/>
                <w:color w:val="000000" w:themeColor="text1"/>
                <w:szCs w:val="16"/>
              </w:rPr>
              <w:t>1</w:t>
            </w:r>
          </w:p>
        </w:tc>
        <w:tc>
          <w:tcPr>
            <w:tcW w:w="1250" w:type="pct"/>
          </w:tcPr>
          <w:p w14:paraId="2D417168" w14:textId="0AB73DEF" w:rsidR="001F2D64" w:rsidRPr="00781112" w:rsidRDefault="001F2D64" w:rsidP="00B24004">
            <w:pPr>
              <w:jc w:val="center"/>
              <w:rPr>
                <w:rFonts w:cs="Arial"/>
                <w:color w:val="000000" w:themeColor="text1"/>
                <w:szCs w:val="16"/>
              </w:rPr>
            </w:pPr>
            <w:r w:rsidRPr="00ED172B">
              <w:rPr>
                <w:rFonts w:cs="Arial"/>
                <w:color w:val="000000" w:themeColor="text1"/>
                <w:szCs w:val="16"/>
              </w:rPr>
              <w:t>1</w:t>
            </w:r>
          </w:p>
        </w:tc>
        <w:tc>
          <w:tcPr>
            <w:tcW w:w="1250" w:type="pct"/>
          </w:tcPr>
          <w:p w14:paraId="44E714CC" w14:textId="768A90F0" w:rsidR="001F2D64" w:rsidRPr="00781112" w:rsidRDefault="001F2D64" w:rsidP="00B24004">
            <w:pPr>
              <w:jc w:val="center"/>
              <w:rPr>
                <w:rFonts w:cs="Arial"/>
                <w:color w:val="000000" w:themeColor="text1"/>
                <w:szCs w:val="16"/>
              </w:rPr>
            </w:pPr>
            <w:r w:rsidRPr="00ED172B">
              <w:rPr>
                <w:rFonts w:cs="Arial"/>
                <w:color w:val="000000" w:themeColor="text1"/>
                <w:szCs w:val="16"/>
              </w:rPr>
              <w:t>0</w:t>
            </w:r>
          </w:p>
        </w:tc>
      </w:tr>
      <w:tr w:rsidR="001F2D64" w:rsidRPr="00781112" w14:paraId="33AB42C8" w14:textId="77777777" w:rsidTr="00D663A6">
        <w:tc>
          <w:tcPr>
            <w:tcW w:w="1250" w:type="pct"/>
          </w:tcPr>
          <w:p w14:paraId="0BEEE4BC" w14:textId="55F540C1"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66C9C71A" w14:textId="77777777" w:rsidR="001F2D64" w:rsidRPr="00781112" w:rsidRDefault="001F2D64" w:rsidP="00AC640E">
            <w:pPr>
              <w:jc w:val="center"/>
              <w:rPr>
                <w:rFonts w:cs="Arial"/>
                <w:noProof/>
                <w:color w:val="000000" w:themeColor="text1"/>
                <w:szCs w:val="16"/>
              </w:rPr>
            </w:pPr>
            <w:r w:rsidRPr="00781112">
              <w:rPr>
                <w:rFonts w:cs="Arial"/>
                <w:color w:val="000000" w:themeColor="text1"/>
                <w:szCs w:val="16"/>
              </w:rPr>
              <w:t/>
            </w:r>
          </w:p>
        </w:tc>
        <w:tc>
          <w:tcPr>
            <w:tcW w:w="1250" w:type="pct"/>
          </w:tcPr>
          <w:p w14:paraId="65E8233C" w14:textId="3CE7443E" w:rsidR="001F2D64" w:rsidRPr="00781112" w:rsidRDefault="001F2D64" w:rsidP="00AC640E">
            <w:pPr>
              <w:jc w:val="center"/>
              <w:rPr>
                <w:rFonts w:cs="Arial"/>
                <w:noProof/>
                <w:color w:val="000000" w:themeColor="text1"/>
                <w:szCs w:val="16"/>
              </w:rPr>
            </w:pPr>
            <w:r w:rsidRPr="00781112">
              <w:rPr>
                <w:rFonts w:cs="Arial"/>
                <w:color w:val="000000" w:themeColor="text1"/>
                <w:szCs w:val="16"/>
              </w:rPr>
              <w:t/>
            </w:r>
          </w:p>
        </w:tc>
        <w:tc>
          <w:tcPr>
            <w:tcW w:w="1250" w:type="pct"/>
          </w:tcPr>
          <w:p w14:paraId="159C9921" w14:textId="77777777" w:rsidR="001F2D64" w:rsidRPr="00781112" w:rsidRDefault="001F2D64" w:rsidP="00AC640E">
            <w:pPr>
              <w:jc w:val="center"/>
              <w:rPr>
                <w:rFonts w:cs="Arial"/>
                <w:noProof/>
                <w:color w:val="000000" w:themeColor="text1"/>
                <w:szCs w:val="16"/>
              </w:rPr>
            </w:pPr>
            <w:r w:rsidRPr="00781112">
              <w:rPr>
                <w:rFonts w:cs="Arial"/>
                <w:color w:val="000000" w:themeColor="text1"/>
                <w:szCs w:val="16"/>
              </w:rPr>
              <w:t/>
            </w:r>
          </w:p>
        </w:tc>
      </w:tr>
      <w:tr w:rsidR="001F2D64" w:rsidRPr="00781112" w14:paraId="4A097BCA" w14:textId="77777777" w:rsidTr="00D663A6">
        <w:tc>
          <w:tcPr>
            <w:tcW w:w="1250" w:type="pct"/>
          </w:tcPr>
          <w:p w14:paraId="4C2DCA8C" w14:textId="357E7B3D"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13C0392D" w14:textId="77777777" w:rsidR="001F2D64" w:rsidRPr="00781112" w:rsidRDefault="001F2D64" w:rsidP="00AC640E">
            <w:pPr>
              <w:jc w:val="center"/>
              <w:rPr>
                <w:rFonts w:cs="Arial"/>
                <w:noProof/>
                <w:color w:val="000000" w:themeColor="text1"/>
                <w:szCs w:val="16"/>
              </w:rPr>
            </w:pPr>
            <w:r w:rsidRPr="00781112">
              <w:rPr>
                <w:rFonts w:cs="Arial"/>
                <w:color w:val="000000" w:themeColor="text1"/>
                <w:szCs w:val="16"/>
              </w:rPr>
              <w:t/>
            </w:r>
          </w:p>
        </w:tc>
        <w:tc>
          <w:tcPr>
            <w:tcW w:w="1250" w:type="pct"/>
          </w:tcPr>
          <w:p w14:paraId="505E1E6E" w14:textId="0F31DE83" w:rsidR="001F2D64" w:rsidRPr="00781112" w:rsidRDefault="001F2D64" w:rsidP="00AC640E">
            <w:pPr>
              <w:jc w:val="center"/>
              <w:rPr>
                <w:rFonts w:cs="Arial"/>
                <w:noProof/>
                <w:color w:val="000000" w:themeColor="text1"/>
                <w:szCs w:val="16"/>
              </w:rPr>
            </w:pPr>
            <w:r w:rsidRPr="00781112">
              <w:rPr>
                <w:rFonts w:cs="Arial"/>
                <w:color w:val="000000" w:themeColor="text1"/>
                <w:szCs w:val="16"/>
              </w:rPr>
              <w:t/>
            </w:r>
          </w:p>
        </w:tc>
        <w:tc>
          <w:tcPr>
            <w:tcW w:w="1250" w:type="pct"/>
          </w:tcPr>
          <w:p w14:paraId="45C24CCF" w14:textId="77777777" w:rsidR="001F2D64" w:rsidRPr="00781112" w:rsidRDefault="001F2D64" w:rsidP="00AC640E">
            <w:pPr>
              <w:jc w:val="center"/>
              <w:rPr>
                <w:rFonts w:cs="Arial"/>
                <w:noProof/>
                <w:color w:val="000000" w:themeColor="text1"/>
                <w:szCs w:val="16"/>
              </w:rPr>
            </w:pPr>
            <w:r w:rsidRPr="00781112">
              <w:rPr>
                <w:rFonts w:cs="Arial"/>
                <w:color w:val="000000" w:themeColor="text1"/>
                <w:szCs w:val="16"/>
              </w:rPr>
              <w:t/>
            </w:r>
          </w:p>
        </w:tc>
      </w:tr>
      <w:tr w:rsidR="001F2D64" w:rsidRPr="00781112" w14:paraId="5D48D253" w14:textId="77777777" w:rsidTr="00D663A6">
        <w:tc>
          <w:tcPr>
            <w:tcW w:w="1250" w:type="pct"/>
          </w:tcPr>
          <w:p w14:paraId="68DEBF02" w14:textId="2AA94EFF"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4452ACA2" w14:textId="77777777"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32B594D3" w14:textId="0731EEDB"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7B1B318C" w14:textId="77777777"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r>
      <w:tr w:rsidR="001F2D64" w:rsidRPr="00781112" w14:paraId="7642B9FF" w14:textId="77777777" w:rsidTr="00D663A6">
        <w:tc>
          <w:tcPr>
            <w:tcW w:w="1250" w:type="pct"/>
          </w:tcPr>
          <w:p w14:paraId="4DB9ADC4" w14:textId="07F95C5D"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674C1C75" w14:textId="77777777"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6DEC8FB0" w14:textId="21A501EE"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c>
          <w:tcPr>
            <w:tcW w:w="1250" w:type="pct"/>
          </w:tcPr>
          <w:p w14:paraId="27515551" w14:textId="77777777" w:rsidR="001F2D64" w:rsidRPr="00781112" w:rsidRDefault="001F2D64" w:rsidP="00AC640E">
            <w:pPr>
              <w:jc w:val="center"/>
              <w:rPr>
                <w:rFonts w:cs="Arial"/>
                <w:color w:val="000000" w:themeColor="text1"/>
                <w:szCs w:val="16"/>
              </w:rPr>
            </w:pPr>
            <w:r w:rsidRPr="00781112">
              <w:rPr>
                <w:rFonts w:cs="Arial"/>
                <w:color w:val="000000" w:themeColor="text1"/>
                <w:szCs w:val="16"/>
              </w:rPr>
              <w:t/>
            </w:r>
          </w:p>
        </w:tc>
      </w:tr>
    </w:tbl>
    <w:p w14:paraId="3A091156" w14:textId="77777777" w:rsidR="001F2D64" w:rsidRPr="006E4396" w:rsidRDefault="001F2D64" w:rsidP="001F2D64">
      <w:pPr>
        <w:rPr>
          <w:rFonts w:cs="Arial"/>
          <w:b/>
          <w:bCs/>
          <w:color w:val="000000" w:themeColor="text1"/>
          <w:szCs w:val="16"/>
        </w:rPr>
      </w:pPr>
      <w:r w:rsidRPr="006E4396">
        <w:rPr>
          <w:rFonts w:cs="Arial"/>
          <w:b/>
          <w:bCs/>
          <w:color w:val="000000" w:themeColor="text1"/>
          <w:szCs w:val="16"/>
        </w:rPr>
        <w:t>FFY 2022</w:t>
      </w:r>
    </w:p>
    <w:p w14:paraId="08EAD09C" w14:textId="77777777" w:rsidR="001F2D64" w:rsidRPr="00781112" w:rsidRDefault="001F2D64" w:rsidP="001F2D64">
      <w:pPr>
        <w:rPr>
          <w:color w:val="000000" w:themeColor="text1"/>
        </w:rPr>
      </w:pPr>
      <w:r w:rsidRPr="00781112">
        <w:rPr>
          <w:b/>
          <w:color w:val="000000" w:themeColor="text1"/>
        </w:rPr>
        <w:t>Findings of Noncompliance Verified as Corrected</w:t>
      </w:r>
    </w:p>
    <w:p w14:paraId="3351A546" w14:textId="77777777" w:rsidR="001F2D64" w:rsidRPr="007D0769" w:rsidRDefault="001F2D64" w:rsidP="001F2D64">
      <w:pPr>
        <w:keepNext/>
        <w:spacing w:after="0"/>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7D0769">
        <w:rPr>
          <w:rFonts w:eastAsia="Times New Roman" w:cs="Arial"/>
          <w:b/>
          <w:i/>
          <w:iCs/>
          <w:szCs w:val="16"/>
        </w:rPr>
        <w:t xml:space="preserve"> </w:t>
      </w:r>
      <w:r w:rsidRPr="007D0769">
        <w:rPr>
          <w:rFonts w:eastAsia="Times New Roman" w:cs="Arial"/>
          <w:b/>
          <w:szCs w:val="16"/>
        </w:rPr>
        <w:t xml:space="preserve">based on </w:t>
      </w:r>
      <w:r w:rsidRPr="007D0769">
        <w:rPr>
          <w:rFonts w:eastAsia="Times New Roman" w:cs="Arial"/>
          <w:b/>
          <w:i/>
          <w:iCs/>
          <w:szCs w:val="16"/>
        </w:rPr>
        <w:t>updated data</w:t>
      </w:r>
      <w:r w:rsidRPr="007D0769">
        <w:rPr>
          <w:rFonts w:eastAsia="Times New Roman" w:cs="Arial"/>
          <w:b/>
          <w:szCs w:val="16"/>
        </w:rPr>
        <w:t xml:space="preserve">: </w:t>
      </w:r>
    </w:p>
    <w:p w14:paraId="5E3E3589" w14:textId="77777777" w:rsidR="001F2D64" w:rsidRDefault="001F2D64" w:rsidP="001F2D64">
      <w:pPr>
        <w:rPr>
          <w:rFonts w:cs="Arial"/>
          <w:color w:val="000000" w:themeColor="text1"/>
          <w:szCs w:val="16"/>
        </w:rPr>
      </w:pPr>
      <w:r w:rsidRPr="00781112">
        <w:rPr>
          <w:rFonts w:cs="Arial"/>
          <w:color w:val="000000" w:themeColor="text1"/>
          <w:szCs w:val="16"/>
        </w:rPr>
        <w:t>The Lead Agency (MA-C) did not report additional findings for Indicator 7. MA-C verified that early intervention services (EIS) programs were correctly implementing the regulatory requirements (i.e., providing an initial evaluation and IFSP within 45 days of the child's referral) based on updated data. After verifying the accuracy of data entered by EIS providers into its state database (Early Intervention Client System; EICS) and verifying each specific instance of noncompliance was corrected at the child-level, MA-C randomly selects records from each EIS program and checks for compliance with the regulatory requirement by comparing the date of the IFSP meeting to the date the child was referred to the EIS program. When the latency is less than or equal to 45 days, the record is considered compliant. When the latency exceeds 45 days, the record is considered noncompliant.</w:t>
      </w:r>
    </w:p>
    <w:p>
      <w:pPr>
        <w:pStyle w:val=""/>
      </w:pPr>
      <w:r>
        <w:rPr>
          <w:rFonts w:ascii="" w:hAnsi="" w:cs="" w:eastAsia=""/>
          <w:b w:val="false"/>
          <w:i w:val="false"/>
          <w:color w:val="000000"/>
        </w:rPr>
        <w:t/>
      </w:r>
    </w:p>
    <w:p>
      <w:pPr>
        <w:pStyle w:val=""/>
      </w:pPr>
      <w:r>
        <w:rPr>
          <w:rFonts w:ascii="" w:hAnsi="" w:cs="" w:eastAsia=""/>
          <w:b w:val="false"/>
          <w:i w:val="false"/>
          <w:color w:val="000000"/>
        </w:rPr>
        <w:t>Additionally, MA-C reviews EIS program performance for Indicator 7 on a quarterly basis. The purpose of these quarterly reviews is to identify potential data entry errors, noncompliance, and evaluate the EIS programs' implementation of the regulatory requirement consistent with Part C of IDEA.</w:t>
      </w:r>
    </w:p>
    <w:p>
      <w:pPr>
        <w:pStyle w:val=""/>
      </w:pPr>
      <w:r>
        <w:rPr>
          <w:rFonts w:ascii="" w:hAnsi="" w:cs="" w:eastAsia=""/>
          <w:b w:val="false"/>
          <w:i w:val="false"/>
          <w:color w:val="000000"/>
        </w:rPr>
        <w:t/>
      </w:r>
    </w:p>
    <w:p>
      <w:pPr>
        <w:pStyle w:val=""/>
      </w:pPr>
      <w:r>
        <w:rPr>
          <w:rFonts w:ascii="" w:hAnsi="" w:cs="" w:eastAsia=""/>
          <w:b w:val="false"/>
          <w:i w:val="false"/>
          <w:color w:val="000000"/>
        </w:rPr>
        <w:t>During federal fiscal year 2022 (FFY22; July 1, 2022-June 30, 2023), MA-C made three findings of noncompliance across three early intervention services (EIS) programs (Kennedy-Donovan Center-Cape &amp; Islands, Dimock, and People Incorporated EI program), as reported for indicator 7. During federal fiscal year 2023 (FFY23; July 1, 2023-June 30, 2024), MA-C notified each of the three EIS programs in writing of the noncompliance. One of the three programs, Kennedy Donovan Center-Cape &amp; Islands, was unable to demonstrate ongoing compliance by the time of the FFY23 SPP/APR. This program was determined to have systemic noncompliance and were placed on corrective action plans. The corrective action plans require the EIS program director to complete a root-cause analysis with MA-C's Clinical Oversight and Support Specialist before identifying actionable next steps to implementing Part C of the IDEA consistent with the regulatory requirements. While the corrective action plan is being implemented, the EIS program director meets weekly with the Clinical Oversight and Support Specialist to review their progress, provide technical assistance on revisions of the EIS program's policies and procedures, and answer questions about the regulatory requirements. After an EIS program director believes their program is demonstrating 100% compliance, the Clinical Oversight and Support Specialist selects 10 child records at random to verify ongoing compliance.</w:t>
      </w:r>
    </w:p>
    <w:p w14:paraId="143256DC" w14:textId="77777777" w:rsidR="001F2D64" w:rsidRPr="00767E72" w:rsidRDefault="001F2D64" w:rsidP="001F2D64">
      <w:pPr>
        <w:keepNext/>
        <w:spacing w:after="0"/>
        <w:rPr>
          <w:rFonts w:eastAsia="Calibri" w:cs="Arial"/>
          <w:szCs w:val="16"/>
        </w:rPr>
      </w:pPr>
      <w:r>
        <w:rPr>
          <w:rFonts w:eastAsia="Times New Roman" w:cs="Arial"/>
          <w:b/>
          <w:szCs w:val="16"/>
        </w:rPr>
        <w:t xml:space="preserve">Please describe, consistent with OSEP QA 23-01, how the State verified that each </w:t>
      </w:r>
      <w:r w:rsidRPr="007D0769">
        <w:rPr>
          <w:rFonts w:eastAsia="Times New Roman" w:cs="Arial"/>
          <w:b/>
          <w:i/>
          <w:iCs/>
          <w:szCs w:val="16"/>
        </w:rPr>
        <w:t>individual case</w:t>
      </w:r>
      <w:r w:rsidRPr="007D0769">
        <w:rPr>
          <w:rFonts w:eastAsia="Times New Roman" w:cs="Arial"/>
          <w:b/>
          <w:szCs w:val="16"/>
        </w:rPr>
        <w:t xml:space="preserve"> of noncompliance was corrected: </w:t>
      </w:r>
    </w:p>
    <w:p w14:paraId="6A3AFE9A" w14:textId="77777777" w:rsidR="001F2D64" w:rsidRDefault="001F2D64" w:rsidP="001F2D64">
      <w:pPr>
        <w:rPr>
          <w:rFonts w:cs="Arial"/>
          <w:color w:val="000000" w:themeColor="text1"/>
          <w:szCs w:val="16"/>
        </w:rPr>
      </w:pPr>
      <w:r w:rsidRPr="00781112">
        <w:rPr>
          <w:rFonts w:cs="Arial"/>
          <w:color w:val="000000" w:themeColor="text1"/>
          <w:szCs w:val="16"/>
        </w:rPr>
        <w:t xml:space="preserve">The Lead Agency (MA-C) did not report additional findings for Indicator 7. Consistent with OSEP 23-01, MA-C verified that all children determined as having received their initial evaluation and IFSP, although late (greater than 45 calendar days as required by Part C), unless the child was no longer in MA-C's jurisdiction. </w:t>
      </w:r>
    </w:p>
    <w:p>
      <w:pPr>
        <w:pStyle w:val=""/>
      </w:pPr>
      <w:r>
        <w:rPr>
          <w:rFonts w:ascii="" w:hAnsi="" w:cs="" w:eastAsia=""/>
          <w:b w:val="false"/>
          <w:i w:val="false"/>
          <w:color w:val="000000"/>
        </w:rPr>
        <w:t/>
      </w:r>
    </w:p>
    <w:p>
      <w:pPr>
        <w:pStyle w:val=""/>
      </w:pPr>
      <w:r>
        <w:rPr>
          <w:rFonts w:ascii="" w:hAnsi="" w:cs="" w:eastAsia=""/>
          <w:b w:val="false"/>
          <w:i w:val="false"/>
          <w:color w:val="000000"/>
        </w:rPr>
        <w:t>Upon detecting the noncompliance, MA-C's Clinical Oversight and Support Specialist queried the state database (Early Intervention Client System; EICS) to review the children's individual records. Using data entered by EIS programs into EICS, the Clinical Oversight and Support Specialist first reviewed the children's records for an active Individualized Family Service Plan (IFSP). If a record did not have an active IFSP, she checked for discharge and exiting data entered by the EIS program to determined that the children left the jurisdiction before an initial evaluation and ISFP could be developed. If record did have an active IFSP, she checked for the date of the IFSP meeting and compared it to the date of the child's referral to the Part C system, confirming that the child received their initial evaluation and IFSP, although late.</w:t>
      </w:r>
    </w:p>
    <w:p w14:paraId="08D204A4" w14:textId="77777777" w:rsidR="009324C0" w:rsidRDefault="009324C0" w:rsidP="00DE79BF">
      <w:pPr>
        <w:rPr>
          <w:rFonts w:cs="Arial"/>
          <w:color w:val="000000" w:themeColor="text1"/>
          <w:szCs w:val="16"/>
        </w:rPr>
      </w:pPr>
    </w:p>
    <w:p w14:paraId="2C5B82A8" w14:textId="0AEBD2D0" w:rsidR="009324C0" w:rsidRPr="00A40EE1" w:rsidRDefault="009324C0" w:rsidP="009324C0">
      <w:pPr>
        <w:pStyle w:val="Heading2"/>
      </w:pPr>
      <w:r w:rsidRPr="00A40EE1">
        <w:lastRenderedPageBreak/>
        <w:t>1</w:t>
      </w:r>
      <w:r>
        <w:t>2</w:t>
      </w:r>
      <w:r w:rsidRPr="00A40EE1">
        <w:t xml:space="preserve"> - </w:t>
      </w:r>
      <w:r w:rsidRPr="00A10714">
        <w:t>Prior FFY Required Actions</w:t>
      </w:r>
    </w:p>
    <w:p w14:paraId="4DB0358E" w14:textId="561E1E7D" w:rsidR="009324C0" w:rsidRPr="00E856ED" w:rsidRDefault="009324C0" w:rsidP="009324C0">
      <w:r w:rsidRPr="00E856ED">
        <w:t>The State must demonstrate, in the FFY 2024 SPP/APR, that the remaining one uncorrected finding of noncompliance identified in FFY 2022 was corrected. When reporting on the correction of noncompliance, the State must report, in the FFY 2024 SPP/APR, that it has verified that each EIS program or provider with findings of noncompliance identified in FFY 2023 and each EIS program or provider with remaining noncompliance identified in FFY 2022: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and no outstanding corrective action exists under a State complaint or due process hearing decision for the child, consistent with OSEP QA 23-01. In the FFY 2024 SPP/APR, the State must describe the specific actions that were taken to verify the correction.</w:t>
      </w:r>
    </w:p>
    <w:p>
      <w:pPr>
        <w:pStyle w:val=""/>
      </w:pPr>
      <w:r>
        <w:rPr>
          <w:rFonts w:ascii="" w:hAnsi="" w:cs="" w:eastAsia=""/>
          <w:b w:val="false"/>
          <w:i w:val="false"/>
          <w:color w:val=""/>
        </w:rPr>
        <w:t/>
      </w:r>
    </w:p>
    <w:p>
      <w:pPr>
        <w:pStyle w:val=""/>
      </w:pPr>
      <w:r>
        <w:rPr>
          <w:rFonts w:ascii="" w:hAnsi="" w:cs="" w:eastAsia=""/>
          <w:b w:val="false"/>
          <w:i w:val="false"/>
          <w:color w:val=""/>
        </w:rPr>
        <w:t>The State must establish baseline for this indicator in the FFY 2024 SPP/APR.</w:t>
      </w:r>
    </w:p>
    <w:p w14:paraId="2AF4A97A" w14:textId="77777777" w:rsidR="009324C0" w:rsidRPr="00ED172B" w:rsidRDefault="009324C0" w:rsidP="009324C0">
      <w:pPr>
        <w:rPr>
          <w:color w:val="000000" w:themeColor="text1"/>
        </w:rPr>
      </w:pPr>
      <w:r w:rsidRPr="00ED172B">
        <w:rPr>
          <w:b/>
          <w:color w:val="000000" w:themeColor="text1"/>
        </w:rPr>
        <w:t>Response to actions required in FFY 2023 SPP/APR</w:t>
      </w:r>
      <w:r w:rsidRPr="00ED172B">
        <w:rPr>
          <w:color w:val="000000" w:themeColor="text1"/>
        </w:rPr>
        <w:t xml:space="preserve"> </w:t>
      </w:r>
    </w:p>
    <w:p w14:paraId="7B8BAA77" w14:textId="77777777" w:rsidR="009324C0" w:rsidRPr="00E856ED" w:rsidRDefault="009324C0" w:rsidP="009324C0">
      <w:pPr>
        <w:rPr>
          <w:b/>
          <w:bCs/>
          <w:sz w:val="22"/>
        </w:rPr>
      </w:pPr>
      <w:r w:rsidRPr="00E856ED">
        <w:rPr>
          <w:rFonts w:cs="Arial"/>
          <w:szCs w:val="16"/>
        </w:rPr>
        <w:t xml:space="preserve">During federal fiscal year 2022 (FFY22; July 1, 2022-June 30, 2023), MA-C did not report 100% compliance for Indicator 7, the percentage of eligible infants and toddlers with IFSPs for whom an initial evaluation and assessment and an initial IFSP meeting was conducted within Part C's 45-day timeline. The Lead Agency (MA-C) verified all child level noncompliance was corrected, all 59 children identified as not receiving an initial evaluation and assessment and an initial IFSP meeting within Part C's 45-day timeline received their initial evaluation and assessment and an initial IFSP, although late. However, MA-C was unable to verify systemic and ongoing noncompliance as corrected for one early intervention services program, Kennedy Donovan Center-Cape &amp; Islands, by the time of its FFY23 SPP/APR submission. </w:t>
      </w:r>
    </w:p>
    <w:p>
      <w:pPr>
        <w:pStyle w:val=""/>
      </w:pPr>
      <w:r>
        <w:rPr>
          <w:rFonts w:ascii="" w:hAnsi="" w:cs="" w:eastAsia=""/>
          <w:b w:val="false"/>
          <w:i w:val="false"/>
          <w:color w:val=""/>
        </w:rPr>
        <w:t xml:space="preserve">To verify correction of this noncompliance, one of MA-C's Clinical Oversight and Support Specialists verified ongoing compliance for the early intervention services (EIS) program with compliance rates below 100% (Kennedy Donovan Center-Cape &amp; Islands). For this EIS program, the Clinical Oversight and Support Specialist sampled 11 subsequent child records at random (based on a z-score analysis of a representative sample by program size) using subsequent IFSP-level data entered by the EIS program into EICS and determined 100% compliance had been demonstrated for this requirement. MA-C verified that all 59 children identified received their initial evaluation and IFSP, although late (i.e., greater than 45 calendar days as required by Part C). To verify child level correction, upon detecting the noncompliance, the Clinical Oversight and Support Specialist queried the state database (Early Intervention Client System; EICS) to review the children's individual records. Using data entered by EIS programs into EICS, the Clinical Oversight and Support Specialist determined that all children had an initial evaluation and IFSP which were provided late, as demonstrated by IFSP-level data entered by the EIS programs into EICS. </w:t>
      </w:r>
    </w:p>
    <w:p>
      <w:pPr>
        <w:pStyle w:val=""/>
      </w:pPr>
      <w:r>
        <w:rPr>
          <w:rFonts w:ascii="" w:hAnsi="" w:cs="" w:eastAsia=""/>
          <w:b w:val="false"/>
          <w:i w:val="false"/>
          <w:color w:val=""/>
        </w:rPr>
        <w:t/>
      </w:r>
    </w:p>
    <w:p>
      <w:pPr>
        <w:pStyle w:val=""/>
      </w:pPr>
      <w:r>
        <w:rPr>
          <w:rFonts w:ascii="" w:hAnsi="" w:cs="" w:eastAsia=""/>
          <w:b w:val="false"/>
          <w:i w:val="false"/>
          <w:color w:val=""/>
        </w:rPr>
        <w:t xml:space="preserve">MA-C's baseline year for this indicator was 2023 with a value of 90.91% based on EMAPS' calculations. </w:t>
      </w:r>
    </w:p>
    <w:p w14:paraId="7EB60BAA" w14:textId="77777777" w:rsidR="009324C0" w:rsidRPr="006E4396" w:rsidRDefault="009324C0" w:rsidP="00DE79BF">
      <w:pPr>
        <w:rPr>
          <w:rFonts w:cs="Arial"/>
          <w:color w:val="000000" w:themeColor="text1"/>
          <w:szCs w:val="16"/>
        </w:rPr>
      </w:pPr>
    </w:p>
    <w:p w14:paraId="4D41EE61" w14:textId="7EE12CF2" w:rsidR="00DE12DF" w:rsidRPr="00A40EE1" w:rsidRDefault="33129DF2" w:rsidP="00DE12DF">
      <w:pPr>
        <w:pStyle w:val="Heading2"/>
      </w:pPr>
      <w:r>
        <w:t>12 - OSEP Response</w:t>
      </w:r>
    </w:p>
    <w:p w14:paraId="7562D1CE" w14:textId="4BF3B09C" w:rsidR="00DE12DF" w:rsidRPr="00ED172B" w:rsidRDefault="00DE12DF" w:rsidP="00DE12DF">
      <w:pPr>
        <w:rPr>
          <w:color w:val="000000" w:themeColor="text1"/>
        </w:rPr>
      </w:pPr>
      <w:r w:rsidRPr="00ED172B">
        <w:rPr>
          <w:color w:val="000000" w:themeColor="text1"/>
        </w:rPr>
        <w:t>OSEP's response to the State's FFY 2023 SPP/APR required the State to establish baseline for this indicator in the FFY 2024 SPP/APR. The State provided none of the required information. Specifically, the State's FFY 2023 baseline data reported in the Historical Data table remains inconsistent with the State's FFY 2023 data reported in the FFY 2023 SPP/APR Data table.</w:t>
      </w:r>
    </w:p>
    <w:p w14:paraId="6B17D27B" w14:textId="186DC46F" w:rsidR="00DE12DF" w:rsidRPr="00A40EE1" w:rsidRDefault="00DE12DF" w:rsidP="00DE12DF">
      <w:pPr>
        <w:pStyle w:val="Heading2"/>
      </w:pPr>
      <w:r>
        <w:t>12</w:t>
      </w:r>
      <w:r w:rsidRPr="00A40EE1">
        <w:t xml:space="preserve"> - Required Actions</w:t>
      </w:r>
    </w:p>
    <w:p w14:paraId="0BF2A243" w14:textId="5B89CABE" w:rsidR="00DE12DF" w:rsidRPr="00ED172B" w:rsidRDefault="00DE12DF" w:rsidP="00DE12DF">
      <w:pPr>
        <w:rPr>
          <w:color w:val="000000" w:themeColor="text1"/>
        </w:rPr>
      </w:pPr>
      <w:r w:rsidRPr="00ED172B">
        <w:rPr>
          <w:color w:val="000000" w:themeColor="text1"/>
        </w:rPr>
        <w:t/>
      </w:r>
    </w:p>
    <w:p w14:paraId="4BAB81D9" w14:textId="77777777" w:rsidR="00E74450" w:rsidRDefault="00530511">
      <w:pPr>
        <w:spacing w:before="0" w:after="200" w:line="276" w:lineRule="auto"/>
        <w:rPr>
          <w:color w:val="000000" w:themeColor="text1"/>
        </w:rPr>
        <w:sectPr w:rsidR="00E74450" w:rsidSect="00BF3AB4">
          <w:footerReference w:type="default" r:id="rId13"/>
          <w:pgSz w:w="12240" w:h="15840"/>
          <w:pgMar w:top="720" w:right="720" w:bottom="720" w:left="720" w:header="0" w:footer="445" w:gutter="0"/>
          <w:cols w:space="720"/>
          <w:docGrid w:linePitch="218"/>
        </w:sectPr>
      </w:pPr>
      <w:r>
        <w:rPr>
          <w:color w:val="000000" w:themeColor="text1"/>
        </w:rPr>
        <w:br w:type="page"/>
      </w:r>
    </w:p>
    <w:p w14:paraId="76BEC9D6" w14:textId="69F0031E" w:rsidR="00D77E41" w:rsidRPr="00ED172B" w:rsidRDefault="00D77E41" w:rsidP="00D77E41">
      <w:pPr>
        <w:pStyle w:val="Heading1"/>
        <w:rPr>
          <w:color w:val="000000" w:themeColor="text1"/>
        </w:rPr>
      </w:pPr>
      <w:r w:rsidRPr="00ED172B">
        <w:rPr>
          <w:color w:val="000000" w:themeColor="text1"/>
        </w:rPr>
        <w:lastRenderedPageBreak/>
        <w:t>Certification</w:t>
      </w:r>
    </w:p>
    <w:p w14:paraId="10520843" w14:textId="77777777" w:rsidR="00D77E41" w:rsidRPr="00ED172B" w:rsidRDefault="00D77E41" w:rsidP="00186420">
      <w:pPr>
        <w:rPr>
          <w:color w:val="000000" w:themeColor="text1"/>
        </w:rPr>
      </w:pPr>
      <w:r w:rsidRPr="00ED172B">
        <w:rPr>
          <w:b/>
          <w:color w:val="000000" w:themeColor="text1"/>
          <w:sz w:val="20"/>
          <w:szCs w:val="20"/>
        </w:rPr>
        <w:t>Instructions</w:t>
      </w:r>
    </w:p>
    <w:p w14:paraId="3613AD02" w14:textId="11E354F6"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2BE1082F" w14:textId="77777777" w:rsidR="00D77E41" w:rsidRPr="00ED172B" w:rsidRDefault="00D77E41" w:rsidP="00D77E41">
      <w:pPr>
        <w:rPr>
          <w:b/>
          <w:color w:val="000000" w:themeColor="text1"/>
        </w:rPr>
      </w:pPr>
      <w:r w:rsidRPr="00ED172B">
        <w:rPr>
          <w:b/>
          <w:color w:val="000000" w:themeColor="text1"/>
        </w:rPr>
        <w:t>Certify</w:t>
      </w:r>
    </w:p>
    <w:p w14:paraId="26D9ED5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09D4042A"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1FBD425" w14:textId="593F2D58"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Designated by the Lead Agency Director to Certify</w:t>
      </w:r>
    </w:p>
    <w:p w14:paraId="43D7F85B" w14:textId="7316ED68"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36D2D64A" w14:textId="366FE588"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4F5F890F" w14:textId="67BB69D9"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Emily White</w:t>
      </w:r>
    </w:p>
    <w:p w14:paraId="5F5311B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7D7540F" w14:textId="1BD8A4B8"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Director, Early Intervention Division &amp; Part C Coordinator</w:t>
      </w:r>
    </w:p>
    <w:p w14:paraId="7E4BD4E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1D2DA4D" w14:textId="6133D61F"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emily.a.white@mass.gov</w:t>
      </w:r>
    </w:p>
    <w:p w14:paraId="0B3F265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4532CFC2" w14:textId="1CAA54B5"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7814006648</w:t>
      </w:r>
      <w:bookmarkEnd w:id="64"/>
    </w:p>
    <w:p w14:paraId="4424A936" w14:textId="491BEDEB"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4A3876CA" w14:textId="77777777" w:rsidR="00E74450" w:rsidRDefault="00FD047C" w:rsidP="00FD047C">
      <w:pPr>
        <w:autoSpaceDE w:val="0"/>
        <w:autoSpaceDN w:val="0"/>
        <w:adjustRightInd w:val="0"/>
        <w:rPr>
          <w:rFonts w:cs="Arial"/>
          <w:bCs/>
          <w:color w:val="000000" w:themeColor="text1"/>
          <w:szCs w:val="16"/>
        </w:rPr>
        <w:sectPr w:rsidR="00E74450" w:rsidSect="00E74450">
          <w:type w:val="continuous"/>
          <w:pgSz w:w="12240" w:h="15840"/>
          <w:pgMar w:top="720" w:right="720" w:bottom="720" w:left="720" w:header="0" w:footer="445" w:gutter="0"/>
          <w:cols w:space="720"/>
          <w:docGrid w:linePitch="218"/>
        </w:sectPr>
      </w:pPr>
      <w:r w:rsidRPr="00ED172B">
        <w:rPr>
          <w:rFonts w:cs="Arial"/>
          <w:bCs/>
          <w:color w:val="000000" w:themeColor="text1"/>
          <w:szCs w:val="16"/>
        </w:rPr>
        <w:t>04/17/26 12:38:54 PM</w:t>
      </w:r>
    </w:p>
    <w:p w14:paraId="1B762252" w14:textId="78A74289"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4E835CB1" w14:textId="2655EDF5" w:rsidR="000135C2" w:rsidRDefault="000135C2" w:rsidP="000135C2">
      <w:pPr>
        <w:pStyle w:val="Heading1"/>
        <w:rPr>
          <w:color w:val="000000" w:themeColor="text1"/>
        </w:rPr>
      </w:pPr>
      <w:r w:rsidRPr="000135C2">
        <w:rPr>
          <w:color w:val="000000" w:themeColor="text1"/>
        </w:rPr>
        <w:lastRenderedPageBreak/>
        <w:t>Determination Enclosures</w:t>
      </w:r>
    </w:p>
    <w:p w14:paraId="095BF10D" w14:textId="513665FF" w:rsidR="000135C2" w:rsidRDefault="000135C2" w:rsidP="000135C2">
      <w:pPr>
        <w:pStyle w:val="Heading2"/>
      </w:pPr>
      <w:r w:rsidRPr="003E43D9">
        <w:t>Data Rubric</w:t>
      </w:r>
    </w:p>
    <w:p w14:paraId="0AB4D663" w14:textId="77777777" w:rsidR="000D7F9F" w:rsidRPr="000D7F9F" w:rsidRDefault="000D7F9F" w:rsidP="000D7F9F">
      <w:pPr>
        <w:rPr>
          <w:b/>
          <w:bCs/>
          <w:sz w:val="18"/>
          <w:szCs w:val="18"/>
        </w:rPr>
      </w:pPr>
      <w:r w:rsidRPr="000D7F9F">
        <w:rPr>
          <w:b/>
          <w:bCs/>
          <w:sz w:val="18"/>
          <w:szCs w:val="18"/>
        </w:rPr>
        <w:t>Massachusetts</w:t>
      </w:r>
    </w:p>
    <w:p w14:paraId="4FA14AEC" w14:textId="77777777" w:rsidR="00BB2AAF" w:rsidRDefault="00BB2AAF" w:rsidP="00976350">
      <w:pPr>
        <w:rPr>
          <w:b/>
          <w:bCs/>
        </w:rPr>
      </w:pPr>
    </w:p>
    <w:p w14:paraId="60B91978" w14:textId="07E3A3C0" w:rsidR="00DC6D97" w:rsidRPr="004227F4" w:rsidRDefault="003445A2" w:rsidP="00976350">
      <w:pPr>
        <w:rPr>
          <w:b/>
          <w:bCs/>
          <w:szCs w:val="16"/>
        </w:rPr>
      </w:pPr>
      <w:r w:rsidRPr="006B69D7">
        <w:rPr>
          <w:b/>
          <w:bCs/>
        </w:rPr>
        <w:t>FFY 2024</w:t>
      </w:r>
      <w:r w:rsidRPr="004227F4">
        <w:rPr>
          <w:b/>
          <w:bCs/>
          <w:szCs w:val="16"/>
        </w:rPr>
        <w:t xml:space="preserve"> APR</w:t>
      </w:r>
      <w:r w:rsidR="009D31F8" w:rsidRPr="004227F4">
        <w:rPr>
          <w:b/>
          <w:bCs/>
          <w:szCs w:val="16"/>
        </w:rPr>
        <w:t xml:space="preserve"> </w:t>
      </w:r>
      <w:r w:rsidR="004227F4" w:rsidRPr="004227F4">
        <w:rPr>
          <w:szCs w:val="16"/>
        </w:rPr>
        <w:t>(1)</w:t>
      </w:r>
    </w:p>
    <w:p w14:paraId="523D5377" w14:textId="134AB56B" w:rsidR="00BB2AAF" w:rsidRPr="004227F4" w:rsidRDefault="004227F4" w:rsidP="005032AF">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7644F667" w14:textId="77777777" w:rsidTr="005032AF">
        <w:trPr>
          <w:trHeight w:val="440"/>
        </w:trPr>
        <w:tc>
          <w:tcPr>
            <w:tcW w:w="1866" w:type="dxa"/>
            <w:vAlign w:val="center"/>
            <w:hideMark/>
          </w:tcPr>
          <w:p w14:paraId="668AD22D"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6ADF17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0A1582BB"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4BDCC11C" w14:textId="77777777" w:rsidTr="005032AF">
        <w:trPr>
          <w:trHeight w:val="440"/>
        </w:trPr>
        <w:tc>
          <w:tcPr>
            <w:tcW w:w="1866" w:type="dxa"/>
            <w:vAlign w:val="center"/>
            <w:hideMark/>
          </w:tcPr>
          <w:p w14:paraId="4EADCFA5" w14:textId="4576C419"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vAlign w:val="center"/>
            <w:hideMark/>
          </w:tcPr>
          <w:p w14:paraId="7D03BB17" w14:textId="1F605F9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132D4C82" w14:textId="723349EC" w:rsidR="00CC21DE" w:rsidRPr="00210AC6" w:rsidRDefault="00CC21DE" w:rsidP="00A47616">
            <w:pPr>
              <w:spacing w:before="0" w:after="0"/>
              <w:jc w:val="center"/>
              <w:rPr>
                <w:rFonts w:eastAsia="Times New Roman" w:cs="Arial"/>
                <w:szCs w:val="16"/>
              </w:rPr>
            </w:pPr>
            <w:r>
              <w:t>1</w:t>
            </w:r>
          </w:p>
        </w:tc>
      </w:tr>
      <w:tr w:rsidR="00CC21DE" w:rsidRPr="00210AC6" w14:paraId="253B684B" w14:textId="77777777" w:rsidTr="005032AF">
        <w:trPr>
          <w:trHeight w:val="440"/>
        </w:trPr>
        <w:tc>
          <w:tcPr>
            <w:tcW w:w="1866" w:type="dxa"/>
            <w:vAlign w:val="center"/>
            <w:hideMark/>
          </w:tcPr>
          <w:p w14:paraId="6EE93D9D" w14:textId="5987E4C1"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vAlign w:val="center"/>
            <w:hideMark/>
          </w:tcPr>
          <w:p w14:paraId="04EDA633" w14:textId="3B3AC7E9"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C0DB73D" w14:textId="27A8A3B6" w:rsidR="00CC21DE" w:rsidRPr="00210AC6" w:rsidRDefault="00CC21DE" w:rsidP="00A47616">
            <w:pPr>
              <w:spacing w:before="0" w:after="0"/>
              <w:jc w:val="center"/>
              <w:rPr>
                <w:rFonts w:eastAsia="Times New Roman" w:cs="Arial"/>
                <w:szCs w:val="16"/>
              </w:rPr>
            </w:pPr>
            <w:r>
              <w:t>1</w:t>
            </w:r>
          </w:p>
        </w:tc>
      </w:tr>
      <w:tr w:rsidR="00CC21DE" w:rsidRPr="00210AC6" w14:paraId="4D7B3C27" w14:textId="77777777" w:rsidTr="005032AF">
        <w:trPr>
          <w:trHeight w:val="440"/>
        </w:trPr>
        <w:tc>
          <w:tcPr>
            <w:tcW w:w="1866" w:type="dxa"/>
            <w:vAlign w:val="center"/>
            <w:hideMark/>
          </w:tcPr>
          <w:p w14:paraId="731CC382" w14:textId="67E6F435"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vAlign w:val="center"/>
            <w:hideMark/>
          </w:tcPr>
          <w:p w14:paraId="31855042" w14:textId="729A0E9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264BB88" w14:textId="2D0CB2F7" w:rsidR="00CC21DE" w:rsidRPr="00210AC6" w:rsidRDefault="00CC21DE" w:rsidP="00A47616">
            <w:pPr>
              <w:spacing w:before="0" w:after="0"/>
              <w:jc w:val="center"/>
              <w:rPr>
                <w:rFonts w:eastAsia="Times New Roman" w:cs="Arial"/>
                <w:szCs w:val="16"/>
              </w:rPr>
            </w:pPr>
            <w:r>
              <w:t>1</w:t>
            </w:r>
          </w:p>
        </w:tc>
      </w:tr>
      <w:tr w:rsidR="00CC21DE" w:rsidRPr="00210AC6" w14:paraId="6F6A3652" w14:textId="77777777" w:rsidTr="005032AF">
        <w:trPr>
          <w:trHeight w:val="440"/>
        </w:trPr>
        <w:tc>
          <w:tcPr>
            <w:tcW w:w="1866" w:type="dxa"/>
            <w:vAlign w:val="center"/>
            <w:hideMark/>
          </w:tcPr>
          <w:p w14:paraId="0BBF85A7" w14:textId="2C95623C"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vAlign w:val="center"/>
            <w:hideMark/>
          </w:tcPr>
          <w:p w14:paraId="4D771735" w14:textId="6E815A8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CC2274A" w14:textId="6ACC931F" w:rsidR="00CC21DE" w:rsidRPr="00210AC6" w:rsidRDefault="00CC21DE" w:rsidP="00A47616">
            <w:pPr>
              <w:spacing w:before="0" w:after="0"/>
              <w:jc w:val="center"/>
              <w:rPr>
                <w:rFonts w:eastAsia="Times New Roman" w:cs="Arial"/>
                <w:szCs w:val="16"/>
              </w:rPr>
            </w:pPr>
            <w:r>
              <w:t>1</w:t>
            </w:r>
          </w:p>
        </w:tc>
      </w:tr>
      <w:tr w:rsidR="00CC21DE" w:rsidRPr="00210AC6" w14:paraId="18A61206" w14:textId="77777777" w:rsidTr="005032AF">
        <w:trPr>
          <w:trHeight w:val="440"/>
        </w:trPr>
        <w:tc>
          <w:tcPr>
            <w:tcW w:w="1866" w:type="dxa"/>
            <w:vAlign w:val="center"/>
            <w:hideMark/>
          </w:tcPr>
          <w:p w14:paraId="58B2CC1E" w14:textId="155AF1A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vAlign w:val="center"/>
            <w:hideMark/>
          </w:tcPr>
          <w:p w14:paraId="5E4D7D21" w14:textId="53363ECC"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5DC639D9" w14:textId="1B748DB6" w:rsidR="00CC21DE" w:rsidRPr="00210AC6" w:rsidRDefault="00CC21DE" w:rsidP="00A47616">
            <w:pPr>
              <w:spacing w:before="0" w:after="0"/>
              <w:jc w:val="center"/>
              <w:rPr>
                <w:rFonts w:eastAsia="Times New Roman" w:cs="Arial"/>
                <w:szCs w:val="16"/>
              </w:rPr>
            </w:pPr>
            <w:r>
              <w:t>1</w:t>
            </w:r>
          </w:p>
        </w:tc>
      </w:tr>
      <w:tr w:rsidR="00CC21DE" w:rsidRPr="00210AC6" w14:paraId="6B821000" w14:textId="77777777" w:rsidTr="005032AF">
        <w:trPr>
          <w:trHeight w:val="440"/>
        </w:trPr>
        <w:tc>
          <w:tcPr>
            <w:tcW w:w="1866" w:type="dxa"/>
            <w:vAlign w:val="center"/>
            <w:hideMark/>
          </w:tcPr>
          <w:p w14:paraId="360E4201" w14:textId="4AC81051"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vAlign w:val="center"/>
            <w:hideMark/>
          </w:tcPr>
          <w:p w14:paraId="5C06E153" w14:textId="0DD158F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FF1981" w14:textId="385CBECF" w:rsidR="00CC21DE" w:rsidRPr="00210AC6" w:rsidRDefault="00CC21DE" w:rsidP="00A47616">
            <w:pPr>
              <w:spacing w:before="0" w:after="0"/>
              <w:jc w:val="center"/>
              <w:rPr>
                <w:rFonts w:eastAsia="Times New Roman" w:cs="Arial"/>
                <w:szCs w:val="16"/>
              </w:rPr>
            </w:pPr>
            <w:r>
              <w:t>1</w:t>
            </w:r>
          </w:p>
        </w:tc>
      </w:tr>
      <w:tr w:rsidR="00CC21DE" w:rsidRPr="00210AC6" w14:paraId="21E963EB" w14:textId="77777777" w:rsidTr="005032AF">
        <w:trPr>
          <w:trHeight w:val="440"/>
        </w:trPr>
        <w:tc>
          <w:tcPr>
            <w:tcW w:w="1866" w:type="dxa"/>
            <w:vAlign w:val="center"/>
            <w:hideMark/>
          </w:tcPr>
          <w:p w14:paraId="77ACBB4B" w14:textId="04E52CA3"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vAlign w:val="center"/>
            <w:hideMark/>
          </w:tcPr>
          <w:p w14:paraId="389A30A5" w14:textId="10E8F4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0E490249" w14:textId="78496123" w:rsidR="00CC21DE" w:rsidRPr="00210AC6" w:rsidRDefault="00CC21DE" w:rsidP="00A47616">
            <w:pPr>
              <w:spacing w:before="0" w:after="0"/>
              <w:jc w:val="center"/>
              <w:rPr>
                <w:rFonts w:eastAsia="Times New Roman" w:cs="Arial"/>
                <w:szCs w:val="16"/>
              </w:rPr>
            </w:pPr>
            <w:r>
              <w:t>1</w:t>
            </w:r>
          </w:p>
        </w:tc>
      </w:tr>
      <w:tr w:rsidR="00CC21DE" w:rsidRPr="00210AC6" w14:paraId="67AE1B08" w14:textId="77777777" w:rsidTr="005032AF">
        <w:trPr>
          <w:trHeight w:val="440"/>
        </w:trPr>
        <w:tc>
          <w:tcPr>
            <w:tcW w:w="1866" w:type="dxa"/>
            <w:vAlign w:val="center"/>
            <w:hideMark/>
          </w:tcPr>
          <w:p w14:paraId="11AAE718" w14:textId="731967D2"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vAlign w:val="center"/>
            <w:hideMark/>
          </w:tcPr>
          <w:p w14:paraId="64704A73" w14:textId="5122FE92"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42E50999" w14:textId="235E56C6" w:rsidR="00CC21DE" w:rsidRPr="00210AC6" w:rsidRDefault="00CC21DE" w:rsidP="00A47616">
            <w:pPr>
              <w:spacing w:before="0" w:after="0"/>
              <w:jc w:val="center"/>
              <w:rPr>
                <w:rFonts w:eastAsia="Times New Roman" w:cs="Arial"/>
                <w:szCs w:val="16"/>
              </w:rPr>
            </w:pPr>
            <w:r>
              <w:t>1</w:t>
            </w:r>
          </w:p>
        </w:tc>
      </w:tr>
      <w:tr w:rsidR="00CC21DE" w:rsidRPr="00210AC6" w14:paraId="3C6FF3D3" w14:textId="77777777" w:rsidTr="005032AF">
        <w:trPr>
          <w:trHeight w:val="440"/>
        </w:trPr>
        <w:tc>
          <w:tcPr>
            <w:tcW w:w="1866" w:type="dxa"/>
            <w:vAlign w:val="center"/>
            <w:hideMark/>
          </w:tcPr>
          <w:p w14:paraId="1D4FE3B1" w14:textId="0AD54464"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vAlign w:val="center"/>
            <w:hideMark/>
          </w:tcPr>
          <w:p w14:paraId="1CDEB25A" w14:textId="2B2540E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266CF140" w14:textId="59248533" w:rsidR="00CC21DE" w:rsidRPr="00210AC6" w:rsidRDefault="00CC21DE" w:rsidP="00A47616">
            <w:pPr>
              <w:spacing w:before="0" w:after="0"/>
              <w:jc w:val="center"/>
              <w:rPr>
                <w:rFonts w:eastAsia="Times New Roman" w:cs="Arial"/>
                <w:szCs w:val="16"/>
              </w:rPr>
            </w:pPr>
            <w:r>
              <w:t>1</w:t>
            </w:r>
          </w:p>
        </w:tc>
      </w:tr>
      <w:tr w:rsidR="00CC21DE" w:rsidRPr="00210AC6" w14:paraId="714ABEFF" w14:textId="77777777" w:rsidTr="005032AF">
        <w:trPr>
          <w:trHeight w:val="440"/>
        </w:trPr>
        <w:tc>
          <w:tcPr>
            <w:tcW w:w="1866" w:type="dxa"/>
            <w:vAlign w:val="center"/>
            <w:hideMark/>
          </w:tcPr>
          <w:p w14:paraId="2DE9BBBF" w14:textId="3EDDDE66"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vAlign w:val="center"/>
            <w:hideMark/>
          </w:tcPr>
          <w:p w14:paraId="7AD45CE9" w14:textId="7EBDB560"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3FFD3E45" w14:textId="2ED2B025" w:rsidR="00CC21DE" w:rsidRPr="00210AC6" w:rsidRDefault="00CC21DE" w:rsidP="00A47616">
            <w:pPr>
              <w:spacing w:before="0" w:after="0"/>
              <w:jc w:val="center"/>
              <w:rPr>
                <w:rFonts w:eastAsia="Times New Roman" w:cs="Arial"/>
                <w:szCs w:val="16"/>
              </w:rPr>
            </w:pPr>
            <w:r>
              <w:t>1</w:t>
            </w:r>
          </w:p>
        </w:tc>
      </w:tr>
      <w:tr w:rsidR="00CC21DE" w:rsidRPr="00210AC6" w14:paraId="6752A9E2" w14:textId="77777777" w:rsidTr="005032AF">
        <w:trPr>
          <w:trHeight w:val="440"/>
        </w:trPr>
        <w:tc>
          <w:tcPr>
            <w:tcW w:w="1866" w:type="dxa"/>
            <w:vAlign w:val="center"/>
            <w:hideMark/>
          </w:tcPr>
          <w:p w14:paraId="5B8E25FC" w14:textId="43BDFD13"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vAlign w:val="center"/>
            <w:hideMark/>
          </w:tcPr>
          <w:p w14:paraId="77541D5E" w14:textId="1ED64135"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0F7A3C5" w14:textId="487A1B59" w:rsidR="00CC21DE" w:rsidRPr="00210AC6" w:rsidRDefault="00CC21DE" w:rsidP="00A47616">
            <w:pPr>
              <w:spacing w:before="0" w:after="0"/>
              <w:jc w:val="center"/>
              <w:rPr>
                <w:rFonts w:eastAsia="Times New Roman" w:cs="Arial"/>
                <w:szCs w:val="16"/>
              </w:rPr>
            </w:pPr>
            <w:r>
              <w:t>1</w:t>
            </w:r>
          </w:p>
        </w:tc>
      </w:tr>
      <w:tr w:rsidR="00CC21DE" w:rsidRPr="00210AC6" w14:paraId="34EBFDBF" w14:textId="77777777" w:rsidTr="005032AF">
        <w:trPr>
          <w:trHeight w:val="440"/>
        </w:trPr>
        <w:tc>
          <w:tcPr>
            <w:tcW w:w="1866" w:type="dxa"/>
            <w:vAlign w:val="center"/>
            <w:hideMark/>
          </w:tcPr>
          <w:p w14:paraId="694C43E7" w14:textId="7D710058"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vAlign w:val="center"/>
            <w:hideMark/>
          </w:tcPr>
          <w:p w14:paraId="2DD5D7F9" w14:textId="6897ADAD"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7FCB4A3D" w14:textId="0B793628" w:rsidR="00CC21DE" w:rsidRPr="00210AC6" w:rsidRDefault="00CC21DE" w:rsidP="00A47616">
            <w:pPr>
              <w:spacing w:before="0" w:after="0"/>
              <w:jc w:val="center"/>
              <w:rPr>
                <w:rFonts w:eastAsia="Times New Roman" w:cs="Arial"/>
                <w:szCs w:val="16"/>
              </w:rPr>
            </w:pPr>
            <w:r>
              <w:t>1</w:t>
            </w:r>
          </w:p>
        </w:tc>
      </w:tr>
      <w:tr w:rsidR="00CC21DE" w:rsidRPr="00210AC6" w14:paraId="03742C31" w14:textId="77777777" w:rsidTr="005032AF">
        <w:trPr>
          <w:trHeight w:val="440"/>
        </w:trPr>
        <w:tc>
          <w:tcPr>
            <w:tcW w:w="1866" w:type="dxa"/>
            <w:vAlign w:val="center"/>
            <w:hideMark/>
          </w:tcPr>
          <w:p w14:paraId="5C725E54" w14:textId="410E1E21"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vAlign w:val="center"/>
            <w:hideMark/>
          </w:tcPr>
          <w:p w14:paraId="2A99A378" w14:textId="6A33E948" w:rsidR="00CC21DE" w:rsidRPr="00210AC6" w:rsidRDefault="00CC21DE" w:rsidP="00A47616">
            <w:pPr>
              <w:spacing w:before="0" w:after="0"/>
              <w:jc w:val="center"/>
              <w:rPr>
                <w:rFonts w:eastAsia="Times New Roman" w:cs="Arial"/>
                <w:szCs w:val="16"/>
              </w:rPr>
            </w:pPr>
            <w:r>
              <w:t>1</w:t>
            </w:r>
          </w:p>
        </w:tc>
        <w:tc>
          <w:tcPr>
            <w:tcW w:w="2698" w:type="dxa"/>
            <w:vAlign w:val="center"/>
            <w:hideMark/>
          </w:tcPr>
          <w:p w14:paraId="6320FC19" w14:textId="02021ABF" w:rsidR="00CC21DE" w:rsidRPr="00210AC6" w:rsidRDefault="00CC21DE" w:rsidP="00A47616">
            <w:pPr>
              <w:spacing w:before="0" w:after="0"/>
              <w:jc w:val="center"/>
              <w:rPr>
                <w:rFonts w:eastAsia="Times New Roman" w:cs="Arial"/>
                <w:szCs w:val="16"/>
              </w:rPr>
            </w:pPr>
            <w:r>
              <w:t>1</w:t>
            </w:r>
          </w:p>
        </w:tc>
      </w:tr>
      <w:tr w:rsidR="000F5FCD" w:rsidRPr="00210AC6" w14:paraId="701002B7" w14:textId="77777777" w:rsidTr="005032AF">
        <w:trPr>
          <w:trHeight w:val="440"/>
        </w:trPr>
        <w:tc>
          <w:tcPr>
            <w:tcW w:w="1866" w:type="dxa"/>
            <w:vAlign w:val="center"/>
          </w:tcPr>
          <w:p w14:paraId="11DC9DDA" w14:textId="5ACB7D56" w:rsidR="000F5FCD" w:rsidRPr="00CC21DE" w:rsidRDefault="000F5FCD" w:rsidP="00A47616">
            <w:pPr>
              <w:spacing w:before="0" w:after="0"/>
              <w:jc w:val="center"/>
              <w:rPr>
                <w:b/>
                <w:bCs/>
              </w:rPr>
            </w:pPr>
            <w:r>
              <w:rPr>
                <w:b/>
                <w:bCs/>
              </w:rPr>
              <w:t>12</w:t>
            </w:r>
          </w:p>
        </w:tc>
        <w:tc>
          <w:tcPr>
            <w:tcW w:w="5260" w:type="dxa"/>
            <w:vAlign w:val="center"/>
          </w:tcPr>
          <w:p w14:paraId="57A063B3" w14:textId="4BD8263D" w:rsidR="000F5FCD" w:rsidRDefault="000F5FCD" w:rsidP="00A47616">
            <w:pPr>
              <w:spacing w:before="0" w:after="0"/>
              <w:jc w:val="center"/>
            </w:pPr>
            <w:r>
              <w:t>1</w:t>
            </w:r>
          </w:p>
        </w:tc>
        <w:tc>
          <w:tcPr>
            <w:tcW w:w="2698" w:type="dxa"/>
            <w:vAlign w:val="center"/>
          </w:tcPr>
          <w:p w14:paraId="3F1DAA03" w14:textId="42498793" w:rsidR="000F5FCD" w:rsidRDefault="000F5FCD" w:rsidP="00A47616">
            <w:pPr>
              <w:spacing w:before="0" w:after="0"/>
              <w:jc w:val="center"/>
            </w:pPr>
            <w:r>
              <w:t>1</w:t>
            </w:r>
          </w:p>
        </w:tc>
      </w:tr>
    </w:tbl>
    <w:p w14:paraId="4A115913" w14:textId="7D7F5D85" w:rsidR="00AA07A0" w:rsidRDefault="00AA07A0" w:rsidP="000135C2">
      <w:pPr>
        <w:rPr>
          <w:rFonts w:cs="Arial"/>
          <w:szCs w:val="16"/>
        </w:rPr>
      </w:pPr>
    </w:p>
    <w:p w14:paraId="798FD527" w14:textId="5EBC6C51" w:rsidR="009D31F8" w:rsidRDefault="009D31F8" w:rsidP="000135C2">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009D31F8" w:rsidRPr="00210AC6" w14:paraId="4CB6C2A9" w14:textId="77777777" w:rsidTr="009D31F8">
        <w:trPr>
          <w:trHeight w:val="440"/>
        </w:trPr>
        <w:tc>
          <w:tcPr>
            <w:tcW w:w="7105" w:type="dxa"/>
            <w:vAlign w:val="center"/>
            <w:hideMark/>
          </w:tcPr>
          <w:p w14:paraId="3BBF0B93" w14:textId="77777777" w:rsidR="009D31F8" w:rsidRPr="00210AC6" w:rsidRDefault="009D31F8" w:rsidP="009D31F8">
            <w:pPr>
              <w:spacing w:before="0" w:after="0"/>
              <w:rPr>
                <w:rFonts w:eastAsia="Times New Roman" w:cs="Arial"/>
                <w:b/>
                <w:bCs/>
                <w:szCs w:val="16"/>
              </w:rPr>
            </w:pPr>
            <w:r>
              <w:rPr>
                <w:rFonts w:eastAsia="Times New Roman" w:cs="Arial"/>
                <w:b/>
                <w:bCs/>
                <w:szCs w:val="16"/>
              </w:rPr>
              <w:t>Subtotal</w:t>
            </w:r>
          </w:p>
        </w:tc>
        <w:tc>
          <w:tcPr>
            <w:tcW w:w="2700" w:type="dxa"/>
            <w:vAlign w:val="center"/>
            <w:hideMark/>
          </w:tcPr>
          <w:p w14:paraId="2B2BDC7F" w14:textId="77777777" w:rsidR="009D31F8" w:rsidRPr="00210AC6" w:rsidRDefault="009D31F8">
            <w:pPr>
              <w:spacing w:before="0" w:after="0"/>
              <w:jc w:val="center"/>
              <w:rPr>
                <w:rFonts w:eastAsia="Times New Roman" w:cs="Arial"/>
                <w:szCs w:val="16"/>
              </w:rPr>
            </w:pPr>
            <w:r>
              <w:t>14</w:t>
            </w:r>
          </w:p>
        </w:tc>
      </w:tr>
      <w:tr w:rsidR="009D31F8" w:rsidRPr="00210AC6" w14:paraId="11D30516" w14:textId="77777777" w:rsidTr="009D31F8">
        <w:trPr>
          <w:trHeight w:val="735"/>
        </w:trPr>
        <w:tc>
          <w:tcPr>
            <w:tcW w:w="7105" w:type="dxa"/>
            <w:vAlign w:val="center"/>
            <w:hideMark/>
          </w:tcPr>
          <w:p w14:paraId="0B6B62AD" w14:textId="01E053B5" w:rsidR="009D31F8" w:rsidRPr="00210AC6" w:rsidRDefault="009D31F8">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xml:space="preserve">-  If the FFY </w:t>
            </w:r>
            <w:r w:rsidR="00A54A87">
              <w:rPr>
                <w:rFonts w:eastAsia="Times New Roman" w:cs="Arial"/>
                <w:szCs w:val="16"/>
              </w:rPr>
              <w:t>2024</w:t>
            </w:r>
            <w:r w:rsidRPr="00210AC6">
              <w:rPr>
                <w:rFonts w:eastAsia="Times New Roman" w:cs="Arial"/>
                <w:szCs w:val="16"/>
              </w:rPr>
              <w:t xml:space="preserve"> APR was submitted on-time, place the number 5 in the cell on the right.</w:t>
            </w:r>
          </w:p>
        </w:tc>
        <w:tc>
          <w:tcPr>
            <w:tcW w:w="2700" w:type="dxa"/>
            <w:vAlign w:val="center"/>
            <w:hideMark/>
          </w:tcPr>
          <w:p w14:paraId="31B542DE" w14:textId="77777777" w:rsidR="009D31F8" w:rsidRPr="00210AC6" w:rsidRDefault="009D31F8">
            <w:pPr>
              <w:spacing w:before="0" w:after="0"/>
              <w:jc w:val="center"/>
              <w:rPr>
                <w:rFonts w:eastAsia="Times New Roman" w:cs="Arial"/>
                <w:szCs w:val="16"/>
              </w:rPr>
            </w:pPr>
            <w:r>
              <w:t>5</w:t>
            </w:r>
          </w:p>
        </w:tc>
      </w:tr>
      <w:tr w:rsidR="009D31F8" w:rsidRPr="00210AC6" w14:paraId="6DEBB32D" w14:textId="77777777" w:rsidTr="009D31F8">
        <w:trPr>
          <w:trHeight w:val="485"/>
        </w:trPr>
        <w:tc>
          <w:tcPr>
            <w:tcW w:w="7105" w:type="dxa"/>
            <w:vAlign w:val="center"/>
            <w:hideMark/>
          </w:tcPr>
          <w:p w14:paraId="52ACEE56" w14:textId="77777777" w:rsidR="009D31F8" w:rsidRPr="00210AC6" w:rsidRDefault="009D31F8">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14:paraId="4F403986" w14:textId="77777777" w:rsidR="009D31F8" w:rsidRPr="00210AC6" w:rsidRDefault="009D31F8">
            <w:pPr>
              <w:spacing w:before="0" w:after="0"/>
              <w:jc w:val="center"/>
              <w:rPr>
                <w:rFonts w:eastAsia="Times New Roman" w:cs="Arial"/>
                <w:szCs w:val="16"/>
              </w:rPr>
            </w:pPr>
            <w:r>
              <w:t>19</w:t>
            </w:r>
          </w:p>
        </w:tc>
      </w:tr>
    </w:tbl>
    <w:p w14:paraId="78C39D50" w14:textId="77777777" w:rsidR="009D31F8" w:rsidRDefault="009D31F8" w:rsidP="000135C2">
      <w:pPr>
        <w:rPr>
          <w:rFonts w:cs="Arial"/>
          <w:szCs w:val="16"/>
        </w:rPr>
      </w:pPr>
    </w:p>
    <w:p w14:paraId="1A33A264" w14:textId="4BF363E4" w:rsidR="00AA07A0" w:rsidRPr="00D731C8" w:rsidRDefault="009D31F8" w:rsidP="00D731C8">
      <w:pPr>
        <w:rPr>
          <w:rFonts w:cs="Arial"/>
          <w:b/>
          <w:bCs/>
          <w:szCs w:val="16"/>
        </w:rPr>
      </w:pPr>
      <w:r w:rsidRPr="00D731C8">
        <w:rPr>
          <w:b/>
          <w:bCs/>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r w:rsidR="00AA07A0" w:rsidRPr="00D731C8">
        <w:rPr>
          <w:rFonts w:cs="Arial"/>
          <w:b/>
          <w:bCs/>
          <w:szCs w:val="16"/>
        </w:rPr>
        <w:br w:type="page"/>
      </w:r>
    </w:p>
    <w:p w14:paraId="7B476875" w14:textId="56179E3E" w:rsidR="00F2466D" w:rsidRPr="009D31F8" w:rsidRDefault="009D31F8" w:rsidP="000135C2">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7DB9D813" w14:textId="77777777" w:rsidTr="005032AF">
        <w:trPr>
          <w:trHeight w:val="458"/>
        </w:trPr>
        <w:tc>
          <w:tcPr>
            <w:tcW w:w="1968" w:type="dxa"/>
            <w:vAlign w:val="center"/>
            <w:hideMark/>
          </w:tcPr>
          <w:p w14:paraId="044FBB2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1CB633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72A92617"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5E2731A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20A8907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6B304846" w14:textId="77777777" w:rsidTr="005032AF">
        <w:trPr>
          <w:trHeight w:val="828"/>
        </w:trPr>
        <w:tc>
          <w:tcPr>
            <w:tcW w:w="1968" w:type="dxa"/>
            <w:vAlign w:val="center"/>
            <w:hideMark/>
          </w:tcPr>
          <w:p w14:paraId="5DA3445E" w14:textId="66782D66" w:rsidR="008558B7" w:rsidRPr="00210AC6" w:rsidRDefault="008558B7" w:rsidP="008558B7">
            <w:pPr>
              <w:spacing w:before="0" w:after="0"/>
              <w:jc w:val="center"/>
              <w:rPr>
                <w:rFonts w:eastAsia="Times New Roman" w:cs="Arial"/>
                <w:b/>
                <w:bCs/>
                <w:szCs w:val="16"/>
              </w:rPr>
            </w:pPr>
            <w:r>
              <w:rPr>
                <w:rFonts w:cs="Arial"/>
                <w:b/>
                <w:bCs/>
              </w:rPr>
              <w:t xml:space="preserve"> Child Count/Settings Due Date: 7/30/25</w:t>
            </w:r>
          </w:p>
        </w:tc>
        <w:tc>
          <w:tcPr>
            <w:tcW w:w="1968" w:type="dxa"/>
            <w:vAlign w:val="center"/>
            <w:hideMark/>
          </w:tcPr>
          <w:p w14:paraId="5B82A08A" w14:textId="3E25A48E"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D55B888" w14:textId="764AA7F4"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1C95108D" w14:textId="6A7A2D0D" w:rsidR="008558B7" w:rsidRPr="00210AC6" w:rsidRDefault="008558B7" w:rsidP="008558B7">
            <w:pPr>
              <w:spacing w:before="0" w:after="0"/>
              <w:jc w:val="center"/>
              <w:rPr>
                <w:rFonts w:eastAsia="Times New Roman" w:cs="Arial"/>
                <w:b/>
                <w:bCs/>
                <w:szCs w:val="16"/>
              </w:rPr>
            </w:pPr>
            <w:r>
              <w:t>0</w:t>
            </w:r>
          </w:p>
        </w:tc>
        <w:tc>
          <w:tcPr>
            <w:tcW w:w="1969" w:type="dxa"/>
            <w:noWrap/>
            <w:vAlign w:val="center"/>
            <w:hideMark/>
          </w:tcPr>
          <w:p w14:paraId="1DA8AE37" w14:textId="0784CDF8" w:rsidR="008558B7" w:rsidRPr="00210AC6" w:rsidRDefault="008558B7" w:rsidP="008558B7">
            <w:pPr>
              <w:spacing w:before="0" w:after="0"/>
              <w:jc w:val="center"/>
              <w:rPr>
                <w:rFonts w:eastAsia="Times New Roman" w:cs="Arial"/>
                <w:b/>
                <w:bCs/>
                <w:szCs w:val="16"/>
              </w:rPr>
            </w:pPr>
            <w:r>
              <w:t>2</w:t>
            </w:r>
          </w:p>
        </w:tc>
      </w:tr>
      <w:tr w:rsidR="008558B7" w:rsidRPr="00210AC6" w14:paraId="716C8A41" w14:textId="77777777" w:rsidTr="005032AF">
        <w:trPr>
          <w:trHeight w:val="828"/>
        </w:trPr>
        <w:tc>
          <w:tcPr>
            <w:tcW w:w="1968" w:type="dxa"/>
            <w:vAlign w:val="center"/>
            <w:hideMark/>
          </w:tcPr>
          <w:p w14:paraId="36518C88" w14:textId="4DA7D3F5" w:rsidR="008558B7" w:rsidRPr="00210AC6" w:rsidRDefault="008558B7" w:rsidP="008558B7">
            <w:pPr>
              <w:spacing w:before="0" w:after="0"/>
              <w:jc w:val="center"/>
              <w:rPr>
                <w:rFonts w:eastAsia="Times New Roman" w:cs="Arial"/>
                <w:b/>
                <w:bCs/>
                <w:szCs w:val="16"/>
              </w:rPr>
            </w:pPr>
            <w:r>
              <w:rPr>
                <w:rFonts w:cs="Arial"/>
                <w:b/>
                <w:bCs/>
              </w:rPr>
              <w:t>Exiting Due Date: 2/18/26</w:t>
            </w:r>
          </w:p>
        </w:tc>
        <w:tc>
          <w:tcPr>
            <w:tcW w:w="1968" w:type="dxa"/>
            <w:vAlign w:val="center"/>
            <w:hideMark/>
          </w:tcPr>
          <w:p w14:paraId="718914D8" w14:textId="02A5EED7"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32F1A1B3" w14:textId="4D9C140F"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7AD513FC" w14:textId="4590BAEC"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5B6CA115" w14:textId="47FC989A" w:rsidR="008558B7" w:rsidRPr="00210AC6" w:rsidRDefault="008558B7" w:rsidP="008558B7">
            <w:pPr>
              <w:spacing w:before="0" w:after="0"/>
              <w:jc w:val="center"/>
              <w:rPr>
                <w:rFonts w:eastAsia="Times New Roman" w:cs="Arial"/>
                <w:b/>
                <w:bCs/>
                <w:szCs w:val="16"/>
              </w:rPr>
            </w:pPr>
            <w:r>
              <w:t>3</w:t>
            </w:r>
          </w:p>
        </w:tc>
      </w:tr>
      <w:tr w:rsidR="008558B7" w:rsidRPr="00210AC6" w14:paraId="24A33538" w14:textId="77777777" w:rsidTr="005032AF">
        <w:trPr>
          <w:trHeight w:val="828"/>
        </w:trPr>
        <w:tc>
          <w:tcPr>
            <w:tcW w:w="1968" w:type="dxa"/>
            <w:vAlign w:val="center"/>
            <w:hideMark/>
          </w:tcPr>
          <w:p w14:paraId="6C00C178" w14:textId="3A7B3EA9" w:rsidR="008558B7" w:rsidRPr="00210AC6" w:rsidRDefault="008558B7" w:rsidP="008558B7">
            <w:pPr>
              <w:spacing w:before="0" w:after="0"/>
              <w:jc w:val="center"/>
              <w:rPr>
                <w:rFonts w:eastAsia="Times New Roman" w:cs="Arial"/>
                <w:b/>
                <w:bCs/>
                <w:szCs w:val="16"/>
              </w:rPr>
            </w:pPr>
            <w:r>
              <w:rPr>
                <w:rFonts w:cs="Arial"/>
                <w:b/>
                <w:bCs/>
              </w:rPr>
              <w:t>Dispute Resolution Due Date: 11/19/25</w:t>
            </w:r>
          </w:p>
        </w:tc>
        <w:tc>
          <w:tcPr>
            <w:tcW w:w="1968" w:type="dxa"/>
            <w:vAlign w:val="center"/>
            <w:hideMark/>
          </w:tcPr>
          <w:p w14:paraId="740AFB1F" w14:textId="62DE9166"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6450CF11" w14:textId="44E6B758" w:rsidR="008558B7" w:rsidRPr="00210AC6" w:rsidRDefault="008558B7" w:rsidP="008558B7">
            <w:pPr>
              <w:spacing w:before="0" w:after="0"/>
              <w:jc w:val="center"/>
              <w:rPr>
                <w:rFonts w:eastAsia="Times New Roman" w:cs="Arial"/>
                <w:b/>
                <w:bCs/>
                <w:szCs w:val="16"/>
              </w:rPr>
            </w:pPr>
            <w:r>
              <w:t>1</w:t>
            </w:r>
          </w:p>
        </w:tc>
        <w:tc>
          <w:tcPr>
            <w:tcW w:w="1968" w:type="dxa"/>
            <w:vAlign w:val="center"/>
            <w:hideMark/>
          </w:tcPr>
          <w:p w14:paraId="0B24B44B" w14:textId="462122ED" w:rsidR="008558B7" w:rsidRPr="00210AC6" w:rsidRDefault="008558B7" w:rsidP="008558B7">
            <w:pPr>
              <w:spacing w:before="0" w:after="0"/>
              <w:jc w:val="center"/>
              <w:rPr>
                <w:rFonts w:eastAsia="Times New Roman" w:cs="Arial"/>
                <w:b/>
                <w:bCs/>
                <w:szCs w:val="16"/>
              </w:rPr>
            </w:pPr>
            <w:r>
              <w:t>1</w:t>
            </w:r>
          </w:p>
        </w:tc>
        <w:tc>
          <w:tcPr>
            <w:tcW w:w="1969" w:type="dxa"/>
            <w:noWrap/>
            <w:vAlign w:val="center"/>
            <w:hideMark/>
          </w:tcPr>
          <w:p w14:paraId="1A25510E" w14:textId="334DE016" w:rsidR="008558B7" w:rsidRPr="00210AC6" w:rsidRDefault="008558B7" w:rsidP="008558B7">
            <w:pPr>
              <w:spacing w:before="0" w:after="0"/>
              <w:jc w:val="center"/>
              <w:rPr>
                <w:rFonts w:eastAsia="Times New Roman" w:cs="Arial"/>
                <w:b/>
                <w:bCs/>
                <w:szCs w:val="16"/>
              </w:rPr>
            </w:pPr>
            <w:r>
              <w:t>3</w:t>
            </w:r>
          </w:p>
        </w:tc>
      </w:tr>
    </w:tbl>
    <w:p w14:paraId="3067138D" w14:textId="77777777" w:rsidR="000135C2" w:rsidRDefault="000135C2" w:rsidP="000135C2">
      <w:pPr>
        <w:rPr>
          <w:rFonts w:cs="Arial"/>
          <w:color w:val="000000" w:themeColor="text1"/>
          <w:szCs w:val="16"/>
        </w:rPr>
      </w:pPr>
    </w:p>
    <w:p w14:paraId="5B89FD5E" w14:textId="2B441D74" w:rsidR="009D31F8" w:rsidRDefault="009D31F8" w:rsidP="000135C2">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009D31F8" w:rsidRPr="00210AC6" w14:paraId="5D584897" w14:textId="77777777" w:rsidTr="009D31F8">
        <w:trPr>
          <w:trHeight w:val="557"/>
        </w:trPr>
        <w:tc>
          <w:tcPr>
            <w:tcW w:w="7825" w:type="dxa"/>
            <w:vAlign w:val="center"/>
            <w:hideMark/>
          </w:tcPr>
          <w:p w14:paraId="1D64CC0F" w14:textId="77777777" w:rsidR="009D31F8" w:rsidRPr="00210AC6" w:rsidRDefault="009D31F8" w:rsidP="009D31F8">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14:paraId="3EF5234E" w14:textId="77777777" w:rsidR="009D31F8" w:rsidRPr="00210AC6" w:rsidRDefault="009D31F8">
            <w:pPr>
              <w:spacing w:before="0" w:after="0"/>
              <w:jc w:val="center"/>
              <w:rPr>
                <w:rFonts w:eastAsia="Times New Roman" w:cs="Arial"/>
                <w:szCs w:val="16"/>
              </w:rPr>
            </w:pPr>
            <w:r>
              <w:t>8</w:t>
            </w:r>
          </w:p>
        </w:tc>
      </w:tr>
      <w:tr w:rsidR="009D31F8" w:rsidRPr="00210AC6" w14:paraId="366BAD8E" w14:textId="77777777" w:rsidTr="009D31F8">
        <w:trPr>
          <w:trHeight w:val="530"/>
        </w:trPr>
        <w:tc>
          <w:tcPr>
            <w:tcW w:w="7825" w:type="dxa"/>
            <w:vAlign w:val="center"/>
            <w:hideMark/>
          </w:tcPr>
          <w:p w14:paraId="1EE5C038" w14:textId="06CEDDD0" w:rsidR="009D31F8" w:rsidRPr="00210AC6" w:rsidRDefault="009D31F8" w:rsidP="009D31F8">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00FA4462">
              <w:rPr>
                <w:rFonts w:eastAsia="Times New Roman" w:cs="Arial"/>
                <w:szCs w:val="16"/>
              </w:rPr>
              <w:t>.11111111</w:t>
            </w:r>
            <w:r w:rsidRPr="00210AC6">
              <w:rPr>
                <w:rFonts w:eastAsia="Times New Roman" w:cs="Arial"/>
                <w:szCs w:val="16"/>
              </w:rPr>
              <w:t>) =</w:t>
            </w:r>
          </w:p>
        </w:tc>
        <w:tc>
          <w:tcPr>
            <w:tcW w:w="1973" w:type="dxa"/>
            <w:noWrap/>
            <w:vAlign w:val="center"/>
            <w:hideMark/>
          </w:tcPr>
          <w:p w14:paraId="6F0BE561" w14:textId="77777777" w:rsidR="009D31F8" w:rsidRPr="00210AC6" w:rsidRDefault="009D31F8">
            <w:pPr>
              <w:spacing w:before="0" w:after="0"/>
              <w:jc w:val="center"/>
              <w:rPr>
                <w:rFonts w:eastAsia="Times New Roman" w:cs="Arial"/>
                <w:szCs w:val="16"/>
              </w:rPr>
            </w:pPr>
            <w:r>
              <w:t>16.89</w:t>
            </w:r>
          </w:p>
        </w:tc>
      </w:tr>
    </w:tbl>
    <w:p w14:paraId="543038A0" w14:textId="77777777" w:rsidR="009D31F8" w:rsidRPr="00210AC6" w:rsidRDefault="009D31F8" w:rsidP="000135C2">
      <w:pPr>
        <w:rPr>
          <w:rFonts w:cs="Arial"/>
          <w:color w:val="000000" w:themeColor="text1"/>
          <w:szCs w:val="16"/>
        </w:rPr>
      </w:pPr>
    </w:p>
    <w:p w14:paraId="7D65D7B8" w14:textId="4FABBE44" w:rsidR="000135C2" w:rsidRPr="00210AC6" w:rsidRDefault="009D31F8" w:rsidP="000135C2">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004A2E39" w:rsidRPr="00210AC6" w14:paraId="0B93867F" w14:textId="77777777" w:rsidTr="005032AF">
        <w:trPr>
          <w:trHeight w:val="432"/>
        </w:trPr>
        <w:tc>
          <w:tcPr>
            <w:tcW w:w="5665" w:type="dxa"/>
            <w:vAlign w:val="center"/>
            <w:hideMark/>
          </w:tcPr>
          <w:p w14:paraId="35C234D7"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14:paraId="7671ECBA" w14:textId="73210BF7" w:rsidR="004A2E39" w:rsidRPr="00210AC6" w:rsidRDefault="004A2E39" w:rsidP="005032AF">
            <w:pPr>
              <w:spacing w:before="0" w:after="0"/>
              <w:jc w:val="center"/>
              <w:rPr>
                <w:rFonts w:eastAsia="Times New Roman" w:cs="Arial"/>
                <w:szCs w:val="16"/>
              </w:rPr>
            </w:pPr>
            <w:r>
              <w:t>19</w:t>
            </w:r>
          </w:p>
        </w:tc>
      </w:tr>
      <w:tr w:rsidR="004A2E39" w:rsidRPr="00210AC6" w14:paraId="539166C5" w14:textId="77777777" w:rsidTr="005032AF">
        <w:trPr>
          <w:trHeight w:val="432"/>
        </w:trPr>
        <w:tc>
          <w:tcPr>
            <w:tcW w:w="5665" w:type="dxa"/>
            <w:vAlign w:val="center"/>
            <w:hideMark/>
          </w:tcPr>
          <w:p w14:paraId="359B7168"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14:paraId="275A7042" w14:textId="2B5E9662" w:rsidR="004A2E39" w:rsidRPr="00210AC6" w:rsidRDefault="004A2E39" w:rsidP="005032AF">
            <w:pPr>
              <w:spacing w:before="0" w:after="0"/>
              <w:jc w:val="center"/>
              <w:rPr>
                <w:rFonts w:eastAsia="Times New Roman" w:cs="Arial"/>
                <w:szCs w:val="16"/>
              </w:rPr>
            </w:pPr>
            <w:r>
              <w:t>16.89</w:t>
            </w:r>
          </w:p>
        </w:tc>
      </w:tr>
      <w:tr w:rsidR="004A2E39" w:rsidRPr="00210AC6" w14:paraId="2F0D35A0" w14:textId="77777777" w:rsidTr="005032AF">
        <w:trPr>
          <w:trHeight w:val="432"/>
        </w:trPr>
        <w:tc>
          <w:tcPr>
            <w:tcW w:w="5665" w:type="dxa"/>
            <w:vAlign w:val="center"/>
            <w:hideMark/>
          </w:tcPr>
          <w:p w14:paraId="0C2088C2"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14:paraId="572B3140" w14:textId="766A218C" w:rsidR="004A2E39" w:rsidRPr="00210AC6" w:rsidRDefault="004A2E39" w:rsidP="005032AF">
            <w:pPr>
              <w:spacing w:before="0" w:after="0"/>
              <w:jc w:val="center"/>
              <w:rPr>
                <w:rFonts w:eastAsia="Times New Roman" w:cs="Arial"/>
                <w:szCs w:val="16"/>
              </w:rPr>
            </w:pPr>
            <w:r>
              <w:t>35.89</w:t>
            </w:r>
          </w:p>
        </w:tc>
      </w:tr>
      <w:tr w:rsidR="004A2E39" w:rsidRPr="00210AC6" w14:paraId="66370322" w14:textId="77777777" w:rsidTr="005032AF">
        <w:trPr>
          <w:trHeight w:val="432"/>
        </w:trPr>
        <w:tc>
          <w:tcPr>
            <w:tcW w:w="5665" w:type="dxa"/>
            <w:vAlign w:val="center"/>
            <w:hideMark/>
          </w:tcPr>
          <w:p w14:paraId="28CEF8A5" w14:textId="292AFFF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14:paraId="27258A4A" w14:textId="0023BF2F" w:rsidR="004A2E39" w:rsidRPr="00210AC6" w:rsidRDefault="004A2E39" w:rsidP="005032AF">
            <w:pPr>
              <w:spacing w:before="0" w:after="0"/>
              <w:jc w:val="center"/>
              <w:rPr>
                <w:rFonts w:eastAsia="Times New Roman" w:cs="Arial"/>
                <w:szCs w:val="16"/>
              </w:rPr>
            </w:pPr>
            <w:r>
              <w:t>0</w:t>
            </w:r>
          </w:p>
        </w:tc>
      </w:tr>
      <w:tr w:rsidR="004A2E39" w:rsidRPr="00210AC6" w14:paraId="485AF70A" w14:textId="77777777" w:rsidTr="005032AF">
        <w:trPr>
          <w:trHeight w:val="432"/>
        </w:trPr>
        <w:tc>
          <w:tcPr>
            <w:tcW w:w="5665" w:type="dxa"/>
            <w:vAlign w:val="center"/>
            <w:hideMark/>
          </w:tcPr>
          <w:p w14:paraId="67802FC7" w14:textId="71AA6D63" w:rsidR="004A2E39" w:rsidRPr="00210AC6" w:rsidRDefault="004A2E39" w:rsidP="004A2E39">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14:paraId="3BB5CBDF" w14:textId="56484DCA" w:rsidR="004A2E39" w:rsidRPr="00210AC6" w:rsidRDefault="004A2E39" w:rsidP="005032AF">
            <w:pPr>
              <w:spacing w:before="0" w:after="0"/>
              <w:jc w:val="center"/>
              <w:rPr>
                <w:rFonts w:eastAsia="Times New Roman" w:cs="Arial"/>
                <w:szCs w:val="16"/>
              </w:rPr>
            </w:pPr>
            <w:r>
              <w:t>0.00</w:t>
            </w:r>
          </w:p>
        </w:tc>
      </w:tr>
      <w:tr w:rsidR="004A2E39" w:rsidRPr="00210AC6" w14:paraId="0BAB0C30" w14:textId="77777777" w:rsidTr="005032AF">
        <w:trPr>
          <w:trHeight w:val="432"/>
        </w:trPr>
        <w:tc>
          <w:tcPr>
            <w:tcW w:w="5665" w:type="dxa"/>
            <w:vAlign w:val="center"/>
            <w:hideMark/>
          </w:tcPr>
          <w:p w14:paraId="64C409FB" w14:textId="5C2CBD4A"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14:paraId="4FBFC9BC" w14:textId="04015575" w:rsidR="004A2E39" w:rsidRPr="00210AC6" w:rsidRDefault="004A2E39" w:rsidP="005032AF">
            <w:pPr>
              <w:spacing w:before="0" w:after="0"/>
              <w:jc w:val="center"/>
              <w:rPr>
                <w:rFonts w:eastAsia="Times New Roman" w:cs="Arial"/>
                <w:szCs w:val="16"/>
              </w:rPr>
            </w:pPr>
            <w:r>
              <w:t>38.00</w:t>
            </w:r>
          </w:p>
        </w:tc>
      </w:tr>
      <w:tr w:rsidR="004A2E39" w:rsidRPr="00210AC6" w14:paraId="313D2E20" w14:textId="77777777" w:rsidTr="005032AF">
        <w:trPr>
          <w:trHeight w:val="432"/>
        </w:trPr>
        <w:tc>
          <w:tcPr>
            <w:tcW w:w="5665" w:type="dxa"/>
            <w:vAlign w:val="center"/>
            <w:hideMark/>
          </w:tcPr>
          <w:p w14:paraId="3BFF4D94" w14:textId="3D3D7F14"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14:paraId="4C4FECD3" w14:textId="6A98D3C6" w:rsidR="004A2E39" w:rsidRPr="00210AC6" w:rsidRDefault="004A2E39" w:rsidP="005032AF">
            <w:pPr>
              <w:spacing w:before="0" w:after="0"/>
              <w:jc w:val="center"/>
              <w:rPr>
                <w:rFonts w:eastAsia="Times New Roman" w:cs="Arial"/>
                <w:szCs w:val="16"/>
              </w:rPr>
            </w:pPr>
            <w:r>
              <w:t>0.9444</w:t>
            </w:r>
          </w:p>
        </w:tc>
      </w:tr>
      <w:tr w:rsidR="004A2E39" w:rsidRPr="00210AC6" w14:paraId="30E510D4" w14:textId="77777777" w:rsidTr="005032AF">
        <w:trPr>
          <w:trHeight w:val="432"/>
        </w:trPr>
        <w:tc>
          <w:tcPr>
            <w:tcW w:w="5665" w:type="dxa"/>
            <w:vAlign w:val="center"/>
            <w:hideMark/>
          </w:tcPr>
          <w:p w14:paraId="131F4271"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14:paraId="3144A119" w14:textId="2E9A2561" w:rsidR="004A2E39" w:rsidRPr="00210AC6" w:rsidRDefault="004A2E39" w:rsidP="005032AF">
            <w:pPr>
              <w:spacing w:before="0" w:after="0"/>
              <w:jc w:val="center"/>
              <w:rPr>
                <w:rFonts w:eastAsia="Times New Roman" w:cs="Arial"/>
                <w:szCs w:val="16"/>
              </w:rPr>
            </w:pPr>
            <w:r>
              <w:t>94.44</w:t>
            </w:r>
          </w:p>
        </w:tc>
      </w:tr>
    </w:tbl>
    <w:p w14:paraId="4A88E261" w14:textId="77777777" w:rsidR="001A0793" w:rsidRDefault="001A0793" w:rsidP="000135C2">
      <w:pPr>
        <w:rPr>
          <w:rFonts w:eastAsia="Times New Roman" w:cs="Arial"/>
          <w:b/>
          <w:bCs/>
          <w:szCs w:val="16"/>
        </w:rPr>
      </w:pPr>
    </w:p>
    <w:p w14:paraId="45446BD1" w14:textId="6C235D15" w:rsidR="009D31F8" w:rsidRPr="00D731C8" w:rsidRDefault="009D31F8" w:rsidP="009D31F8">
      <w:pPr>
        <w:spacing w:after="120"/>
        <w:rPr>
          <w:b/>
          <w:bCs/>
        </w:rPr>
      </w:pPr>
      <w:r w:rsidRPr="00D731C8">
        <w:rPr>
          <w:b/>
          <w:bCs/>
        </w:rPr>
        <w:t>(2) In the 618 Data table, when calculating the value in the Total column, any N/As in the Timely, Complete Data, or Passed Edit Checks columns are treated as a ‘0’. An N/A does not negatively affect a State's score; this is because 2.11111111 points are subtracted from the Denominator in the Indicator Calculation table for each cell marked as N/A in the 618 Data table.</w:t>
      </w:r>
    </w:p>
    <w:p w14:paraId="4D089C92" w14:textId="17E74999" w:rsidR="00FD2AA0" w:rsidRDefault="009D31F8" w:rsidP="00DC6D97">
      <w:pPr>
        <w:rPr>
          <w:b/>
          <w:bCs/>
        </w:rPr>
      </w:pPr>
      <w:r w:rsidRPr="00D731C8">
        <w:rPr>
          <w:b/>
          <w:bCs/>
        </w:rPr>
        <w:t>(3) Note that any cell marked as N/A in the APR Data Table will decrease the denominator by 1, and any cell marked as N/A in the 618 Data Table will decrease the denominator by 2.11111111.</w:t>
      </w:r>
    </w:p>
    <w:p w14:paraId="5992F4B1" w14:textId="77777777" w:rsidR="00FD2AA0" w:rsidRDefault="00FD2AA0" w:rsidP="00DC6D97">
      <w:pPr>
        <w:rPr>
          <w:b/>
          <w:bCs/>
        </w:rPr>
      </w:pPr>
    </w:p>
    <w:p w14:paraId="7483F12B" w14:textId="77777777" w:rsidR="00FD2AA0" w:rsidRDefault="00FD2AA0" w:rsidP="00DC6D97">
      <w:pPr>
        <w:rPr>
          <w:b/>
          <w:bCs/>
        </w:rPr>
      </w:pPr>
    </w:p>
    <w:p w14:paraId="038DFFCF" w14:textId="77777777" w:rsidR="00FD2AA0" w:rsidRPr="00DC6D97" w:rsidRDefault="00FD2AA0" w:rsidP="00DC6D97">
      <w:pPr>
        <w:rPr>
          <w:b/>
          <w:bCs/>
        </w:rPr>
      </w:pPr>
    </w:p>
    <w:p w14:paraId="64D1AEC4" w14:textId="5B2A7F86" w:rsidR="00DC6D97" w:rsidRDefault="00DC6D97" w:rsidP="00DC6D97"/>
    <w:p w14:paraId="086B2E38" w14:textId="12D8DB76" w:rsidR="00DC6D97" w:rsidRDefault="00DC6D97" w:rsidP="00DC6D97"/>
    <w:p w14:paraId="2467EB6D" w14:textId="77777777" w:rsidR="00DC6D97" w:rsidRPr="00DC6D97" w:rsidRDefault="00DC6D97" w:rsidP="00DC6D97"/>
    <w:p w14:paraId="6752827D" w14:textId="2B0103CA" w:rsidR="00A241E8" w:rsidRDefault="00A241E8">
      <w:pPr>
        <w:spacing w:before="0" w:after="200" w:line="276" w:lineRule="auto"/>
      </w:pPr>
      <w:r>
        <w:br w:type="page"/>
      </w:r>
    </w:p>
    <w:p w14:paraId="5959AD1D" w14:textId="3C0EB096" w:rsidR="008A41E6" w:rsidRPr="008A41E6" w:rsidRDefault="008A41E6" w:rsidP="008A41E6">
      <w:pPr>
        <w:rPr>
          <w:b/>
          <w:bCs/>
          <w:sz w:val="20"/>
          <w:szCs w:val="28"/>
        </w:rPr>
      </w:pPr>
      <w:r w:rsidRPr="008A41E6">
        <w:rPr>
          <w:b/>
          <w:bCs/>
          <w:sz w:val="20"/>
          <w:szCs w:val="28"/>
        </w:rPr>
        <w:lastRenderedPageBreak/>
        <w:t>APR and 618 -Timely and Accurate State Reported Data</w:t>
      </w:r>
    </w:p>
    <w:p w14:paraId="1A994B3A" w14:textId="05E7B6A8" w:rsidR="008A41E6" w:rsidRDefault="008A41E6" w:rsidP="008A41E6"/>
    <w:p w14:paraId="2557028E" w14:textId="251FBF60" w:rsidR="008A41E6" w:rsidRPr="008A41E6" w:rsidRDefault="008A41E6" w:rsidP="008A41E6">
      <w:pPr>
        <w:rPr>
          <w:b/>
          <w:bCs/>
        </w:rPr>
      </w:pPr>
      <w:r w:rsidRPr="008A41E6">
        <w:rPr>
          <w:b/>
          <w:bCs/>
        </w:rPr>
        <w:t>DATE: February 2026 Submission</w:t>
      </w:r>
    </w:p>
    <w:p w14:paraId="6428EBD3" w14:textId="10EBDA7E" w:rsidR="008A41E6" w:rsidRDefault="008A41E6" w:rsidP="008A41E6"/>
    <w:p w14:paraId="07678103" w14:textId="77777777" w:rsidR="004D63DC" w:rsidRDefault="004D63DC" w:rsidP="008A41E6">
      <w:pPr>
        <w:rPr>
          <w:b/>
          <w:bCs/>
        </w:rPr>
      </w:pPr>
      <w:r>
        <w:rPr>
          <w:b/>
          <w:bCs/>
        </w:rPr>
        <w:t>SPP/APR Data</w:t>
      </w:r>
    </w:p>
    <w:p w14:paraId="59D85CD3" w14:textId="77777777" w:rsidR="004D63DC" w:rsidRDefault="004D63DC" w:rsidP="008A41E6">
      <w:pPr>
        <w:rPr>
          <w:b/>
          <w:bCs/>
        </w:rPr>
      </w:pPr>
    </w:p>
    <w:p w14:paraId="4329C946" w14:textId="5DAE0D50" w:rsidR="008A41E6" w:rsidRDefault="008A41E6" w:rsidP="008A41E6">
      <w:r w:rsidRPr="008A41E6">
        <w:rPr>
          <w:b/>
          <w:bCs/>
        </w:rPr>
        <w:t>1) Valid and Reliable Data</w:t>
      </w:r>
      <w:r w:rsidRPr="008A41E6">
        <w:t xml:space="preserve"> - Data provided are from the correct time period, are consistent with 618 (when appropriate) and the measurement</w:t>
      </w:r>
      <w:r w:rsidR="00721540">
        <w:t>,</w:t>
      </w:r>
      <w:r w:rsidRPr="008A41E6">
        <w:t xml:space="preserve"> and are consistent with previous indicator data (unless explained).</w:t>
      </w:r>
    </w:p>
    <w:p w14:paraId="09A8599A" w14:textId="1A822BB6" w:rsidR="008A41E6" w:rsidRDefault="008A41E6" w:rsidP="008A41E6"/>
    <w:p w14:paraId="0ED39287" w14:textId="4C5646EE" w:rsidR="008A41E6" w:rsidRDefault="008A41E6" w:rsidP="008A41E6">
      <w:r w:rsidRPr="008A41E6">
        <w:rPr>
          <w:b/>
          <w:bCs/>
        </w:rPr>
        <w:t>Part C 618 Data</w:t>
      </w:r>
    </w:p>
    <w:p w14:paraId="56DFAC4A" w14:textId="5DE17FC1" w:rsidR="008A41E6" w:rsidRDefault="008A41E6" w:rsidP="008A41E6"/>
    <w:p w14:paraId="2EEEE608" w14:textId="115E9546" w:rsidR="008A41E6" w:rsidRDefault="008A41E6" w:rsidP="008A41E6">
      <w:r w:rsidRPr="008A41E6">
        <w:rPr>
          <w:b/>
          <w:bCs/>
        </w:rPr>
        <w:t>1) Timely</w:t>
      </w:r>
      <w:r w:rsidRPr="008A41E6">
        <w:t xml:space="preserve"> –   A State will receive one point if it </w:t>
      </w:r>
      <w:r w:rsidRPr="00106077">
        <w:t xml:space="preserve">submits </w:t>
      </w:r>
      <w:r w:rsidR="006563F6" w:rsidRPr="00106077">
        <w:t xml:space="preserve">all </w:t>
      </w:r>
      <w:r w:rsidR="006563F6" w:rsidRPr="00E70E58">
        <w:t>ED</w:t>
      </w:r>
      <w:r w:rsidR="006563F6" w:rsidRPr="00E70E58">
        <w:rPr>
          <w:i/>
          <w:iCs/>
        </w:rPr>
        <w:t>Facts</w:t>
      </w:r>
      <w:r w:rsidR="006563F6" w:rsidRPr="00E70E58">
        <w:t xml:space="preserve"> files </w:t>
      </w:r>
      <w:r w:rsidRPr="00106077">
        <w:t>associated</w:t>
      </w:r>
      <w:r w:rsidRPr="008A41E6">
        <w:t xml:space="preserve"> with the IDEA Section 618 data collection to ED by the initial due date for that collection (as described </w:t>
      </w:r>
      <w:r w:rsidR="001D046F">
        <w:t xml:space="preserve">in </w:t>
      </w:r>
      <w:r w:rsidRPr="008A41E6">
        <w:t>the table below)</w:t>
      </w:r>
      <w:r w:rsidR="006F3F34" w:rsidRPr="008A41E6">
        <w:t xml:space="preserve">. </w:t>
      </w:r>
      <w:r w:rsidRPr="008A41E6">
        <w:t xml:space="preserve">  </w:t>
      </w:r>
    </w:p>
    <w:p w14:paraId="69375CF6" w14:textId="0BF63352"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5C446AB4" w14:textId="77777777" w:rsidTr="00E70E58">
        <w:trPr>
          <w:trHeight w:val="290"/>
        </w:trPr>
        <w:tc>
          <w:tcPr>
            <w:tcW w:w="2785" w:type="dxa"/>
            <w:hideMark/>
          </w:tcPr>
          <w:p w14:paraId="7E9517B5" w14:textId="77777777" w:rsidR="008A41E6" w:rsidRPr="008A41E6" w:rsidRDefault="008A41E6" w:rsidP="008A41E6">
            <w:pPr>
              <w:rPr>
                <w:b/>
                <w:bCs/>
              </w:rPr>
            </w:pPr>
            <w:r w:rsidRPr="008A41E6">
              <w:rPr>
                <w:b/>
                <w:bCs/>
              </w:rPr>
              <w:t>618 Data Collection</w:t>
            </w:r>
          </w:p>
        </w:tc>
        <w:tc>
          <w:tcPr>
            <w:tcW w:w="3615" w:type="dxa"/>
            <w:hideMark/>
          </w:tcPr>
          <w:p w14:paraId="38BB8167" w14:textId="079B1077" w:rsidR="008A41E6" w:rsidRPr="0063702E" w:rsidRDefault="00B73622">
            <w:pPr>
              <w:rPr>
                <w:b/>
                <w:bCs/>
              </w:rPr>
            </w:pPr>
            <w:r w:rsidRPr="00E70E58">
              <w:rPr>
                <w:b/>
                <w:bCs/>
              </w:rPr>
              <w:t>ED</w:t>
            </w:r>
            <w:r w:rsidRPr="00E70E58">
              <w:rPr>
                <w:b/>
                <w:bCs/>
                <w:i/>
                <w:iCs/>
              </w:rPr>
              <w:t>Facts</w:t>
            </w:r>
            <w:r w:rsidRPr="00E70E58">
              <w:rPr>
                <w:b/>
                <w:bCs/>
              </w:rPr>
              <w:t xml:space="preserve"> Files</w:t>
            </w:r>
          </w:p>
        </w:tc>
        <w:tc>
          <w:tcPr>
            <w:tcW w:w="3230" w:type="dxa"/>
            <w:hideMark/>
          </w:tcPr>
          <w:p w14:paraId="0C600FA2" w14:textId="77777777" w:rsidR="008A41E6" w:rsidRPr="008A41E6" w:rsidRDefault="008A41E6">
            <w:pPr>
              <w:rPr>
                <w:b/>
                <w:bCs/>
              </w:rPr>
            </w:pPr>
            <w:r w:rsidRPr="008A41E6">
              <w:rPr>
                <w:b/>
                <w:bCs/>
              </w:rPr>
              <w:t>Due Date</w:t>
            </w:r>
          </w:p>
        </w:tc>
      </w:tr>
      <w:tr w:rsidR="00D34E49" w:rsidRPr="008A41E6" w14:paraId="48B0EA70" w14:textId="77777777" w:rsidTr="008A41E6">
        <w:trPr>
          <w:trHeight w:val="340"/>
        </w:trPr>
        <w:tc>
          <w:tcPr>
            <w:tcW w:w="2785" w:type="dxa"/>
            <w:hideMark/>
          </w:tcPr>
          <w:p w14:paraId="47BE65B7" w14:textId="77777777" w:rsidR="00D34E49" w:rsidRPr="008A41E6" w:rsidRDefault="00D34E49" w:rsidP="00D34E49">
            <w:r w:rsidRPr="008A41E6">
              <w:t>Part C Child Count and Setting</w:t>
            </w:r>
          </w:p>
        </w:tc>
        <w:tc>
          <w:tcPr>
            <w:tcW w:w="3615" w:type="dxa"/>
            <w:hideMark/>
          </w:tcPr>
          <w:p w14:paraId="6E50EDA7" w14:textId="5EDCC1FF" w:rsidR="00D34E49" w:rsidRPr="008A41E6" w:rsidRDefault="006C7200" w:rsidP="00D34E49">
            <w:r>
              <w:t>FS</w:t>
            </w:r>
            <w:r w:rsidR="00607423">
              <w:t>90</w:t>
            </w:r>
            <w:r w:rsidR="00BD7E9F">
              <w:t>2</w:t>
            </w:r>
            <w:r w:rsidR="009D2694">
              <w:t>, FS90</w:t>
            </w:r>
            <w:r w:rsidR="00BD7E9F">
              <w:t>3</w:t>
            </w:r>
            <w:r w:rsidR="003C582D">
              <w:t>*</w:t>
            </w:r>
            <w:r w:rsidR="009D2694">
              <w:t>, FS90</w:t>
            </w:r>
            <w:r w:rsidR="00BD7E9F">
              <w:t>4</w:t>
            </w:r>
            <w:r w:rsidR="003C582D">
              <w:t>*</w:t>
            </w:r>
            <w:r w:rsidR="009D2694">
              <w:t>, FS905</w:t>
            </w:r>
          </w:p>
        </w:tc>
        <w:tc>
          <w:tcPr>
            <w:tcW w:w="3230" w:type="dxa"/>
            <w:hideMark/>
          </w:tcPr>
          <w:p w14:paraId="31BA0725" w14:textId="0826D89D" w:rsidR="00D34E49" w:rsidRPr="008A41E6" w:rsidRDefault="00E654EA" w:rsidP="00D34E49">
            <w:r>
              <w:t>7</w:t>
            </w:r>
            <w:r w:rsidR="00D34E49">
              <w:t>/3</w:t>
            </w:r>
            <w:r w:rsidR="000203F5">
              <w:t>0</w:t>
            </w:r>
            <w:r w:rsidR="00D34E49">
              <w:t>/202</w:t>
            </w:r>
            <w:r w:rsidR="000203F5">
              <w:t>5</w:t>
            </w:r>
          </w:p>
        </w:tc>
      </w:tr>
      <w:tr w:rsidR="00D34E49" w:rsidRPr="008A41E6" w14:paraId="1173D2B3" w14:textId="77777777" w:rsidTr="008A41E6">
        <w:trPr>
          <w:trHeight w:val="340"/>
        </w:trPr>
        <w:tc>
          <w:tcPr>
            <w:tcW w:w="2785" w:type="dxa"/>
            <w:hideMark/>
          </w:tcPr>
          <w:p w14:paraId="461E95EA" w14:textId="77777777" w:rsidR="00D34E49" w:rsidRPr="008A41E6" w:rsidRDefault="00D34E49" w:rsidP="00D34E49">
            <w:r w:rsidRPr="008A41E6">
              <w:t>Part C Exiting</w:t>
            </w:r>
          </w:p>
        </w:tc>
        <w:tc>
          <w:tcPr>
            <w:tcW w:w="3615" w:type="dxa"/>
            <w:hideMark/>
          </w:tcPr>
          <w:p w14:paraId="1E6A19F0" w14:textId="6EB7F2C8" w:rsidR="00D34E49" w:rsidRPr="008A41E6" w:rsidRDefault="007169B7" w:rsidP="00D34E49">
            <w:r>
              <w:t>FS901</w:t>
            </w:r>
          </w:p>
        </w:tc>
        <w:tc>
          <w:tcPr>
            <w:tcW w:w="3230" w:type="dxa"/>
            <w:hideMark/>
          </w:tcPr>
          <w:p w14:paraId="6771BD30" w14:textId="4F83F7DD" w:rsidR="00D34E49" w:rsidRPr="008A41E6" w:rsidRDefault="000203F5" w:rsidP="00D34E49">
            <w:r>
              <w:t>2</w:t>
            </w:r>
            <w:r w:rsidR="00D34E49">
              <w:t>/</w:t>
            </w:r>
            <w:r>
              <w:t>18</w:t>
            </w:r>
            <w:r w:rsidR="00D34E49">
              <w:t>/</w:t>
            </w:r>
            <w:r>
              <w:t>2026</w:t>
            </w:r>
          </w:p>
        </w:tc>
      </w:tr>
      <w:tr w:rsidR="00D34E49" w:rsidRPr="008A41E6" w14:paraId="44C89D7A" w14:textId="77777777" w:rsidTr="008A41E6">
        <w:trPr>
          <w:trHeight w:val="340"/>
        </w:trPr>
        <w:tc>
          <w:tcPr>
            <w:tcW w:w="2785" w:type="dxa"/>
            <w:hideMark/>
          </w:tcPr>
          <w:p w14:paraId="2366E4F6" w14:textId="77777777" w:rsidR="00D34E49" w:rsidRPr="008A41E6" w:rsidRDefault="00D34E49" w:rsidP="00D34E49">
            <w:r w:rsidRPr="008A41E6">
              <w:t xml:space="preserve">Part C Dispute Resolution </w:t>
            </w:r>
          </w:p>
        </w:tc>
        <w:tc>
          <w:tcPr>
            <w:tcW w:w="3615" w:type="dxa"/>
            <w:hideMark/>
          </w:tcPr>
          <w:p w14:paraId="3D6A733B" w14:textId="736171BA" w:rsidR="00D34E49" w:rsidRPr="008A41E6" w:rsidRDefault="00BC1D62" w:rsidP="00D34E49">
            <w:r>
              <w:t>FS</w:t>
            </w:r>
            <w:r w:rsidR="003961B9">
              <w:t>906, FS907, FS908</w:t>
            </w:r>
          </w:p>
        </w:tc>
        <w:tc>
          <w:tcPr>
            <w:tcW w:w="3230" w:type="dxa"/>
            <w:hideMark/>
          </w:tcPr>
          <w:p w14:paraId="37D36B50" w14:textId="5FE9E6D0" w:rsidR="00D34E49" w:rsidRPr="008A41E6" w:rsidRDefault="00D34E49" w:rsidP="00811738">
            <w:pPr>
              <w:tabs>
                <w:tab w:val="center" w:pos="1507"/>
              </w:tabs>
            </w:pPr>
            <w:r>
              <w:t>11/1</w:t>
            </w:r>
            <w:r w:rsidR="000203F5">
              <w:t>9</w:t>
            </w:r>
            <w:r>
              <w:t>/202</w:t>
            </w:r>
            <w:r w:rsidR="000203F5">
              <w:t>5</w:t>
            </w:r>
          </w:p>
        </w:tc>
      </w:tr>
    </w:tbl>
    <w:p w14:paraId="7F1B7E1E" w14:textId="7D1142B1" w:rsidR="008A41E6" w:rsidRDefault="003C582D" w:rsidP="008A41E6">
      <w:r>
        <w:t>*</w:t>
      </w:r>
      <w:r w:rsidR="0097586C">
        <w:t xml:space="preserve"> </w:t>
      </w:r>
      <w:r w:rsidR="00014171">
        <w:t>if</w:t>
      </w:r>
      <w:r>
        <w:t xml:space="preserve"> applicable</w:t>
      </w:r>
    </w:p>
    <w:p w14:paraId="7ED4327A" w14:textId="77777777" w:rsidR="003C582D" w:rsidRDefault="003C582D" w:rsidP="008A41E6"/>
    <w:p w14:paraId="5A249D59"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14:paraId="28B8ED82" w14:textId="74CFF7DA" w:rsidR="008A41E6" w:rsidRDefault="008A41E6" w:rsidP="008A41E6"/>
    <w:p w14:paraId="2EA74A56" w14:textId="4E232641" w:rsidR="008A41E6" w:rsidRPr="008A41E6" w:rsidRDefault="008A41E6" w:rsidP="008A41E6">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Pr="00924FA7">
        <w:t xml:space="preserve">. </w:t>
      </w:r>
    </w:p>
    <w:p w14:paraId="69646AD1" w14:textId="77777777" w:rsidR="008A41E6" w:rsidRDefault="008A41E6" w:rsidP="008A41E6"/>
    <w:p w14:paraId="0A8D754F" w14:textId="6FDA0BB2" w:rsidR="008A41E6" w:rsidRPr="008A41E6" w:rsidRDefault="008A41E6" w:rsidP="008A41E6">
      <w:pPr>
        <w:spacing w:before="0" w:after="200" w:line="276" w:lineRule="auto"/>
      </w:pPr>
      <w:r>
        <w:br w:type="page"/>
      </w:r>
    </w:p>
    <w:p w14:paraId="6054DF11" w14:textId="77777777" w:rsidR="00D21F29" w:rsidRPr="00CE7212" w:rsidRDefault="00D21F29" w:rsidP="00D21F29">
      <w:pPr>
        <w:pStyle w:val="Heading2"/>
        <w:rPr>
          <w:b w:val="0"/>
          <w:bCs w:val="0"/>
        </w:rPr>
      </w:pPr>
      <w:bookmarkStart w:id="102" w:name="_Hlk158188058"/>
      <w:r w:rsidRPr="00CE7212">
        <w:lastRenderedPageBreak/>
        <w:t>Dispute Resolution</w:t>
      </w:r>
    </w:p>
    <w:p w14:paraId="023C5A41" w14:textId="77777777" w:rsidR="00D21F29" w:rsidRPr="00CE7212" w:rsidRDefault="00D21F29" w:rsidP="00D21F29">
      <w:pPr>
        <w:rPr>
          <w:b/>
          <w:bCs/>
          <w:sz w:val="18"/>
          <w:szCs w:val="24"/>
        </w:rPr>
      </w:pPr>
      <w:r w:rsidRPr="00CE7212">
        <w:rPr>
          <w:b/>
          <w:bCs/>
          <w:sz w:val="18"/>
          <w:szCs w:val="24"/>
        </w:rPr>
        <w:t>IDEA Part C</w:t>
      </w:r>
    </w:p>
    <w:p w14:paraId="605F3046" w14:textId="77777777" w:rsidR="00D21F29" w:rsidRPr="00CE7212" w:rsidRDefault="00D21F29" w:rsidP="00D21F29">
      <w:pPr>
        <w:rPr>
          <w:b/>
          <w:bCs/>
          <w:sz w:val="18"/>
          <w:szCs w:val="24"/>
        </w:rPr>
      </w:pPr>
      <w:r w:rsidRPr="00CE7212">
        <w:rPr>
          <w:b/>
          <w:bCs/>
          <w:sz w:val="18"/>
          <w:szCs w:val="24"/>
        </w:rPr>
        <w:t>Massachusetts</w:t>
      </w:r>
    </w:p>
    <w:p w14:paraId="3ECBE445" w14:textId="7DCDC11B" w:rsidR="00D21F29" w:rsidRPr="00CE7212" w:rsidRDefault="00D21F29" w:rsidP="00D21F29">
      <w:pPr>
        <w:rPr>
          <w:b/>
          <w:bCs/>
          <w:sz w:val="18"/>
          <w:szCs w:val="24"/>
        </w:rPr>
      </w:pPr>
      <w:r w:rsidRPr="00CE7212">
        <w:rPr>
          <w:b/>
          <w:bCs/>
          <w:sz w:val="18"/>
          <w:szCs w:val="24"/>
        </w:rPr>
        <w:t>Year 2024-25</w:t>
      </w:r>
    </w:p>
    <w:p w14:paraId="788342D9" w14:textId="77777777" w:rsidR="00D21F29" w:rsidRPr="00597743" w:rsidRDefault="00D21F29" w:rsidP="00D21F29">
      <w:pPr>
        <w:spacing w:before="0" w:after="0"/>
        <w:rPr>
          <w:szCs w:val="16"/>
        </w:rPr>
      </w:pPr>
    </w:p>
    <w:p w14:paraId="5EA88314" w14:textId="77777777" w:rsidR="00D21F29" w:rsidRPr="00597743" w:rsidRDefault="00D21F29" w:rsidP="00D21F29">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734"/>
        <w:gridCol w:w="3056"/>
      </w:tblGrid>
      <w:tr w:rsidR="00D21F29" w:rsidRPr="00597743" w14:paraId="1381139F"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01B98709" w14:textId="77777777" w:rsidR="00D21F29" w:rsidRPr="00597743" w:rsidRDefault="00D21F29">
            <w:pPr>
              <w:rPr>
                <w:rFonts w:cs="Arial"/>
                <w:b/>
                <w:bCs/>
                <w:szCs w:val="16"/>
              </w:rPr>
            </w:pPr>
            <w:r w:rsidRPr="00597743">
              <w:rPr>
                <w:rFonts w:cs="Arial"/>
                <w:b/>
                <w:bCs/>
                <w:szCs w:val="16"/>
              </w:rPr>
              <w:t>(1) Total number of written signed complaints filed.</w:t>
            </w:r>
          </w:p>
        </w:tc>
        <w:tc>
          <w:tcPr>
            <w:tcW w:w="1416" w:type="pct"/>
            <w:tcBorders>
              <w:top w:val="single" w:sz="4" w:space="0" w:color="auto"/>
              <w:left w:val="single" w:sz="4" w:space="0" w:color="auto"/>
              <w:bottom w:val="single" w:sz="4" w:space="0" w:color="auto"/>
              <w:right w:val="single" w:sz="4" w:space="0" w:color="auto"/>
            </w:tcBorders>
          </w:tcPr>
          <w:p w14:paraId="457E25E8" w14:textId="77777777" w:rsidR="00D21F29" w:rsidRPr="00597743" w:rsidRDefault="00D21F29">
            <w:pPr>
              <w:rPr>
                <w:rFonts w:cs="Arial"/>
                <w:szCs w:val="16"/>
              </w:rPr>
            </w:pPr>
            <w:r w:rsidRPr="00597743">
              <w:rPr>
                <w:rFonts w:cs="Arial"/>
                <w:szCs w:val="16"/>
              </w:rPr>
              <w:t>3</w:t>
            </w:r>
          </w:p>
        </w:tc>
      </w:tr>
      <w:tr w:rsidR="00D21F29" w:rsidRPr="00597743" w14:paraId="7A6387CD"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59DA792D" w14:textId="77777777" w:rsidR="00D21F29" w:rsidRPr="00597743" w:rsidRDefault="00D21F29">
            <w:pPr>
              <w:rPr>
                <w:rFonts w:cs="Arial"/>
                <w:szCs w:val="16"/>
              </w:rPr>
            </w:pPr>
            <w:r w:rsidRPr="00597743">
              <w:rPr>
                <w:rFonts w:cs="Arial"/>
                <w:szCs w:val="16"/>
              </w:rPr>
              <w:t>(1.1) Complaints with reports issued.</w:t>
            </w:r>
          </w:p>
        </w:tc>
        <w:tc>
          <w:tcPr>
            <w:tcW w:w="1416" w:type="pct"/>
            <w:tcBorders>
              <w:top w:val="single" w:sz="4" w:space="0" w:color="auto"/>
              <w:left w:val="single" w:sz="4" w:space="0" w:color="auto"/>
              <w:bottom w:val="single" w:sz="4" w:space="0" w:color="auto"/>
              <w:right w:val="single" w:sz="4" w:space="0" w:color="auto"/>
            </w:tcBorders>
          </w:tcPr>
          <w:p w14:paraId="2D6798F4" w14:textId="77777777" w:rsidR="00D21F29" w:rsidRPr="00597743" w:rsidRDefault="00D21F29">
            <w:pPr>
              <w:rPr>
                <w:rFonts w:cs="Arial"/>
                <w:szCs w:val="16"/>
              </w:rPr>
            </w:pPr>
            <w:r w:rsidRPr="00597743">
              <w:rPr>
                <w:rFonts w:cs="Arial"/>
                <w:szCs w:val="16"/>
              </w:rPr>
              <w:t>3</w:t>
            </w:r>
          </w:p>
        </w:tc>
      </w:tr>
      <w:tr w:rsidR="00D21F29" w:rsidRPr="00597743" w14:paraId="2A56B790"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575DC865" w14:textId="77777777" w:rsidR="00D21F29" w:rsidRPr="00597743" w:rsidRDefault="00D21F29">
            <w:pPr>
              <w:rPr>
                <w:rFonts w:cs="Arial"/>
                <w:szCs w:val="16"/>
              </w:rPr>
            </w:pPr>
            <w:r w:rsidRPr="00597743">
              <w:rPr>
                <w:rFonts w:cs="Arial"/>
                <w:szCs w:val="16"/>
              </w:rPr>
              <w:t>(1.1) (a) Reports with findings of noncompliance.</w:t>
            </w:r>
          </w:p>
        </w:tc>
        <w:tc>
          <w:tcPr>
            <w:tcW w:w="1416" w:type="pct"/>
            <w:tcBorders>
              <w:top w:val="single" w:sz="4" w:space="0" w:color="auto"/>
              <w:left w:val="single" w:sz="4" w:space="0" w:color="auto"/>
              <w:bottom w:val="single" w:sz="4" w:space="0" w:color="auto"/>
              <w:right w:val="single" w:sz="4" w:space="0" w:color="auto"/>
            </w:tcBorders>
          </w:tcPr>
          <w:p w14:paraId="43DDAD86" w14:textId="77777777" w:rsidR="00D21F29" w:rsidRPr="00597743" w:rsidRDefault="00D21F29">
            <w:pPr>
              <w:rPr>
                <w:rFonts w:cs="Arial"/>
                <w:szCs w:val="16"/>
              </w:rPr>
            </w:pPr>
            <w:r w:rsidRPr="00597743">
              <w:rPr>
                <w:rFonts w:cs="Arial"/>
                <w:szCs w:val="16"/>
              </w:rPr>
              <w:t>1</w:t>
            </w:r>
          </w:p>
        </w:tc>
      </w:tr>
      <w:tr w:rsidR="00D21F29" w:rsidRPr="00597743" w14:paraId="65DF4E02"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5BCCC689" w14:textId="77777777" w:rsidR="00D21F29" w:rsidRPr="00597743" w:rsidRDefault="00D21F29">
            <w:pPr>
              <w:rPr>
                <w:rFonts w:cs="Arial"/>
                <w:szCs w:val="16"/>
              </w:rPr>
            </w:pPr>
            <w:r w:rsidRPr="00597743">
              <w:rPr>
                <w:rFonts w:cs="Arial"/>
                <w:szCs w:val="16"/>
              </w:rPr>
              <w:t>(1.1) (b) Reports within timelines.</w:t>
            </w:r>
          </w:p>
        </w:tc>
        <w:tc>
          <w:tcPr>
            <w:tcW w:w="1416" w:type="pct"/>
            <w:tcBorders>
              <w:top w:val="single" w:sz="4" w:space="0" w:color="auto"/>
              <w:left w:val="single" w:sz="4" w:space="0" w:color="auto"/>
              <w:bottom w:val="single" w:sz="4" w:space="0" w:color="auto"/>
              <w:right w:val="single" w:sz="4" w:space="0" w:color="auto"/>
            </w:tcBorders>
          </w:tcPr>
          <w:p w14:paraId="59E94A96" w14:textId="77777777" w:rsidR="00D21F29" w:rsidRPr="00597743" w:rsidRDefault="00D21F29">
            <w:pPr>
              <w:rPr>
                <w:rFonts w:cs="Arial"/>
                <w:szCs w:val="16"/>
              </w:rPr>
            </w:pPr>
            <w:r w:rsidRPr="00597743">
              <w:rPr>
                <w:rFonts w:cs="Arial"/>
                <w:szCs w:val="16"/>
              </w:rPr>
              <w:t>3</w:t>
            </w:r>
          </w:p>
        </w:tc>
      </w:tr>
      <w:tr w:rsidR="00D21F29" w:rsidRPr="00597743" w14:paraId="0C3DB357"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42C083AF" w14:textId="77777777" w:rsidR="00D21F29" w:rsidRPr="00597743" w:rsidRDefault="00D21F29">
            <w:pPr>
              <w:rPr>
                <w:rFonts w:cs="Arial"/>
                <w:szCs w:val="16"/>
              </w:rPr>
            </w:pPr>
            <w:r w:rsidRPr="00597743">
              <w:rPr>
                <w:rFonts w:cs="Arial"/>
                <w:szCs w:val="16"/>
              </w:rPr>
              <w:t>(1.1) (c) Reports within extended timelines.</w:t>
            </w:r>
          </w:p>
        </w:tc>
        <w:tc>
          <w:tcPr>
            <w:tcW w:w="1416" w:type="pct"/>
            <w:tcBorders>
              <w:top w:val="single" w:sz="4" w:space="0" w:color="auto"/>
              <w:left w:val="single" w:sz="4" w:space="0" w:color="auto"/>
              <w:bottom w:val="single" w:sz="4" w:space="0" w:color="auto"/>
              <w:right w:val="single" w:sz="4" w:space="0" w:color="auto"/>
            </w:tcBorders>
          </w:tcPr>
          <w:p w14:paraId="6E88AC0F" w14:textId="77777777" w:rsidR="00D21F29" w:rsidRPr="00597743" w:rsidRDefault="00D21F29">
            <w:pPr>
              <w:rPr>
                <w:rFonts w:cs="Arial"/>
                <w:szCs w:val="16"/>
              </w:rPr>
            </w:pPr>
            <w:r w:rsidRPr="00597743">
              <w:rPr>
                <w:rFonts w:cs="Arial"/>
                <w:szCs w:val="16"/>
              </w:rPr>
              <w:t>0</w:t>
            </w:r>
          </w:p>
        </w:tc>
      </w:tr>
      <w:tr w:rsidR="00D21F29" w:rsidRPr="00597743" w14:paraId="5E8A975A"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3615B5B2" w14:textId="77777777" w:rsidR="00D21F29" w:rsidRPr="00597743" w:rsidRDefault="00D21F29">
            <w:pPr>
              <w:rPr>
                <w:rFonts w:cs="Arial"/>
                <w:szCs w:val="16"/>
              </w:rPr>
            </w:pPr>
            <w:r w:rsidRPr="00597743">
              <w:rPr>
                <w:rFonts w:cs="Arial"/>
                <w:szCs w:val="16"/>
              </w:rPr>
              <w:t xml:space="preserve">(1.2) Complaints pending. </w:t>
            </w:r>
          </w:p>
        </w:tc>
        <w:tc>
          <w:tcPr>
            <w:tcW w:w="1416" w:type="pct"/>
            <w:tcBorders>
              <w:top w:val="single" w:sz="4" w:space="0" w:color="auto"/>
              <w:left w:val="single" w:sz="4" w:space="0" w:color="auto"/>
              <w:bottom w:val="single" w:sz="4" w:space="0" w:color="auto"/>
              <w:right w:val="single" w:sz="4" w:space="0" w:color="auto"/>
            </w:tcBorders>
          </w:tcPr>
          <w:p w14:paraId="79E84421" w14:textId="77777777" w:rsidR="00D21F29" w:rsidRPr="00597743" w:rsidRDefault="00D21F29">
            <w:pPr>
              <w:rPr>
                <w:rFonts w:cs="Arial"/>
                <w:szCs w:val="16"/>
              </w:rPr>
            </w:pPr>
            <w:r w:rsidRPr="00597743">
              <w:rPr>
                <w:rFonts w:cs="Arial"/>
                <w:szCs w:val="16"/>
              </w:rPr>
              <w:t>0</w:t>
            </w:r>
          </w:p>
        </w:tc>
      </w:tr>
      <w:tr w:rsidR="00D21F29" w:rsidRPr="00597743" w14:paraId="285C244D"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05DD5128" w14:textId="77777777" w:rsidR="00D21F29" w:rsidRPr="00597743" w:rsidRDefault="00D21F29">
            <w:pPr>
              <w:rPr>
                <w:rFonts w:cs="Arial"/>
                <w:szCs w:val="16"/>
              </w:rPr>
            </w:pPr>
            <w:r w:rsidRPr="00597743">
              <w:rPr>
                <w:rFonts w:cs="Arial"/>
                <w:szCs w:val="16"/>
              </w:rPr>
              <w:t xml:space="preserve">(1.2) (a) Complaints pending a due process hearing. </w:t>
            </w:r>
          </w:p>
        </w:tc>
        <w:tc>
          <w:tcPr>
            <w:tcW w:w="1416" w:type="pct"/>
            <w:tcBorders>
              <w:top w:val="single" w:sz="4" w:space="0" w:color="auto"/>
              <w:left w:val="single" w:sz="4" w:space="0" w:color="auto"/>
              <w:bottom w:val="single" w:sz="4" w:space="0" w:color="auto"/>
              <w:right w:val="single" w:sz="4" w:space="0" w:color="auto"/>
            </w:tcBorders>
          </w:tcPr>
          <w:p w14:paraId="167F2FDE" w14:textId="77777777" w:rsidR="00D21F29" w:rsidRPr="00597743" w:rsidRDefault="00D21F29">
            <w:pPr>
              <w:rPr>
                <w:rFonts w:cs="Arial"/>
                <w:szCs w:val="16"/>
              </w:rPr>
            </w:pPr>
            <w:r w:rsidRPr="00597743">
              <w:rPr>
                <w:rFonts w:cs="Arial"/>
                <w:szCs w:val="16"/>
              </w:rPr>
              <w:t>0</w:t>
            </w:r>
          </w:p>
        </w:tc>
      </w:tr>
      <w:tr w:rsidR="00D21F29" w:rsidRPr="00597743" w14:paraId="0833B76F"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71E970D7" w14:textId="77777777" w:rsidR="00D21F29" w:rsidRPr="00597743" w:rsidRDefault="00D21F29">
            <w:pPr>
              <w:rPr>
                <w:rFonts w:cs="Arial"/>
                <w:szCs w:val="16"/>
              </w:rPr>
            </w:pPr>
            <w:r w:rsidRPr="00597743">
              <w:rPr>
                <w:rFonts w:cs="Arial"/>
                <w:szCs w:val="16"/>
              </w:rPr>
              <w:t xml:space="preserve">(1.3) Complaints withdrawn or dismissed. </w:t>
            </w:r>
          </w:p>
        </w:tc>
        <w:tc>
          <w:tcPr>
            <w:tcW w:w="1416" w:type="pct"/>
            <w:tcBorders>
              <w:top w:val="single" w:sz="4" w:space="0" w:color="auto"/>
              <w:left w:val="single" w:sz="4" w:space="0" w:color="auto"/>
              <w:bottom w:val="single" w:sz="4" w:space="0" w:color="auto"/>
              <w:right w:val="single" w:sz="4" w:space="0" w:color="auto"/>
            </w:tcBorders>
          </w:tcPr>
          <w:p w14:paraId="239AE444" w14:textId="77777777" w:rsidR="00D21F29" w:rsidRPr="00597743" w:rsidRDefault="00D21F29">
            <w:pPr>
              <w:rPr>
                <w:rFonts w:cs="Arial"/>
                <w:szCs w:val="16"/>
              </w:rPr>
            </w:pPr>
            <w:r w:rsidRPr="00597743">
              <w:rPr>
                <w:rFonts w:cs="Arial"/>
                <w:szCs w:val="16"/>
              </w:rPr>
              <w:t>0</w:t>
            </w:r>
          </w:p>
        </w:tc>
      </w:tr>
    </w:tbl>
    <w:p w14:paraId="4310CFAD" w14:textId="77777777" w:rsidR="00D21F29" w:rsidRPr="00597743" w:rsidRDefault="00D21F29" w:rsidP="00D21F29">
      <w:pPr>
        <w:rPr>
          <w:rFonts w:cs="Arial"/>
          <w:b/>
          <w:bCs/>
          <w:szCs w:val="16"/>
        </w:rPr>
      </w:pPr>
    </w:p>
    <w:p w14:paraId="76FBFC15" w14:textId="77777777" w:rsidR="00D21F29" w:rsidRPr="00597743" w:rsidRDefault="00D21F29" w:rsidP="00D21F29">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7728"/>
        <w:gridCol w:w="3062"/>
      </w:tblGrid>
      <w:tr w:rsidR="00D21F29" w:rsidRPr="00597743" w14:paraId="79CA6244"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3C02A279" w14:textId="77777777" w:rsidR="00D21F29" w:rsidRPr="00597743" w:rsidRDefault="00D21F29">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sz="4" w:space="0" w:color="auto"/>
              <w:left w:val="single" w:sz="4" w:space="0" w:color="auto"/>
              <w:bottom w:val="single" w:sz="4" w:space="0" w:color="auto"/>
              <w:right w:val="single" w:sz="4" w:space="0" w:color="auto"/>
            </w:tcBorders>
          </w:tcPr>
          <w:p w14:paraId="4C1FC4B6" w14:textId="77777777" w:rsidR="00D21F29" w:rsidRPr="00597743" w:rsidRDefault="00D21F29">
            <w:pPr>
              <w:rPr>
                <w:rFonts w:cs="Arial"/>
                <w:szCs w:val="16"/>
              </w:rPr>
            </w:pPr>
            <w:r w:rsidRPr="00597743">
              <w:rPr>
                <w:rFonts w:cs="Arial"/>
                <w:szCs w:val="16"/>
              </w:rPr>
              <w:t>1</w:t>
            </w:r>
          </w:p>
        </w:tc>
      </w:tr>
      <w:tr w:rsidR="00D21F29" w:rsidRPr="00597743" w14:paraId="6D99FDFB" w14:textId="77777777" w:rsidTr="00811738">
        <w:trPr>
          <w:trHeight w:val="332"/>
        </w:trPr>
        <w:tc>
          <w:tcPr>
            <w:tcW w:w="3709" w:type="pct"/>
            <w:tcBorders>
              <w:top w:val="single" w:sz="4" w:space="0" w:color="auto"/>
              <w:left w:val="single" w:sz="4" w:space="0" w:color="auto"/>
              <w:bottom w:val="single" w:sz="4" w:space="0" w:color="auto"/>
              <w:right w:val="single" w:sz="4" w:space="0" w:color="auto"/>
            </w:tcBorders>
            <w:hideMark/>
          </w:tcPr>
          <w:p w14:paraId="6428B6F9" w14:textId="77777777" w:rsidR="00D21F29" w:rsidRPr="00597743" w:rsidRDefault="00D21F29">
            <w:pPr>
              <w:rPr>
                <w:rFonts w:cs="Arial"/>
                <w:szCs w:val="16"/>
              </w:rPr>
            </w:pPr>
            <w:r w:rsidRPr="00597743">
              <w:rPr>
                <w:rFonts w:cs="Arial"/>
                <w:szCs w:val="16"/>
              </w:rPr>
              <w:t xml:space="preserve">(2.1) Mediations held. </w:t>
            </w:r>
          </w:p>
        </w:tc>
        <w:tc>
          <w:tcPr>
            <w:tcW w:w="1291" w:type="pct"/>
            <w:tcBorders>
              <w:top w:val="single" w:sz="4" w:space="0" w:color="auto"/>
              <w:left w:val="single" w:sz="4" w:space="0" w:color="auto"/>
              <w:bottom w:val="single" w:sz="4" w:space="0" w:color="auto"/>
              <w:right w:val="single" w:sz="4" w:space="0" w:color="auto"/>
            </w:tcBorders>
          </w:tcPr>
          <w:p w14:paraId="09005A6F" w14:textId="77777777" w:rsidR="00D21F29" w:rsidRPr="00597743" w:rsidRDefault="00D21F29">
            <w:pPr>
              <w:rPr>
                <w:rFonts w:cs="Arial"/>
                <w:szCs w:val="16"/>
              </w:rPr>
            </w:pPr>
            <w:r w:rsidRPr="00597743">
              <w:rPr>
                <w:rFonts w:cs="Arial"/>
                <w:szCs w:val="16"/>
              </w:rPr>
              <w:t>1</w:t>
            </w:r>
          </w:p>
        </w:tc>
      </w:tr>
      <w:tr w:rsidR="00D21F29" w:rsidRPr="00597743" w14:paraId="2A345FEA" w14:textId="77777777" w:rsidTr="00811738">
        <w:trPr>
          <w:trHeight w:val="278"/>
        </w:trPr>
        <w:tc>
          <w:tcPr>
            <w:tcW w:w="3709" w:type="pct"/>
            <w:tcBorders>
              <w:top w:val="single" w:sz="4" w:space="0" w:color="auto"/>
              <w:left w:val="single" w:sz="4" w:space="0" w:color="auto"/>
              <w:bottom w:val="single" w:sz="4" w:space="0" w:color="auto"/>
              <w:right w:val="single" w:sz="4" w:space="0" w:color="auto"/>
            </w:tcBorders>
            <w:hideMark/>
          </w:tcPr>
          <w:p w14:paraId="47B18616" w14:textId="77777777" w:rsidR="00D21F29" w:rsidRPr="00597743" w:rsidRDefault="00D21F29">
            <w:pPr>
              <w:rPr>
                <w:rFonts w:cs="Arial"/>
                <w:szCs w:val="16"/>
              </w:rPr>
            </w:pPr>
            <w:r w:rsidRPr="00597743">
              <w:rPr>
                <w:rFonts w:cs="Arial"/>
                <w:szCs w:val="16"/>
              </w:rPr>
              <w:t xml:space="preserve">(2.1) (a) Mediations held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0071D63C" w14:textId="77777777" w:rsidR="00D21F29" w:rsidRPr="00597743" w:rsidRDefault="00D21F29">
            <w:pPr>
              <w:rPr>
                <w:rFonts w:cs="Arial"/>
                <w:szCs w:val="16"/>
              </w:rPr>
            </w:pPr>
            <w:r w:rsidRPr="00597743">
              <w:rPr>
                <w:rFonts w:cs="Arial"/>
                <w:szCs w:val="16"/>
              </w:rPr>
              <w:t>1</w:t>
            </w:r>
          </w:p>
        </w:tc>
      </w:tr>
      <w:tr w:rsidR="00D21F29" w:rsidRPr="00597743" w14:paraId="7C711A82"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36505C9E" w14:textId="77777777" w:rsidR="00D21F29" w:rsidRPr="00597743" w:rsidRDefault="00D21F29">
            <w:pPr>
              <w:rPr>
                <w:rFonts w:cs="Arial"/>
                <w:szCs w:val="16"/>
              </w:rPr>
            </w:pPr>
            <w:r w:rsidRPr="00597743">
              <w:rPr>
                <w:rFonts w:cs="Arial"/>
                <w:szCs w:val="16"/>
              </w:rPr>
              <w:t xml:space="preserve">(2.1) (a) (i) Mediation agreements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43FDD8C0" w14:textId="77777777" w:rsidR="00D21F29" w:rsidRPr="00597743" w:rsidRDefault="00D21F29">
            <w:pPr>
              <w:rPr>
                <w:rFonts w:cs="Arial"/>
                <w:szCs w:val="16"/>
              </w:rPr>
            </w:pPr>
            <w:r w:rsidRPr="00597743">
              <w:rPr>
                <w:rFonts w:cs="Arial"/>
                <w:szCs w:val="16"/>
              </w:rPr>
              <w:t>1</w:t>
            </w:r>
          </w:p>
        </w:tc>
      </w:tr>
      <w:tr w:rsidR="00D21F29" w:rsidRPr="00597743" w14:paraId="24E8C154"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1A12E87C" w14:textId="72F091E1" w:rsidR="00D21F29" w:rsidRPr="00597743" w:rsidRDefault="00D21F29">
            <w:pPr>
              <w:rPr>
                <w:rFonts w:cs="Arial"/>
                <w:szCs w:val="16"/>
              </w:rPr>
            </w:pPr>
            <w:r w:rsidRPr="00597743">
              <w:rPr>
                <w:rFonts w:cs="Arial"/>
                <w:szCs w:val="16"/>
              </w:rPr>
              <w:t xml:space="preserve">(2.1) (b) Mediations held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626DAF3E" w14:textId="77777777" w:rsidR="00D21F29" w:rsidRPr="00597743" w:rsidRDefault="00D21F29">
            <w:pPr>
              <w:rPr>
                <w:rFonts w:cs="Arial"/>
                <w:szCs w:val="16"/>
              </w:rPr>
            </w:pPr>
            <w:r w:rsidRPr="00597743">
              <w:rPr>
                <w:rFonts w:cs="Arial"/>
                <w:szCs w:val="16"/>
              </w:rPr>
              <w:t>0</w:t>
            </w:r>
          </w:p>
        </w:tc>
      </w:tr>
      <w:tr w:rsidR="00D21F29" w:rsidRPr="00597743" w14:paraId="12462363"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104D8B43" w14:textId="77777777" w:rsidR="00D21F29" w:rsidRPr="00597743" w:rsidRDefault="00D21F29">
            <w:pPr>
              <w:rPr>
                <w:rFonts w:cs="Arial"/>
                <w:szCs w:val="16"/>
              </w:rPr>
            </w:pPr>
            <w:r w:rsidRPr="00597743">
              <w:rPr>
                <w:rFonts w:cs="Arial"/>
                <w:szCs w:val="16"/>
              </w:rPr>
              <w:t xml:space="preserve">(2.1) (b) (i) Mediation agreements not related to due process complaints. </w:t>
            </w:r>
          </w:p>
        </w:tc>
        <w:tc>
          <w:tcPr>
            <w:tcW w:w="1291" w:type="pct"/>
            <w:tcBorders>
              <w:top w:val="single" w:sz="4" w:space="0" w:color="auto"/>
              <w:left w:val="single" w:sz="4" w:space="0" w:color="auto"/>
              <w:bottom w:val="single" w:sz="4" w:space="0" w:color="auto"/>
              <w:right w:val="single" w:sz="4" w:space="0" w:color="auto"/>
            </w:tcBorders>
          </w:tcPr>
          <w:p w14:paraId="09E4315B" w14:textId="77777777" w:rsidR="00D21F29" w:rsidRPr="00597743" w:rsidRDefault="00D21F29">
            <w:pPr>
              <w:rPr>
                <w:rFonts w:cs="Arial"/>
                <w:szCs w:val="16"/>
              </w:rPr>
            </w:pPr>
            <w:r w:rsidRPr="00597743">
              <w:rPr>
                <w:rFonts w:cs="Arial"/>
                <w:szCs w:val="16"/>
              </w:rPr>
              <w:t>0</w:t>
            </w:r>
          </w:p>
        </w:tc>
      </w:tr>
      <w:tr w:rsidR="00D21F29" w:rsidRPr="00597743" w14:paraId="2CA154DF"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27C850B4" w14:textId="77777777" w:rsidR="00D21F29" w:rsidRPr="00597743" w:rsidRDefault="00D21F29">
            <w:pPr>
              <w:rPr>
                <w:rFonts w:cs="Arial"/>
                <w:szCs w:val="16"/>
              </w:rPr>
            </w:pPr>
            <w:r w:rsidRPr="00597743">
              <w:rPr>
                <w:rFonts w:cs="Arial"/>
                <w:szCs w:val="16"/>
              </w:rPr>
              <w:t xml:space="preserve">(2.2) Mediations pending. </w:t>
            </w:r>
          </w:p>
        </w:tc>
        <w:tc>
          <w:tcPr>
            <w:tcW w:w="1291" w:type="pct"/>
            <w:tcBorders>
              <w:top w:val="single" w:sz="4" w:space="0" w:color="auto"/>
              <w:left w:val="single" w:sz="4" w:space="0" w:color="auto"/>
              <w:bottom w:val="single" w:sz="4" w:space="0" w:color="auto"/>
              <w:right w:val="single" w:sz="4" w:space="0" w:color="auto"/>
            </w:tcBorders>
          </w:tcPr>
          <w:p w14:paraId="4ACCC4A9" w14:textId="77777777" w:rsidR="00D21F29" w:rsidRPr="00597743" w:rsidRDefault="00D21F29">
            <w:pPr>
              <w:rPr>
                <w:rFonts w:cs="Arial"/>
                <w:szCs w:val="16"/>
              </w:rPr>
            </w:pPr>
            <w:r w:rsidRPr="00597743">
              <w:rPr>
                <w:rFonts w:cs="Arial"/>
                <w:szCs w:val="16"/>
              </w:rPr>
              <w:t>0</w:t>
            </w:r>
          </w:p>
        </w:tc>
      </w:tr>
      <w:tr w:rsidR="00D21F29" w:rsidRPr="00597743" w14:paraId="1D8F5051" w14:textId="77777777" w:rsidTr="00811738">
        <w:trPr>
          <w:trHeight w:val="242"/>
        </w:trPr>
        <w:tc>
          <w:tcPr>
            <w:tcW w:w="3709" w:type="pct"/>
            <w:tcBorders>
              <w:top w:val="single" w:sz="4" w:space="0" w:color="auto"/>
              <w:left w:val="single" w:sz="4" w:space="0" w:color="auto"/>
              <w:bottom w:val="single" w:sz="4" w:space="0" w:color="auto"/>
              <w:right w:val="single" w:sz="4" w:space="0" w:color="auto"/>
            </w:tcBorders>
            <w:hideMark/>
          </w:tcPr>
          <w:p w14:paraId="4441C1CF" w14:textId="77777777" w:rsidR="00D21F29" w:rsidRPr="00597743" w:rsidRDefault="00D21F29">
            <w:pPr>
              <w:rPr>
                <w:rFonts w:cs="Arial"/>
                <w:szCs w:val="16"/>
              </w:rPr>
            </w:pPr>
            <w:r w:rsidRPr="00597743">
              <w:rPr>
                <w:rFonts w:cs="Arial"/>
                <w:szCs w:val="16"/>
              </w:rPr>
              <w:t xml:space="preserve">(2.3) Mediations not held. </w:t>
            </w:r>
          </w:p>
        </w:tc>
        <w:tc>
          <w:tcPr>
            <w:tcW w:w="1291" w:type="pct"/>
            <w:tcBorders>
              <w:top w:val="single" w:sz="4" w:space="0" w:color="auto"/>
              <w:left w:val="single" w:sz="4" w:space="0" w:color="auto"/>
              <w:bottom w:val="single" w:sz="4" w:space="0" w:color="auto"/>
              <w:right w:val="single" w:sz="4" w:space="0" w:color="auto"/>
            </w:tcBorders>
          </w:tcPr>
          <w:p w14:paraId="29B4F107" w14:textId="77777777" w:rsidR="00D21F29" w:rsidRPr="00597743" w:rsidRDefault="00D21F29">
            <w:pPr>
              <w:rPr>
                <w:rFonts w:cs="Arial"/>
                <w:szCs w:val="16"/>
              </w:rPr>
            </w:pPr>
            <w:r w:rsidRPr="00597743">
              <w:rPr>
                <w:rFonts w:cs="Arial"/>
                <w:szCs w:val="16"/>
              </w:rPr>
              <w:t>0</w:t>
            </w:r>
          </w:p>
        </w:tc>
      </w:tr>
    </w:tbl>
    <w:p w14:paraId="1E0904CD" w14:textId="77777777" w:rsidR="00D21F29" w:rsidRPr="00597743" w:rsidRDefault="00D21F29" w:rsidP="00D21F29">
      <w:pPr>
        <w:rPr>
          <w:rFonts w:cs="Arial"/>
          <w:b/>
          <w:bCs/>
          <w:szCs w:val="16"/>
        </w:rPr>
      </w:pPr>
    </w:p>
    <w:p w14:paraId="5B09E9FD" w14:textId="77777777" w:rsidR="00D21F29" w:rsidRPr="00597743" w:rsidRDefault="00D21F29" w:rsidP="00D21F29">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7734"/>
        <w:gridCol w:w="3056"/>
      </w:tblGrid>
      <w:tr w:rsidR="00D21F29" w:rsidRPr="00597743" w14:paraId="078F6E85"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26626D9F" w14:textId="77777777" w:rsidR="00D21F29" w:rsidRPr="00597743" w:rsidRDefault="00D21F29">
            <w:pPr>
              <w:rPr>
                <w:rFonts w:cs="Arial"/>
                <w:b/>
                <w:bCs/>
                <w:szCs w:val="16"/>
              </w:rPr>
            </w:pPr>
            <w:r w:rsidRPr="00597743">
              <w:rPr>
                <w:rFonts w:cs="Arial"/>
                <w:b/>
                <w:bCs/>
                <w:szCs w:val="16"/>
              </w:rPr>
              <w:t xml:space="preserve">(3) Total number of due process complaints filed. </w:t>
            </w:r>
          </w:p>
        </w:tc>
        <w:tc>
          <w:tcPr>
            <w:tcW w:w="1416" w:type="pct"/>
            <w:tcBorders>
              <w:top w:val="single" w:sz="4" w:space="0" w:color="auto"/>
              <w:left w:val="single" w:sz="4" w:space="0" w:color="auto"/>
              <w:bottom w:val="single" w:sz="4" w:space="0" w:color="auto"/>
              <w:right w:val="single" w:sz="4" w:space="0" w:color="auto"/>
            </w:tcBorders>
          </w:tcPr>
          <w:p w14:paraId="29143704" w14:textId="77777777" w:rsidR="00D21F29" w:rsidRPr="00597743" w:rsidRDefault="00D21F29">
            <w:pPr>
              <w:rPr>
                <w:rFonts w:cs="Arial"/>
                <w:szCs w:val="16"/>
              </w:rPr>
            </w:pPr>
            <w:r w:rsidRPr="00597743">
              <w:rPr>
                <w:rFonts w:cs="Arial"/>
                <w:szCs w:val="16"/>
              </w:rPr>
              <w:t>1</w:t>
            </w:r>
          </w:p>
        </w:tc>
      </w:tr>
      <w:tr w:rsidR="00D21F29" w:rsidRPr="00597743" w14:paraId="7FDAEBAB" w14:textId="77777777" w:rsidTr="00811738">
        <w:trPr>
          <w:trHeight w:val="332"/>
        </w:trPr>
        <w:tc>
          <w:tcPr>
            <w:tcW w:w="3584" w:type="pct"/>
            <w:tcBorders>
              <w:top w:val="single" w:sz="4" w:space="0" w:color="auto"/>
              <w:left w:val="single" w:sz="4" w:space="0" w:color="auto"/>
              <w:bottom w:val="single" w:sz="4" w:space="0" w:color="auto"/>
              <w:right w:val="single" w:sz="4" w:space="0" w:color="auto"/>
            </w:tcBorders>
            <w:hideMark/>
          </w:tcPr>
          <w:p w14:paraId="248FA488" w14:textId="77777777" w:rsidR="00D21F29" w:rsidRPr="00597743" w:rsidRDefault="00D21F29">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416" w:type="pct"/>
            <w:tcBorders>
              <w:top w:val="single" w:sz="4" w:space="0" w:color="auto"/>
              <w:left w:val="single" w:sz="4" w:space="0" w:color="auto"/>
              <w:bottom w:val="single" w:sz="4" w:space="0" w:color="auto"/>
              <w:right w:val="single" w:sz="4" w:space="0" w:color="auto"/>
            </w:tcBorders>
          </w:tcPr>
          <w:p w14:paraId="35A7C26F" w14:textId="77777777" w:rsidR="00D21F29" w:rsidRPr="00597743" w:rsidRDefault="00D21F29">
            <w:pPr>
              <w:rPr>
                <w:rFonts w:cs="Arial"/>
                <w:szCs w:val="16"/>
              </w:rPr>
            </w:pPr>
            <w:r w:rsidRPr="00597743">
              <w:rPr>
                <w:rFonts w:cs="Arial"/>
                <w:szCs w:val="16"/>
              </w:rPr>
              <w:t>PARTC</w:t>
            </w:r>
          </w:p>
        </w:tc>
      </w:tr>
      <w:tr w:rsidR="00D21F29" w:rsidRPr="00597743" w14:paraId="74ACBDC6" w14:textId="77777777" w:rsidTr="00811738">
        <w:trPr>
          <w:trHeight w:val="278"/>
        </w:trPr>
        <w:tc>
          <w:tcPr>
            <w:tcW w:w="3584" w:type="pct"/>
            <w:tcBorders>
              <w:top w:val="single" w:sz="4" w:space="0" w:color="auto"/>
              <w:left w:val="single" w:sz="4" w:space="0" w:color="auto"/>
              <w:bottom w:val="single" w:sz="4" w:space="0" w:color="auto"/>
              <w:right w:val="single" w:sz="4" w:space="0" w:color="auto"/>
            </w:tcBorders>
            <w:hideMark/>
          </w:tcPr>
          <w:p w14:paraId="0C900D0A" w14:textId="77777777" w:rsidR="00D21F29" w:rsidRPr="00597743" w:rsidRDefault="00D21F29">
            <w:pPr>
              <w:rPr>
                <w:rFonts w:cs="Arial"/>
                <w:szCs w:val="16"/>
              </w:rPr>
            </w:pPr>
            <w:r w:rsidRPr="00597743">
              <w:rPr>
                <w:rFonts w:cs="Arial"/>
                <w:szCs w:val="16"/>
              </w:rPr>
              <w:t>(3.1) Resolution meetings (applicable ONLY for states using Part B due process hearing procedures).</w:t>
            </w:r>
          </w:p>
        </w:tc>
        <w:tc>
          <w:tcPr>
            <w:tcW w:w="1416" w:type="pct"/>
            <w:tcBorders>
              <w:top w:val="single" w:sz="4" w:space="0" w:color="auto"/>
              <w:left w:val="single" w:sz="4" w:space="0" w:color="auto"/>
              <w:bottom w:val="single" w:sz="4" w:space="0" w:color="auto"/>
              <w:right w:val="single" w:sz="4" w:space="0" w:color="auto"/>
            </w:tcBorders>
          </w:tcPr>
          <w:p w14:paraId="0D50ED50" w14:textId="77777777" w:rsidR="00D21F29" w:rsidRPr="00597743" w:rsidRDefault="00D21F29">
            <w:pPr>
              <w:rPr>
                <w:rFonts w:cs="Arial"/>
                <w:szCs w:val="16"/>
              </w:rPr>
            </w:pPr>
            <w:r w:rsidRPr="00597743">
              <w:rPr>
                <w:rFonts w:cs="Arial"/>
                <w:szCs w:val="16"/>
              </w:rPr>
              <w:t>N/A</w:t>
            </w:r>
          </w:p>
        </w:tc>
      </w:tr>
      <w:tr w:rsidR="00D21F29" w:rsidRPr="00597743" w14:paraId="29F4AB55"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1F9391C" w14:textId="77777777" w:rsidR="00D21F29" w:rsidRPr="00597743" w:rsidRDefault="00D21F29">
            <w:pPr>
              <w:rPr>
                <w:rFonts w:cs="Arial"/>
                <w:szCs w:val="16"/>
              </w:rPr>
            </w:pPr>
            <w:r w:rsidRPr="00597743">
              <w:rPr>
                <w:rFonts w:cs="Arial"/>
                <w:szCs w:val="16"/>
              </w:rPr>
              <w:t xml:space="preserve">(3.1) (a) Written settlement agreements reached through resolution meetings. </w:t>
            </w:r>
          </w:p>
        </w:tc>
        <w:tc>
          <w:tcPr>
            <w:tcW w:w="1416" w:type="pct"/>
            <w:tcBorders>
              <w:top w:val="single" w:sz="4" w:space="0" w:color="auto"/>
              <w:left w:val="single" w:sz="4" w:space="0" w:color="auto"/>
              <w:bottom w:val="single" w:sz="4" w:space="0" w:color="auto"/>
              <w:right w:val="single" w:sz="4" w:space="0" w:color="auto"/>
            </w:tcBorders>
          </w:tcPr>
          <w:p w14:paraId="7110BB77" w14:textId="77777777" w:rsidR="00D21F29" w:rsidRPr="00597743" w:rsidRDefault="00D21F29">
            <w:pPr>
              <w:rPr>
                <w:rFonts w:cs="Arial"/>
                <w:szCs w:val="16"/>
              </w:rPr>
            </w:pPr>
            <w:r w:rsidRPr="00597743">
              <w:rPr>
                <w:rFonts w:cs="Arial"/>
                <w:szCs w:val="16"/>
              </w:rPr>
              <w:t>N/A</w:t>
            </w:r>
          </w:p>
        </w:tc>
      </w:tr>
      <w:tr w:rsidR="00D21F29" w:rsidRPr="00597743" w14:paraId="2C0BD5D8"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A5DB352" w14:textId="77777777" w:rsidR="00D21F29" w:rsidRPr="00597743" w:rsidRDefault="00D21F29">
            <w:pPr>
              <w:rPr>
                <w:rFonts w:cs="Arial"/>
                <w:szCs w:val="16"/>
              </w:rPr>
            </w:pPr>
            <w:r w:rsidRPr="00597743">
              <w:rPr>
                <w:rFonts w:cs="Arial"/>
                <w:szCs w:val="16"/>
              </w:rPr>
              <w:t xml:space="preserve">(3.2) Hearings fully adjudicated. </w:t>
            </w:r>
          </w:p>
        </w:tc>
        <w:tc>
          <w:tcPr>
            <w:tcW w:w="1416" w:type="pct"/>
            <w:tcBorders>
              <w:top w:val="single" w:sz="4" w:space="0" w:color="auto"/>
              <w:left w:val="single" w:sz="4" w:space="0" w:color="auto"/>
              <w:bottom w:val="single" w:sz="4" w:space="0" w:color="auto"/>
              <w:right w:val="single" w:sz="4" w:space="0" w:color="auto"/>
            </w:tcBorders>
          </w:tcPr>
          <w:p w14:paraId="67B529A7" w14:textId="77777777" w:rsidR="00D21F29" w:rsidRPr="00597743" w:rsidRDefault="00D21F29">
            <w:pPr>
              <w:rPr>
                <w:rFonts w:cs="Arial"/>
                <w:szCs w:val="16"/>
              </w:rPr>
            </w:pPr>
            <w:r w:rsidRPr="00597743">
              <w:rPr>
                <w:rFonts w:cs="Arial"/>
                <w:szCs w:val="16"/>
              </w:rPr>
              <w:t>0</w:t>
            </w:r>
          </w:p>
        </w:tc>
      </w:tr>
      <w:tr w:rsidR="00D21F29" w:rsidRPr="00597743" w14:paraId="15D7F358"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5D1781B4" w14:textId="77777777" w:rsidR="00D21F29" w:rsidRPr="00597743" w:rsidRDefault="00D21F29">
            <w:pPr>
              <w:rPr>
                <w:rFonts w:cs="Arial"/>
                <w:szCs w:val="16"/>
              </w:rPr>
            </w:pPr>
            <w:r w:rsidRPr="00597743">
              <w:rPr>
                <w:rFonts w:cs="Arial"/>
                <w:szCs w:val="16"/>
              </w:rPr>
              <w:t xml:space="preserve">(3.2) (a) Decisions within timeline. </w:t>
            </w:r>
          </w:p>
        </w:tc>
        <w:tc>
          <w:tcPr>
            <w:tcW w:w="1416" w:type="pct"/>
            <w:tcBorders>
              <w:top w:val="single" w:sz="4" w:space="0" w:color="auto"/>
              <w:left w:val="single" w:sz="4" w:space="0" w:color="auto"/>
              <w:bottom w:val="single" w:sz="4" w:space="0" w:color="auto"/>
              <w:right w:val="single" w:sz="4" w:space="0" w:color="auto"/>
            </w:tcBorders>
          </w:tcPr>
          <w:p w14:paraId="69D7C61B" w14:textId="77777777" w:rsidR="00D21F29" w:rsidRPr="00597743" w:rsidRDefault="00D21F29">
            <w:pPr>
              <w:rPr>
                <w:rFonts w:cs="Arial"/>
                <w:szCs w:val="16"/>
              </w:rPr>
            </w:pPr>
            <w:r w:rsidRPr="00597743">
              <w:rPr>
                <w:rFonts w:cs="Arial"/>
                <w:szCs w:val="16"/>
              </w:rPr>
              <w:t>0</w:t>
            </w:r>
          </w:p>
        </w:tc>
      </w:tr>
      <w:tr w:rsidR="00D21F29" w:rsidRPr="00597743" w14:paraId="0DA8939E"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89F4246" w14:textId="77777777" w:rsidR="00D21F29" w:rsidRPr="00597743" w:rsidRDefault="00D21F29">
            <w:pPr>
              <w:rPr>
                <w:rFonts w:cs="Arial"/>
                <w:szCs w:val="16"/>
              </w:rPr>
            </w:pPr>
            <w:r w:rsidRPr="00597743">
              <w:rPr>
                <w:rFonts w:cs="Arial"/>
                <w:szCs w:val="16"/>
              </w:rPr>
              <w:t>(3.2) (b) Decisions within extended timeline.</w:t>
            </w:r>
          </w:p>
        </w:tc>
        <w:tc>
          <w:tcPr>
            <w:tcW w:w="1416" w:type="pct"/>
            <w:tcBorders>
              <w:top w:val="single" w:sz="4" w:space="0" w:color="auto"/>
              <w:left w:val="single" w:sz="4" w:space="0" w:color="auto"/>
              <w:bottom w:val="single" w:sz="4" w:space="0" w:color="auto"/>
              <w:right w:val="single" w:sz="4" w:space="0" w:color="auto"/>
            </w:tcBorders>
          </w:tcPr>
          <w:p w14:paraId="30BE3FF6" w14:textId="77777777" w:rsidR="00D21F29" w:rsidRPr="00597743" w:rsidRDefault="00D21F29">
            <w:pPr>
              <w:rPr>
                <w:rFonts w:cs="Arial"/>
                <w:szCs w:val="16"/>
              </w:rPr>
            </w:pPr>
            <w:r w:rsidRPr="00597743">
              <w:rPr>
                <w:rFonts w:cs="Arial"/>
                <w:szCs w:val="16"/>
              </w:rPr>
              <w:t>0</w:t>
            </w:r>
          </w:p>
        </w:tc>
      </w:tr>
      <w:tr w:rsidR="00D21F29" w:rsidRPr="00597743" w14:paraId="466514CB"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1733C04F" w14:textId="77777777" w:rsidR="00D21F29" w:rsidRPr="00597743" w:rsidRDefault="00D21F29">
            <w:pPr>
              <w:rPr>
                <w:rFonts w:cs="Arial"/>
                <w:szCs w:val="16"/>
              </w:rPr>
            </w:pPr>
            <w:r w:rsidRPr="00597743">
              <w:rPr>
                <w:rFonts w:cs="Arial"/>
                <w:szCs w:val="16"/>
              </w:rPr>
              <w:t xml:space="preserve">(3.3) Hearings pending. </w:t>
            </w:r>
          </w:p>
        </w:tc>
        <w:tc>
          <w:tcPr>
            <w:tcW w:w="1416" w:type="pct"/>
            <w:tcBorders>
              <w:top w:val="single" w:sz="4" w:space="0" w:color="auto"/>
              <w:left w:val="single" w:sz="4" w:space="0" w:color="auto"/>
              <w:bottom w:val="single" w:sz="4" w:space="0" w:color="auto"/>
              <w:right w:val="single" w:sz="4" w:space="0" w:color="auto"/>
            </w:tcBorders>
          </w:tcPr>
          <w:p w14:paraId="37655B1C" w14:textId="77777777" w:rsidR="00D21F29" w:rsidRPr="00597743" w:rsidRDefault="00D21F29">
            <w:pPr>
              <w:rPr>
                <w:rFonts w:cs="Arial"/>
                <w:szCs w:val="16"/>
              </w:rPr>
            </w:pPr>
            <w:r w:rsidRPr="00597743">
              <w:rPr>
                <w:rFonts w:cs="Arial"/>
                <w:szCs w:val="16"/>
              </w:rPr>
              <w:t>0</w:t>
            </w:r>
          </w:p>
        </w:tc>
      </w:tr>
      <w:tr w:rsidR="00D21F29" w:rsidRPr="00597743" w14:paraId="08FC19D5" w14:textId="77777777" w:rsidTr="00811738">
        <w:trPr>
          <w:trHeight w:val="242"/>
        </w:trPr>
        <w:tc>
          <w:tcPr>
            <w:tcW w:w="3584" w:type="pct"/>
            <w:tcBorders>
              <w:top w:val="single" w:sz="4" w:space="0" w:color="auto"/>
              <w:left w:val="single" w:sz="4" w:space="0" w:color="auto"/>
              <w:bottom w:val="single" w:sz="4" w:space="0" w:color="auto"/>
              <w:right w:val="single" w:sz="4" w:space="0" w:color="auto"/>
            </w:tcBorders>
            <w:hideMark/>
          </w:tcPr>
          <w:p w14:paraId="2EDB7E7F" w14:textId="77777777" w:rsidR="00D21F29" w:rsidRPr="00597743" w:rsidRDefault="00D21F29">
            <w:pPr>
              <w:rPr>
                <w:rFonts w:cs="Arial"/>
                <w:szCs w:val="16"/>
              </w:rPr>
            </w:pPr>
            <w:r w:rsidRPr="00597743">
              <w:rPr>
                <w:rFonts w:cs="Arial"/>
                <w:szCs w:val="16"/>
              </w:rPr>
              <w:t>(3.4) Due process complaints withdrawn or dismissed (including resolved without a hearing).</w:t>
            </w:r>
          </w:p>
        </w:tc>
        <w:tc>
          <w:tcPr>
            <w:tcW w:w="1416" w:type="pct"/>
            <w:tcBorders>
              <w:top w:val="single" w:sz="4" w:space="0" w:color="auto"/>
              <w:left w:val="single" w:sz="4" w:space="0" w:color="auto"/>
              <w:bottom w:val="single" w:sz="4" w:space="0" w:color="auto"/>
              <w:right w:val="single" w:sz="4" w:space="0" w:color="auto"/>
            </w:tcBorders>
          </w:tcPr>
          <w:p w14:paraId="3590A44E" w14:textId="77777777" w:rsidR="00D21F29" w:rsidRPr="00597743" w:rsidRDefault="00D21F29">
            <w:pPr>
              <w:rPr>
                <w:rFonts w:cs="Arial"/>
                <w:szCs w:val="16"/>
              </w:rPr>
            </w:pPr>
            <w:r w:rsidRPr="00597743">
              <w:rPr>
                <w:rFonts w:cs="Arial"/>
                <w:szCs w:val="16"/>
              </w:rPr>
              <w:t>1</w:t>
            </w:r>
          </w:p>
        </w:tc>
      </w:tr>
    </w:tbl>
    <w:p w14:paraId="143166FD" w14:textId="77777777" w:rsidR="00D21F29" w:rsidRPr="00597743" w:rsidRDefault="00D21F29" w:rsidP="00D21F29">
      <w:pPr>
        <w:spacing w:before="0" w:after="0"/>
      </w:pPr>
    </w:p>
    <w:p w14:paraId="71021384" w14:textId="12AB5682" w:rsidR="005E10AF" w:rsidRPr="005E10AF" w:rsidRDefault="00D21F29" w:rsidP="005E10AF">
      <w:pPr>
        <w:spacing w:before="0" w:after="0"/>
        <w:rPr>
          <w:b/>
          <w:bCs/>
        </w:rPr>
      </w:pPr>
      <w:r w:rsidRPr="005E10AF">
        <w:rPr>
          <w:b/>
          <w:bCs/>
        </w:rPr>
        <w:t>This report shows the most recent data that was entered by:</w:t>
      </w:r>
    </w:p>
    <w:p w14:paraId="0CE90B53" w14:textId="6E617C64" w:rsidR="005E10AF" w:rsidRDefault="00D21F29" w:rsidP="00D21F29">
      <w:pPr>
        <w:spacing w:before="0" w:after="200" w:line="276" w:lineRule="auto"/>
      </w:pPr>
      <w:r w:rsidRPr="00597743">
        <w:t>Massachusetts</w:t>
      </w:r>
    </w:p>
    <w:p w14:paraId="34F7578B" w14:textId="77777777" w:rsidR="005E10AF" w:rsidRPr="005E10AF" w:rsidRDefault="00D21F29" w:rsidP="005E10AF">
      <w:pPr>
        <w:spacing w:before="0" w:after="0"/>
        <w:rPr>
          <w:b/>
          <w:bCs/>
        </w:rPr>
      </w:pPr>
      <w:r w:rsidRPr="005E10AF">
        <w:rPr>
          <w:b/>
          <w:bCs/>
        </w:rPr>
        <w:t>These data were extracted on the close date:</w:t>
      </w:r>
    </w:p>
    <w:p w14:paraId="60858BB3" w14:textId="77777777" w:rsidR="00947802" w:rsidRDefault="00D21F29" w:rsidP="00D21F29">
      <w:pPr>
        <w:spacing w:before="0" w:after="200" w:line="276" w:lineRule="auto"/>
        <w:sectPr w:rsidR="00947802" w:rsidSect="00947802">
          <w:type w:val="continuous"/>
          <w:pgSz w:w="12240" w:h="15840" w:code="1"/>
          <w:pgMar w:top="720" w:right="720" w:bottom="720" w:left="720" w:header="0" w:footer="446" w:gutter="0"/>
          <w:cols w:space="720"/>
          <w:docGrid w:linePitch="218"/>
        </w:sectPr>
      </w:pPr>
      <w:r w:rsidRPr="00597743">
        <w:t>11/19/2025</w:t>
      </w:r>
      <w:bookmarkEnd w:id="102"/>
    </w:p>
    <w:p w14:paraId="6464D1AE" w14:textId="77777777" w:rsidR="009B4E7F" w:rsidRDefault="009B4E7F" w:rsidP="00D21F29">
      <w:pPr>
        <w:spacing w:before="0" w:after="200" w:line="276" w:lineRule="auto"/>
      </w:pPr>
    </w:p>
    <w:bookmarkEnd w:id="105"/>
    <w:sectPr w:rsidR="00B036F5" w:rsidRPr="00D21F29" w:rsidSect="00DE3712">
      <w:headerReference w:type="default" r:id="rId24"/>
      <w:footerReference w:type="default" r:id="rId25"/>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0093" w14:textId="77777777" w:rsidR="003F034D" w:rsidRDefault="003F034D" w:rsidP="000802F7">
      <w:pPr>
        <w:spacing w:before="0" w:after="0"/>
      </w:pPr>
      <w:r>
        <w:separator/>
      </w:r>
    </w:p>
  </w:endnote>
  <w:endnote w:type="continuationSeparator" w:id="0">
    <w:p w14:paraId="7FF0FA6A" w14:textId="77777777" w:rsidR="003F034D" w:rsidRDefault="003F034D" w:rsidP="000802F7">
      <w:pPr>
        <w:spacing w:before="0" w:after="0"/>
      </w:pPr>
      <w:r>
        <w:continuationSeparator/>
      </w:r>
    </w:p>
  </w:endnote>
  <w:endnote w:type="continuationNotice" w:id="1">
    <w:p w14:paraId="1DA5A226" w14:textId="77777777" w:rsidR="003F034D" w:rsidRDefault="003F03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22511"/>
      <w:docPartObj>
        <w:docPartGallery w:val="Page Numbers (Bottom of Page)"/>
        <w:docPartUnique/>
      </w:docPartObj>
    </w:sdtPr>
    <w:sdtEndPr>
      <w:rPr>
        <w:noProof/>
      </w:rPr>
    </w:sdtEndPr>
    <w:sdtContent>
      <w:sdt>
        <w:sdtPr>
          <w:id w:val="-551306300"/>
          <w:docPartObj>
            <w:docPartGallery w:val="Page Numbers (Bottom of Page)"/>
            <w:docPartUnique/>
          </w:docPartObj>
        </w:sdtPr>
        <w:sdtEndPr>
          <w:rPr>
            <w:noProof/>
          </w:rPr>
        </w:sdtEndPr>
        <w:sdtContent>
          <w:p w14:paraId="58601348" w14:textId="77777777" w:rsidR="00B036F5" w:rsidRPr="00E52257" w:rsidRDefault="00B036F5"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78D08BAB" w14:textId="77777777" w:rsidR="00B036F5" w:rsidRPr="00021B5A" w:rsidRDefault="00B036F5"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738B0924" w14:textId="77777777" w:rsidR="00B036F5" w:rsidRPr="00D21F29" w:rsidRDefault="00B036F5"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37EAAB2E" w14:textId="77777777" w:rsidR="00B036F5" w:rsidRPr="00A20642" w:rsidRDefault="00B036F5"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5763"/>
      <w:docPartObj>
        <w:docPartGallery w:val="Page Numbers (Bottom of Page)"/>
        <w:docPartUnique/>
      </w:docPartObj>
    </w:sdtPr>
    <w:sdtEndPr>
      <w:rPr>
        <w:noProof/>
      </w:rPr>
    </w:sdtEndPr>
    <w:sdtContent>
      <w:sdt>
        <w:sdtPr>
          <w:id w:val="1890454903"/>
          <w:docPartObj>
            <w:docPartGallery w:val="Page Numbers (Bottom of Page)"/>
            <w:docPartUnique/>
          </w:docPartObj>
        </w:sdtPr>
        <w:sdtEndPr>
          <w:rPr>
            <w:noProof/>
          </w:rPr>
        </w:sdtEndPr>
        <w:sdtContent>
          <w:p w14:paraId="340F7095" w14:textId="77777777" w:rsidR="00764AE7" w:rsidRPr="00E52257" w:rsidRDefault="000B7B9F" w:rsidP="00764AE7">
            <w:pPr>
              <w:jc w:val="center"/>
              <w:rPr>
                <w:color w:val="17365D"/>
                <w:sz w:val="18"/>
              </w:rPr>
            </w:pPr>
            <w:r>
              <w:ptab w:relativeTo="margin" w:alignment="left" w:leader="none"/>
            </w:r>
            <w:bookmarkStart w:id="104" w:name="_Hlk200015649"/>
            <w:r w:rsidR="00764AE7" w:rsidRPr="00764AE7">
              <w:t xml:space="preserve"> </w:t>
            </w:r>
            <w:r w:rsidR="00764AE7">
              <w:ptab w:relativeTo="margin" w:alignment="left" w:leader="none"/>
            </w:r>
            <w:r w:rsidR="00764AE7">
              <w:ptab w:relativeTo="margin" w:alignment="left" w:leader="none"/>
            </w:r>
            <w:r w:rsidR="00764AE7">
              <w:ptab w:relativeTo="margin" w:alignment="left" w:leader="none"/>
            </w:r>
            <w:r w:rsidR="00764AE7">
              <w:ptab w:relativeTo="margin" w:alignment="left" w:leader="none"/>
            </w:r>
            <w:r w:rsidR="00764AE7" w:rsidRPr="00E52257">
              <w:rPr>
                <w:color w:val="17365D"/>
                <w:sz w:val="18"/>
              </w:rPr>
              <w:t>400 MARYLAND AVE. S.W., WASHINGTON DC 20202-2600</w:t>
            </w:r>
          </w:p>
          <w:p w14:paraId="4F5EE22A" w14:textId="77777777" w:rsidR="00764AE7" w:rsidRPr="00021B5A" w:rsidRDefault="00764AE7" w:rsidP="00764AE7">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06173D87" w14:textId="77777777" w:rsidR="00764AE7" w:rsidRPr="00ED466D" w:rsidRDefault="00764AE7" w:rsidP="00764AE7">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bookmarkEnd w:id="104"/>
          <w:p w14:paraId="2BFD45F9" w14:textId="15F887C7" w:rsidR="00764AE7" w:rsidRDefault="00764AE7" w:rsidP="00EC51AB">
            <w:pPr>
              <w:jc w:val="center"/>
            </w:pPr>
          </w:p>
          <w:p w14:paraId="46C7A7A6" w14:textId="568E40F6" w:rsidR="000B7B9F" w:rsidRPr="00A20642" w:rsidRDefault="000B7B9F"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227FC9EF" w14:textId="10A9B882"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73CB" w14:textId="77777777" w:rsidR="003F034D" w:rsidRDefault="003F034D" w:rsidP="000802F7">
      <w:pPr>
        <w:spacing w:before="0" w:after="0"/>
      </w:pPr>
      <w:r>
        <w:separator/>
      </w:r>
    </w:p>
  </w:footnote>
  <w:footnote w:type="continuationSeparator" w:id="0">
    <w:p w14:paraId="6A5C9BFD" w14:textId="77777777" w:rsidR="003F034D" w:rsidRDefault="003F034D" w:rsidP="000802F7">
      <w:pPr>
        <w:spacing w:before="0" w:after="0"/>
      </w:pPr>
      <w:r>
        <w:continuationSeparator/>
      </w:r>
    </w:p>
  </w:footnote>
  <w:footnote w:type="continuationNotice" w:id="1">
    <w:p w14:paraId="0EC1DE1F" w14:textId="77777777" w:rsidR="003F034D" w:rsidRDefault="003F034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085D" w14:textId="77777777" w:rsidR="00B036F5" w:rsidRDefault="00B036F5">
    <w:pPr>
      <w:pStyle w:val="Header"/>
    </w:pPr>
    <w:r>
      <w:rPr>
        <w:noProof/>
      </w:rPr>
      <w:drawing>
        <wp:anchor distT="0" distB="0" distL="114300" distR="114300" simplePos="0" relativeHeight="251658240" behindDoc="0" locked="0" layoutInCell="1" allowOverlap="1" wp14:anchorId="5F8ADAE2" wp14:editId="6CFBF660">
          <wp:simplePos x="0" y="0"/>
          <wp:positionH relativeFrom="column">
            <wp:posOffset>31750</wp:posOffset>
          </wp:positionH>
          <wp:positionV relativeFrom="paragraph">
            <wp:posOffset>121285</wp:posOffset>
          </wp:positionV>
          <wp:extent cx="914400" cy="914400"/>
          <wp:effectExtent l="0" t="0" r="0" b="0"/>
          <wp:wrapSquare wrapText="bothSides"/>
          <wp:docPr id="388336292" name="Picture 388336292"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BD79E" w14:textId="77777777" w:rsidR="00B036F5" w:rsidRPr="00E97278"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C2B7762" w14:textId="77777777" w:rsidR="00B036F5" w:rsidRPr="00D21F29" w:rsidRDefault="00B036F5"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7A8F99CE" w14:textId="77777777" w:rsidR="00B036F5" w:rsidRDefault="00B036F5" w:rsidP="00D21F29">
    <w:pPr>
      <w:pStyle w:val="Header"/>
      <w:tabs>
        <w:tab w:val="clear" w:pos="4320"/>
        <w:tab w:val="clear" w:pos="8640"/>
        <w:tab w:val="left" w:pos="6190"/>
      </w:tabs>
    </w:pPr>
  </w:p>
  <w:p w14:paraId="720C5E4E" w14:textId="77777777" w:rsidR="00B036F5" w:rsidRDefault="00B036F5" w:rsidP="00D21F29">
    <w:pPr>
      <w:pStyle w:val="Header"/>
      <w:tabs>
        <w:tab w:val="clear" w:pos="4320"/>
        <w:tab w:val="clear" w:pos="8640"/>
        <w:tab w:val="left" w:pos="6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E264" w14:textId="4DAC134A" w:rsidR="000B7B9F" w:rsidRDefault="000B7B9F">
    <w:pPr>
      <w:pStyle w:val="Header"/>
    </w:pPr>
  </w:p>
  <w:p w14:paraId="3D750B28" w14:textId="77777777" w:rsidR="000B7B9F" w:rsidRDefault="000B7B9F" w:rsidP="00D21F29">
    <w:pPr>
      <w:pStyle w:val="Header"/>
      <w:tabs>
        <w:tab w:val="clear" w:pos="4320"/>
        <w:tab w:val="clear" w:pos="8640"/>
        <w:tab w:val="left" w:pos="6190"/>
      </w:tabs>
    </w:pPr>
  </w:p>
  <w:p w14:paraId="04A67439" w14:textId="77777777" w:rsidR="00764AE7" w:rsidRDefault="00764AE7" w:rsidP="00764AE7">
    <w:pPr>
      <w:pStyle w:val="Title"/>
      <w:pBdr>
        <w:top w:val="none" w:sz="0" w:space="0" w:color="auto"/>
        <w:bottom w:val="none" w:sz="0" w:space="0" w:color="auto"/>
      </w:pBdr>
      <w:spacing w:before="0"/>
      <w:rPr>
        <w:rFonts w:ascii="Times New Roman" w:hAnsi="Times New Roman"/>
        <w:sz w:val="28"/>
      </w:rPr>
    </w:pPr>
    <w:bookmarkStart w:id="103" w:name="_Hlk200015403"/>
  </w:p>
  <w:p w14:paraId="00C567CE" w14:textId="77777777" w:rsidR="00764AE7" w:rsidRPr="00E97278" w:rsidRDefault="00764AE7"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Pr>
        <w:noProof/>
      </w:rPr>
      <w:drawing>
        <wp:anchor distT="0" distB="0" distL="114300" distR="114300" simplePos="0" relativeHeight="251660288" behindDoc="0" locked="0" layoutInCell="1" allowOverlap="1" wp14:anchorId="26D5693B" wp14:editId="6432B4E4">
          <wp:simplePos x="0" y="0"/>
          <wp:positionH relativeFrom="column">
            <wp:posOffset>0</wp:posOffset>
          </wp:positionH>
          <wp:positionV relativeFrom="paragraph">
            <wp:posOffset>-135986</wp:posOffset>
          </wp:positionV>
          <wp:extent cx="914400" cy="914400"/>
          <wp:effectExtent l="0" t="0" r="0" b="0"/>
          <wp:wrapSquare wrapText="bothSides"/>
          <wp:docPr id="2076470576" name="Picture 2076470576"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7573" name="Picture 307047573"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302C0D0C" w14:textId="77777777" w:rsidR="00764AE7" w:rsidRPr="00E97278" w:rsidRDefault="00764AE7" w:rsidP="00764AE7">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bookmarkEnd w:id="103"/>
  <w:p w14:paraId="4E39C16A" w14:textId="77777777" w:rsidR="000B7B9F" w:rsidRDefault="000B7B9F" w:rsidP="00D21F29">
    <w:pPr>
      <w:pStyle w:val="Header"/>
      <w:tabs>
        <w:tab w:val="clear" w:pos="4320"/>
        <w:tab w:val="clear" w:pos="8640"/>
        <w:tab w:val="left" w:pos="61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8DB9"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5A9"/>
    <w:rsid w:val="00004700"/>
    <w:rsid w:val="00004E61"/>
    <w:rsid w:val="000060A9"/>
    <w:rsid w:val="00006354"/>
    <w:rsid w:val="00010158"/>
    <w:rsid w:val="00010D0F"/>
    <w:rsid w:val="0001126B"/>
    <w:rsid w:val="00011778"/>
    <w:rsid w:val="000119D7"/>
    <w:rsid w:val="00011F5F"/>
    <w:rsid w:val="0001214A"/>
    <w:rsid w:val="000123EB"/>
    <w:rsid w:val="0001275E"/>
    <w:rsid w:val="00012CFF"/>
    <w:rsid w:val="00012EB2"/>
    <w:rsid w:val="00012FE7"/>
    <w:rsid w:val="00013004"/>
    <w:rsid w:val="00013420"/>
    <w:rsid w:val="000135C2"/>
    <w:rsid w:val="00013989"/>
    <w:rsid w:val="00014171"/>
    <w:rsid w:val="00014550"/>
    <w:rsid w:val="00014552"/>
    <w:rsid w:val="0001550D"/>
    <w:rsid w:val="00015D55"/>
    <w:rsid w:val="0001707D"/>
    <w:rsid w:val="00017826"/>
    <w:rsid w:val="000179AC"/>
    <w:rsid w:val="00017FA6"/>
    <w:rsid w:val="000203F5"/>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6982"/>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5D83"/>
    <w:rsid w:val="000477FF"/>
    <w:rsid w:val="00047BB6"/>
    <w:rsid w:val="00047DA0"/>
    <w:rsid w:val="0005031F"/>
    <w:rsid w:val="000533D7"/>
    <w:rsid w:val="00053A33"/>
    <w:rsid w:val="0005400A"/>
    <w:rsid w:val="00054582"/>
    <w:rsid w:val="000545D2"/>
    <w:rsid w:val="00054A60"/>
    <w:rsid w:val="00054FA8"/>
    <w:rsid w:val="000550D9"/>
    <w:rsid w:val="000552BC"/>
    <w:rsid w:val="00055E80"/>
    <w:rsid w:val="00055FC7"/>
    <w:rsid w:val="000564AC"/>
    <w:rsid w:val="00061896"/>
    <w:rsid w:val="000618B4"/>
    <w:rsid w:val="00061AB2"/>
    <w:rsid w:val="00061B0D"/>
    <w:rsid w:val="00061F73"/>
    <w:rsid w:val="000629B8"/>
    <w:rsid w:val="00063C71"/>
    <w:rsid w:val="00063CB9"/>
    <w:rsid w:val="0006466C"/>
    <w:rsid w:val="00064809"/>
    <w:rsid w:val="00064AB6"/>
    <w:rsid w:val="00064BA4"/>
    <w:rsid w:val="00064C9A"/>
    <w:rsid w:val="00065224"/>
    <w:rsid w:val="00066166"/>
    <w:rsid w:val="00067883"/>
    <w:rsid w:val="00067C04"/>
    <w:rsid w:val="00067F9F"/>
    <w:rsid w:val="00070330"/>
    <w:rsid w:val="000709B9"/>
    <w:rsid w:val="000714F7"/>
    <w:rsid w:val="000727A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A95"/>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79D"/>
    <w:rsid w:val="000B1C67"/>
    <w:rsid w:val="000B2A1C"/>
    <w:rsid w:val="000B2C26"/>
    <w:rsid w:val="000B3A11"/>
    <w:rsid w:val="000B3B4A"/>
    <w:rsid w:val="000B4AE7"/>
    <w:rsid w:val="000B4BBE"/>
    <w:rsid w:val="000B4FD4"/>
    <w:rsid w:val="000B5F13"/>
    <w:rsid w:val="000B7462"/>
    <w:rsid w:val="000B7B9F"/>
    <w:rsid w:val="000C0069"/>
    <w:rsid w:val="000C03A4"/>
    <w:rsid w:val="000C1C56"/>
    <w:rsid w:val="000C2444"/>
    <w:rsid w:val="000C2AED"/>
    <w:rsid w:val="000C32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1C21"/>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136"/>
    <w:rsid w:val="000F0525"/>
    <w:rsid w:val="000F1686"/>
    <w:rsid w:val="000F1858"/>
    <w:rsid w:val="000F19D5"/>
    <w:rsid w:val="000F1FED"/>
    <w:rsid w:val="000F27DB"/>
    <w:rsid w:val="000F3CCC"/>
    <w:rsid w:val="000F3EAA"/>
    <w:rsid w:val="000F435D"/>
    <w:rsid w:val="000F4A31"/>
    <w:rsid w:val="000F4F37"/>
    <w:rsid w:val="000F4FB0"/>
    <w:rsid w:val="000F5814"/>
    <w:rsid w:val="000F593E"/>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64F"/>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98C"/>
    <w:rsid w:val="00134C0C"/>
    <w:rsid w:val="001352A9"/>
    <w:rsid w:val="00135576"/>
    <w:rsid w:val="00135C7A"/>
    <w:rsid w:val="00136BE2"/>
    <w:rsid w:val="0014028E"/>
    <w:rsid w:val="00140A8A"/>
    <w:rsid w:val="00141A33"/>
    <w:rsid w:val="00142117"/>
    <w:rsid w:val="00142347"/>
    <w:rsid w:val="0014261C"/>
    <w:rsid w:val="001430AA"/>
    <w:rsid w:val="0014399E"/>
    <w:rsid w:val="00143B57"/>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772"/>
    <w:rsid w:val="00156BF7"/>
    <w:rsid w:val="00157066"/>
    <w:rsid w:val="001600D9"/>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7AE"/>
    <w:rsid w:val="001A2ACC"/>
    <w:rsid w:val="001A2DF3"/>
    <w:rsid w:val="001A342F"/>
    <w:rsid w:val="001A3539"/>
    <w:rsid w:val="001A39BE"/>
    <w:rsid w:val="001A4B29"/>
    <w:rsid w:val="001A4B9B"/>
    <w:rsid w:val="001A5652"/>
    <w:rsid w:val="001A582D"/>
    <w:rsid w:val="001A5EBA"/>
    <w:rsid w:val="001A6472"/>
    <w:rsid w:val="001A6E55"/>
    <w:rsid w:val="001B0473"/>
    <w:rsid w:val="001B1139"/>
    <w:rsid w:val="001B12D3"/>
    <w:rsid w:val="001B1B38"/>
    <w:rsid w:val="001B2224"/>
    <w:rsid w:val="001B2809"/>
    <w:rsid w:val="001B2FDE"/>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E7A90"/>
    <w:rsid w:val="001F1285"/>
    <w:rsid w:val="001F1489"/>
    <w:rsid w:val="001F1921"/>
    <w:rsid w:val="001F1E6E"/>
    <w:rsid w:val="001F2876"/>
    <w:rsid w:val="001F2D64"/>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6DA8"/>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1D56"/>
    <w:rsid w:val="002223BB"/>
    <w:rsid w:val="0022296F"/>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B79"/>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1CE"/>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B3"/>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54"/>
    <w:rsid w:val="002F27B8"/>
    <w:rsid w:val="002F2AB5"/>
    <w:rsid w:val="002F36D7"/>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5EF7"/>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6AE3"/>
    <w:rsid w:val="00317888"/>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300B"/>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1B9"/>
    <w:rsid w:val="0039695A"/>
    <w:rsid w:val="003977D8"/>
    <w:rsid w:val="003A07BF"/>
    <w:rsid w:val="003A1055"/>
    <w:rsid w:val="003A12EA"/>
    <w:rsid w:val="003A1D4B"/>
    <w:rsid w:val="003A2612"/>
    <w:rsid w:val="003A2D51"/>
    <w:rsid w:val="003A3693"/>
    <w:rsid w:val="003A380D"/>
    <w:rsid w:val="003A3BF0"/>
    <w:rsid w:val="003A3DF1"/>
    <w:rsid w:val="003A42C4"/>
    <w:rsid w:val="003A42F7"/>
    <w:rsid w:val="003A4794"/>
    <w:rsid w:val="003A4A57"/>
    <w:rsid w:val="003A4C46"/>
    <w:rsid w:val="003A4D11"/>
    <w:rsid w:val="003A4D77"/>
    <w:rsid w:val="003A51A7"/>
    <w:rsid w:val="003A5280"/>
    <w:rsid w:val="003A5701"/>
    <w:rsid w:val="003A59D9"/>
    <w:rsid w:val="003A6862"/>
    <w:rsid w:val="003A692D"/>
    <w:rsid w:val="003A7005"/>
    <w:rsid w:val="003A712B"/>
    <w:rsid w:val="003A7D48"/>
    <w:rsid w:val="003B0840"/>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582D"/>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4CBC"/>
    <w:rsid w:val="003E53BB"/>
    <w:rsid w:val="003E5A6B"/>
    <w:rsid w:val="003E628F"/>
    <w:rsid w:val="003E65F5"/>
    <w:rsid w:val="003E6B9B"/>
    <w:rsid w:val="003F034D"/>
    <w:rsid w:val="003F0F5F"/>
    <w:rsid w:val="003F14BD"/>
    <w:rsid w:val="003F1EF0"/>
    <w:rsid w:val="003F2DBE"/>
    <w:rsid w:val="003F43E4"/>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6EBD"/>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5E16"/>
    <w:rsid w:val="0043678A"/>
    <w:rsid w:val="00436802"/>
    <w:rsid w:val="004371A1"/>
    <w:rsid w:val="00437204"/>
    <w:rsid w:val="004374D6"/>
    <w:rsid w:val="00437F97"/>
    <w:rsid w:val="00440EFA"/>
    <w:rsid w:val="00441096"/>
    <w:rsid w:val="004410A6"/>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971"/>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09D"/>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4B8"/>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3FBC"/>
    <w:rsid w:val="004A4483"/>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05F"/>
    <w:rsid w:val="004B4513"/>
    <w:rsid w:val="004B5A00"/>
    <w:rsid w:val="004B6284"/>
    <w:rsid w:val="004B6512"/>
    <w:rsid w:val="004B69B2"/>
    <w:rsid w:val="004B6C0B"/>
    <w:rsid w:val="004B755C"/>
    <w:rsid w:val="004B782D"/>
    <w:rsid w:val="004C1866"/>
    <w:rsid w:val="004C1CEE"/>
    <w:rsid w:val="004C4C71"/>
    <w:rsid w:val="004C5545"/>
    <w:rsid w:val="004C6F4C"/>
    <w:rsid w:val="004C7A3F"/>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543"/>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695D"/>
    <w:rsid w:val="004F7463"/>
    <w:rsid w:val="004F756B"/>
    <w:rsid w:val="004F7E56"/>
    <w:rsid w:val="005001A4"/>
    <w:rsid w:val="00500859"/>
    <w:rsid w:val="005010D8"/>
    <w:rsid w:val="005018AB"/>
    <w:rsid w:val="005024FD"/>
    <w:rsid w:val="005032AF"/>
    <w:rsid w:val="005036AB"/>
    <w:rsid w:val="005040C8"/>
    <w:rsid w:val="00504107"/>
    <w:rsid w:val="0050420E"/>
    <w:rsid w:val="005042BD"/>
    <w:rsid w:val="005043ED"/>
    <w:rsid w:val="005046A6"/>
    <w:rsid w:val="00504809"/>
    <w:rsid w:val="00504A61"/>
    <w:rsid w:val="00504D1A"/>
    <w:rsid w:val="00504D31"/>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919"/>
    <w:rsid w:val="00535B05"/>
    <w:rsid w:val="00536507"/>
    <w:rsid w:val="00536749"/>
    <w:rsid w:val="00536947"/>
    <w:rsid w:val="005369EB"/>
    <w:rsid w:val="00536F59"/>
    <w:rsid w:val="00537EE2"/>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6DB"/>
    <w:rsid w:val="005918D1"/>
    <w:rsid w:val="00591D0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5B87"/>
    <w:rsid w:val="005A7BC0"/>
    <w:rsid w:val="005A7E73"/>
    <w:rsid w:val="005B0A78"/>
    <w:rsid w:val="005B188F"/>
    <w:rsid w:val="005B2415"/>
    <w:rsid w:val="005B2789"/>
    <w:rsid w:val="005B3A9B"/>
    <w:rsid w:val="005B4004"/>
    <w:rsid w:val="005B4FBD"/>
    <w:rsid w:val="005B5169"/>
    <w:rsid w:val="005B5A95"/>
    <w:rsid w:val="005B5DFD"/>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7E4"/>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6C0"/>
    <w:rsid w:val="005F38FE"/>
    <w:rsid w:val="005F408F"/>
    <w:rsid w:val="005F4279"/>
    <w:rsid w:val="005F481B"/>
    <w:rsid w:val="005F5010"/>
    <w:rsid w:val="005F5034"/>
    <w:rsid w:val="005F5818"/>
    <w:rsid w:val="005F61B8"/>
    <w:rsid w:val="005F6257"/>
    <w:rsid w:val="005F762F"/>
    <w:rsid w:val="005F7682"/>
    <w:rsid w:val="005F795F"/>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423"/>
    <w:rsid w:val="006076E9"/>
    <w:rsid w:val="006077A7"/>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2CE"/>
    <w:rsid w:val="00651541"/>
    <w:rsid w:val="00652AA7"/>
    <w:rsid w:val="0065340E"/>
    <w:rsid w:val="006535AD"/>
    <w:rsid w:val="00653B49"/>
    <w:rsid w:val="00653D42"/>
    <w:rsid w:val="006544DF"/>
    <w:rsid w:val="0065474E"/>
    <w:rsid w:val="0065501F"/>
    <w:rsid w:val="00655963"/>
    <w:rsid w:val="006561DE"/>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77B7F"/>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1F45"/>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200"/>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1BF2"/>
    <w:rsid w:val="006E3226"/>
    <w:rsid w:val="006E322D"/>
    <w:rsid w:val="006E39C5"/>
    <w:rsid w:val="006E3C43"/>
    <w:rsid w:val="006E4396"/>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546"/>
    <w:rsid w:val="006F4A54"/>
    <w:rsid w:val="006F4BF7"/>
    <w:rsid w:val="006F5957"/>
    <w:rsid w:val="006F66A1"/>
    <w:rsid w:val="006F673C"/>
    <w:rsid w:val="006F6E86"/>
    <w:rsid w:val="006F7459"/>
    <w:rsid w:val="006F79FC"/>
    <w:rsid w:val="006F7BED"/>
    <w:rsid w:val="006F7D1B"/>
    <w:rsid w:val="0070083E"/>
    <w:rsid w:val="00700BCA"/>
    <w:rsid w:val="00700D76"/>
    <w:rsid w:val="00700F54"/>
    <w:rsid w:val="007011EC"/>
    <w:rsid w:val="007016F6"/>
    <w:rsid w:val="00701B5B"/>
    <w:rsid w:val="00702A40"/>
    <w:rsid w:val="0070373C"/>
    <w:rsid w:val="00703A82"/>
    <w:rsid w:val="00703FA0"/>
    <w:rsid w:val="00704C17"/>
    <w:rsid w:val="00704DED"/>
    <w:rsid w:val="007059B2"/>
    <w:rsid w:val="007063F7"/>
    <w:rsid w:val="00706522"/>
    <w:rsid w:val="00706723"/>
    <w:rsid w:val="00707643"/>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1540"/>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4F6B"/>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57B"/>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3C0"/>
    <w:rsid w:val="0078491F"/>
    <w:rsid w:val="00784AAF"/>
    <w:rsid w:val="00785280"/>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481D"/>
    <w:rsid w:val="007B5842"/>
    <w:rsid w:val="007B6213"/>
    <w:rsid w:val="007B6842"/>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377"/>
    <w:rsid w:val="007C454A"/>
    <w:rsid w:val="007C5A19"/>
    <w:rsid w:val="007C5C98"/>
    <w:rsid w:val="007C5CB2"/>
    <w:rsid w:val="007D12EA"/>
    <w:rsid w:val="007D1548"/>
    <w:rsid w:val="007D2BB5"/>
    <w:rsid w:val="007D2CBD"/>
    <w:rsid w:val="007D374D"/>
    <w:rsid w:val="007D41F8"/>
    <w:rsid w:val="007D527A"/>
    <w:rsid w:val="007D6635"/>
    <w:rsid w:val="007D798F"/>
    <w:rsid w:val="007D7A3B"/>
    <w:rsid w:val="007E0FCC"/>
    <w:rsid w:val="007E14EE"/>
    <w:rsid w:val="007E1738"/>
    <w:rsid w:val="007E1798"/>
    <w:rsid w:val="007E1F11"/>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EDC"/>
    <w:rsid w:val="00803FBB"/>
    <w:rsid w:val="00804222"/>
    <w:rsid w:val="0080439F"/>
    <w:rsid w:val="008043A8"/>
    <w:rsid w:val="00804BFA"/>
    <w:rsid w:val="00805DD3"/>
    <w:rsid w:val="00807DB1"/>
    <w:rsid w:val="008108AC"/>
    <w:rsid w:val="008115FD"/>
    <w:rsid w:val="0081169C"/>
    <w:rsid w:val="00811738"/>
    <w:rsid w:val="00811A99"/>
    <w:rsid w:val="008124D7"/>
    <w:rsid w:val="0081430E"/>
    <w:rsid w:val="00814341"/>
    <w:rsid w:val="008143DB"/>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265"/>
    <w:rsid w:val="008305A8"/>
    <w:rsid w:val="0083111E"/>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563E"/>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2C21"/>
    <w:rsid w:val="00893C59"/>
    <w:rsid w:val="008942E7"/>
    <w:rsid w:val="00894456"/>
    <w:rsid w:val="0089571C"/>
    <w:rsid w:val="008964BF"/>
    <w:rsid w:val="0089674A"/>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7A5"/>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2DC"/>
    <w:rsid w:val="008D29B0"/>
    <w:rsid w:val="008D3201"/>
    <w:rsid w:val="008D3349"/>
    <w:rsid w:val="008D3482"/>
    <w:rsid w:val="008D369E"/>
    <w:rsid w:val="008D36D9"/>
    <w:rsid w:val="008D36F3"/>
    <w:rsid w:val="008D433F"/>
    <w:rsid w:val="008D465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16B"/>
    <w:rsid w:val="008F0291"/>
    <w:rsid w:val="008F04FB"/>
    <w:rsid w:val="008F09B0"/>
    <w:rsid w:val="008F0A87"/>
    <w:rsid w:val="008F0C8C"/>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551"/>
    <w:rsid w:val="00912B1B"/>
    <w:rsid w:val="00913F1E"/>
    <w:rsid w:val="00914D48"/>
    <w:rsid w:val="009151CD"/>
    <w:rsid w:val="00915491"/>
    <w:rsid w:val="00915D46"/>
    <w:rsid w:val="00916E00"/>
    <w:rsid w:val="009170DE"/>
    <w:rsid w:val="009172F2"/>
    <w:rsid w:val="00917FC3"/>
    <w:rsid w:val="00920AEA"/>
    <w:rsid w:val="00921339"/>
    <w:rsid w:val="00921F40"/>
    <w:rsid w:val="009228C1"/>
    <w:rsid w:val="00922D39"/>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4C0"/>
    <w:rsid w:val="00932EB3"/>
    <w:rsid w:val="009331EF"/>
    <w:rsid w:val="009333BB"/>
    <w:rsid w:val="0093373D"/>
    <w:rsid w:val="009343D4"/>
    <w:rsid w:val="0093456C"/>
    <w:rsid w:val="0093462D"/>
    <w:rsid w:val="00934778"/>
    <w:rsid w:val="0093491D"/>
    <w:rsid w:val="009356C1"/>
    <w:rsid w:val="00935B33"/>
    <w:rsid w:val="00937FCA"/>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4DC8"/>
    <w:rsid w:val="0097529F"/>
    <w:rsid w:val="009754A0"/>
    <w:rsid w:val="0097586C"/>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3EB"/>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397"/>
    <w:rsid w:val="00996A55"/>
    <w:rsid w:val="00996DD5"/>
    <w:rsid w:val="00997807"/>
    <w:rsid w:val="00997B72"/>
    <w:rsid w:val="009A0216"/>
    <w:rsid w:val="009A02AB"/>
    <w:rsid w:val="009A0C0A"/>
    <w:rsid w:val="009A0D4B"/>
    <w:rsid w:val="009A1058"/>
    <w:rsid w:val="009A157A"/>
    <w:rsid w:val="009A24E2"/>
    <w:rsid w:val="009A2965"/>
    <w:rsid w:val="009A3621"/>
    <w:rsid w:val="009A37D2"/>
    <w:rsid w:val="009A3EAF"/>
    <w:rsid w:val="009A49C9"/>
    <w:rsid w:val="009A4BAC"/>
    <w:rsid w:val="009A5641"/>
    <w:rsid w:val="009A58B4"/>
    <w:rsid w:val="009A5E96"/>
    <w:rsid w:val="009A5F4B"/>
    <w:rsid w:val="009A64EE"/>
    <w:rsid w:val="009A6887"/>
    <w:rsid w:val="009A69E5"/>
    <w:rsid w:val="009A70E0"/>
    <w:rsid w:val="009A73FF"/>
    <w:rsid w:val="009B013E"/>
    <w:rsid w:val="009B0853"/>
    <w:rsid w:val="009B1E06"/>
    <w:rsid w:val="009B220D"/>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694"/>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09"/>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8C"/>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5ED"/>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4A87"/>
    <w:rsid w:val="00A55630"/>
    <w:rsid w:val="00A5616C"/>
    <w:rsid w:val="00A56320"/>
    <w:rsid w:val="00A564E2"/>
    <w:rsid w:val="00A56893"/>
    <w:rsid w:val="00A56AE9"/>
    <w:rsid w:val="00A56D10"/>
    <w:rsid w:val="00A5723B"/>
    <w:rsid w:val="00A57479"/>
    <w:rsid w:val="00A574F2"/>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6CDD"/>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125"/>
    <w:rsid w:val="00AC0489"/>
    <w:rsid w:val="00AC0646"/>
    <w:rsid w:val="00AC1418"/>
    <w:rsid w:val="00AC161E"/>
    <w:rsid w:val="00AC2111"/>
    <w:rsid w:val="00AC23D5"/>
    <w:rsid w:val="00AC243A"/>
    <w:rsid w:val="00AC2D23"/>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07AFA"/>
    <w:rsid w:val="00B12A6D"/>
    <w:rsid w:val="00B13554"/>
    <w:rsid w:val="00B13B7A"/>
    <w:rsid w:val="00B14483"/>
    <w:rsid w:val="00B15367"/>
    <w:rsid w:val="00B153A6"/>
    <w:rsid w:val="00B155D4"/>
    <w:rsid w:val="00B1599B"/>
    <w:rsid w:val="00B15FA1"/>
    <w:rsid w:val="00B16858"/>
    <w:rsid w:val="00B17243"/>
    <w:rsid w:val="00B20541"/>
    <w:rsid w:val="00B20856"/>
    <w:rsid w:val="00B20988"/>
    <w:rsid w:val="00B20D5E"/>
    <w:rsid w:val="00B22C72"/>
    <w:rsid w:val="00B2300A"/>
    <w:rsid w:val="00B231E6"/>
    <w:rsid w:val="00B23255"/>
    <w:rsid w:val="00B24004"/>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5DD4"/>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5D34"/>
    <w:rsid w:val="00B771D7"/>
    <w:rsid w:val="00B801B2"/>
    <w:rsid w:val="00B80BA1"/>
    <w:rsid w:val="00B81B26"/>
    <w:rsid w:val="00B81FDB"/>
    <w:rsid w:val="00B8277D"/>
    <w:rsid w:val="00B830A2"/>
    <w:rsid w:val="00B83214"/>
    <w:rsid w:val="00B83404"/>
    <w:rsid w:val="00B842B5"/>
    <w:rsid w:val="00B8475D"/>
    <w:rsid w:val="00B84C5D"/>
    <w:rsid w:val="00B84D65"/>
    <w:rsid w:val="00B84EE3"/>
    <w:rsid w:val="00B85251"/>
    <w:rsid w:val="00B853CC"/>
    <w:rsid w:val="00B8632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A7BF2"/>
    <w:rsid w:val="00BB03F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24B"/>
    <w:rsid w:val="00BB78B5"/>
    <w:rsid w:val="00BB7A07"/>
    <w:rsid w:val="00BC060A"/>
    <w:rsid w:val="00BC0656"/>
    <w:rsid w:val="00BC08DD"/>
    <w:rsid w:val="00BC0C42"/>
    <w:rsid w:val="00BC114A"/>
    <w:rsid w:val="00BC1D62"/>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D7E9F"/>
    <w:rsid w:val="00BE0B65"/>
    <w:rsid w:val="00BE2F38"/>
    <w:rsid w:val="00BE326C"/>
    <w:rsid w:val="00BE365B"/>
    <w:rsid w:val="00BE4067"/>
    <w:rsid w:val="00BE4F11"/>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68A"/>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774"/>
    <w:rsid w:val="00C3681D"/>
    <w:rsid w:val="00C36888"/>
    <w:rsid w:val="00C369E6"/>
    <w:rsid w:val="00C36C23"/>
    <w:rsid w:val="00C375EA"/>
    <w:rsid w:val="00C408F8"/>
    <w:rsid w:val="00C40904"/>
    <w:rsid w:val="00C410ED"/>
    <w:rsid w:val="00C42898"/>
    <w:rsid w:val="00C43001"/>
    <w:rsid w:val="00C43048"/>
    <w:rsid w:val="00C4363B"/>
    <w:rsid w:val="00C43AD8"/>
    <w:rsid w:val="00C453F5"/>
    <w:rsid w:val="00C463E3"/>
    <w:rsid w:val="00C4697D"/>
    <w:rsid w:val="00C469A5"/>
    <w:rsid w:val="00C47352"/>
    <w:rsid w:val="00C476A6"/>
    <w:rsid w:val="00C47E1D"/>
    <w:rsid w:val="00C5007F"/>
    <w:rsid w:val="00C510C6"/>
    <w:rsid w:val="00C519FB"/>
    <w:rsid w:val="00C52090"/>
    <w:rsid w:val="00C538B3"/>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662"/>
    <w:rsid w:val="00C73A67"/>
    <w:rsid w:val="00C744AB"/>
    <w:rsid w:val="00C74691"/>
    <w:rsid w:val="00C74DA6"/>
    <w:rsid w:val="00C74E3D"/>
    <w:rsid w:val="00C74E4D"/>
    <w:rsid w:val="00C74EEA"/>
    <w:rsid w:val="00C75047"/>
    <w:rsid w:val="00C75A4F"/>
    <w:rsid w:val="00C75C3F"/>
    <w:rsid w:val="00C75DB4"/>
    <w:rsid w:val="00C766CC"/>
    <w:rsid w:val="00C777CA"/>
    <w:rsid w:val="00C779B5"/>
    <w:rsid w:val="00C77A39"/>
    <w:rsid w:val="00C814C0"/>
    <w:rsid w:val="00C81504"/>
    <w:rsid w:val="00C81DA9"/>
    <w:rsid w:val="00C81F03"/>
    <w:rsid w:val="00C81FBD"/>
    <w:rsid w:val="00C82955"/>
    <w:rsid w:val="00C83443"/>
    <w:rsid w:val="00C83574"/>
    <w:rsid w:val="00C83769"/>
    <w:rsid w:val="00C83D00"/>
    <w:rsid w:val="00C83D3F"/>
    <w:rsid w:val="00C8421D"/>
    <w:rsid w:val="00C843AF"/>
    <w:rsid w:val="00C84957"/>
    <w:rsid w:val="00C84CC8"/>
    <w:rsid w:val="00C85E4C"/>
    <w:rsid w:val="00C86149"/>
    <w:rsid w:val="00C86916"/>
    <w:rsid w:val="00C86B84"/>
    <w:rsid w:val="00C86F8D"/>
    <w:rsid w:val="00C87D1A"/>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0F1"/>
    <w:rsid w:val="00CD0295"/>
    <w:rsid w:val="00CD071F"/>
    <w:rsid w:val="00CD08AB"/>
    <w:rsid w:val="00CD08B6"/>
    <w:rsid w:val="00CD0D03"/>
    <w:rsid w:val="00CD0FBC"/>
    <w:rsid w:val="00CD1148"/>
    <w:rsid w:val="00CD161C"/>
    <w:rsid w:val="00CD3D3A"/>
    <w:rsid w:val="00CD44AE"/>
    <w:rsid w:val="00CD474B"/>
    <w:rsid w:val="00CD4FE9"/>
    <w:rsid w:val="00CD53D3"/>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2E1B"/>
    <w:rsid w:val="00CE3DD4"/>
    <w:rsid w:val="00CE4BCD"/>
    <w:rsid w:val="00CE5122"/>
    <w:rsid w:val="00CE5A76"/>
    <w:rsid w:val="00CE61F3"/>
    <w:rsid w:val="00CE625C"/>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59E2"/>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59B1"/>
    <w:rsid w:val="00D06052"/>
    <w:rsid w:val="00D06162"/>
    <w:rsid w:val="00D06420"/>
    <w:rsid w:val="00D0701F"/>
    <w:rsid w:val="00D071AC"/>
    <w:rsid w:val="00D077E3"/>
    <w:rsid w:val="00D07A59"/>
    <w:rsid w:val="00D11567"/>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4F"/>
    <w:rsid w:val="00D3555C"/>
    <w:rsid w:val="00D3572A"/>
    <w:rsid w:val="00D35DEE"/>
    <w:rsid w:val="00D36E35"/>
    <w:rsid w:val="00D37150"/>
    <w:rsid w:val="00D37C0C"/>
    <w:rsid w:val="00D37FA9"/>
    <w:rsid w:val="00D4040F"/>
    <w:rsid w:val="00D40767"/>
    <w:rsid w:val="00D409A1"/>
    <w:rsid w:val="00D413B3"/>
    <w:rsid w:val="00D41EAD"/>
    <w:rsid w:val="00D42148"/>
    <w:rsid w:val="00D427E5"/>
    <w:rsid w:val="00D427E8"/>
    <w:rsid w:val="00D4293A"/>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3102"/>
    <w:rsid w:val="00D647C5"/>
    <w:rsid w:val="00D64954"/>
    <w:rsid w:val="00D6512E"/>
    <w:rsid w:val="00D651D5"/>
    <w:rsid w:val="00D6593C"/>
    <w:rsid w:val="00D65F15"/>
    <w:rsid w:val="00D66260"/>
    <w:rsid w:val="00D663A6"/>
    <w:rsid w:val="00D6658E"/>
    <w:rsid w:val="00D6712B"/>
    <w:rsid w:val="00D70630"/>
    <w:rsid w:val="00D708DA"/>
    <w:rsid w:val="00D70ABF"/>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5A3"/>
    <w:rsid w:val="00DA15C5"/>
    <w:rsid w:val="00DA1AA7"/>
    <w:rsid w:val="00DA2081"/>
    <w:rsid w:val="00DA2B33"/>
    <w:rsid w:val="00DA2BCE"/>
    <w:rsid w:val="00DA2D5A"/>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2E2E"/>
    <w:rsid w:val="00DC4B6C"/>
    <w:rsid w:val="00DC4D1E"/>
    <w:rsid w:val="00DC5AC5"/>
    <w:rsid w:val="00DC6125"/>
    <w:rsid w:val="00DC6D97"/>
    <w:rsid w:val="00DC7262"/>
    <w:rsid w:val="00DC7E05"/>
    <w:rsid w:val="00DD1311"/>
    <w:rsid w:val="00DD1B52"/>
    <w:rsid w:val="00DD1D55"/>
    <w:rsid w:val="00DD1EE7"/>
    <w:rsid w:val="00DD2119"/>
    <w:rsid w:val="00DD2820"/>
    <w:rsid w:val="00DD311B"/>
    <w:rsid w:val="00DD3873"/>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54EC"/>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050"/>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237"/>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1C4B"/>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56ED"/>
    <w:rsid w:val="00E866D0"/>
    <w:rsid w:val="00E8694C"/>
    <w:rsid w:val="00E87031"/>
    <w:rsid w:val="00E872D3"/>
    <w:rsid w:val="00E87790"/>
    <w:rsid w:val="00E878D3"/>
    <w:rsid w:val="00E87D62"/>
    <w:rsid w:val="00E902BD"/>
    <w:rsid w:val="00E9116A"/>
    <w:rsid w:val="00E91570"/>
    <w:rsid w:val="00E918FF"/>
    <w:rsid w:val="00E92591"/>
    <w:rsid w:val="00E928DD"/>
    <w:rsid w:val="00E92F52"/>
    <w:rsid w:val="00E934E9"/>
    <w:rsid w:val="00E93DFE"/>
    <w:rsid w:val="00E949DD"/>
    <w:rsid w:val="00E956A8"/>
    <w:rsid w:val="00E959A2"/>
    <w:rsid w:val="00E95FA9"/>
    <w:rsid w:val="00E9667F"/>
    <w:rsid w:val="00E97FBE"/>
    <w:rsid w:val="00EA0143"/>
    <w:rsid w:val="00EA0390"/>
    <w:rsid w:val="00EA0734"/>
    <w:rsid w:val="00EA0E22"/>
    <w:rsid w:val="00EA0FCD"/>
    <w:rsid w:val="00EA12F7"/>
    <w:rsid w:val="00EA1891"/>
    <w:rsid w:val="00EA2918"/>
    <w:rsid w:val="00EA2984"/>
    <w:rsid w:val="00EA3E48"/>
    <w:rsid w:val="00EA4DAA"/>
    <w:rsid w:val="00EA5593"/>
    <w:rsid w:val="00EA5A14"/>
    <w:rsid w:val="00EA5BA9"/>
    <w:rsid w:val="00EA60FA"/>
    <w:rsid w:val="00EA65BC"/>
    <w:rsid w:val="00EA6A17"/>
    <w:rsid w:val="00EA7673"/>
    <w:rsid w:val="00EA7BE2"/>
    <w:rsid w:val="00EB0146"/>
    <w:rsid w:val="00EB057F"/>
    <w:rsid w:val="00EB0B26"/>
    <w:rsid w:val="00EB1354"/>
    <w:rsid w:val="00EB1BA8"/>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C04"/>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9F5"/>
    <w:rsid w:val="00EE6F42"/>
    <w:rsid w:val="00EE7144"/>
    <w:rsid w:val="00EE7758"/>
    <w:rsid w:val="00EE7829"/>
    <w:rsid w:val="00EF00BE"/>
    <w:rsid w:val="00EF09DF"/>
    <w:rsid w:val="00EF1AEF"/>
    <w:rsid w:val="00EF345F"/>
    <w:rsid w:val="00EF3463"/>
    <w:rsid w:val="00EF3607"/>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87317"/>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5E2"/>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E7C3E"/>
    <w:rsid w:val="00FF026D"/>
    <w:rsid w:val="00FF155B"/>
    <w:rsid w:val="00FF2213"/>
    <w:rsid w:val="00FF244B"/>
    <w:rsid w:val="00FF2F0B"/>
    <w:rsid w:val="00FF3F3A"/>
    <w:rsid w:val="00FF4631"/>
    <w:rsid w:val="00FF4763"/>
    <w:rsid w:val="00FF4A43"/>
    <w:rsid w:val="00FF54D0"/>
    <w:rsid w:val="00FF55B8"/>
    <w:rsid w:val="00FF5B44"/>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461D"/>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wmf"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https://sites.ed.gov/idea/files/FFY2023-Part-C-SPP-APR-Reformatted-Measurement-Table.pdf" TargetMode="External" Type="http://schemas.openxmlformats.org/officeDocument/2006/relationships/hyperlink"/><Relationship Id="rId15" Target="https://sites.ed.gov/idea/how-the-department-made-determinations/" TargetMode="External" Type="http://schemas.openxmlformats.org/officeDocument/2006/relationships/hyperlink"/><Relationship Id="rId16" Target="header1.xml" Type="http://schemas.openxmlformats.org/officeDocument/2006/relationships/header"/><Relationship Id="rId17" Target="footer3.xml" Type="http://schemas.openxmlformats.org/officeDocument/2006/relationships/footer"/><Relationship Id="rId18" Target="https://sites.ed.gov/idea/how-the-department-made-determinations/" TargetMode="External" Type="http://schemas.openxmlformats.org/officeDocument/2006/relationships/hyperlink"/><Relationship Id="rId19" Target="header2.xml" Type="http://schemas.openxmlformats.org/officeDocument/2006/relationships/header"/><Relationship Id="rId2" Target="../customXml/item2.xml" Type="http://schemas.openxmlformats.org/officeDocument/2006/relationships/customXml"/><Relationship Id="rId20" Target="footer4.xml" Type="http://schemas.openxmlformats.org/officeDocument/2006/relationships/footer"/><Relationship Id="rId21" Target="https://emaps.ed.gov/suite/" TargetMode="External" Type="http://schemas.openxmlformats.org/officeDocument/2006/relationships/hyperlink"/><Relationship Id="rId22" Target="https://sites.ed.gov/idea/topic-areas/" TargetMode="External" Type="http://schemas.openxmlformats.org/officeDocument/2006/relationships/hyperlink"/><Relationship Id="rId23" Target="media/image3.jpg" Type="http://schemas.openxmlformats.org/officeDocument/2006/relationships/image"/><Relationship Id="rId24" Target="header3.xml" Type="http://schemas.openxmlformats.org/officeDocument/2006/relationships/header"/><Relationship Id="rId25" Target="footer5.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no"?><Relationships xmlns="http://schemas.openxmlformats.org/package/2006/relationships"><Relationship Id="rId1" Target="media/image2.emf" Type="http://schemas.openxmlformats.org/officeDocument/2006/relationships/image"/></Relationships>
</file>

<file path=word/_rels/header2.xml.rels><?xml version="1.0" encoding="UTF-8" standalone="no"?><Relationships xmlns="http://schemas.openxmlformats.org/package/2006/relationships"><Relationship Id="rId1"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b41075fa3907bf24da188a9be314ec1d">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1770e6ed8783350340e2f5370c6e5255"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6bac4-6705-4a36-974b-7c07450fedf2" xsi:nil="true"/>
    <lcf76f155ced4ddcb4097134ff3c332f xmlns="292db1e8-b3d0-4356-8ef3-2a6d7ed77883">
      <Terms xmlns="http://schemas.microsoft.com/office/infopath/2007/PartnerControls"/>
    </lcf76f155ced4ddcb4097134ff3c332f>
    <Document_x0020_Purpose xmlns="292db1e8-b3d0-4356-8ef3-2a6d7ed77883" xsi:nil="true"/>
    <_ip_UnifiedCompliancePolicyUIAction xmlns="http://schemas.microsoft.com/sharepoint/v3" xsi:nil="true"/>
    <RoutingTargetFolder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2.xml><?xml version="1.0" encoding="utf-8"?>
<ds:datastoreItem xmlns:ds="http://schemas.openxmlformats.org/officeDocument/2006/customXml" ds:itemID="{D029DF2A-96F2-414A-AFDB-426EC5378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f36bac4-6705-4a36-974b-7c07450fedf2"/>
    <ds:schemaRef ds:uri="292db1e8-b3d0-4356-8ef3-2a6d7ed77883"/>
    <ds:schemaRef ds:uri="http://schemas.microsoft.com/sharepoint/v3"/>
  </ds:schemaRefs>
</ds:datastoreItem>
</file>

<file path=customXml/itemProps4.xml><?xml version="1.0" encoding="utf-8"?>
<ds:datastoreItem xmlns:ds="http://schemas.openxmlformats.org/officeDocument/2006/customXml" ds:itemID="{7881BCB8-03D0-4290-935D-F6B299B61C8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79</Pages>
  <Words>34564</Words>
  <Characters>197017</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2025 SPP/APR and State Determination Letters, Part C</vt:lpstr>
    </vt:vector>
  </TitlesOfParts>
  <Company/>
  <LinksUpToDate>false</LinksUpToDate>
  <CharactersWithSpaces>231119</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2025-09-03T16:14:00Z</dcterms:created>
  <cp:lastModifiedBy>Sharmila Premji</cp:lastModifiedBy>
  <cp:lastPrinted>2014-08-20T01:56:00Z</cp:lastPrinted>
  <dcterms:modified xsi:type="dcterms:W3CDTF">2025-11-20T18:56:00Z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