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44" w:rsidRDefault="009A1F44" w:rsidP="009A1F4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9A1F44" w:rsidRDefault="009A1F44" w:rsidP="009A1F44">
      <w:pPr>
        <w:jc w:val="center"/>
      </w:pPr>
      <w:r>
        <w:t>BOARD OF REGISTRATION IN MEDICINE</w:t>
      </w:r>
    </w:p>
    <w:p w:rsidR="009A1F44" w:rsidRDefault="009A1F44" w:rsidP="009A1F44">
      <w:pPr>
        <w:jc w:val="center"/>
      </w:pPr>
    </w:p>
    <w:p w:rsidR="009A1F44" w:rsidRDefault="009A1F44" w:rsidP="00E43C64">
      <w:pPr>
        <w:ind w:left="-720"/>
      </w:pPr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>
        <w:t>Adjudicatory Case</w:t>
      </w:r>
    </w:p>
    <w:p w:rsidR="009A1F44" w:rsidRDefault="009A1F44" w:rsidP="009A1F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3C64">
        <w:tab/>
      </w:r>
      <w:r>
        <w:t>No. 201</w:t>
      </w:r>
      <w:r w:rsidR="009F36CF">
        <w:t>3</w:t>
      </w:r>
      <w:r>
        <w:t>-0</w:t>
      </w:r>
      <w:r w:rsidR="0085440C">
        <w:t>41</w:t>
      </w:r>
    </w:p>
    <w:p w:rsidR="009A1F44" w:rsidRDefault="009A1F44" w:rsidP="009A1F44"/>
    <w:p w:rsidR="009A1F44" w:rsidRDefault="009A1F44" w:rsidP="00E43C64">
      <w:pPr>
        <w:ind w:left="-720"/>
      </w:pPr>
      <w:r>
        <w:t xml:space="preserve">_____________________  </w:t>
      </w:r>
    </w:p>
    <w:p w:rsidR="009A1F44" w:rsidRDefault="009A1F44" w:rsidP="00E43C64">
      <w:pPr>
        <w:ind w:left="-720"/>
      </w:pPr>
      <w:r>
        <w:tab/>
      </w:r>
      <w:r>
        <w:tab/>
      </w:r>
      <w:r>
        <w:tab/>
        <w:t xml:space="preserve">       )</w:t>
      </w:r>
      <w:r>
        <w:tab/>
      </w:r>
    </w:p>
    <w:p w:rsidR="009A1F44" w:rsidRDefault="009A1F44" w:rsidP="00E43C64">
      <w:pPr>
        <w:ind w:left="-720"/>
      </w:pPr>
      <w:r>
        <w:t>In the Matter of                  )</w:t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 w:rsidRPr="009A1F44">
        <w:rPr>
          <w:u w:val="single"/>
        </w:rPr>
        <w:t>Partial Final Decision as</w:t>
      </w:r>
    </w:p>
    <w:p w:rsidR="009A1F44" w:rsidRDefault="009A1F44" w:rsidP="00E43C64">
      <w:pPr>
        <w:ind w:left="-720"/>
      </w:pPr>
      <w:r>
        <w:t xml:space="preserve">                                           ) </w:t>
      </w:r>
      <w:r>
        <w:tab/>
      </w:r>
      <w:r>
        <w:tab/>
      </w:r>
      <w:r>
        <w:tab/>
      </w:r>
      <w:r>
        <w:tab/>
      </w:r>
      <w:r w:rsidR="00E43C64">
        <w:tab/>
      </w:r>
      <w:r w:rsidR="00E43C64">
        <w:tab/>
      </w:r>
      <w:r w:rsidRPr="009A1F44">
        <w:rPr>
          <w:u w:val="single"/>
        </w:rPr>
        <w:t>to Findings of Fact and</w:t>
      </w:r>
    </w:p>
    <w:p w:rsidR="009A1F44" w:rsidRDefault="0085440C" w:rsidP="00E43C64">
      <w:pPr>
        <w:ind w:left="-720"/>
      </w:pPr>
      <w:r>
        <w:t>Jason Faulhaber</w:t>
      </w:r>
      <w:r w:rsidR="009A1F44">
        <w:t>, M.D.       )</w:t>
      </w:r>
      <w:r w:rsidR="009A1F44">
        <w:tab/>
      </w:r>
      <w:r w:rsidR="009A1F44">
        <w:tab/>
      </w:r>
      <w:r w:rsidR="009A1F44">
        <w:tab/>
      </w:r>
      <w:r w:rsidR="009A1F44">
        <w:tab/>
      </w:r>
      <w:r w:rsidR="00E43C64">
        <w:tab/>
      </w:r>
      <w:r w:rsidR="00E43C64">
        <w:tab/>
      </w:r>
      <w:r w:rsidR="009A1F44" w:rsidRPr="009A1F44">
        <w:rPr>
          <w:u w:val="single"/>
        </w:rPr>
        <w:t>Conclusions of Law</w:t>
      </w:r>
      <w:r w:rsidR="009A1F44">
        <w:tab/>
      </w:r>
    </w:p>
    <w:p w:rsidR="009A1F44" w:rsidRDefault="009A1F44" w:rsidP="00E43C64">
      <w:pPr>
        <w:ind w:left="-720"/>
      </w:pPr>
      <w:r>
        <w:t>_____________________ )</w:t>
      </w:r>
    </w:p>
    <w:p w:rsidR="009A1F44" w:rsidRDefault="009A1F44" w:rsidP="002150BD">
      <w:pPr>
        <w:spacing w:line="360" w:lineRule="auto"/>
      </w:pPr>
    </w:p>
    <w:p w:rsidR="009432D4" w:rsidRDefault="009432D4" w:rsidP="0085440C">
      <w:pPr>
        <w:spacing w:line="360" w:lineRule="auto"/>
      </w:pPr>
    </w:p>
    <w:p w:rsidR="009F36CF" w:rsidRDefault="009A1F44" w:rsidP="0085440C">
      <w:pPr>
        <w:spacing w:line="360" w:lineRule="auto"/>
        <w:ind w:left="-720" w:right="-720"/>
        <w:jc w:val="both"/>
      </w:pPr>
      <w:r>
        <w:tab/>
        <w:t xml:space="preserve">This matter came before the Board on the basis of the Administrative Magistrate’s Recommended Decision, dated </w:t>
      </w:r>
      <w:r w:rsidR="0085440C">
        <w:t>February 8, 2015</w:t>
      </w:r>
      <w:r>
        <w:t>, for disposition as to Findings of Fact and Conclusions of Law only</w:t>
      </w:r>
      <w:r w:rsidR="009624E5">
        <w:t xml:space="preserve">. </w:t>
      </w:r>
      <w:r w:rsidR="0085440C">
        <w:t xml:space="preserve">Neither Party submitted objections to the Recommended Decision. </w:t>
      </w:r>
      <w:r w:rsidR="009624E5">
        <w:t>The Board has determined that the Findings of Fact were based on substantial evidence</w:t>
      </w:r>
      <w:r w:rsidR="009F36CF">
        <w:t>.</w:t>
      </w:r>
      <w:r w:rsidR="005C2503">
        <w:t xml:space="preserve"> </w:t>
      </w:r>
    </w:p>
    <w:p w:rsidR="009432D4" w:rsidRDefault="00351723" w:rsidP="0085440C">
      <w:pPr>
        <w:spacing w:line="360" w:lineRule="auto"/>
        <w:ind w:left="-720" w:right="-720" w:firstLine="720"/>
        <w:jc w:val="both"/>
      </w:pPr>
      <w:r>
        <w:t>After full consideration of the Recommended Decision, which is attached hereto and incorporated by reference</w:t>
      </w:r>
      <w:r w:rsidR="0085440C">
        <w:t xml:space="preserve">, </w:t>
      </w:r>
      <w:r w:rsidR="00E43C64">
        <w:t>the</w:t>
      </w:r>
      <w:r>
        <w:t xml:space="preserve"> Board hereby adopts the Recommended Decision as the Partial Final Decision as to Findings of Fact and Conclusions of Law Only, amending it </w:t>
      </w:r>
      <w:r w:rsidR="008A7645">
        <w:t>to:</w:t>
      </w:r>
      <w:r w:rsidR="00E43C64" w:rsidRPr="00E43C64">
        <w:t xml:space="preserve"> </w:t>
      </w:r>
    </w:p>
    <w:p w:rsidR="0085440C" w:rsidRDefault="0085440C" w:rsidP="0085440C">
      <w:pPr>
        <w:spacing w:after="200" w:line="276" w:lineRule="auto"/>
        <w:ind w:firstLine="720"/>
        <w:jc w:val="both"/>
        <w:rPr>
          <w:rFonts w:eastAsia="Calibri"/>
        </w:rPr>
      </w:pPr>
      <w:r w:rsidRPr="0085440C">
        <w:rPr>
          <w:rFonts w:eastAsia="Calibri"/>
        </w:rPr>
        <w:t xml:space="preserve">i) </w:t>
      </w:r>
      <w:r w:rsidRPr="0085440C">
        <w:rPr>
          <w:rFonts w:eastAsia="Calibri"/>
          <w:u w:val="single"/>
        </w:rPr>
        <w:t>correct</w:t>
      </w:r>
      <w:r w:rsidRPr="0085440C">
        <w:rPr>
          <w:rFonts w:eastAsia="Calibri"/>
        </w:rPr>
        <w:t xml:space="preserve"> the following scrivener’s errors:</w:t>
      </w:r>
    </w:p>
    <w:p w:rsidR="0085440C" w:rsidRDefault="0085440C" w:rsidP="0085440C">
      <w:pPr>
        <w:numPr>
          <w:ilvl w:val="0"/>
          <w:numId w:val="9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>on page 2, line 16, replace “Gonzales” with “Gonzalez”</w:t>
      </w:r>
    </w:p>
    <w:p w:rsidR="0085440C" w:rsidRPr="0085440C" w:rsidRDefault="0085440C" w:rsidP="0085440C">
      <w:pPr>
        <w:numPr>
          <w:ilvl w:val="0"/>
          <w:numId w:val="9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>on page 10, lines 13, 19, and 22, replace “Patient B” with Patient 2”</w:t>
      </w:r>
    </w:p>
    <w:p w:rsidR="0085440C" w:rsidRPr="0085440C" w:rsidRDefault="0085440C" w:rsidP="0085440C">
      <w:pPr>
        <w:numPr>
          <w:ilvl w:val="0"/>
          <w:numId w:val="9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>on page 11, line 6, replace “Patient B” with “Patient 2”</w:t>
      </w:r>
    </w:p>
    <w:p w:rsidR="0085440C" w:rsidRDefault="0085440C" w:rsidP="0085440C">
      <w:pPr>
        <w:numPr>
          <w:ilvl w:val="0"/>
          <w:numId w:val="9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>on page 11, line 16, replace “September 9, 201” with “September 9, 2010”</w:t>
      </w:r>
    </w:p>
    <w:p w:rsidR="0085440C" w:rsidRPr="0085440C" w:rsidRDefault="0085440C" w:rsidP="0085440C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:rsidR="0085440C" w:rsidRPr="0085440C" w:rsidRDefault="0085440C" w:rsidP="0085440C">
      <w:pPr>
        <w:spacing w:after="200" w:line="360" w:lineRule="auto"/>
        <w:ind w:left="720"/>
        <w:jc w:val="both"/>
        <w:rPr>
          <w:rFonts w:eastAsia="Calibri"/>
        </w:rPr>
      </w:pPr>
      <w:r w:rsidRPr="0085440C">
        <w:rPr>
          <w:rFonts w:eastAsia="Calibri"/>
        </w:rPr>
        <w:t xml:space="preserve">ii) </w:t>
      </w:r>
      <w:r w:rsidRPr="0085440C">
        <w:rPr>
          <w:rFonts w:eastAsia="Calibri"/>
          <w:u w:val="single"/>
        </w:rPr>
        <w:t>specify</w:t>
      </w:r>
      <w:r w:rsidRPr="0085440C">
        <w:rPr>
          <w:rFonts w:eastAsia="Calibri"/>
        </w:rPr>
        <w:t xml:space="preserve"> the Conclusions of Law:</w:t>
      </w:r>
    </w:p>
    <w:p w:rsidR="0085440C" w:rsidRPr="0085440C" w:rsidRDefault="0085440C" w:rsidP="0085440C">
      <w:pPr>
        <w:spacing w:after="200" w:line="276" w:lineRule="auto"/>
        <w:ind w:left="720"/>
        <w:jc w:val="both"/>
        <w:rPr>
          <w:rFonts w:eastAsia="Calibri"/>
        </w:rPr>
      </w:pPr>
      <w:r w:rsidRPr="0085440C">
        <w:rPr>
          <w:rFonts w:eastAsia="Calibri"/>
        </w:rPr>
        <w:t xml:space="preserve">     The Board concludes, as a matter of law, </w:t>
      </w:r>
      <w:r w:rsidRPr="0085440C">
        <w:rPr>
          <w:rFonts w:eastAsia="Calibri"/>
        </w:rPr>
        <w:tab/>
        <w:t xml:space="preserve">that, with respect to Patient A, </w:t>
      </w:r>
      <w:r>
        <w:rPr>
          <w:rFonts w:eastAsia="Calibri"/>
        </w:rPr>
        <w:t xml:space="preserve">         </w:t>
      </w:r>
      <w:r w:rsidRPr="0085440C">
        <w:rPr>
          <w:rFonts w:eastAsia="Calibri"/>
        </w:rPr>
        <w:t>Patient B, and Patient 2</w:t>
      </w:r>
      <w:r>
        <w:rPr>
          <w:rFonts w:eastAsia="Calibri"/>
        </w:rPr>
        <w:t>,</w:t>
      </w:r>
      <w:r w:rsidRPr="0085440C">
        <w:rPr>
          <w:rFonts w:eastAsia="Calibri"/>
        </w:rPr>
        <w:t xml:space="preserve"> the Respondent:</w:t>
      </w:r>
    </w:p>
    <w:p w:rsidR="0085440C" w:rsidRPr="0085440C" w:rsidRDefault="0085440C" w:rsidP="0085440C">
      <w:pPr>
        <w:numPr>
          <w:ilvl w:val="0"/>
          <w:numId w:val="8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 xml:space="preserve">engaged in conduct that places in question his competence to practice </w:t>
      </w:r>
      <w:r>
        <w:rPr>
          <w:rFonts w:eastAsia="Calibri"/>
        </w:rPr>
        <w:tab/>
      </w:r>
      <w:r w:rsidRPr="0085440C">
        <w:rPr>
          <w:rFonts w:eastAsia="Calibri"/>
        </w:rPr>
        <w:t xml:space="preserve">medicine, in violation of G.L. c. 112, § 5, ¶ 9(c) and 243 CMR </w:t>
      </w:r>
      <w:r>
        <w:rPr>
          <w:rFonts w:eastAsia="Calibri"/>
        </w:rPr>
        <w:tab/>
      </w:r>
      <w:r w:rsidRPr="0085440C">
        <w:rPr>
          <w:rFonts w:eastAsia="Calibri"/>
        </w:rPr>
        <w:t>1.03(5)(a)3;</w:t>
      </w:r>
    </w:p>
    <w:p w:rsidR="0085440C" w:rsidRPr="0085440C" w:rsidRDefault="0085440C" w:rsidP="0085440C">
      <w:pPr>
        <w:numPr>
          <w:ilvl w:val="0"/>
          <w:numId w:val="8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 xml:space="preserve">committed misconduct in the practice of medicine, in violation of 243 </w:t>
      </w:r>
      <w:r>
        <w:rPr>
          <w:rFonts w:eastAsia="Calibri"/>
        </w:rPr>
        <w:tab/>
      </w:r>
      <w:r w:rsidRPr="0085440C">
        <w:rPr>
          <w:rFonts w:eastAsia="Calibri"/>
        </w:rPr>
        <w:t xml:space="preserve">CMR </w:t>
      </w:r>
      <w:r w:rsidRPr="0085440C">
        <w:rPr>
          <w:rFonts w:eastAsia="Calibri"/>
        </w:rPr>
        <w:tab/>
        <w:t>1.03(5)(a)18; and</w:t>
      </w:r>
    </w:p>
    <w:p w:rsidR="0085440C" w:rsidRDefault="0085440C" w:rsidP="0056428E">
      <w:pPr>
        <w:numPr>
          <w:ilvl w:val="0"/>
          <w:numId w:val="8"/>
        </w:numPr>
        <w:spacing w:after="200" w:line="276" w:lineRule="auto"/>
        <w:ind w:firstLine="360"/>
        <w:contextualSpacing/>
        <w:jc w:val="both"/>
        <w:rPr>
          <w:rFonts w:eastAsia="Calibri"/>
        </w:rPr>
      </w:pPr>
      <w:r w:rsidRPr="0085440C">
        <w:rPr>
          <w:rFonts w:eastAsia="Calibri"/>
        </w:rPr>
        <w:t xml:space="preserve">engaged in conduct that undermines the public confidence in the integrity </w:t>
      </w:r>
      <w:r>
        <w:rPr>
          <w:rFonts w:eastAsia="Calibri"/>
        </w:rPr>
        <w:tab/>
      </w:r>
      <w:r w:rsidRPr="0085440C">
        <w:rPr>
          <w:rFonts w:eastAsia="Calibri"/>
        </w:rPr>
        <w:t xml:space="preserve">of the </w:t>
      </w:r>
      <w:r w:rsidRPr="0085440C">
        <w:rPr>
          <w:rFonts w:eastAsia="Calibri"/>
        </w:rPr>
        <w:tab/>
        <w:t xml:space="preserve">medical profession in violation of </w:t>
      </w:r>
      <w:r w:rsidRPr="0085440C">
        <w:rPr>
          <w:rFonts w:eastAsia="Calibri"/>
          <w:i/>
        </w:rPr>
        <w:t xml:space="preserve">Sugarman v. Board of </w:t>
      </w:r>
      <w:r>
        <w:rPr>
          <w:rFonts w:eastAsia="Calibri"/>
          <w:i/>
        </w:rPr>
        <w:lastRenderedPageBreak/>
        <w:tab/>
      </w:r>
      <w:r w:rsidRPr="0085440C">
        <w:rPr>
          <w:rFonts w:eastAsia="Calibri"/>
          <w:i/>
        </w:rPr>
        <w:t>Registration in Medicine</w:t>
      </w:r>
      <w:r w:rsidRPr="0085440C">
        <w:rPr>
          <w:rFonts w:eastAsia="Calibri"/>
        </w:rPr>
        <w:t xml:space="preserve">, 422 Mass. 338, 343-44 (1996); </w:t>
      </w:r>
      <w:r w:rsidRPr="0085440C">
        <w:rPr>
          <w:rFonts w:eastAsia="Calibri"/>
          <w:i/>
        </w:rPr>
        <w:t xml:space="preserve">Raymond v. </w:t>
      </w:r>
      <w:r>
        <w:rPr>
          <w:rFonts w:eastAsia="Calibri"/>
          <w:i/>
        </w:rPr>
        <w:tab/>
      </w:r>
      <w:r w:rsidRPr="0085440C">
        <w:rPr>
          <w:rFonts w:eastAsia="Calibri"/>
          <w:i/>
        </w:rPr>
        <w:t>Board of Registration in Medicine</w:t>
      </w:r>
      <w:r w:rsidRPr="0085440C">
        <w:rPr>
          <w:rFonts w:eastAsia="Calibri"/>
        </w:rPr>
        <w:t xml:space="preserve">, 387 Mass. 708, 713 (1982); and </w:t>
      </w:r>
      <w:r w:rsidRPr="0085440C">
        <w:rPr>
          <w:rFonts w:eastAsia="Calibri"/>
          <w:i/>
        </w:rPr>
        <w:t xml:space="preserve">Levy </w:t>
      </w:r>
      <w:r>
        <w:rPr>
          <w:rFonts w:eastAsia="Calibri"/>
          <w:i/>
        </w:rPr>
        <w:tab/>
      </w:r>
      <w:r w:rsidRPr="0085440C">
        <w:rPr>
          <w:rFonts w:eastAsia="Calibri"/>
          <w:i/>
        </w:rPr>
        <w:t>v. Board of Registration in Medicine</w:t>
      </w:r>
      <w:r w:rsidRPr="0085440C">
        <w:rPr>
          <w:rFonts w:eastAsia="Calibri"/>
        </w:rPr>
        <w:t xml:space="preserve">, 378 Mass. 519, 528 (1979); </w:t>
      </w:r>
      <w:r>
        <w:rPr>
          <w:rFonts w:eastAsia="Calibri"/>
        </w:rPr>
        <w:t>and</w:t>
      </w:r>
    </w:p>
    <w:p w:rsidR="0085440C" w:rsidRPr="0085440C" w:rsidRDefault="0085440C" w:rsidP="0056428E">
      <w:pPr>
        <w:spacing w:after="200" w:line="276" w:lineRule="auto"/>
        <w:ind w:left="1080"/>
        <w:contextualSpacing/>
        <w:jc w:val="both"/>
        <w:rPr>
          <w:rFonts w:eastAsia="Calibri"/>
        </w:rPr>
      </w:pPr>
    </w:p>
    <w:p w:rsidR="0085440C" w:rsidRPr="0085440C" w:rsidRDefault="0085440C" w:rsidP="0085440C">
      <w:pPr>
        <w:spacing w:after="200" w:line="360" w:lineRule="auto"/>
        <w:ind w:left="720"/>
        <w:jc w:val="both"/>
        <w:rPr>
          <w:rFonts w:eastAsia="Calibri"/>
        </w:rPr>
      </w:pPr>
      <w:r w:rsidRPr="0085440C">
        <w:rPr>
          <w:rFonts w:eastAsia="Calibri"/>
        </w:rPr>
        <w:t xml:space="preserve">iii) clarify that, with Respect to Patient 1, the Board determined that there was sufficient evidence upon which to conclude that the Respondent did </w:t>
      </w:r>
      <w:r w:rsidRPr="0085440C">
        <w:rPr>
          <w:rFonts w:eastAsia="Calibri"/>
          <w:u w:val="single"/>
        </w:rPr>
        <w:t>not</w:t>
      </w:r>
      <w:r w:rsidRPr="0085440C">
        <w:rPr>
          <w:rFonts w:eastAsia="Calibri"/>
        </w:rPr>
        <w:t xml:space="preserve"> exploit Patient 1 without considering “some evidence” that Patient 1 was a doctor. The Board </w:t>
      </w:r>
      <w:r w:rsidR="0022484A">
        <w:rPr>
          <w:rFonts w:eastAsia="Calibri"/>
        </w:rPr>
        <w:t xml:space="preserve">does not need to reach a determination as to </w:t>
      </w:r>
      <w:r w:rsidRPr="0085440C">
        <w:rPr>
          <w:rFonts w:eastAsia="Calibri"/>
        </w:rPr>
        <w:t>whether a patient who is a physician is less apt to be susceptible to exploitation than a patient who is not a physician.</w:t>
      </w:r>
    </w:p>
    <w:p w:rsidR="007868DF" w:rsidRDefault="00351723" w:rsidP="0085440C">
      <w:pPr>
        <w:spacing w:line="360" w:lineRule="auto"/>
        <w:ind w:right="-720"/>
        <w:jc w:val="both"/>
      </w:pPr>
      <w:r>
        <w:tab/>
      </w:r>
      <w:r w:rsidR="007868DF">
        <w:t>After the Board hears from the Parties on the issue of sanction, as well as any individuals who qualify as victims pursuant to Mass. Gen. Laws c. 112, § 5, it will issue a complete Final Decision and Order, including any sanction and notification requirements.</w:t>
      </w:r>
    </w:p>
    <w:p w:rsidR="007868DF" w:rsidRDefault="007868DF" w:rsidP="0085440C">
      <w:pPr>
        <w:spacing w:line="360" w:lineRule="auto"/>
        <w:jc w:val="both"/>
      </w:pPr>
    </w:p>
    <w:p w:rsidR="0085440C" w:rsidRDefault="007868DF" w:rsidP="0056428E">
      <w:pPr>
        <w:jc w:val="both"/>
      </w:pPr>
      <w:r>
        <w:t xml:space="preserve">Date: </w:t>
      </w:r>
      <w:r w:rsidR="0085440C">
        <w:t xml:space="preserve">May </w:t>
      </w:r>
      <w:r w:rsidR="009758D4">
        <w:t>21</w:t>
      </w:r>
      <w:r w:rsidR="0085440C">
        <w:t>, 2015</w:t>
      </w:r>
      <w:r>
        <w:tab/>
      </w:r>
      <w:r>
        <w:tab/>
      </w:r>
      <w:r>
        <w:tab/>
      </w:r>
      <w:r>
        <w:tab/>
      </w:r>
      <w:r w:rsidR="006924B4">
        <w:rPr>
          <w:u w:val="single"/>
        </w:rPr>
        <w:t>Signed by Candace Lapidus Sloane, M.D.</w:t>
      </w:r>
      <w:bookmarkStart w:id="0" w:name="_GoBack"/>
      <w:bookmarkEnd w:id="0"/>
    </w:p>
    <w:p w:rsidR="00351723" w:rsidRDefault="0085440C" w:rsidP="005642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868DF">
        <w:t>Candace Lapidus Sloane, M.D.</w:t>
      </w:r>
    </w:p>
    <w:p w:rsidR="002150BD" w:rsidRDefault="002150BD" w:rsidP="005642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Board Chair</w:t>
      </w:r>
    </w:p>
    <w:p w:rsidR="009624E5" w:rsidRDefault="00351723" w:rsidP="0085440C">
      <w:pPr>
        <w:spacing w:line="360" w:lineRule="auto"/>
        <w:jc w:val="both"/>
      </w:pPr>
      <w:r>
        <w:t xml:space="preserve">   </w:t>
      </w:r>
      <w:r w:rsidR="009624E5">
        <w:t xml:space="preserve"> </w:t>
      </w:r>
    </w:p>
    <w:sectPr w:rsidR="009624E5" w:rsidSect="002150B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2C" w:rsidRDefault="000F2A2C">
      <w:r>
        <w:separator/>
      </w:r>
    </w:p>
  </w:endnote>
  <w:endnote w:type="continuationSeparator" w:id="0">
    <w:p w:rsidR="000F2A2C" w:rsidRDefault="000F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BD" w:rsidRDefault="002150BD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4B4">
      <w:rPr>
        <w:rStyle w:val="PageNumber"/>
        <w:noProof/>
      </w:rPr>
      <w:t>2</w:t>
    </w:r>
    <w:r>
      <w:rPr>
        <w:rStyle w:val="PageNumber"/>
      </w:rPr>
      <w:fldChar w:fldCharType="end"/>
    </w:r>
  </w:p>
  <w:p w:rsidR="002150BD" w:rsidRDefault="00215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2C" w:rsidRDefault="000F2A2C">
      <w:r>
        <w:separator/>
      </w:r>
    </w:p>
  </w:footnote>
  <w:footnote w:type="continuationSeparator" w:id="0">
    <w:p w:rsidR="000F2A2C" w:rsidRDefault="000F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AC"/>
    <w:multiLevelType w:val="hybridMultilevel"/>
    <w:tmpl w:val="99CE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BDD"/>
    <w:multiLevelType w:val="hybridMultilevel"/>
    <w:tmpl w:val="0E763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258D8"/>
    <w:multiLevelType w:val="hybridMultilevel"/>
    <w:tmpl w:val="A2202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9B4617"/>
    <w:multiLevelType w:val="hybridMultilevel"/>
    <w:tmpl w:val="97B8E10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84C887A6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3F0EB6"/>
    <w:multiLevelType w:val="hybridMultilevel"/>
    <w:tmpl w:val="D6DA2C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2FF2D27"/>
    <w:multiLevelType w:val="hybridMultilevel"/>
    <w:tmpl w:val="DE24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24CF3"/>
    <w:multiLevelType w:val="hybridMultilevel"/>
    <w:tmpl w:val="95E4C4F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4C62A68"/>
    <w:multiLevelType w:val="hybridMultilevel"/>
    <w:tmpl w:val="1884FC76"/>
    <w:lvl w:ilvl="0" w:tplc="8326BBB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FAF3191"/>
    <w:multiLevelType w:val="hybridMultilevel"/>
    <w:tmpl w:val="782C9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F44"/>
    <w:rsid w:val="000672B9"/>
    <w:rsid w:val="000F2A2C"/>
    <w:rsid w:val="00155EC0"/>
    <w:rsid w:val="00201024"/>
    <w:rsid w:val="002150BD"/>
    <w:rsid w:val="0022484A"/>
    <w:rsid w:val="002E697B"/>
    <w:rsid w:val="00351723"/>
    <w:rsid w:val="00373A2F"/>
    <w:rsid w:val="003E0A67"/>
    <w:rsid w:val="00476CAD"/>
    <w:rsid w:val="005418CA"/>
    <w:rsid w:val="0056428E"/>
    <w:rsid w:val="00573124"/>
    <w:rsid w:val="005A42CA"/>
    <w:rsid w:val="005C2503"/>
    <w:rsid w:val="005F2A83"/>
    <w:rsid w:val="006924B4"/>
    <w:rsid w:val="00747CA8"/>
    <w:rsid w:val="00763C40"/>
    <w:rsid w:val="00780898"/>
    <w:rsid w:val="007868DF"/>
    <w:rsid w:val="00816F63"/>
    <w:rsid w:val="0085440C"/>
    <w:rsid w:val="008562DB"/>
    <w:rsid w:val="00860653"/>
    <w:rsid w:val="008A7645"/>
    <w:rsid w:val="009432D4"/>
    <w:rsid w:val="00943884"/>
    <w:rsid w:val="00943BF2"/>
    <w:rsid w:val="009624E5"/>
    <w:rsid w:val="00962EB7"/>
    <w:rsid w:val="009758D4"/>
    <w:rsid w:val="009A1F44"/>
    <w:rsid w:val="009F2B39"/>
    <w:rsid w:val="009F36CF"/>
    <w:rsid w:val="00A1040F"/>
    <w:rsid w:val="00AB6D73"/>
    <w:rsid w:val="00AE42C6"/>
    <w:rsid w:val="00BD2D38"/>
    <w:rsid w:val="00C3351B"/>
    <w:rsid w:val="00C96F64"/>
    <w:rsid w:val="00E43C64"/>
    <w:rsid w:val="00E8574A"/>
    <w:rsid w:val="00F0063E"/>
    <w:rsid w:val="00F6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D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150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BD"/>
  </w:style>
  <w:style w:type="paragraph" w:styleId="FootnoteText">
    <w:name w:val="footnote text"/>
    <w:basedOn w:val="Normal"/>
    <w:link w:val="FootnoteTextChar"/>
    <w:unhideWhenUsed/>
    <w:rsid w:val="008A764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sid w:val="008A7645"/>
    <w:rPr>
      <w:rFonts w:ascii="Calibri" w:eastAsia="Calibri" w:hAnsi="Calibri"/>
    </w:rPr>
  </w:style>
  <w:style w:type="character" w:styleId="FootnoteReference">
    <w:name w:val="footnote reference"/>
    <w:unhideWhenUsed/>
    <w:rsid w:val="008A76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C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2015-07-13T15:24:00Z</dcterms:created>
  <dc:creator>DPH</dc:creator>
  <lastModifiedBy/>
  <lastPrinted>2015-05-14T18:48:00Z</lastPrinted>
  <dcterms:modified xsi:type="dcterms:W3CDTF">2015-07-13T15:24:00Z</dcterms:modified>
  <revision>2</revision>
  <dc:title>COMMONWEALTH OF MASSACHUSETTS</dc:title>
</coreProperties>
</file>