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08CA" w14:textId="067D2358"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kern w:val="0"/>
          <w14:ligatures w14:val="none"/>
        </w:rPr>
        <w:t>February 15, 2026</w:t>
      </w:r>
    </w:p>
    <w:p w14:paraId="64153029" w14:textId="1BE584D7" w:rsidR="00B85980" w:rsidRDefault="00B85980" w:rsidP="00B85980">
      <w:pPr>
        <w:spacing w:before="100" w:beforeAutospacing="1" w:after="100" w:afterAutospacing="1" w:line="240" w:lineRule="auto"/>
        <w:contextualSpacing/>
        <w:rPr>
          <w:rFonts w:ascii="Aptos" w:eastAsia="Times New Roman" w:hAnsi="Aptos" w:cs="Times New Roman"/>
          <w:kern w:val="0"/>
          <w14:ligatures w14:val="none"/>
        </w:rPr>
      </w:pPr>
      <w:r w:rsidRPr="00B85980">
        <w:rPr>
          <w:rFonts w:ascii="Aptos" w:eastAsia="Times New Roman" w:hAnsi="Aptos" w:cs="Times New Roman"/>
          <w:kern w:val="0"/>
          <w14:ligatures w14:val="none"/>
        </w:rPr>
        <w:t xml:space="preserve"> Department of Public Health, Commonwealth of Massachusetts</w:t>
      </w:r>
    </w:p>
    <w:p w14:paraId="44684983" w14:textId="0200A8B0" w:rsidR="00B85980" w:rsidRDefault="00B85980" w:rsidP="00B85980">
      <w:pPr>
        <w:spacing w:before="100" w:beforeAutospacing="1" w:after="100" w:afterAutospacing="1" w:line="240" w:lineRule="auto"/>
        <w:contextualSpacing/>
        <w:rPr>
          <w:rFonts w:ascii="Aptos" w:eastAsia="Times New Roman" w:hAnsi="Aptos" w:cs="Times New Roman"/>
          <w:kern w:val="0"/>
          <w14:ligatures w14:val="none"/>
        </w:rPr>
      </w:pPr>
      <w:hyperlink r:id="rId5" w:history="1">
        <w:r w:rsidRPr="00376BC7">
          <w:rPr>
            <w:rStyle w:val="Hyperlink"/>
            <w:rFonts w:ascii="Aptos" w:eastAsia="Times New Roman" w:hAnsi="Aptos" w:cs="Times New Roman"/>
            <w:kern w:val="0"/>
            <w14:ligatures w14:val="none"/>
          </w:rPr>
          <w:t>Reg.Testimony@mass.gov</w:t>
        </w:r>
      </w:hyperlink>
      <w:r>
        <w:rPr>
          <w:rFonts w:ascii="Aptos" w:eastAsia="Times New Roman" w:hAnsi="Aptos" w:cs="Times New Roman"/>
          <w:kern w:val="0"/>
          <w14:ligatures w14:val="none"/>
        </w:rPr>
        <w:t xml:space="preserve"> </w:t>
      </w:r>
    </w:p>
    <w:p w14:paraId="7109A39E" w14:textId="77777777" w:rsidR="00B85980" w:rsidRPr="00B85980" w:rsidRDefault="00B85980" w:rsidP="00B85980">
      <w:pPr>
        <w:spacing w:before="100" w:beforeAutospacing="1" w:after="100" w:afterAutospacing="1" w:line="240" w:lineRule="auto"/>
        <w:contextualSpacing/>
        <w:rPr>
          <w:rFonts w:ascii="Aptos" w:eastAsia="Times New Roman" w:hAnsi="Aptos" w:cs="Times New Roman"/>
          <w:kern w:val="0"/>
          <w14:ligatures w14:val="none"/>
        </w:rPr>
      </w:pPr>
    </w:p>
    <w:p w14:paraId="5D482AF7" w14:textId="77777777"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b/>
          <w:bCs/>
          <w:kern w:val="0"/>
          <w14:ligatures w14:val="none"/>
        </w:rPr>
        <w:t>RE:</w:t>
      </w:r>
      <w:r w:rsidRPr="00B85980">
        <w:rPr>
          <w:rFonts w:ascii="Aptos" w:eastAsia="Times New Roman" w:hAnsi="Aptos" w:cs="Times New Roman"/>
          <w:kern w:val="0"/>
          <w14:ligatures w14:val="none"/>
        </w:rPr>
        <w:t xml:space="preserve"> Testimony on Proposed Amendments to 105 CMR 150.000 (Standards for Long-Term Care Facilities)</w:t>
      </w:r>
    </w:p>
    <w:p w14:paraId="34A527F6" w14:textId="6A2B2DD1" w:rsidR="00B85980" w:rsidRPr="00B85980" w:rsidRDefault="00B85980" w:rsidP="00B85980">
      <w:pPr>
        <w:spacing w:after="0" w:line="240" w:lineRule="auto"/>
        <w:rPr>
          <w:rFonts w:ascii="Aptos" w:eastAsia="Times New Roman" w:hAnsi="Aptos" w:cs="Times New Roman"/>
          <w:kern w:val="0"/>
          <w14:ligatures w14:val="none"/>
        </w:rPr>
      </w:pPr>
      <w:r w:rsidRPr="00B85980">
        <w:rPr>
          <w:rFonts w:ascii="Aptos" w:eastAsia="Times New Roman" w:hAnsi="Aptos" w:cs="Times New Roman"/>
          <w:kern w:val="0"/>
          <w14:ligatures w14:val="none"/>
        </w:rPr>
        <w:t>To the Department of Public Health:</w:t>
      </w:r>
    </w:p>
    <w:p w14:paraId="3A857443" w14:textId="1D670308"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kern w:val="0"/>
          <w14:ligatures w14:val="none"/>
        </w:rPr>
        <w:t xml:space="preserve">I </w:t>
      </w:r>
      <w:r w:rsidRPr="00B85980">
        <w:rPr>
          <w:rFonts w:ascii="Aptos" w:eastAsia="Times New Roman" w:hAnsi="Aptos" w:cs="Times New Roman"/>
          <w:kern w:val="0"/>
          <w14:ligatures w14:val="none"/>
        </w:rPr>
        <w:t xml:space="preserve">appreciate the opportunity to provide testimony on the proposed amendments to </w:t>
      </w:r>
      <w:r w:rsidRPr="00B85980">
        <w:rPr>
          <w:rFonts w:ascii="Aptos" w:eastAsia="Times New Roman" w:hAnsi="Aptos" w:cs="Times New Roman"/>
          <w:b/>
          <w:bCs/>
          <w:kern w:val="0"/>
          <w14:ligatures w14:val="none"/>
        </w:rPr>
        <w:t>105 CMR 150.000</w:t>
      </w:r>
      <w:r w:rsidRPr="00B85980">
        <w:rPr>
          <w:rFonts w:ascii="Aptos" w:eastAsia="Times New Roman" w:hAnsi="Aptos" w:cs="Times New Roman"/>
          <w:kern w:val="0"/>
          <w14:ligatures w14:val="none"/>
        </w:rPr>
        <w:t xml:space="preserve">. As </w:t>
      </w:r>
      <w:r>
        <w:rPr>
          <w:rFonts w:ascii="Aptos" w:eastAsia="Times New Roman" w:hAnsi="Aptos" w:cs="Times New Roman"/>
          <w:kern w:val="0"/>
          <w14:ligatures w14:val="none"/>
        </w:rPr>
        <w:t xml:space="preserve">I </w:t>
      </w:r>
      <w:r w:rsidRPr="00B85980">
        <w:rPr>
          <w:rFonts w:ascii="Aptos" w:eastAsia="Times New Roman" w:hAnsi="Aptos" w:cs="Times New Roman"/>
          <w:kern w:val="0"/>
          <w14:ligatures w14:val="none"/>
        </w:rPr>
        <w:t>review these sweeping changes—the first significant updates following the landmark long-term care oversight legislation of 2024—</w:t>
      </w:r>
      <w:r>
        <w:rPr>
          <w:rFonts w:ascii="Aptos" w:eastAsia="Times New Roman" w:hAnsi="Aptos" w:cs="Times New Roman"/>
          <w:kern w:val="0"/>
          <w14:ligatures w14:val="none"/>
        </w:rPr>
        <w:t>I</w:t>
      </w:r>
      <w:r w:rsidRPr="00B85980">
        <w:rPr>
          <w:rFonts w:ascii="Aptos" w:eastAsia="Times New Roman" w:hAnsi="Aptos" w:cs="Times New Roman"/>
          <w:kern w:val="0"/>
          <w14:ligatures w14:val="none"/>
        </w:rPr>
        <w:t xml:space="preserve"> urge the Department to ensure that the unique needs of </w:t>
      </w:r>
      <w:r w:rsidRPr="00B85980">
        <w:rPr>
          <w:rFonts w:ascii="Aptos" w:eastAsia="Times New Roman" w:hAnsi="Aptos" w:cs="Times New Roman"/>
          <w:b/>
          <w:bCs/>
          <w:kern w:val="0"/>
          <w14:ligatures w14:val="none"/>
        </w:rPr>
        <w:t>pediatric skilled nursing care facilities (SNCFCs)</w:t>
      </w:r>
      <w:r w:rsidRPr="00B85980">
        <w:rPr>
          <w:rFonts w:ascii="Aptos" w:eastAsia="Times New Roman" w:hAnsi="Aptos" w:cs="Times New Roman"/>
          <w:kern w:val="0"/>
          <w14:ligatures w14:val="none"/>
        </w:rPr>
        <w:t xml:space="preserve"> are not lost in regulations primarily designed for geriatric settings.</w:t>
      </w:r>
    </w:p>
    <w:p w14:paraId="2CCA002A" w14:textId="77777777"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kern w:val="0"/>
          <w14:ligatures w14:val="none"/>
        </w:rPr>
        <w:t>While the Department’s focus on suitability reviews and outbreak response is laudable, Massachusetts has the potential to move from a "clinical maintenance" model to a "restorative and transitional" model for our most medically fragile children.</w:t>
      </w:r>
    </w:p>
    <w:p w14:paraId="5C750C38" w14:textId="5285C3DA" w:rsidR="00B85980" w:rsidRPr="00B85980" w:rsidRDefault="00B85980" w:rsidP="00B85980">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B85980">
        <w:rPr>
          <w:rFonts w:ascii="Aptos" w:eastAsia="Times New Roman" w:hAnsi="Aptos" w:cs="Times New Roman"/>
          <w:b/>
          <w:bCs/>
          <w:kern w:val="0"/>
          <w:sz w:val="27"/>
          <w:szCs w:val="27"/>
          <w14:ligatures w14:val="none"/>
        </w:rPr>
        <w:t>Recommendation: Formalizing the "Small House" Model for Pediatrics</w:t>
      </w:r>
    </w:p>
    <w:p w14:paraId="1162ACB1" w14:textId="7762AE45"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kern w:val="0"/>
          <w14:ligatures w14:val="none"/>
        </w:rPr>
        <w:t xml:space="preserve">I </w:t>
      </w:r>
      <w:r w:rsidRPr="00B85980">
        <w:rPr>
          <w:rFonts w:ascii="Aptos" w:eastAsia="Times New Roman" w:hAnsi="Aptos" w:cs="Times New Roman"/>
          <w:kern w:val="0"/>
          <w14:ligatures w14:val="none"/>
        </w:rPr>
        <w:t xml:space="preserve">strongly support the proposed addition of standards for </w:t>
      </w:r>
      <w:r w:rsidRPr="00B85980">
        <w:rPr>
          <w:rFonts w:ascii="Aptos" w:eastAsia="Times New Roman" w:hAnsi="Aptos" w:cs="Times New Roman"/>
          <w:b/>
          <w:bCs/>
          <w:kern w:val="0"/>
          <w14:ligatures w14:val="none"/>
        </w:rPr>
        <w:t>"Small House" nursing homes</w:t>
      </w:r>
      <w:r w:rsidRPr="00B85980">
        <w:rPr>
          <w:rFonts w:ascii="Aptos" w:eastAsia="Times New Roman" w:hAnsi="Aptos" w:cs="Times New Roman"/>
          <w:kern w:val="0"/>
          <w14:ligatures w14:val="none"/>
        </w:rPr>
        <w:t xml:space="preserve">. However, </w:t>
      </w:r>
      <w:r>
        <w:rPr>
          <w:rFonts w:ascii="Aptos" w:eastAsia="Times New Roman" w:hAnsi="Aptos" w:cs="Times New Roman"/>
          <w:kern w:val="0"/>
          <w14:ligatures w14:val="none"/>
        </w:rPr>
        <w:t>I</w:t>
      </w:r>
      <w:r w:rsidRPr="00B85980">
        <w:rPr>
          <w:rFonts w:ascii="Aptos" w:eastAsia="Times New Roman" w:hAnsi="Aptos" w:cs="Times New Roman"/>
          <w:kern w:val="0"/>
          <w14:ligatures w14:val="none"/>
        </w:rPr>
        <w:t xml:space="preserve"> recommend that the Department specifically tailor these standards for pediatric populations.</w:t>
      </w:r>
    </w:p>
    <w:p w14:paraId="1187CECE" w14:textId="77777777" w:rsidR="00B85980" w:rsidRPr="00B85980" w:rsidRDefault="00B85980" w:rsidP="00B85980">
      <w:pPr>
        <w:numPr>
          <w:ilvl w:val="0"/>
          <w:numId w:val="1"/>
        </w:num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b/>
          <w:bCs/>
          <w:kern w:val="0"/>
          <w14:ligatures w14:val="none"/>
        </w:rPr>
        <w:t>The Need:</w:t>
      </w:r>
      <w:r w:rsidRPr="00B85980">
        <w:rPr>
          <w:rFonts w:ascii="Aptos" w:eastAsia="Times New Roman" w:hAnsi="Aptos" w:cs="Times New Roman"/>
          <w:kern w:val="0"/>
          <w14:ligatures w14:val="none"/>
        </w:rPr>
        <w:t xml:space="preserve"> For children with severe cognitive and neurological impairments, the sensory overload of a traditional 80-bed facility is a clinical barrier.</w:t>
      </w:r>
    </w:p>
    <w:p w14:paraId="221579C6" w14:textId="4CD3CFF9" w:rsidR="00B85980" w:rsidRPr="00B85980" w:rsidRDefault="00B85980" w:rsidP="00B85980">
      <w:pPr>
        <w:numPr>
          <w:ilvl w:val="0"/>
          <w:numId w:val="1"/>
        </w:num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b/>
          <w:bCs/>
          <w:kern w:val="0"/>
          <w14:ligatures w14:val="none"/>
        </w:rPr>
        <w:t>The Proposal:</w:t>
      </w:r>
      <w:r w:rsidRPr="00B85980">
        <w:rPr>
          <w:rFonts w:ascii="Aptos" w:eastAsia="Times New Roman" w:hAnsi="Aptos" w:cs="Times New Roman"/>
          <w:kern w:val="0"/>
          <w14:ligatures w14:val="none"/>
        </w:rPr>
        <w:t xml:space="preserve"> </w:t>
      </w:r>
      <w:r>
        <w:rPr>
          <w:rFonts w:ascii="Aptos" w:eastAsia="Times New Roman" w:hAnsi="Aptos" w:cs="Times New Roman"/>
          <w:kern w:val="0"/>
          <w14:ligatures w14:val="none"/>
        </w:rPr>
        <w:t>I</w:t>
      </w:r>
      <w:r w:rsidRPr="00B85980">
        <w:rPr>
          <w:rFonts w:ascii="Aptos" w:eastAsia="Times New Roman" w:hAnsi="Aptos" w:cs="Times New Roman"/>
          <w:kern w:val="0"/>
          <w14:ligatures w14:val="none"/>
        </w:rPr>
        <w:t xml:space="preserve"> urge the Department to mandate that new pediatric SNCFC construction or major renovations adhere to the Small House model, limiting units to </w:t>
      </w:r>
      <w:r w:rsidRPr="00B85980">
        <w:rPr>
          <w:rFonts w:ascii="Aptos" w:eastAsia="Times New Roman" w:hAnsi="Aptos" w:cs="Times New Roman"/>
          <w:b/>
          <w:bCs/>
          <w:kern w:val="0"/>
          <w14:ligatures w14:val="none"/>
        </w:rPr>
        <w:t>14 or fewer residents</w:t>
      </w:r>
      <w:r w:rsidRPr="00B85980">
        <w:rPr>
          <w:rFonts w:ascii="Aptos" w:eastAsia="Times New Roman" w:hAnsi="Aptos" w:cs="Times New Roman"/>
          <w:kern w:val="0"/>
          <w14:ligatures w14:val="none"/>
        </w:rPr>
        <w:t>. This aligns with "state-of-the-art" benchmarks in states like Illinois, where smaller, residential-style settings have proven to accelerate functional gains and simplify family training.</w:t>
      </w:r>
    </w:p>
    <w:p w14:paraId="2CED589A" w14:textId="01D8F910" w:rsidR="00B85980" w:rsidRPr="00B85980" w:rsidRDefault="00B85980" w:rsidP="00B85980">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B85980">
        <w:rPr>
          <w:rFonts w:ascii="Aptos" w:eastAsia="Times New Roman" w:hAnsi="Aptos" w:cs="Times New Roman"/>
          <w:b/>
          <w:bCs/>
          <w:kern w:val="0"/>
          <w:sz w:val="27"/>
          <w:szCs w:val="27"/>
          <w14:ligatures w14:val="none"/>
        </w:rPr>
        <w:t>Recommendation: Reforming Clinical Eligibility and the MRT</w:t>
      </w:r>
    </w:p>
    <w:p w14:paraId="286CE436" w14:textId="77777777"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kern w:val="0"/>
          <w14:ligatures w14:val="none"/>
        </w:rPr>
        <w:t xml:space="preserve">Under the current definition in </w:t>
      </w:r>
      <w:r w:rsidRPr="00B85980">
        <w:rPr>
          <w:rFonts w:ascii="Aptos" w:eastAsia="Times New Roman" w:hAnsi="Aptos" w:cs="Times New Roman"/>
          <w:b/>
          <w:bCs/>
          <w:kern w:val="0"/>
          <w14:ligatures w14:val="none"/>
        </w:rPr>
        <w:t>105 CMR 150.001</w:t>
      </w:r>
      <w:r w:rsidRPr="00B85980">
        <w:rPr>
          <w:rFonts w:ascii="Aptos" w:eastAsia="Times New Roman" w:hAnsi="Aptos" w:cs="Times New Roman"/>
          <w:kern w:val="0"/>
          <w14:ligatures w14:val="none"/>
        </w:rPr>
        <w:t>, the Medical Review Team (MRT) serves as the gatekeeper for pediatric LTC admission.</w:t>
      </w:r>
    </w:p>
    <w:p w14:paraId="747BC468" w14:textId="77777777" w:rsidR="00B85980" w:rsidRPr="00B85980" w:rsidRDefault="00B85980" w:rsidP="00B85980">
      <w:pPr>
        <w:numPr>
          <w:ilvl w:val="0"/>
          <w:numId w:val="2"/>
        </w:num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b/>
          <w:bCs/>
          <w:kern w:val="0"/>
          <w14:ligatures w14:val="none"/>
        </w:rPr>
        <w:t>The Issue:</w:t>
      </w:r>
      <w:r w:rsidRPr="00B85980">
        <w:rPr>
          <w:rFonts w:ascii="Aptos" w:eastAsia="Times New Roman" w:hAnsi="Aptos" w:cs="Times New Roman"/>
          <w:kern w:val="0"/>
          <w14:ligatures w14:val="none"/>
        </w:rPr>
        <w:t xml:space="preserve"> The MRT process is often cited by families as a burdensome and antiquated hurdle that delays access to necessary sub-acute care and respite.</w:t>
      </w:r>
    </w:p>
    <w:p w14:paraId="4B2AACFC" w14:textId="7F151DCA" w:rsidR="00B85980" w:rsidRPr="00B85980" w:rsidRDefault="00B85980" w:rsidP="00B85980">
      <w:pPr>
        <w:numPr>
          <w:ilvl w:val="0"/>
          <w:numId w:val="2"/>
        </w:num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b/>
          <w:bCs/>
          <w:kern w:val="0"/>
          <w14:ligatures w14:val="none"/>
        </w:rPr>
        <w:t>The Proposal:</w:t>
      </w:r>
      <w:r>
        <w:rPr>
          <w:rFonts w:ascii="Aptos" w:eastAsia="Times New Roman" w:hAnsi="Aptos" w:cs="Times New Roman"/>
          <w:kern w:val="0"/>
          <w14:ligatures w14:val="none"/>
        </w:rPr>
        <w:t xml:space="preserve"> I </w:t>
      </w:r>
      <w:r w:rsidRPr="00B85980">
        <w:rPr>
          <w:rFonts w:ascii="Aptos" w:eastAsia="Times New Roman" w:hAnsi="Aptos" w:cs="Times New Roman"/>
          <w:kern w:val="0"/>
          <w14:ligatures w14:val="none"/>
        </w:rPr>
        <w:t xml:space="preserve">recommend amending the regulation to allow for </w:t>
      </w:r>
      <w:r w:rsidRPr="00B85980">
        <w:rPr>
          <w:rFonts w:ascii="Aptos" w:eastAsia="Times New Roman" w:hAnsi="Aptos" w:cs="Times New Roman"/>
          <w:b/>
          <w:bCs/>
          <w:kern w:val="0"/>
          <w14:ligatures w14:val="none"/>
        </w:rPr>
        <w:t>provisional 30-day admissions</w:t>
      </w:r>
      <w:r w:rsidRPr="00B85980">
        <w:rPr>
          <w:rFonts w:ascii="Aptos" w:eastAsia="Times New Roman" w:hAnsi="Aptos" w:cs="Times New Roman"/>
          <w:kern w:val="0"/>
          <w14:ligatures w14:val="none"/>
        </w:rPr>
        <w:t xml:space="preserve"> based on hospital-level clinical screenings, with the MRT review occurring post-admission. This would align Massachusetts with the "Transitional Bridge" models </w:t>
      </w:r>
      <w:r w:rsidRPr="00B85980">
        <w:rPr>
          <w:rFonts w:ascii="Aptos" w:eastAsia="Times New Roman" w:hAnsi="Aptos" w:cs="Times New Roman"/>
          <w:kern w:val="0"/>
          <w14:ligatures w14:val="none"/>
        </w:rPr>
        <w:lastRenderedPageBreak/>
        <w:t>used in Illinois, ensuring that children can leave acute care hospitals the moment they are medically stable.</w:t>
      </w:r>
    </w:p>
    <w:p w14:paraId="3F3B2C45" w14:textId="517E1285" w:rsidR="00B85980" w:rsidRPr="00B85980" w:rsidRDefault="00B85980" w:rsidP="00B85980">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B85980">
        <w:rPr>
          <w:rFonts w:ascii="Aptos" w:eastAsia="Times New Roman" w:hAnsi="Aptos" w:cs="Times New Roman"/>
          <w:b/>
          <w:bCs/>
          <w:kern w:val="0"/>
          <w:sz w:val="27"/>
          <w:szCs w:val="27"/>
          <w14:ligatures w14:val="none"/>
        </w:rPr>
        <w:t>Recommendation: Strengthening Transition Coordination (105 CMR 150.011)</w:t>
      </w:r>
    </w:p>
    <w:p w14:paraId="5C1E1C0C" w14:textId="77777777"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kern w:val="0"/>
          <w14:ligatures w14:val="none"/>
        </w:rPr>
        <w:t>A critical gap in Massachusetts care is the "cliff" children face when turning 22.</w:t>
      </w:r>
    </w:p>
    <w:p w14:paraId="0A26CF0E" w14:textId="77777777" w:rsidR="00B85980" w:rsidRPr="00B85980" w:rsidRDefault="00B85980" w:rsidP="00B85980">
      <w:pPr>
        <w:numPr>
          <w:ilvl w:val="0"/>
          <w:numId w:val="3"/>
        </w:num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b/>
          <w:bCs/>
          <w:kern w:val="0"/>
          <w14:ligatures w14:val="none"/>
        </w:rPr>
        <w:t>The Need:</w:t>
      </w:r>
      <w:r w:rsidRPr="00B85980">
        <w:rPr>
          <w:rFonts w:ascii="Aptos" w:eastAsia="Times New Roman" w:hAnsi="Aptos" w:cs="Times New Roman"/>
          <w:kern w:val="0"/>
          <w14:ligatures w14:val="none"/>
        </w:rPr>
        <w:t xml:space="preserve"> Current regulations lack robust requirements for discharge planning that integrates with adult service agencies (DDS, MRC) early enough in the process.</w:t>
      </w:r>
    </w:p>
    <w:p w14:paraId="0DE205A2" w14:textId="7E5C3D26" w:rsidR="00B85980" w:rsidRPr="00B85980" w:rsidRDefault="00B85980" w:rsidP="00B85980">
      <w:pPr>
        <w:numPr>
          <w:ilvl w:val="0"/>
          <w:numId w:val="3"/>
        </w:num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b/>
          <w:bCs/>
          <w:kern w:val="0"/>
          <w14:ligatures w14:val="none"/>
        </w:rPr>
        <w:t>The Proposal:</w:t>
      </w:r>
      <w:r>
        <w:rPr>
          <w:rFonts w:ascii="Aptos" w:eastAsia="Times New Roman" w:hAnsi="Aptos" w:cs="Times New Roman"/>
          <w:kern w:val="0"/>
          <w14:ligatures w14:val="none"/>
        </w:rPr>
        <w:t xml:space="preserve"> I </w:t>
      </w:r>
      <w:r w:rsidRPr="00B85980">
        <w:rPr>
          <w:rFonts w:ascii="Aptos" w:eastAsia="Times New Roman" w:hAnsi="Aptos" w:cs="Times New Roman"/>
          <w:kern w:val="0"/>
          <w14:ligatures w14:val="none"/>
        </w:rPr>
        <w:t xml:space="preserve">propose an amendment to </w:t>
      </w:r>
      <w:r w:rsidRPr="00B85980">
        <w:rPr>
          <w:rFonts w:ascii="Aptos" w:eastAsia="Times New Roman" w:hAnsi="Aptos" w:cs="Times New Roman"/>
          <w:b/>
          <w:bCs/>
          <w:kern w:val="0"/>
          <w14:ligatures w14:val="none"/>
        </w:rPr>
        <w:t>105 CMR 150.011 (Social Services)</w:t>
      </w:r>
      <w:r w:rsidRPr="00B85980">
        <w:rPr>
          <w:rFonts w:ascii="Aptos" w:eastAsia="Times New Roman" w:hAnsi="Aptos" w:cs="Times New Roman"/>
          <w:kern w:val="0"/>
          <w14:ligatures w14:val="none"/>
        </w:rPr>
        <w:t xml:space="preserve"> requiring all pediatric SNCFCs to appoint a </w:t>
      </w:r>
      <w:r w:rsidRPr="00B85980">
        <w:rPr>
          <w:rFonts w:ascii="Aptos" w:eastAsia="Times New Roman" w:hAnsi="Aptos" w:cs="Times New Roman"/>
          <w:b/>
          <w:bCs/>
          <w:kern w:val="0"/>
          <w14:ligatures w14:val="none"/>
        </w:rPr>
        <w:t>Transition Coordinator</w:t>
      </w:r>
      <w:r w:rsidRPr="00B85980">
        <w:rPr>
          <w:rFonts w:ascii="Aptos" w:eastAsia="Times New Roman" w:hAnsi="Aptos" w:cs="Times New Roman"/>
          <w:kern w:val="0"/>
          <w14:ligatures w14:val="none"/>
        </w:rPr>
        <w:t xml:space="preserve"> for any resident reaching the age of 14. This coordinator should be mandated to initiate Chapter 688 "Turning 22" planning at least five years prior to the transition, mirroring the successful inter-agency coordination seen in Pennsylvania.</w:t>
      </w:r>
    </w:p>
    <w:p w14:paraId="32FEDE83" w14:textId="04EDD39D" w:rsidR="00B85980" w:rsidRPr="00B85980" w:rsidRDefault="00B85980" w:rsidP="00B85980">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B85980">
        <w:rPr>
          <w:rFonts w:ascii="Aptos" w:eastAsia="Times New Roman" w:hAnsi="Aptos" w:cs="Times New Roman"/>
          <w:b/>
          <w:bCs/>
          <w:kern w:val="0"/>
          <w:sz w:val="27"/>
          <w:szCs w:val="27"/>
          <w14:ligatures w14:val="none"/>
        </w:rPr>
        <w:t>Recommendation: Support for Expanded Suitability and Financial Transparency</w:t>
      </w:r>
    </w:p>
    <w:p w14:paraId="76AB0614" w14:textId="4DEFC07C"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kern w:val="0"/>
          <w14:ligatures w14:val="none"/>
        </w:rPr>
        <w:t xml:space="preserve">I </w:t>
      </w:r>
      <w:r w:rsidRPr="00B85980">
        <w:rPr>
          <w:rFonts w:ascii="Aptos" w:eastAsia="Times New Roman" w:hAnsi="Aptos" w:cs="Times New Roman"/>
          <w:kern w:val="0"/>
          <w14:ligatures w14:val="none"/>
        </w:rPr>
        <w:t xml:space="preserve">enthusiastically support the proposed amendments to conduct </w:t>
      </w:r>
      <w:r w:rsidRPr="00B85980">
        <w:rPr>
          <w:rFonts w:ascii="Aptos" w:eastAsia="Times New Roman" w:hAnsi="Aptos" w:cs="Times New Roman"/>
          <w:b/>
          <w:bCs/>
          <w:kern w:val="0"/>
          <w14:ligatures w14:val="none"/>
        </w:rPr>
        <w:t>suitability reviews of management companies and real property owners</w:t>
      </w:r>
      <w:r w:rsidRPr="00B85980">
        <w:rPr>
          <w:rFonts w:ascii="Aptos" w:eastAsia="Times New Roman" w:hAnsi="Aptos" w:cs="Times New Roman"/>
          <w:kern w:val="0"/>
          <w14:ligatures w14:val="none"/>
        </w:rPr>
        <w:t>.</w:t>
      </w:r>
    </w:p>
    <w:p w14:paraId="1A1519D7" w14:textId="77777777" w:rsidR="00B85980" w:rsidRPr="00B85980" w:rsidRDefault="00B85980" w:rsidP="00B85980">
      <w:pPr>
        <w:numPr>
          <w:ilvl w:val="0"/>
          <w:numId w:val="4"/>
        </w:num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b/>
          <w:bCs/>
          <w:kern w:val="0"/>
          <w14:ligatures w14:val="none"/>
        </w:rPr>
        <w:t>Rationale:</w:t>
      </w:r>
      <w:r w:rsidRPr="00B85980">
        <w:rPr>
          <w:rFonts w:ascii="Aptos" w:eastAsia="Times New Roman" w:hAnsi="Aptos" w:cs="Times New Roman"/>
          <w:kern w:val="0"/>
          <w14:ligatures w14:val="none"/>
        </w:rPr>
        <w:t xml:space="preserve"> As seen in New Jersey’s recent legislative reforms, the "extraction" of funds by Real Estate Investment Trusts (REITs) often occurs at the expense of restorative therapy staffing. By evaluating the litigation and financial history of landlords (as proposed in the 5% ownership disclosure rules), Massachusetts can ensure that taxpayer dollars are reinvested into the direct care hours (HPRD) required for high-acuity pediatric patients.</w:t>
      </w:r>
    </w:p>
    <w:p w14:paraId="368D083A" w14:textId="18462D5F" w:rsidR="00B85980" w:rsidRPr="00B85980" w:rsidRDefault="00B85980" w:rsidP="00B85980">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B85980">
        <w:rPr>
          <w:rFonts w:ascii="Aptos" w:eastAsia="Times New Roman" w:hAnsi="Aptos" w:cs="Times New Roman"/>
          <w:b/>
          <w:bCs/>
          <w:kern w:val="0"/>
          <w:sz w:val="27"/>
          <w:szCs w:val="27"/>
          <w14:ligatures w14:val="none"/>
        </w:rPr>
        <w:t>Conclusion</w:t>
      </w:r>
    </w:p>
    <w:p w14:paraId="5B81589C" w14:textId="77777777"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kern w:val="0"/>
          <w14:ligatures w14:val="none"/>
        </w:rPr>
        <w:t xml:space="preserve">Massachusetts is currently a leader in </w:t>
      </w:r>
      <w:r w:rsidRPr="00B85980">
        <w:rPr>
          <w:rFonts w:ascii="Aptos" w:eastAsia="Times New Roman" w:hAnsi="Aptos" w:cs="Times New Roman"/>
          <w:b/>
          <w:bCs/>
          <w:kern w:val="0"/>
          <w14:ligatures w14:val="none"/>
        </w:rPr>
        <w:t>clinical safety</w:t>
      </w:r>
      <w:r w:rsidRPr="00B85980">
        <w:rPr>
          <w:rFonts w:ascii="Aptos" w:eastAsia="Times New Roman" w:hAnsi="Aptos" w:cs="Times New Roman"/>
          <w:kern w:val="0"/>
          <w14:ligatures w14:val="none"/>
        </w:rPr>
        <w:t xml:space="preserve">, but we lag behind in </w:t>
      </w:r>
      <w:r w:rsidRPr="00B85980">
        <w:rPr>
          <w:rFonts w:ascii="Aptos" w:eastAsia="Times New Roman" w:hAnsi="Aptos" w:cs="Times New Roman"/>
          <w:b/>
          <w:bCs/>
          <w:kern w:val="0"/>
          <w14:ligatures w14:val="none"/>
        </w:rPr>
        <w:t>restorative outcomes</w:t>
      </w:r>
      <w:r w:rsidRPr="00B85980">
        <w:rPr>
          <w:rFonts w:ascii="Aptos" w:eastAsia="Times New Roman" w:hAnsi="Aptos" w:cs="Times New Roman"/>
          <w:kern w:val="0"/>
          <w14:ligatures w14:val="none"/>
        </w:rPr>
        <w:t xml:space="preserve">. By incorporating these pediatric-specific refinements into </w:t>
      </w:r>
      <w:r w:rsidRPr="00B85980">
        <w:rPr>
          <w:rFonts w:ascii="Aptos" w:eastAsia="Times New Roman" w:hAnsi="Aptos" w:cs="Times New Roman"/>
          <w:b/>
          <w:bCs/>
          <w:kern w:val="0"/>
          <w14:ligatures w14:val="none"/>
        </w:rPr>
        <w:t>105 CMR 150.000</w:t>
      </w:r>
      <w:r w:rsidRPr="00B85980">
        <w:rPr>
          <w:rFonts w:ascii="Aptos" w:eastAsia="Times New Roman" w:hAnsi="Aptos" w:cs="Times New Roman"/>
          <w:kern w:val="0"/>
          <w14:ligatures w14:val="none"/>
        </w:rPr>
        <w:t>, the Department can transform our two existing SNCFCs from high-quality institutions into world-class centers for functional gain and family reunification.</w:t>
      </w:r>
    </w:p>
    <w:p w14:paraId="0C3133B7" w14:textId="77777777" w:rsidR="00B85980" w:rsidRPr="00B85980" w:rsidRDefault="00B85980" w:rsidP="00B85980">
      <w:pPr>
        <w:spacing w:before="100" w:beforeAutospacing="1" w:after="100" w:afterAutospacing="1" w:line="240" w:lineRule="auto"/>
        <w:rPr>
          <w:rFonts w:ascii="Aptos" w:eastAsia="Times New Roman" w:hAnsi="Aptos" w:cs="Times New Roman"/>
          <w:kern w:val="0"/>
          <w14:ligatures w14:val="none"/>
        </w:rPr>
      </w:pPr>
      <w:r w:rsidRPr="00B85980">
        <w:rPr>
          <w:rFonts w:ascii="Aptos" w:eastAsia="Times New Roman" w:hAnsi="Aptos" w:cs="Times New Roman"/>
          <w:kern w:val="0"/>
          <w14:ligatures w14:val="none"/>
        </w:rPr>
        <w:t>Respectfully submitted,</w:t>
      </w:r>
    </w:p>
    <w:p w14:paraId="16A6B6B4" w14:textId="77777777" w:rsidR="00B85980" w:rsidRDefault="00B85980" w:rsidP="00B85980">
      <w:pPr>
        <w:contextualSpacing/>
      </w:pPr>
    </w:p>
    <w:p w14:paraId="066A9568" w14:textId="77777777" w:rsidR="00B85980" w:rsidRDefault="00B85980" w:rsidP="00B85980">
      <w:pPr>
        <w:contextualSpacing/>
      </w:pPr>
    </w:p>
    <w:p w14:paraId="7E3C51EE" w14:textId="14BBDF1A" w:rsidR="00B85980" w:rsidRDefault="00B85980" w:rsidP="00B85980">
      <w:pPr>
        <w:contextualSpacing/>
      </w:pPr>
      <w:r>
        <w:t>Paul J. Lanzikos</w:t>
      </w:r>
    </w:p>
    <w:p w14:paraId="6B201D6E" w14:textId="77777777" w:rsidR="00B85980" w:rsidRDefault="00B85980" w:rsidP="00B85980">
      <w:pPr>
        <w:contextualSpacing/>
      </w:pPr>
      <w:r>
        <w:t>35 High Street</w:t>
      </w:r>
    </w:p>
    <w:p w14:paraId="4A15FC79" w14:textId="77777777" w:rsidR="00B85980" w:rsidRDefault="00B85980" w:rsidP="00B85980">
      <w:pPr>
        <w:contextualSpacing/>
      </w:pPr>
      <w:r>
        <w:t>Beverly, MA 01915</w:t>
      </w:r>
    </w:p>
    <w:p w14:paraId="48837D02" w14:textId="77777777" w:rsidR="00B85980" w:rsidRDefault="00B85980" w:rsidP="00B85980">
      <w:pPr>
        <w:contextualSpacing/>
      </w:pPr>
      <w:r>
        <w:t>978-210-13331</w:t>
      </w:r>
    </w:p>
    <w:p w14:paraId="775F8167" w14:textId="77777777" w:rsidR="00B85980" w:rsidRDefault="00B85980" w:rsidP="00B85980">
      <w:pPr>
        <w:contextualSpacing/>
      </w:pPr>
      <w:hyperlink r:id="rId6" w:history="1">
        <w:r w:rsidRPr="00376BC7">
          <w:rPr>
            <w:rStyle w:val="Hyperlink"/>
          </w:rPr>
          <w:t>paul.lanzikos@gmail.com</w:t>
        </w:r>
      </w:hyperlink>
      <w:r>
        <w:t xml:space="preserve"> </w:t>
      </w:r>
    </w:p>
    <w:p w14:paraId="286D4363" w14:textId="77777777" w:rsidR="005A3226" w:rsidRDefault="005A3226"/>
    <w:sectPr w:rsidR="005A3226" w:rsidSect="00B8598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4738"/>
    <w:multiLevelType w:val="multilevel"/>
    <w:tmpl w:val="D85A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B4B8E"/>
    <w:multiLevelType w:val="multilevel"/>
    <w:tmpl w:val="7BB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93DA6"/>
    <w:multiLevelType w:val="multilevel"/>
    <w:tmpl w:val="7C36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D16BE"/>
    <w:multiLevelType w:val="multilevel"/>
    <w:tmpl w:val="4FAC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970665">
    <w:abstractNumId w:val="1"/>
  </w:num>
  <w:num w:numId="2" w16cid:durableId="509950339">
    <w:abstractNumId w:val="0"/>
  </w:num>
  <w:num w:numId="3" w16cid:durableId="828715066">
    <w:abstractNumId w:val="2"/>
  </w:num>
  <w:num w:numId="4" w16cid:durableId="1907107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980"/>
    <w:rsid w:val="00014B97"/>
    <w:rsid w:val="00230047"/>
    <w:rsid w:val="005A3226"/>
    <w:rsid w:val="008A0318"/>
    <w:rsid w:val="0090434B"/>
    <w:rsid w:val="00B85980"/>
    <w:rsid w:val="00BA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01B7"/>
  <w15:chartTrackingRefBased/>
  <w15:docId w15:val="{BC65E0B6-CF40-4B33-AD3A-2194FA48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980"/>
    <w:rPr>
      <w:rFonts w:eastAsiaTheme="majorEastAsia" w:cstheme="majorBidi"/>
      <w:color w:val="272727" w:themeColor="text1" w:themeTint="D8"/>
    </w:rPr>
  </w:style>
  <w:style w:type="paragraph" w:styleId="Title">
    <w:name w:val="Title"/>
    <w:basedOn w:val="Normal"/>
    <w:next w:val="Normal"/>
    <w:link w:val="TitleChar"/>
    <w:uiPriority w:val="10"/>
    <w:qFormat/>
    <w:rsid w:val="00B8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980"/>
    <w:pPr>
      <w:spacing w:before="160"/>
      <w:jc w:val="center"/>
    </w:pPr>
    <w:rPr>
      <w:i/>
      <w:iCs/>
      <w:color w:val="404040" w:themeColor="text1" w:themeTint="BF"/>
    </w:rPr>
  </w:style>
  <w:style w:type="character" w:customStyle="1" w:styleId="QuoteChar">
    <w:name w:val="Quote Char"/>
    <w:basedOn w:val="DefaultParagraphFont"/>
    <w:link w:val="Quote"/>
    <w:uiPriority w:val="29"/>
    <w:rsid w:val="00B85980"/>
    <w:rPr>
      <w:i/>
      <w:iCs/>
      <w:color w:val="404040" w:themeColor="text1" w:themeTint="BF"/>
    </w:rPr>
  </w:style>
  <w:style w:type="paragraph" w:styleId="ListParagraph">
    <w:name w:val="List Paragraph"/>
    <w:basedOn w:val="Normal"/>
    <w:uiPriority w:val="34"/>
    <w:qFormat/>
    <w:rsid w:val="00B85980"/>
    <w:pPr>
      <w:ind w:left="720"/>
      <w:contextualSpacing/>
    </w:pPr>
  </w:style>
  <w:style w:type="character" w:styleId="IntenseEmphasis">
    <w:name w:val="Intense Emphasis"/>
    <w:basedOn w:val="DefaultParagraphFont"/>
    <w:uiPriority w:val="21"/>
    <w:qFormat/>
    <w:rsid w:val="00B85980"/>
    <w:rPr>
      <w:i/>
      <w:iCs/>
      <w:color w:val="0F4761" w:themeColor="accent1" w:themeShade="BF"/>
    </w:rPr>
  </w:style>
  <w:style w:type="paragraph" w:styleId="IntenseQuote">
    <w:name w:val="Intense Quote"/>
    <w:basedOn w:val="Normal"/>
    <w:next w:val="Normal"/>
    <w:link w:val="IntenseQuoteChar"/>
    <w:uiPriority w:val="30"/>
    <w:qFormat/>
    <w:rsid w:val="00B85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980"/>
    <w:rPr>
      <w:i/>
      <w:iCs/>
      <w:color w:val="0F4761" w:themeColor="accent1" w:themeShade="BF"/>
    </w:rPr>
  </w:style>
  <w:style w:type="character" w:styleId="IntenseReference">
    <w:name w:val="Intense Reference"/>
    <w:basedOn w:val="DefaultParagraphFont"/>
    <w:uiPriority w:val="32"/>
    <w:qFormat/>
    <w:rsid w:val="00B85980"/>
    <w:rPr>
      <w:b/>
      <w:bCs/>
      <w:smallCaps/>
      <w:color w:val="0F4761" w:themeColor="accent1" w:themeShade="BF"/>
      <w:spacing w:val="5"/>
    </w:rPr>
  </w:style>
  <w:style w:type="character" w:styleId="Hyperlink">
    <w:name w:val="Hyperlink"/>
    <w:basedOn w:val="DefaultParagraphFont"/>
    <w:uiPriority w:val="99"/>
    <w:unhideWhenUsed/>
    <w:rsid w:val="00B85980"/>
    <w:rPr>
      <w:color w:val="467886" w:themeColor="hyperlink"/>
      <w:u w:val="single"/>
    </w:rPr>
  </w:style>
  <w:style w:type="character" w:styleId="UnresolvedMention">
    <w:name w:val="Unresolved Mention"/>
    <w:basedOn w:val="DefaultParagraphFont"/>
    <w:uiPriority w:val="99"/>
    <w:semiHidden/>
    <w:unhideWhenUsed/>
    <w:rsid w:val="00B8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lanzikos@gmail.com" TargetMode="External"/><Relationship Id="rId5" Type="http://schemas.openxmlformats.org/officeDocument/2006/relationships/hyperlink" Target="mailto:Reg.Testimony@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Lanzikos</dc:creator>
  <cp:keywords/>
  <dc:description/>
  <cp:lastModifiedBy>Paul Lanzikos</cp:lastModifiedBy>
  <cp:revision>2</cp:revision>
  <dcterms:created xsi:type="dcterms:W3CDTF">2026-02-15T23:13:00Z</dcterms:created>
  <dcterms:modified xsi:type="dcterms:W3CDTF">2026-02-15T23:13:00Z</dcterms:modified>
</cp:coreProperties>
</file>