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D83E" w14:textId="6E33DBE3" w:rsidR="004910C8" w:rsidRDefault="004910C8" w:rsidP="004910C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February 15, 2026</w:t>
      </w:r>
    </w:p>
    <w:p w14:paraId="4AF5FDB3" w14:textId="77777777" w:rsidR="004910C8" w:rsidRDefault="004910C8" w:rsidP="004910C8">
      <w:pPr>
        <w:spacing w:after="0" w:line="240" w:lineRule="auto"/>
        <w:rPr>
          <w:rFonts w:ascii="Arial" w:eastAsia="Times New Roman" w:hAnsi="Arial" w:cs="Arial"/>
          <w:color w:val="000000"/>
          <w:kern w:val="0"/>
          <w:sz w:val="22"/>
          <w:szCs w:val="22"/>
          <w14:ligatures w14:val="none"/>
        </w:rPr>
      </w:pPr>
    </w:p>
    <w:p w14:paraId="4D2F68DD" w14:textId="2FEDA594" w:rsidR="004910C8" w:rsidRPr="004910C8" w:rsidRDefault="004910C8" w:rsidP="004910C8">
      <w:pPr>
        <w:spacing w:after="0" w:line="240" w:lineRule="auto"/>
        <w:rPr>
          <w:rFonts w:ascii="Times New Roman" w:eastAsia="Times New Roman" w:hAnsi="Times New Roman" w:cs="Times New Roman"/>
          <w:kern w:val="0"/>
          <w14:ligatures w14:val="none"/>
        </w:rPr>
      </w:pPr>
      <w:r w:rsidRPr="004910C8">
        <w:rPr>
          <w:rFonts w:ascii="Arial" w:eastAsia="Times New Roman" w:hAnsi="Arial" w:cs="Arial"/>
          <w:color w:val="000000"/>
          <w:kern w:val="0"/>
          <w:sz w:val="22"/>
          <w:szCs w:val="22"/>
          <w14:ligatures w14:val="none"/>
        </w:rPr>
        <w:t>Department of Public Health</w:t>
      </w:r>
    </w:p>
    <w:p w14:paraId="2ED6D27C" w14:textId="5321EBA7" w:rsidR="004910C8" w:rsidRPr="004910C8" w:rsidRDefault="004910C8" w:rsidP="004910C8">
      <w:pPr>
        <w:spacing w:after="0" w:line="240" w:lineRule="auto"/>
        <w:rPr>
          <w:rFonts w:ascii="Times New Roman" w:eastAsia="Times New Roman" w:hAnsi="Times New Roman" w:cs="Times New Roman"/>
          <w:kern w:val="0"/>
          <w14:ligatures w14:val="none"/>
        </w:rPr>
      </w:pPr>
      <w:hyperlink r:id="rId5" w:history="1">
        <w:r w:rsidRPr="004910C8">
          <w:rPr>
            <w:rStyle w:val="Hyperlink"/>
            <w:rFonts w:ascii="Arial" w:eastAsia="Times New Roman" w:hAnsi="Arial" w:cs="Arial"/>
            <w:kern w:val="0"/>
            <w:sz w:val="22"/>
            <w:szCs w:val="22"/>
            <w14:ligatures w14:val="none"/>
          </w:rPr>
          <w:t>Reg.Testimony@mass.gov</w:t>
        </w:r>
      </w:hyperlink>
      <w:r>
        <w:rPr>
          <w:rFonts w:ascii="Arial" w:eastAsia="Times New Roman" w:hAnsi="Arial" w:cs="Arial"/>
          <w:color w:val="000000"/>
          <w:kern w:val="0"/>
          <w:sz w:val="22"/>
          <w:szCs w:val="22"/>
          <w14:ligatures w14:val="none"/>
        </w:rPr>
        <w:t xml:space="preserve"> </w:t>
      </w:r>
    </w:p>
    <w:p w14:paraId="3E5B8F49" w14:textId="77777777" w:rsidR="004910C8" w:rsidRDefault="004910C8" w:rsidP="004910C8">
      <w:pPr>
        <w:spacing w:after="0" w:line="240" w:lineRule="auto"/>
        <w:rPr>
          <w:rFonts w:ascii="Arial" w:eastAsia="Times New Roman" w:hAnsi="Arial" w:cs="Arial"/>
          <w:b/>
          <w:bCs/>
          <w:color w:val="000000"/>
          <w:kern w:val="0"/>
          <w:sz w:val="22"/>
          <w:szCs w:val="22"/>
          <w14:ligatures w14:val="none"/>
        </w:rPr>
      </w:pPr>
    </w:p>
    <w:p w14:paraId="02559D9E" w14:textId="49B84C7F" w:rsidR="004910C8" w:rsidRPr="004910C8" w:rsidRDefault="004910C8" w:rsidP="004910C8">
      <w:pPr>
        <w:spacing w:after="0" w:line="240" w:lineRule="auto"/>
        <w:rPr>
          <w:rFonts w:ascii="Times New Roman" w:eastAsia="Times New Roman" w:hAnsi="Times New Roman" w:cs="Times New Roman"/>
          <w:kern w:val="0"/>
          <w14:ligatures w14:val="none"/>
        </w:rPr>
      </w:pPr>
      <w:r w:rsidRPr="004910C8">
        <w:rPr>
          <w:rFonts w:ascii="Arial" w:eastAsia="Times New Roman" w:hAnsi="Arial" w:cs="Arial"/>
          <w:b/>
          <w:bCs/>
          <w:color w:val="000000"/>
          <w:kern w:val="0"/>
          <w:sz w:val="22"/>
          <w:szCs w:val="22"/>
          <w14:ligatures w14:val="none"/>
        </w:rPr>
        <w:t>RE: 105 CMR 153: Department of Public Health Licensure Procedures and Suitability Requirements for Long-Term Care Facilities Regulations</w:t>
      </w:r>
    </w:p>
    <w:p w14:paraId="38BB94E8" w14:textId="77777777" w:rsidR="004910C8" w:rsidRDefault="004910C8" w:rsidP="004910C8">
      <w:pPr>
        <w:spacing w:after="0" w:line="240" w:lineRule="auto"/>
        <w:rPr>
          <w:rFonts w:ascii="Arial" w:eastAsia="Times New Roman" w:hAnsi="Arial" w:cs="Arial"/>
          <w:color w:val="000000"/>
          <w:kern w:val="0"/>
          <w:sz w:val="22"/>
          <w:szCs w:val="22"/>
          <w14:ligatures w14:val="none"/>
        </w:rPr>
      </w:pPr>
    </w:p>
    <w:p w14:paraId="298C5D37" w14:textId="5994B39E" w:rsidR="004910C8" w:rsidRPr="004910C8" w:rsidRDefault="004910C8" w:rsidP="004910C8">
      <w:pPr>
        <w:spacing w:after="0" w:line="240" w:lineRule="auto"/>
        <w:rPr>
          <w:rFonts w:ascii="Times New Roman" w:eastAsia="Times New Roman" w:hAnsi="Times New Roman" w:cs="Times New Roman"/>
          <w:kern w:val="0"/>
          <w14:ligatures w14:val="none"/>
        </w:rPr>
      </w:pPr>
      <w:r w:rsidRPr="004910C8">
        <w:rPr>
          <w:rFonts w:ascii="Arial" w:eastAsia="Times New Roman" w:hAnsi="Arial" w:cs="Arial"/>
          <w:color w:val="000000"/>
          <w:kern w:val="0"/>
          <w:sz w:val="22"/>
          <w:szCs w:val="22"/>
          <w14:ligatures w14:val="none"/>
        </w:rPr>
        <w:t>To the Department of Public Health:</w:t>
      </w:r>
    </w:p>
    <w:p w14:paraId="0018140B" w14:textId="77777777" w:rsidR="004910C8" w:rsidRDefault="004910C8" w:rsidP="004910C8">
      <w:pPr>
        <w:spacing w:after="0" w:line="240" w:lineRule="auto"/>
        <w:rPr>
          <w:rFonts w:ascii="Arial" w:eastAsia="Times New Roman" w:hAnsi="Arial" w:cs="Arial"/>
          <w:color w:val="000000"/>
          <w:kern w:val="0"/>
          <w:sz w:val="22"/>
          <w:szCs w:val="22"/>
          <w14:ligatures w14:val="none"/>
        </w:rPr>
      </w:pPr>
    </w:p>
    <w:p w14:paraId="08E0BDE9" w14:textId="0F4C6053" w:rsidR="004910C8" w:rsidRDefault="004910C8" w:rsidP="004910C8">
      <w:pPr>
        <w:spacing w:after="0" w:line="240" w:lineRule="auto"/>
        <w:rPr>
          <w:rFonts w:ascii="Arial" w:eastAsia="Times New Roman" w:hAnsi="Arial" w:cs="Arial"/>
          <w:color w:val="000000"/>
          <w:kern w:val="0"/>
          <w:sz w:val="22"/>
          <w:szCs w:val="22"/>
          <w14:ligatures w14:val="none"/>
        </w:rPr>
      </w:pPr>
      <w:r w:rsidRPr="004910C8">
        <w:rPr>
          <w:rFonts w:ascii="Arial" w:eastAsia="Times New Roman" w:hAnsi="Arial" w:cs="Arial"/>
          <w:color w:val="000000"/>
          <w:kern w:val="0"/>
          <w:sz w:val="22"/>
          <w:szCs w:val="22"/>
          <w14:ligatures w14:val="none"/>
        </w:rPr>
        <w:t>Thank you for the opportunity to provide testimony regarding the proposed amendments to 105 CMR 153.000. These revisions, prompted by the Long-Term Care Modernization Act of 2024, represent a vital step toward ensuring the safety, dignity, and quality of care for residents in the Commonwealth’s long-term care facilities.</w:t>
      </w:r>
    </w:p>
    <w:p w14:paraId="53B8D957" w14:textId="77777777" w:rsidR="004910C8" w:rsidRPr="004910C8" w:rsidRDefault="004910C8" w:rsidP="004910C8">
      <w:pPr>
        <w:spacing w:after="0" w:line="240" w:lineRule="auto"/>
        <w:rPr>
          <w:rFonts w:ascii="Times New Roman" w:eastAsia="Times New Roman" w:hAnsi="Times New Roman" w:cs="Times New Roman"/>
          <w:kern w:val="0"/>
          <w14:ligatures w14:val="none"/>
        </w:rPr>
      </w:pPr>
    </w:p>
    <w:p w14:paraId="30E23D3B" w14:textId="77777777" w:rsidR="004910C8" w:rsidRDefault="004910C8" w:rsidP="004910C8">
      <w:pPr>
        <w:spacing w:after="0" w:line="240" w:lineRule="auto"/>
        <w:rPr>
          <w:rFonts w:ascii="Arial" w:eastAsia="Times New Roman" w:hAnsi="Arial" w:cs="Arial"/>
          <w:color w:val="000000"/>
          <w:kern w:val="0"/>
          <w:sz w:val="22"/>
          <w:szCs w:val="22"/>
          <w14:ligatures w14:val="none"/>
        </w:rPr>
      </w:pPr>
      <w:r w:rsidRPr="004910C8">
        <w:rPr>
          <w:rFonts w:ascii="Arial" w:eastAsia="Times New Roman" w:hAnsi="Arial" w:cs="Arial"/>
          <w:color w:val="000000"/>
          <w:kern w:val="0"/>
          <w:sz w:val="22"/>
          <w:szCs w:val="22"/>
          <w14:ligatures w14:val="none"/>
        </w:rPr>
        <w:t>The following comments address specific areas of the proposed regulation:</w:t>
      </w:r>
    </w:p>
    <w:p w14:paraId="265085E0" w14:textId="77777777" w:rsidR="004910C8" w:rsidRPr="004910C8" w:rsidRDefault="004910C8" w:rsidP="004910C8">
      <w:pPr>
        <w:spacing w:after="0" w:line="240" w:lineRule="auto"/>
        <w:rPr>
          <w:rFonts w:ascii="Times New Roman" w:eastAsia="Times New Roman" w:hAnsi="Times New Roman" w:cs="Times New Roman"/>
          <w:kern w:val="0"/>
          <w14:ligatures w14:val="none"/>
        </w:rPr>
      </w:pPr>
    </w:p>
    <w:p w14:paraId="7253D300" w14:textId="77777777" w:rsidR="004910C8" w:rsidRPr="004910C8" w:rsidRDefault="004910C8" w:rsidP="004910C8">
      <w:pPr>
        <w:spacing w:after="240" w:line="240" w:lineRule="auto"/>
        <w:outlineLvl w:val="2"/>
        <w:rPr>
          <w:rFonts w:ascii="Times New Roman" w:eastAsia="Times New Roman" w:hAnsi="Times New Roman" w:cs="Times New Roman"/>
          <w:b/>
          <w:bCs/>
          <w:kern w:val="0"/>
          <w:sz w:val="27"/>
          <w:szCs w:val="27"/>
          <w14:ligatures w14:val="none"/>
        </w:rPr>
      </w:pPr>
      <w:r w:rsidRPr="004910C8">
        <w:rPr>
          <w:rFonts w:ascii="Arial" w:eastAsia="Times New Roman" w:hAnsi="Arial" w:cs="Arial"/>
          <w:b/>
          <w:bCs/>
          <w:color w:val="000000"/>
          <w:kern w:val="0"/>
          <w:sz w:val="28"/>
          <w:szCs w:val="28"/>
          <w14:ligatures w14:val="none"/>
        </w:rPr>
        <w:t>1. Expanded Suitability and Ownership Transparency</w:t>
      </w:r>
    </w:p>
    <w:p w14:paraId="14D2ADA6" w14:textId="77777777" w:rsidR="004910C8" w:rsidRPr="004910C8" w:rsidRDefault="004910C8" w:rsidP="004910C8">
      <w:pPr>
        <w:spacing w:after="0" w:line="240" w:lineRule="auto"/>
        <w:rPr>
          <w:rFonts w:ascii="Times New Roman" w:eastAsia="Times New Roman" w:hAnsi="Times New Roman" w:cs="Times New Roman"/>
          <w:kern w:val="0"/>
          <w14:ligatures w14:val="none"/>
        </w:rPr>
      </w:pPr>
      <w:r w:rsidRPr="004910C8">
        <w:rPr>
          <w:rFonts w:ascii="Arial" w:eastAsia="Times New Roman" w:hAnsi="Arial" w:cs="Arial"/>
          <w:color w:val="000000"/>
          <w:kern w:val="0"/>
          <w:sz w:val="22"/>
          <w:szCs w:val="22"/>
          <w14:ligatures w14:val="none"/>
        </w:rPr>
        <w:t>I strongly support the proposed expansion of suitability reviews to include management companies and real property owners (landlords). For too long, the "hidden" layers of ownership and management have made it difficult to hold the actual decision-makers accountable for care failures.</w:t>
      </w:r>
    </w:p>
    <w:p w14:paraId="715C7C83" w14:textId="77777777" w:rsidR="004910C8" w:rsidRPr="004910C8" w:rsidRDefault="004910C8" w:rsidP="004910C8">
      <w:pPr>
        <w:numPr>
          <w:ilvl w:val="0"/>
          <w:numId w:val="1"/>
        </w:numPr>
        <w:spacing w:after="0" w:line="240" w:lineRule="auto"/>
        <w:ind w:left="600"/>
        <w:textAlignment w:val="baseline"/>
        <w:rPr>
          <w:rFonts w:ascii="Arial" w:eastAsia="Times New Roman" w:hAnsi="Arial" w:cs="Arial"/>
          <w:color w:val="000000"/>
          <w:kern w:val="0"/>
          <w:sz w:val="22"/>
          <w:szCs w:val="22"/>
          <w14:ligatures w14:val="none"/>
        </w:rPr>
      </w:pPr>
      <w:r w:rsidRPr="004910C8">
        <w:rPr>
          <w:rFonts w:ascii="Arial" w:eastAsia="Times New Roman" w:hAnsi="Arial" w:cs="Arial"/>
          <w:b/>
          <w:bCs/>
          <w:color w:val="000000"/>
          <w:kern w:val="0"/>
          <w:sz w:val="22"/>
          <w:szCs w:val="22"/>
          <w14:ligatures w14:val="none"/>
        </w:rPr>
        <w:t>The 5% Threshold:</w:t>
      </w:r>
      <w:r w:rsidRPr="004910C8">
        <w:rPr>
          <w:rFonts w:ascii="Arial" w:eastAsia="Times New Roman" w:hAnsi="Arial" w:cs="Arial"/>
          <w:color w:val="000000"/>
          <w:kern w:val="0"/>
          <w:sz w:val="22"/>
          <w:szCs w:val="22"/>
          <w14:ligatures w14:val="none"/>
        </w:rPr>
        <w:t xml:space="preserve"> Defining an "owner" as any person or entity with at least a 5% interest is a necessary standard to prevent the shielding of influential stakeholders behind complex corporate structures.</w:t>
      </w:r>
    </w:p>
    <w:p w14:paraId="0421AB2C" w14:textId="77777777" w:rsidR="004910C8" w:rsidRDefault="004910C8" w:rsidP="004910C8">
      <w:pPr>
        <w:numPr>
          <w:ilvl w:val="0"/>
          <w:numId w:val="1"/>
        </w:numPr>
        <w:spacing w:after="0" w:line="240" w:lineRule="auto"/>
        <w:ind w:left="600"/>
        <w:textAlignment w:val="baseline"/>
        <w:rPr>
          <w:rFonts w:ascii="Arial" w:eastAsia="Times New Roman" w:hAnsi="Arial" w:cs="Arial"/>
          <w:color w:val="000000"/>
          <w:kern w:val="0"/>
          <w:sz w:val="22"/>
          <w:szCs w:val="22"/>
          <w14:ligatures w14:val="none"/>
        </w:rPr>
      </w:pPr>
      <w:r w:rsidRPr="004910C8">
        <w:rPr>
          <w:rFonts w:ascii="Arial" w:eastAsia="Times New Roman" w:hAnsi="Arial" w:cs="Arial"/>
          <w:b/>
          <w:bCs/>
          <w:color w:val="000000"/>
          <w:kern w:val="0"/>
          <w:sz w:val="22"/>
          <w:szCs w:val="22"/>
          <w14:ligatures w14:val="none"/>
        </w:rPr>
        <w:t>Vetting Management Companies:</w:t>
      </w:r>
      <w:r w:rsidRPr="004910C8">
        <w:rPr>
          <w:rFonts w:ascii="Arial" w:eastAsia="Times New Roman" w:hAnsi="Arial" w:cs="Arial"/>
          <w:color w:val="000000"/>
          <w:kern w:val="0"/>
          <w:sz w:val="22"/>
          <w:szCs w:val="22"/>
          <w14:ligatures w14:val="none"/>
        </w:rPr>
        <w:t xml:space="preserve"> Requiring Department approval of management companies </w:t>
      </w:r>
      <w:r w:rsidRPr="004910C8">
        <w:rPr>
          <w:rFonts w:ascii="Arial" w:eastAsia="Times New Roman" w:hAnsi="Arial" w:cs="Arial"/>
          <w:i/>
          <w:iCs/>
          <w:color w:val="000000"/>
          <w:kern w:val="0"/>
          <w:sz w:val="22"/>
          <w:szCs w:val="22"/>
          <w14:ligatures w14:val="none"/>
        </w:rPr>
        <w:t>before</w:t>
      </w:r>
      <w:r w:rsidRPr="004910C8">
        <w:rPr>
          <w:rFonts w:ascii="Arial" w:eastAsia="Times New Roman" w:hAnsi="Arial" w:cs="Arial"/>
          <w:color w:val="000000"/>
          <w:kern w:val="0"/>
          <w:sz w:val="22"/>
          <w:szCs w:val="22"/>
          <w14:ligatures w14:val="none"/>
        </w:rPr>
        <w:t xml:space="preserve"> a contract is finalized ensures that facilities are not handed over to entities with poor track records in other jurisdictions.</w:t>
      </w:r>
    </w:p>
    <w:p w14:paraId="5A0B2784" w14:textId="77777777" w:rsidR="004910C8" w:rsidRPr="004910C8" w:rsidRDefault="004910C8" w:rsidP="004910C8">
      <w:pPr>
        <w:spacing w:after="0" w:line="240" w:lineRule="auto"/>
        <w:ind w:left="600"/>
        <w:textAlignment w:val="baseline"/>
        <w:rPr>
          <w:rFonts w:ascii="Arial" w:eastAsia="Times New Roman" w:hAnsi="Arial" w:cs="Arial"/>
          <w:color w:val="000000"/>
          <w:kern w:val="0"/>
          <w:sz w:val="22"/>
          <w:szCs w:val="22"/>
          <w14:ligatures w14:val="none"/>
        </w:rPr>
      </w:pPr>
    </w:p>
    <w:p w14:paraId="1AB07AF2" w14:textId="77777777" w:rsidR="004910C8" w:rsidRPr="004910C8" w:rsidRDefault="004910C8" w:rsidP="004910C8">
      <w:pPr>
        <w:spacing w:after="240" w:line="240" w:lineRule="auto"/>
        <w:outlineLvl w:val="2"/>
        <w:rPr>
          <w:rFonts w:ascii="Times New Roman" w:eastAsia="Times New Roman" w:hAnsi="Times New Roman" w:cs="Times New Roman"/>
          <w:b/>
          <w:bCs/>
          <w:kern w:val="0"/>
          <w:sz w:val="27"/>
          <w:szCs w:val="27"/>
          <w14:ligatures w14:val="none"/>
        </w:rPr>
      </w:pPr>
      <w:r w:rsidRPr="004910C8">
        <w:rPr>
          <w:rFonts w:ascii="Arial" w:eastAsia="Times New Roman" w:hAnsi="Arial" w:cs="Arial"/>
          <w:b/>
          <w:bCs/>
          <w:color w:val="000000"/>
          <w:kern w:val="0"/>
          <w:sz w:val="28"/>
          <w:szCs w:val="28"/>
          <w14:ligatures w14:val="none"/>
        </w:rPr>
        <w:t>2. Accelerated Financial Reporting (2-Day Requirement)</w:t>
      </w:r>
    </w:p>
    <w:p w14:paraId="7F696615" w14:textId="77777777" w:rsidR="004910C8" w:rsidRDefault="004910C8" w:rsidP="004910C8">
      <w:pPr>
        <w:spacing w:after="0" w:line="240" w:lineRule="auto"/>
        <w:rPr>
          <w:rFonts w:ascii="Arial" w:eastAsia="Times New Roman" w:hAnsi="Arial" w:cs="Arial"/>
          <w:color w:val="000000"/>
          <w:kern w:val="0"/>
          <w:sz w:val="22"/>
          <w:szCs w:val="22"/>
          <w14:ligatures w14:val="none"/>
        </w:rPr>
      </w:pPr>
      <w:r w:rsidRPr="004910C8">
        <w:rPr>
          <w:rFonts w:ascii="Arial" w:eastAsia="Times New Roman" w:hAnsi="Arial" w:cs="Arial"/>
          <w:color w:val="000000"/>
          <w:kern w:val="0"/>
          <w:sz w:val="22"/>
          <w:szCs w:val="22"/>
          <w14:ligatures w14:val="none"/>
        </w:rPr>
        <w:t xml:space="preserve">The requirement for licensees and owners to report changes in financial status—such as bankruptcy, defaults, or </w:t>
      </w:r>
      <w:proofErr w:type="gramStart"/>
      <w:r w:rsidRPr="004910C8">
        <w:rPr>
          <w:rFonts w:ascii="Arial" w:eastAsia="Times New Roman" w:hAnsi="Arial" w:cs="Arial"/>
          <w:color w:val="000000"/>
          <w:kern w:val="0"/>
          <w:sz w:val="22"/>
          <w:szCs w:val="22"/>
          <w14:ligatures w14:val="none"/>
        </w:rPr>
        <w:t>liens—</w:t>
      </w:r>
      <w:proofErr w:type="gramEnd"/>
      <w:r w:rsidRPr="004910C8">
        <w:rPr>
          <w:rFonts w:ascii="Arial" w:eastAsia="Times New Roman" w:hAnsi="Arial" w:cs="Arial"/>
          <w:color w:val="000000"/>
          <w:kern w:val="0"/>
          <w:sz w:val="22"/>
          <w:szCs w:val="22"/>
          <w14:ligatures w14:val="none"/>
        </w:rPr>
        <w:t xml:space="preserve">within </w:t>
      </w:r>
      <w:r w:rsidRPr="004910C8">
        <w:rPr>
          <w:rFonts w:ascii="Arial" w:eastAsia="Times New Roman" w:hAnsi="Arial" w:cs="Arial"/>
          <w:b/>
          <w:bCs/>
          <w:color w:val="000000"/>
          <w:kern w:val="0"/>
          <w:sz w:val="22"/>
          <w:szCs w:val="22"/>
          <w14:ligatures w14:val="none"/>
        </w:rPr>
        <w:t>two business days</w:t>
      </w:r>
      <w:r w:rsidRPr="004910C8">
        <w:rPr>
          <w:rFonts w:ascii="Arial" w:eastAsia="Times New Roman" w:hAnsi="Arial" w:cs="Arial"/>
          <w:color w:val="000000"/>
          <w:kern w:val="0"/>
          <w:sz w:val="22"/>
          <w:szCs w:val="22"/>
          <w14:ligatures w14:val="none"/>
        </w:rPr>
        <w:t xml:space="preserve"> is a critical safeguard. Financial instability is often the first indicator of a pending decline in care quality or an abrupt facility closure. This "early warning system" allows the Department to intervene proactively to protect residents and staff.</w:t>
      </w:r>
    </w:p>
    <w:p w14:paraId="59A8892E" w14:textId="77777777" w:rsidR="004910C8" w:rsidRPr="004910C8" w:rsidRDefault="004910C8" w:rsidP="004910C8">
      <w:pPr>
        <w:spacing w:after="0" w:line="240" w:lineRule="auto"/>
        <w:rPr>
          <w:rFonts w:ascii="Times New Roman" w:eastAsia="Times New Roman" w:hAnsi="Times New Roman" w:cs="Times New Roman"/>
          <w:kern w:val="0"/>
          <w14:ligatures w14:val="none"/>
        </w:rPr>
      </w:pPr>
    </w:p>
    <w:p w14:paraId="097E4179" w14:textId="77777777" w:rsidR="004910C8" w:rsidRPr="004910C8" w:rsidRDefault="004910C8" w:rsidP="004910C8">
      <w:pPr>
        <w:spacing w:after="240" w:line="240" w:lineRule="auto"/>
        <w:outlineLvl w:val="2"/>
        <w:rPr>
          <w:rFonts w:ascii="Times New Roman" w:eastAsia="Times New Roman" w:hAnsi="Times New Roman" w:cs="Times New Roman"/>
          <w:b/>
          <w:bCs/>
          <w:kern w:val="0"/>
          <w:sz w:val="27"/>
          <w:szCs w:val="27"/>
          <w14:ligatures w14:val="none"/>
        </w:rPr>
      </w:pPr>
      <w:r w:rsidRPr="004910C8">
        <w:rPr>
          <w:rFonts w:ascii="Arial" w:eastAsia="Times New Roman" w:hAnsi="Arial" w:cs="Arial"/>
          <w:b/>
          <w:bCs/>
          <w:color w:val="000000"/>
          <w:kern w:val="0"/>
          <w:sz w:val="28"/>
          <w:szCs w:val="28"/>
          <w14:ligatures w14:val="none"/>
        </w:rPr>
        <w:t>3. Outbreak Response Plans</w:t>
      </w:r>
    </w:p>
    <w:p w14:paraId="4BA26C97" w14:textId="77777777" w:rsidR="004910C8" w:rsidRDefault="004910C8" w:rsidP="004910C8">
      <w:pPr>
        <w:spacing w:after="0" w:line="240" w:lineRule="auto"/>
        <w:rPr>
          <w:rFonts w:ascii="Arial" w:eastAsia="Times New Roman" w:hAnsi="Arial" w:cs="Arial"/>
          <w:color w:val="000000"/>
          <w:kern w:val="0"/>
          <w:sz w:val="22"/>
          <w:szCs w:val="22"/>
          <w14:ligatures w14:val="none"/>
        </w:rPr>
      </w:pPr>
      <w:r w:rsidRPr="004910C8">
        <w:rPr>
          <w:rFonts w:ascii="Arial" w:eastAsia="Times New Roman" w:hAnsi="Arial" w:cs="Arial"/>
          <w:color w:val="000000"/>
          <w:kern w:val="0"/>
          <w:sz w:val="22"/>
          <w:szCs w:val="22"/>
          <w14:ligatures w14:val="none"/>
        </w:rPr>
        <w:t>The inclusion of mandatory, annually reviewed Outbreak Response Plans (ORPs) is a long-overdue lesson from the COVID-19 pandemic. To strengthen this provision, the Department should ensure that these plans are not only submitted but are also made easily accessible to residents and their families, ensuring transparency in how a facility intends to handle future public health emergencies.</w:t>
      </w:r>
    </w:p>
    <w:p w14:paraId="68878F11" w14:textId="77777777" w:rsidR="004910C8" w:rsidRPr="004910C8" w:rsidRDefault="004910C8" w:rsidP="004910C8">
      <w:pPr>
        <w:spacing w:after="0" w:line="240" w:lineRule="auto"/>
        <w:rPr>
          <w:rFonts w:ascii="Times New Roman" w:eastAsia="Times New Roman" w:hAnsi="Times New Roman" w:cs="Times New Roman"/>
          <w:kern w:val="0"/>
          <w14:ligatures w14:val="none"/>
        </w:rPr>
      </w:pPr>
    </w:p>
    <w:p w14:paraId="312CA816" w14:textId="77777777" w:rsidR="004910C8" w:rsidRPr="004910C8" w:rsidRDefault="004910C8" w:rsidP="004910C8">
      <w:pPr>
        <w:spacing w:after="240" w:line="240" w:lineRule="auto"/>
        <w:outlineLvl w:val="2"/>
        <w:rPr>
          <w:rFonts w:ascii="Times New Roman" w:eastAsia="Times New Roman" w:hAnsi="Times New Roman" w:cs="Times New Roman"/>
          <w:b/>
          <w:bCs/>
          <w:kern w:val="0"/>
          <w:sz w:val="27"/>
          <w:szCs w:val="27"/>
          <w14:ligatures w14:val="none"/>
        </w:rPr>
      </w:pPr>
      <w:r w:rsidRPr="004910C8">
        <w:rPr>
          <w:rFonts w:ascii="Arial" w:eastAsia="Times New Roman" w:hAnsi="Arial" w:cs="Arial"/>
          <w:b/>
          <w:bCs/>
          <w:color w:val="000000"/>
          <w:kern w:val="0"/>
          <w:sz w:val="28"/>
          <w:szCs w:val="28"/>
          <w14:ligatures w14:val="none"/>
        </w:rPr>
        <w:t>4. Small House Nursing Homes</w:t>
      </w:r>
    </w:p>
    <w:p w14:paraId="1939158F" w14:textId="77777777" w:rsidR="004910C8" w:rsidRPr="004910C8" w:rsidRDefault="004910C8" w:rsidP="004910C8">
      <w:pPr>
        <w:spacing w:after="0" w:line="240" w:lineRule="auto"/>
        <w:rPr>
          <w:rFonts w:ascii="Times New Roman" w:eastAsia="Times New Roman" w:hAnsi="Times New Roman" w:cs="Times New Roman"/>
          <w:kern w:val="0"/>
          <w14:ligatures w14:val="none"/>
        </w:rPr>
      </w:pPr>
      <w:r w:rsidRPr="004910C8">
        <w:rPr>
          <w:rFonts w:ascii="Arial" w:eastAsia="Times New Roman" w:hAnsi="Arial" w:cs="Arial"/>
          <w:color w:val="000000"/>
          <w:kern w:val="0"/>
          <w:sz w:val="22"/>
          <w:szCs w:val="22"/>
          <w14:ligatures w14:val="none"/>
        </w:rPr>
        <w:t xml:space="preserve">I applaud the establishment of standards for Small House Nursing Homes. Limiting newly operational units to </w:t>
      </w:r>
      <w:r w:rsidRPr="004910C8">
        <w:rPr>
          <w:rFonts w:ascii="Arial" w:eastAsia="Times New Roman" w:hAnsi="Arial" w:cs="Arial"/>
          <w:b/>
          <w:bCs/>
          <w:color w:val="000000"/>
          <w:kern w:val="0"/>
          <w:sz w:val="22"/>
          <w:szCs w:val="22"/>
          <w14:ligatures w14:val="none"/>
        </w:rPr>
        <w:t>14 residents</w:t>
      </w:r>
      <w:r w:rsidRPr="004910C8">
        <w:rPr>
          <w:rFonts w:ascii="Arial" w:eastAsia="Times New Roman" w:hAnsi="Arial" w:cs="Arial"/>
          <w:color w:val="000000"/>
          <w:kern w:val="0"/>
          <w:sz w:val="22"/>
          <w:szCs w:val="22"/>
          <w14:ligatures w14:val="none"/>
        </w:rPr>
        <w:t xml:space="preserve"> and prioritizing a home-like environment aligns with best practices for person-centered care. This model reduces the institutional feel of traditional nursing homes and has been shown to improve clinical outcomes and resident satisfaction.</w:t>
      </w:r>
    </w:p>
    <w:p w14:paraId="3DFCBFF4" w14:textId="77777777" w:rsidR="004910C8" w:rsidRPr="004910C8" w:rsidRDefault="004910C8" w:rsidP="004910C8">
      <w:pPr>
        <w:spacing w:after="240" w:line="240" w:lineRule="auto"/>
        <w:outlineLvl w:val="2"/>
        <w:rPr>
          <w:rFonts w:ascii="Times New Roman" w:eastAsia="Times New Roman" w:hAnsi="Times New Roman" w:cs="Times New Roman"/>
          <w:b/>
          <w:bCs/>
          <w:kern w:val="0"/>
          <w:sz w:val="27"/>
          <w:szCs w:val="27"/>
          <w14:ligatures w14:val="none"/>
        </w:rPr>
      </w:pPr>
      <w:r w:rsidRPr="004910C8">
        <w:rPr>
          <w:rFonts w:ascii="Arial" w:eastAsia="Times New Roman" w:hAnsi="Arial" w:cs="Arial"/>
          <w:b/>
          <w:bCs/>
          <w:color w:val="000000"/>
          <w:kern w:val="0"/>
          <w:sz w:val="28"/>
          <w:szCs w:val="28"/>
          <w14:ligatures w14:val="none"/>
        </w:rPr>
        <w:lastRenderedPageBreak/>
        <w:t>5. Enhanced Enforcement and "For Cause" Actions</w:t>
      </w:r>
    </w:p>
    <w:p w14:paraId="245CC58A" w14:textId="77777777" w:rsidR="004910C8" w:rsidRDefault="004910C8" w:rsidP="004910C8">
      <w:pPr>
        <w:spacing w:after="0" w:line="240" w:lineRule="auto"/>
        <w:rPr>
          <w:rFonts w:ascii="Arial" w:eastAsia="Times New Roman" w:hAnsi="Arial" w:cs="Arial"/>
          <w:color w:val="000000"/>
          <w:kern w:val="0"/>
          <w:sz w:val="22"/>
          <w:szCs w:val="22"/>
          <w14:ligatures w14:val="none"/>
        </w:rPr>
      </w:pPr>
      <w:r w:rsidRPr="004910C8">
        <w:rPr>
          <w:rFonts w:ascii="Arial" w:eastAsia="Times New Roman" w:hAnsi="Arial" w:cs="Arial"/>
          <w:color w:val="000000"/>
          <w:kern w:val="0"/>
          <w:sz w:val="22"/>
          <w:szCs w:val="22"/>
          <w14:ligatures w14:val="none"/>
        </w:rPr>
        <w:t>The clarification of the Department’s authority to take licensing actions "for cause"—including for repeated violations or failure to meet suitability standards—is essential. I support the Department's ability to require a temporary manager at the licensee’s expense when resident safety is at risk, as this provides a swift alternative to facility closure, which is often traumatic for residents.</w:t>
      </w:r>
    </w:p>
    <w:p w14:paraId="126F6D3F" w14:textId="77777777" w:rsidR="004910C8" w:rsidRPr="004910C8" w:rsidRDefault="004910C8" w:rsidP="004910C8">
      <w:pPr>
        <w:spacing w:after="0" w:line="240" w:lineRule="auto"/>
        <w:rPr>
          <w:rFonts w:ascii="Times New Roman" w:eastAsia="Times New Roman" w:hAnsi="Times New Roman" w:cs="Times New Roman"/>
          <w:kern w:val="0"/>
          <w14:ligatures w14:val="none"/>
        </w:rPr>
      </w:pPr>
    </w:p>
    <w:p w14:paraId="16130711" w14:textId="77777777" w:rsidR="004910C8" w:rsidRPr="004910C8" w:rsidRDefault="004910C8" w:rsidP="004910C8">
      <w:pPr>
        <w:spacing w:after="240" w:line="240" w:lineRule="auto"/>
        <w:outlineLvl w:val="2"/>
        <w:rPr>
          <w:rFonts w:ascii="Times New Roman" w:eastAsia="Times New Roman" w:hAnsi="Times New Roman" w:cs="Times New Roman"/>
          <w:b/>
          <w:bCs/>
          <w:kern w:val="0"/>
          <w:sz w:val="27"/>
          <w:szCs w:val="27"/>
          <w14:ligatures w14:val="none"/>
        </w:rPr>
      </w:pPr>
      <w:r w:rsidRPr="004910C8">
        <w:rPr>
          <w:rFonts w:ascii="Arial" w:eastAsia="Times New Roman" w:hAnsi="Arial" w:cs="Arial"/>
          <w:b/>
          <w:bCs/>
          <w:color w:val="000000"/>
          <w:kern w:val="0"/>
          <w:sz w:val="28"/>
          <w:szCs w:val="28"/>
          <w14:ligatures w14:val="none"/>
        </w:rPr>
        <w:t>Conclusion</w:t>
      </w:r>
    </w:p>
    <w:p w14:paraId="7302D909" w14:textId="77777777" w:rsidR="004910C8" w:rsidRDefault="004910C8" w:rsidP="004910C8">
      <w:pPr>
        <w:spacing w:after="0" w:line="240" w:lineRule="auto"/>
        <w:rPr>
          <w:rFonts w:ascii="Arial" w:eastAsia="Times New Roman" w:hAnsi="Arial" w:cs="Arial"/>
          <w:color w:val="000000"/>
          <w:kern w:val="0"/>
          <w:sz w:val="22"/>
          <w:szCs w:val="22"/>
          <w14:ligatures w14:val="none"/>
        </w:rPr>
      </w:pPr>
      <w:r w:rsidRPr="004910C8">
        <w:rPr>
          <w:rFonts w:ascii="Arial" w:eastAsia="Times New Roman" w:hAnsi="Arial" w:cs="Arial"/>
          <w:color w:val="000000"/>
          <w:kern w:val="0"/>
          <w:sz w:val="22"/>
          <w:szCs w:val="22"/>
          <w14:ligatures w14:val="none"/>
        </w:rPr>
        <w:t>While these proposed amendments are comprehensive, I urge the Department to ensure that the suitability review process remains robust and considers "quality of care" data from all states where an applicant or manager operates. We must ensure that a history of poor care in one state disqualifies an entity from operating in Massachusetts.</w:t>
      </w:r>
    </w:p>
    <w:p w14:paraId="4D33D648" w14:textId="77777777" w:rsidR="004910C8" w:rsidRPr="004910C8" w:rsidRDefault="004910C8" w:rsidP="004910C8">
      <w:pPr>
        <w:spacing w:after="0" w:line="240" w:lineRule="auto"/>
        <w:rPr>
          <w:rFonts w:ascii="Times New Roman" w:eastAsia="Times New Roman" w:hAnsi="Times New Roman" w:cs="Times New Roman"/>
          <w:kern w:val="0"/>
          <w14:ligatures w14:val="none"/>
        </w:rPr>
      </w:pPr>
    </w:p>
    <w:p w14:paraId="3FB50220" w14:textId="715A5509" w:rsidR="005A3226" w:rsidRDefault="004910C8">
      <w:r>
        <w:t>Sincerely,</w:t>
      </w:r>
    </w:p>
    <w:p w14:paraId="3D5D34D9" w14:textId="77777777" w:rsidR="004910C8" w:rsidRDefault="004910C8"/>
    <w:p w14:paraId="4D12547B" w14:textId="533FCA20" w:rsidR="004910C8" w:rsidRDefault="004910C8" w:rsidP="004910C8">
      <w:pPr>
        <w:contextualSpacing/>
      </w:pPr>
      <w:r>
        <w:t>Paul J. Lanzikos</w:t>
      </w:r>
    </w:p>
    <w:p w14:paraId="4E71EB6D" w14:textId="6D77B692" w:rsidR="004910C8" w:rsidRDefault="004910C8" w:rsidP="004910C8">
      <w:pPr>
        <w:contextualSpacing/>
      </w:pPr>
      <w:r>
        <w:t>35 High Street</w:t>
      </w:r>
    </w:p>
    <w:p w14:paraId="408F95C6" w14:textId="68AA7F01" w:rsidR="004910C8" w:rsidRDefault="004910C8" w:rsidP="004910C8">
      <w:pPr>
        <w:contextualSpacing/>
      </w:pPr>
      <w:r>
        <w:t>Beverly, MA 01915</w:t>
      </w:r>
    </w:p>
    <w:p w14:paraId="3050BB4F" w14:textId="46827379" w:rsidR="004910C8" w:rsidRDefault="004910C8" w:rsidP="004910C8">
      <w:pPr>
        <w:contextualSpacing/>
      </w:pPr>
      <w:r>
        <w:t>978-210-13331</w:t>
      </w:r>
    </w:p>
    <w:p w14:paraId="09C7DDD7" w14:textId="464A6ECF" w:rsidR="004910C8" w:rsidRDefault="004910C8" w:rsidP="004910C8">
      <w:pPr>
        <w:contextualSpacing/>
      </w:pPr>
      <w:hyperlink r:id="rId6" w:history="1">
        <w:r w:rsidRPr="00376BC7">
          <w:rPr>
            <w:rStyle w:val="Hyperlink"/>
          </w:rPr>
          <w:t>paul.lanzikos@gmail.com</w:t>
        </w:r>
      </w:hyperlink>
      <w:r>
        <w:t xml:space="preserve"> </w:t>
      </w:r>
    </w:p>
    <w:sectPr w:rsidR="004910C8" w:rsidSect="004910C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37DE8"/>
    <w:multiLevelType w:val="multilevel"/>
    <w:tmpl w:val="1A12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52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C8"/>
    <w:rsid w:val="00014B97"/>
    <w:rsid w:val="00230047"/>
    <w:rsid w:val="004910C8"/>
    <w:rsid w:val="005A3226"/>
    <w:rsid w:val="008A0318"/>
    <w:rsid w:val="009A7CF8"/>
    <w:rsid w:val="00BA4D4F"/>
    <w:rsid w:val="00E1136A"/>
    <w:rsid w:val="00F6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0806"/>
  <w15:chartTrackingRefBased/>
  <w15:docId w15:val="{4497F1A5-F436-4D62-93D8-F5B9B455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0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0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0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0C8"/>
    <w:rPr>
      <w:rFonts w:eastAsiaTheme="majorEastAsia" w:cstheme="majorBidi"/>
      <w:color w:val="272727" w:themeColor="text1" w:themeTint="D8"/>
    </w:rPr>
  </w:style>
  <w:style w:type="paragraph" w:styleId="Title">
    <w:name w:val="Title"/>
    <w:basedOn w:val="Normal"/>
    <w:next w:val="Normal"/>
    <w:link w:val="TitleChar"/>
    <w:uiPriority w:val="10"/>
    <w:qFormat/>
    <w:rsid w:val="00491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0C8"/>
    <w:pPr>
      <w:spacing w:before="160"/>
      <w:jc w:val="center"/>
    </w:pPr>
    <w:rPr>
      <w:i/>
      <w:iCs/>
      <w:color w:val="404040" w:themeColor="text1" w:themeTint="BF"/>
    </w:rPr>
  </w:style>
  <w:style w:type="character" w:customStyle="1" w:styleId="QuoteChar">
    <w:name w:val="Quote Char"/>
    <w:basedOn w:val="DefaultParagraphFont"/>
    <w:link w:val="Quote"/>
    <w:uiPriority w:val="29"/>
    <w:rsid w:val="004910C8"/>
    <w:rPr>
      <w:i/>
      <w:iCs/>
      <w:color w:val="404040" w:themeColor="text1" w:themeTint="BF"/>
    </w:rPr>
  </w:style>
  <w:style w:type="paragraph" w:styleId="ListParagraph">
    <w:name w:val="List Paragraph"/>
    <w:basedOn w:val="Normal"/>
    <w:uiPriority w:val="34"/>
    <w:qFormat/>
    <w:rsid w:val="004910C8"/>
    <w:pPr>
      <w:ind w:left="720"/>
      <w:contextualSpacing/>
    </w:pPr>
  </w:style>
  <w:style w:type="character" w:styleId="IntenseEmphasis">
    <w:name w:val="Intense Emphasis"/>
    <w:basedOn w:val="DefaultParagraphFont"/>
    <w:uiPriority w:val="21"/>
    <w:qFormat/>
    <w:rsid w:val="004910C8"/>
    <w:rPr>
      <w:i/>
      <w:iCs/>
      <w:color w:val="0F4761" w:themeColor="accent1" w:themeShade="BF"/>
    </w:rPr>
  </w:style>
  <w:style w:type="paragraph" w:styleId="IntenseQuote">
    <w:name w:val="Intense Quote"/>
    <w:basedOn w:val="Normal"/>
    <w:next w:val="Normal"/>
    <w:link w:val="IntenseQuoteChar"/>
    <w:uiPriority w:val="30"/>
    <w:qFormat/>
    <w:rsid w:val="00491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0C8"/>
    <w:rPr>
      <w:i/>
      <w:iCs/>
      <w:color w:val="0F4761" w:themeColor="accent1" w:themeShade="BF"/>
    </w:rPr>
  </w:style>
  <w:style w:type="character" w:styleId="IntenseReference">
    <w:name w:val="Intense Reference"/>
    <w:basedOn w:val="DefaultParagraphFont"/>
    <w:uiPriority w:val="32"/>
    <w:qFormat/>
    <w:rsid w:val="004910C8"/>
    <w:rPr>
      <w:b/>
      <w:bCs/>
      <w:smallCaps/>
      <w:color w:val="0F4761" w:themeColor="accent1" w:themeShade="BF"/>
      <w:spacing w:val="5"/>
    </w:rPr>
  </w:style>
  <w:style w:type="character" w:styleId="Hyperlink">
    <w:name w:val="Hyperlink"/>
    <w:basedOn w:val="DefaultParagraphFont"/>
    <w:uiPriority w:val="99"/>
    <w:unhideWhenUsed/>
    <w:rsid w:val="004910C8"/>
    <w:rPr>
      <w:color w:val="467886" w:themeColor="hyperlink"/>
      <w:u w:val="single"/>
    </w:rPr>
  </w:style>
  <w:style w:type="character" w:styleId="UnresolvedMention">
    <w:name w:val="Unresolved Mention"/>
    <w:basedOn w:val="DefaultParagraphFont"/>
    <w:uiPriority w:val="99"/>
    <w:semiHidden/>
    <w:unhideWhenUsed/>
    <w:rsid w:val="00491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lanzikos@gmail.com" TargetMode="External"/><Relationship Id="rId5" Type="http://schemas.openxmlformats.org/officeDocument/2006/relationships/hyperlink" Target="mailto:Reg.Testimony@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Lanzikos</dc:creator>
  <cp:keywords/>
  <dc:description/>
  <cp:lastModifiedBy>Harrison, Deborah (EHS)</cp:lastModifiedBy>
  <cp:revision>2</cp:revision>
  <dcterms:created xsi:type="dcterms:W3CDTF">2026-02-19T12:11:00Z</dcterms:created>
  <dcterms:modified xsi:type="dcterms:W3CDTF">2026-02-19T12:11:00Z</dcterms:modified>
</cp:coreProperties>
</file>