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6996" w:tblpY="-928"/>
        <w:tblOverlap w:val="never"/>
        <w:tblW w:w="4310" w:type="dxa"/>
        <w:tblInd w:w="0" w:type="dxa"/>
        <w:tblCellMar>
          <w:top w:w="2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4310"/>
      </w:tblGrid>
      <w:tr w:rsidR="00D72E64" w:rsidRPr="00E714E4" w14:paraId="4BF62BEF" w14:textId="77777777" w:rsidTr="000A4087">
        <w:trPr>
          <w:trHeight w:val="230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A92FF" w14:textId="43D93068" w:rsidR="00D72E64" w:rsidRPr="00E714E4" w:rsidRDefault="00CD06DF" w:rsidP="000A4087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714E4">
              <w:rPr>
                <w:b/>
                <w:sz w:val="22"/>
              </w:rPr>
              <w:t>Risk factors for severe COVID-19*</w:t>
            </w:r>
          </w:p>
        </w:tc>
      </w:tr>
      <w:tr w:rsidR="00D72E64" w:rsidRPr="00E714E4" w14:paraId="2F08596B" w14:textId="77777777" w:rsidTr="000A4087">
        <w:trPr>
          <w:trHeight w:val="3470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04DDC" w14:textId="1A1B5B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 xml:space="preserve">Age ≥ </w:t>
            </w:r>
            <w:r w:rsidR="006F76A3" w:rsidRPr="00E714E4">
              <w:rPr>
                <w:sz w:val="22"/>
              </w:rPr>
              <w:t xml:space="preserve">50 </w:t>
            </w:r>
            <w:r w:rsidRPr="00E714E4">
              <w:rPr>
                <w:sz w:val="22"/>
              </w:rPr>
              <w:t>years old</w:t>
            </w:r>
          </w:p>
          <w:p w14:paraId="2CB7C930" w14:textId="777777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Cancer</w:t>
            </w:r>
          </w:p>
          <w:p w14:paraId="21AE0F3B" w14:textId="777777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Chronic lung disease</w:t>
            </w:r>
          </w:p>
          <w:p w14:paraId="2D8B0747" w14:textId="777777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Chronic liver disease</w:t>
            </w:r>
          </w:p>
          <w:p w14:paraId="49A2F526" w14:textId="777777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Chronic kidney disease</w:t>
            </w:r>
          </w:p>
          <w:p w14:paraId="0BA3A227" w14:textId="777777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Diabetes</w:t>
            </w:r>
          </w:p>
          <w:p w14:paraId="1F906280" w14:textId="777777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Disabilities</w:t>
            </w:r>
          </w:p>
          <w:p w14:paraId="011F820D" w14:textId="777777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Heart disease</w:t>
            </w:r>
          </w:p>
          <w:p w14:paraId="30CCCD05" w14:textId="777777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Immunocompromise</w:t>
            </w:r>
          </w:p>
          <w:p w14:paraId="3BE1F74F" w14:textId="777777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Neurologic conditions</w:t>
            </w:r>
          </w:p>
          <w:p w14:paraId="66D96368" w14:textId="777777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Overweight/obesity</w:t>
            </w:r>
          </w:p>
          <w:p w14:paraId="3CC77CE0" w14:textId="777777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Physical inactivity</w:t>
            </w:r>
          </w:p>
          <w:p w14:paraId="4C0E6D06" w14:textId="777777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Pregnancy</w:t>
            </w:r>
          </w:p>
          <w:p w14:paraId="60795C3D" w14:textId="777777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Smoking (history of)</w:t>
            </w:r>
          </w:p>
          <w:p w14:paraId="2AD480EE" w14:textId="777777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Stroke</w:t>
            </w:r>
          </w:p>
          <w:p w14:paraId="3562EC19" w14:textId="77777777" w:rsidR="00D72E64" w:rsidRPr="00E714E4" w:rsidRDefault="00CD06DF" w:rsidP="000A4087">
            <w:pPr>
              <w:spacing w:after="0" w:line="259" w:lineRule="auto"/>
              <w:ind w:left="10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Substance use disorders</w:t>
            </w:r>
          </w:p>
        </w:tc>
      </w:tr>
      <w:tr w:rsidR="00D72E64" w:rsidRPr="00E714E4" w14:paraId="18161074" w14:textId="77777777" w:rsidTr="000A4087">
        <w:trPr>
          <w:trHeight w:val="527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B2BA5" w14:textId="77777777" w:rsidR="00D72E64" w:rsidRPr="00E714E4" w:rsidRDefault="00CD06DF" w:rsidP="000A4087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 xml:space="preserve">*For details, see: </w:t>
            </w:r>
          </w:p>
          <w:p w14:paraId="3AA6479C" w14:textId="77777777" w:rsidR="00D72E64" w:rsidRPr="00E714E4" w:rsidRDefault="004F73BC" w:rsidP="000A4087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hyperlink r:id="rId5">
              <w:r w:rsidR="00CD06DF" w:rsidRPr="00E714E4">
                <w:rPr>
                  <w:sz w:val="22"/>
                  <w:u w:val="single" w:color="205D9E"/>
                </w:rPr>
                <w:t>mass.gov/</w:t>
              </w:r>
              <w:proofErr w:type="spellStart"/>
              <w:r w:rsidR="00CD06DF" w:rsidRPr="00E714E4">
                <w:rPr>
                  <w:sz w:val="22"/>
                  <w:u w:val="single" w:color="205D9E"/>
                </w:rPr>
                <w:t>MedicalConditionsVaccine</w:t>
              </w:r>
              <w:proofErr w:type="spellEnd"/>
            </w:hyperlink>
          </w:p>
        </w:tc>
      </w:tr>
    </w:tbl>
    <w:p w14:paraId="6982E65E" w14:textId="77777777" w:rsidR="00E714E4" w:rsidRDefault="00E714E4" w:rsidP="00513C5A">
      <w:pPr>
        <w:spacing w:after="30"/>
        <w:ind w:left="15" w:right="0"/>
        <w:jc w:val="both"/>
      </w:pPr>
    </w:p>
    <w:p w14:paraId="0EB00389" w14:textId="77777777" w:rsidR="00E714E4" w:rsidRDefault="00E714E4" w:rsidP="00513C5A">
      <w:pPr>
        <w:spacing w:after="30"/>
        <w:ind w:left="15" w:right="0"/>
        <w:jc w:val="both"/>
      </w:pPr>
    </w:p>
    <w:p w14:paraId="62B55A48" w14:textId="0B1BF583" w:rsidR="00E714E4" w:rsidRDefault="00CD06DF" w:rsidP="000A4087">
      <w:pPr>
        <w:spacing w:after="100" w:afterAutospacing="1"/>
        <w:ind w:left="14" w:right="0" w:hanging="14"/>
        <w:rPr>
          <w:sz w:val="22"/>
        </w:rPr>
      </w:pPr>
      <w:r w:rsidRPr="00E714E4">
        <w:rPr>
          <w:sz w:val="22"/>
        </w:rPr>
        <w:t xml:space="preserve">Ritonavir-boosted </w:t>
      </w:r>
      <w:proofErr w:type="spellStart"/>
      <w:r w:rsidRPr="00E714E4">
        <w:rPr>
          <w:sz w:val="22"/>
        </w:rPr>
        <w:t>nirmatrelvir</w:t>
      </w:r>
      <w:proofErr w:type="spellEnd"/>
      <w:r w:rsidRPr="00E714E4">
        <w:rPr>
          <w:sz w:val="22"/>
        </w:rPr>
        <w:t xml:space="preserve"> (</w:t>
      </w:r>
      <w:proofErr w:type="spellStart"/>
      <w:r w:rsidRPr="00E714E4">
        <w:rPr>
          <w:sz w:val="22"/>
        </w:rPr>
        <w:t>Paxlovid</w:t>
      </w:r>
      <w:proofErr w:type="spellEnd"/>
      <w:r w:rsidRPr="00E714E4">
        <w:rPr>
          <w:sz w:val="22"/>
        </w:rPr>
        <w:t xml:space="preserve">) is a safe and effective oral treatment for people with COVID-19 to prevent severe disease.  </w:t>
      </w:r>
    </w:p>
    <w:p w14:paraId="2181F162" w14:textId="16840B62" w:rsidR="00D72E64" w:rsidRPr="00E714E4" w:rsidRDefault="00CD06DF" w:rsidP="000A4087">
      <w:pPr>
        <w:spacing w:after="30"/>
        <w:ind w:left="15" w:right="0"/>
        <w:rPr>
          <w:sz w:val="22"/>
        </w:rPr>
      </w:pPr>
      <w:r w:rsidRPr="00E714E4">
        <w:rPr>
          <w:b/>
          <w:sz w:val="22"/>
        </w:rPr>
        <w:t>Indications for treatment</w:t>
      </w:r>
      <w:r w:rsidR="00E714E4">
        <w:rPr>
          <w:b/>
          <w:sz w:val="22"/>
        </w:rPr>
        <w:t>:</w:t>
      </w:r>
    </w:p>
    <w:p w14:paraId="1115FBC5" w14:textId="77777777" w:rsidR="00D72E64" w:rsidRPr="00E714E4" w:rsidRDefault="00CD06DF" w:rsidP="000A4087">
      <w:pPr>
        <w:numPr>
          <w:ilvl w:val="0"/>
          <w:numId w:val="1"/>
        </w:numPr>
        <w:ind w:right="0" w:hanging="360"/>
        <w:rPr>
          <w:sz w:val="22"/>
        </w:rPr>
      </w:pPr>
      <w:r w:rsidRPr="00E714E4">
        <w:rPr>
          <w:sz w:val="22"/>
        </w:rPr>
        <w:t>Positive test for COVID-19 (rapid antigen test or nucleic acid amplification test)</w:t>
      </w:r>
    </w:p>
    <w:p w14:paraId="13686CC4" w14:textId="77777777" w:rsidR="00D72E64" w:rsidRPr="00E714E4" w:rsidRDefault="00CD06DF" w:rsidP="000A4087">
      <w:pPr>
        <w:numPr>
          <w:ilvl w:val="0"/>
          <w:numId w:val="1"/>
        </w:numPr>
        <w:ind w:right="0" w:hanging="360"/>
        <w:rPr>
          <w:sz w:val="22"/>
        </w:rPr>
      </w:pPr>
      <w:r w:rsidRPr="00E714E4">
        <w:rPr>
          <w:sz w:val="22"/>
        </w:rPr>
        <w:t>Any symptomatic infection that does not require hospitalization</w:t>
      </w:r>
    </w:p>
    <w:p w14:paraId="28215786" w14:textId="77777777" w:rsidR="00D72E64" w:rsidRPr="00E714E4" w:rsidRDefault="00CD06DF" w:rsidP="000A4087">
      <w:pPr>
        <w:numPr>
          <w:ilvl w:val="0"/>
          <w:numId w:val="1"/>
        </w:numPr>
        <w:ind w:right="0" w:hanging="360"/>
        <w:rPr>
          <w:sz w:val="22"/>
        </w:rPr>
      </w:pPr>
      <w:r w:rsidRPr="00E714E4">
        <w:rPr>
          <w:sz w:val="22"/>
        </w:rPr>
        <w:t xml:space="preserve">Within five days of symptom onset </w:t>
      </w:r>
    </w:p>
    <w:p w14:paraId="22276BA0" w14:textId="77777777" w:rsidR="00D72E64" w:rsidRPr="00E714E4" w:rsidRDefault="00CD06DF" w:rsidP="000A4087">
      <w:pPr>
        <w:numPr>
          <w:ilvl w:val="0"/>
          <w:numId w:val="1"/>
        </w:numPr>
        <w:ind w:right="0" w:hanging="360"/>
        <w:rPr>
          <w:sz w:val="22"/>
        </w:rPr>
      </w:pPr>
      <w:r w:rsidRPr="00E714E4">
        <w:rPr>
          <w:sz w:val="22"/>
        </w:rPr>
        <w:t>≥12 years old and weigh ≥40 kg</w:t>
      </w:r>
    </w:p>
    <w:p w14:paraId="5D589896" w14:textId="086AFAB6" w:rsidR="00D72E64" w:rsidRPr="00E714E4" w:rsidRDefault="00CD06DF" w:rsidP="000A4087">
      <w:pPr>
        <w:numPr>
          <w:ilvl w:val="0"/>
          <w:numId w:val="1"/>
        </w:numPr>
        <w:spacing w:after="209"/>
        <w:ind w:right="0" w:hanging="360"/>
        <w:rPr>
          <w:sz w:val="22"/>
        </w:rPr>
      </w:pPr>
      <w:r w:rsidRPr="00E714E4">
        <w:rPr>
          <w:sz w:val="22"/>
        </w:rPr>
        <w:t>Any risk factor</w:t>
      </w:r>
      <w:r w:rsidR="006F76A3" w:rsidRPr="00E714E4">
        <w:rPr>
          <w:sz w:val="22"/>
        </w:rPr>
        <w:t xml:space="preserve"> (see Table 1), including being unvaccinated or not up to date with COVID-19 vaccination</w:t>
      </w:r>
    </w:p>
    <w:p w14:paraId="2AE2ACED" w14:textId="19A6F79B" w:rsidR="00D72E64" w:rsidRPr="00E714E4" w:rsidRDefault="00CD06DF" w:rsidP="00DE736E">
      <w:pPr>
        <w:pStyle w:val="Heading1"/>
        <w:ind w:left="15"/>
        <w:rPr>
          <w:sz w:val="22"/>
        </w:rPr>
      </w:pPr>
      <w:r w:rsidRPr="00E714E4">
        <w:rPr>
          <w:sz w:val="22"/>
        </w:rPr>
        <w:t>Dosing</w:t>
      </w:r>
      <w:r w:rsidR="00E714E4">
        <w:rPr>
          <w:sz w:val="22"/>
        </w:rPr>
        <w:t>:</w:t>
      </w:r>
    </w:p>
    <w:p w14:paraId="15143595" w14:textId="00530F5E" w:rsidR="00E714E4" w:rsidRPr="00E714E4" w:rsidRDefault="00CD06DF" w:rsidP="00DE736E">
      <w:pPr>
        <w:spacing w:after="285"/>
        <w:ind w:left="15" w:right="0"/>
        <w:rPr>
          <w:sz w:val="22"/>
        </w:rPr>
      </w:pPr>
      <w:r w:rsidRPr="00E714E4">
        <w:rPr>
          <w:sz w:val="22"/>
        </w:rPr>
        <w:t xml:space="preserve">The standard dose of boosted nirmatrelvir is 300 mg of nirmatrelvir with 100 mg of ritonavir, taken twice a day for five days, dispensed as a single course in a blister pack. The dose should be reduced to nirmatrelvir 150 mg with ritonavir 100 mg twice daily in patients with moderate renal impairment (i.e., estimated glomerular filtration rate [eGFR] of ≥30 to </w:t>
      </w:r>
      <w:r w:rsidR="00DE736E">
        <w:rPr>
          <w:sz w:val="22"/>
        </w:rPr>
        <w:t xml:space="preserve">                                                                                  </w:t>
      </w:r>
      <w:r w:rsidRPr="00E714E4">
        <w:rPr>
          <w:sz w:val="22"/>
        </w:rPr>
        <w:t xml:space="preserve">&lt;60 mL/min). Ritonavir-boosted nirmatrelvir is not recommended in patients </w:t>
      </w:r>
      <w:r w:rsidR="000A4087">
        <w:rPr>
          <w:sz w:val="22"/>
        </w:rPr>
        <w:t xml:space="preserve">                                                                   </w:t>
      </w:r>
      <w:r w:rsidRPr="00E714E4">
        <w:rPr>
          <w:sz w:val="22"/>
        </w:rPr>
        <w:t>with an eGFR of &lt;30 mL/min or for patients with severe hepatic impairment (i.e., Child-Pugh Class C).</w:t>
      </w:r>
    </w:p>
    <w:p w14:paraId="6AF7A976" w14:textId="3575AACF" w:rsidR="00D72E64" w:rsidRPr="00E714E4" w:rsidRDefault="00CD06DF" w:rsidP="000A4087">
      <w:pPr>
        <w:pStyle w:val="Heading1"/>
        <w:ind w:left="15"/>
        <w:rPr>
          <w:sz w:val="22"/>
        </w:rPr>
      </w:pPr>
      <w:r w:rsidRPr="00E714E4">
        <w:rPr>
          <w:sz w:val="22"/>
        </w:rPr>
        <w:t>Adverse effects</w:t>
      </w:r>
      <w:r w:rsidR="00E714E4">
        <w:rPr>
          <w:sz w:val="22"/>
        </w:rPr>
        <w:t>:</w:t>
      </w:r>
    </w:p>
    <w:tbl>
      <w:tblPr>
        <w:tblStyle w:val="TableGrid"/>
        <w:tblpPr w:vertAnchor="page" w:horzAnchor="page"/>
        <w:tblOverlap w:val="never"/>
        <w:tblW w:w="5294" w:type="dxa"/>
        <w:tblInd w:w="0" w:type="dxa"/>
        <w:tblCellMar>
          <w:left w:w="720" w:type="dxa"/>
          <w:bottom w:w="89" w:type="dxa"/>
          <w:right w:w="115" w:type="dxa"/>
        </w:tblCellMar>
        <w:tblLook w:val="04A0" w:firstRow="1" w:lastRow="0" w:firstColumn="1" w:lastColumn="0" w:noHBand="0" w:noVBand="1"/>
      </w:tblPr>
      <w:tblGrid>
        <w:gridCol w:w="5294"/>
      </w:tblGrid>
      <w:tr w:rsidR="00D72E64" w:rsidRPr="00E714E4" w14:paraId="6CB00789" w14:textId="77777777" w:rsidTr="00E714E4">
        <w:trPr>
          <w:trHeight w:val="45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205D9E"/>
            <w:vAlign w:val="bottom"/>
          </w:tcPr>
          <w:p w14:paraId="3A2D089B" w14:textId="77777777" w:rsidR="00D72E64" w:rsidRPr="00E714E4" w:rsidRDefault="00CD06DF" w:rsidP="000A4087">
            <w:pPr>
              <w:spacing w:after="0" w:line="259" w:lineRule="auto"/>
              <w:ind w:left="0" w:right="0" w:firstLine="0"/>
              <w:rPr>
                <w:sz w:val="22"/>
              </w:rPr>
            </w:pPr>
            <w:proofErr w:type="spellStart"/>
            <w:r w:rsidRPr="00E714E4">
              <w:rPr>
                <w:b/>
                <w:color w:val="FFFFFF"/>
                <w:sz w:val="26"/>
                <w:szCs w:val="26"/>
              </w:rPr>
              <w:t>Paxlovid</w:t>
            </w:r>
            <w:proofErr w:type="spellEnd"/>
            <w:r w:rsidRPr="00E714E4">
              <w:rPr>
                <w:b/>
                <w:color w:val="FFFFFF"/>
                <w:sz w:val="26"/>
                <w:szCs w:val="26"/>
              </w:rPr>
              <w:t xml:space="preserve"> Treatment Guidance</w:t>
            </w:r>
          </w:p>
        </w:tc>
      </w:tr>
    </w:tbl>
    <w:p w14:paraId="381DFBD2" w14:textId="2690B322" w:rsidR="00D72E64" w:rsidRPr="00E714E4" w:rsidRDefault="00CD06DF" w:rsidP="000A4087">
      <w:pPr>
        <w:spacing w:after="100" w:afterAutospacing="1"/>
        <w:ind w:left="14" w:right="0" w:hanging="14"/>
        <w:rPr>
          <w:sz w:val="22"/>
        </w:rPr>
      </w:pPr>
      <w:r w:rsidRPr="00E714E4">
        <w:rPr>
          <w:sz w:val="22"/>
        </w:rPr>
        <w:t>The most common adverse effects of ritonavir-boosted nirmatrelvir are dysgeusia, diarrhea, hypertension, and myalgia.</w:t>
      </w:r>
      <w:r w:rsidR="008455E4" w:rsidRPr="00E714E4">
        <w:rPr>
          <w:sz w:val="22"/>
        </w:rPr>
        <w:t xml:space="preserve"> </w:t>
      </w:r>
      <w:r w:rsidR="00243A07" w:rsidRPr="00E714E4">
        <w:rPr>
          <w:sz w:val="22"/>
        </w:rPr>
        <w:t>Rarely</w:t>
      </w:r>
      <w:r w:rsidR="008455E4" w:rsidRPr="00E714E4">
        <w:rPr>
          <w:sz w:val="22"/>
        </w:rPr>
        <w:t xml:space="preserve"> people can develop a rebound of mild COVID-19 symptoms and positive tests after treatment.</w:t>
      </w:r>
    </w:p>
    <w:p w14:paraId="7152743D" w14:textId="7E269532" w:rsidR="00D72E64" w:rsidRPr="00E714E4" w:rsidRDefault="00CD06DF" w:rsidP="000A4087">
      <w:pPr>
        <w:pStyle w:val="Heading1"/>
        <w:ind w:left="15"/>
        <w:rPr>
          <w:sz w:val="22"/>
        </w:rPr>
      </w:pPr>
      <w:r w:rsidRPr="00E714E4">
        <w:rPr>
          <w:sz w:val="22"/>
        </w:rPr>
        <w:t>Drug-drug interactions</w:t>
      </w:r>
      <w:r w:rsidR="00E714E4">
        <w:rPr>
          <w:sz w:val="22"/>
        </w:rPr>
        <w:t>:</w:t>
      </w:r>
    </w:p>
    <w:p w14:paraId="034236E9" w14:textId="77777777" w:rsidR="00D72E64" w:rsidRPr="00E714E4" w:rsidRDefault="00CD06DF" w:rsidP="000A4087">
      <w:pPr>
        <w:spacing w:after="68"/>
        <w:ind w:left="15" w:right="0"/>
        <w:rPr>
          <w:sz w:val="22"/>
        </w:rPr>
      </w:pPr>
      <w:r w:rsidRPr="00E714E4">
        <w:rPr>
          <w:sz w:val="22"/>
        </w:rPr>
        <w:t>Ritonavir-boosted nirmatrelvir has significant drug-drug interactions with some medications, primarily due to the ritonavir component. Before prescribing ritonavir-boosted nirmatrelvir, clinicians should carefully review the patient’s concomitant medications, including over-the-counter medicines, herbal supplements, and recreational drugs.</w:t>
      </w:r>
    </w:p>
    <w:p w14:paraId="3103DEBC" w14:textId="77777777" w:rsidR="00E714E4" w:rsidRDefault="00E714E4" w:rsidP="00513C5A">
      <w:pPr>
        <w:spacing w:after="0" w:line="259" w:lineRule="auto"/>
        <w:ind w:left="291" w:right="0" w:firstLine="0"/>
        <w:jc w:val="both"/>
        <w:rPr>
          <w:b/>
          <w:sz w:val="22"/>
        </w:rPr>
      </w:pPr>
    </w:p>
    <w:p w14:paraId="1E4127BE" w14:textId="4C8F502E" w:rsidR="00D72E64" w:rsidRPr="00E714E4" w:rsidRDefault="00BD684B" w:rsidP="00513C5A">
      <w:pPr>
        <w:spacing w:after="0" w:line="259" w:lineRule="auto"/>
        <w:ind w:left="291" w:right="0" w:firstLine="0"/>
        <w:jc w:val="both"/>
        <w:rPr>
          <w:sz w:val="22"/>
        </w:rPr>
      </w:pPr>
      <w:r w:rsidRPr="00E714E4">
        <w:rPr>
          <w:b/>
          <w:sz w:val="22"/>
        </w:rPr>
        <w:t xml:space="preserve">Table 2. </w:t>
      </w:r>
      <w:r w:rsidR="00CD06DF" w:rsidRPr="00E714E4">
        <w:rPr>
          <w:b/>
          <w:sz w:val="22"/>
        </w:rPr>
        <w:t>Common concomitant medications that interact with ritonavir-booster nirmatrelvir</w:t>
      </w:r>
    </w:p>
    <w:tbl>
      <w:tblPr>
        <w:tblStyle w:val="TableGrid"/>
        <w:tblW w:w="10620" w:type="dxa"/>
        <w:tblInd w:w="-10" w:type="dxa"/>
        <w:tblCellMar>
          <w:top w:w="125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4050"/>
        <w:gridCol w:w="3510"/>
        <w:gridCol w:w="3060"/>
      </w:tblGrid>
      <w:tr w:rsidR="00D72E64" w:rsidRPr="00E714E4" w14:paraId="41B30513" w14:textId="77777777" w:rsidTr="00C84C0C">
        <w:trPr>
          <w:trHeight w:val="485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E661D" w14:textId="476AB86E" w:rsidR="00D72E64" w:rsidRPr="00E714E4" w:rsidRDefault="00CD06DF" w:rsidP="00C84C0C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714E4">
              <w:rPr>
                <w:b/>
                <w:sz w:val="22"/>
              </w:rPr>
              <w:t>Temporarily</w:t>
            </w:r>
            <w:r w:rsidR="00C84C0C">
              <w:rPr>
                <w:b/>
                <w:sz w:val="22"/>
              </w:rPr>
              <w:t xml:space="preserve"> </w:t>
            </w:r>
            <w:r w:rsidRPr="00E714E4">
              <w:rPr>
                <w:b/>
                <w:sz w:val="22"/>
              </w:rPr>
              <w:t>withhold, if clinically appropriate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038F6" w14:textId="77777777" w:rsidR="00D72E64" w:rsidRPr="00E714E4" w:rsidRDefault="00CD06DF" w:rsidP="00C84C0C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714E4">
              <w:rPr>
                <w:b/>
                <w:sz w:val="22"/>
              </w:rPr>
              <w:t>Alternative COVID-19 therapy recommended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5E159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b/>
                <w:sz w:val="22"/>
              </w:rPr>
              <w:t>Adjust dose and monitor</w:t>
            </w:r>
          </w:p>
        </w:tc>
      </w:tr>
      <w:tr w:rsidR="00D72E64" w:rsidRPr="00E714E4" w14:paraId="438F2A3B" w14:textId="77777777" w:rsidTr="00C84C0C">
        <w:trPr>
          <w:trHeight w:val="1862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67968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Chemotherapy</w:t>
            </w:r>
          </w:p>
          <w:p w14:paraId="3DFC338B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Clonazepam</w:t>
            </w:r>
          </w:p>
          <w:p w14:paraId="0F522E25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Colchicine</w:t>
            </w:r>
          </w:p>
          <w:p w14:paraId="5EC10254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HMG-CoA reductase inhibitors (statins)</w:t>
            </w:r>
          </w:p>
          <w:p w14:paraId="2D8335E5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proofErr w:type="spellStart"/>
            <w:r w:rsidRPr="00E714E4">
              <w:rPr>
                <w:sz w:val="22"/>
              </w:rPr>
              <w:t>Rivaroxiban</w:t>
            </w:r>
            <w:proofErr w:type="spellEnd"/>
          </w:p>
          <w:p w14:paraId="1DB762D1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Salmeterol</w:t>
            </w:r>
          </w:p>
          <w:p w14:paraId="1F56B07D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Tacrolimus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D669A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Amiodarone</w:t>
            </w:r>
          </w:p>
          <w:p w14:paraId="0C160ED2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Carbamazepine</w:t>
            </w:r>
          </w:p>
          <w:p w14:paraId="45433ED8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Clopidogrel</w:t>
            </w:r>
          </w:p>
          <w:p w14:paraId="3FCEB2EB" w14:textId="77777777" w:rsidR="00D72E64" w:rsidRPr="00E714E4" w:rsidRDefault="00CD06DF" w:rsidP="00513C5A">
            <w:pPr>
              <w:spacing w:after="0" w:line="254" w:lineRule="auto"/>
              <w:ind w:left="0" w:right="1274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Clozapine Phenytoin</w:t>
            </w:r>
          </w:p>
          <w:p w14:paraId="77B2C207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Rifampin</w:t>
            </w:r>
          </w:p>
          <w:p w14:paraId="1FCA6C86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St. John’s Wort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20C66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Amlodipine</w:t>
            </w:r>
          </w:p>
          <w:p w14:paraId="509275FA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proofErr w:type="spellStart"/>
            <w:r w:rsidRPr="00E714E4">
              <w:rPr>
                <w:sz w:val="22"/>
              </w:rPr>
              <w:t>Apixiban</w:t>
            </w:r>
            <w:proofErr w:type="spellEnd"/>
          </w:p>
          <w:p w14:paraId="1DC4D841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Cyclosporine</w:t>
            </w:r>
          </w:p>
          <w:p w14:paraId="23A906B0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Digoxin</w:t>
            </w:r>
          </w:p>
          <w:p w14:paraId="267255F2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Oxycodone</w:t>
            </w:r>
          </w:p>
          <w:p w14:paraId="0B57EDBF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Tamsulosin</w:t>
            </w:r>
          </w:p>
          <w:p w14:paraId="47488124" w14:textId="77777777" w:rsidR="00D72E64" w:rsidRPr="00E714E4" w:rsidRDefault="00CD06DF" w:rsidP="00513C5A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714E4">
              <w:rPr>
                <w:sz w:val="22"/>
              </w:rPr>
              <w:t>Trazadone</w:t>
            </w:r>
          </w:p>
        </w:tc>
      </w:tr>
    </w:tbl>
    <w:p w14:paraId="6653DF57" w14:textId="3229501D" w:rsidR="00D72E64" w:rsidRDefault="00D72E64" w:rsidP="00513C5A">
      <w:pPr>
        <w:ind w:left="15" w:right="0"/>
        <w:jc w:val="both"/>
        <w:rPr>
          <w:sz w:val="22"/>
        </w:rPr>
      </w:pPr>
    </w:p>
    <w:tbl>
      <w:tblPr>
        <w:tblStyle w:val="TableGrid0"/>
        <w:tblW w:w="1125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3"/>
        <w:gridCol w:w="2047"/>
      </w:tblGrid>
      <w:tr w:rsidR="00513C5A" w14:paraId="35D6C835" w14:textId="77777777" w:rsidTr="00513C5A">
        <w:trPr>
          <w:trHeight w:val="1700"/>
        </w:trPr>
        <w:tc>
          <w:tcPr>
            <w:tcW w:w="9203" w:type="dxa"/>
          </w:tcPr>
          <w:p w14:paraId="62BAEA12" w14:textId="77777777" w:rsidR="00513C5A" w:rsidRDefault="00513C5A" w:rsidP="006270A0">
            <w:pPr>
              <w:ind w:left="15" w:right="0"/>
              <w:jc w:val="both"/>
              <w:rPr>
                <w:sz w:val="22"/>
              </w:rPr>
            </w:pPr>
          </w:p>
          <w:p w14:paraId="2B356F5E" w14:textId="463E6524" w:rsidR="00513C5A" w:rsidRDefault="00513C5A" w:rsidP="000A4087">
            <w:pPr>
              <w:ind w:left="15" w:right="0"/>
              <w:rPr>
                <w:sz w:val="22"/>
              </w:rPr>
            </w:pPr>
            <w:r w:rsidRPr="00BF079C">
              <w:rPr>
                <w:sz w:val="22"/>
              </w:rPr>
              <w:t xml:space="preserve">This table is not a comprehensive list of all the drugs that may interact with ritonavir boosted </w:t>
            </w:r>
            <w:proofErr w:type="spellStart"/>
            <w:r w:rsidRPr="00BF079C">
              <w:rPr>
                <w:sz w:val="22"/>
              </w:rPr>
              <w:t>nirmatrelvir</w:t>
            </w:r>
            <w:proofErr w:type="spellEnd"/>
            <w:r w:rsidRPr="00BF079C">
              <w:rPr>
                <w:sz w:val="22"/>
              </w:rPr>
              <w:t>. This table focuses on common concomitant medications that may be prescribed in the outpatient setting. Clinicians should refer to resources such as the</w:t>
            </w:r>
            <w:hyperlink r:id="rId6">
              <w:r w:rsidRPr="00BF079C">
                <w:rPr>
                  <w:sz w:val="22"/>
                </w:rPr>
                <w:t xml:space="preserve"> </w:t>
              </w:r>
            </w:hyperlink>
            <w:hyperlink r:id="rId7">
              <w:r w:rsidRPr="00BF079C">
                <w:rPr>
                  <w:sz w:val="22"/>
                  <w:u w:val="single" w:color="205D9E"/>
                </w:rPr>
                <w:t>Liverpool COVID-19 Drug Interactions website</w:t>
              </w:r>
            </w:hyperlink>
            <w:r w:rsidRPr="00BF079C">
              <w:rPr>
                <w:sz w:val="22"/>
              </w:rPr>
              <w:t xml:space="preserve">, the </w:t>
            </w:r>
            <w:hyperlink r:id="rId8" w:history="1">
              <w:r w:rsidRPr="00BF079C">
                <w:rPr>
                  <w:rStyle w:val="Hyperlink"/>
                  <w:sz w:val="22"/>
                </w:rPr>
                <w:t>University of Waterloo drug interaction guide</w:t>
              </w:r>
            </w:hyperlink>
            <w:r w:rsidRPr="00BF079C">
              <w:rPr>
                <w:sz w:val="22"/>
              </w:rPr>
              <w:t>, and the</w:t>
            </w:r>
            <w:hyperlink r:id="rId9">
              <w:r w:rsidRPr="00BF079C">
                <w:rPr>
                  <w:sz w:val="22"/>
                </w:rPr>
                <w:t xml:space="preserve"> </w:t>
              </w:r>
            </w:hyperlink>
            <w:hyperlink r:id="rId10">
              <w:r w:rsidRPr="00BF079C">
                <w:rPr>
                  <w:sz w:val="22"/>
                  <w:u w:val="single" w:color="205D9E"/>
                </w:rPr>
                <w:t>EUA fact sheet</w:t>
              </w:r>
            </w:hyperlink>
            <w:r w:rsidRPr="00BF079C">
              <w:rPr>
                <w:sz w:val="22"/>
              </w:rPr>
              <w:t xml:space="preserve"> for ritonavir boosted </w:t>
            </w:r>
            <w:proofErr w:type="spellStart"/>
            <w:r w:rsidRPr="00BF079C">
              <w:rPr>
                <w:sz w:val="22"/>
              </w:rPr>
              <w:t>nirmatrelvir</w:t>
            </w:r>
            <w:proofErr w:type="spellEnd"/>
            <w:r w:rsidRPr="00BF079C">
              <w:rPr>
                <w:sz w:val="22"/>
              </w:rPr>
              <w:t xml:space="preserve"> for additional guidance regarding potential drug-drug interactions.</w:t>
            </w:r>
          </w:p>
          <w:p w14:paraId="3BFE27CA" w14:textId="77777777" w:rsidR="00513C5A" w:rsidRDefault="00513C5A" w:rsidP="006270A0">
            <w:pPr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047" w:type="dxa"/>
          </w:tcPr>
          <w:p w14:paraId="04C6240B" w14:textId="260C8120" w:rsidR="00513C5A" w:rsidRPr="00513C5A" w:rsidRDefault="00513C5A" w:rsidP="00513C5A">
            <w:pPr>
              <w:spacing w:after="0"/>
              <w:ind w:left="0" w:right="0" w:firstLine="0"/>
              <w:contextualSpacing/>
              <w:jc w:val="center"/>
              <w:rPr>
                <w:sz w:val="20"/>
                <w:szCs w:val="20"/>
              </w:rPr>
            </w:pPr>
            <w:r w:rsidRPr="00513C5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0" wp14:anchorId="0BCB78F1" wp14:editId="5638A3EB">
                  <wp:simplePos x="0" y="0"/>
                  <wp:positionH relativeFrom="column">
                    <wp:posOffset>132129</wp:posOffset>
                  </wp:positionH>
                  <wp:positionV relativeFrom="paragraph">
                    <wp:posOffset>123825</wp:posOffset>
                  </wp:positionV>
                  <wp:extent cx="919480" cy="890905"/>
                  <wp:effectExtent l="0" t="0" r="0" b="4445"/>
                  <wp:wrapTight wrapText="bothSides">
                    <wp:wrapPolygon edited="0">
                      <wp:start x="0" y="0"/>
                      <wp:lineTo x="0" y="21246"/>
                      <wp:lineTo x="21033" y="21246"/>
                      <wp:lineTo x="21033" y="0"/>
                      <wp:lineTo x="0" y="0"/>
                    </wp:wrapPolygon>
                  </wp:wrapTight>
                  <wp:docPr id="2673" name="Picture 2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" name="Picture 267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480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3C5A">
              <w:rPr>
                <w:sz w:val="20"/>
                <w:szCs w:val="20"/>
              </w:rPr>
              <w:t>NOV</w:t>
            </w:r>
            <w:r w:rsidR="00704588">
              <w:rPr>
                <w:sz w:val="20"/>
                <w:szCs w:val="20"/>
              </w:rPr>
              <w:t>EMBER</w:t>
            </w:r>
            <w:r w:rsidRPr="00513C5A">
              <w:rPr>
                <w:sz w:val="20"/>
                <w:szCs w:val="20"/>
              </w:rPr>
              <w:t xml:space="preserve"> 2022</w:t>
            </w:r>
          </w:p>
          <w:p w14:paraId="20494488" w14:textId="10BBA681" w:rsidR="00513C5A" w:rsidRDefault="00513C5A" w:rsidP="006270A0">
            <w:pPr>
              <w:ind w:left="0" w:right="0" w:firstLine="0"/>
              <w:jc w:val="center"/>
              <w:rPr>
                <w:sz w:val="22"/>
              </w:rPr>
            </w:pPr>
          </w:p>
        </w:tc>
      </w:tr>
    </w:tbl>
    <w:p w14:paraId="0B9DDECD" w14:textId="50222925" w:rsidR="00513C5A" w:rsidRPr="00BF079C" w:rsidRDefault="00513C5A" w:rsidP="00513C5A">
      <w:pPr>
        <w:ind w:left="15" w:right="0"/>
        <w:jc w:val="both"/>
        <w:rPr>
          <w:sz w:val="22"/>
        </w:rPr>
      </w:pPr>
    </w:p>
    <w:sectPr w:rsidR="00513C5A" w:rsidRPr="00BF079C" w:rsidSect="00513C5A">
      <w:pgSz w:w="12240" w:h="15840"/>
      <w:pgMar w:top="0" w:right="994" w:bottom="432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82A69"/>
    <w:multiLevelType w:val="hybridMultilevel"/>
    <w:tmpl w:val="7BAE2EFC"/>
    <w:lvl w:ilvl="0" w:tplc="EE9EBDB0">
      <w:start w:val="1"/>
      <w:numFmt w:val="decimal"/>
      <w:lvlText w:val="%1."/>
      <w:lvlJc w:val="left"/>
      <w:pPr>
        <w:ind w:left="375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205D9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4C094">
      <w:start w:val="1"/>
      <w:numFmt w:val="lowerLetter"/>
      <w:lvlText w:val="%2"/>
      <w:lvlJc w:val="left"/>
      <w:pPr>
        <w:ind w:left="1095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205D9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7013A0">
      <w:start w:val="1"/>
      <w:numFmt w:val="lowerRoman"/>
      <w:lvlText w:val="%3"/>
      <w:lvlJc w:val="left"/>
      <w:pPr>
        <w:ind w:left="1815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205D9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4698D2">
      <w:start w:val="1"/>
      <w:numFmt w:val="decimal"/>
      <w:lvlText w:val="%4"/>
      <w:lvlJc w:val="left"/>
      <w:pPr>
        <w:ind w:left="2535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205D9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83B54">
      <w:start w:val="1"/>
      <w:numFmt w:val="lowerLetter"/>
      <w:lvlText w:val="%5"/>
      <w:lvlJc w:val="left"/>
      <w:pPr>
        <w:ind w:left="3255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205D9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0B098">
      <w:start w:val="1"/>
      <w:numFmt w:val="lowerRoman"/>
      <w:lvlText w:val="%6"/>
      <w:lvlJc w:val="left"/>
      <w:pPr>
        <w:ind w:left="3975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205D9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239F2">
      <w:start w:val="1"/>
      <w:numFmt w:val="decimal"/>
      <w:lvlText w:val="%7"/>
      <w:lvlJc w:val="left"/>
      <w:pPr>
        <w:ind w:left="4695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205D9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46468">
      <w:start w:val="1"/>
      <w:numFmt w:val="lowerLetter"/>
      <w:lvlText w:val="%8"/>
      <w:lvlJc w:val="left"/>
      <w:pPr>
        <w:ind w:left="5415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205D9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44468">
      <w:start w:val="1"/>
      <w:numFmt w:val="lowerRoman"/>
      <w:lvlText w:val="%9"/>
      <w:lvlJc w:val="left"/>
      <w:pPr>
        <w:ind w:left="6135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205D9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64"/>
    <w:rsid w:val="000A4087"/>
    <w:rsid w:val="000A4826"/>
    <w:rsid w:val="00243A07"/>
    <w:rsid w:val="004F73BC"/>
    <w:rsid w:val="00513C5A"/>
    <w:rsid w:val="005672C1"/>
    <w:rsid w:val="006F76A3"/>
    <w:rsid w:val="00704588"/>
    <w:rsid w:val="007C1C79"/>
    <w:rsid w:val="008455E4"/>
    <w:rsid w:val="00872282"/>
    <w:rsid w:val="008D43A3"/>
    <w:rsid w:val="00BD684B"/>
    <w:rsid w:val="00BF079C"/>
    <w:rsid w:val="00C84C0C"/>
    <w:rsid w:val="00CD06DF"/>
    <w:rsid w:val="00D72E64"/>
    <w:rsid w:val="00DE736E"/>
    <w:rsid w:val="00E714E4"/>
    <w:rsid w:val="00EE0999"/>
    <w:rsid w:val="00F2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4CD8"/>
  <w15:docId w15:val="{D56611F3-2D7E-4F96-B689-8FFC15ED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7" w:lineRule="auto"/>
      <w:ind w:left="30" w:right="4406" w:hanging="10"/>
    </w:pPr>
    <w:rPr>
      <w:rFonts w:ascii="Franklin Gothic" w:eastAsia="Franklin Gothic" w:hAnsi="Franklin Gothic" w:cs="Franklin Gothic"/>
      <w:color w:val="205D9E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0" w:hanging="10"/>
      <w:outlineLvl w:val="0"/>
    </w:pPr>
    <w:rPr>
      <w:rFonts w:ascii="Franklin Gothic" w:eastAsia="Franklin Gothic" w:hAnsi="Franklin Gothic" w:cs="Franklin Gothic"/>
      <w:b/>
      <w:color w:val="205D9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Franklin Gothic" w:eastAsia="Franklin Gothic" w:hAnsi="Franklin Gothic" w:cs="Franklin Gothic"/>
      <w:b/>
      <w:color w:val="205D9E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F76A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43A07"/>
    <w:pPr>
      <w:spacing w:after="0" w:line="240" w:lineRule="auto"/>
    </w:pPr>
    <w:rPr>
      <w:rFonts w:ascii="Franklin Gothic" w:eastAsia="Franklin Gothic" w:hAnsi="Franklin Gothic" w:cs="Franklin Gothic"/>
      <w:color w:val="205D9E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3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A07"/>
    <w:rPr>
      <w:rFonts w:ascii="Franklin Gothic" w:eastAsia="Franklin Gothic" w:hAnsi="Franklin Gothic" w:cs="Franklin Gothic"/>
      <w:color w:val="205D9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A07"/>
    <w:rPr>
      <w:rFonts w:ascii="Franklin Gothic" w:eastAsia="Franklin Gothic" w:hAnsi="Franklin Gothic" w:cs="Franklin Gothic"/>
      <w:b/>
      <w:bCs/>
      <w:color w:val="205D9E"/>
      <w:sz w:val="20"/>
      <w:szCs w:val="20"/>
    </w:rPr>
  </w:style>
  <w:style w:type="table" w:styleId="TableGrid0">
    <w:name w:val="Table Grid"/>
    <w:basedOn w:val="TableNormal"/>
    <w:uiPriority w:val="39"/>
    <w:rsid w:val="0051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19-sciencetable.ca/wp-content/uploads/2022/06/NirmatrelvirRitonavir-Paxlovid-What-Prescribers-and-Pharmacists-Need-to-Know-with-Appendix_20220606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vid19-druginteractions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vid19-druginteractions.org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mass.gov/MedicalConditionsVaccine" TargetMode="External"/><Relationship Id="rId10" Type="http://schemas.openxmlformats.org/officeDocument/2006/relationships/hyperlink" Target="https://www.fda.gov/media/155050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media/155050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Manwai (DPH)</dc:creator>
  <cp:keywords/>
  <cp:lastModifiedBy>Leung, Manwai (DPH)</cp:lastModifiedBy>
  <cp:revision>2</cp:revision>
  <dcterms:created xsi:type="dcterms:W3CDTF">2022-11-22T21:19:00Z</dcterms:created>
  <dcterms:modified xsi:type="dcterms:W3CDTF">2022-11-22T21:19:00Z</dcterms:modified>
</cp:coreProperties>
</file>