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40" w:type="dxa"/>
        <w:tblInd w:w="93" w:type="dxa"/>
        <w:tblLook w:val="04A0" w:firstRow="1" w:lastRow="0" w:firstColumn="1" w:lastColumn="0" w:noHBand="0" w:noVBand="1"/>
      </w:tblPr>
      <w:tblGrid>
        <w:gridCol w:w="2200"/>
        <w:gridCol w:w="6540"/>
      </w:tblGrid>
      <w:tr w:rsidR="003750D7" w:rsidRPr="003750D7" w:rsidTr="003750D7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3750D7">
              <w:rPr>
                <w:rFonts w:ascii="Calibri" w:eastAsia="Times New Roman" w:hAnsi="Calibri" w:cs="Times New Roman"/>
                <w:b/>
                <w:bCs/>
                <w:color w:val="000000"/>
              </w:rPr>
              <w:t>Payment Model Design Work Group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b/>
                <w:bCs/>
                <w:color w:val="000000"/>
              </w:rPr>
              <w:t>Individual</w:t>
            </w:r>
          </w:p>
        </w:tc>
        <w:tc>
          <w:tcPr>
            <w:tcW w:w="6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b/>
                <w:bCs/>
                <w:color w:val="000000"/>
              </w:rPr>
              <w:t>Organization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50D7" w:rsidRPr="003750D7" w:rsidRDefault="003750D7" w:rsidP="003750D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Ash, Arlene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University of Massachusetts Medical School 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Browne, Elizabeth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Joseph Smith Community Health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Cancemi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Maureen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Greater Boston Legal Services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Carey, Andrea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Bay Care Health Partners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Carney, Jenny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Beth Israel Deaconess Care Organization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Chu, Gary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New England College of Optometry/New England Eye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Doran, Laurie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Boston Medical Center </w:t>
            </w: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HealthNet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Plan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Durante, Robert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Element Care Inc.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Ebersole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Robert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Lowell Community Health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Farren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Kathleen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Tufts Medical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Hallisey, Kenneth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Lahey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Hospital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Hambley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Mark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Tufts/Network Health 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Handler, Jeff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SMOC Behavioral Health Care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Heaphy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Dennis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Disability Advocates Advancing our Healthcare Rights 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Hoch, Robert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Harbor Health Systems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Jung, Yi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Codman Square Community Health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Kosior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Robert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Health New England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Lanzikos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Paul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North Shore Elder Services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Leung, Agnes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Boston Health Care for the Homeless Program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Medalie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Marsha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Riverside Community Care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</w:rPr>
              <w:t>Meran</w:t>
            </w:r>
            <w:proofErr w:type="spellEnd"/>
            <w:r w:rsidRPr="003750D7">
              <w:rPr>
                <w:rFonts w:ascii="Calibri" w:eastAsia="Times New Roman" w:hAnsi="Calibri" w:cs="Times New Roman"/>
              </w:rPr>
              <w:t xml:space="preserve">, </w:t>
            </w:r>
            <w:proofErr w:type="spellStart"/>
            <w:r w:rsidRPr="003750D7">
              <w:rPr>
                <w:rFonts w:ascii="Calibri" w:eastAsia="Times New Roman" w:hAnsi="Calibri" w:cs="Times New Roman"/>
              </w:rPr>
              <w:t>Ezquiel</w:t>
            </w:r>
            <w:proofErr w:type="spellEnd"/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Amigos Home Care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Moscato, Mary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Hebrew Rehabilitation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Nickey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Michael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Fallon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Nordahl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>, Kate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Blue Cross and Blue Shield Foundation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Schweitzer, Alexandra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3750D7">
              <w:rPr>
                <w:rFonts w:ascii="Calibri" w:eastAsia="Times New Roman" w:hAnsi="Calibri" w:cs="Times New Roman"/>
                <w:color w:val="000000"/>
              </w:rPr>
              <w:t>Iora</w:t>
            </w:r>
            <w:proofErr w:type="spellEnd"/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Health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Shetty, Sanjay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Steward Healthcare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Silva, Paul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>Holyoke Medical Center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50D7" w:rsidRPr="003750D7" w:rsidTr="003750D7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EOHHS, sister state agencies, as well as state legislative leads and staff will also be involved </w:t>
            </w:r>
          </w:p>
        </w:tc>
      </w:tr>
      <w:tr w:rsidR="003750D7" w:rsidRPr="003750D7" w:rsidTr="003750D7">
        <w:trPr>
          <w:trHeight w:val="300"/>
        </w:trPr>
        <w:tc>
          <w:tcPr>
            <w:tcW w:w="8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gramStart"/>
            <w:r w:rsidRPr="003750D7">
              <w:rPr>
                <w:rFonts w:ascii="Calibri" w:eastAsia="Times New Roman" w:hAnsi="Calibri" w:cs="Times New Roman"/>
                <w:color w:val="000000"/>
              </w:rPr>
              <w:t>in</w:t>
            </w:r>
            <w:proofErr w:type="gramEnd"/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various work groups. </w:t>
            </w: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750D7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750D7" w:rsidRPr="003750D7" w:rsidTr="003750D7">
        <w:trPr>
          <w:trHeight w:val="30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750D7" w:rsidRPr="003750D7" w:rsidRDefault="003750D7" w:rsidP="003750D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774CE2" w:rsidRDefault="00774CE2"/>
    <w:sectPr w:rsidR="00774C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0D7"/>
    <w:rsid w:val="003750D7"/>
    <w:rsid w:val="0077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2015-10-01T15:09:00Z</dcterms:created>
  <dc:creator>AutoBVT</dc:creator>
  <lastModifiedBy>AutoBVT</lastModifiedBy>
  <dcterms:modified xsi:type="dcterms:W3CDTF">2015-10-01T15:09:00Z</dcterms:modified>
  <revision>1</revision>
</coreProperties>
</file>