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5C768" w14:textId="77777777" w:rsidR="0038672C" w:rsidRPr="00176722" w:rsidRDefault="0038672C" w:rsidP="0038672C">
      <w:pPr>
        <w:rPr>
          <w:sz w:val="22"/>
          <w:szCs w:val="22"/>
        </w:rPr>
      </w:pPr>
      <w:bookmarkStart w:id="0" w:name="_GoBack"/>
      <w:bookmarkEnd w:id="0"/>
      <w:r w:rsidRPr="00176722">
        <w:rPr>
          <w:sz w:val="22"/>
          <w:szCs w:val="22"/>
        </w:rPr>
        <w:t>Section</w:t>
      </w:r>
    </w:p>
    <w:p w14:paraId="330FDB37" w14:textId="11765D63" w:rsidR="0038672C" w:rsidRPr="00176722" w:rsidRDefault="004730DA" w:rsidP="0038672C">
      <w:pPr>
        <w:rPr>
          <w:sz w:val="22"/>
          <w:szCs w:val="22"/>
        </w:rPr>
      </w:pPr>
      <w:r>
        <w:rPr>
          <w:sz w:val="22"/>
          <w:szCs w:val="22"/>
        </w:rPr>
        <w:t>3</w:t>
      </w:r>
      <w:r w:rsidR="0038672C">
        <w:rPr>
          <w:sz w:val="22"/>
          <w:szCs w:val="22"/>
        </w:rPr>
        <w:t>5</w:t>
      </w:r>
      <w:r w:rsidR="0007459D">
        <w:rPr>
          <w:sz w:val="22"/>
          <w:szCs w:val="22"/>
        </w:rPr>
        <w:t>3</w:t>
      </w:r>
      <w:r w:rsidR="00433DB1">
        <w:rPr>
          <w:sz w:val="22"/>
          <w:szCs w:val="22"/>
        </w:rPr>
        <w:t>.01:  </w:t>
      </w:r>
      <w:r w:rsidR="0038672C" w:rsidRPr="00176722">
        <w:rPr>
          <w:sz w:val="22"/>
          <w:szCs w:val="22"/>
        </w:rPr>
        <w:t>General Provisions</w:t>
      </w:r>
    </w:p>
    <w:p w14:paraId="02599F2E" w14:textId="08EF497D" w:rsidR="0038672C" w:rsidRPr="00176722" w:rsidRDefault="004730DA" w:rsidP="0038672C">
      <w:pPr>
        <w:rPr>
          <w:sz w:val="22"/>
          <w:szCs w:val="22"/>
        </w:rPr>
      </w:pPr>
      <w:r>
        <w:rPr>
          <w:sz w:val="22"/>
          <w:szCs w:val="22"/>
        </w:rPr>
        <w:t>3</w:t>
      </w:r>
      <w:r w:rsidR="0038672C">
        <w:rPr>
          <w:sz w:val="22"/>
          <w:szCs w:val="22"/>
        </w:rPr>
        <w:t>5</w:t>
      </w:r>
      <w:r w:rsidR="0007459D">
        <w:rPr>
          <w:sz w:val="22"/>
          <w:szCs w:val="22"/>
        </w:rPr>
        <w:t>3</w:t>
      </w:r>
      <w:r w:rsidR="00433DB1">
        <w:rPr>
          <w:sz w:val="22"/>
          <w:szCs w:val="22"/>
        </w:rPr>
        <w:t>.02: </w:t>
      </w:r>
      <w:r w:rsidR="0038672C" w:rsidRPr="00176722">
        <w:rPr>
          <w:sz w:val="22"/>
          <w:szCs w:val="22"/>
        </w:rPr>
        <w:t> General Definitions</w:t>
      </w:r>
    </w:p>
    <w:p w14:paraId="433C6527" w14:textId="45E3A3EB" w:rsidR="0038672C" w:rsidRDefault="004730DA" w:rsidP="0038672C">
      <w:pPr>
        <w:rPr>
          <w:sz w:val="22"/>
          <w:szCs w:val="22"/>
        </w:rPr>
      </w:pPr>
      <w:r>
        <w:rPr>
          <w:sz w:val="22"/>
          <w:szCs w:val="22"/>
        </w:rPr>
        <w:t>3</w:t>
      </w:r>
      <w:r w:rsidR="0038672C">
        <w:rPr>
          <w:sz w:val="22"/>
          <w:szCs w:val="22"/>
        </w:rPr>
        <w:t>5</w:t>
      </w:r>
      <w:r w:rsidR="0007459D">
        <w:rPr>
          <w:sz w:val="22"/>
          <w:szCs w:val="22"/>
        </w:rPr>
        <w:t>3</w:t>
      </w:r>
      <w:r w:rsidR="00433DB1">
        <w:rPr>
          <w:sz w:val="22"/>
          <w:szCs w:val="22"/>
        </w:rPr>
        <w:t>.03:  </w:t>
      </w:r>
      <w:r w:rsidR="0038672C">
        <w:rPr>
          <w:sz w:val="22"/>
          <w:szCs w:val="22"/>
        </w:rPr>
        <w:t>General Payment</w:t>
      </w:r>
      <w:r w:rsidR="0038672C" w:rsidRPr="00176722">
        <w:rPr>
          <w:sz w:val="22"/>
          <w:szCs w:val="22"/>
        </w:rPr>
        <w:t xml:space="preserve"> Provisions</w:t>
      </w:r>
    </w:p>
    <w:p w14:paraId="7F0160E8" w14:textId="2A5F6E93" w:rsidR="009C225C" w:rsidRPr="00176722" w:rsidRDefault="00433DB1" w:rsidP="0038672C">
      <w:pPr>
        <w:rPr>
          <w:sz w:val="22"/>
          <w:szCs w:val="22"/>
        </w:rPr>
      </w:pPr>
      <w:r>
        <w:rPr>
          <w:sz w:val="22"/>
          <w:szCs w:val="22"/>
        </w:rPr>
        <w:t xml:space="preserve">353.04:  </w:t>
      </w:r>
      <w:r w:rsidR="009C225C">
        <w:rPr>
          <w:sz w:val="22"/>
          <w:szCs w:val="22"/>
        </w:rPr>
        <w:t>Filing and Reporting Requirements</w:t>
      </w:r>
    </w:p>
    <w:p w14:paraId="72EFB005" w14:textId="6DC168E9" w:rsidR="0038672C" w:rsidRPr="00176722" w:rsidRDefault="004730DA" w:rsidP="0038672C">
      <w:pPr>
        <w:rPr>
          <w:sz w:val="22"/>
          <w:szCs w:val="22"/>
        </w:rPr>
      </w:pPr>
      <w:r>
        <w:rPr>
          <w:sz w:val="22"/>
          <w:szCs w:val="22"/>
        </w:rPr>
        <w:t>3</w:t>
      </w:r>
      <w:r w:rsidR="0038672C">
        <w:rPr>
          <w:sz w:val="22"/>
          <w:szCs w:val="22"/>
        </w:rPr>
        <w:t>5</w:t>
      </w:r>
      <w:r w:rsidR="0007459D">
        <w:rPr>
          <w:sz w:val="22"/>
          <w:szCs w:val="22"/>
        </w:rPr>
        <w:t>3</w:t>
      </w:r>
      <w:r w:rsidR="0038672C" w:rsidRPr="00176722">
        <w:rPr>
          <w:sz w:val="22"/>
          <w:szCs w:val="22"/>
        </w:rPr>
        <w:t>.0</w:t>
      </w:r>
      <w:r w:rsidR="009C225C">
        <w:rPr>
          <w:sz w:val="22"/>
          <w:szCs w:val="22"/>
        </w:rPr>
        <w:t>5</w:t>
      </w:r>
      <w:r w:rsidR="00433DB1">
        <w:rPr>
          <w:sz w:val="22"/>
          <w:szCs w:val="22"/>
        </w:rPr>
        <w:t>:  </w:t>
      </w:r>
      <w:r w:rsidR="0038672C" w:rsidRPr="00176722">
        <w:rPr>
          <w:sz w:val="22"/>
          <w:szCs w:val="22"/>
        </w:rPr>
        <w:t>Severability</w:t>
      </w:r>
    </w:p>
    <w:p w14:paraId="7040A6E0" w14:textId="77777777" w:rsidR="0038672C" w:rsidRPr="00176722" w:rsidRDefault="0038672C" w:rsidP="0038672C">
      <w:pPr>
        <w:rPr>
          <w:sz w:val="22"/>
          <w:szCs w:val="22"/>
        </w:rPr>
      </w:pPr>
    </w:p>
    <w:p w14:paraId="7B4ED156" w14:textId="571F0FBB" w:rsidR="0038672C" w:rsidRPr="00176722" w:rsidRDefault="004730DA" w:rsidP="0038672C">
      <w:pPr>
        <w:rPr>
          <w:sz w:val="22"/>
          <w:szCs w:val="22"/>
        </w:rPr>
      </w:pPr>
      <w:r>
        <w:rPr>
          <w:sz w:val="22"/>
          <w:szCs w:val="22"/>
          <w:u w:val="single"/>
        </w:rPr>
        <w:t>3</w:t>
      </w:r>
      <w:r w:rsidR="0038672C">
        <w:rPr>
          <w:sz w:val="22"/>
          <w:szCs w:val="22"/>
          <w:u w:val="single"/>
        </w:rPr>
        <w:t>5</w:t>
      </w:r>
      <w:r w:rsidR="0007459D">
        <w:rPr>
          <w:sz w:val="22"/>
          <w:szCs w:val="22"/>
          <w:u w:val="single"/>
        </w:rPr>
        <w:t>3</w:t>
      </w:r>
      <w:r w:rsidR="00433DB1">
        <w:rPr>
          <w:sz w:val="22"/>
          <w:szCs w:val="22"/>
          <w:u w:val="single"/>
        </w:rPr>
        <w:t>.01:  </w:t>
      </w:r>
      <w:r w:rsidR="0038672C" w:rsidRPr="00176722">
        <w:rPr>
          <w:sz w:val="22"/>
          <w:szCs w:val="22"/>
          <w:u w:val="single"/>
        </w:rPr>
        <w:t>General Provisions</w:t>
      </w:r>
    </w:p>
    <w:p w14:paraId="19C1DB16" w14:textId="77777777" w:rsidR="0038672C" w:rsidRPr="00176722" w:rsidRDefault="0038672C" w:rsidP="0038672C">
      <w:pPr>
        <w:rPr>
          <w:sz w:val="22"/>
          <w:szCs w:val="22"/>
        </w:rPr>
      </w:pPr>
    </w:p>
    <w:p w14:paraId="3CFEA4CC" w14:textId="3445DC00" w:rsidR="00FC62B0" w:rsidRPr="00AF7A5C" w:rsidRDefault="0038672C" w:rsidP="00AF7A5C">
      <w:pPr>
        <w:ind w:left="720"/>
        <w:rPr>
          <w:sz w:val="22"/>
          <w:szCs w:val="22"/>
        </w:rPr>
      </w:pPr>
      <w:r w:rsidRPr="00176722">
        <w:t>(</w:t>
      </w:r>
      <w:r w:rsidRPr="00AF7A5C">
        <w:rPr>
          <w:sz w:val="22"/>
          <w:szCs w:val="22"/>
        </w:rPr>
        <w:t>1)</w:t>
      </w:r>
      <w:r w:rsidR="006B2B0D">
        <w:rPr>
          <w:sz w:val="22"/>
          <w:szCs w:val="22"/>
        </w:rPr>
        <w:t xml:space="preserve"> </w:t>
      </w:r>
      <w:r w:rsidRPr="00AF7A5C">
        <w:rPr>
          <w:sz w:val="22"/>
          <w:szCs w:val="22"/>
        </w:rPr>
        <w:t> </w:t>
      </w:r>
      <w:r w:rsidRPr="00AF7A5C">
        <w:rPr>
          <w:sz w:val="22"/>
          <w:szCs w:val="22"/>
          <w:u w:val="single"/>
        </w:rPr>
        <w:t>Scope</w:t>
      </w:r>
      <w:r w:rsidR="001B53C2" w:rsidRPr="00AF7A5C">
        <w:rPr>
          <w:sz w:val="22"/>
          <w:szCs w:val="22"/>
          <w:u w:val="single"/>
        </w:rPr>
        <w:t xml:space="preserve"> and</w:t>
      </w:r>
      <w:r w:rsidRPr="00AF7A5C">
        <w:rPr>
          <w:sz w:val="22"/>
          <w:szCs w:val="22"/>
          <w:u w:val="single"/>
        </w:rPr>
        <w:t xml:space="preserve"> Purpose</w:t>
      </w:r>
      <w:r w:rsidRPr="00AF7A5C">
        <w:rPr>
          <w:sz w:val="22"/>
          <w:szCs w:val="22"/>
        </w:rPr>
        <w:t xml:space="preserve">.  </w:t>
      </w:r>
      <w:r w:rsidR="004730DA">
        <w:rPr>
          <w:sz w:val="22"/>
          <w:szCs w:val="22"/>
        </w:rPr>
        <w:t>101 CMR 353</w:t>
      </w:r>
      <w:r w:rsidRPr="00AF7A5C">
        <w:rPr>
          <w:sz w:val="22"/>
          <w:szCs w:val="22"/>
        </w:rPr>
        <w:t xml:space="preserve">.00 governs </w:t>
      </w:r>
      <w:r w:rsidR="00AF7A5C">
        <w:rPr>
          <w:sz w:val="22"/>
          <w:szCs w:val="22"/>
        </w:rPr>
        <w:t xml:space="preserve">certain </w:t>
      </w:r>
      <w:r w:rsidRPr="00AF7A5C">
        <w:rPr>
          <w:sz w:val="22"/>
          <w:szCs w:val="22"/>
        </w:rPr>
        <w:t xml:space="preserve">payments to Primary Care Clinicians (PCCs) for Primary Care Clinician (PCC) services provided to MassHealth members as part of </w:t>
      </w:r>
      <w:r w:rsidR="00C677D2">
        <w:rPr>
          <w:sz w:val="22"/>
          <w:szCs w:val="22"/>
        </w:rPr>
        <w:t xml:space="preserve">the </w:t>
      </w:r>
      <w:r w:rsidRPr="00AF7A5C">
        <w:rPr>
          <w:sz w:val="22"/>
          <w:szCs w:val="22"/>
        </w:rPr>
        <w:t>MassHealth PCC Plan</w:t>
      </w:r>
      <w:r w:rsidR="0072553B">
        <w:rPr>
          <w:sz w:val="22"/>
          <w:szCs w:val="22"/>
        </w:rPr>
        <w:t xml:space="preserve">, </w:t>
      </w:r>
      <w:r w:rsidR="0072553B" w:rsidRPr="0006296B">
        <w:rPr>
          <w:sz w:val="22"/>
          <w:szCs w:val="22"/>
        </w:rPr>
        <w:t>and to Primary Care ACO</w:t>
      </w:r>
      <w:r w:rsidR="00854FCD" w:rsidRPr="00251610">
        <w:rPr>
          <w:sz w:val="22"/>
          <w:szCs w:val="22"/>
        </w:rPr>
        <w:t>-</w:t>
      </w:r>
      <w:r w:rsidR="0072553B" w:rsidRPr="0006296B">
        <w:rPr>
          <w:sz w:val="22"/>
          <w:szCs w:val="22"/>
        </w:rPr>
        <w:t>participating Primary Care Providers (participating PCPs) for participating PCP services provided to members enrolled in MassHealth Primary Care ACOs</w:t>
      </w:r>
      <w:r w:rsidRPr="00AF7A5C">
        <w:rPr>
          <w:sz w:val="22"/>
          <w:szCs w:val="22"/>
        </w:rPr>
        <w:t>.</w:t>
      </w:r>
      <w:r w:rsidR="00AF7A5C" w:rsidRPr="00AF7A5C">
        <w:rPr>
          <w:sz w:val="22"/>
          <w:szCs w:val="22"/>
        </w:rPr>
        <w:t xml:space="preserve"> The </w:t>
      </w:r>
      <w:r w:rsidR="00A30FA9">
        <w:rPr>
          <w:sz w:val="22"/>
          <w:szCs w:val="22"/>
        </w:rPr>
        <w:t>enhancement rate</w:t>
      </w:r>
      <w:r w:rsidR="00A30FA9" w:rsidRPr="00AF7A5C">
        <w:rPr>
          <w:sz w:val="22"/>
          <w:szCs w:val="22"/>
        </w:rPr>
        <w:t xml:space="preserve"> </w:t>
      </w:r>
      <w:r w:rsidR="00AF7A5C" w:rsidRPr="00AF7A5C">
        <w:rPr>
          <w:sz w:val="22"/>
          <w:szCs w:val="22"/>
        </w:rPr>
        <w:t xml:space="preserve">payments described in </w:t>
      </w:r>
      <w:r w:rsidR="004F2F11">
        <w:rPr>
          <w:sz w:val="22"/>
          <w:szCs w:val="22"/>
        </w:rPr>
        <w:t>101 CMR 353.00</w:t>
      </w:r>
      <w:r w:rsidR="00AF7A5C" w:rsidRPr="00AF7A5C">
        <w:rPr>
          <w:sz w:val="22"/>
          <w:szCs w:val="22"/>
        </w:rPr>
        <w:t xml:space="preserve"> are in addition to payments </w:t>
      </w:r>
      <w:r w:rsidR="0072553B">
        <w:rPr>
          <w:sz w:val="22"/>
          <w:szCs w:val="22"/>
        </w:rPr>
        <w:t xml:space="preserve">issued </w:t>
      </w:r>
      <w:r w:rsidR="00AF7A5C" w:rsidRPr="00AF7A5C">
        <w:rPr>
          <w:sz w:val="22"/>
          <w:szCs w:val="22"/>
        </w:rPr>
        <w:t>under</w:t>
      </w:r>
      <w:r w:rsidR="00AF7A5C">
        <w:rPr>
          <w:sz w:val="22"/>
          <w:szCs w:val="22"/>
        </w:rPr>
        <w:t xml:space="preserve"> the Acute Hospital Request for Applications, and </w:t>
      </w:r>
      <w:r w:rsidR="004730DA">
        <w:rPr>
          <w:sz w:val="22"/>
          <w:szCs w:val="22"/>
        </w:rPr>
        <w:t>101</w:t>
      </w:r>
      <w:r w:rsidR="00EE5A47" w:rsidRPr="00AF7A5C">
        <w:rPr>
          <w:sz w:val="22"/>
          <w:szCs w:val="22"/>
        </w:rPr>
        <w:t xml:space="preserve"> CMR </w:t>
      </w:r>
      <w:r w:rsidR="004730DA">
        <w:rPr>
          <w:sz w:val="22"/>
          <w:szCs w:val="22"/>
        </w:rPr>
        <w:t>30</w:t>
      </w:r>
      <w:r w:rsidR="00EE5A47" w:rsidRPr="00AF7A5C">
        <w:rPr>
          <w:sz w:val="22"/>
          <w:szCs w:val="22"/>
        </w:rPr>
        <w:t xml:space="preserve">4.00: </w:t>
      </w:r>
      <w:r w:rsidR="00EE5A47" w:rsidRPr="00363072">
        <w:rPr>
          <w:i/>
          <w:sz w:val="22"/>
          <w:szCs w:val="22"/>
        </w:rPr>
        <w:t>Rates for Community Health Centers</w:t>
      </w:r>
      <w:r w:rsidR="00EE5A47">
        <w:rPr>
          <w:sz w:val="22"/>
          <w:szCs w:val="22"/>
        </w:rPr>
        <w:t>;</w:t>
      </w:r>
      <w:r w:rsidR="00EE5A47" w:rsidRPr="00AF7A5C">
        <w:rPr>
          <w:sz w:val="22"/>
          <w:szCs w:val="22"/>
        </w:rPr>
        <w:t xml:space="preserve"> 1</w:t>
      </w:r>
      <w:r w:rsidR="00C46DB0">
        <w:rPr>
          <w:sz w:val="22"/>
          <w:szCs w:val="22"/>
        </w:rPr>
        <w:t>01</w:t>
      </w:r>
      <w:r w:rsidR="00EE5A47">
        <w:rPr>
          <w:sz w:val="22"/>
          <w:szCs w:val="22"/>
        </w:rPr>
        <w:t xml:space="preserve"> CMR </w:t>
      </w:r>
      <w:r w:rsidR="00C46DB0">
        <w:rPr>
          <w:sz w:val="22"/>
          <w:szCs w:val="22"/>
        </w:rPr>
        <w:t>3</w:t>
      </w:r>
      <w:r w:rsidR="00EE5A47">
        <w:rPr>
          <w:sz w:val="22"/>
          <w:szCs w:val="22"/>
        </w:rPr>
        <w:t xml:space="preserve">16.00: </w:t>
      </w:r>
      <w:r w:rsidR="00EE5A47" w:rsidRPr="00363072">
        <w:rPr>
          <w:i/>
          <w:sz w:val="22"/>
          <w:szCs w:val="22"/>
        </w:rPr>
        <w:t>Surgery and Anesthesia Services</w:t>
      </w:r>
      <w:r w:rsidR="00EE5A47">
        <w:rPr>
          <w:sz w:val="22"/>
          <w:szCs w:val="22"/>
        </w:rPr>
        <w:t>;</w:t>
      </w:r>
      <w:r w:rsidR="00EE5A47" w:rsidRPr="00AF7A5C">
        <w:rPr>
          <w:sz w:val="22"/>
          <w:szCs w:val="22"/>
        </w:rPr>
        <w:t xml:space="preserve"> </w:t>
      </w:r>
      <w:r w:rsidR="004730DA">
        <w:rPr>
          <w:sz w:val="22"/>
          <w:szCs w:val="22"/>
        </w:rPr>
        <w:t>101</w:t>
      </w:r>
      <w:r w:rsidR="00FC62B0" w:rsidRPr="00AF7A5C">
        <w:rPr>
          <w:sz w:val="22"/>
          <w:szCs w:val="22"/>
        </w:rPr>
        <w:t xml:space="preserve"> CMR </w:t>
      </w:r>
      <w:r w:rsidR="004730DA">
        <w:rPr>
          <w:sz w:val="22"/>
          <w:szCs w:val="22"/>
        </w:rPr>
        <w:t>3</w:t>
      </w:r>
      <w:r w:rsidR="00FC62B0" w:rsidRPr="00AF7A5C">
        <w:rPr>
          <w:sz w:val="22"/>
          <w:szCs w:val="22"/>
        </w:rPr>
        <w:t xml:space="preserve">17.00: </w:t>
      </w:r>
      <w:r w:rsidR="00FC62B0" w:rsidRPr="00363072">
        <w:rPr>
          <w:i/>
          <w:sz w:val="22"/>
          <w:szCs w:val="22"/>
        </w:rPr>
        <w:t>Medicine</w:t>
      </w:r>
      <w:r w:rsidR="00AF7A5C" w:rsidRPr="00AF7A5C">
        <w:rPr>
          <w:sz w:val="22"/>
          <w:szCs w:val="22"/>
        </w:rPr>
        <w:t>;</w:t>
      </w:r>
      <w:r w:rsidR="00EE5A47">
        <w:rPr>
          <w:sz w:val="22"/>
          <w:szCs w:val="22"/>
        </w:rPr>
        <w:t xml:space="preserve"> </w:t>
      </w:r>
      <w:r w:rsidR="00EE326B">
        <w:rPr>
          <w:sz w:val="22"/>
          <w:szCs w:val="22"/>
        </w:rPr>
        <w:t xml:space="preserve">and </w:t>
      </w:r>
      <w:r w:rsidR="00C46DB0">
        <w:rPr>
          <w:sz w:val="22"/>
          <w:szCs w:val="22"/>
        </w:rPr>
        <w:t>101</w:t>
      </w:r>
      <w:r w:rsidR="00FC62B0" w:rsidRPr="00AF7A5C">
        <w:rPr>
          <w:sz w:val="22"/>
          <w:szCs w:val="22"/>
        </w:rPr>
        <w:t xml:space="preserve"> CMR </w:t>
      </w:r>
      <w:r w:rsidR="00C46DB0">
        <w:rPr>
          <w:sz w:val="22"/>
          <w:szCs w:val="22"/>
        </w:rPr>
        <w:t>3</w:t>
      </w:r>
      <w:r w:rsidR="00FC62B0" w:rsidRPr="00AF7A5C">
        <w:rPr>
          <w:sz w:val="22"/>
          <w:szCs w:val="22"/>
        </w:rPr>
        <w:t xml:space="preserve">18.00: </w:t>
      </w:r>
      <w:r w:rsidR="00FC62B0" w:rsidRPr="00363072">
        <w:rPr>
          <w:i/>
          <w:sz w:val="22"/>
          <w:szCs w:val="22"/>
        </w:rPr>
        <w:t>Radiology</w:t>
      </w:r>
      <w:r w:rsidR="00EE326B" w:rsidRPr="00363072">
        <w:rPr>
          <w:i/>
          <w:sz w:val="22"/>
          <w:szCs w:val="22"/>
        </w:rPr>
        <w:t>.</w:t>
      </w:r>
    </w:p>
    <w:p w14:paraId="1004FCBB" w14:textId="77777777" w:rsidR="00FC62B0" w:rsidRPr="008E7385" w:rsidRDefault="00FC62B0" w:rsidP="0038672C">
      <w:pPr>
        <w:ind w:left="720"/>
        <w:rPr>
          <w:b/>
          <w:i/>
          <w:sz w:val="22"/>
          <w:szCs w:val="22"/>
        </w:rPr>
      </w:pPr>
    </w:p>
    <w:p w14:paraId="2A604483" w14:textId="6E86075B" w:rsidR="0038672C" w:rsidRPr="00176722" w:rsidRDefault="0038672C" w:rsidP="0038672C">
      <w:pPr>
        <w:ind w:left="720"/>
        <w:rPr>
          <w:sz w:val="22"/>
          <w:szCs w:val="22"/>
        </w:rPr>
      </w:pPr>
      <w:r w:rsidRPr="00176722">
        <w:rPr>
          <w:sz w:val="22"/>
          <w:szCs w:val="22"/>
        </w:rPr>
        <w:t>(2)</w:t>
      </w:r>
      <w:r w:rsidR="006B2B0D">
        <w:rPr>
          <w:sz w:val="22"/>
          <w:szCs w:val="22"/>
        </w:rPr>
        <w:t xml:space="preserve"> </w:t>
      </w:r>
      <w:r w:rsidRPr="00176722">
        <w:rPr>
          <w:sz w:val="22"/>
          <w:szCs w:val="22"/>
        </w:rPr>
        <w:t xml:space="preserve"> </w:t>
      </w:r>
      <w:r w:rsidRPr="00176722">
        <w:rPr>
          <w:sz w:val="22"/>
          <w:szCs w:val="22"/>
          <w:u w:val="single"/>
        </w:rPr>
        <w:t>Disclaimer of Authorization of Services</w:t>
      </w:r>
      <w:r w:rsidRPr="00176722">
        <w:rPr>
          <w:sz w:val="22"/>
          <w:szCs w:val="22"/>
        </w:rPr>
        <w:t xml:space="preserve">. </w:t>
      </w:r>
      <w:r w:rsidR="004730DA">
        <w:rPr>
          <w:sz w:val="22"/>
          <w:szCs w:val="22"/>
        </w:rPr>
        <w:t>101 CMR 353</w:t>
      </w:r>
      <w:r w:rsidRPr="00176722">
        <w:rPr>
          <w:sz w:val="22"/>
          <w:szCs w:val="22"/>
        </w:rPr>
        <w:t>.00 is not authorization for or approval of the</w:t>
      </w:r>
      <w:r>
        <w:rPr>
          <w:sz w:val="22"/>
          <w:szCs w:val="22"/>
        </w:rPr>
        <w:t xml:space="preserve"> procedures for which payments</w:t>
      </w:r>
      <w:r w:rsidRPr="00176722">
        <w:rPr>
          <w:sz w:val="22"/>
          <w:szCs w:val="22"/>
        </w:rPr>
        <w:t xml:space="preserve"> are determined pursuant to </w:t>
      </w:r>
      <w:r w:rsidR="004730DA">
        <w:rPr>
          <w:sz w:val="22"/>
          <w:szCs w:val="22"/>
        </w:rPr>
        <w:t>101 CMR 353</w:t>
      </w:r>
      <w:r w:rsidRPr="00176722">
        <w:rPr>
          <w:sz w:val="22"/>
          <w:szCs w:val="22"/>
        </w:rPr>
        <w:t xml:space="preserve">.00. Purchasing agencies and insurers are responsible for the definition, authorization, and approval of care and services extended to </w:t>
      </w:r>
      <w:r w:rsidR="00EF1057">
        <w:rPr>
          <w:sz w:val="22"/>
          <w:szCs w:val="22"/>
        </w:rPr>
        <w:t>p</w:t>
      </w:r>
      <w:r w:rsidRPr="00176722">
        <w:rPr>
          <w:sz w:val="22"/>
          <w:szCs w:val="22"/>
        </w:rPr>
        <w:t>ublicly</w:t>
      </w:r>
      <w:r w:rsidR="00566109">
        <w:rPr>
          <w:sz w:val="22"/>
          <w:szCs w:val="22"/>
        </w:rPr>
        <w:t xml:space="preserve"> </w:t>
      </w:r>
      <w:r w:rsidR="00EF1057">
        <w:rPr>
          <w:sz w:val="22"/>
          <w:szCs w:val="22"/>
        </w:rPr>
        <w:t>a</w:t>
      </w:r>
      <w:r w:rsidRPr="00176722">
        <w:rPr>
          <w:sz w:val="22"/>
          <w:szCs w:val="22"/>
        </w:rPr>
        <w:t xml:space="preserve">ided </w:t>
      </w:r>
      <w:r w:rsidR="00EF1057">
        <w:rPr>
          <w:sz w:val="22"/>
          <w:szCs w:val="22"/>
        </w:rPr>
        <w:t>i</w:t>
      </w:r>
      <w:r>
        <w:rPr>
          <w:sz w:val="22"/>
          <w:szCs w:val="22"/>
        </w:rPr>
        <w:t>ndividuals</w:t>
      </w:r>
      <w:r w:rsidRPr="00176722">
        <w:rPr>
          <w:sz w:val="22"/>
          <w:szCs w:val="22"/>
        </w:rPr>
        <w:t>.</w:t>
      </w:r>
    </w:p>
    <w:p w14:paraId="4A31205E" w14:textId="77777777" w:rsidR="0038672C" w:rsidRPr="00176722" w:rsidRDefault="0038672C" w:rsidP="0038672C">
      <w:pPr>
        <w:tabs>
          <w:tab w:val="left" w:pos="-1440"/>
          <w:tab w:val="left" w:pos="-720"/>
          <w:tab w:val="left" w:pos="0"/>
          <w:tab w:val="left" w:pos="576"/>
          <w:tab w:val="left" w:pos="1152"/>
          <w:tab w:val="left" w:pos="1728"/>
          <w:tab w:val="left" w:pos="2304"/>
          <w:tab w:val="left" w:pos="2880"/>
        </w:tabs>
        <w:suppressAutoHyphens/>
        <w:ind w:left="576"/>
        <w:rPr>
          <w:sz w:val="22"/>
          <w:szCs w:val="22"/>
        </w:rPr>
      </w:pPr>
    </w:p>
    <w:p w14:paraId="59B39AA0" w14:textId="6E5CFE13" w:rsidR="0038672C" w:rsidRPr="00176722" w:rsidRDefault="0038672C" w:rsidP="0038672C">
      <w:pPr>
        <w:suppressAutoHyphens/>
        <w:ind w:left="720"/>
        <w:rPr>
          <w:sz w:val="22"/>
          <w:szCs w:val="22"/>
        </w:rPr>
      </w:pPr>
      <w:r w:rsidRPr="00176722">
        <w:rPr>
          <w:sz w:val="22"/>
          <w:szCs w:val="22"/>
        </w:rPr>
        <w:t>(3)</w:t>
      </w:r>
      <w:r w:rsidR="006B2B0D">
        <w:rPr>
          <w:sz w:val="22"/>
          <w:szCs w:val="22"/>
        </w:rPr>
        <w:t xml:space="preserve"> </w:t>
      </w:r>
      <w:r w:rsidRPr="00176722">
        <w:rPr>
          <w:sz w:val="22"/>
          <w:szCs w:val="22"/>
        </w:rPr>
        <w:t> </w:t>
      </w:r>
      <w:r w:rsidRPr="00176722">
        <w:rPr>
          <w:sz w:val="22"/>
          <w:szCs w:val="22"/>
          <w:u w:val="single"/>
        </w:rPr>
        <w:t>Administrative Bulletins</w:t>
      </w:r>
      <w:r w:rsidRPr="00176722">
        <w:rPr>
          <w:sz w:val="22"/>
          <w:szCs w:val="22"/>
        </w:rPr>
        <w:t xml:space="preserve">.  </w:t>
      </w:r>
      <w:r w:rsidR="004730DA">
        <w:rPr>
          <w:sz w:val="22"/>
          <w:szCs w:val="22"/>
        </w:rPr>
        <w:t>EOHHS</w:t>
      </w:r>
      <w:r w:rsidRPr="00176722">
        <w:rPr>
          <w:sz w:val="22"/>
          <w:szCs w:val="22"/>
        </w:rPr>
        <w:t xml:space="preserve"> may issue administrative bulletins to clarify its policy on and understanding of substantive provisions of </w:t>
      </w:r>
      <w:r w:rsidR="004730DA">
        <w:rPr>
          <w:sz w:val="22"/>
          <w:szCs w:val="22"/>
        </w:rPr>
        <w:t>101 CMR 353</w:t>
      </w:r>
      <w:r w:rsidRPr="00176722">
        <w:rPr>
          <w:sz w:val="22"/>
          <w:szCs w:val="22"/>
        </w:rPr>
        <w:t>.00.</w:t>
      </w:r>
      <w:r w:rsidR="00E732FB">
        <w:rPr>
          <w:sz w:val="22"/>
          <w:szCs w:val="22"/>
        </w:rPr>
        <w:t xml:space="preserve"> </w:t>
      </w:r>
    </w:p>
    <w:p w14:paraId="3D083056" w14:textId="77777777" w:rsidR="0038672C" w:rsidRDefault="0038672C" w:rsidP="00077FA2">
      <w:pPr>
        <w:rPr>
          <w:sz w:val="22"/>
          <w:szCs w:val="22"/>
        </w:rPr>
      </w:pPr>
    </w:p>
    <w:p w14:paraId="7E331DA4" w14:textId="2541F409" w:rsidR="0038672C" w:rsidRPr="00176722" w:rsidRDefault="004730DA" w:rsidP="0038672C">
      <w:pPr>
        <w:rPr>
          <w:sz w:val="22"/>
          <w:szCs w:val="22"/>
        </w:rPr>
      </w:pPr>
      <w:r>
        <w:rPr>
          <w:sz w:val="22"/>
          <w:szCs w:val="22"/>
          <w:u w:val="single"/>
        </w:rPr>
        <w:t>3</w:t>
      </w:r>
      <w:r w:rsidR="0038672C">
        <w:rPr>
          <w:sz w:val="22"/>
          <w:szCs w:val="22"/>
          <w:u w:val="single"/>
        </w:rPr>
        <w:t>5</w:t>
      </w:r>
      <w:r w:rsidR="0007459D">
        <w:rPr>
          <w:sz w:val="22"/>
          <w:szCs w:val="22"/>
          <w:u w:val="single"/>
        </w:rPr>
        <w:t>3</w:t>
      </w:r>
      <w:r w:rsidR="00433DB1">
        <w:rPr>
          <w:sz w:val="22"/>
          <w:szCs w:val="22"/>
          <w:u w:val="single"/>
        </w:rPr>
        <w:t>.02:  </w:t>
      </w:r>
      <w:r w:rsidR="0038672C" w:rsidRPr="00176722">
        <w:rPr>
          <w:sz w:val="22"/>
          <w:szCs w:val="22"/>
          <w:u w:val="single"/>
        </w:rPr>
        <w:t>General Definitions</w:t>
      </w:r>
    </w:p>
    <w:p w14:paraId="0A052AF2" w14:textId="77777777" w:rsidR="0038672C" w:rsidRPr="00176722" w:rsidRDefault="0038672C" w:rsidP="0038672C">
      <w:pPr>
        <w:rPr>
          <w:sz w:val="22"/>
          <w:szCs w:val="22"/>
        </w:rPr>
      </w:pPr>
    </w:p>
    <w:p w14:paraId="034D3DE4" w14:textId="5ED8F347" w:rsidR="0038672C" w:rsidRDefault="0038672C" w:rsidP="006B2B0D">
      <w:pPr>
        <w:ind w:left="720" w:firstLine="360"/>
        <w:rPr>
          <w:sz w:val="22"/>
          <w:szCs w:val="22"/>
        </w:rPr>
      </w:pPr>
      <w:r w:rsidRPr="00176722">
        <w:rPr>
          <w:sz w:val="22"/>
          <w:szCs w:val="22"/>
          <w:u w:val="single"/>
        </w:rPr>
        <w:t>Meaning of Terms</w:t>
      </w:r>
      <w:r w:rsidRPr="00176722">
        <w:rPr>
          <w:sz w:val="22"/>
          <w:szCs w:val="22"/>
        </w:rPr>
        <w:t xml:space="preserve">.  Terms used in </w:t>
      </w:r>
      <w:r w:rsidR="004730DA">
        <w:rPr>
          <w:sz w:val="22"/>
          <w:szCs w:val="22"/>
        </w:rPr>
        <w:t>101 CMR 353</w:t>
      </w:r>
      <w:r w:rsidRPr="00176722">
        <w:rPr>
          <w:sz w:val="22"/>
          <w:szCs w:val="22"/>
        </w:rPr>
        <w:t xml:space="preserve">.00 </w:t>
      </w:r>
      <w:r w:rsidR="00B94494">
        <w:rPr>
          <w:sz w:val="22"/>
          <w:szCs w:val="22"/>
        </w:rPr>
        <w:t>will</w:t>
      </w:r>
      <w:r w:rsidR="00B94494" w:rsidRPr="00176722">
        <w:rPr>
          <w:sz w:val="22"/>
          <w:szCs w:val="22"/>
        </w:rPr>
        <w:t xml:space="preserve"> </w:t>
      </w:r>
      <w:r w:rsidRPr="00176722">
        <w:rPr>
          <w:sz w:val="22"/>
          <w:szCs w:val="22"/>
        </w:rPr>
        <w:t>have the meaning ascri</w:t>
      </w:r>
      <w:r>
        <w:rPr>
          <w:sz w:val="22"/>
          <w:szCs w:val="22"/>
        </w:rPr>
        <w:t xml:space="preserve">bed in </w:t>
      </w:r>
      <w:r w:rsidR="004730DA">
        <w:rPr>
          <w:sz w:val="22"/>
          <w:szCs w:val="22"/>
        </w:rPr>
        <w:t>101 CMR 353</w:t>
      </w:r>
      <w:r w:rsidRPr="00176722">
        <w:rPr>
          <w:sz w:val="22"/>
          <w:szCs w:val="22"/>
        </w:rPr>
        <w:t>.02.</w:t>
      </w:r>
    </w:p>
    <w:p w14:paraId="454BFB3E" w14:textId="77777777" w:rsidR="0038672C" w:rsidRDefault="0038672C" w:rsidP="00A30FA9">
      <w:pPr>
        <w:ind w:left="720"/>
        <w:rPr>
          <w:sz w:val="22"/>
          <w:szCs w:val="22"/>
        </w:rPr>
      </w:pPr>
    </w:p>
    <w:p w14:paraId="33CBCA70" w14:textId="7DDF7B7D" w:rsidR="0072553B" w:rsidRDefault="0072553B" w:rsidP="00433DB1">
      <w:pPr>
        <w:tabs>
          <w:tab w:val="left" w:pos="1200"/>
          <w:tab w:val="left" w:pos="1555"/>
          <w:tab w:val="left" w:pos="1915"/>
          <w:tab w:val="left" w:pos="2275"/>
          <w:tab w:val="left" w:pos="2635"/>
          <w:tab w:val="left" w:pos="2995"/>
          <w:tab w:val="left" w:pos="7675"/>
        </w:tabs>
        <w:ind w:left="720"/>
        <w:rPr>
          <w:sz w:val="22"/>
          <w:szCs w:val="22"/>
          <w:u w:val="single"/>
        </w:rPr>
      </w:pPr>
      <w:proofErr w:type="gramStart"/>
      <w:r>
        <w:rPr>
          <w:sz w:val="22"/>
          <w:szCs w:val="22"/>
          <w:u w:val="single"/>
        </w:rPr>
        <w:t>Accountable Care Organization (ACO</w:t>
      </w:r>
      <w:r w:rsidRPr="0006296B">
        <w:rPr>
          <w:sz w:val="22"/>
          <w:szCs w:val="22"/>
        </w:rPr>
        <w:t>).</w:t>
      </w:r>
      <w:proofErr w:type="gramEnd"/>
      <w:r w:rsidRPr="0006296B">
        <w:rPr>
          <w:sz w:val="22"/>
          <w:szCs w:val="22"/>
        </w:rPr>
        <w:t xml:space="preserve">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w:t>
      </w:r>
      <w:r w:rsidR="003332DB">
        <w:rPr>
          <w:sz w:val="22"/>
          <w:szCs w:val="22"/>
        </w:rPr>
        <w:t>a</w:t>
      </w:r>
      <w:r w:rsidRPr="0006296B">
        <w:rPr>
          <w:sz w:val="22"/>
          <w:szCs w:val="22"/>
        </w:rPr>
        <w:t>dministered ACOs.</w:t>
      </w:r>
    </w:p>
    <w:p w14:paraId="2C6B84A0" w14:textId="77777777" w:rsidR="0072553B" w:rsidRDefault="0072553B" w:rsidP="00A30FA9">
      <w:pPr>
        <w:ind w:left="720"/>
        <w:rPr>
          <w:sz w:val="22"/>
          <w:szCs w:val="22"/>
        </w:rPr>
      </w:pPr>
    </w:p>
    <w:p w14:paraId="0EF241D6" w14:textId="127B2F10" w:rsidR="004730DA" w:rsidRPr="00977F2A" w:rsidRDefault="004730DA" w:rsidP="00433DB1">
      <w:pPr>
        <w:tabs>
          <w:tab w:val="left" w:pos="1200"/>
          <w:tab w:val="left" w:pos="1555"/>
          <w:tab w:val="left" w:pos="1915"/>
          <w:tab w:val="left" w:pos="2275"/>
          <w:tab w:val="left" w:pos="2635"/>
          <w:tab w:val="left" w:pos="2995"/>
          <w:tab w:val="left" w:pos="7675"/>
        </w:tabs>
        <w:ind w:left="720"/>
      </w:pPr>
      <w:proofErr w:type="gramStart"/>
      <w:r w:rsidRPr="00977F2A">
        <w:rPr>
          <w:sz w:val="22"/>
          <w:szCs w:val="22"/>
          <w:u w:val="single"/>
        </w:rPr>
        <w:t>Center</w:t>
      </w:r>
      <w:r w:rsidRPr="00251610">
        <w:rPr>
          <w:sz w:val="22"/>
          <w:szCs w:val="22"/>
        </w:rPr>
        <w:t>.</w:t>
      </w:r>
      <w:proofErr w:type="gramEnd"/>
      <w:r w:rsidR="006B2B0D" w:rsidRPr="00251610">
        <w:rPr>
          <w:sz w:val="22"/>
          <w:szCs w:val="22"/>
        </w:rPr>
        <w:t xml:space="preserve"> </w:t>
      </w:r>
      <w:r>
        <w:rPr>
          <w:sz w:val="22"/>
          <w:szCs w:val="22"/>
        </w:rPr>
        <w:t xml:space="preserve"> The Center for Health Information and Analysis established under </w:t>
      </w:r>
      <w:r w:rsidR="00E732FB">
        <w:rPr>
          <w:sz w:val="22"/>
          <w:szCs w:val="22"/>
        </w:rPr>
        <w:br/>
      </w:r>
      <w:r>
        <w:rPr>
          <w:sz w:val="22"/>
          <w:szCs w:val="22"/>
        </w:rPr>
        <w:t>M.G.L. c. 12C.</w:t>
      </w:r>
    </w:p>
    <w:p w14:paraId="7ED45DB8" w14:textId="77777777" w:rsidR="004730DA" w:rsidRDefault="004730DA" w:rsidP="00A30FA9">
      <w:pPr>
        <w:ind w:left="720"/>
        <w:rPr>
          <w:sz w:val="22"/>
          <w:szCs w:val="22"/>
        </w:rPr>
      </w:pPr>
    </w:p>
    <w:p w14:paraId="341C57C7" w14:textId="1AC928CF" w:rsidR="0038672C" w:rsidRPr="00176722" w:rsidRDefault="004730DA" w:rsidP="00A30FA9">
      <w:pPr>
        <w:ind w:left="720"/>
        <w:rPr>
          <w:sz w:val="22"/>
          <w:szCs w:val="22"/>
          <w:u w:val="single"/>
        </w:rPr>
      </w:pPr>
      <w:proofErr w:type="gramStart"/>
      <w:r w:rsidRPr="00977F2A">
        <w:rPr>
          <w:sz w:val="22"/>
          <w:szCs w:val="22"/>
          <w:u w:val="single"/>
        </w:rPr>
        <w:t>EOHHS</w:t>
      </w:r>
      <w:r w:rsidRPr="00977F2A">
        <w:rPr>
          <w:sz w:val="22"/>
          <w:szCs w:val="22"/>
        </w:rPr>
        <w:t>.</w:t>
      </w:r>
      <w:proofErr w:type="gramEnd"/>
      <w:r w:rsidR="006B2B0D">
        <w:rPr>
          <w:sz w:val="22"/>
          <w:szCs w:val="22"/>
        </w:rPr>
        <w:t xml:space="preserve"> </w:t>
      </w:r>
      <w:r w:rsidRPr="00977F2A">
        <w:rPr>
          <w:sz w:val="22"/>
          <w:szCs w:val="22"/>
        </w:rPr>
        <w:t xml:space="preserve"> The Executive Office of Health and Human Services established under </w:t>
      </w:r>
      <w:r w:rsidR="00E732FB">
        <w:rPr>
          <w:sz w:val="22"/>
          <w:szCs w:val="22"/>
        </w:rPr>
        <w:br/>
      </w:r>
      <w:r w:rsidRPr="00977F2A">
        <w:rPr>
          <w:sz w:val="22"/>
          <w:szCs w:val="22"/>
        </w:rPr>
        <w:t>M.G.L. c. 6A.</w:t>
      </w:r>
      <w:r w:rsidR="0038672C" w:rsidRPr="00950EF9">
        <w:rPr>
          <w:sz w:val="22"/>
          <w:szCs w:val="22"/>
        </w:rPr>
        <w:t xml:space="preserve"> </w:t>
      </w:r>
    </w:p>
    <w:p w14:paraId="3E603167" w14:textId="77777777" w:rsidR="000F56D9" w:rsidRDefault="000F56D9" w:rsidP="00A30FA9">
      <w:pPr>
        <w:ind w:left="720"/>
        <w:rPr>
          <w:sz w:val="22"/>
          <w:szCs w:val="22"/>
          <w:u w:val="single"/>
        </w:rPr>
      </w:pPr>
    </w:p>
    <w:p w14:paraId="6EACE430" w14:textId="77777777" w:rsidR="00077FA2" w:rsidRDefault="00077FA2" w:rsidP="00433DB1">
      <w:pPr>
        <w:rPr>
          <w:sz w:val="22"/>
          <w:szCs w:val="22"/>
          <w:u w:val="single"/>
        </w:rPr>
      </w:pPr>
    </w:p>
    <w:p w14:paraId="03C48E19" w14:textId="77777777" w:rsidR="0072553B" w:rsidRPr="0006296B" w:rsidRDefault="0072553B" w:rsidP="0072553B">
      <w:pPr>
        <w:ind w:left="720"/>
        <w:rPr>
          <w:sz w:val="22"/>
          <w:szCs w:val="22"/>
        </w:rPr>
      </w:pPr>
      <w:r>
        <w:rPr>
          <w:sz w:val="22"/>
          <w:szCs w:val="22"/>
          <w:u w:val="single"/>
        </w:rPr>
        <w:lastRenderedPageBreak/>
        <w:t>Primary Care ACO</w:t>
      </w:r>
      <w:r w:rsidRPr="0006296B">
        <w:rPr>
          <w:sz w:val="22"/>
          <w:szCs w:val="22"/>
        </w:rPr>
        <w:t xml:space="preserve">.  </w:t>
      </w:r>
      <w:proofErr w:type="gramStart"/>
      <w:r w:rsidRPr="0006296B">
        <w:rPr>
          <w:sz w:val="22"/>
          <w:szCs w:val="22"/>
        </w:rPr>
        <w:t>A type of ACO with which the MassHealth agency contracts under its ACO program.</w:t>
      </w:r>
      <w:proofErr w:type="gramEnd"/>
    </w:p>
    <w:p w14:paraId="33E21822" w14:textId="77777777" w:rsidR="0072553B" w:rsidRDefault="0072553B" w:rsidP="00A30FA9">
      <w:pPr>
        <w:ind w:left="720"/>
        <w:rPr>
          <w:sz w:val="22"/>
          <w:szCs w:val="22"/>
          <w:u w:val="single"/>
        </w:rPr>
      </w:pPr>
    </w:p>
    <w:p w14:paraId="0B541A88" w14:textId="4F1C2A41" w:rsidR="0038672C" w:rsidRDefault="0038672C" w:rsidP="00A30FA9">
      <w:pPr>
        <w:ind w:left="720"/>
        <w:rPr>
          <w:sz w:val="22"/>
          <w:szCs w:val="22"/>
        </w:rPr>
      </w:pPr>
      <w:proofErr w:type="gramStart"/>
      <w:r>
        <w:rPr>
          <w:sz w:val="22"/>
          <w:szCs w:val="22"/>
          <w:u w:val="single"/>
        </w:rPr>
        <w:t>Primary Care Clinician (PCC).</w:t>
      </w:r>
      <w:proofErr w:type="gramEnd"/>
      <w:r>
        <w:rPr>
          <w:sz w:val="22"/>
          <w:szCs w:val="22"/>
        </w:rPr>
        <w:t xml:space="preserve">  Any </w:t>
      </w:r>
      <w:r w:rsidR="00652DF5">
        <w:rPr>
          <w:sz w:val="22"/>
          <w:szCs w:val="22"/>
        </w:rPr>
        <w:t xml:space="preserve">MassHealth provider </w:t>
      </w:r>
      <w:r w:rsidR="000F56D9">
        <w:rPr>
          <w:sz w:val="22"/>
          <w:szCs w:val="22"/>
        </w:rPr>
        <w:t>that</w:t>
      </w:r>
      <w:r>
        <w:rPr>
          <w:sz w:val="22"/>
          <w:szCs w:val="22"/>
        </w:rPr>
        <w:t xml:space="preserve"> participates as a primary care provider for MassHealth members enrolled in the PCC Plan, as described in 130 CMR 450.118</w:t>
      </w:r>
      <w:r w:rsidR="00D724E6">
        <w:rPr>
          <w:sz w:val="22"/>
          <w:szCs w:val="22"/>
        </w:rPr>
        <w:t xml:space="preserve">: </w:t>
      </w:r>
      <w:r w:rsidR="00D724E6" w:rsidRPr="00A30FA9">
        <w:rPr>
          <w:i/>
          <w:sz w:val="22"/>
          <w:szCs w:val="22"/>
        </w:rPr>
        <w:t>Primary Care Clinician (PCC) Plan</w:t>
      </w:r>
      <w:r w:rsidRPr="00BF0C37">
        <w:rPr>
          <w:sz w:val="22"/>
          <w:szCs w:val="22"/>
        </w:rPr>
        <w:t>.</w:t>
      </w:r>
      <w:r w:rsidR="000F56D9">
        <w:rPr>
          <w:sz w:val="22"/>
          <w:szCs w:val="22"/>
        </w:rPr>
        <w:t xml:space="preserve"> </w:t>
      </w:r>
    </w:p>
    <w:p w14:paraId="348A8C47" w14:textId="77777777" w:rsidR="0038672C" w:rsidRPr="00176722" w:rsidRDefault="0038672C" w:rsidP="00A30FA9">
      <w:pPr>
        <w:ind w:left="720"/>
        <w:rPr>
          <w:sz w:val="22"/>
          <w:szCs w:val="22"/>
          <w:u w:val="single"/>
        </w:rPr>
      </w:pPr>
    </w:p>
    <w:p w14:paraId="29079D7F" w14:textId="268BFBF9" w:rsidR="006C1628" w:rsidRPr="00176722" w:rsidRDefault="0038672C" w:rsidP="0072553B">
      <w:pPr>
        <w:ind w:left="720"/>
        <w:rPr>
          <w:sz w:val="22"/>
          <w:szCs w:val="22"/>
        </w:rPr>
      </w:pPr>
      <w:proofErr w:type="gramStart"/>
      <w:r w:rsidRPr="00176722">
        <w:rPr>
          <w:sz w:val="22"/>
          <w:szCs w:val="22"/>
          <w:u w:val="single"/>
        </w:rPr>
        <w:t>Publicly</w:t>
      </w:r>
      <w:r w:rsidR="006017EC">
        <w:rPr>
          <w:sz w:val="22"/>
          <w:szCs w:val="22"/>
          <w:u w:val="single"/>
        </w:rPr>
        <w:t xml:space="preserve"> </w:t>
      </w:r>
      <w:r w:rsidRPr="00176722">
        <w:rPr>
          <w:sz w:val="22"/>
          <w:szCs w:val="22"/>
          <w:u w:val="single"/>
        </w:rPr>
        <w:t>Aided Individual</w:t>
      </w:r>
      <w:r>
        <w:rPr>
          <w:sz w:val="22"/>
          <w:szCs w:val="22"/>
        </w:rPr>
        <w:t>.</w:t>
      </w:r>
      <w:proofErr w:type="gramEnd"/>
      <w:r>
        <w:rPr>
          <w:sz w:val="22"/>
          <w:szCs w:val="22"/>
        </w:rPr>
        <w:t xml:space="preserve">  A person</w:t>
      </w:r>
      <w:r w:rsidRPr="00176722">
        <w:rPr>
          <w:sz w:val="22"/>
          <w:szCs w:val="22"/>
        </w:rPr>
        <w:t xml:space="preserve"> whose medical and other services </w:t>
      </w:r>
      <w:r>
        <w:rPr>
          <w:sz w:val="22"/>
          <w:szCs w:val="22"/>
        </w:rPr>
        <w:t>is paid for in whole or in part by t</w:t>
      </w:r>
      <w:r w:rsidRPr="00176722">
        <w:rPr>
          <w:sz w:val="22"/>
          <w:szCs w:val="22"/>
        </w:rPr>
        <w:t>he Commonwealth of Massachusetts or any of its departments, agencies, boards, commissions</w:t>
      </w:r>
      <w:r w:rsidR="00795F62">
        <w:rPr>
          <w:sz w:val="22"/>
          <w:szCs w:val="22"/>
        </w:rPr>
        <w:t>,</w:t>
      </w:r>
      <w:r w:rsidRPr="00176722">
        <w:rPr>
          <w:sz w:val="22"/>
          <w:szCs w:val="22"/>
        </w:rPr>
        <w:t xml:space="preserve"> or political subdivisions.</w:t>
      </w:r>
    </w:p>
    <w:p w14:paraId="2431DF70" w14:textId="77777777" w:rsidR="006C1628" w:rsidRDefault="006C1628" w:rsidP="0038672C">
      <w:pPr>
        <w:rPr>
          <w:sz w:val="22"/>
          <w:szCs w:val="22"/>
          <w:u w:val="single"/>
        </w:rPr>
      </w:pPr>
    </w:p>
    <w:p w14:paraId="28559E69" w14:textId="18994273" w:rsidR="0038672C" w:rsidRDefault="004730DA" w:rsidP="0038672C">
      <w:pPr>
        <w:rPr>
          <w:sz w:val="22"/>
          <w:szCs w:val="22"/>
          <w:u w:val="single"/>
        </w:rPr>
      </w:pPr>
      <w:r>
        <w:rPr>
          <w:sz w:val="22"/>
          <w:szCs w:val="22"/>
          <w:u w:val="single"/>
        </w:rPr>
        <w:t>3</w:t>
      </w:r>
      <w:r w:rsidR="0007459D">
        <w:rPr>
          <w:sz w:val="22"/>
          <w:szCs w:val="22"/>
          <w:u w:val="single"/>
        </w:rPr>
        <w:t>53</w:t>
      </w:r>
      <w:r w:rsidR="00433DB1">
        <w:rPr>
          <w:sz w:val="22"/>
          <w:szCs w:val="22"/>
          <w:u w:val="single"/>
        </w:rPr>
        <w:t>.03:  </w:t>
      </w:r>
      <w:r w:rsidR="0038672C">
        <w:rPr>
          <w:sz w:val="22"/>
          <w:szCs w:val="22"/>
          <w:u w:val="single"/>
        </w:rPr>
        <w:t>General Payment</w:t>
      </w:r>
      <w:r w:rsidR="0038672C" w:rsidRPr="00176722">
        <w:rPr>
          <w:sz w:val="22"/>
          <w:szCs w:val="22"/>
          <w:u w:val="single"/>
        </w:rPr>
        <w:t xml:space="preserve"> Provisions</w:t>
      </w:r>
    </w:p>
    <w:p w14:paraId="77AAE9FF" w14:textId="77777777" w:rsidR="006C1628" w:rsidRPr="00176722" w:rsidRDefault="006C1628" w:rsidP="0038672C">
      <w:pPr>
        <w:rPr>
          <w:sz w:val="22"/>
          <w:szCs w:val="22"/>
        </w:rPr>
      </w:pPr>
    </w:p>
    <w:p w14:paraId="72DFE341" w14:textId="7E7B8A17" w:rsidR="00EE5A47" w:rsidRDefault="0072553B" w:rsidP="0072553B">
      <w:pPr>
        <w:ind w:left="720"/>
        <w:rPr>
          <w:sz w:val="22"/>
          <w:szCs w:val="22"/>
        </w:rPr>
      </w:pPr>
      <w:r>
        <w:rPr>
          <w:sz w:val="22"/>
          <w:szCs w:val="22"/>
        </w:rPr>
        <w:t xml:space="preserve">(A) </w:t>
      </w:r>
      <w:r w:rsidR="00433DB1">
        <w:rPr>
          <w:sz w:val="22"/>
          <w:szCs w:val="22"/>
        </w:rPr>
        <w:t xml:space="preserve"> </w:t>
      </w:r>
      <w:r w:rsidR="00EE5A47" w:rsidRPr="006B2B0D">
        <w:rPr>
          <w:sz w:val="22"/>
          <w:szCs w:val="22"/>
        </w:rPr>
        <w:t xml:space="preserve">Primary Care Clinicians (PCCs) receive an enhanced rate for certain types of primary and preventive care visits provided to PCC Plan members enrolled with the PCC on the date of service. </w:t>
      </w:r>
      <w:r w:rsidR="00ED4A52" w:rsidRPr="006B2B0D">
        <w:rPr>
          <w:sz w:val="22"/>
          <w:szCs w:val="22"/>
        </w:rPr>
        <w:t>Ten dollars</w:t>
      </w:r>
      <w:r w:rsidR="00980639" w:rsidRPr="006B2B0D">
        <w:rPr>
          <w:sz w:val="22"/>
          <w:szCs w:val="22"/>
        </w:rPr>
        <w:t xml:space="preserve"> is added to the fee for the procedure code billed.</w:t>
      </w:r>
      <w:r w:rsidR="00EE5A47" w:rsidRPr="006B2B0D">
        <w:rPr>
          <w:sz w:val="22"/>
          <w:szCs w:val="22"/>
        </w:rPr>
        <w:t xml:space="preserve"> The MassHealth agency pays PCCs an enhanced fee for delivering primary care services in accordance with the terms of the PCC provider contract.  </w:t>
      </w:r>
    </w:p>
    <w:p w14:paraId="452674AC" w14:textId="77777777" w:rsidR="0072553B" w:rsidRDefault="0072553B" w:rsidP="0072553B">
      <w:pPr>
        <w:ind w:left="720"/>
        <w:rPr>
          <w:sz w:val="22"/>
          <w:szCs w:val="22"/>
        </w:rPr>
      </w:pPr>
    </w:p>
    <w:p w14:paraId="3C52421A" w14:textId="646D9B13" w:rsidR="0072553B" w:rsidRPr="006B2B0D" w:rsidRDefault="0072553B" w:rsidP="0072553B">
      <w:pPr>
        <w:ind w:left="720"/>
        <w:rPr>
          <w:sz w:val="22"/>
          <w:szCs w:val="22"/>
        </w:rPr>
      </w:pPr>
      <w:r>
        <w:rPr>
          <w:sz w:val="22"/>
          <w:szCs w:val="22"/>
        </w:rPr>
        <w:t xml:space="preserve">(B) </w:t>
      </w:r>
      <w:r w:rsidR="00433DB1">
        <w:rPr>
          <w:sz w:val="22"/>
          <w:szCs w:val="22"/>
        </w:rPr>
        <w:t xml:space="preserve"> </w:t>
      </w:r>
      <w:r w:rsidRPr="0072553B">
        <w:rPr>
          <w:sz w:val="22"/>
          <w:szCs w:val="22"/>
        </w:rPr>
        <w:t>Primary Care ACO</w:t>
      </w:r>
      <w:r w:rsidR="00854FCD" w:rsidRPr="00251610">
        <w:rPr>
          <w:sz w:val="22"/>
          <w:szCs w:val="22"/>
        </w:rPr>
        <w:t>-</w:t>
      </w:r>
      <w:r w:rsidRPr="0072553B">
        <w:rPr>
          <w:sz w:val="22"/>
          <w:szCs w:val="22"/>
        </w:rPr>
        <w:t>participating Primary Care Providers (participating PCPs) receive an enhanced rate for certain types of primary and preventive care visits provided to Primary Care ACO members enrolled with the participating PCP on the date of service. Ten dollars is added to the fee for the procedure code for the procedure code billed. The MassHealth agency pays participating PCPs an enhanced fee for delivering primary care services in accordance with the terms of the participating PCP contract.</w:t>
      </w:r>
    </w:p>
    <w:p w14:paraId="121E2BFA" w14:textId="77777777" w:rsidR="000D18A9" w:rsidRDefault="0038672C" w:rsidP="00977F2A">
      <w:pPr>
        <w:rPr>
          <w:sz w:val="22"/>
          <w:szCs w:val="22"/>
        </w:rPr>
      </w:pPr>
      <w:r w:rsidRPr="003577CD">
        <w:rPr>
          <w:sz w:val="22"/>
          <w:szCs w:val="22"/>
        </w:rPr>
        <w:t xml:space="preserve"> </w:t>
      </w:r>
    </w:p>
    <w:p w14:paraId="2A89D6EF" w14:textId="2D2D1C09" w:rsidR="000D18A9" w:rsidRDefault="000D18A9" w:rsidP="006B2B0D">
      <w:pPr>
        <w:tabs>
          <w:tab w:val="left" w:pos="-720"/>
        </w:tabs>
        <w:suppressAutoHyphens/>
        <w:rPr>
          <w:spacing w:val="-3"/>
          <w:sz w:val="22"/>
          <w:szCs w:val="22"/>
          <w:u w:val="single"/>
        </w:rPr>
      </w:pPr>
      <w:r>
        <w:rPr>
          <w:spacing w:val="-3"/>
          <w:sz w:val="22"/>
          <w:szCs w:val="22"/>
          <w:u w:val="single"/>
        </w:rPr>
        <w:t xml:space="preserve">353.04:  </w:t>
      </w:r>
      <w:r w:rsidR="0072553B">
        <w:rPr>
          <w:spacing w:val="-3"/>
          <w:sz w:val="22"/>
          <w:szCs w:val="22"/>
          <w:u w:val="single"/>
        </w:rPr>
        <w:t xml:space="preserve">Penalty for Noncompliance with </w:t>
      </w:r>
      <w:r>
        <w:rPr>
          <w:spacing w:val="-3"/>
          <w:sz w:val="22"/>
          <w:szCs w:val="22"/>
          <w:u w:val="single"/>
        </w:rPr>
        <w:t>Filing and Reporting Requirements</w:t>
      </w:r>
    </w:p>
    <w:p w14:paraId="050762BF" w14:textId="77777777" w:rsidR="000D18A9" w:rsidRDefault="000D18A9" w:rsidP="000D18A9">
      <w:pPr>
        <w:rPr>
          <w:sz w:val="22"/>
          <w:szCs w:val="22"/>
        </w:rPr>
      </w:pPr>
    </w:p>
    <w:p w14:paraId="0763FDA6" w14:textId="0BC7BC1B" w:rsidR="000D18A9" w:rsidRPr="00977F2A" w:rsidRDefault="000D18A9" w:rsidP="006B2B0D">
      <w:pPr>
        <w:ind w:left="720" w:firstLine="360"/>
        <w:rPr>
          <w:sz w:val="22"/>
          <w:szCs w:val="22"/>
        </w:rPr>
      </w:pPr>
      <w:r w:rsidRPr="00977F2A">
        <w:rPr>
          <w:sz w:val="22"/>
          <w:szCs w:val="22"/>
        </w:rPr>
        <w:t xml:space="preserve">The purchasing governmental unit may </w:t>
      </w:r>
      <w:r w:rsidR="0072553B">
        <w:rPr>
          <w:sz w:val="22"/>
          <w:szCs w:val="22"/>
        </w:rPr>
        <w:t>impose a penalty in the amount of up to</w:t>
      </w:r>
      <w:r w:rsidRPr="00977F2A">
        <w:rPr>
          <w:sz w:val="22"/>
          <w:szCs w:val="22"/>
        </w:rPr>
        <w:t xml:space="preserve"> 15% </w:t>
      </w:r>
      <w:r w:rsidR="0072553B">
        <w:rPr>
          <w:sz w:val="22"/>
          <w:szCs w:val="22"/>
        </w:rPr>
        <w:t>of its payments to</w:t>
      </w:r>
      <w:r w:rsidRPr="00977F2A">
        <w:rPr>
          <w:sz w:val="22"/>
          <w:szCs w:val="22"/>
        </w:rPr>
        <w:t xml:space="preserve"> any provider that fails to submit required information. The purchasing governmental unit will notify the provider in advance of its intention to impose a </w:t>
      </w:r>
      <w:r w:rsidR="0072553B">
        <w:rPr>
          <w:sz w:val="22"/>
          <w:szCs w:val="22"/>
        </w:rPr>
        <w:t>penalty under 101 CMR 353.04</w:t>
      </w:r>
      <w:r w:rsidRPr="00977F2A">
        <w:rPr>
          <w:sz w:val="22"/>
          <w:szCs w:val="22"/>
        </w:rPr>
        <w:t>.   </w:t>
      </w:r>
    </w:p>
    <w:p w14:paraId="22068EFD" w14:textId="77777777" w:rsidR="0038672C" w:rsidRPr="00176722" w:rsidRDefault="0038672C" w:rsidP="0038672C">
      <w:pPr>
        <w:rPr>
          <w:sz w:val="22"/>
          <w:szCs w:val="22"/>
        </w:rPr>
      </w:pPr>
    </w:p>
    <w:p w14:paraId="70A856E6" w14:textId="322AC0A4" w:rsidR="0038672C" w:rsidRPr="00176722" w:rsidRDefault="000D18A9" w:rsidP="0038672C">
      <w:pPr>
        <w:rPr>
          <w:sz w:val="22"/>
          <w:szCs w:val="22"/>
        </w:rPr>
      </w:pPr>
      <w:r>
        <w:rPr>
          <w:sz w:val="22"/>
          <w:szCs w:val="22"/>
          <w:u w:val="single"/>
        </w:rPr>
        <w:t>3</w:t>
      </w:r>
      <w:r w:rsidR="0007459D">
        <w:rPr>
          <w:sz w:val="22"/>
          <w:szCs w:val="22"/>
          <w:u w:val="single"/>
        </w:rPr>
        <w:t>53</w:t>
      </w:r>
      <w:r w:rsidR="0038672C">
        <w:rPr>
          <w:sz w:val="22"/>
          <w:szCs w:val="22"/>
          <w:u w:val="single"/>
        </w:rPr>
        <w:t>.0</w:t>
      </w:r>
      <w:r>
        <w:rPr>
          <w:sz w:val="22"/>
          <w:szCs w:val="22"/>
          <w:u w:val="single"/>
        </w:rPr>
        <w:t>5</w:t>
      </w:r>
      <w:r w:rsidR="00433DB1">
        <w:rPr>
          <w:sz w:val="22"/>
          <w:szCs w:val="22"/>
          <w:u w:val="single"/>
        </w:rPr>
        <w:t>:  </w:t>
      </w:r>
      <w:r w:rsidR="0038672C" w:rsidRPr="00176722">
        <w:rPr>
          <w:sz w:val="22"/>
          <w:szCs w:val="22"/>
          <w:u w:val="single"/>
        </w:rPr>
        <w:t xml:space="preserve">Severability </w:t>
      </w:r>
    </w:p>
    <w:p w14:paraId="051AB157" w14:textId="77777777" w:rsidR="0038672C" w:rsidRPr="00176722" w:rsidRDefault="0038672C" w:rsidP="0038672C">
      <w:pPr>
        <w:rPr>
          <w:sz w:val="22"/>
          <w:szCs w:val="22"/>
        </w:rPr>
      </w:pPr>
    </w:p>
    <w:p w14:paraId="6C120CC7" w14:textId="623D96A1" w:rsidR="0038672C" w:rsidRPr="00176722" w:rsidRDefault="0038672C" w:rsidP="006B2B0D">
      <w:pPr>
        <w:ind w:left="720" w:firstLine="360"/>
        <w:rPr>
          <w:sz w:val="22"/>
          <w:szCs w:val="22"/>
        </w:rPr>
      </w:pPr>
      <w:r>
        <w:rPr>
          <w:sz w:val="22"/>
          <w:szCs w:val="22"/>
        </w:rPr>
        <w:t xml:space="preserve">The provisions of </w:t>
      </w:r>
      <w:r w:rsidR="004730DA">
        <w:rPr>
          <w:sz w:val="22"/>
          <w:szCs w:val="22"/>
        </w:rPr>
        <w:t>101 CMR 353</w:t>
      </w:r>
      <w:r>
        <w:rPr>
          <w:sz w:val="22"/>
          <w:szCs w:val="22"/>
        </w:rPr>
        <w:t xml:space="preserve">.00 are </w:t>
      </w:r>
      <w:r w:rsidRPr="00176722">
        <w:rPr>
          <w:sz w:val="22"/>
          <w:szCs w:val="22"/>
        </w:rPr>
        <w:t xml:space="preserve">severable, and </w:t>
      </w:r>
      <w:r>
        <w:rPr>
          <w:sz w:val="22"/>
          <w:szCs w:val="22"/>
        </w:rPr>
        <w:t xml:space="preserve">if any provision of </w:t>
      </w:r>
      <w:r w:rsidR="004730DA">
        <w:rPr>
          <w:sz w:val="22"/>
          <w:szCs w:val="22"/>
        </w:rPr>
        <w:t>101 CMR 353</w:t>
      </w:r>
      <w:r w:rsidRPr="00176722">
        <w:rPr>
          <w:sz w:val="22"/>
          <w:szCs w:val="22"/>
        </w:rPr>
        <w:t xml:space="preserve">.00 or application of such provision to any community service agency or any circumstances shall be held to be invalid or unconstitutional, such invalidity shall not be construed to affect the validity or constitutionality of any remaining provisions of </w:t>
      </w:r>
      <w:r w:rsidR="004730DA">
        <w:rPr>
          <w:sz w:val="22"/>
          <w:szCs w:val="22"/>
        </w:rPr>
        <w:t>101 CMR 353</w:t>
      </w:r>
      <w:r w:rsidRPr="00176722">
        <w:rPr>
          <w:sz w:val="22"/>
          <w:szCs w:val="22"/>
        </w:rPr>
        <w:t>.00 or application of such provisions to community service agencies or circumstances other than those held invalid.</w:t>
      </w:r>
    </w:p>
    <w:p w14:paraId="79BAFEE5" w14:textId="77777777" w:rsidR="00077FA2" w:rsidRPr="00176722" w:rsidRDefault="00077FA2" w:rsidP="0038672C">
      <w:pPr>
        <w:rPr>
          <w:sz w:val="22"/>
          <w:szCs w:val="22"/>
        </w:rPr>
      </w:pPr>
    </w:p>
    <w:p w14:paraId="6E3BB8C3" w14:textId="1F54422D" w:rsidR="00433DB1" w:rsidRPr="00176722" w:rsidRDefault="0038672C" w:rsidP="00AD7062">
      <w:pPr>
        <w:spacing w:after="240" w:line="360" w:lineRule="auto"/>
        <w:rPr>
          <w:sz w:val="22"/>
          <w:szCs w:val="22"/>
        </w:rPr>
      </w:pPr>
      <w:r w:rsidRPr="00176722">
        <w:rPr>
          <w:sz w:val="22"/>
          <w:szCs w:val="22"/>
        </w:rPr>
        <w:t>REGULATORY AUTHORITY</w:t>
      </w:r>
    </w:p>
    <w:p w14:paraId="1742245B" w14:textId="16F514D6" w:rsidR="00436355" w:rsidRPr="006B581D" w:rsidRDefault="004730DA" w:rsidP="00433DB1">
      <w:pPr>
        <w:spacing w:line="360" w:lineRule="auto"/>
        <w:ind w:left="1080" w:hanging="360"/>
        <w:rPr>
          <w:sz w:val="22"/>
          <w:szCs w:val="22"/>
        </w:rPr>
      </w:pPr>
      <w:r>
        <w:rPr>
          <w:sz w:val="22"/>
          <w:szCs w:val="22"/>
        </w:rPr>
        <w:t>101 CMR 353</w:t>
      </w:r>
      <w:r w:rsidR="0038672C" w:rsidRPr="00176722">
        <w:rPr>
          <w:sz w:val="22"/>
          <w:szCs w:val="22"/>
        </w:rPr>
        <w:t xml:space="preserve">.00:   M.G.L. c. </w:t>
      </w:r>
      <w:r w:rsidRPr="00176722">
        <w:rPr>
          <w:sz w:val="22"/>
          <w:szCs w:val="22"/>
        </w:rPr>
        <w:t>118</w:t>
      </w:r>
      <w:r>
        <w:rPr>
          <w:sz w:val="22"/>
          <w:szCs w:val="22"/>
        </w:rPr>
        <w:t>E</w:t>
      </w:r>
      <w:r w:rsidR="0038672C" w:rsidRPr="00176722">
        <w:rPr>
          <w:sz w:val="22"/>
          <w:szCs w:val="22"/>
        </w:rPr>
        <w:t>.</w:t>
      </w:r>
    </w:p>
    <w:sectPr w:rsidR="00436355" w:rsidRPr="006B581D" w:rsidSect="0038672C">
      <w:headerReference w:type="default" r:id="rId8"/>
      <w:pgSz w:w="12240" w:h="15840" w:code="1"/>
      <w:pgMar w:top="1440" w:right="1800" w:bottom="1440" w:left="1800"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263F7" w14:textId="77777777" w:rsidR="00521F6B" w:rsidRDefault="00521F6B">
      <w:r>
        <w:separator/>
      </w:r>
    </w:p>
  </w:endnote>
  <w:endnote w:type="continuationSeparator" w:id="0">
    <w:p w14:paraId="248A10C8" w14:textId="77777777" w:rsidR="00521F6B" w:rsidRDefault="00521F6B">
      <w:r>
        <w:continuationSeparator/>
      </w:r>
    </w:p>
  </w:endnote>
  <w:endnote w:type="continuationNotice" w:id="1">
    <w:p w14:paraId="6E2A6FBF" w14:textId="77777777" w:rsidR="00521F6B" w:rsidRDefault="00521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8EF37" w14:textId="77777777" w:rsidR="00521F6B" w:rsidRDefault="00521F6B">
      <w:r>
        <w:separator/>
      </w:r>
    </w:p>
  </w:footnote>
  <w:footnote w:type="continuationSeparator" w:id="0">
    <w:p w14:paraId="78856815" w14:textId="77777777" w:rsidR="00521F6B" w:rsidRDefault="00521F6B">
      <w:r>
        <w:continuationSeparator/>
      </w:r>
    </w:p>
  </w:footnote>
  <w:footnote w:type="continuationNotice" w:id="1">
    <w:p w14:paraId="2E6FEBCD" w14:textId="77777777" w:rsidR="00521F6B" w:rsidRDefault="00521F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7A0B" w14:textId="7BED1AA6" w:rsidR="00055B9B" w:rsidRPr="001F4E4A" w:rsidRDefault="00433DB1" w:rsidP="00DF028C">
    <w:pPr>
      <w:spacing w:line="240" w:lineRule="exact"/>
      <w:jc w:val="right"/>
      <w:rPr>
        <w:sz w:val="22"/>
        <w:szCs w:val="22"/>
      </w:rPr>
    </w:pPr>
    <w:r w:rsidRPr="001F4E4A">
      <w:rPr>
        <w:sz w:val="22"/>
        <w:szCs w:val="22"/>
      </w:rPr>
      <w:t>Final</w:t>
    </w:r>
    <w:r w:rsidR="0072553B" w:rsidRPr="001F4E4A">
      <w:rPr>
        <w:sz w:val="22"/>
        <w:szCs w:val="22"/>
      </w:rPr>
      <w:t xml:space="preserve"> </w:t>
    </w:r>
    <w:r w:rsidR="00B743A5" w:rsidRPr="001F4E4A">
      <w:rPr>
        <w:sz w:val="22"/>
        <w:szCs w:val="22"/>
      </w:rPr>
      <w:t>Adoption</w:t>
    </w:r>
  </w:p>
  <w:p w14:paraId="213427DC" w14:textId="76AFE932" w:rsidR="00B743A5" w:rsidRPr="001F4E4A" w:rsidRDefault="0072553B" w:rsidP="00DF028C">
    <w:pPr>
      <w:spacing w:line="240" w:lineRule="exact"/>
      <w:jc w:val="right"/>
      <w:rPr>
        <w:sz w:val="22"/>
        <w:szCs w:val="22"/>
      </w:rPr>
    </w:pPr>
    <w:r w:rsidRPr="001F4E4A">
      <w:rPr>
        <w:sz w:val="22"/>
        <w:szCs w:val="22"/>
      </w:rPr>
      <w:t>May 14</w:t>
    </w:r>
    <w:r w:rsidR="00B571BE" w:rsidRPr="001F4E4A">
      <w:rPr>
        <w:sz w:val="22"/>
        <w:szCs w:val="22"/>
      </w:rPr>
      <w:t xml:space="preserve">, </w:t>
    </w:r>
    <w:r w:rsidRPr="001F4E4A">
      <w:rPr>
        <w:sz w:val="22"/>
        <w:szCs w:val="22"/>
      </w:rPr>
      <w:t>2021</w:t>
    </w:r>
  </w:p>
  <w:p w14:paraId="524BE0AC" w14:textId="77777777" w:rsidR="00055B9B" w:rsidRDefault="00055B9B">
    <w:pPr>
      <w:spacing w:line="240" w:lineRule="exact"/>
      <w:jc w:val="right"/>
    </w:pPr>
  </w:p>
  <w:p w14:paraId="43F6F6CF" w14:textId="716B1949" w:rsidR="00055B9B" w:rsidRPr="004F4D55" w:rsidRDefault="004730DA" w:rsidP="0092435D">
    <w:pPr>
      <w:spacing w:line="240" w:lineRule="exact"/>
      <w:jc w:val="center"/>
      <w:rPr>
        <w:sz w:val="22"/>
        <w:szCs w:val="22"/>
      </w:rPr>
    </w:pPr>
    <w:r w:rsidRPr="004F4D55">
      <w:rPr>
        <w:sz w:val="22"/>
        <w:szCs w:val="22"/>
      </w:rPr>
      <w:t>101</w:t>
    </w:r>
    <w:r w:rsidR="00055B9B" w:rsidRPr="004F4D55">
      <w:rPr>
        <w:sz w:val="22"/>
        <w:szCs w:val="22"/>
      </w:rPr>
      <w:t xml:space="preserve"> CMR</w:t>
    </w:r>
    <w:r w:rsidRPr="004F4D55">
      <w:rPr>
        <w:sz w:val="22"/>
        <w:szCs w:val="22"/>
      </w:rPr>
      <w:t>: EXECUTIVE OFFICE OF HEALTH AND HUMAN SERVICES</w:t>
    </w:r>
  </w:p>
  <w:p w14:paraId="7467323F" w14:textId="77777777" w:rsidR="00055B9B" w:rsidRPr="004F4D55" w:rsidRDefault="00055B9B" w:rsidP="0092435D">
    <w:pPr>
      <w:spacing w:line="240" w:lineRule="exact"/>
      <w:jc w:val="center"/>
      <w:rPr>
        <w:sz w:val="22"/>
        <w:szCs w:val="22"/>
      </w:rPr>
    </w:pPr>
  </w:p>
  <w:p w14:paraId="35FF8CEE" w14:textId="58D2BBCB" w:rsidR="00055B9B" w:rsidRDefault="004730DA" w:rsidP="004F4D55">
    <w:pPr>
      <w:spacing w:line="240" w:lineRule="exact"/>
      <w:ind w:left="720" w:hanging="720"/>
      <w:jc w:val="center"/>
      <w:rPr>
        <w:sz w:val="22"/>
        <w:szCs w:val="22"/>
      </w:rPr>
    </w:pPr>
    <w:r w:rsidRPr="004F4D55">
      <w:rPr>
        <w:sz w:val="22"/>
        <w:szCs w:val="22"/>
      </w:rPr>
      <w:t>101</w:t>
    </w:r>
    <w:r w:rsidR="00055B9B" w:rsidRPr="004F4D55">
      <w:rPr>
        <w:sz w:val="22"/>
        <w:szCs w:val="22"/>
      </w:rPr>
      <w:t xml:space="preserve"> CMR </w:t>
    </w:r>
    <w:r w:rsidRPr="004F4D55">
      <w:rPr>
        <w:sz w:val="22"/>
        <w:szCs w:val="22"/>
      </w:rPr>
      <w:t>3</w:t>
    </w:r>
    <w:r w:rsidR="00055B9B" w:rsidRPr="004F4D55">
      <w:rPr>
        <w:sz w:val="22"/>
        <w:szCs w:val="22"/>
      </w:rPr>
      <w:t>53.00: PAYMENT FOR PRIMARY CARE CLINICIAN PLAN SERVICES</w:t>
    </w:r>
    <w:r w:rsidR="0072553B">
      <w:rPr>
        <w:sz w:val="22"/>
        <w:szCs w:val="22"/>
      </w:rPr>
      <w:t xml:space="preserve"> AND PRIMARY CARE ACO PARTICIPATING PRIMARY CARE PROVIDER SERVICES</w:t>
    </w:r>
  </w:p>
  <w:p w14:paraId="53BEF9B5" w14:textId="77777777" w:rsidR="00433DB1" w:rsidRDefault="00433DB1" w:rsidP="004F4D55">
    <w:pPr>
      <w:spacing w:line="240" w:lineRule="exact"/>
      <w:ind w:left="720" w:hanging="720"/>
      <w:jc w:val="center"/>
      <w:rPr>
        <w:sz w:val="22"/>
        <w:szCs w:val="22"/>
      </w:rPr>
    </w:pPr>
  </w:p>
  <w:p w14:paraId="7629093C" w14:textId="77777777" w:rsidR="00433DB1" w:rsidRPr="004F4D55" w:rsidRDefault="00433DB1" w:rsidP="004F4D55">
    <w:pPr>
      <w:spacing w:line="240" w:lineRule="exact"/>
      <w:ind w:left="720" w:hanging="720"/>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7164"/>
    <w:multiLevelType w:val="hybridMultilevel"/>
    <w:tmpl w:val="F348AAB2"/>
    <w:lvl w:ilvl="0" w:tplc="A598344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1AEAA80">
      <w:start w:val="2"/>
      <w:numFmt w:val="lowerRoman"/>
      <w:lvlText w:val="(%4)"/>
      <w:lvlJc w:val="left"/>
      <w:pPr>
        <w:tabs>
          <w:tab w:val="num" w:pos="3420"/>
        </w:tabs>
        <w:ind w:left="3420" w:hanging="72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104261A2"/>
    <w:multiLevelType w:val="multilevel"/>
    <w:tmpl w:val="0054F098"/>
    <w:lvl w:ilvl="0">
      <w:start w:val="2"/>
      <w:numFmt w:val="lowerRoman"/>
      <w:lvlText w:val="(%1)"/>
      <w:lvlJc w:val="left"/>
      <w:pPr>
        <w:tabs>
          <w:tab w:val="num" w:pos="1800"/>
        </w:tabs>
        <w:ind w:left="1800" w:hanging="720"/>
      </w:pPr>
      <w:rPr>
        <w:rFonts w:hint="default"/>
        <w:b w:val="0"/>
        <w:i w:val="0"/>
        <w:color w:val="auto"/>
      </w:rPr>
    </w:lvl>
    <w:lvl w:ilvl="1">
      <w:start w:val="1"/>
      <w:numFmt w:val="lowerLetter"/>
      <w:lvlText w:val="%2."/>
      <w:lvlJc w:val="left"/>
      <w:pPr>
        <w:tabs>
          <w:tab w:val="num" w:pos="2160"/>
        </w:tabs>
        <w:ind w:left="2160" w:hanging="360"/>
      </w:pPr>
      <w:rPr>
        <w:b w:val="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112B44F4"/>
    <w:multiLevelType w:val="hybridMultilevel"/>
    <w:tmpl w:val="61CE7F1E"/>
    <w:lvl w:ilvl="0" w:tplc="4F501532">
      <w:start w:val="1"/>
      <w:numFmt w:val="decimal"/>
      <w:lvlText w:val="(%1)"/>
      <w:lvlJc w:val="left"/>
      <w:pPr>
        <w:ind w:left="900" w:hanging="360"/>
      </w:pPr>
      <w:rPr>
        <w:u w:val="singl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nsid w:val="1907468B"/>
    <w:multiLevelType w:val="multilevel"/>
    <w:tmpl w:val="DB947B54"/>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nsid w:val="1A3E6995"/>
    <w:multiLevelType w:val="multilevel"/>
    <w:tmpl w:val="99F0296C"/>
    <w:lvl w:ilvl="0">
      <w:start w:val="11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A14788C"/>
    <w:multiLevelType w:val="multilevel"/>
    <w:tmpl w:val="0054F098"/>
    <w:lvl w:ilvl="0">
      <w:start w:val="2"/>
      <w:numFmt w:val="lowerRoman"/>
      <w:lvlText w:val="(%1)"/>
      <w:lvlJc w:val="left"/>
      <w:pPr>
        <w:tabs>
          <w:tab w:val="num" w:pos="1800"/>
        </w:tabs>
        <w:ind w:left="1800" w:hanging="720"/>
      </w:pPr>
      <w:rPr>
        <w:rFonts w:hint="default"/>
        <w:b w:val="0"/>
        <w:i w:val="0"/>
        <w:color w:val="auto"/>
      </w:rPr>
    </w:lvl>
    <w:lvl w:ilvl="1">
      <w:start w:val="1"/>
      <w:numFmt w:val="lowerLetter"/>
      <w:lvlText w:val="%2."/>
      <w:lvlJc w:val="left"/>
      <w:pPr>
        <w:tabs>
          <w:tab w:val="num" w:pos="2160"/>
        </w:tabs>
        <w:ind w:left="2160" w:hanging="360"/>
      </w:pPr>
      <w:rPr>
        <w:b w:val="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nsid w:val="2B156E5D"/>
    <w:multiLevelType w:val="hybridMultilevel"/>
    <w:tmpl w:val="0054F098"/>
    <w:lvl w:ilvl="0" w:tplc="76C855DE">
      <w:start w:val="2"/>
      <w:numFmt w:val="lowerRoman"/>
      <w:lvlText w:val="(%1)"/>
      <w:lvlJc w:val="left"/>
      <w:pPr>
        <w:tabs>
          <w:tab w:val="num" w:pos="1800"/>
        </w:tabs>
        <w:ind w:left="1800" w:hanging="720"/>
      </w:pPr>
      <w:rPr>
        <w:rFonts w:hint="default"/>
        <w:b w:val="0"/>
        <w:i w:val="0"/>
        <w:color w:val="auto"/>
      </w:rPr>
    </w:lvl>
    <w:lvl w:ilvl="1" w:tplc="9E2EE990">
      <w:start w:val="1"/>
      <w:numFmt w:val="lowerLetter"/>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9B18D8"/>
    <w:multiLevelType w:val="hybridMultilevel"/>
    <w:tmpl w:val="C23C16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89E5D82">
      <w:start w:val="1"/>
      <w:numFmt w:val="lowerLetter"/>
      <w:lvlText w:val="%3."/>
      <w:lvlJc w:val="left"/>
      <w:pPr>
        <w:ind w:left="2160" w:hanging="180"/>
      </w:pPr>
      <w:rPr>
        <w:b w:val="0"/>
        <w:i w:val="0"/>
      </w:rPr>
    </w:lvl>
    <w:lvl w:ilvl="3" w:tplc="BCD4A170">
      <w:start w:val="1"/>
      <w:numFmt w:val="decimal"/>
      <w:lvlText w:val="%4."/>
      <w:lvlJc w:val="left"/>
      <w:pPr>
        <w:ind w:left="2880" w:hanging="360"/>
      </w:pPr>
      <w:rPr>
        <w:b w:val="0"/>
        <w:i w:val="0"/>
      </w:rPr>
    </w:lvl>
    <w:lvl w:ilvl="4" w:tplc="04090019">
      <w:start w:val="1"/>
      <w:numFmt w:val="lowerLetter"/>
      <w:lvlText w:val="%5."/>
      <w:lvlJc w:val="left"/>
      <w:pPr>
        <w:ind w:left="3420" w:hanging="18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14A83"/>
    <w:multiLevelType w:val="hybridMultilevel"/>
    <w:tmpl w:val="B0F42556"/>
    <w:lvl w:ilvl="0" w:tplc="9E2EE990">
      <w:start w:val="1"/>
      <w:numFmt w:val="lowerLetter"/>
      <w:lvlText w:val="%1."/>
      <w:lvlJc w:val="left"/>
      <w:pPr>
        <w:tabs>
          <w:tab w:val="num" w:pos="2160"/>
        </w:tabs>
        <w:ind w:left="21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D3348D"/>
    <w:multiLevelType w:val="hybridMultilevel"/>
    <w:tmpl w:val="5FB05232"/>
    <w:lvl w:ilvl="0" w:tplc="DDE6573E">
      <w:start w:val="1"/>
      <w:numFmt w:val="lowerRoman"/>
      <w:lvlText w:val="(%1)"/>
      <w:lvlJc w:val="left"/>
      <w:pPr>
        <w:tabs>
          <w:tab w:val="num" w:pos="2160"/>
        </w:tabs>
        <w:ind w:left="2160" w:hanging="720"/>
      </w:pPr>
      <w:rPr>
        <w:rFonts w:hint="default"/>
        <w:b w:val="0"/>
        <w:i w:val="0"/>
        <w:color w:val="auto"/>
      </w:rPr>
    </w:lvl>
    <w:lvl w:ilvl="1" w:tplc="BF9EA73A">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627054"/>
    <w:multiLevelType w:val="multilevel"/>
    <w:tmpl w:val="449C853A"/>
    <w:lvl w:ilvl="0">
      <w:start w:val="114"/>
      <w:numFmt w:val="decimal"/>
      <w:lvlText w:val="%1"/>
      <w:lvlJc w:val="left"/>
      <w:pPr>
        <w:tabs>
          <w:tab w:val="num" w:pos="540"/>
        </w:tabs>
        <w:ind w:left="540" w:hanging="540"/>
      </w:pPr>
      <w:rPr>
        <w:rFonts w:cs="Arial" w:hint="default"/>
        <w:color w:val="000000"/>
        <w:sz w:val="22"/>
      </w:rPr>
    </w:lvl>
    <w:lvl w:ilvl="1">
      <w:start w:val="3"/>
      <w:numFmt w:val="decimal"/>
      <w:lvlText w:val="%1.%2"/>
      <w:lvlJc w:val="left"/>
      <w:pPr>
        <w:tabs>
          <w:tab w:val="num" w:pos="540"/>
        </w:tabs>
        <w:ind w:left="540" w:hanging="540"/>
      </w:pPr>
      <w:rPr>
        <w:rFonts w:cs="Arial" w:hint="default"/>
        <w:color w:val="000000"/>
        <w:sz w:val="22"/>
      </w:rPr>
    </w:lvl>
    <w:lvl w:ilvl="2">
      <w:start w:val="1"/>
      <w:numFmt w:val="decimal"/>
      <w:lvlText w:val="%1.%2.%3"/>
      <w:lvlJc w:val="left"/>
      <w:pPr>
        <w:tabs>
          <w:tab w:val="num" w:pos="720"/>
        </w:tabs>
        <w:ind w:left="720" w:hanging="720"/>
      </w:pPr>
      <w:rPr>
        <w:rFonts w:cs="Arial" w:hint="default"/>
        <w:color w:val="000000"/>
        <w:sz w:val="22"/>
      </w:rPr>
    </w:lvl>
    <w:lvl w:ilvl="3">
      <w:start w:val="1"/>
      <w:numFmt w:val="decimal"/>
      <w:lvlText w:val="%1.%2.%3.%4"/>
      <w:lvlJc w:val="left"/>
      <w:pPr>
        <w:tabs>
          <w:tab w:val="num" w:pos="1080"/>
        </w:tabs>
        <w:ind w:left="1080" w:hanging="1080"/>
      </w:pPr>
      <w:rPr>
        <w:rFonts w:cs="Arial" w:hint="default"/>
        <w:color w:val="000000"/>
        <w:sz w:val="22"/>
      </w:rPr>
    </w:lvl>
    <w:lvl w:ilvl="4">
      <w:start w:val="1"/>
      <w:numFmt w:val="decimal"/>
      <w:lvlText w:val="%1.%2.%3.%4.%5"/>
      <w:lvlJc w:val="left"/>
      <w:pPr>
        <w:tabs>
          <w:tab w:val="num" w:pos="1080"/>
        </w:tabs>
        <w:ind w:left="1080" w:hanging="1080"/>
      </w:pPr>
      <w:rPr>
        <w:rFonts w:cs="Arial" w:hint="default"/>
        <w:color w:val="000000"/>
        <w:sz w:val="22"/>
      </w:rPr>
    </w:lvl>
    <w:lvl w:ilvl="5">
      <w:start w:val="1"/>
      <w:numFmt w:val="decimal"/>
      <w:lvlText w:val="%1.%2.%3.%4.%5.%6"/>
      <w:lvlJc w:val="left"/>
      <w:pPr>
        <w:tabs>
          <w:tab w:val="num" w:pos="1440"/>
        </w:tabs>
        <w:ind w:left="1440" w:hanging="1440"/>
      </w:pPr>
      <w:rPr>
        <w:rFonts w:cs="Arial" w:hint="default"/>
        <w:color w:val="000000"/>
        <w:sz w:val="22"/>
      </w:rPr>
    </w:lvl>
    <w:lvl w:ilvl="6">
      <w:start w:val="1"/>
      <w:numFmt w:val="decimal"/>
      <w:lvlText w:val="%1.%2.%3.%4.%5.%6.%7"/>
      <w:lvlJc w:val="left"/>
      <w:pPr>
        <w:tabs>
          <w:tab w:val="num" w:pos="1440"/>
        </w:tabs>
        <w:ind w:left="1440" w:hanging="1440"/>
      </w:pPr>
      <w:rPr>
        <w:rFonts w:cs="Arial" w:hint="default"/>
        <w:color w:val="000000"/>
        <w:sz w:val="22"/>
      </w:rPr>
    </w:lvl>
    <w:lvl w:ilvl="7">
      <w:start w:val="1"/>
      <w:numFmt w:val="decimal"/>
      <w:lvlText w:val="%1.%2.%3.%4.%5.%6.%7.%8"/>
      <w:lvlJc w:val="left"/>
      <w:pPr>
        <w:tabs>
          <w:tab w:val="num" w:pos="1800"/>
        </w:tabs>
        <w:ind w:left="1800" w:hanging="1800"/>
      </w:pPr>
      <w:rPr>
        <w:rFonts w:cs="Arial" w:hint="default"/>
        <w:color w:val="000000"/>
        <w:sz w:val="22"/>
      </w:rPr>
    </w:lvl>
    <w:lvl w:ilvl="8">
      <w:start w:val="1"/>
      <w:numFmt w:val="decimal"/>
      <w:lvlText w:val="%1.%2.%3.%4.%5.%6.%7.%8.%9"/>
      <w:lvlJc w:val="left"/>
      <w:pPr>
        <w:tabs>
          <w:tab w:val="num" w:pos="1800"/>
        </w:tabs>
        <w:ind w:left="1800" w:hanging="1800"/>
      </w:pPr>
      <w:rPr>
        <w:rFonts w:cs="Arial" w:hint="default"/>
        <w:color w:val="000000"/>
        <w:sz w:val="22"/>
      </w:rPr>
    </w:lvl>
  </w:abstractNum>
  <w:abstractNum w:abstractNumId="11">
    <w:nsid w:val="6654689D"/>
    <w:multiLevelType w:val="multilevel"/>
    <w:tmpl w:val="5FB05232"/>
    <w:lvl w:ilvl="0">
      <w:start w:val="1"/>
      <w:numFmt w:val="lowerRoman"/>
      <w:lvlText w:val="(%1)"/>
      <w:lvlJc w:val="left"/>
      <w:pPr>
        <w:tabs>
          <w:tab w:val="num" w:pos="2160"/>
        </w:tabs>
        <w:ind w:left="2160" w:hanging="720"/>
      </w:pPr>
      <w:rPr>
        <w:rFonts w:hint="default"/>
        <w:b w:val="0"/>
        <w:i w:val="0"/>
        <w:color w:val="auto"/>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87530D6"/>
    <w:multiLevelType w:val="hybridMultilevel"/>
    <w:tmpl w:val="91CA6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6D79CF"/>
    <w:multiLevelType w:val="hybridMultilevel"/>
    <w:tmpl w:val="F2DA2F78"/>
    <w:lvl w:ilvl="0" w:tplc="E832601E">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317107E"/>
    <w:multiLevelType w:val="hybridMultilevel"/>
    <w:tmpl w:val="C58065B0"/>
    <w:lvl w:ilvl="0" w:tplc="72187562">
      <w:start w:val="4"/>
      <w:numFmt w:val="lowerLetter"/>
      <w:lvlText w:val="%1."/>
      <w:lvlJc w:val="left"/>
      <w:pPr>
        <w:tabs>
          <w:tab w:val="num" w:pos="2880"/>
        </w:tabs>
        <w:ind w:left="2880" w:hanging="720"/>
      </w:pPr>
      <w:rPr>
        <w:rFonts w:hint="default"/>
        <w:b w:val="0"/>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13"/>
  </w:num>
  <w:num w:numId="3">
    <w:abstractNumId w:val="6"/>
  </w:num>
  <w:num w:numId="4">
    <w:abstractNumId w:val="12"/>
  </w:num>
  <w:num w:numId="5">
    <w:abstractNumId w:val="4"/>
  </w:num>
  <w:num w:numId="6">
    <w:abstractNumId w:val="10"/>
  </w:num>
  <w:num w:numId="7">
    <w:abstractNumId w:val="5"/>
  </w:num>
  <w:num w:numId="8">
    <w:abstractNumId w:val="9"/>
  </w:num>
  <w:num w:numId="9">
    <w:abstractNumId w:val="1"/>
  </w:num>
  <w:num w:numId="10">
    <w:abstractNumId w:val="8"/>
  </w:num>
  <w:num w:numId="11">
    <w:abstractNumId w:val="7"/>
  </w:num>
  <w:num w:numId="12">
    <w:abstractNumId w:val="14"/>
  </w:num>
  <w:num w:numId="13">
    <w:abstractNumId w:val="3"/>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672C"/>
    <w:rsid w:val="00006EF3"/>
    <w:rsid w:val="000242C6"/>
    <w:rsid w:val="000274F6"/>
    <w:rsid w:val="00027B69"/>
    <w:rsid w:val="000462E2"/>
    <w:rsid w:val="00050F16"/>
    <w:rsid w:val="00055B9B"/>
    <w:rsid w:val="00062623"/>
    <w:rsid w:val="0006296B"/>
    <w:rsid w:val="00065654"/>
    <w:rsid w:val="0007459D"/>
    <w:rsid w:val="00077FA2"/>
    <w:rsid w:val="00087D16"/>
    <w:rsid w:val="000C2236"/>
    <w:rsid w:val="000D18A9"/>
    <w:rsid w:val="000D58F6"/>
    <w:rsid w:val="000E213C"/>
    <w:rsid w:val="000F271F"/>
    <w:rsid w:val="000F2FC2"/>
    <w:rsid w:val="000F56D9"/>
    <w:rsid w:val="001266A7"/>
    <w:rsid w:val="0013593E"/>
    <w:rsid w:val="00135ACF"/>
    <w:rsid w:val="00142CAF"/>
    <w:rsid w:val="0014778D"/>
    <w:rsid w:val="0015507C"/>
    <w:rsid w:val="00164FA9"/>
    <w:rsid w:val="00172175"/>
    <w:rsid w:val="00173295"/>
    <w:rsid w:val="00176DBB"/>
    <w:rsid w:val="00177513"/>
    <w:rsid w:val="0019693A"/>
    <w:rsid w:val="001B1DEF"/>
    <w:rsid w:val="001B53C2"/>
    <w:rsid w:val="001B658D"/>
    <w:rsid w:val="001C5B32"/>
    <w:rsid w:val="001C5E82"/>
    <w:rsid w:val="001D187E"/>
    <w:rsid w:val="001F1A12"/>
    <w:rsid w:val="001F1DAF"/>
    <w:rsid w:val="001F45A4"/>
    <w:rsid w:val="001F4E4A"/>
    <w:rsid w:val="00203723"/>
    <w:rsid w:val="002053F0"/>
    <w:rsid w:val="002131FF"/>
    <w:rsid w:val="00214524"/>
    <w:rsid w:val="00220C6F"/>
    <w:rsid w:val="00233FD0"/>
    <w:rsid w:val="00236687"/>
    <w:rsid w:val="00247F6C"/>
    <w:rsid w:val="00251610"/>
    <w:rsid w:val="00260825"/>
    <w:rsid w:val="00261105"/>
    <w:rsid w:val="00262F72"/>
    <w:rsid w:val="00263BD1"/>
    <w:rsid w:val="00264E35"/>
    <w:rsid w:val="00264EE1"/>
    <w:rsid w:val="00265501"/>
    <w:rsid w:val="00282FEB"/>
    <w:rsid w:val="00295AC2"/>
    <w:rsid w:val="002A0501"/>
    <w:rsid w:val="002A33FB"/>
    <w:rsid w:val="002B5E5F"/>
    <w:rsid w:val="002D20F3"/>
    <w:rsid w:val="002E3ED1"/>
    <w:rsid w:val="002F06AC"/>
    <w:rsid w:val="00301D39"/>
    <w:rsid w:val="003332DB"/>
    <w:rsid w:val="00355827"/>
    <w:rsid w:val="003608C7"/>
    <w:rsid w:val="00362D03"/>
    <w:rsid w:val="00363072"/>
    <w:rsid w:val="00381396"/>
    <w:rsid w:val="0038672C"/>
    <w:rsid w:val="00387838"/>
    <w:rsid w:val="003906EB"/>
    <w:rsid w:val="00392DE4"/>
    <w:rsid w:val="003A26B4"/>
    <w:rsid w:val="003A52EB"/>
    <w:rsid w:val="003A5ACD"/>
    <w:rsid w:val="003A5EB3"/>
    <w:rsid w:val="003C1C62"/>
    <w:rsid w:val="003C20D0"/>
    <w:rsid w:val="003C3465"/>
    <w:rsid w:val="003E3F4F"/>
    <w:rsid w:val="003E6C6B"/>
    <w:rsid w:val="003E7E2A"/>
    <w:rsid w:val="003F6822"/>
    <w:rsid w:val="00400690"/>
    <w:rsid w:val="00404D57"/>
    <w:rsid w:val="004114E7"/>
    <w:rsid w:val="004120C5"/>
    <w:rsid w:val="004149E7"/>
    <w:rsid w:val="0041749E"/>
    <w:rsid w:val="00433DB1"/>
    <w:rsid w:val="00436355"/>
    <w:rsid w:val="004470E2"/>
    <w:rsid w:val="0046632A"/>
    <w:rsid w:val="00470032"/>
    <w:rsid w:val="00471898"/>
    <w:rsid w:val="00471C93"/>
    <w:rsid w:val="004730DA"/>
    <w:rsid w:val="00473CE5"/>
    <w:rsid w:val="004860F5"/>
    <w:rsid w:val="00486754"/>
    <w:rsid w:val="004872C8"/>
    <w:rsid w:val="004C103A"/>
    <w:rsid w:val="004C1E5A"/>
    <w:rsid w:val="004C3AA9"/>
    <w:rsid w:val="004C68BF"/>
    <w:rsid w:val="004D3C2F"/>
    <w:rsid w:val="004E1653"/>
    <w:rsid w:val="004E2D3B"/>
    <w:rsid w:val="004F2F11"/>
    <w:rsid w:val="004F4D55"/>
    <w:rsid w:val="00513BFA"/>
    <w:rsid w:val="00521F6B"/>
    <w:rsid w:val="00531F91"/>
    <w:rsid w:val="00542D95"/>
    <w:rsid w:val="0054356C"/>
    <w:rsid w:val="00544114"/>
    <w:rsid w:val="00556143"/>
    <w:rsid w:val="005652FB"/>
    <w:rsid w:val="00566109"/>
    <w:rsid w:val="0058223E"/>
    <w:rsid w:val="00591211"/>
    <w:rsid w:val="00597F1F"/>
    <w:rsid w:val="005A0069"/>
    <w:rsid w:val="005A2890"/>
    <w:rsid w:val="005A3982"/>
    <w:rsid w:val="005B4B93"/>
    <w:rsid w:val="005C087E"/>
    <w:rsid w:val="005D7D47"/>
    <w:rsid w:val="005E1F62"/>
    <w:rsid w:val="005E2A37"/>
    <w:rsid w:val="005F15E8"/>
    <w:rsid w:val="006017EC"/>
    <w:rsid w:val="00607B5C"/>
    <w:rsid w:val="006121C5"/>
    <w:rsid w:val="00624F26"/>
    <w:rsid w:val="006326B5"/>
    <w:rsid w:val="0063493C"/>
    <w:rsid w:val="00635F69"/>
    <w:rsid w:val="00640614"/>
    <w:rsid w:val="00646312"/>
    <w:rsid w:val="00646581"/>
    <w:rsid w:val="00652DF5"/>
    <w:rsid w:val="00654D58"/>
    <w:rsid w:val="00655AD0"/>
    <w:rsid w:val="006757E0"/>
    <w:rsid w:val="006A1BF5"/>
    <w:rsid w:val="006A2726"/>
    <w:rsid w:val="006B2B0D"/>
    <w:rsid w:val="006B2B69"/>
    <w:rsid w:val="006B581D"/>
    <w:rsid w:val="006C1628"/>
    <w:rsid w:val="006C22B2"/>
    <w:rsid w:val="006C78B0"/>
    <w:rsid w:val="006E007A"/>
    <w:rsid w:val="006E1B05"/>
    <w:rsid w:val="006E7234"/>
    <w:rsid w:val="00705342"/>
    <w:rsid w:val="00710D7E"/>
    <w:rsid w:val="0072553B"/>
    <w:rsid w:val="00726726"/>
    <w:rsid w:val="00726F11"/>
    <w:rsid w:val="007306ED"/>
    <w:rsid w:val="007309DA"/>
    <w:rsid w:val="00730CE8"/>
    <w:rsid w:val="007311A6"/>
    <w:rsid w:val="0074384C"/>
    <w:rsid w:val="00761FFB"/>
    <w:rsid w:val="00766FEE"/>
    <w:rsid w:val="0076728E"/>
    <w:rsid w:val="00781781"/>
    <w:rsid w:val="00786BEB"/>
    <w:rsid w:val="007953B7"/>
    <w:rsid w:val="00795F62"/>
    <w:rsid w:val="00797A2C"/>
    <w:rsid w:val="007A550B"/>
    <w:rsid w:val="007B6A01"/>
    <w:rsid w:val="007C0C85"/>
    <w:rsid w:val="007D1BD0"/>
    <w:rsid w:val="007E120B"/>
    <w:rsid w:val="007F772A"/>
    <w:rsid w:val="00806329"/>
    <w:rsid w:val="008078F1"/>
    <w:rsid w:val="008106A2"/>
    <w:rsid w:val="00816EC0"/>
    <w:rsid w:val="00830A19"/>
    <w:rsid w:val="00833C93"/>
    <w:rsid w:val="00834717"/>
    <w:rsid w:val="00834823"/>
    <w:rsid w:val="00854FCD"/>
    <w:rsid w:val="00857392"/>
    <w:rsid w:val="00860A57"/>
    <w:rsid w:val="00866A19"/>
    <w:rsid w:val="008706BD"/>
    <w:rsid w:val="00882552"/>
    <w:rsid w:val="008926A0"/>
    <w:rsid w:val="008B4B51"/>
    <w:rsid w:val="008B7660"/>
    <w:rsid w:val="008B78E8"/>
    <w:rsid w:val="008C47E3"/>
    <w:rsid w:val="008C4BFC"/>
    <w:rsid w:val="008D53B7"/>
    <w:rsid w:val="008E7385"/>
    <w:rsid w:val="008F6CCD"/>
    <w:rsid w:val="00900397"/>
    <w:rsid w:val="00903B12"/>
    <w:rsid w:val="0092435D"/>
    <w:rsid w:val="00945EA8"/>
    <w:rsid w:val="00957B62"/>
    <w:rsid w:val="00962D64"/>
    <w:rsid w:val="00977F2A"/>
    <w:rsid w:val="00980639"/>
    <w:rsid w:val="009B0F07"/>
    <w:rsid w:val="009B6B56"/>
    <w:rsid w:val="009C225C"/>
    <w:rsid w:val="009E0CAC"/>
    <w:rsid w:val="009E6E9A"/>
    <w:rsid w:val="009F77A5"/>
    <w:rsid w:val="009F7FBD"/>
    <w:rsid w:val="00A02AFD"/>
    <w:rsid w:val="00A17FFC"/>
    <w:rsid w:val="00A30FA9"/>
    <w:rsid w:val="00A42EB0"/>
    <w:rsid w:val="00A45948"/>
    <w:rsid w:val="00A622D3"/>
    <w:rsid w:val="00A64D6E"/>
    <w:rsid w:val="00A6509B"/>
    <w:rsid w:val="00A7438B"/>
    <w:rsid w:val="00A747AC"/>
    <w:rsid w:val="00A808B4"/>
    <w:rsid w:val="00A80CC3"/>
    <w:rsid w:val="00A832E1"/>
    <w:rsid w:val="00A86C67"/>
    <w:rsid w:val="00A95770"/>
    <w:rsid w:val="00AC0206"/>
    <w:rsid w:val="00AC1DF5"/>
    <w:rsid w:val="00AD0BA7"/>
    <w:rsid w:val="00AD7062"/>
    <w:rsid w:val="00AE43E7"/>
    <w:rsid w:val="00AF0959"/>
    <w:rsid w:val="00AF7A5C"/>
    <w:rsid w:val="00B21F06"/>
    <w:rsid w:val="00B46B6A"/>
    <w:rsid w:val="00B52693"/>
    <w:rsid w:val="00B53E18"/>
    <w:rsid w:val="00B571BE"/>
    <w:rsid w:val="00B57891"/>
    <w:rsid w:val="00B6645D"/>
    <w:rsid w:val="00B71178"/>
    <w:rsid w:val="00B743A5"/>
    <w:rsid w:val="00B7653D"/>
    <w:rsid w:val="00B77956"/>
    <w:rsid w:val="00B80E75"/>
    <w:rsid w:val="00B81E8C"/>
    <w:rsid w:val="00B94494"/>
    <w:rsid w:val="00BA1701"/>
    <w:rsid w:val="00BA5B24"/>
    <w:rsid w:val="00BB37D3"/>
    <w:rsid w:val="00BC0045"/>
    <w:rsid w:val="00BC391E"/>
    <w:rsid w:val="00BD4C3E"/>
    <w:rsid w:val="00BE340F"/>
    <w:rsid w:val="00BE6E89"/>
    <w:rsid w:val="00BF0C37"/>
    <w:rsid w:val="00BF3281"/>
    <w:rsid w:val="00C03F9F"/>
    <w:rsid w:val="00C06F1B"/>
    <w:rsid w:val="00C25485"/>
    <w:rsid w:val="00C278DC"/>
    <w:rsid w:val="00C4091E"/>
    <w:rsid w:val="00C435D4"/>
    <w:rsid w:val="00C46299"/>
    <w:rsid w:val="00C46DB0"/>
    <w:rsid w:val="00C5247F"/>
    <w:rsid w:val="00C60EB9"/>
    <w:rsid w:val="00C677D2"/>
    <w:rsid w:val="00C75E8B"/>
    <w:rsid w:val="00C81D62"/>
    <w:rsid w:val="00C85119"/>
    <w:rsid w:val="00C90465"/>
    <w:rsid w:val="00C96A93"/>
    <w:rsid w:val="00CD2695"/>
    <w:rsid w:val="00CD61BE"/>
    <w:rsid w:val="00CE7453"/>
    <w:rsid w:val="00D02521"/>
    <w:rsid w:val="00D05DDE"/>
    <w:rsid w:val="00D136D0"/>
    <w:rsid w:val="00D519E1"/>
    <w:rsid w:val="00D63CA0"/>
    <w:rsid w:val="00D647FD"/>
    <w:rsid w:val="00D7021A"/>
    <w:rsid w:val="00D71E34"/>
    <w:rsid w:val="00D724E6"/>
    <w:rsid w:val="00D730C4"/>
    <w:rsid w:val="00D81AB6"/>
    <w:rsid w:val="00D828FA"/>
    <w:rsid w:val="00D8438B"/>
    <w:rsid w:val="00D94A36"/>
    <w:rsid w:val="00DB3CA7"/>
    <w:rsid w:val="00DF028C"/>
    <w:rsid w:val="00E13694"/>
    <w:rsid w:val="00E15DCF"/>
    <w:rsid w:val="00E201D9"/>
    <w:rsid w:val="00E26185"/>
    <w:rsid w:val="00E56940"/>
    <w:rsid w:val="00E61FD5"/>
    <w:rsid w:val="00E72002"/>
    <w:rsid w:val="00E732FB"/>
    <w:rsid w:val="00E95BBD"/>
    <w:rsid w:val="00E96D65"/>
    <w:rsid w:val="00EA1B7D"/>
    <w:rsid w:val="00EB0A59"/>
    <w:rsid w:val="00EB12FC"/>
    <w:rsid w:val="00ED4A52"/>
    <w:rsid w:val="00EE188D"/>
    <w:rsid w:val="00EE326B"/>
    <w:rsid w:val="00EE5A47"/>
    <w:rsid w:val="00EE7E12"/>
    <w:rsid w:val="00EF1057"/>
    <w:rsid w:val="00F00B68"/>
    <w:rsid w:val="00F06E2E"/>
    <w:rsid w:val="00F16A58"/>
    <w:rsid w:val="00F233AA"/>
    <w:rsid w:val="00F33888"/>
    <w:rsid w:val="00F45BCB"/>
    <w:rsid w:val="00F72B78"/>
    <w:rsid w:val="00F735E2"/>
    <w:rsid w:val="00F73AAE"/>
    <w:rsid w:val="00F76E56"/>
    <w:rsid w:val="00F80390"/>
    <w:rsid w:val="00F96EBC"/>
    <w:rsid w:val="00FA102E"/>
    <w:rsid w:val="00FA1E13"/>
    <w:rsid w:val="00FC103E"/>
    <w:rsid w:val="00FC1931"/>
    <w:rsid w:val="00FC20AD"/>
    <w:rsid w:val="00FC62B0"/>
    <w:rsid w:val="00FD1E49"/>
    <w:rsid w:val="00FD1F43"/>
    <w:rsid w:val="00FE2C0D"/>
    <w:rsid w:val="00FE36E9"/>
    <w:rsid w:val="00FE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672C"/>
    <w:pPr>
      <w:tabs>
        <w:tab w:val="center" w:pos="4320"/>
        <w:tab w:val="right" w:pos="8640"/>
      </w:tabs>
    </w:pPr>
  </w:style>
  <w:style w:type="character" w:styleId="PageNumber">
    <w:name w:val="page number"/>
    <w:basedOn w:val="DefaultParagraphFont"/>
    <w:rsid w:val="0038672C"/>
  </w:style>
  <w:style w:type="paragraph" w:styleId="BalloonText">
    <w:name w:val="Balloon Text"/>
    <w:basedOn w:val="Normal"/>
    <w:semiHidden/>
    <w:rsid w:val="0038672C"/>
    <w:rPr>
      <w:rFonts w:ascii="Tahoma" w:hAnsi="Tahoma" w:cs="Tahoma"/>
      <w:sz w:val="16"/>
      <w:szCs w:val="16"/>
    </w:rPr>
  </w:style>
  <w:style w:type="paragraph" w:styleId="Header">
    <w:name w:val="header"/>
    <w:basedOn w:val="Normal"/>
    <w:rsid w:val="0007459D"/>
    <w:pPr>
      <w:tabs>
        <w:tab w:val="center" w:pos="4320"/>
        <w:tab w:val="right" w:pos="8640"/>
      </w:tabs>
    </w:pPr>
  </w:style>
  <w:style w:type="paragraph" w:customStyle="1" w:styleId="Default">
    <w:name w:val="Default"/>
    <w:rsid w:val="00FC62B0"/>
    <w:pPr>
      <w:autoSpaceDE w:val="0"/>
      <w:autoSpaceDN w:val="0"/>
      <w:adjustRightInd w:val="0"/>
    </w:pPr>
    <w:rPr>
      <w:rFonts w:ascii="Arial" w:hAnsi="Arial" w:cs="Arial"/>
      <w:color w:val="000000"/>
      <w:sz w:val="24"/>
      <w:szCs w:val="24"/>
    </w:rPr>
  </w:style>
  <w:style w:type="paragraph" w:customStyle="1" w:styleId="Normal1">
    <w:name w:val="Normal1"/>
    <w:basedOn w:val="Normal"/>
    <w:rsid w:val="00EE5A47"/>
    <w:pPr>
      <w:tabs>
        <w:tab w:val="left" w:pos="994"/>
        <w:tab w:val="left" w:pos="1320"/>
        <w:tab w:val="left" w:pos="1698"/>
        <w:tab w:val="left" w:pos="2076"/>
        <w:tab w:val="left" w:pos="2454"/>
      </w:tabs>
      <w:suppressAutoHyphens/>
      <w:ind w:left="994"/>
    </w:pPr>
    <w:rPr>
      <w:rFonts w:ascii="Times" w:hAnsi="Times" w:cs="Times"/>
      <w:sz w:val="22"/>
      <w:szCs w:val="22"/>
    </w:rPr>
  </w:style>
  <w:style w:type="paragraph" w:customStyle="1" w:styleId="CM69">
    <w:name w:val="CM69"/>
    <w:basedOn w:val="Default"/>
    <w:next w:val="Default"/>
    <w:rsid w:val="00B53E18"/>
    <w:pPr>
      <w:spacing w:after="278"/>
    </w:pPr>
    <w:rPr>
      <w:rFonts w:ascii="Times New Roman" w:hAnsi="Times New Roman" w:cs="Times New Roman"/>
      <w:color w:val="auto"/>
    </w:rPr>
  </w:style>
  <w:style w:type="paragraph" w:customStyle="1" w:styleId="CM72">
    <w:name w:val="CM72"/>
    <w:basedOn w:val="Default"/>
    <w:next w:val="Default"/>
    <w:rsid w:val="00B53E18"/>
    <w:pPr>
      <w:spacing w:after="120"/>
    </w:pPr>
    <w:rPr>
      <w:rFonts w:ascii="Times New Roman" w:hAnsi="Times New Roman" w:cs="Times New Roman"/>
      <w:color w:val="auto"/>
    </w:rPr>
  </w:style>
  <w:style w:type="character" w:styleId="CommentReference">
    <w:name w:val="annotation reference"/>
    <w:semiHidden/>
    <w:rsid w:val="00BA5B24"/>
    <w:rPr>
      <w:sz w:val="16"/>
      <w:szCs w:val="16"/>
    </w:rPr>
  </w:style>
  <w:style w:type="paragraph" w:styleId="CommentText">
    <w:name w:val="annotation text"/>
    <w:basedOn w:val="Normal"/>
    <w:semiHidden/>
    <w:rsid w:val="00BA5B24"/>
  </w:style>
  <w:style w:type="paragraph" w:styleId="CommentSubject">
    <w:name w:val="annotation subject"/>
    <w:basedOn w:val="CommentText"/>
    <w:next w:val="CommentText"/>
    <w:semiHidden/>
    <w:rsid w:val="00BA5B24"/>
    <w:rPr>
      <w:b/>
      <w:bCs/>
    </w:rPr>
  </w:style>
  <w:style w:type="paragraph" w:styleId="DocumentMap">
    <w:name w:val="Document Map"/>
    <w:basedOn w:val="Normal"/>
    <w:semiHidden/>
    <w:rsid w:val="007F772A"/>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672C"/>
    <w:pPr>
      <w:tabs>
        <w:tab w:val="center" w:pos="4320"/>
        <w:tab w:val="right" w:pos="8640"/>
      </w:tabs>
    </w:pPr>
  </w:style>
  <w:style w:type="character" w:styleId="PageNumber">
    <w:name w:val="page number"/>
    <w:basedOn w:val="DefaultParagraphFont"/>
    <w:rsid w:val="0038672C"/>
  </w:style>
  <w:style w:type="paragraph" w:styleId="BalloonText">
    <w:name w:val="Balloon Text"/>
    <w:basedOn w:val="Normal"/>
    <w:semiHidden/>
    <w:rsid w:val="0038672C"/>
    <w:rPr>
      <w:rFonts w:ascii="Tahoma" w:hAnsi="Tahoma" w:cs="Tahoma"/>
      <w:sz w:val="16"/>
      <w:szCs w:val="16"/>
    </w:rPr>
  </w:style>
  <w:style w:type="paragraph" w:styleId="Header">
    <w:name w:val="header"/>
    <w:basedOn w:val="Normal"/>
    <w:rsid w:val="0007459D"/>
    <w:pPr>
      <w:tabs>
        <w:tab w:val="center" w:pos="4320"/>
        <w:tab w:val="right" w:pos="8640"/>
      </w:tabs>
    </w:pPr>
  </w:style>
  <w:style w:type="paragraph" w:customStyle="1" w:styleId="Default">
    <w:name w:val="Default"/>
    <w:rsid w:val="00FC62B0"/>
    <w:pPr>
      <w:autoSpaceDE w:val="0"/>
      <w:autoSpaceDN w:val="0"/>
      <w:adjustRightInd w:val="0"/>
    </w:pPr>
    <w:rPr>
      <w:rFonts w:ascii="Arial" w:hAnsi="Arial" w:cs="Arial"/>
      <w:color w:val="000000"/>
      <w:sz w:val="24"/>
      <w:szCs w:val="24"/>
    </w:rPr>
  </w:style>
  <w:style w:type="paragraph" w:customStyle="1" w:styleId="Normal1">
    <w:name w:val="Normal1"/>
    <w:basedOn w:val="Normal"/>
    <w:rsid w:val="00EE5A47"/>
    <w:pPr>
      <w:tabs>
        <w:tab w:val="left" w:pos="994"/>
        <w:tab w:val="left" w:pos="1320"/>
        <w:tab w:val="left" w:pos="1698"/>
        <w:tab w:val="left" w:pos="2076"/>
        <w:tab w:val="left" w:pos="2454"/>
      </w:tabs>
      <w:suppressAutoHyphens/>
      <w:ind w:left="994"/>
    </w:pPr>
    <w:rPr>
      <w:rFonts w:ascii="Times" w:hAnsi="Times" w:cs="Times"/>
      <w:sz w:val="22"/>
      <w:szCs w:val="22"/>
    </w:rPr>
  </w:style>
  <w:style w:type="paragraph" w:customStyle="1" w:styleId="CM69">
    <w:name w:val="CM69"/>
    <w:basedOn w:val="Default"/>
    <w:next w:val="Default"/>
    <w:rsid w:val="00B53E18"/>
    <w:pPr>
      <w:spacing w:after="278"/>
    </w:pPr>
    <w:rPr>
      <w:rFonts w:ascii="Times New Roman" w:hAnsi="Times New Roman" w:cs="Times New Roman"/>
      <w:color w:val="auto"/>
    </w:rPr>
  </w:style>
  <w:style w:type="paragraph" w:customStyle="1" w:styleId="CM72">
    <w:name w:val="CM72"/>
    <w:basedOn w:val="Default"/>
    <w:next w:val="Default"/>
    <w:rsid w:val="00B53E18"/>
    <w:pPr>
      <w:spacing w:after="120"/>
    </w:pPr>
    <w:rPr>
      <w:rFonts w:ascii="Times New Roman" w:hAnsi="Times New Roman" w:cs="Times New Roman"/>
      <w:color w:val="auto"/>
    </w:rPr>
  </w:style>
  <w:style w:type="character" w:styleId="CommentReference">
    <w:name w:val="annotation reference"/>
    <w:semiHidden/>
    <w:rsid w:val="00BA5B24"/>
    <w:rPr>
      <w:sz w:val="16"/>
      <w:szCs w:val="16"/>
    </w:rPr>
  </w:style>
  <w:style w:type="paragraph" w:styleId="CommentText">
    <w:name w:val="annotation text"/>
    <w:basedOn w:val="Normal"/>
    <w:semiHidden/>
    <w:rsid w:val="00BA5B24"/>
  </w:style>
  <w:style w:type="paragraph" w:styleId="CommentSubject">
    <w:name w:val="annotation subject"/>
    <w:basedOn w:val="CommentText"/>
    <w:next w:val="CommentText"/>
    <w:semiHidden/>
    <w:rsid w:val="00BA5B24"/>
    <w:rPr>
      <w:b/>
      <w:bCs/>
    </w:rPr>
  </w:style>
  <w:style w:type="paragraph" w:styleId="DocumentMap">
    <w:name w:val="Document Map"/>
    <w:basedOn w:val="Normal"/>
    <w:semiHidden/>
    <w:rsid w:val="007F772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175481">
      <w:bodyDiv w:val="1"/>
      <w:marLeft w:val="0"/>
      <w:marRight w:val="0"/>
      <w:marTop w:val="0"/>
      <w:marBottom w:val="0"/>
      <w:divBdr>
        <w:top w:val="none" w:sz="0" w:space="0" w:color="auto"/>
        <w:left w:val="none" w:sz="0" w:space="0" w:color="auto"/>
        <w:bottom w:val="none" w:sz="0" w:space="0" w:color="auto"/>
        <w:right w:val="none" w:sz="0" w:space="0" w:color="auto"/>
      </w:divBdr>
    </w:div>
    <w:div w:id="14874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Section</vt:lpstr>
    </vt:vector>
  </TitlesOfParts>
  <Company>DHCFP</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Nancy Savoie</dc:creator>
  <cp:lastModifiedBy>Administrator</cp:lastModifiedBy>
  <cp:revision>2</cp:revision>
  <cp:lastPrinted>2020-11-19T18:20:00Z</cp:lastPrinted>
  <dcterms:created xsi:type="dcterms:W3CDTF">2021-04-30T17:11:00Z</dcterms:created>
  <dcterms:modified xsi:type="dcterms:W3CDTF">2021-04-30T17:11:00Z</dcterms:modified>
</cp:coreProperties>
</file>