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CBBC" w14:textId="0FAFB486" w:rsidR="001F1864" w:rsidRDefault="00C25951">
      <w:pPr>
        <w:pStyle w:val="BodyText"/>
        <w:ind w:left="140"/>
        <w:rPr>
          <w:rFonts w:ascii="Times New Roman"/>
          <w:sz w:val="20"/>
        </w:rPr>
      </w:pPr>
      <w:r>
        <w:rPr>
          <w:rFonts w:ascii="Times New Roman"/>
          <w:noProof/>
          <w:sz w:val="20"/>
        </w:rPr>
        <w:drawing>
          <wp:inline distT="0" distB="0" distL="0" distR="0" wp14:anchorId="0F07F678" wp14:editId="365CC1E5">
            <wp:extent cx="1143631" cy="566737"/>
            <wp:effectExtent l="0" t="0" r="0" b="5080"/>
            <wp:docPr id="1" name="image1.png"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3631" cy="566737"/>
                    </a:xfrm>
                    <a:prstGeom prst="rect">
                      <a:avLst/>
                    </a:prstGeom>
                  </pic:spPr>
                </pic:pic>
              </a:graphicData>
            </a:graphic>
          </wp:inline>
        </w:drawing>
      </w:r>
    </w:p>
    <w:p w14:paraId="6634CAA4" w14:textId="77777777" w:rsidR="001F1864" w:rsidRDefault="001F1864">
      <w:pPr>
        <w:pStyle w:val="BodyText"/>
        <w:rPr>
          <w:rFonts w:ascii="Times New Roman"/>
          <w:sz w:val="20"/>
        </w:rPr>
      </w:pPr>
    </w:p>
    <w:p w14:paraId="124EE7EC" w14:textId="5F362E10" w:rsidR="001F1864" w:rsidRDefault="00C25951">
      <w:pPr>
        <w:spacing w:before="244"/>
        <w:ind w:left="934"/>
        <w:rPr>
          <w:rFonts w:ascii="Arial"/>
          <w:b/>
          <w:sz w:val="32"/>
        </w:rPr>
      </w:pPr>
      <w:r>
        <w:rPr>
          <w:rFonts w:ascii="Arial"/>
          <w:b/>
          <w:sz w:val="32"/>
        </w:rPr>
        <w:t>MassHealth Pediatric Behavioral Health Medication</w:t>
      </w:r>
      <w:r>
        <w:rPr>
          <w:rFonts w:ascii="Arial"/>
          <w:b/>
          <w:spacing w:val="52"/>
          <w:sz w:val="32"/>
        </w:rPr>
        <w:t xml:space="preserve"> </w:t>
      </w:r>
      <w:bookmarkStart w:id="0" w:name="_Hlk92369656"/>
      <w:r w:rsidR="001E63EF" w:rsidRPr="001E63EF">
        <w:rPr>
          <w:rFonts w:ascii="Arial"/>
          <w:b/>
          <w:sz w:val="32"/>
        </w:rPr>
        <w:t>Initiative</w:t>
      </w:r>
      <w:bookmarkEnd w:id="0"/>
    </w:p>
    <w:p w14:paraId="78240340" w14:textId="6FC4D0AC" w:rsidR="001F1864" w:rsidRDefault="00C25951">
      <w:pPr>
        <w:pStyle w:val="BodyText"/>
        <w:rPr>
          <w:rFonts w:ascii="Arial"/>
          <w:b/>
          <w:sz w:val="18"/>
        </w:rPr>
      </w:pPr>
      <w:r>
        <w:rPr>
          <w:noProof/>
        </w:rPr>
        <mc:AlternateContent>
          <mc:Choice Requires="wps">
            <w:drawing>
              <wp:inline distT="0" distB="0" distL="0" distR="0" wp14:anchorId="64E3B130" wp14:editId="4FC1306C">
                <wp:extent cx="6858000" cy="0"/>
                <wp:effectExtent l="0" t="19050" r="0" b="19050"/>
                <wp:docPr id="4" name="Line 4" descr="Used to seperate the title information from the body of the document." title="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39598"/>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2439FD" id="Line 4" o:spid="_x0000_s1026" alt="Title: Border - Description: Used to seperate the title information from the body of the documen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" strokecolor="#939598" strokeweight="3pt">
                <w10:anchorlock/>
              </v:line>
            </w:pict>
          </mc:Fallback>
        </mc:AlternateContent>
      </w:r>
    </w:p>
    <w:p w14:paraId="189DA923" w14:textId="77777777" w:rsidR="001F1864" w:rsidRDefault="00C25951">
      <w:pPr>
        <w:pStyle w:val="Heading1"/>
        <w:ind w:left="4640" w:right="4640"/>
        <w:jc w:val="center"/>
      </w:pPr>
      <w:r>
        <w:t>BACKGROUND</w:t>
      </w:r>
    </w:p>
    <w:p w14:paraId="736E52FE" w14:textId="77777777" w:rsidR="001F1864" w:rsidRDefault="001F1864">
      <w:pPr>
        <w:pStyle w:val="BodyText"/>
        <w:spacing w:before="1"/>
        <w:rPr>
          <w:rFonts w:ascii="Arial"/>
          <w:b/>
          <w:sz w:val="24"/>
        </w:rPr>
      </w:pPr>
    </w:p>
    <w:p w14:paraId="6A72CBB6" w14:textId="77777777" w:rsidR="001F1864" w:rsidRDefault="00C25951">
      <w:pPr>
        <w:pStyle w:val="BodyText"/>
        <w:spacing w:before="1" w:line="232" w:lineRule="auto"/>
        <w:ind w:left="320" w:right="414"/>
      </w:pPr>
      <w:r>
        <w:t>The Pediatric Behavioral Health Medication Initiative proactively requires prior authorization for pediatric members (generally members less than 18 years of age) for certain behavioral health medication classes and/or specific medication combinations (i.e., polypharmacy) that have limited evidence for safety and efficacy in the pediatric population.</w:t>
      </w:r>
    </w:p>
    <w:p w14:paraId="50FE059E" w14:textId="70C355F9" w:rsidR="001F1864" w:rsidRDefault="00C25951">
      <w:pPr>
        <w:pStyle w:val="BodyText"/>
        <w:spacing w:before="119" w:line="232" w:lineRule="auto"/>
        <w:ind w:left="320" w:right="70"/>
      </w:pPr>
      <w:r>
        <w:t>As part of this initiative, the following situations will require a prior authorization:</w:t>
      </w:r>
    </w:p>
    <w:p w14:paraId="3C2A6BF2" w14:textId="7FA50853" w:rsidR="001F1864" w:rsidRDefault="00C25951">
      <w:pPr>
        <w:pStyle w:val="ListParagraph"/>
        <w:numPr>
          <w:ilvl w:val="0"/>
          <w:numId w:val="1"/>
        </w:numPr>
        <w:tabs>
          <w:tab w:val="left" w:pos="860"/>
        </w:tabs>
        <w:spacing w:before="132" w:line="220" w:lineRule="auto"/>
        <w:ind w:right="332"/>
      </w:pPr>
      <w:r w:rsidRPr="007A6EE7">
        <w:rPr>
          <w:b/>
        </w:rPr>
        <w:t>Behavioral</w:t>
      </w:r>
      <w:r w:rsidRPr="007A6EE7">
        <w:rPr>
          <w:b/>
          <w:spacing w:val="-6"/>
        </w:rPr>
        <w:t xml:space="preserve"> </w:t>
      </w:r>
      <w:r w:rsidRPr="007A6EE7">
        <w:rPr>
          <w:b/>
        </w:rPr>
        <w:t>health</w:t>
      </w:r>
      <w:r w:rsidRPr="007A6EE7">
        <w:rPr>
          <w:b/>
          <w:spacing w:val="-6"/>
        </w:rPr>
        <w:t xml:space="preserve"> </w:t>
      </w:r>
      <w:r w:rsidRPr="007A6EE7">
        <w:rPr>
          <w:b/>
        </w:rPr>
        <w:t>medication</w:t>
      </w:r>
      <w:r w:rsidRPr="007A6EE7">
        <w:rPr>
          <w:b/>
          <w:spacing w:val="-7"/>
        </w:rPr>
        <w:t xml:space="preserve"> </w:t>
      </w:r>
      <w:r w:rsidRPr="007A6EE7">
        <w:rPr>
          <w:b/>
        </w:rPr>
        <w:t>polypharmacy</w:t>
      </w:r>
      <w:r w:rsidRPr="007A6EE7">
        <w:t>:</w:t>
      </w:r>
      <w:r w:rsidRPr="007A6EE7">
        <w:rPr>
          <w:spacing w:val="-6"/>
        </w:rPr>
        <w:t xml:space="preserve"> </w:t>
      </w:r>
      <w:r w:rsidRPr="007A6EE7">
        <w:t>(i.e., alpha</w:t>
      </w:r>
      <w:r w:rsidRPr="007A6EE7">
        <w:rPr>
          <w:position w:val="-6"/>
          <w:sz w:val="13"/>
        </w:rPr>
        <w:t xml:space="preserve">2 </w:t>
      </w:r>
      <w:r w:rsidRPr="007A6EE7">
        <w:t>agonists, antidepressants, antipsychotics</w:t>
      </w:r>
      <w:r w:rsidR="00341431" w:rsidRPr="007A6EE7">
        <w:t>, armodafinil</w:t>
      </w:r>
      <w:r w:rsidRPr="007A6EE7">
        <w:t xml:space="preserve">, </w:t>
      </w:r>
      <w:r w:rsidRPr="007A6EE7">
        <w:rPr>
          <w:spacing w:val="-3"/>
        </w:rPr>
        <w:t xml:space="preserve">atomoxetine, </w:t>
      </w:r>
      <w:r w:rsidRPr="007A6EE7">
        <w:t>benzodiazepines, buspirone,</w:t>
      </w:r>
      <w:r w:rsidRPr="007A6EE7">
        <w:rPr>
          <w:spacing w:val="-7"/>
        </w:rPr>
        <w:t xml:space="preserve"> </w:t>
      </w:r>
      <w:r w:rsidRPr="007A6EE7">
        <w:t>cerebral</w:t>
      </w:r>
      <w:r w:rsidRPr="007A6EE7">
        <w:rPr>
          <w:spacing w:val="-7"/>
        </w:rPr>
        <w:t xml:space="preserve"> </w:t>
      </w:r>
      <w:r w:rsidRPr="007A6EE7">
        <w:t>stimulants</w:t>
      </w:r>
      <w:r w:rsidR="00341431" w:rsidRPr="007A6EE7">
        <w:t>, donepezil</w:t>
      </w:r>
      <w:r w:rsidRPr="007A6EE7">
        <w:t>,</w:t>
      </w:r>
      <w:r w:rsidRPr="007A6EE7">
        <w:rPr>
          <w:spacing w:val="-6"/>
        </w:rPr>
        <w:t xml:space="preserve"> </w:t>
      </w:r>
      <w:r w:rsidRPr="007A6EE7">
        <w:t>hypnotic</w:t>
      </w:r>
      <w:r w:rsidRPr="007A6EE7">
        <w:rPr>
          <w:spacing w:val="-6"/>
        </w:rPr>
        <w:t xml:space="preserve"> </w:t>
      </w:r>
      <w:r w:rsidRPr="007A6EE7">
        <w:t>agents,</w:t>
      </w:r>
      <w:r w:rsidR="00341431" w:rsidRPr="007A6EE7">
        <w:t xml:space="preserve"> memantine, </w:t>
      </w:r>
      <w:r w:rsidR="00E02235">
        <w:t xml:space="preserve">meprobamate, </w:t>
      </w:r>
      <w:r w:rsidR="00341431" w:rsidRPr="007A6EE7">
        <w:t>modafinil,</w:t>
      </w:r>
      <w:r w:rsidRPr="007A6EE7">
        <w:rPr>
          <w:spacing w:val="-6"/>
        </w:rPr>
        <w:t xml:space="preserve"> </w:t>
      </w:r>
      <w:r w:rsidRPr="007A6EE7">
        <w:t>mood</w:t>
      </w:r>
      <w:r w:rsidRPr="007A6EE7">
        <w:rPr>
          <w:spacing w:val="-6"/>
        </w:rPr>
        <w:t xml:space="preserve"> </w:t>
      </w:r>
      <w:r w:rsidRPr="007A6EE7">
        <w:t>stabilizers</w:t>
      </w:r>
      <w:r w:rsidR="00F935A6">
        <w:t xml:space="preserve"> [</w:t>
      </w:r>
      <w:r w:rsidR="00F935A6" w:rsidRPr="00F935A6">
        <w:t>agents considered to be used only for seizure diagnoses are not included</w:t>
      </w:r>
      <w:r w:rsidR="00F935A6">
        <w:t>]</w:t>
      </w:r>
      <w:r w:rsidR="00D302E5">
        <w:t>,</w:t>
      </w:r>
      <w:r w:rsidR="00AD49AA">
        <w:t xml:space="preserve"> </w:t>
      </w:r>
      <w:r w:rsidR="00341431" w:rsidRPr="007A6EE7">
        <w:t>naltrexone</w:t>
      </w:r>
      <w:r w:rsidR="00D302E5">
        <w:t xml:space="preserve">, </w:t>
      </w:r>
      <w:r w:rsidR="00E02235">
        <w:t>prazosin,</w:t>
      </w:r>
      <w:r w:rsidR="00D302E5" w:rsidRPr="00D302E5">
        <w:t xml:space="preserve"> viloxazine</w:t>
      </w:r>
      <w:r w:rsidR="004D1D99">
        <w:t xml:space="preserve">, and </w:t>
      </w:r>
      <w:r w:rsidR="004D1D99" w:rsidRPr="004D1D99">
        <w:t>xanomeline/trospium</w:t>
      </w:r>
      <w:r w:rsidRPr="007A6EE7">
        <w:t>)</w:t>
      </w:r>
      <w:r w:rsidRPr="007A6EE7">
        <w:rPr>
          <w:spacing w:val="-7"/>
        </w:rPr>
        <w:t xml:space="preserve"> </w:t>
      </w:r>
      <w:r w:rsidR="00490FC5">
        <w:rPr>
          <w:spacing w:val="-7"/>
        </w:rPr>
        <w:t xml:space="preserve">filled </w:t>
      </w:r>
      <w:r w:rsidRPr="007A6EE7">
        <w:t>within</w:t>
      </w:r>
      <w:r w:rsidRPr="007A6EE7">
        <w:rPr>
          <w:spacing w:val="-6"/>
        </w:rPr>
        <w:t xml:space="preserve"> </w:t>
      </w:r>
      <w:r w:rsidRPr="007A6EE7">
        <w:t>a</w:t>
      </w:r>
      <w:r w:rsidRPr="007A6EE7">
        <w:rPr>
          <w:spacing w:val="-7"/>
        </w:rPr>
        <w:t xml:space="preserve"> </w:t>
      </w:r>
      <w:r w:rsidRPr="00051D4C">
        <w:t>45</w:t>
      </w:r>
      <w:r w:rsidR="00B410C0" w:rsidRPr="00051D4C">
        <w:rPr>
          <w:spacing w:val="-6"/>
        </w:rPr>
        <w:t>-</w:t>
      </w:r>
      <w:r w:rsidRPr="00051D4C">
        <w:t>day</w:t>
      </w:r>
      <w:r w:rsidRPr="00807C14">
        <w:rPr>
          <w:spacing w:val="-6"/>
        </w:rPr>
        <w:t xml:space="preserve"> </w:t>
      </w:r>
      <w:r w:rsidRPr="007F6F30">
        <w:t>period</w:t>
      </w:r>
      <w:r w:rsidRPr="007F6F30">
        <w:rPr>
          <w:spacing w:val="-7"/>
        </w:rPr>
        <w:t xml:space="preserve"> </w:t>
      </w:r>
      <w:r w:rsidRPr="007F6F30">
        <w:t>for</w:t>
      </w:r>
      <w:r w:rsidRPr="007F6F30">
        <w:rPr>
          <w:spacing w:val="-7"/>
        </w:rPr>
        <w:t xml:space="preserve"> </w:t>
      </w:r>
      <w:r w:rsidRPr="007F6F30">
        <w:t>members</w:t>
      </w:r>
      <w:r w:rsidRPr="007F6F30">
        <w:rPr>
          <w:spacing w:val="-7"/>
        </w:rPr>
        <w:t xml:space="preserve"> </w:t>
      </w:r>
      <w:r w:rsidRPr="007F6F30">
        <w:t>less than 18 years of</w:t>
      </w:r>
      <w:r w:rsidRPr="007F6F30">
        <w:rPr>
          <w:spacing w:val="-12"/>
        </w:rPr>
        <w:t xml:space="preserve"> </w:t>
      </w:r>
      <w:r w:rsidRPr="007F6F30">
        <w:t>age</w:t>
      </w:r>
      <w:r w:rsidR="00D77BE7">
        <w:t>:</w:t>
      </w:r>
    </w:p>
    <w:p w14:paraId="4DDBEA28" w14:textId="25CC7FBD" w:rsidR="00D77BE7" w:rsidRDefault="004432B7" w:rsidP="00D77BE7">
      <w:pPr>
        <w:pStyle w:val="ListParagraph"/>
        <w:numPr>
          <w:ilvl w:val="1"/>
          <w:numId w:val="1"/>
        </w:numPr>
        <w:tabs>
          <w:tab w:val="left" w:pos="860"/>
        </w:tabs>
        <w:spacing w:before="132" w:line="220" w:lineRule="auto"/>
        <w:ind w:right="332"/>
      </w:pPr>
      <w:r w:rsidRPr="004432B7">
        <w:t xml:space="preserve">Pharmacy claims for 4 or more behavioral health medications </w:t>
      </w:r>
      <w:r w:rsidRPr="00454F9B">
        <w:rPr>
          <w:b/>
          <w:bCs/>
        </w:rPr>
        <w:t>if one of the following is included</w:t>
      </w:r>
      <w:r w:rsidRPr="004432B7">
        <w:t>: an antipsychotic, a benzodiazepine, divalproex/valproate, lithium, or a tricyclic antidepressant</w:t>
      </w:r>
    </w:p>
    <w:p w14:paraId="4AB692E0" w14:textId="4ADAF83D" w:rsidR="004432B7" w:rsidRPr="007F6F30" w:rsidRDefault="00465120" w:rsidP="00454F9B">
      <w:pPr>
        <w:pStyle w:val="ListParagraph"/>
        <w:numPr>
          <w:ilvl w:val="1"/>
          <w:numId w:val="1"/>
        </w:numPr>
        <w:tabs>
          <w:tab w:val="left" w:pos="860"/>
        </w:tabs>
        <w:spacing w:before="132" w:line="220" w:lineRule="auto"/>
        <w:ind w:right="332"/>
      </w:pPr>
      <w:r w:rsidRPr="00465120">
        <w:t>Pharmacy claims for 5 or more behavioral health medications (regardless of the medications included)</w:t>
      </w:r>
    </w:p>
    <w:p w14:paraId="427BEBD2" w14:textId="23278979" w:rsidR="001F1864" w:rsidRDefault="00C25951">
      <w:pPr>
        <w:pStyle w:val="ListParagraph"/>
        <w:numPr>
          <w:ilvl w:val="0"/>
          <w:numId w:val="1"/>
        </w:numPr>
        <w:tabs>
          <w:tab w:val="left" w:pos="860"/>
        </w:tabs>
        <w:spacing w:line="232" w:lineRule="auto"/>
        <w:ind w:right="420"/>
      </w:pPr>
      <w:r>
        <w:rPr>
          <w:b/>
        </w:rPr>
        <w:t>Antipsychotic</w:t>
      </w:r>
      <w:r>
        <w:rPr>
          <w:b/>
          <w:spacing w:val="-6"/>
        </w:rPr>
        <w:t xml:space="preserve"> </w:t>
      </w:r>
      <w:r>
        <w:rPr>
          <w:b/>
        </w:rPr>
        <w:t>polypharmacy</w:t>
      </w:r>
      <w:r>
        <w:t>:</w:t>
      </w:r>
      <w:r>
        <w:rPr>
          <w:spacing w:val="-6"/>
        </w:rPr>
        <w:t xml:space="preserve"> </w:t>
      </w:r>
      <w:r>
        <w:t>overlapping</w:t>
      </w:r>
      <w:r>
        <w:rPr>
          <w:spacing w:val="-6"/>
        </w:rPr>
        <w:t xml:space="preserve"> </w:t>
      </w:r>
      <w:r>
        <w:t>pharmacy</w:t>
      </w:r>
      <w:r>
        <w:rPr>
          <w:spacing w:val="-6"/>
        </w:rPr>
        <w:t xml:space="preserve"> </w:t>
      </w:r>
      <w:r>
        <w:t>claims</w:t>
      </w:r>
      <w:r>
        <w:rPr>
          <w:spacing w:val="-6"/>
        </w:rPr>
        <w:t xml:space="preserve"> </w:t>
      </w:r>
      <w:r>
        <w:t>for</w:t>
      </w:r>
      <w:r>
        <w:rPr>
          <w:spacing w:val="-6"/>
        </w:rPr>
        <w:t xml:space="preserve"> </w:t>
      </w:r>
      <w:r>
        <w:t>two</w:t>
      </w:r>
      <w:r>
        <w:rPr>
          <w:spacing w:val="-6"/>
        </w:rPr>
        <w:t xml:space="preserve"> </w:t>
      </w:r>
      <w:r>
        <w:t>or</w:t>
      </w:r>
      <w:r>
        <w:rPr>
          <w:spacing w:val="-6"/>
        </w:rPr>
        <w:t xml:space="preserve"> </w:t>
      </w:r>
      <w:r>
        <w:t>more</w:t>
      </w:r>
      <w:r>
        <w:rPr>
          <w:spacing w:val="-6"/>
        </w:rPr>
        <w:t xml:space="preserve"> </w:t>
      </w:r>
      <w:r>
        <w:t>antipsychotics</w:t>
      </w:r>
      <w:r>
        <w:rPr>
          <w:spacing w:val="-6"/>
        </w:rPr>
        <w:t xml:space="preserve"> </w:t>
      </w:r>
      <w:r>
        <w:t>for</w:t>
      </w:r>
      <w:r>
        <w:rPr>
          <w:spacing w:val="-6"/>
        </w:rPr>
        <w:t xml:space="preserve"> </w:t>
      </w:r>
      <w:r>
        <w:t>at</w:t>
      </w:r>
      <w:r>
        <w:rPr>
          <w:spacing w:val="-6"/>
        </w:rPr>
        <w:t xml:space="preserve"> </w:t>
      </w:r>
      <w:r>
        <w:t>least</w:t>
      </w:r>
      <w:r>
        <w:rPr>
          <w:spacing w:val="-6"/>
        </w:rPr>
        <w:t xml:space="preserve"> </w:t>
      </w:r>
      <w:r>
        <w:t>60</w:t>
      </w:r>
      <w:r>
        <w:rPr>
          <w:spacing w:val="-6"/>
        </w:rPr>
        <w:t xml:space="preserve"> </w:t>
      </w:r>
      <w:r>
        <w:rPr>
          <w:spacing w:val="-3"/>
        </w:rPr>
        <w:t xml:space="preserve">days </w:t>
      </w:r>
      <w:r>
        <w:t>within</w:t>
      </w:r>
      <w:r>
        <w:rPr>
          <w:spacing w:val="-3"/>
        </w:rPr>
        <w:t xml:space="preserve"> </w:t>
      </w:r>
      <w:r>
        <w:t>a</w:t>
      </w:r>
      <w:r>
        <w:rPr>
          <w:spacing w:val="-4"/>
        </w:rPr>
        <w:t xml:space="preserve"> </w:t>
      </w:r>
      <w:r>
        <w:t>90</w:t>
      </w:r>
      <w:r w:rsidR="00B410C0">
        <w:rPr>
          <w:spacing w:val="-3"/>
        </w:rPr>
        <w:t>-</w:t>
      </w:r>
      <w:r>
        <w:t>day</w:t>
      </w:r>
      <w:r>
        <w:rPr>
          <w:spacing w:val="-3"/>
        </w:rPr>
        <w:t xml:space="preserve"> </w:t>
      </w:r>
      <w:r>
        <w:t>period</w:t>
      </w:r>
      <w:r>
        <w:rPr>
          <w:spacing w:val="-4"/>
        </w:rPr>
        <w:t xml:space="preserve"> </w:t>
      </w:r>
      <w:r>
        <w:t>for</w:t>
      </w:r>
      <w:r>
        <w:rPr>
          <w:spacing w:val="-4"/>
        </w:rPr>
        <w:t xml:space="preserve"> </w:t>
      </w:r>
      <w:r>
        <w:t>members</w:t>
      </w:r>
      <w:r>
        <w:rPr>
          <w:spacing w:val="-4"/>
        </w:rPr>
        <w:t xml:space="preserve"> </w:t>
      </w:r>
      <w:r>
        <w:t>less</w:t>
      </w:r>
      <w:r>
        <w:rPr>
          <w:spacing w:val="-4"/>
        </w:rPr>
        <w:t xml:space="preserve"> </w:t>
      </w:r>
      <w:r>
        <w:t>than</w:t>
      </w:r>
      <w:r>
        <w:rPr>
          <w:spacing w:val="-3"/>
        </w:rPr>
        <w:t xml:space="preserve"> </w:t>
      </w:r>
      <w:r>
        <w:t>18</w:t>
      </w:r>
      <w:r>
        <w:rPr>
          <w:spacing w:val="-3"/>
        </w:rPr>
        <w:t xml:space="preserve"> </w:t>
      </w:r>
      <w:r>
        <w:t>years</w:t>
      </w:r>
      <w:r>
        <w:rPr>
          <w:spacing w:val="-4"/>
        </w:rPr>
        <w:t xml:space="preserve"> </w:t>
      </w:r>
      <w:r>
        <w:t>of</w:t>
      </w:r>
      <w:r>
        <w:rPr>
          <w:spacing w:val="-4"/>
        </w:rPr>
        <w:t xml:space="preserve"> </w:t>
      </w:r>
      <w:proofErr w:type="gramStart"/>
      <w:r>
        <w:t>age;</w:t>
      </w:r>
      <w:proofErr w:type="gramEnd"/>
    </w:p>
    <w:p w14:paraId="2712A704" w14:textId="3ED19AF5" w:rsidR="001F1864" w:rsidRDefault="00C25951">
      <w:pPr>
        <w:pStyle w:val="ListParagraph"/>
        <w:numPr>
          <w:ilvl w:val="0"/>
          <w:numId w:val="1"/>
        </w:numPr>
        <w:tabs>
          <w:tab w:val="left" w:pos="860"/>
        </w:tabs>
        <w:spacing w:line="232" w:lineRule="auto"/>
        <w:ind w:right="557"/>
      </w:pPr>
      <w:r>
        <w:rPr>
          <w:b/>
        </w:rPr>
        <w:t>Antidepressant</w:t>
      </w:r>
      <w:r>
        <w:rPr>
          <w:b/>
          <w:spacing w:val="-6"/>
        </w:rPr>
        <w:t xml:space="preserve"> </w:t>
      </w:r>
      <w:r>
        <w:rPr>
          <w:b/>
        </w:rPr>
        <w:t>polypharmacy</w:t>
      </w:r>
      <w:r>
        <w:t>:</w:t>
      </w:r>
      <w:r>
        <w:rPr>
          <w:spacing w:val="-6"/>
        </w:rPr>
        <w:t xml:space="preserve"> </w:t>
      </w:r>
      <w:r>
        <w:t>overlapping</w:t>
      </w:r>
      <w:r>
        <w:rPr>
          <w:spacing w:val="-6"/>
        </w:rPr>
        <w:t xml:space="preserve"> </w:t>
      </w:r>
      <w:r>
        <w:t>pharmacy</w:t>
      </w:r>
      <w:r>
        <w:rPr>
          <w:spacing w:val="-7"/>
        </w:rPr>
        <w:t xml:space="preserve"> </w:t>
      </w:r>
      <w:r>
        <w:t>claims</w:t>
      </w:r>
      <w:r>
        <w:rPr>
          <w:spacing w:val="-6"/>
        </w:rPr>
        <w:t xml:space="preserve"> </w:t>
      </w:r>
      <w:r>
        <w:t>for</w:t>
      </w:r>
      <w:r>
        <w:rPr>
          <w:spacing w:val="-7"/>
        </w:rPr>
        <w:t xml:space="preserve"> </w:t>
      </w:r>
      <w:r>
        <w:t>two</w:t>
      </w:r>
      <w:r>
        <w:rPr>
          <w:spacing w:val="-7"/>
        </w:rPr>
        <w:t xml:space="preserve"> </w:t>
      </w:r>
      <w:r>
        <w:t>or</w:t>
      </w:r>
      <w:r>
        <w:rPr>
          <w:spacing w:val="-7"/>
        </w:rPr>
        <w:t xml:space="preserve"> </w:t>
      </w:r>
      <w:r>
        <w:t>more</w:t>
      </w:r>
      <w:r>
        <w:rPr>
          <w:spacing w:val="-6"/>
        </w:rPr>
        <w:t xml:space="preserve"> </w:t>
      </w:r>
      <w:r>
        <w:t>antidepressants</w:t>
      </w:r>
      <w:r>
        <w:rPr>
          <w:spacing w:val="-6"/>
        </w:rPr>
        <w:t xml:space="preserve"> </w:t>
      </w:r>
      <w:r>
        <w:t>for</w:t>
      </w:r>
      <w:r>
        <w:rPr>
          <w:spacing w:val="-7"/>
        </w:rPr>
        <w:t xml:space="preserve"> </w:t>
      </w:r>
      <w:r>
        <w:t>at</w:t>
      </w:r>
      <w:r>
        <w:rPr>
          <w:spacing w:val="-6"/>
        </w:rPr>
        <w:t xml:space="preserve"> </w:t>
      </w:r>
      <w:r>
        <w:t>least</w:t>
      </w:r>
      <w:r>
        <w:rPr>
          <w:spacing w:val="-6"/>
        </w:rPr>
        <w:t xml:space="preserve"> </w:t>
      </w:r>
      <w:r>
        <w:t xml:space="preserve">60 </w:t>
      </w:r>
      <w:r>
        <w:rPr>
          <w:spacing w:val="-3"/>
        </w:rPr>
        <w:t xml:space="preserve">days </w:t>
      </w:r>
      <w:r>
        <w:t>within a 90</w:t>
      </w:r>
      <w:r w:rsidR="00B410C0">
        <w:t>-</w:t>
      </w:r>
      <w:r>
        <w:t>day period for members less than 18 years of</w:t>
      </w:r>
      <w:r>
        <w:rPr>
          <w:spacing w:val="-35"/>
        </w:rPr>
        <w:t xml:space="preserve"> </w:t>
      </w:r>
      <w:proofErr w:type="gramStart"/>
      <w:r>
        <w:t>age;</w:t>
      </w:r>
      <w:proofErr w:type="gramEnd"/>
    </w:p>
    <w:p w14:paraId="119E021F" w14:textId="0A328518" w:rsidR="001F1864" w:rsidRDefault="00C25951">
      <w:pPr>
        <w:pStyle w:val="ListParagraph"/>
        <w:numPr>
          <w:ilvl w:val="0"/>
          <w:numId w:val="1"/>
        </w:numPr>
        <w:tabs>
          <w:tab w:val="left" w:pos="860"/>
        </w:tabs>
        <w:spacing w:line="232" w:lineRule="auto"/>
        <w:ind w:right="430"/>
      </w:pPr>
      <w:r>
        <w:rPr>
          <w:b/>
        </w:rPr>
        <w:t>Cerebral stimulant polypharmacy</w:t>
      </w:r>
      <w:r>
        <w:t>: overlapping pharmacy claims for two or more cerebral stimulants (immediate-release</w:t>
      </w:r>
      <w:r>
        <w:rPr>
          <w:spacing w:val="-6"/>
        </w:rPr>
        <w:t xml:space="preserve"> </w:t>
      </w:r>
      <w:r>
        <w:t>and</w:t>
      </w:r>
      <w:r>
        <w:rPr>
          <w:spacing w:val="-7"/>
        </w:rPr>
        <w:t xml:space="preserve"> </w:t>
      </w:r>
      <w:r>
        <w:t>extended-release</w:t>
      </w:r>
      <w:r>
        <w:rPr>
          <w:spacing w:val="-6"/>
        </w:rPr>
        <w:t xml:space="preserve"> </w:t>
      </w:r>
      <w:r>
        <w:t>formulations</w:t>
      </w:r>
      <w:r>
        <w:rPr>
          <w:spacing w:val="-7"/>
        </w:rPr>
        <w:t xml:space="preserve"> </w:t>
      </w:r>
      <w:r>
        <w:t>of</w:t>
      </w:r>
      <w:r>
        <w:rPr>
          <w:spacing w:val="-7"/>
        </w:rPr>
        <w:t xml:space="preserve"> </w:t>
      </w:r>
      <w:r>
        <w:t>the</w:t>
      </w:r>
      <w:r>
        <w:rPr>
          <w:spacing w:val="-6"/>
        </w:rPr>
        <w:t xml:space="preserve"> </w:t>
      </w:r>
      <w:r>
        <w:t>same</w:t>
      </w:r>
      <w:r>
        <w:rPr>
          <w:spacing w:val="-7"/>
        </w:rPr>
        <w:t xml:space="preserve"> </w:t>
      </w:r>
      <w:r>
        <w:t>chemical</w:t>
      </w:r>
      <w:r>
        <w:rPr>
          <w:spacing w:val="-7"/>
        </w:rPr>
        <w:t xml:space="preserve"> </w:t>
      </w:r>
      <w:r>
        <w:t>entity</w:t>
      </w:r>
      <w:r>
        <w:rPr>
          <w:spacing w:val="-7"/>
        </w:rPr>
        <w:t xml:space="preserve"> </w:t>
      </w:r>
      <w:r>
        <w:t>are</w:t>
      </w:r>
      <w:r>
        <w:rPr>
          <w:spacing w:val="-6"/>
        </w:rPr>
        <w:t xml:space="preserve"> </w:t>
      </w:r>
      <w:r>
        <w:t>counted</w:t>
      </w:r>
      <w:r>
        <w:rPr>
          <w:spacing w:val="-6"/>
        </w:rPr>
        <w:t xml:space="preserve"> </w:t>
      </w:r>
      <w:r>
        <w:t>as</w:t>
      </w:r>
      <w:r>
        <w:rPr>
          <w:spacing w:val="-7"/>
        </w:rPr>
        <w:t xml:space="preserve"> </w:t>
      </w:r>
      <w:r>
        <w:t>one)</w:t>
      </w:r>
      <w:r>
        <w:rPr>
          <w:spacing w:val="-7"/>
        </w:rPr>
        <w:t xml:space="preserve"> </w:t>
      </w:r>
      <w:r>
        <w:t>for</w:t>
      </w:r>
      <w:r>
        <w:rPr>
          <w:spacing w:val="-7"/>
        </w:rPr>
        <w:t xml:space="preserve"> </w:t>
      </w:r>
      <w:r>
        <w:t>at least</w:t>
      </w:r>
      <w:r>
        <w:rPr>
          <w:spacing w:val="-3"/>
        </w:rPr>
        <w:t xml:space="preserve"> </w:t>
      </w:r>
      <w:r>
        <w:t>60</w:t>
      </w:r>
      <w:r>
        <w:rPr>
          <w:spacing w:val="-3"/>
        </w:rPr>
        <w:t xml:space="preserve"> days</w:t>
      </w:r>
      <w:r>
        <w:rPr>
          <w:spacing w:val="-4"/>
        </w:rPr>
        <w:t xml:space="preserve"> </w:t>
      </w:r>
      <w:r>
        <w:t>within</w:t>
      </w:r>
      <w:r>
        <w:rPr>
          <w:spacing w:val="-3"/>
        </w:rPr>
        <w:t xml:space="preserve"> </w:t>
      </w:r>
      <w:r>
        <w:t>a</w:t>
      </w:r>
      <w:r>
        <w:rPr>
          <w:spacing w:val="-4"/>
        </w:rPr>
        <w:t xml:space="preserve"> </w:t>
      </w:r>
      <w:r>
        <w:t>90</w:t>
      </w:r>
      <w:r w:rsidR="00B410C0">
        <w:rPr>
          <w:spacing w:val="-3"/>
        </w:rPr>
        <w:t>-</w:t>
      </w:r>
      <w:r>
        <w:t>day</w:t>
      </w:r>
      <w:r>
        <w:rPr>
          <w:spacing w:val="-3"/>
        </w:rPr>
        <w:t xml:space="preserve"> </w:t>
      </w:r>
      <w:r>
        <w:t>period</w:t>
      </w:r>
      <w:r>
        <w:rPr>
          <w:spacing w:val="-4"/>
        </w:rPr>
        <w:t xml:space="preserve"> </w:t>
      </w:r>
      <w:r>
        <w:t>for</w:t>
      </w:r>
      <w:r>
        <w:rPr>
          <w:spacing w:val="-4"/>
        </w:rPr>
        <w:t xml:space="preserve"> </w:t>
      </w:r>
      <w:r>
        <w:t>members</w:t>
      </w:r>
      <w:r>
        <w:rPr>
          <w:spacing w:val="-4"/>
        </w:rPr>
        <w:t xml:space="preserve"> </w:t>
      </w:r>
      <w:r>
        <w:t>less</w:t>
      </w:r>
      <w:r>
        <w:rPr>
          <w:spacing w:val="-4"/>
        </w:rPr>
        <w:t xml:space="preserve"> </w:t>
      </w:r>
      <w:r>
        <w:t>than</w:t>
      </w:r>
      <w:r>
        <w:rPr>
          <w:spacing w:val="-3"/>
        </w:rPr>
        <w:t xml:space="preserve"> </w:t>
      </w:r>
      <w:r>
        <w:t>18</w:t>
      </w:r>
      <w:r>
        <w:rPr>
          <w:spacing w:val="-3"/>
        </w:rPr>
        <w:t xml:space="preserve"> </w:t>
      </w:r>
      <w:r>
        <w:t>years</w:t>
      </w:r>
      <w:r>
        <w:rPr>
          <w:spacing w:val="-4"/>
        </w:rPr>
        <w:t xml:space="preserve"> </w:t>
      </w:r>
      <w:r>
        <w:t>of</w:t>
      </w:r>
      <w:r>
        <w:rPr>
          <w:spacing w:val="-4"/>
        </w:rPr>
        <w:t xml:space="preserve"> </w:t>
      </w:r>
      <w:proofErr w:type="gramStart"/>
      <w:r>
        <w:t>age;</w:t>
      </w:r>
      <w:proofErr w:type="gramEnd"/>
    </w:p>
    <w:p w14:paraId="75C4258B" w14:textId="76F95ACC" w:rsidR="001F1864" w:rsidRDefault="00C25951">
      <w:pPr>
        <w:pStyle w:val="ListParagraph"/>
        <w:numPr>
          <w:ilvl w:val="0"/>
          <w:numId w:val="1"/>
        </w:numPr>
        <w:tabs>
          <w:tab w:val="left" w:pos="860"/>
        </w:tabs>
        <w:spacing w:line="232" w:lineRule="auto"/>
        <w:ind w:right="356"/>
      </w:pPr>
      <w:r>
        <w:rPr>
          <w:b/>
        </w:rPr>
        <w:t>Mood</w:t>
      </w:r>
      <w:r>
        <w:rPr>
          <w:b/>
          <w:spacing w:val="-6"/>
        </w:rPr>
        <w:t xml:space="preserve"> </w:t>
      </w:r>
      <w:r>
        <w:rPr>
          <w:b/>
        </w:rPr>
        <w:t>stabilizer</w:t>
      </w:r>
      <w:r>
        <w:rPr>
          <w:b/>
          <w:spacing w:val="-6"/>
        </w:rPr>
        <w:t xml:space="preserve"> </w:t>
      </w:r>
      <w:r>
        <w:rPr>
          <w:b/>
        </w:rPr>
        <w:t>polypharmacy</w:t>
      </w:r>
      <w:r>
        <w:t>:</w:t>
      </w:r>
      <w:r>
        <w:rPr>
          <w:spacing w:val="-5"/>
        </w:rPr>
        <w:t xml:space="preserve"> </w:t>
      </w:r>
      <w:r>
        <w:t>overlapping</w:t>
      </w:r>
      <w:r>
        <w:rPr>
          <w:spacing w:val="-5"/>
        </w:rPr>
        <w:t xml:space="preserve"> </w:t>
      </w:r>
      <w:r>
        <w:t>pharmacy</w:t>
      </w:r>
      <w:r>
        <w:rPr>
          <w:spacing w:val="-6"/>
        </w:rPr>
        <w:t xml:space="preserve"> </w:t>
      </w:r>
      <w:r>
        <w:t>claims</w:t>
      </w:r>
      <w:r>
        <w:rPr>
          <w:spacing w:val="-5"/>
        </w:rPr>
        <w:t xml:space="preserve"> </w:t>
      </w:r>
      <w:r>
        <w:t>for</w:t>
      </w:r>
      <w:r>
        <w:rPr>
          <w:spacing w:val="-6"/>
        </w:rPr>
        <w:t xml:space="preserve"> </w:t>
      </w:r>
      <w:r>
        <w:t>three</w:t>
      </w:r>
      <w:r>
        <w:rPr>
          <w:spacing w:val="-5"/>
        </w:rPr>
        <w:t xml:space="preserve"> </w:t>
      </w:r>
      <w:r>
        <w:t>or</w:t>
      </w:r>
      <w:r>
        <w:rPr>
          <w:spacing w:val="-6"/>
        </w:rPr>
        <w:t xml:space="preserve"> </w:t>
      </w:r>
      <w:r>
        <w:t>more</w:t>
      </w:r>
      <w:r>
        <w:rPr>
          <w:spacing w:val="-5"/>
        </w:rPr>
        <w:t xml:space="preserve"> </w:t>
      </w:r>
      <w:r>
        <w:t>mood</w:t>
      </w:r>
      <w:r>
        <w:rPr>
          <w:spacing w:val="-5"/>
        </w:rPr>
        <w:t xml:space="preserve"> </w:t>
      </w:r>
      <w:r>
        <w:t>stabilizers</w:t>
      </w:r>
      <w:r>
        <w:rPr>
          <w:spacing w:val="-6"/>
        </w:rPr>
        <w:t xml:space="preserve"> </w:t>
      </w:r>
      <w:r w:rsidR="00F935A6" w:rsidRPr="00F935A6">
        <w:rPr>
          <w:spacing w:val="-6"/>
        </w:rPr>
        <w:t>(agents considered to be used only for seizure diagnoses are not included)</w:t>
      </w:r>
      <w:r w:rsidR="00F935A6">
        <w:rPr>
          <w:spacing w:val="-6"/>
        </w:rPr>
        <w:t xml:space="preserve"> </w:t>
      </w:r>
      <w:r>
        <w:t>for</w:t>
      </w:r>
      <w:r>
        <w:rPr>
          <w:spacing w:val="-6"/>
        </w:rPr>
        <w:t xml:space="preserve"> </w:t>
      </w:r>
      <w:r>
        <w:t>at</w:t>
      </w:r>
      <w:r>
        <w:rPr>
          <w:spacing w:val="-5"/>
        </w:rPr>
        <w:t xml:space="preserve"> </w:t>
      </w:r>
      <w:r>
        <w:t>least</w:t>
      </w:r>
      <w:r>
        <w:rPr>
          <w:spacing w:val="-5"/>
        </w:rPr>
        <w:t xml:space="preserve"> </w:t>
      </w:r>
      <w:r>
        <w:t xml:space="preserve">60 </w:t>
      </w:r>
      <w:r>
        <w:rPr>
          <w:spacing w:val="-3"/>
        </w:rPr>
        <w:t xml:space="preserve">days </w:t>
      </w:r>
      <w:r>
        <w:t>within a 90</w:t>
      </w:r>
      <w:r w:rsidR="00B410C0">
        <w:t>-</w:t>
      </w:r>
      <w:r>
        <w:t>day period for members less than 18 years of</w:t>
      </w:r>
      <w:r>
        <w:rPr>
          <w:spacing w:val="-35"/>
        </w:rPr>
        <w:t xml:space="preserve"> </w:t>
      </w:r>
      <w:proofErr w:type="gramStart"/>
      <w:r>
        <w:t>age;</w:t>
      </w:r>
      <w:proofErr w:type="gramEnd"/>
    </w:p>
    <w:p w14:paraId="00E12DE0" w14:textId="02E80C1E" w:rsidR="001F1864" w:rsidRDefault="00C25951">
      <w:pPr>
        <w:pStyle w:val="ListParagraph"/>
        <w:numPr>
          <w:ilvl w:val="0"/>
          <w:numId w:val="1"/>
        </w:numPr>
        <w:tabs>
          <w:tab w:val="left" w:pos="860"/>
        </w:tabs>
        <w:spacing w:line="232" w:lineRule="auto"/>
        <w:ind w:right="622"/>
      </w:pPr>
      <w:r>
        <w:rPr>
          <w:b/>
        </w:rPr>
        <w:t>Benzodiazepine polypharmacy</w:t>
      </w:r>
      <w:r>
        <w:t>: overlapping pharmacy claims for two or more benzodiazepines (hypnotic benzodiazepine</w:t>
      </w:r>
      <w:r>
        <w:rPr>
          <w:spacing w:val="-4"/>
        </w:rPr>
        <w:t xml:space="preserve"> </w:t>
      </w:r>
      <w:r>
        <w:t>agents,</w:t>
      </w:r>
      <w:r>
        <w:rPr>
          <w:spacing w:val="-4"/>
        </w:rPr>
        <w:t xml:space="preserve"> </w:t>
      </w:r>
      <w:r>
        <w:t>clobazam,</w:t>
      </w:r>
      <w:r w:rsidR="009B69F1">
        <w:t xml:space="preserve"> nasal</w:t>
      </w:r>
      <w:r>
        <w:rPr>
          <w:spacing w:val="-5"/>
        </w:rPr>
        <w:t xml:space="preserve"> </w:t>
      </w:r>
      <w:r>
        <w:t>and</w:t>
      </w:r>
      <w:r>
        <w:rPr>
          <w:spacing w:val="-5"/>
        </w:rPr>
        <w:t xml:space="preserve"> </w:t>
      </w:r>
      <w:r>
        <w:t>rectal</w:t>
      </w:r>
      <w:r>
        <w:rPr>
          <w:spacing w:val="-5"/>
        </w:rPr>
        <w:t xml:space="preserve"> </w:t>
      </w:r>
      <w:r>
        <w:t>diazepam</w:t>
      </w:r>
      <w:r w:rsidR="009B69F1">
        <w:t>, and nasal midazolam</w:t>
      </w:r>
      <w:r>
        <w:rPr>
          <w:spacing w:val="-4"/>
        </w:rPr>
        <w:t xml:space="preserve"> </w:t>
      </w:r>
      <w:r>
        <w:t>are</w:t>
      </w:r>
      <w:r>
        <w:rPr>
          <w:spacing w:val="-4"/>
        </w:rPr>
        <w:t xml:space="preserve"> </w:t>
      </w:r>
      <w:r>
        <w:t>not</w:t>
      </w:r>
      <w:r>
        <w:rPr>
          <w:spacing w:val="-5"/>
        </w:rPr>
        <w:t xml:space="preserve"> </w:t>
      </w:r>
      <w:r>
        <w:t>included)</w:t>
      </w:r>
      <w:r>
        <w:rPr>
          <w:spacing w:val="-5"/>
        </w:rPr>
        <w:t xml:space="preserve"> </w:t>
      </w:r>
      <w:r>
        <w:t>for</w:t>
      </w:r>
      <w:r>
        <w:rPr>
          <w:spacing w:val="-5"/>
        </w:rPr>
        <w:t xml:space="preserve"> </w:t>
      </w:r>
      <w:r>
        <w:t>at</w:t>
      </w:r>
      <w:r>
        <w:rPr>
          <w:spacing w:val="-4"/>
        </w:rPr>
        <w:t xml:space="preserve"> </w:t>
      </w:r>
      <w:r>
        <w:t>least</w:t>
      </w:r>
      <w:r>
        <w:rPr>
          <w:spacing w:val="-4"/>
        </w:rPr>
        <w:t xml:space="preserve"> </w:t>
      </w:r>
      <w:r>
        <w:t>60</w:t>
      </w:r>
      <w:r>
        <w:rPr>
          <w:spacing w:val="-4"/>
        </w:rPr>
        <w:t xml:space="preserve"> </w:t>
      </w:r>
      <w:r>
        <w:rPr>
          <w:spacing w:val="-3"/>
        </w:rPr>
        <w:t>days</w:t>
      </w:r>
      <w:r>
        <w:rPr>
          <w:spacing w:val="-5"/>
        </w:rPr>
        <w:t xml:space="preserve"> </w:t>
      </w:r>
      <w:r>
        <w:t>within</w:t>
      </w:r>
      <w:r>
        <w:rPr>
          <w:spacing w:val="-4"/>
        </w:rPr>
        <w:t xml:space="preserve"> </w:t>
      </w:r>
      <w:r>
        <w:t>a</w:t>
      </w:r>
      <w:r>
        <w:rPr>
          <w:spacing w:val="-5"/>
        </w:rPr>
        <w:t xml:space="preserve"> </w:t>
      </w:r>
      <w:r>
        <w:t>90</w:t>
      </w:r>
      <w:r w:rsidR="00B410C0">
        <w:rPr>
          <w:spacing w:val="-4"/>
        </w:rPr>
        <w:t>-</w:t>
      </w:r>
      <w:r>
        <w:t>day period for members less than 18 years of</w:t>
      </w:r>
      <w:r>
        <w:rPr>
          <w:spacing w:val="-34"/>
        </w:rPr>
        <w:t xml:space="preserve"> </w:t>
      </w:r>
      <w:proofErr w:type="gramStart"/>
      <w:r>
        <w:t>age;</w:t>
      </w:r>
      <w:proofErr w:type="gramEnd"/>
    </w:p>
    <w:p w14:paraId="598CE94E" w14:textId="00CC4875" w:rsidR="003C4F63" w:rsidRDefault="003C4F63" w:rsidP="003C4F63">
      <w:pPr>
        <w:pStyle w:val="ListParagraph"/>
        <w:numPr>
          <w:ilvl w:val="0"/>
          <w:numId w:val="1"/>
        </w:numPr>
        <w:tabs>
          <w:tab w:val="left" w:pos="860"/>
        </w:tabs>
        <w:spacing w:line="232" w:lineRule="auto"/>
        <w:ind w:right="484"/>
      </w:pPr>
      <w:r>
        <w:rPr>
          <w:b/>
        </w:rPr>
        <w:t>A</w:t>
      </w:r>
      <w:r w:rsidRPr="007A6EE7">
        <w:rPr>
          <w:b/>
        </w:rPr>
        <w:t>ntipsychotic</w:t>
      </w:r>
      <w:r w:rsidRPr="007A6EE7">
        <w:rPr>
          <w:bCs/>
        </w:rPr>
        <w:t xml:space="preserve"> </w:t>
      </w:r>
      <w:r w:rsidRPr="007A6EE7">
        <w:t>pharmacy</w:t>
      </w:r>
      <w:r w:rsidRPr="007A6EE7">
        <w:rPr>
          <w:spacing w:val="-12"/>
        </w:rPr>
        <w:t xml:space="preserve"> </w:t>
      </w:r>
      <w:proofErr w:type="gramStart"/>
      <w:r w:rsidRPr="007A6EE7">
        <w:t>claim</w:t>
      </w:r>
      <w:proofErr w:type="gramEnd"/>
      <w:r w:rsidRPr="007A6EE7">
        <w:t xml:space="preserve"> for members less than </w:t>
      </w:r>
      <w:r w:rsidR="00804FC6">
        <w:t>ten</w:t>
      </w:r>
      <w:r w:rsidRPr="007A6EE7">
        <w:t xml:space="preserve"> years of</w:t>
      </w:r>
      <w:r w:rsidRPr="007A6EE7">
        <w:rPr>
          <w:spacing w:val="-31"/>
        </w:rPr>
        <w:t xml:space="preserve"> </w:t>
      </w:r>
      <w:r w:rsidRPr="007A6EE7">
        <w:t>age;</w:t>
      </w:r>
    </w:p>
    <w:p w14:paraId="5B41C40E" w14:textId="29DC42BF" w:rsidR="001F1864" w:rsidRDefault="00C25951" w:rsidP="003D60DF">
      <w:pPr>
        <w:pStyle w:val="ListParagraph"/>
        <w:numPr>
          <w:ilvl w:val="0"/>
          <w:numId w:val="1"/>
        </w:numPr>
        <w:tabs>
          <w:tab w:val="left" w:pos="860"/>
        </w:tabs>
        <w:spacing w:line="232" w:lineRule="auto"/>
        <w:ind w:right="484"/>
      </w:pPr>
      <w:r w:rsidRPr="007A6EE7">
        <w:rPr>
          <w:b/>
        </w:rPr>
        <w:t>Antidepressant,</w:t>
      </w:r>
      <w:r w:rsidRPr="007A6EE7">
        <w:rPr>
          <w:b/>
          <w:spacing w:val="-11"/>
        </w:rPr>
        <w:t xml:space="preserve"> </w:t>
      </w:r>
      <w:r w:rsidR="00341431" w:rsidRPr="00925D4E">
        <w:rPr>
          <w:b/>
        </w:rPr>
        <w:t>armodafinil</w:t>
      </w:r>
      <w:r w:rsidR="00341431" w:rsidRPr="007A6EE7">
        <w:rPr>
          <w:bCs/>
        </w:rPr>
        <w:t>,</w:t>
      </w:r>
      <w:r w:rsidRPr="007A6EE7">
        <w:rPr>
          <w:b/>
          <w:spacing w:val="-12"/>
        </w:rPr>
        <w:t xml:space="preserve"> </w:t>
      </w:r>
      <w:r w:rsidRPr="007A6EE7">
        <w:rPr>
          <w:b/>
        </w:rPr>
        <w:t>atomoxetine,</w:t>
      </w:r>
      <w:r w:rsidRPr="007A6EE7">
        <w:rPr>
          <w:b/>
          <w:spacing w:val="-12"/>
        </w:rPr>
        <w:t xml:space="preserve"> </w:t>
      </w:r>
      <w:r w:rsidRPr="007A6EE7">
        <w:rPr>
          <w:b/>
        </w:rPr>
        <w:t>benzodiazepine,</w:t>
      </w:r>
      <w:r w:rsidRPr="007A6EE7">
        <w:rPr>
          <w:b/>
          <w:spacing w:val="-12"/>
        </w:rPr>
        <w:t xml:space="preserve"> </w:t>
      </w:r>
      <w:r w:rsidRPr="007A6EE7">
        <w:rPr>
          <w:b/>
        </w:rPr>
        <w:t>buspirone,</w:t>
      </w:r>
      <w:r w:rsidR="00341431" w:rsidRPr="007A6EE7">
        <w:rPr>
          <w:b/>
        </w:rPr>
        <w:t xml:space="preserve"> </w:t>
      </w:r>
      <w:r w:rsidR="00341431" w:rsidRPr="007A6EE7">
        <w:rPr>
          <w:b/>
          <w:bCs/>
        </w:rPr>
        <w:t>donepezil,</w:t>
      </w:r>
      <w:r w:rsidR="00341431" w:rsidRPr="007A6EE7">
        <w:t xml:space="preserve"> </w:t>
      </w:r>
      <w:r w:rsidR="002C46AC" w:rsidRPr="007A6EE7">
        <w:rPr>
          <w:b/>
        </w:rPr>
        <w:t>hypnotic,</w:t>
      </w:r>
      <w:r w:rsidR="002C46AC" w:rsidRPr="007A6EE7">
        <w:rPr>
          <w:b/>
          <w:spacing w:val="-5"/>
        </w:rPr>
        <w:t xml:space="preserve"> </w:t>
      </w:r>
      <w:r w:rsidR="00341431" w:rsidRPr="007A6EE7">
        <w:rPr>
          <w:b/>
          <w:bCs/>
        </w:rPr>
        <w:t xml:space="preserve">memantine, </w:t>
      </w:r>
      <w:r w:rsidR="00E81326">
        <w:rPr>
          <w:b/>
          <w:bCs/>
        </w:rPr>
        <w:t xml:space="preserve">meprobamate, </w:t>
      </w:r>
      <w:r w:rsidR="00341431" w:rsidRPr="007A6EE7">
        <w:rPr>
          <w:b/>
          <w:bCs/>
        </w:rPr>
        <w:t>modafinil</w:t>
      </w:r>
      <w:r w:rsidR="00341431" w:rsidRPr="007A6EE7">
        <w:t>,</w:t>
      </w:r>
      <w:r w:rsidR="00341431" w:rsidRPr="007A6EE7">
        <w:rPr>
          <w:b/>
          <w:spacing w:val="-11"/>
        </w:rPr>
        <w:t xml:space="preserve"> </w:t>
      </w:r>
      <w:r w:rsidRPr="007A6EE7">
        <w:rPr>
          <w:b/>
        </w:rPr>
        <w:t>mood</w:t>
      </w:r>
      <w:r w:rsidRPr="007A6EE7">
        <w:rPr>
          <w:b/>
          <w:spacing w:val="-12"/>
        </w:rPr>
        <w:t xml:space="preserve"> </w:t>
      </w:r>
      <w:r w:rsidRPr="007A6EE7">
        <w:rPr>
          <w:b/>
        </w:rPr>
        <w:t>stabilizer</w:t>
      </w:r>
      <w:r w:rsidRPr="007A6EE7">
        <w:rPr>
          <w:b/>
          <w:spacing w:val="-9"/>
        </w:rPr>
        <w:t xml:space="preserve"> </w:t>
      </w:r>
      <w:r w:rsidR="0017000C" w:rsidRPr="007A6EE7">
        <w:rPr>
          <w:b/>
          <w:spacing w:val="-9"/>
        </w:rPr>
        <w:t xml:space="preserve">(agents </w:t>
      </w:r>
      <w:r w:rsidR="008B477D" w:rsidRPr="00051D4C">
        <w:rPr>
          <w:b/>
          <w:spacing w:val="-9"/>
        </w:rPr>
        <w:t xml:space="preserve">considered to be </w:t>
      </w:r>
      <w:r w:rsidR="0017000C" w:rsidRPr="00051D4C">
        <w:rPr>
          <w:b/>
          <w:spacing w:val="-9"/>
        </w:rPr>
        <w:t>used</w:t>
      </w:r>
      <w:r w:rsidR="006F1011" w:rsidRPr="00807C14">
        <w:rPr>
          <w:b/>
          <w:spacing w:val="-9"/>
        </w:rPr>
        <w:t xml:space="preserve"> only for seizure diagnose</w:t>
      </w:r>
      <w:r w:rsidR="0017000C" w:rsidRPr="007F6F30">
        <w:rPr>
          <w:b/>
          <w:spacing w:val="-9"/>
        </w:rPr>
        <w:t xml:space="preserve">s </w:t>
      </w:r>
      <w:r w:rsidR="006F1011" w:rsidRPr="007F6F30">
        <w:rPr>
          <w:b/>
          <w:spacing w:val="-9"/>
        </w:rPr>
        <w:t>are not included</w:t>
      </w:r>
      <w:r w:rsidR="0017000C" w:rsidRPr="007F6F30">
        <w:rPr>
          <w:b/>
          <w:spacing w:val="-9"/>
        </w:rPr>
        <w:t>)</w:t>
      </w:r>
      <w:r w:rsidR="00341431" w:rsidRPr="007F6F30">
        <w:rPr>
          <w:b/>
          <w:spacing w:val="-9"/>
        </w:rPr>
        <w:t xml:space="preserve">, </w:t>
      </w:r>
      <w:r w:rsidR="00341431" w:rsidRPr="007A6EE7">
        <w:rPr>
          <w:b/>
          <w:bCs/>
        </w:rPr>
        <w:t>naltrexone</w:t>
      </w:r>
      <w:r w:rsidR="00D302E5">
        <w:rPr>
          <w:b/>
          <w:bCs/>
        </w:rPr>
        <w:t xml:space="preserve">, </w:t>
      </w:r>
      <w:r w:rsidR="00E81326">
        <w:rPr>
          <w:b/>
          <w:bCs/>
        </w:rPr>
        <w:t xml:space="preserve">prazosin, </w:t>
      </w:r>
      <w:r w:rsidR="00D302E5" w:rsidRPr="00D302E5">
        <w:rPr>
          <w:b/>
          <w:bCs/>
        </w:rPr>
        <w:t>viloxazine</w:t>
      </w:r>
      <w:r w:rsidR="00FA04E9">
        <w:rPr>
          <w:b/>
          <w:bCs/>
        </w:rPr>
        <w:t xml:space="preserve">, or </w:t>
      </w:r>
      <w:r w:rsidR="00FA04E9" w:rsidRPr="00FA04E9">
        <w:rPr>
          <w:b/>
          <w:bCs/>
          <w:spacing w:val="-9"/>
        </w:rPr>
        <w:t xml:space="preserve">xanomeline/trospium </w:t>
      </w:r>
      <w:r w:rsidRPr="007A6EE7">
        <w:t>pharmacy</w:t>
      </w:r>
      <w:r w:rsidRPr="007A6EE7">
        <w:rPr>
          <w:spacing w:val="-12"/>
        </w:rPr>
        <w:t xml:space="preserve"> </w:t>
      </w:r>
      <w:r w:rsidRPr="007A6EE7">
        <w:t>claim for members less than six years of</w:t>
      </w:r>
      <w:r w:rsidRPr="007A6EE7">
        <w:rPr>
          <w:spacing w:val="-31"/>
        </w:rPr>
        <w:t xml:space="preserve"> </w:t>
      </w:r>
      <w:proofErr w:type="gramStart"/>
      <w:r w:rsidRPr="007A6EE7">
        <w:t>age;</w:t>
      </w:r>
      <w:proofErr w:type="gramEnd"/>
    </w:p>
    <w:p w14:paraId="050B44FA" w14:textId="77777777" w:rsidR="001F1864" w:rsidRDefault="00C25951" w:rsidP="00454F9B">
      <w:pPr>
        <w:pStyle w:val="ListParagraph"/>
        <w:numPr>
          <w:ilvl w:val="0"/>
          <w:numId w:val="1"/>
        </w:numPr>
        <w:tabs>
          <w:tab w:val="left" w:pos="860"/>
        </w:tabs>
        <w:spacing w:before="111" w:after="240"/>
      </w:pPr>
      <w:r>
        <w:rPr>
          <w:b/>
        </w:rPr>
        <w:t>Alpha</w:t>
      </w:r>
      <w:r w:rsidRPr="007E05AE">
        <w:rPr>
          <w:b/>
          <w:position w:val="-3"/>
          <w:sz w:val="16"/>
        </w:rPr>
        <w:t>2</w:t>
      </w:r>
      <w:r>
        <w:rPr>
          <w:spacing w:val="-5"/>
          <w:position w:val="-3"/>
          <w:sz w:val="16"/>
        </w:rPr>
        <w:t xml:space="preserve"> </w:t>
      </w:r>
      <w:r>
        <w:rPr>
          <w:b/>
        </w:rPr>
        <w:t>agonist</w:t>
      </w:r>
      <w:r>
        <w:rPr>
          <w:b/>
          <w:spacing w:val="-5"/>
        </w:rPr>
        <w:t xml:space="preserve"> </w:t>
      </w:r>
      <w:r>
        <w:rPr>
          <w:b/>
        </w:rPr>
        <w:t>or</w:t>
      </w:r>
      <w:r>
        <w:rPr>
          <w:b/>
          <w:spacing w:val="-5"/>
        </w:rPr>
        <w:t xml:space="preserve"> </w:t>
      </w:r>
      <w:r>
        <w:rPr>
          <w:b/>
        </w:rPr>
        <w:t>cerebral</w:t>
      </w:r>
      <w:r>
        <w:rPr>
          <w:b/>
          <w:spacing w:val="-5"/>
        </w:rPr>
        <w:t xml:space="preserve"> </w:t>
      </w:r>
      <w:r>
        <w:rPr>
          <w:b/>
        </w:rPr>
        <w:t>stimulant</w:t>
      </w:r>
      <w:r>
        <w:rPr>
          <w:b/>
          <w:spacing w:val="-5"/>
        </w:rPr>
        <w:t xml:space="preserve"> </w:t>
      </w:r>
      <w:r>
        <w:t>pharmacy</w:t>
      </w:r>
      <w:r>
        <w:rPr>
          <w:spacing w:val="-6"/>
        </w:rPr>
        <w:t xml:space="preserve"> </w:t>
      </w:r>
      <w:r>
        <w:t>claim</w:t>
      </w:r>
      <w:r>
        <w:rPr>
          <w:spacing w:val="-5"/>
        </w:rPr>
        <w:t xml:space="preserve"> </w:t>
      </w:r>
      <w:r>
        <w:t>for</w:t>
      </w:r>
      <w:r>
        <w:rPr>
          <w:spacing w:val="-6"/>
        </w:rPr>
        <w:t xml:space="preserve"> </w:t>
      </w:r>
      <w:r>
        <w:t>members</w:t>
      </w:r>
      <w:r>
        <w:rPr>
          <w:spacing w:val="-6"/>
        </w:rPr>
        <w:t xml:space="preserve"> </w:t>
      </w:r>
      <w:r>
        <w:t>less</w:t>
      </w:r>
      <w:r>
        <w:rPr>
          <w:spacing w:val="-6"/>
        </w:rPr>
        <w:t xml:space="preserve"> </w:t>
      </w:r>
      <w:r>
        <w:t>than</w:t>
      </w:r>
      <w:r>
        <w:rPr>
          <w:spacing w:val="-5"/>
        </w:rPr>
        <w:t xml:space="preserve"> </w:t>
      </w:r>
      <w:r>
        <w:t>three</w:t>
      </w:r>
      <w:r>
        <w:rPr>
          <w:spacing w:val="-5"/>
        </w:rPr>
        <w:t xml:space="preserve"> </w:t>
      </w:r>
      <w:r>
        <w:t>years</w:t>
      </w:r>
      <w:r>
        <w:rPr>
          <w:spacing w:val="-6"/>
        </w:rPr>
        <w:t xml:space="preserve"> </w:t>
      </w:r>
      <w:r>
        <w:t>of</w:t>
      </w:r>
      <w:r>
        <w:rPr>
          <w:spacing w:val="-6"/>
        </w:rPr>
        <w:t xml:space="preserve"> </w:t>
      </w:r>
      <w:r>
        <w:t>age.</w:t>
      </w:r>
    </w:p>
    <w:p w14:paraId="73313729" w14:textId="77777777" w:rsidR="00023839" w:rsidRDefault="00C25951" w:rsidP="00023839">
      <w:pPr>
        <w:pStyle w:val="BodyText"/>
        <w:spacing w:line="232" w:lineRule="auto"/>
        <w:ind w:left="320" w:right="517"/>
        <w:rPr>
          <w:b/>
          <w:sz w:val="20"/>
        </w:rPr>
        <w:sectPr w:rsidR="00023839">
          <w:pgSz w:w="12240" w:h="15840"/>
          <w:pgMar w:top="480" w:right="560" w:bottom="280" w:left="580" w:header="720" w:footer="720" w:gutter="0"/>
          <w:cols w:space="720"/>
        </w:sectPr>
      </w:pPr>
      <w:r>
        <w:t xml:space="preserve">The reference table below lists the behavioral health medications included in the Pediatric Behavioral Health Medication Initiative. Further information on the prior authorization requirements, including approval criteria, can be found within the MassHealth Drug List at </w:t>
      </w:r>
      <w:hyperlink r:id="rId12">
        <w:r>
          <w:rPr>
            <w:b/>
          </w:rPr>
          <w:t>www.mass.gov/druglist</w:t>
        </w:r>
      </w:hyperlink>
      <w:r>
        <w:rPr>
          <w:b/>
        </w:rPr>
        <w:t>.</w:t>
      </w:r>
      <w:r w:rsidR="00134751">
        <w:rPr>
          <w:b/>
          <w:sz w:val="20"/>
        </w:rPr>
        <w:t xml:space="preserve"> </w:t>
      </w:r>
    </w:p>
    <w:p w14:paraId="041CC244" w14:textId="0C429F69" w:rsidR="00023839" w:rsidRDefault="009B0DB4" w:rsidP="00F9548C">
      <w:pPr>
        <w:pStyle w:val="BodyText"/>
        <w:spacing w:before="1200" w:line="232" w:lineRule="auto"/>
        <w:ind w:left="320" w:right="517"/>
        <w:rPr>
          <w:sz w:val="18"/>
        </w:rPr>
        <w:sectPr w:rsidR="00023839" w:rsidSect="00023839">
          <w:type w:val="continuous"/>
          <w:pgSz w:w="12240" w:h="15840"/>
          <w:pgMar w:top="480" w:right="560" w:bottom="280" w:left="580" w:header="720" w:footer="720" w:gutter="0"/>
          <w:cols w:space="720"/>
        </w:sectPr>
      </w:pPr>
      <w:r>
        <w:rPr>
          <w:spacing w:val="-5"/>
          <w:sz w:val="18"/>
        </w:rPr>
        <w:t xml:space="preserve">PBHMI </w:t>
      </w:r>
      <w:r w:rsidR="00553D76" w:rsidRPr="005D61AB">
        <w:rPr>
          <w:spacing w:val="-5"/>
          <w:sz w:val="18"/>
        </w:rPr>
        <w:t>(Rev.</w:t>
      </w:r>
      <w:r w:rsidR="00553D76">
        <w:rPr>
          <w:spacing w:val="-5"/>
          <w:sz w:val="18"/>
        </w:rPr>
        <w:t xml:space="preserve"> </w:t>
      </w:r>
      <w:r w:rsidR="00F9548C">
        <w:rPr>
          <w:spacing w:val="-5"/>
          <w:sz w:val="18"/>
        </w:rPr>
        <w:t>0</w:t>
      </w:r>
      <w:r w:rsidR="00300EA2">
        <w:rPr>
          <w:spacing w:val="-5"/>
          <w:sz w:val="18"/>
        </w:rPr>
        <w:t>2/25</w:t>
      </w:r>
      <w:r w:rsidR="00553D76" w:rsidRPr="005D61AB">
        <w:rPr>
          <w:sz w:val="18"/>
        </w:rPr>
        <w:t>)</w:t>
      </w:r>
      <w:r w:rsidR="00C25951" w:rsidRPr="005D61AB">
        <w:rPr>
          <w:sz w:val="18"/>
        </w:rPr>
        <w:t xml:space="preserve"> </w:t>
      </w:r>
    </w:p>
    <w:p w14:paraId="3C52137A" w14:textId="7FB304CB" w:rsidR="001F1864" w:rsidRDefault="00C25951" w:rsidP="00624BD6">
      <w:pPr>
        <w:pStyle w:val="BodyText"/>
        <w:rPr>
          <w:rFonts w:ascii="Wingdings 3" w:hAnsi="Wingdings 3"/>
          <w:sz w:val="6"/>
        </w:rPr>
      </w:pPr>
      <w:r>
        <w:rPr>
          <w:rFonts w:ascii="Wingdings 3" w:hAnsi="Wingdings 3"/>
          <w:noProof/>
          <w:sz w:val="6"/>
        </w:rPr>
        <w:lastRenderedPageBreak/>
        <mc:AlternateContent>
          <mc:Choice Requires="wpg">
            <w:drawing>
              <wp:inline distT="0" distB="0" distL="0" distR="0" wp14:anchorId="1A1A433D" wp14:editId="223ACEEF">
                <wp:extent cx="6896100" cy="38100"/>
                <wp:effectExtent l="0" t="0" r="9525" b="0"/>
                <wp:docPr id="2" name="Group 2" descr="Used to seperate the body of the document from the Pediartic Behavioral Health Medication Initiative Medication List." title="Bo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38100"/>
                          <a:chOff x="0" y="0"/>
                          <a:chExt cx="10860" cy="60"/>
                        </a:xfrm>
                      </wpg:grpSpPr>
                      <wps:wsp>
                        <wps:cNvPr id="3" name="Line 3"/>
                        <wps:cNvCnPr>
                          <a:cxnSpLocks noChangeShapeType="1"/>
                        </wps:cNvCnPr>
                        <wps:spPr bwMode="auto">
                          <a:xfrm>
                            <a:off x="30" y="30"/>
                            <a:ext cx="10800" cy="0"/>
                          </a:xfrm>
                          <a:prstGeom prst="line">
                            <a:avLst/>
                          </a:prstGeom>
                          <a:noFill/>
                          <a:ln w="38100">
                            <a:solidFill>
                              <a:srgbClr val="93959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015612" id="Group 2" o:spid="_x0000_s1026" alt="Title: Border - Description: Used to seperate the body of the document from the Pediartic Behavioral Health Medication Initiative Medication List." style="width:543pt;height:3pt;mso-position-horizontal-relative:char;mso-position-vertical-relative:line" coordsize="10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">
                <v:line id="Line 3" o:spid="_x0000_s1027" style="position:absolute;visibility:visible;mso-wrap-style:square" from="30,30" to="108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" strokecolor="#939598" strokeweight="3pt"/>
                <w10:anchorlock/>
              </v:group>
            </w:pict>
          </mc:Fallback>
        </mc:AlternateContent>
      </w:r>
    </w:p>
    <w:tbl>
      <w:tblPr>
        <w:tblStyle w:val="TableGrid"/>
        <w:tblpPr w:leftFromText="180" w:rightFromText="180" w:vertAnchor="text" w:horzAnchor="margin" w:tblpY="12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Caption w:val="Pediatric Behavioral Health Medication Initiative Medication List"/>
        <w:tblDescription w:val="Table contains medications included in the MassHealth Pediatric Behavioral Health Medication Initiative listed by therapeutic class"/>
      </w:tblPr>
      <w:tblGrid>
        <w:gridCol w:w="3125"/>
        <w:gridCol w:w="2587"/>
        <w:gridCol w:w="2641"/>
        <w:gridCol w:w="2478"/>
      </w:tblGrid>
      <w:tr w:rsidR="00BB25A7" w:rsidRPr="00B14121" w14:paraId="3469AD67" w14:textId="77777777" w:rsidTr="007F381D">
        <w:trPr>
          <w:trHeight w:val="288"/>
          <w:tblHeader/>
        </w:trPr>
        <w:tc>
          <w:tcPr>
            <w:tcW w:w="10831" w:type="dxa"/>
            <w:gridSpan w:val="4"/>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62CED90D" w14:textId="4CA243BE" w:rsidR="00BB25A7" w:rsidRPr="007E05AE" w:rsidRDefault="00BB25A7" w:rsidP="007E05AE">
            <w:pPr>
              <w:pStyle w:val="Heading1"/>
              <w:ind w:left="-45" w:right="-149"/>
              <w:jc w:val="center"/>
            </w:pPr>
            <w:r>
              <w:t>P</w:t>
            </w:r>
            <w:r w:rsidRPr="00BB25A7">
              <w:t>ediatric Behavioral Health Medication Initiative Medication List</w:t>
            </w:r>
            <w:r w:rsidRPr="007E05AE">
              <w:rPr>
                <w:vertAlign w:val="superscript"/>
              </w:rPr>
              <w:t>1</w:t>
            </w:r>
          </w:p>
        </w:tc>
      </w:tr>
      <w:tr w:rsidR="005C7F0B" w:rsidRPr="00B14121" w14:paraId="54A4A8B8" w14:textId="77777777" w:rsidTr="007F381D">
        <w:trPr>
          <w:trHeight w:val="288"/>
          <w:tblHeader/>
        </w:trPr>
        <w:tc>
          <w:tcPr>
            <w:tcW w:w="5712" w:type="dxa"/>
            <w:gridSpan w:val="2"/>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45858895" w14:textId="77777777" w:rsidR="005C7F0B" w:rsidRPr="007E05AE" w:rsidRDefault="005C7F0B" w:rsidP="007E05AE">
            <w:pPr>
              <w:pStyle w:val="Heading1"/>
              <w:ind w:left="-45"/>
              <w:jc w:val="center"/>
              <w:rPr>
                <w:b w:val="0"/>
                <w:sz w:val="20"/>
              </w:rPr>
            </w:pPr>
            <w:r w:rsidRPr="007E05AE">
              <w:rPr>
                <w:sz w:val="20"/>
              </w:rPr>
              <w:t>Antidepressants</w:t>
            </w:r>
          </w:p>
        </w:tc>
        <w:tc>
          <w:tcPr>
            <w:tcW w:w="5119" w:type="dxa"/>
            <w:gridSpan w:val="2"/>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2ED5A195" w14:textId="77777777" w:rsidR="005C7F0B" w:rsidRPr="007E05AE" w:rsidRDefault="005C7F0B" w:rsidP="007E05AE">
            <w:pPr>
              <w:pStyle w:val="Heading1"/>
              <w:ind w:left="-74"/>
              <w:jc w:val="center"/>
              <w:rPr>
                <w:b w:val="0"/>
                <w:sz w:val="20"/>
              </w:rPr>
            </w:pPr>
            <w:r w:rsidRPr="007E05AE">
              <w:rPr>
                <w:sz w:val="20"/>
              </w:rPr>
              <w:t>Mood Stabilizers</w:t>
            </w:r>
          </w:p>
        </w:tc>
      </w:tr>
      <w:tr w:rsidR="00E3198A" w:rsidRPr="00B14121" w14:paraId="57F08567" w14:textId="77777777" w:rsidTr="002959C5">
        <w:trPr>
          <w:trHeight w:val="288"/>
        </w:trPr>
        <w:tc>
          <w:tcPr>
            <w:tcW w:w="3125" w:type="dxa"/>
            <w:tcBorders>
              <w:top w:val="nil"/>
              <w:left w:val="single" w:sz="18" w:space="0" w:color="808080" w:themeColor="background1" w:themeShade="80"/>
              <w:bottom w:val="nil"/>
            </w:tcBorders>
            <w:vAlign w:val="center"/>
          </w:tcPr>
          <w:p w14:paraId="4BE981A5" w14:textId="77777777" w:rsidR="00E3198A" w:rsidRPr="00B14121" w:rsidRDefault="00E3198A" w:rsidP="00E3198A">
            <w:pPr>
              <w:rPr>
                <w:rFonts w:ascii="Arial" w:hAnsi="Arial" w:cs="Arial"/>
                <w:sz w:val="20"/>
                <w:szCs w:val="20"/>
              </w:rPr>
            </w:pPr>
            <w:r w:rsidRPr="00B14121">
              <w:rPr>
                <w:rFonts w:ascii="Arial" w:hAnsi="Arial" w:cs="Arial"/>
                <w:sz w:val="20"/>
                <w:szCs w:val="20"/>
              </w:rPr>
              <w:t>amitriptyline</w:t>
            </w:r>
          </w:p>
        </w:tc>
        <w:tc>
          <w:tcPr>
            <w:tcW w:w="2587" w:type="dxa"/>
            <w:tcBorders>
              <w:top w:val="nil"/>
              <w:bottom w:val="nil"/>
              <w:right w:val="single" w:sz="18" w:space="0" w:color="808080" w:themeColor="background1" w:themeShade="80"/>
            </w:tcBorders>
            <w:vAlign w:val="center"/>
          </w:tcPr>
          <w:p w14:paraId="581F78DF" w14:textId="05198215" w:rsidR="00E3198A" w:rsidRPr="00B14121" w:rsidRDefault="00E3198A" w:rsidP="00E3198A">
            <w:pPr>
              <w:rPr>
                <w:rFonts w:ascii="Arial" w:hAnsi="Arial" w:cs="Arial"/>
                <w:sz w:val="20"/>
                <w:szCs w:val="20"/>
              </w:rPr>
            </w:pPr>
            <w:r w:rsidRPr="00B14121">
              <w:rPr>
                <w:rFonts w:ascii="Arial" w:hAnsi="Arial" w:cs="Arial"/>
                <w:sz w:val="20"/>
                <w:szCs w:val="20"/>
              </w:rPr>
              <w:t>levomilnacipran</w:t>
            </w:r>
            <w:r w:rsidRPr="00B14121" w:rsidDel="0085309A">
              <w:rPr>
                <w:rFonts w:ascii="Arial" w:hAnsi="Arial" w:cs="Arial"/>
                <w:sz w:val="20"/>
                <w:szCs w:val="20"/>
              </w:rPr>
              <w:t xml:space="preserve"> </w:t>
            </w:r>
          </w:p>
        </w:tc>
        <w:tc>
          <w:tcPr>
            <w:tcW w:w="2641" w:type="dxa"/>
            <w:tcBorders>
              <w:top w:val="nil"/>
              <w:left w:val="single" w:sz="18" w:space="0" w:color="808080" w:themeColor="background1" w:themeShade="80"/>
              <w:bottom w:val="nil"/>
            </w:tcBorders>
            <w:vAlign w:val="center"/>
          </w:tcPr>
          <w:p w14:paraId="4A6CEC5C" w14:textId="2559CE1B" w:rsidR="00E3198A" w:rsidRPr="00B14121" w:rsidRDefault="00E3198A" w:rsidP="00E3198A">
            <w:pPr>
              <w:rPr>
                <w:rFonts w:ascii="Arial" w:hAnsi="Arial" w:cs="Arial"/>
                <w:sz w:val="20"/>
                <w:szCs w:val="20"/>
              </w:rPr>
            </w:pPr>
            <w:r w:rsidRPr="00B14121">
              <w:rPr>
                <w:rFonts w:ascii="Arial" w:hAnsi="Arial" w:cs="Arial"/>
                <w:sz w:val="20"/>
                <w:szCs w:val="20"/>
              </w:rPr>
              <w:t>carbamazepine</w:t>
            </w:r>
          </w:p>
        </w:tc>
        <w:tc>
          <w:tcPr>
            <w:tcW w:w="2478" w:type="dxa"/>
            <w:tcBorders>
              <w:top w:val="nil"/>
              <w:bottom w:val="nil"/>
              <w:right w:val="single" w:sz="18" w:space="0" w:color="808080" w:themeColor="background1" w:themeShade="80"/>
            </w:tcBorders>
            <w:vAlign w:val="center"/>
          </w:tcPr>
          <w:p w14:paraId="4FB46E19" w14:textId="23DB5925" w:rsidR="00E3198A" w:rsidRPr="00B14121" w:rsidRDefault="00512E36" w:rsidP="00E3198A">
            <w:pPr>
              <w:rPr>
                <w:rFonts w:ascii="Arial" w:hAnsi="Arial" w:cs="Arial"/>
                <w:sz w:val="20"/>
                <w:szCs w:val="20"/>
              </w:rPr>
            </w:pPr>
            <w:r w:rsidRPr="00B14121">
              <w:rPr>
                <w:rFonts w:ascii="Arial" w:hAnsi="Arial" w:cs="Arial"/>
                <w:sz w:val="20"/>
                <w:szCs w:val="20"/>
              </w:rPr>
              <w:t>oxcarbazepine</w:t>
            </w:r>
            <w:r w:rsidRPr="00B14121" w:rsidDel="00512E36">
              <w:rPr>
                <w:rFonts w:ascii="Arial" w:hAnsi="Arial" w:cs="Arial"/>
                <w:sz w:val="20"/>
                <w:szCs w:val="20"/>
              </w:rPr>
              <w:t xml:space="preserve"> </w:t>
            </w:r>
          </w:p>
        </w:tc>
      </w:tr>
      <w:tr w:rsidR="00E3198A" w:rsidRPr="00B14121" w14:paraId="15B26460" w14:textId="77777777" w:rsidTr="002959C5">
        <w:trPr>
          <w:trHeight w:val="288"/>
        </w:trPr>
        <w:tc>
          <w:tcPr>
            <w:tcW w:w="3125" w:type="dxa"/>
            <w:tcBorders>
              <w:top w:val="nil"/>
              <w:left w:val="single" w:sz="18" w:space="0" w:color="808080" w:themeColor="background1" w:themeShade="80"/>
              <w:bottom w:val="nil"/>
            </w:tcBorders>
            <w:vAlign w:val="center"/>
          </w:tcPr>
          <w:p w14:paraId="413AB5D5" w14:textId="77777777" w:rsidR="00E3198A" w:rsidRPr="00B14121" w:rsidRDefault="00E3198A" w:rsidP="00E3198A">
            <w:pPr>
              <w:rPr>
                <w:rFonts w:ascii="Arial" w:hAnsi="Arial" w:cs="Arial"/>
                <w:sz w:val="20"/>
                <w:szCs w:val="20"/>
              </w:rPr>
            </w:pPr>
            <w:r w:rsidRPr="00B14121">
              <w:rPr>
                <w:rFonts w:ascii="Arial" w:hAnsi="Arial" w:cs="Arial"/>
                <w:sz w:val="20"/>
                <w:szCs w:val="20"/>
              </w:rPr>
              <w:t>amoxapine</w:t>
            </w:r>
          </w:p>
        </w:tc>
        <w:tc>
          <w:tcPr>
            <w:tcW w:w="2587" w:type="dxa"/>
            <w:tcBorders>
              <w:top w:val="nil"/>
              <w:bottom w:val="nil"/>
              <w:right w:val="single" w:sz="18" w:space="0" w:color="808080" w:themeColor="background1" w:themeShade="80"/>
            </w:tcBorders>
            <w:vAlign w:val="center"/>
          </w:tcPr>
          <w:p w14:paraId="045E780F" w14:textId="4D03DC3B" w:rsidR="00E3198A" w:rsidRPr="00B14121" w:rsidRDefault="00E3198A" w:rsidP="00E3198A">
            <w:pPr>
              <w:rPr>
                <w:rFonts w:ascii="Arial" w:hAnsi="Arial" w:cs="Arial"/>
                <w:sz w:val="20"/>
                <w:szCs w:val="20"/>
              </w:rPr>
            </w:pPr>
            <w:r w:rsidRPr="00B14121">
              <w:rPr>
                <w:rFonts w:ascii="Arial" w:hAnsi="Arial" w:cs="Arial"/>
                <w:sz w:val="20"/>
                <w:szCs w:val="20"/>
              </w:rPr>
              <w:t>mirtazapine</w:t>
            </w:r>
            <w:r w:rsidRPr="00B14121" w:rsidDel="00D70190">
              <w:rPr>
                <w:rFonts w:ascii="Arial" w:hAnsi="Arial" w:cs="Arial"/>
                <w:sz w:val="20"/>
                <w:szCs w:val="20"/>
              </w:rPr>
              <w:t xml:space="preserve"> </w:t>
            </w:r>
          </w:p>
        </w:tc>
        <w:tc>
          <w:tcPr>
            <w:tcW w:w="2641" w:type="dxa"/>
            <w:tcBorders>
              <w:top w:val="nil"/>
              <w:left w:val="single" w:sz="18" w:space="0" w:color="808080" w:themeColor="background1" w:themeShade="80"/>
              <w:bottom w:val="nil"/>
            </w:tcBorders>
            <w:vAlign w:val="center"/>
          </w:tcPr>
          <w:p w14:paraId="37309C76" w14:textId="71E200BE" w:rsidR="00E3198A" w:rsidRPr="00B14121" w:rsidRDefault="00E3198A" w:rsidP="00E3198A">
            <w:pPr>
              <w:rPr>
                <w:rFonts w:ascii="Arial" w:hAnsi="Arial" w:cs="Arial"/>
                <w:sz w:val="20"/>
                <w:szCs w:val="20"/>
              </w:rPr>
            </w:pPr>
            <w:r>
              <w:rPr>
                <w:rFonts w:ascii="Arial" w:hAnsi="Arial" w:cs="Arial"/>
                <w:sz w:val="20"/>
                <w:szCs w:val="20"/>
              </w:rPr>
              <w:t>divalproex</w:t>
            </w:r>
          </w:p>
        </w:tc>
        <w:tc>
          <w:tcPr>
            <w:tcW w:w="2478" w:type="dxa"/>
            <w:tcBorders>
              <w:top w:val="nil"/>
              <w:bottom w:val="nil"/>
              <w:right w:val="single" w:sz="18" w:space="0" w:color="808080" w:themeColor="background1" w:themeShade="80"/>
            </w:tcBorders>
            <w:vAlign w:val="center"/>
          </w:tcPr>
          <w:p w14:paraId="5EEF1981" w14:textId="662F088B" w:rsidR="00E3198A" w:rsidRPr="00B14121" w:rsidRDefault="00512E36" w:rsidP="00E3198A">
            <w:pPr>
              <w:rPr>
                <w:rFonts w:ascii="Arial" w:hAnsi="Arial" w:cs="Arial"/>
                <w:sz w:val="20"/>
                <w:szCs w:val="20"/>
              </w:rPr>
            </w:pPr>
            <w:r>
              <w:rPr>
                <w:rFonts w:ascii="Arial" w:hAnsi="Arial" w:cs="Arial"/>
                <w:sz w:val="20"/>
                <w:szCs w:val="20"/>
              </w:rPr>
              <w:t>pregabalin</w:t>
            </w:r>
            <w:r w:rsidRPr="00B14121" w:rsidDel="00512E36">
              <w:rPr>
                <w:rFonts w:ascii="Arial" w:hAnsi="Arial" w:cs="Arial"/>
                <w:sz w:val="20"/>
                <w:szCs w:val="20"/>
              </w:rPr>
              <w:t xml:space="preserve"> </w:t>
            </w:r>
          </w:p>
        </w:tc>
      </w:tr>
      <w:tr w:rsidR="00512E36" w:rsidRPr="00B14121" w14:paraId="51E52FBE" w14:textId="77777777" w:rsidTr="002959C5">
        <w:trPr>
          <w:trHeight w:val="288"/>
        </w:trPr>
        <w:tc>
          <w:tcPr>
            <w:tcW w:w="3125" w:type="dxa"/>
            <w:tcBorders>
              <w:top w:val="nil"/>
              <w:left w:val="single" w:sz="18" w:space="0" w:color="808080" w:themeColor="background1" w:themeShade="80"/>
              <w:bottom w:val="nil"/>
            </w:tcBorders>
            <w:vAlign w:val="center"/>
          </w:tcPr>
          <w:p w14:paraId="77C169AC" w14:textId="77777777" w:rsidR="00512E36" w:rsidRPr="00B14121" w:rsidRDefault="00512E36" w:rsidP="00512E36">
            <w:pPr>
              <w:rPr>
                <w:rFonts w:ascii="Arial" w:hAnsi="Arial" w:cs="Arial"/>
                <w:sz w:val="20"/>
                <w:szCs w:val="20"/>
              </w:rPr>
            </w:pPr>
            <w:r w:rsidRPr="00B14121">
              <w:rPr>
                <w:rFonts w:ascii="Arial" w:hAnsi="Arial" w:cs="Arial"/>
                <w:sz w:val="20"/>
                <w:szCs w:val="20"/>
              </w:rPr>
              <w:t>bupropion</w:t>
            </w:r>
          </w:p>
        </w:tc>
        <w:tc>
          <w:tcPr>
            <w:tcW w:w="2587" w:type="dxa"/>
            <w:tcBorders>
              <w:top w:val="nil"/>
              <w:bottom w:val="nil"/>
              <w:right w:val="single" w:sz="18" w:space="0" w:color="808080" w:themeColor="background1" w:themeShade="80"/>
            </w:tcBorders>
            <w:vAlign w:val="center"/>
          </w:tcPr>
          <w:p w14:paraId="51FFF188" w14:textId="486D0481" w:rsidR="00512E36" w:rsidRPr="00B14121" w:rsidRDefault="00512E36" w:rsidP="00512E36">
            <w:pPr>
              <w:rPr>
                <w:rFonts w:ascii="Arial" w:hAnsi="Arial" w:cs="Arial"/>
                <w:sz w:val="20"/>
                <w:szCs w:val="20"/>
              </w:rPr>
            </w:pPr>
            <w:r w:rsidRPr="00B14121">
              <w:rPr>
                <w:rFonts w:ascii="Arial" w:hAnsi="Arial" w:cs="Arial"/>
                <w:sz w:val="20"/>
                <w:szCs w:val="20"/>
              </w:rPr>
              <w:t>nefazodone</w:t>
            </w:r>
            <w:r w:rsidRPr="00B14121" w:rsidDel="00D70190">
              <w:rPr>
                <w:rFonts w:ascii="Arial" w:hAnsi="Arial" w:cs="Arial"/>
                <w:sz w:val="20"/>
                <w:szCs w:val="20"/>
              </w:rPr>
              <w:t xml:space="preserve"> </w:t>
            </w:r>
          </w:p>
        </w:tc>
        <w:tc>
          <w:tcPr>
            <w:tcW w:w="2641" w:type="dxa"/>
            <w:tcBorders>
              <w:top w:val="nil"/>
              <w:left w:val="single" w:sz="18" w:space="0" w:color="808080" w:themeColor="background1" w:themeShade="80"/>
              <w:bottom w:val="nil"/>
            </w:tcBorders>
            <w:vAlign w:val="center"/>
          </w:tcPr>
          <w:p w14:paraId="62E1C698" w14:textId="3D07FF45" w:rsidR="00512E36" w:rsidRPr="00B14121" w:rsidRDefault="00512E36" w:rsidP="00512E36">
            <w:pPr>
              <w:rPr>
                <w:rFonts w:ascii="Arial" w:hAnsi="Arial" w:cs="Arial"/>
                <w:sz w:val="20"/>
                <w:szCs w:val="20"/>
              </w:rPr>
            </w:pPr>
            <w:r>
              <w:rPr>
                <w:rFonts w:ascii="Arial" w:hAnsi="Arial" w:cs="Arial"/>
                <w:sz w:val="20"/>
                <w:szCs w:val="20"/>
              </w:rPr>
              <w:t>g</w:t>
            </w:r>
            <w:r w:rsidRPr="00B14121">
              <w:rPr>
                <w:rFonts w:ascii="Arial" w:hAnsi="Arial" w:cs="Arial"/>
                <w:sz w:val="20"/>
                <w:szCs w:val="20"/>
              </w:rPr>
              <w:t>abapentin</w:t>
            </w:r>
            <w:r w:rsidRPr="00B14121" w:rsidDel="00512E36">
              <w:rPr>
                <w:rFonts w:ascii="Arial" w:hAnsi="Arial" w:cs="Arial"/>
                <w:sz w:val="20"/>
                <w:szCs w:val="20"/>
              </w:rPr>
              <w:t xml:space="preserve"> </w:t>
            </w:r>
          </w:p>
        </w:tc>
        <w:tc>
          <w:tcPr>
            <w:tcW w:w="2478" w:type="dxa"/>
            <w:tcBorders>
              <w:top w:val="nil"/>
              <w:bottom w:val="nil"/>
              <w:right w:val="single" w:sz="18" w:space="0" w:color="808080" w:themeColor="background1" w:themeShade="80"/>
            </w:tcBorders>
            <w:vAlign w:val="center"/>
          </w:tcPr>
          <w:p w14:paraId="0A8CAD68" w14:textId="16B1F798" w:rsidR="00512E36" w:rsidRPr="00B14121" w:rsidRDefault="00512E36" w:rsidP="00512E36">
            <w:pPr>
              <w:rPr>
                <w:rFonts w:ascii="Arial" w:hAnsi="Arial" w:cs="Arial"/>
                <w:sz w:val="20"/>
                <w:szCs w:val="20"/>
              </w:rPr>
            </w:pPr>
            <w:r w:rsidRPr="00B14121">
              <w:rPr>
                <w:rFonts w:ascii="Arial" w:hAnsi="Arial" w:cs="Arial"/>
                <w:sz w:val="20"/>
                <w:szCs w:val="20"/>
              </w:rPr>
              <w:t>topiramate</w:t>
            </w:r>
          </w:p>
        </w:tc>
      </w:tr>
      <w:tr w:rsidR="00512E36" w:rsidRPr="00B14121" w14:paraId="66682F43" w14:textId="77777777" w:rsidTr="002959C5">
        <w:trPr>
          <w:trHeight w:val="288"/>
        </w:trPr>
        <w:tc>
          <w:tcPr>
            <w:tcW w:w="3125" w:type="dxa"/>
            <w:tcBorders>
              <w:top w:val="nil"/>
              <w:left w:val="single" w:sz="18" w:space="0" w:color="808080" w:themeColor="background1" w:themeShade="80"/>
              <w:bottom w:val="nil"/>
            </w:tcBorders>
            <w:vAlign w:val="center"/>
          </w:tcPr>
          <w:p w14:paraId="6065785E" w14:textId="77777777" w:rsidR="00512E36" w:rsidRPr="00B14121" w:rsidRDefault="00512E36" w:rsidP="00512E36">
            <w:pPr>
              <w:rPr>
                <w:rFonts w:ascii="Arial" w:hAnsi="Arial" w:cs="Arial"/>
                <w:sz w:val="20"/>
                <w:szCs w:val="20"/>
              </w:rPr>
            </w:pPr>
            <w:r w:rsidRPr="00B14121">
              <w:rPr>
                <w:rFonts w:ascii="Arial" w:hAnsi="Arial" w:cs="Arial"/>
                <w:sz w:val="20"/>
                <w:szCs w:val="20"/>
              </w:rPr>
              <w:t>citalopram</w:t>
            </w:r>
          </w:p>
        </w:tc>
        <w:tc>
          <w:tcPr>
            <w:tcW w:w="2587" w:type="dxa"/>
            <w:tcBorders>
              <w:top w:val="nil"/>
              <w:bottom w:val="nil"/>
              <w:right w:val="single" w:sz="18" w:space="0" w:color="808080" w:themeColor="background1" w:themeShade="80"/>
            </w:tcBorders>
            <w:vAlign w:val="center"/>
          </w:tcPr>
          <w:p w14:paraId="2FC7A104" w14:textId="5FF552E8" w:rsidR="00512E36" w:rsidRPr="00B14121" w:rsidRDefault="00512E36" w:rsidP="00512E36">
            <w:pPr>
              <w:rPr>
                <w:rFonts w:ascii="Arial" w:hAnsi="Arial" w:cs="Arial"/>
                <w:sz w:val="20"/>
                <w:szCs w:val="20"/>
              </w:rPr>
            </w:pPr>
            <w:r w:rsidRPr="00B14121">
              <w:rPr>
                <w:rFonts w:ascii="Arial" w:hAnsi="Arial" w:cs="Arial"/>
                <w:sz w:val="20"/>
                <w:szCs w:val="20"/>
              </w:rPr>
              <w:t>nortriptyline</w:t>
            </w:r>
            <w:r w:rsidRPr="00B14121" w:rsidDel="00D70190">
              <w:rPr>
                <w:rFonts w:ascii="Arial" w:hAnsi="Arial" w:cs="Arial"/>
                <w:spacing w:val="-3"/>
                <w:sz w:val="20"/>
                <w:szCs w:val="20"/>
              </w:rPr>
              <w:t xml:space="preserve"> </w:t>
            </w:r>
          </w:p>
        </w:tc>
        <w:tc>
          <w:tcPr>
            <w:tcW w:w="2641" w:type="dxa"/>
            <w:tcBorders>
              <w:top w:val="nil"/>
              <w:left w:val="single" w:sz="18" w:space="0" w:color="808080" w:themeColor="background1" w:themeShade="80"/>
              <w:bottom w:val="nil"/>
            </w:tcBorders>
            <w:vAlign w:val="center"/>
          </w:tcPr>
          <w:p w14:paraId="1878DB64" w14:textId="3D95EFA1" w:rsidR="00512E36" w:rsidRPr="00B14121" w:rsidRDefault="00512E36" w:rsidP="00512E36">
            <w:pPr>
              <w:rPr>
                <w:rFonts w:ascii="Arial" w:hAnsi="Arial" w:cs="Arial"/>
                <w:sz w:val="20"/>
                <w:szCs w:val="20"/>
              </w:rPr>
            </w:pPr>
            <w:r w:rsidRPr="00B14121">
              <w:rPr>
                <w:rFonts w:ascii="Arial" w:hAnsi="Arial" w:cs="Arial"/>
                <w:sz w:val="20"/>
                <w:szCs w:val="20"/>
              </w:rPr>
              <w:t>lamotrigine</w:t>
            </w:r>
            <w:r w:rsidDel="00512E36">
              <w:rPr>
                <w:rFonts w:ascii="Arial" w:hAnsi="Arial" w:cs="Arial"/>
                <w:sz w:val="20"/>
                <w:szCs w:val="20"/>
              </w:rPr>
              <w:t xml:space="preserve"> </w:t>
            </w:r>
          </w:p>
        </w:tc>
        <w:tc>
          <w:tcPr>
            <w:tcW w:w="2478" w:type="dxa"/>
            <w:tcBorders>
              <w:top w:val="nil"/>
              <w:bottom w:val="nil"/>
              <w:right w:val="single" w:sz="18" w:space="0" w:color="808080" w:themeColor="background1" w:themeShade="80"/>
            </w:tcBorders>
            <w:vAlign w:val="center"/>
          </w:tcPr>
          <w:p w14:paraId="6F8542FF" w14:textId="7741D522" w:rsidR="00512E36" w:rsidRPr="00B14121" w:rsidRDefault="00512E36" w:rsidP="00512E36">
            <w:pPr>
              <w:rPr>
                <w:rFonts w:ascii="Arial" w:hAnsi="Arial" w:cs="Arial"/>
                <w:sz w:val="20"/>
                <w:szCs w:val="20"/>
              </w:rPr>
            </w:pPr>
            <w:r w:rsidRPr="00B14121">
              <w:rPr>
                <w:rFonts w:ascii="Arial" w:hAnsi="Arial" w:cs="Arial"/>
                <w:sz w:val="20"/>
                <w:szCs w:val="20"/>
              </w:rPr>
              <w:t>valproic acid</w:t>
            </w:r>
            <w:r w:rsidRPr="00B14121" w:rsidDel="00041FF4">
              <w:rPr>
                <w:rFonts w:ascii="Arial" w:hAnsi="Arial" w:cs="Arial"/>
                <w:sz w:val="20"/>
                <w:szCs w:val="20"/>
              </w:rPr>
              <w:t xml:space="preserve"> </w:t>
            </w:r>
          </w:p>
        </w:tc>
      </w:tr>
      <w:tr w:rsidR="00512E36" w:rsidRPr="00B14121" w14:paraId="15AF41C1" w14:textId="77777777" w:rsidTr="002959C5">
        <w:trPr>
          <w:trHeight w:val="288"/>
        </w:trPr>
        <w:tc>
          <w:tcPr>
            <w:tcW w:w="3125" w:type="dxa"/>
            <w:tcBorders>
              <w:top w:val="nil"/>
              <w:left w:val="single" w:sz="18" w:space="0" w:color="808080" w:themeColor="background1" w:themeShade="80"/>
              <w:bottom w:val="nil"/>
            </w:tcBorders>
            <w:vAlign w:val="center"/>
          </w:tcPr>
          <w:p w14:paraId="45EA1CA5" w14:textId="77777777" w:rsidR="00512E36" w:rsidRPr="00B14121" w:rsidRDefault="00512E36" w:rsidP="00512E36">
            <w:pPr>
              <w:rPr>
                <w:rFonts w:ascii="Arial" w:hAnsi="Arial" w:cs="Arial"/>
                <w:sz w:val="20"/>
                <w:szCs w:val="20"/>
              </w:rPr>
            </w:pPr>
            <w:r w:rsidRPr="00B14121">
              <w:rPr>
                <w:rFonts w:ascii="Arial" w:hAnsi="Arial" w:cs="Arial"/>
                <w:sz w:val="20"/>
                <w:szCs w:val="20"/>
              </w:rPr>
              <w:t>clomipramine</w:t>
            </w:r>
          </w:p>
        </w:tc>
        <w:tc>
          <w:tcPr>
            <w:tcW w:w="2587" w:type="dxa"/>
            <w:tcBorders>
              <w:top w:val="nil"/>
              <w:bottom w:val="nil"/>
              <w:right w:val="single" w:sz="18" w:space="0" w:color="808080" w:themeColor="background1" w:themeShade="80"/>
            </w:tcBorders>
            <w:vAlign w:val="center"/>
          </w:tcPr>
          <w:p w14:paraId="4159B0B8" w14:textId="39F0BDE2" w:rsidR="00512E36" w:rsidRPr="00B14121" w:rsidRDefault="00512E36" w:rsidP="00512E36">
            <w:pPr>
              <w:rPr>
                <w:rFonts w:ascii="Arial" w:hAnsi="Arial" w:cs="Arial"/>
                <w:sz w:val="20"/>
                <w:szCs w:val="20"/>
              </w:rPr>
            </w:pPr>
            <w:r w:rsidRPr="00B14121">
              <w:rPr>
                <w:rFonts w:ascii="Arial" w:hAnsi="Arial" w:cs="Arial"/>
                <w:spacing w:val="-3"/>
                <w:sz w:val="20"/>
                <w:szCs w:val="20"/>
              </w:rPr>
              <w:t>paroxetine</w:t>
            </w:r>
            <w:r w:rsidRPr="00B14121" w:rsidDel="00FE0717">
              <w:rPr>
                <w:rFonts w:ascii="Arial" w:hAnsi="Arial" w:cs="Arial"/>
                <w:sz w:val="20"/>
                <w:szCs w:val="20"/>
              </w:rPr>
              <w:t xml:space="preserve"> </w:t>
            </w:r>
          </w:p>
        </w:tc>
        <w:tc>
          <w:tcPr>
            <w:tcW w:w="2641" w:type="dxa"/>
            <w:tcBorders>
              <w:top w:val="nil"/>
              <w:left w:val="single" w:sz="18" w:space="0" w:color="808080" w:themeColor="background1" w:themeShade="80"/>
              <w:bottom w:val="single" w:sz="18" w:space="0" w:color="808080" w:themeColor="background1" w:themeShade="80"/>
            </w:tcBorders>
            <w:vAlign w:val="center"/>
          </w:tcPr>
          <w:p w14:paraId="28DD6753" w14:textId="3A3BC906" w:rsidR="00512E36" w:rsidRPr="00B14121" w:rsidRDefault="00512E36" w:rsidP="00512E36">
            <w:pPr>
              <w:rPr>
                <w:rFonts w:ascii="Arial" w:hAnsi="Arial" w:cs="Arial"/>
                <w:sz w:val="20"/>
                <w:szCs w:val="20"/>
              </w:rPr>
            </w:pPr>
            <w:r w:rsidRPr="00B14121">
              <w:rPr>
                <w:rFonts w:ascii="Arial" w:hAnsi="Arial" w:cs="Arial"/>
                <w:sz w:val="20"/>
                <w:szCs w:val="20"/>
              </w:rPr>
              <w:t>lithium</w:t>
            </w:r>
            <w:r w:rsidRPr="00B14121" w:rsidDel="00041FF4">
              <w:rPr>
                <w:rFonts w:ascii="Arial" w:hAnsi="Arial" w:cs="Arial"/>
                <w:sz w:val="20"/>
                <w:szCs w:val="20"/>
              </w:rPr>
              <w:t xml:space="preserve"> </w:t>
            </w:r>
          </w:p>
        </w:tc>
        <w:tc>
          <w:tcPr>
            <w:tcW w:w="2478" w:type="dxa"/>
            <w:tcBorders>
              <w:top w:val="nil"/>
              <w:bottom w:val="single" w:sz="18" w:space="0" w:color="808080" w:themeColor="background1" w:themeShade="80"/>
              <w:right w:val="single" w:sz="18" w:space="0" w:color="808080" w:themeColor="background1" w:themeShade="80"/>
            </w:tcBorders>
            <w:vAlign w:val="center"/>
          </w:tcPr>
          <w:p w14:paraId="50D1A4E2" w14:textId="1E77ADBA" w:rsidR="00512E36" w:rsidRPr="00B14121" w:rsidRDefault="00512E36" w:rsidP="00512E36">
            <w:pPr>
              <w:rPr>
                <w:rFonts w:ascii="Arial" w:hAnsi="Arial" w:cs="Arial"/>
                <w:sz w:val="20"/>
                <w:szCs w:val="20"/>
              </w:rPr>
            </w:pPr>
          </w:p>
        </w:tc>
      </w:tr>
      <w:tr w:rsidR="00512E36" w:rsidRPr="00B14121" w14:paraId="732B1DBB" w14:textId="77777777" w:rsidTr="002959C5">
        <w:trPr>
          <w:trHeight w:val="288"/>
        </w:trPr>
        <w:tc>
          <w:tcPr>
            <w:tcW w:w="3125" w:type="dxa"/>
            <w:tcBorders>
              <w:top w:val="nil"/>
              <w:left w:val="single" w:sz="18" w:space="0" w:color="808080" w:themeColor="background1" w:themeShade="80"/>
              <w:bottom w:val="nil"/>
            </w:tcBorders>
            <w:vAlign w:val="center"/>
          </w:tcPr>
          <w:p w14:paraId="7F7A3FCF" w14:textId="77777777" w:rsidR="00512E36" w:rsidRPr="00B14121" w:rsidRDefault="00512E36" w:rsidP="00512E36">
            <w:pPr>
              <w:rPr>
                <w:rFonts w:ascii="Arial" w:hAnsi="Arial" w:cs="Arial"/>
                <w:sz w:val="20"/>
                <w:szCs w:val="20"/>
              </w:rPr>
            </w:pPr>
            <w:r w:rsidRPr="00B14121">
              <w:rPr>
                <w:rFonts w:ascii="Arial" w:hAnsi="Arial" w:cs="Arial"/>
                <w:sz w:val="20"/>
                <w:szCs w:val="20"/>
              </w:rPr>
              <w:t>desipramine</w:t>
            </w:r>
          </w:p>
        </w:tc>
        <w:tc>
          <w:tcPr>
            <w:tcW w:w="2587" w:type="dxa"/>
            <w:tcBorders>
              <w:top w:val="nil"/>
              <w:bottom w:val="nil"/>
              <w:right w:val="single" w:sz="18" w:space="0" w:color="808080" w:themeColor="background1" w:themeShade="80"/>
            </w:tcBorders>
            <w:vAlign w:val="center"/>
          </w:tcPr>
          <w:p w14:paraId="0FEED8F8" w14:textId="2B35FA06" w:rsidR="00512E36" w:rsidRPr="00B14121" w:rsidRDefault="00512E36" w:rsidP="00512E36">
            <w:pPr>
              <w:rPr>
                <w:rFonts w:ascii="Arial" w:hAnsi="Arial" w:cs="Arial"/>
                <w:sz w:val="20"/>
                <w:szCs w:val="20"/>
              </w:rPr>
            </w:pPr>
            <w:r w:rsidRPr="00B14121">
              <w:rPr>
                <w:rFonts w:ascii="Arial" w:hAnsi="Arial" w:cs="Arial"/>
                <w:sz w:val="20"/>
                <w:szCs w:val="20"/>
              </w:rPr>
              <w:t>phenelzine</w:t>
            </w:r>
            <w:r w:rsidRPr="00B14121" w:rsidDel="00D70190">
              <w:rPr>
                <w:rFonts w:ascii="Arial" w:hAnsi="Arial" w:cs="Arial"/>
                <w:sz w:val="20"/>
                <w:szCs w:val="20"/>
              </w:rPr>
              <w:t xml:space="preserve"> </w:t>
            </w:r>
          </w:p>
        </w:tc>
        <w:tc>
          <w:tcPr>
            <w:tcW w:w="5119" w:type="dxa"/>
            <w:gridSpan w:val="2"/>
            <w:tcBorders>
              <w:top w:val="nil"/>
              <w:left w:val="single" w:sz="18" w:space="0" w:color="808080" w:themeColor="background1" w:themeShade="80"/>
              <w:bottom w:val="nil"/>
              <w:right w:val="single" w:sz="18" w:space="0" w:color="808080" w:themeColor="background1" w:themeShade="80"/>
            </w:tcBorders>
            <w:vAlign w:val="center"/>
          </w:tcPr>
          <w:p w14:paraId="652FBB23" w14:textId="34B0D313" w:rsidR="00512E36" w:rsidRPr="00B14121" w:rsidRDefault="00512E36" w:rsidP="00512E36">
            <w:pPr>
              <w:pStyle w:val="Heading1"/>
              <w:ind w:left="-135"/>
              <w:jc w:val="center"/>
              <w:rPr>
                <w:sz w:val="20"/>
                <w:szCs w:val="20"/>
              </w:rPr>
            </w:pPr>
            <w:r w:rsidRPr="004F5352">
              <w:rPr>
                <w:sz w:val="20"/>
              </w:rPr>
              <w:t>Antianxiety Agents</w:t>
            </w:r>
          </w:p>
        </w:tc>
      </w:tr>
      <w:tr w:rsidR="00512E36" w:rsidRPr="00B14121" w14:paraId="031DF7EC" w14:textId="77777777" w:rsidTr="002959C5">
        <w:trPr>
          <w:trHeight w:val="288"/>
        </w:trPr>
        <w:tc>
          <w:tcPr>
            <w:tcW w:w="3125" w:type="dxa"/>
            <w:tcBorders>
              <w:top w:val="nil"/>
              <w:left w:val="single" w:sz="18" w:space="0" w:color="808080" w:themeColor="background1" w:themeShade="80"/>
              <w:bottom w:val="nil"/>
            </w:tcBorders>
            <w:vAlign w:val="center"/>
          </w:tcPr>
          <w:p w14:paraId="58207DFA" w14:textId="77777777" w:rsidR="00512E36" w:rsidRPr="00B14121" w:rsidRDefault="00512E36" w:rsidP="00512E36">
            <w:pPr>
              <w:rPr>
                <w:rFonts w:ascii="Arial" w:hAnsi="Arial" w:cs="Arial"/>
                <w:sz w:val="20"/>
                <w:szCs w:val="20"/>
              </w:rPr>
            </w:pPr>
            <w:r w:rsidRPr="00B14121">
              <w:rPr>
                <w:rFonts w:ascii="Arial" w:hAnsi="Arial" w:cs="Arial"/>
                <w:sz w:val="20"/>
                <w:szCs w:val="20"/>
              </w:rPr>
              <w:t>desvenlafaxine</w:t>
            </w:r>
          </w:p>
        </w:tc>
        <w:tc>
          <w:tcPr>
            <w:tcW w:w="2587" w:type="dxa"/>
            <w:tcBorders>
              <w:top w:val="nil"/>
              <w:bottom w:val="nil"/>
              <w:right w:val="single" w:sz="18" w:space="0" w:color="808080" w:themeColor="background1" w:themeShade="80"/>
            </w:tcBorders>
            <w:vAlign w:val="center"/>
          </w:tcPr>
          <w:p w14:paraId="718DC126" w14:textId="69635A0A" w:rsidR="00512E36" w:rsidRPr="00B14121" w:rsidRDefault="00512E36" w:rsidP="00512E36">
            <w:pPr>
              <w:rPr>
                <w:rFonts w:ascii="Arial" w:hAnsi="Arial" w:cs="Arial"/>
                <w:sz w:val="20"/>
                <w:szCs w:val="20"/>
              </w:rPr>
            </w:pPr>
            <w:r w:rsidRPr="00B14121">
              <w:rPr>
                <w:rFonts w:ascii="Arial" w:hAnsi="Arial" w:cs="Arial"/>
                <w:sz w:val="20"/>
                <w:szCs w:val="20"/>
              </w:rPr>
              <w:t>protriptyline</w:t>
            </w:r>
            <w:r w:rsidRPr="00B14121" w:rsidDel="00D70190">
              <w:rPr>
                <w:rFonts w:ascii="Arial" w:hAnsi="Arial" w:cs="Arial"/>
                <w:sz w:val="20"/>
                <w:szCs w:val="20"/>
              </w:rPr>
              <w:t xml:space="preserve"> </w:t>
            </w:r>
          </w:p>
        </w:tc>
        <w:tc>
          <w:tcPr>
            <w:tcW w:w="2641" w:type="dxa"/>
            <w:tcBorders>
              <w:top w:val="nil"/>
              <w:left w:val="single" w:sz="18" w:space="0" w:color="808080" w:themeColor="background1" w:themeShade="80"/>
              <w:bottom w:val="nil"/>
            </w:tcBorders>
            <w:vAlign w:val="center"/>
          </w:tcPr>
          <w:p w14:paraId="6637CD22" w14:textId="4CB0730D" w:rsidR="00512E36" w:rsidRPr="00B14121" w:rsidRDefault="00512E36" w:rsidP="00512E36">
            <w:pPr>
              <w:rPr>
                <w:rFonts w:ascii="Arial" w:hAnsi="Arial" w:cs="Arial"/>
                <w:sz w:val="20"/>
                <w:szCs w:val="20"/>
              </w:rPr>
            </w:pPr>
            <w:r w:rsidRPr="00B14121">
              <w:rPr>
                <w:rFonts w:ascii="Arial" w:hAnsi="Arial" w:cs="Arial"/>
                <w:sz w:val="20"/>
                <w:szCs w:val="20"/>
              </w:rPr>
              <w:t>alprazolam</w:t>
            </w:r>
          </w:p>
        </w:tc>
        <w:tc>
          <w:tcPr>
            <w:tcW w:w="2478" w:type="dxa"/>
            <w:tcBorders>
              <w:top w:val="nil"/>
              <w:bottom w:val="nil"/>
              <w:right w:val="single" w:sz="18" w:space="0" w:color="808080" w:themeColor="background1" w:themeShade="80"/>
            </w:tcBorders>
            <w:vAlign w:val="center"/>
          </w:tcPr>
          <w:p w14:paraId="05C574C9" w14:textId="301C171C" w:rsidR="00512E36" w:rsidRPr="00B14121" w:rsidRDefault="00512E36" w:rsidP="00512E36">
            <w:pPr>
              <w:rPr>
                <w:rFonts w:ascii="Arial" w:hAnsi="Arial" w:cs="Arial"/>
                <w:sz w:val="20"/>
                <w:szCs w:val="20"/>
              </w:rPr>
            </w:pPr>
            <w:r>
              <w:rPr>
                <w:rFonts w:ascii="Arial" w:hAnsi="Arial" w:cs="Arial"/>
                <w:sz w:val="20"/>
                <w:szCs w:val="20"/>
              </w:rPr>
              <w:t>d</w:t>
            </w:r>
            <w:r w:rsidRPr="00B14121">
              <w:rPr>
                <w:rFonts w:ascii="Arial" w:hAnsi="Arial" w:cs="Arial"/>
                <w:sz w:val="20"/>
                <w:szCs w:val="20"/>
              </w:rPr>
              <w:t>iazepam</w:t>
            </w:r>
            <w:r>
              <w:rPr>
                <w:rFonts w:ascii="Arial" w:hAnsi="Arial" w:cs="Arial"/>
                <w:sz w:val="20"/>
                <w:szCs w:val="20"/>
                <w:vertAlign w:val="superscript"/>
              </w:rPr>
              <w:t>3</w:t>
            </w:r>
          </w:p>
        </w:tc>
      </w:tr>
      <w:tr w:rsidR="00512E36" w:rsidRPr="00B14121" w14:paraId="287E1FFA" w14:textId="77777777" w:rsidTr="002959C5">
        <w:trPr>
          <w:trHeight w:val="288"/>
        </w:trPr>
        <w:tc>
          <w:tcPr>
            <w:tcW w:w="3125" w:type="dxa"/>
            <w:tcBorders>
              <w:top w:val="nil"/>
              <w:left w:val="single" w:sz="18" w:space="0" w:color="808080" w:themeColor="background1" w:themeShade="80"/>
              <w:bottom w:val="nil"/>
            </w:tcBorders>
            <w:vAlign w:val="center"/>
          </w:tcPr>
          <w:p w14:paraId="2FBCD55A" w14:textId="7672EC71" w:rsidR="00512E36" w:rsidRPr="00B14121" w:rsidRDefault="00512E36" w:rsidP="00512E36">
            <w:pPr>
              <w:rPr>
                <w:rFonts w:ascii="Arial" w:hAnsi="Arial" w:cs="Arial"/>
                <w:sz w:val="20"/>
                <w:szCs w:val="20"/>
              </w:rPr>
            </w:pPr>
            <w:r>
              <w:rPr>
                <w:rFonts w:ascii="Arial" w:hAnsi="Arial" w:cs="Arial"/>
                <w:sz w:val="20"/>
                <w:szCs w:val="20"/>
              </w:rPr>
              <w:t>dextromethorphan/bupropion</w:t>
            </w:r>
          </w:p>
        </w:tc>
        <w:tc>
          <w:tcPr>
            <w:tcW w:w="2587" w:type="dxa"/>
            <w:tcBorders>
              <w:top w:val="nil"/>
              <w:bottom w:val="nil"/>
              <w:right w:val="single" w:sz="18" w:space="0" w:color="808080" w:themeColor="background1" w:themeShade="80"/>
            </w:tcBorders>
            <w:vAlign w:val="center"/>
          </w:tcPr>
          <w:p w14:paraId="7A51B583" w14:textId="234F551B" w:rsidR="00512E36" w:rsidRPr="00B14121" w:rsidRDefault="00512E36" w:rsidP="00512E36">
            <w:pPr>
              <w:rPr>
                <w:rFonts w:ascii="Arial" w:hAnsi="Arial" w:cs="Arial"/>
                <w:sz w:val="20"/>
                <w:szCs w:val="20"/>
              </w:rPr>
            </w:pPr>
            <w:r w:rsidRPr="00B14121">
              <w:rPr>
                <w:rFonts w:ascii="Arial" w:hAnsi="Arial" w:cs="Arial"/>
                <w:sz w:val="20"/>
                <w:szCs w:val="20"/>
              </w:rPr>
              <w:t>selegiline</w:t>
            </w:r>
            <w:r w:rsidRPr="00B14121">
              <w:rPr>
                <w:rFonts w:ascii="Arial" w:hAnsi="Arial" w:cs="Arial"/>
                <w:sz w:val="20"/>
                <w:szCs w:val="20"/>
                <w:vertAlign w:val="superscript"/>
              </w:rPr>
              <w:t>2</w:t>
            </w:r>
          </w:p>
        </w:tc>
        <w:tc>
          <w:tcPr>
            <w:tcW w:w="2641" w:type="dxa"/>
            <w:tcBorders>
              <w:top w:val="nil"/>
              <w:left w:val="single" w:sz="18" w:space="0" w:color="808080" w:themeColor="background1" w:themeShade="80"/>
              <w:bottom w:val="nil"/>
            </w:tcBorders>
            <w:vAlign w:val="center"/>
          </w:tcPr>
          <w:p w14:paraId="2BAD4EF0" w14:textId="78F04887" w:rsidR="00512E36" w:rsidRPr="00B14121" w:rsidRDefault="00512E36" w:rsidP="00512E36">
            <w:pPr>
              <w:rPr>
                <w:rFonts w:ascii="Arial" w:hAnsi="Arial" w:cs="Arial"/>
                <w:sz w:val="20"/>
                <w:szCs w:val="20"/>
              </w:rPr>
            </w:pPr>
            <w:r w:rsidRPr="00B14121">
              <w:rPr>
                <w:rFonts w:ascii="Arial" w:hAnsi="Arial" w:cs="Arial"/>
                <w:sz w:val="20"/>
                <w:szCs w:val="20"/>
              </w:rPr>
              <w:t>buspirone</w:t>
            </w:r>
          </w:p>
        </w:tc>
        <w:tc>
          <w:tcPr>
            <w:tcW w:w="2478" w:type="dxa"/>
            <w:tcBorders>
              <w:top w:val="nil"/>
              <w:bottom w:val="nil"/>
              <w:right w:val="single" w:sz="18" w:space="0" w:color="808080" w:themeColor="background1" w:themeShade="80"/>
            </w:tcBorders>
            <w:vAlign w:val="center"/>
          </w:tcPr>
          <w:p w14:paraId="32BA19D7" w14:textId="76CBDB95" w:rsidR="00512E36" w:rsidRPr="00B14121" w:rsidRDefault="00512E36" w:rsidP="00512E36">
            <w:pPr>
              <w:rPr>
                <w:rFonts w:ascii="Arial" w:hAnsi="Arial" w:cs="Arial"/>
                <w:sz w:val="20"/>
                <w:szCs w:val="20"/>
              </w:rPr>
            </w:pPr>
            <w:r w:rsidRPr="00B14121">
              <w:rPr>
                <w:rFonts w:ascii="Arial" w:hAnsi="Arial" w:cs="Arial"/>
                <w:sz w:val="20"/>
                <w:szCs w:val="20"/>
              </w:rPr>
              <w:t>lorazepam</w:t>
            </w:r>
            <w:r w:rsidDel="00CC0C8D">
              <w:rPr>
                <w:rFonts w:ascii="Arial" w:hAnsi="Arial" w:cs="Arial"/>
                <w:sz w:val="20"/>
                <w:szCs w:val="20"/>
              </w:rPr>
              <w:t xml:space="preserve"> </w:t>
            </w:r>
          </w:p>
        </w:tc>
      </w:tr>
      <w:tr w:rsidR="00512E36" w:rsidRPr="00B14121" w14:paraId="1C184CB1" w14:textId="77777777" w:rsidTr="002959C5">
        <w:trPr>
          <w:trHeight w:val="288"/>
        </w:trPr>
        <w:tc>
          <w:tcPr>
            <w:tcW w:w="3125" w:type="dxa"/>
            <w:tcBorders>
              <w:top w:val="nil"/>
              <w:left w:val="single" w:sz="18" w:space="0" w:color="808080" w:themeColor="background1" w:themeShade="80"/>
              <w:bottom w:val="nil"/>
            </w:tcBorders>
            <w:vAlign w:val="center"/>
          </w:tcPr>
          <w:p w14:paraId="099D8F9E" w14:textId="05B3CA62" w:rsidR="00512E36" w:rsidRPr="00B14121" w:rsidRDefault="00512E36" w:rsidP="00512E36">
            <w:pPr>
              <w:rPr>
                <w:rFonts w:ascii="Arial" w:hAnsi="Arial" w:cs="Arial"/>
                <w:sz w:val="20"/>
                <w:szCs w:val="20"/>
              </w:rPr>
            </w:pPr>
            <w:r w:rsidRPr="00B14121">
              <w:rPr>
                <w:rFonts w:ascii="Arial" w:hAnsi="Arial" w:cs="Arial"/>
                <w:sz w:val="20"/>
                <w:szCs w:val="20"/>
              </w:rPr>
              <w:t>doxepin</w:t>
            </w:r>
            <w:r w:rsidRPr="00B14121">
              <w:rPr>
                <w:rFonts w:ascii="Arial" w:hAnsi="Arial" w:cs="Arial"/>
                <w:sz w:val="20"/>
                <w:szCs w:val="20"/>
              </w:rPr>
              <w:tab/>
            </w:r>
          </w:p>
        </w:tc>
        <w:tc>
          <w:tcPr>
            <w:tcW w:w="2587" w:type="dxa"/>
            <w:tcBorders>
              <w:top w:val="nil"/>
              <w:bottom w:val="nil"/>
              <w:right w:val="single" w:sz="18" w:space="0" w:color="808080" w:themeColor="background1" w:themeShade="80"/>
            </w:tcBorders>
            <w:vAlign w:val="center"/>
          </w:tcPr>
          <w:p w14:paraId="7C9B530C" w14:textId="2B11008E" w:rsidR="00512E36" w:rsidRPr="00B14121" w:rsidRDefault="00512E36" w:rsidP="00512E36">
            <w:pPr>
              <w:rPr>
                <w:rFonts w:ascii="Arial" w:hAnsi="Arial" w:cs="Arial"/>
                <w:sz w:val="20"/>
                <w:szCs w:val="20"/>
              </w:rPr>
            </w:pPr>
            <w:r w:rsidRPr="00B14121">
              <w:rPr>
                <w:rFonts w:ascii="Arial" w:hAnsi="Arial" w:cs="Arial"/>
                <w:sz w:val="20"/>
                <w:szCs w:val="20"/>
              </w:rPr>
              <w:t>sertraline</w:t>
            </w:r>
            <w:r w:rsidRPr="00B14121" w:rsidDel="00D70190">
              <w:rPr>
                <w:rFonts w:ascii="Arial" w:hAnsi="Arial" w:cs="Arial"/>
                <w:sz w:val="20"/>
                <w:szCs w:val="20"/>
              </w:rPr>
              <w:t xml:space="preserve"> </w:t>
            </w:r>
          </w:p>
        </w:tc>
        <w:tc>
          <w:tcPr>
            <w:tcW w:w="2641" w:type="dxa"/>
            <w:tcBorders>
              <w:top w:val="nil"/>
              <w:left w:val="single" w:sz="18" w:space="0" w:color="808080" w:themeColor="background1" w:themeShade="80"/>
              <w:bottom w:val="nil"/>
            </w:tcBorders>
            <w:vAlign w:val="center"/>
          </w:tcPr>
          <w:p w14:paraId="6DCDEB78" w14:textId="7B3B11A8" w:rsidR="00512E36" w:rsidRPr="00B14121" w:rsidRDefault="00512E36" w:rsidP="00512E36">
            <w:pPr>
              <w:rPr>
                <w:rFonts w:ascii="Arial" w:hAnsi="Arial" w:cs="Arial"/>
                <w:sz w:val="20"/>
                <w:szCs w:val="20"/>
              </w:rPr>
            </w:pPr>
            <w:r w:rsidRPr="00B14121">
              <w:rPr>
                <w:rFonts w:ascii="Arial" w:hAnsi="Arial" w:cs="Arial"/>
                <w:sz w:val="20"/>
                <w:szCs w:val="20"/>
              </w:rPr>
              <w:t>chlordiazepoxide</w:t>
            </w:r>
          </w:p>
        </w:tc>
        <w:tc>
          <w:tcPr>
            <w:tcW w:w="2478" w:type="dxa"/>
            <w:tcBorders>
              <w:top w:val="nil"/>
              <w:bottom w:val="nil"/>
              <w:right w:val="single" w:sz="18" w:space="0" w:color="808080" w:themeColor="background1" w:themeShade="80"/>
            </w:tcBorders>
            <w:vAlign w:val="center"/>
          </w:tcPr>
          <w:p w14:paraId="0FCF3B08" w14:textId="69A29485" w:rsidR="00512E36" w:rsidRPr="00B14121" w:rsidRDefault="00512E36" w:rsidP="00512E36">
            <w:pPr>
              <w:rPr>
                <w:rFonts w:ascii="Arial" w:hAnsi="Arial" w:cs="Arial"/>
                <w:sz w:val="20"/>
                <w:szCs w:val="20"/>
              </w:rPr>
            </w:pPr>
            <w:r w:rsidRPr="00B14121">
              <w:rPr>
                <w:rFonts w:ascii="Arial" w:hAnsi="Arial" w:cs="Arial"/>
                <w:sz w:val="20"/>
                <w:szCs w:val="20"/>
              </w:rPr>
              <w:t>meprobamate</w:t>
            </w:r>
            <w:r w:rsidRPr="00B14121" w:rsidDel="00CC0C8D">
              <w:rPr>
                <w:rFonts w:ascii="Arial" w:hAnsi="Arial" w:cs="Arial"/>
                <w:sz w:val="20"/>
                <w:szCs w:val="20"/>
              </w:rPr>
              <w:t xml:space="preserve"> </w:t>
            </w:r>
          </w:p>
        </w:tc>
      </w:tr>
      <w:tr w:rsidR="00512E36" w:rsidRPr="00B14121" w14:paraId="4923287A" w14:textId="77777777" w:rsidTr="002959C5">
        <w:trPr>
          <w:trHeight w:val="288"/>
        </w:trPr>
        <w:tc>
          <w:tcPr>
            <w:tcW w:w="3125" w:type="dxa"/>
            <w:tcBorders>
              <w:top w:val="nil"/>
              <w:left w:val="single" w:sz="18" w:space="0" w:color="808080" w:themeColor="background1" w:themeShade="80"/>
              <w:bottom w:val="nil"/>
            </w:tcBorders>
            <w:vAlign w:val="center"/>
          </w:tcPr>
          <w:p w14:paraId="6B42F146" w14:textId="1D2894B3" w:rsidR="00512E36" w:rsidRPr="00B14121" w:rsidRDefault="00512E36" w:rsidP="00512E36">
            <w:pPr>
              <w:rPr>
                <w:rFonts w:ascii="Arial" w:hAnsi="Arial" w:cs="Arial"/>
                <w:sz w:val="20"/>
                <w:szCs w:val="20"/>
              </w:rPr>
            </w:pPr>
            <w:r w:rsidRPr="00B14121">
              <w:rPr>
                <w:rFonts w:ascii="Arial" w:hAnsi="Arial" w:cs="Arial"/>
                <w:sz w:val="20"/>
                <w:szCs w:val="20"/>
              </w:rPr>
              <w:t>duloxetine</w:t>
            </w:r>
            <w:r w:rsidRPr="00B14121" w:rsidDel="00FE0717">
              <w:rPr>
                <w:rFonts w:ascii="Arial" w:hAnsi="Arial" w:cs="Arial"/>
                <w:sz w:val="20"/>
                <w:szCs w:val="20"/>
              </w:rPr>
              <w:t xml:space="preserve"> </w:t>
            </w:r>
          </w:p>
        </w:tc>
        <w:tc>
          <w:tcPr>
            <w:tcW w:w="2587" w:type="dxa"/>
            <w:tcBorders>
              <w:top w:val="nil"/>
              <w:bottom w:val="nil"/>
              <w:right w:val="single" w:sz="18" w:space="0" w:color="808080" w:themeColor="background1" w:themeShade="80"/>
            </w:tcBorders>
            <w:vAlign w:val="center"/>
          </w:tcPr>
          <w:p w14:paraId="022EF582" w14:textId="4B1C234F" w:rsidR="00512E36" w:rsidRPr="00B14121" w:rsidRDefault="00512E36" w:rsidP="00512E36">
            <w:pPr>
              <w:rPr>
                <w:rFonts w:ascii="Arial" w:hAnsi="Arial" w:cs="Arial"/>
                <w:sz w:val="20"/>
                <w:szCs w:val="20"/>
              </w:rPr>
            </w:pPr>
            <w:r w:rsidRPr="00B14121">
              <w:rPr>
                <w:rFonts w:ascii="Arial" w:hAnsi="Arial" w:cs="Arial"/>
                <w:sz w:val="20"/>
                <w:szCs w:val="20"/>
              </w:rPr>
              <w:t>tranylcypromine</w:t>
            </w:r>
            <w:r w:rsidRPr="00B14121" w:rsidDel="00D70190">
              <w:rPr>
                <w:rFonts w:ascii="Arial" w:hAnsi="Arial" w:cs="Arial"/>
                <w:sz w:val="20"/>
                <w:szCs w:val="20"/>
              </w:rPr>
              <w:t xml:space="preserve"> </w:t>
            </w:r>
          </w:p>
        </w:tc>
        <w:tc>
          <w:tcPr>
            <w:tcW w:w="2641" w:type="dxa"/>
            <w:tcBorders>
              <w:top w:val="nil"/>
              <w:left w:val="single" w:sz="18" w:space="0" w:color="808080" w:themeColor="background1" w:themeShade="80"/>
              <w:bottom w:val="nil"/>
            </w:tcBorders>
            <w:vAlign w:val="center"/>
          </w:tcPr>
          <w:p w14:paraId="5E8D1F11" w14:textId="789EC780" w:rsidR="00512E36" w:rsidRPr="00B14121" w:rsidRDefault="00512E36" w:rsidP="00512E36">
            <w:pPr>
              <w:ind w:left="361" w:hanging="361"/>
              <w:rPr>
                <w:rFonts w:ascii="Arial" w:hAnsi="Arial" w:cs="Arial"/>
                <w:sz w:val="20"/>
                <w:szCs w:val="20"/>
              </w:rPr>
            </w:pPr>
            <w:r w:rsidRPr="00B14121">
              <w:rPr>
                <w:rFonts w:ascii="Arial" w:hAnsi="Arial" w:cs="Arial"/>
                <w:sz w:val="20"/>
                <w:szCs w:val="20"/>
              </w:rPr>
              <w:t>chlordiazepoxide/ amitriptyline</w:t>
            </w:r>
          </w:p>
        </w:tc>
        <w:tc>
          <w:tcPr>
            <w:tcW w:w="2478" w:type="dxa"/>
            <w:tcBorders>
              <w:top w:val="nil"/>
              <w:bottom w:val="nil"/>
              <w:right w:val="single" w:sz="18" w:space="0" w:color="808080" w:themeColor="background1" w:themeShade="80"/>
            </w:tcBorders>
            <w:vAlign w:val="center"/>
          </w:tcPr>
          <w:p w14:paraId="66EDBAC6" w14:textId="726AEF7E" w:rsidR="00512E36" w:rsidRPr="00B14121" w:rsidRDefault="00512E36" w:rsidP="00512E36">
            <w:pPr>
              <w:rPr>
                <w:rFonts w:ascii="Arial" w:hAnsi="Arial" w:cs="Arial"/>
                <w:sz w:val="20"/>
                <w:szCs w:val="20"/>
              </w:rPr>
            </w:pPr>
            <w:r>
              <w:rPr>
                <w:rFonts w:ascii="Arial" w:hAnsi="Arial" w:cs="Arial"/>
                <w:position w:val="-1"/>
                <w:sz w:val="20"/>
                <w:szCs w:val="20"/>
              </w:rPr>
              <w:t>m</w:t>
            </w:r>
            <w:r w:rsidRPr="00B14121">
              <w:rPr>
                <w:rFonts w:ascii="Arial" w:hAnsi="Arial" w:cs="Arial"/>
                <w:position w:val="-1"/>
                <w:sz w:val="20"/>
                <w:szCs w:val="20"/>
              </w:rPr>
              <w:t>idazolam</w:t>
            </w:r>
            <w:r>
              <w:rPr>
                <w:rFonts w:ascii="Arial" w:hAnsi="Arial" w:cs="Arial"/>
                <w:sz w:val="20"/>
                <w:szCs w:val="20"/>
                <w:vertAlign w:val="superscript"/>
              </w:rPr>
              <w:t>3</w:t>
            </w:r>
          </w:p>
        </w:tc>
      </w:tr>
      <w:tr w:rsidR="00512E36" w:rsidRPr="00B14121" w14:paraId="4858C546" w14:textId="77777777" w:rsidTr="002959C5">
        <w:trPr>
          <w:trHeight w:val="288"/>
        </w:trPr>
        <w:tc>
          <w:tcPr>
            <w:tcW w:w="3125" w:type="dxa"/>
            <w:tcBorders>
              <w:top w:val="nil"/>
              <w:left w:val="single" w:sz="18" w:space="0" w:color="808080" w:themeColor="background1" w:themeShade="80"/>
              <w:bottom w:val="nil"/>
            </w:tcBorders>
            <w:vAlign w:val="center"/>
          </w:tcPr>
          <w:p w14:paraId="4D49FB4C" w14:textId="0B72BB6C" w:rsidR="00512E36" w:rsidRPr="00B14121" w:rsidRDefault="00512E36" w:rsidP="00512E36">
            <w:pPr>
              <w:rPr>
                <w:rFonts w:ascii="Arial" w:hAnsi="Arial" w:cs="Arial"/>
                <w:sz w:val="20"/>
                <w:szCs w:val="20"/>
              </w:rPr>
            </w:pPr>
            <w:r w:rsidRPr="00B14121">
              <w:rPr>
                <w:rFonts w:ascii="Arial" w:hAnsi="Arial" w:cs="Arial"/>
                <w:sz w:val="20"/>
                <w:szCs w:val="20"/>
              </w:rPr>
              <w:t>escitalopram</w:t>
            </w:r>
            <w:r w:rsidRPr="00B14121" w:rsidDel="00FE0717">
              <w:rPr>
                <w:rFonts w:ascii="Arial" w:hAnsi="Arial" w:cs="Arial"/>
                <w:sz w:val="20"/>
                <w:szCs w:val="20"/>
              </w:rPr>
              <w:t xml:space="preserve"> </w:t>
            </w:r>
          </w:p>
        </w:tc>
        <w:tc>
          <w:tcPr>
            <w:tcW w:w="2587" w:type="dxa"/>
            <w:tcBorders>
              <w:top w:val="nil"/>
              <w:bottom w:val="nil"/>
              <w:right w:val="single" w:sz="18" w:space="0" w:color="808080" w:themeColor="background1" w:themeShade="80"/>
            </w:tcBorders>
            <w:vAlign w:val="center"/>
          </w:tcPr>
          <w:p w14:paraId="2A3A67CE" w14:textId="44919745" w:rsidR="00512E36" w:rsidRPr="00B14121" w:rsidRDefault="00512E36" w:rsidP="00512E36">
            <w:pPr>
              <w:rPr>
                <w:rFonts w:ascii="Arial" w:hAnsi="Arial" w:cs="Arial"/>
                <w:sz w:val="20"/>
                <w:szCs w:val="20"/>
              </w:rPr>
            </w:pPr>
            <w:r w:rsidRPr="00B14121">
              <w:rPr>
                <w:rFonts w:ascii="Arial" w:hAnsi="Arial" w:cs="Arial"/>
                <w:sz w:val="20"/>
                <w:szCs w:val="20"/>
              </w:rPr>
              <w:t>trazodone</w:t>
            </w:r>
            <w:r w:rsidRPr="00B14121" w:rsidDel="00FE0717">
              <w:rPr>
                <w:rFonts w:ascii="Arial" w:hAnsi="Arial" w:cs="Arial"/>
                <w:sz w:val="20"/>
                <w:szCs w:val="20"/>
              </w:rPr>
              <w:t xml:space="preserve"> </w:t>
            </w:r>
          </w:p>
        </w:tc>
        <w:tc>
          <w:tcPr>
            <w:tcW w:w="2641" w:type="dxa"/>
            <w:tcBorders>
              <w:top w:val="nil"/>
              <w:left w:val="single" w:sz="18" w:space="0" w:color="808080" w:themeColor="background1" w:themeShade="80"/>
              <w:bottom w:val="nil"/>
            </w:tcBorders>
            <w:vAlign w:val="center"/>
          </w:tcPr>
          <w:p w14:paraId="1DAD1178" w14:textId="76B1A9A1" w:rsidR="00512E36" w:rsidRPr="00B14121" w:rsidRDefault="00512E36" w:rsidP="00512E36">
            <w:pPr>
              <w:rPr>
                <w:rFonts w:ascii="Arial" w:hAnsi="Arial" w:cs="Arial"/>
                <w:sz w:val="20"/>
                <w:szCs w:val="20"/>
              </w:rPr>
            </w:pPr>
            <w:r w:rsidRPr="00B14121">
              <w:rPr>
                <w:rFonts w:ascii="Arial" w:hAnsi="Arial" w:cs="Arial"/>
                <w:sz w:val="20"/>
                <w:szCs w:val="20"/>
              </w:rPr>
              <w:t>clonazepam</w:t>
            </w:r>
            <w:r w:rsidRPr="00B14121" w:rsidDel="00211352">
              <w:rPr>
                <w:rFonts w:ascii="Arial" w:hAnsi="Arial" w:cs="Arial"/>
                <w:sz w:val="20"/>
                <w:szCs w:val="20"/>
              </w:rPr>
              <w:t xml:space="preserve"> </w:t>
            </w:r>
          </w:p>
        </w:tc>
        <w:tc>
          <w:tcPr>
            <w:tcW w:w="2478" w:type="dxa"/>
            <w:tcBorders>
              <w:top w:val="nil"/>
              <w:bottom w:val="nil"/>
              <w:right w:val="single" w:sz="18" w:space="0" w:color="808080" w:themeColor="background1" w:themeShade="80"/>
            </w:tcBorders>
            <w:vAlign w:val="center"/>
          </w:tcPr>
          <w:p w14:paraId="1383F4F3" w14:textId="085F49A6" w:rsidR="00512E36" w:rsidRPr="00B14121" w:rsidRDefault="00512E36" w:rsidP="00512E36">
            <w:pPr>
              <w:rPr>
                <w:rFonts w:ascii="Arial" w:hAnsi="Arial" w:cs="Arial"/>
                <w:sz w:val="20"/>
                <w:szCs w:val="20"/>
              </w:rPr>
            </w:pPr>
            <w:r>
              <w:rPr>
                <w:rFonts w:ascii="Arial" w:hAnsi="Arial" w:cs="Arial"/>
                <w:sz w:val="20"/>
                <w:szCs w:val="20"/>
              </w:rPr>
              <w:t>o</w:t>
            </w:r>
            <w:r w:rsidRPr="00B14121">
              <w:rPr>
                <w:rFonts w:ascii="Arial" w:hAnsi="Arial" w:cs="Arial"/>
                <w:sz w:val="20"/>
                <w:szCs w:val="20"/>
              </w:rPr>
              <w:t>xazepam</w:t>
            </w:r>
          </w:p>
        </w:tc>
      </w:tr>
      <w:tr w:rsidR="00512E36" w:rsidRPr="00B14121" w14:paraId="60B9AE75" w14:textId="77777777" w:rsidTr="002959C5">
        <w:trPr>
          <w:trHeight w:val="288"/>
        </w:trPr>
        <w:tc>
          <w:tcPr>
            <w:tcW w:w="3125" w:type="dxa"/>
            <w:tcBorders>
              <w:top w:val="nil"/>
              <w:left w:val="single" w:sz="18" w:space="0" w:color="808080" w:themeColor="background1" w:themeShade="80"/>
              <w:bottom w:val="nil"/>
            </w:tcBorders>
            <w:vAlign w:val="center"/>
          </w:tcPr>
          <w:p w14:paraId="39728FCF" w14:textId="1BB13C8F" w:rsidR="00512E36" w:rsidRPr="00B14121" w:rsidRDefault="00512E36" w:rsidP="00512E36">
            <w:pPr>
              <w:rPr>
                <w:rFonts w:ascii="Arial" w:hAnsi="Arial" w:cs="Arial"/>
                <w:sz w:val="20"/>
                <w:szCs w:val="20"/>
              </w:rPr>
            </w:pPr>
            <w:r>
              <w:rPr>
                <w:rStyle w:val="fontstyle01"/>
              </w:rPr>
              <w:t>esketamine</w:t>
            </w:r>
            <w:r>
              <w:t xml:space="preserve"> </w:t>
            </w:r>
          </w:p>
        </w:tc>
        <w:tc>
          <w:tcPr>
            <w:tcW w:w="2587" w:type="dxa"/>
            <w:tcBorders>
              <w:top w:val="nil"/>
              <w:bottom w:val="nil"/>
              <w:right w:val="single" w:sz="18" w:space="0" w:color="808080" w:themeColor="background1" w:themeShade="80"/>
            </w:tcBorders>
            <w:vAlign w:val="center"/>
          </w:tcPr>
          <w:p w14:paraId="7B03D555" w14:textId="0E69A3C0" w:rsidR="00512E36" w:rsidRPr="00B14121" w:rsidRDefault="00512E36" w:rsidP="00512E36">
            <w:pPr>
              <w:rPr>
                <w:rFonts w:ascii="Arial" w:hAnsi="Arial" w:cs="Arial"/>
                <w:sz w:val="20"/>
                <w:szCs w:val="20"/>
              </w:rPr>
            </w:pPr>
            <w:r w:rsidRPr="00B14121">
              <w:rPr>
                <w:rFonts w:ascii="Arial" w:hAnsi="Arial" w:cs="Arial"/>
                <w:sz w:val="20"/>
                <w:szCs w:val="20"/>
              </w:rPr>
              <w:t>trimipramine</w:t>
            </w:r>
            <w:r w:rsidRPr="00B14121" w:rsidDel="00D70190">
              <w:rPr>
                <w:rFonts w:ascii="Arial" w:hAnsi="Arial" w:cs="Arial"/>
                <w:sz w:val="20"/>
                <w:szCs w:val="20"/>
              </w:rPr>
              <w:t xml:space="preserve"> </w:t>
            </w:r>
          </w:p>
        </w:tc>
        <w:tc>
          <w:tcPr>
            <w:tcW w:w="2641" w:type="dxa"/>
            <w:tcBorders>
              <w:top w:val="nil"/>
              <w:left w:val="single" w:sz="18" w:space="0" w:color="808080" w:themeColor="background1" w:themeShade="80"/>
              <w:bottom w:val="single" w:sz="18" w:space="0" w:color="808080" w:themeColor="background1" w:themeShade="80"/>
            </w:tcBorders>
            <w:vAlign w:val="center"/>
          </w:tcPr>
          <w:p w14:paraId="5D1C159D" w14:textId="03FA2ABE" w:rsidR="00512E36" w:rsidRDefault="00512E36" w:rsidP="00512E36">
            <w:pPr>
              <w:rPr>
                <w:rFonts w:ascii="Arial" w:hAnsi="Arial" w:cs="Arial"/>
                <w:sz w:val="20"/>
                <w:szCs w:val="20"/>
              </w:rPr>
            </w:pPr>
            <w:r w:rsidRPr="00B14121">
              <w:rPr>
                <w:rFonts w:ascii="Arial" w:hAnsi="Arial" w:cs="Arial"/>
                <w:sz w:val="20"/>
                <w:szCs w:val="20"/>
              </w:rPr>
              <w:t>clorazepate</w:t>
            </w:r>
            <w:r w:rsidRPr="00B14121" w:rsidDel="00CC0C8D">
              <w:rPr>
                <w:rFonts w:ascii="Arial" w:hAnsi="Arial" w:cs="Arial"/>
                <w:sz w:val="20"/>
                <w:szCs w:val="20"/>
              </w:rPr>
              <w:t xml:space="preserve"> </w:t>
            </w:r>
          </w:p>
        </w:tc>
        <w:tc>
          <w:tcPr>
            <w:tcW w:w="2478" w:type="dxa"/>
            <w:tcBorders>
              <w:top w:val="nil"/>
              <w:bottom w:val="single" w:sz="18" w:space="0" w:color="808080" w:themeColor="background1" w:themeShade="80"/>
              <w:right w:val="single" w:sz="18" w:space="0" w:color="808080" w:themeColor="background1" w:themeShade="80"/>
            </w:tcBorders>
            <w:vAlign w:val="center"/>
          </w:tcPr>
          <w:p w14:paraId="19760C11" w14:textId="3427BC31" w:rsidR="00512E36" w:rsidRPr="00B14121" w:rsidRDefault="00512E36" w:rsidP="00512E36">
            <w:pPr>
              <w:rPr>
                <w:rFonts w:ascii="Arial" w:hAnsi="Arial" w:cs="Arial"/>
                <w:sz w:val="20"/>
                <w:szCs w:val="20"/>
              </w:rPr>
            </w:pPr>
          </w:p>
        </w:tc>
      </w:tr>
      <w:tr w:rsidR="00512E36" w:rsidRPr="00B14121" w14:paraId="1647EA86" w14:textId="77777777" w:rsidTr="002959C5">
        <w:trPr>
          <w:trHeight w:val="288"/>
        </w:trPr>
        <w:tc>
          <w:tcPr>
            <w:tcW w:w="3125" w:type="dxa"/>
            <w:tcBorders>
              <w:top w:val="nil"/>
              <w:left w:val="single" w:sz="18" w:space="0" w:color="808080" w:themeColor="background1" w:themeShade="80"/>
              <w:bottom w:val="nil"/>
            </w:tcBorders>
            <w:vAlign w:val="center"/>
          </w:tcPr>
          <w:p w14:paraId="64D4B566" w14:textId="4DAFE8C8" w:rsidR="00512E36" w:rsidRPr="00B14121" w:rsidRDefault="00512E36" w:rsidP="00512E36">
            <w:pPr>
              <w:rPr>
                <w:rFonts w:ascii="Arial" w:hAnsi="Arial" w:cs="Arial"/>
                <w:sz w:val="20"/>
                <w:szCs w:val="20"/>
              </w:rPr>
            </w:pPr>
            <w:r w:rsidRPr="00B14121">
              <w:rPr>
                <w:rFonts w:ascii="Arial" w:hAnsi="Arial" w:cs="Arial"/>
                <w:sz w:val="20"/>
                <w:szCs w:val="20"/>
              </w:rPr>
              <w:t>fluoxetine</w:t>
            </w:r>
            <w:r w:rsidRPr="00B14121" w:rsidDel="00FE0717">
              <w:rPr>
                <w:rFonts w:ascii="Arial" w:hAnsi="Arial" w:cs="Arial"/>
                <w:position w:val="4"/>
                <w:sz w:val="20"/>
                <w:szCs w:val="20"/>
              </w:rPr>
              <w:t xml:space="preserve"> </w:t>
            </w:r>
          </w:p>
        </w:tc>
        <w:tc>
          <w:tcPr>
            <w:tcW w:w="2587" w:type="dxa"/>
            <w:tcBorders>
              <w:top w:val="nil"/>
              <w:bottom w:val="nil"/>
              <w:right w:val="single" w:sz="18" w:space="0" w:color="808080" w:themeColor="background1" w:themeShade="80"/>
            </w:tcBorders>
            <w:vAlign w:val="center"/>
          </w:tcPr>
          <w:p w14:paraId="4F3FE52B" w14:textId="2A3BB3C5" w:rsidR="00512E36" w:rsidRPr="00B14121" w:rsidRDefault="00512E36" w:rsidP="00512E36">
            <w:pPr>
              <w:rPr>
                <w:rFonts w:ascii="Arial" w:hAnsi="Arial" w:cs="Arial"/>
                <w:sz w:val="20"/>
                <w:szCs w:val="20"/>
              </w:rPr>
            </w:pPr>
            <w:r w:rsidRPr="00B14121">
              <w:rPr>
                <w:rFonts w:ascii="Arial" w:hAnsi="Arial" w:cs="Arial"/>
                <w:sz w:val="20"/>
                <w:szCs w:val="20"/>
              </w:rPr>
              <w:t>venlafaxine</w:t>
            </w:r>
          </w:p>
        </w:tc>
        <w:tc>
          <w:tcPr>
            <w:tcW w:w="5119" w:type="dxa"/>
            <w:gridSpan w:val="2"/>
            <w:tcBorders>
              <w:top w:val="nil"/>
              <w:left w:val="single" w:sz="18" w:space="0" w:color="808080" w:themeColor="background1" w:themeShade="80"/>
              <w:bottom w:val="nil"/>
              <w:right w:val="single" w:sz="18" w:space="0" w:color="808080" w:themeColor="background1" w:themeShade="80"/>
            </w:tcBorders>
            <w:vAlign w:val="center"/>
          </w:tcPr>
          <w:p w14:paraId="0DC694D2" w14:textId="6BF04FE9" w:rsidR="00512E36" w:rsidRPr="00B14121" w:rsidRDefault="00512E36" w:rsidP="00512E36">
            <w:pPr>
              <w:pStyle w:val="Heading1"/>
              <w:ind w:left="-135"/>
              <w:jc w:val="center"/>
              <w:rPr>
                <w:sz w:val="20"/>
                <w:szCs w:val="20"/>
              </w:rPr>
            </w:pPr>
            <w:r w:rsidRPr="007E05AE">
              <w:rPr>
                <w:sz w:val="20"/>
              </w:rPr>
              <w:t>Hypnotics</w:t>
            </w:r>
          </w:p>
        </w:tc>
      </w:tr>
      <w:tr w:rsidR="00512E36" w:rsidRPr="00B14121" w14:paraId="77B0EB03" w14:textId="77777777" w:rsidTr="002959C5">
        <w:trPr>
          <w:trHeight w:val="288"/>
        </w:trPr>
        <w:tc>
          <w:tcPr>
            <w:tcW w:w="3125" w:type="dxa"/>
            <w:tcBorders>
              <w:top w:val="nil"/>
              <w:left w:val="single" w:sz="18" w:space="0" w:color="808080" w:themeColor="background1" w:themeShade="80"/>
              <w:bottom w:val="nil"/>
            </w:tcBorders>
            <w:vAlign w:val="center"/>
          </w:tcPr>
          <w:p w14:paraId="4016081B" w14:textId="20CB4C4D" w:rsidR="00512E36" w:rsidRPr="00B14121" w:rsidRDefault="00512E36" w:rsidP="00512E36">
            <w:pPr>
              <w:rPr>
                <w:rFonts w:ascii="Arial" w:hAnsi="Arial" w:cs="Arial"/>
                <w:position w:val="4"/>
                <w:sz w:val="20"/>
                <w:szCs w:val="20"/>
              </w:rPr>
            </w:pPr>
            <w:r w:rsidRPr="00B14121">
              <w:rPr>
                <w:rFonts w:ascii="Arial" w:hAnsi="Arial" w:cs="Arial"/>
                <w:position w:val="4"/>
                <w:sz w:val="20"/>
                <w:szCs w:val="20"/>
              </w:rPr>
              <w:t>fluvoxamine</w:t>
            </w:r>
            <w:r w:rsidRPr="00B14121" w:rsidDel="00FE0717">
              <w:rPr>
                <w:rFonts w:ascii="Arial" w:hAnsi="Arial" w:cs="Arial"/>
                <w:sz w:val="20"/>
                <w:szCs w:val="20"/>
              </w:rPr>
              <w:t xml:space="preserve"> </w:t>
            </w:r>
          </w:p>
        </w:tc>
        <w:tc>
          <w:tcPr>
            <w:tcW w:w="2587" w:type="dxa"/>
            <w:tcBorders>
              <w:top w:val="nil"/>
              <w:bottom w:val="nil"/>
              <w:right w:val="single" w:sz="18" w:space="0" w:color="808080" w:themeColor="background1" w:themeShade="80"/>
            </w:tcBorders>
            <w:vAlign w:val="center"/>
          </w:tcPr>
          <w:p w14:paraId="2841C003" w14:textId="285287C9" w:rsidR="00512E36" w:rsidRPr="00B14121" w:rsidRDefault="00512E36" w:rsidP="00512E36">
            <w:pPr>
              <w:rPr>
                <w:rFonts w:ascii="Arial" w:hAnsi="Arial" w:cs="Arial"/>
                <w:position w:val="-3"/>
                <w:sz w:val="20"/>
                <w:szCs w:val="20"/>
              </w:rPr>
            </w:pPr>
            <w:r w:rsidRPr="00B14121">
              <w:rPr>
                <w:rFonts w:ascii="Arial" w:hAnsi="Arial" w:cs="Arial"/>
                <w:position w:val="-3"/>
                <w:sz w:val="20"/>
                <w:szCs w:val="20"/>
              </w:rPr>
              <w:t>vilazodone</w:t>
            </w:r>
          </w:p>
        </w:tc>
        <w:tc>
          <w:tcPr>
            <w:tcW w:w="2641" w:type="dxa"/>
            <w:tcBorders>
              <w:top w:val="nil"/>
              <w:left w:val="single" w:sz="18" w:space="0" w:color="808080" w:themeColor="background1" w:themeShade="80"/>
              <w:bottom w:val="nil"/>
            </w:tcBorders>
            <w:vAlign w:val="center"/>
          </w:tcPr>
          <w:p w14:paraId="7D700283" w14:textId="155613EB" w:rsidR="00512E36" w:rsidRDefault="00512E36" w:rsidP="00512E36">
            <w:pPr>
              <w:rPr>
                <w:rFonts w:ascii="Arial" w:hAnsi="Arial" w:cs="Arial"/>
                <w:sz w:val="20"/>
                <w:szCs w:val="20"/>
              </w:rPr>
            </w:pPr>
            <w:r w:rsidRPr="00445F95">
              <w:rPr>
                <w:rFonts w:ascii="Arial" w:hAnsi="Arial" w:cs="Arial"/>
                <w:sz w:val="20"/>
                <w:szCs w:val="20"/>
              </w:rPr>
              <w:t>daridorexant</w:t>
            </w:r>
          </w:p>
        </w:tc>
        <w:tc>
          <w:tcPr>
            <w:tcW w:w="2478" w:type="dxa"/>
            <w:tcBorders>
              <w:top w:val="nil"/>
              <w:bottom w:val="nil"/>
              <w:right w:val="single" w:sz="18" w:space="0" w:color="808080" w:themeColor="background1" w:themeShade="80"/>
            </w:tcBorders>
            <w:vAlign w:val="center"/>
          </w:tcPr>
          <w:p w14:paraId="4D1D4A1C" w14:textId="17D2D906" w:rsidR="00512E36" w:rsidRPr="00B14121" w:rsidRDefault="007453A8" w:rsidP="00512E36">
            <w:pPr>
              <w:rPr>
                <w:rFonts w:ascii="Arial" w:hAnsi="Arial" w:cs="Arial"/>
                <w:sz w:val="20"/>
                <w:szCs w:val="20"/>
              </w:rPr>
            </w:pPr>
            <w:r>
              <w:rPr>
                <w:rFonts w:ascii="Arial" w:hAnsi="Arial" w:cs="Arial"/>
                <w:sz w:val="20"/>
                <w:szCs w:val="20"/>
              </w:rPr>
              <w:t>quazepam</w:t>
            </w:r>
          </w:p>
        </w:tc>
      </w:tr>
      <w:tr w:rsidR="007453A8" w:rsidRPr="00B14121" w14:paraId="414AA065" w14:textId="77777777" w:rsidTr="001D2F5D">
        <w:trPr>
          <w:trHeight w:val="288"/>
        </w:trPr>
        <w:tc>
          <w:tcPr>
            <w:tcW w:w="3125" w:type="dxa"/>
            <w:tcBorders>
              <w:top w:val="nil"/>
              <w:left w:val="single" w:sz="18" w:space="0" w:color="808080" w:themeColor="background1" w:themeShade="80"/>
              <w:bottom w:val="nil"/>
            </w:tcBorders>
            <w:vAlign w:val="center"/>
          </w:tcPr>
          <w:p w14:paraId="5FFCCCED" w14:textId="0E31B05A" w:rsidR="007453A8" w:rsidRPr="00B14121" w:rsidRDefault="007453A8" w:rsidP="007453A8">
            <w:pPr>
              <w:rPr>
                <w:rFonts w:ascii="Arial" w:hAnsi="Arial" w:cs="Arial"/>
                <w:sz w:val="20"/>
                <w:szCs w:val="20"/>
              </w:rPr>
            </w:pPr>
            <w:r w:rsidRPr="00B14121">
              <w:rPr>
                <w:rFonts w:ascii="Arial" w:hAnsi="Arial" w:cs="Arial"/>
                <w:position w:val="4"/>
                <w:sz w:val="20"/>
                <w:szCs w:val="20"/>
              </w:rPr>
              <w:t>imipramine</w:t>
            </w:r>
          </w:p>
        </w:tc>
        <w:tc>
          <w:tcPr>
            <w:tcW w:w="2587" w:type="dxa"/>
            <w:tcBorders>
              <w:top w:val="nil"/>
              <w:bottom w:val="nil"/>
              <w:right w:val="single" w:sz="18" w:space="0" w:color="808080" w:themeColor="background1" w:themeShade="80"/>
            </w:tcBorders>
            <w:vAlign w:val="center"/>
          </w:tcPr>
          <w:p w14:paraId="004E8D6C" w14:textId="52A277FA" w:rsidR="007453A8" w:rsidRPr="00B14121" w:rsidRDefault="007453A8" w:rsidP="007453A8">
            <w:pPr>
              <w:rPr>
                <w:rFonts w:ascii="Arial" w:hAnsi="Arial" w:cs="Arial"/>
                <w:sz w:val="20"/>
                <w:szCs w:val="20"/>
              </w:rPr>
            </w:pPr>
            <w:r w:rsidRPr="00741735">
              <w:rPr>
                <w:rFonts w:ascii="Arial" w:hAnsi="Arial" w:cs="Arial"/>
                <w:position w:val="-3"/>
                <w:sz w:val="20"/>
                <w:szCs w:val="20"/>
              </w:rPr>
              <w:t>vortioxetine</w:t>
            </w:r>
          </w:p>
        </w:tc>
        <w:tc>
          <w:tcPr>
            <w:tcW w:w="2641" w:type="dxa"/>
            <w:tcBorders>
              <w:top w:val="nil"/>
              <w:left w:val="single" w:sz="18" w:space="0" w:color="808080" w:themeColor="background1" w:themeShade="80"/>
              <w:bottom w:val="nil"/>
            </w:tcBorders>
            <w:vAlign w:val="center"/>
          </w:tcPr>
          <w:p w14:paraId="60941C3C" w14:textId="02ACB726" w:rsidR="007453A8" w:rsidRPr="00B14121" w:rsidRDefault="007453A8" w:rsidP="007453A8">
            <w:pPr>
              <w:rPr>
                <w:rFonts w:ascii="Arial" w:hAnsi="Arial" w:cs="Arial"/>
                <w:sz w:val="20"/>
                <w:szCs w:val="20"/>
              </w:rPr>
            </w:pPr>
            <w:r>
              <w:rPr>
                <w:rFonts w:ascii="Arial" w:hAnsi="Arial" w:cs="Arial"/>
                <w:sz w:val="20"/>
                <w:szCs w:val="20"/>
              </w:rPr>
              <w:t>d</w:t>
            </w:r>
            <w:r w:rsidRPr="00B14121">
              <w:rPr>
                <w:rFonts w:ascii="Arial" w:hAnsi="Arial" w:cs="Arial"/>
                <w:sz w:val="20"/>
                <w:szCs w:val="20"/>
              </w:rPr>
              <w:t>oxepin</w:t>
            </w:r>
            <w:r w:rsidRPr="00662293">
              <w:rPr>
                <w:rFonts w:ascii="Arial" w:hAnsi="Arial" w:cs="Arial"/>
                <w:sz w:val="20"/>
                <w:szCs w:val="20"/>
                <w:vertAlign w:val="superscript"/>
              </w:rPr>
              <w:t>4</w:t>
            </w:r>
          </w:p>
        </w:tc>
        <w:tc>
          <w:tcPr>
            <w:tcW w:w="2478" w:type="dxa"/>
            <w:tcBorders>
              <w:top w:val="nil"/>
              <w:bottom w:val="nil"/>
              <w:right w:val="single" w:sz="18" w:space="0" w:color="808080" w:themeColor="background1" w:themeShade="80"/>
            </w:tcBorders>
            <w:vAlign w:val="center"/>
          </w:tcPr>
          <w:p w14:paraId="2D0C05E3" w14:textId="0C75BB44" w:rsidR="007453A8" w:rsidRPr="00B14121" w:rsidRDefault="007453A8" w:rsidP="007453A8">
            <w:pPr>
              <w:rPr>
                <w:rFonts w:ascii="Arial" w:hAnsi="Arial" w:cs="Arial"/>
                <w:sz w:val="20"/>
                <w:szCs w:val="20"/>
              </w:rPr>
            </w:pPr>
            <w:r w:rsidRPr="00B14121">
              <w:rPr>
                <w:rFonts w:ascii="Arial" w:hAnsi="Arial" w:cs="Arial"/>
                <w:sz w:val="20"/>
                <w:szCs w:val="20"/>
              </w:rPr>
              <w:t>suvorexant</w:t>
            </w:r>
            <w:r w:rsidRPr="00B14121" w:rsidDel="00041FF4">
              <w:rPr>
                <w:rFonts w:ascii="Arial" w:hAnsi="Arial" w:cs="Arial"/>
                <w:sz w:val="20"/>
                <w:szCs w:val="20"/>
              </w:rPr>
              <w:t xml:space="preserve"> </w:t>
            </w:r>
          </w:p>
        </w:tc>
      </w:tr>
      <w:tr w:rsidR="007453A8" w:rsidRPr="00B14121" w14:paraId="25CE9D91" w14:textId="77777777" w:rsidTr="002959C5">
        <w:trPr>
          <w:trHeight w:val="288"/>
        </w:trPr>
        <w:tc>
          <w:tcPr>
            <w:tcW w:w="3125" w:type="dxa"/>
            <w:tcBorders>
              <w:top w:val="nil"/>
              <w:left w:val="single" w:sz="18" w:space="0" w:color="808080" w:themeColor="background1" w:themeShade="80"/>
              <w:bottom w:val="single" w:sz="18" w:space="0" w:color="808080" w:themeColor="background1" w:themeShade="80"/>
            </w:tcBorders>
            <w:vAlign w:val="center"/>
          </w:tcPr>
          <w:p w14:paraId="2CD1DBC2" w14:textId="6EDC8333" w:rsidR="007453A8" w:rsidRPr="00B14121" w:rsidRDefault="007453A8" w:rsidP="007453A8">
            <w:pPr>
              <w:rPr>
                <w:rFonts w:ascii="Arial" w:hAnsi="Arial" w:cs="Arial"/>
                <w:position w:val="4"/>
                <w:sz w:val="20"/>
                <w:szCs w:val="20"/>
              </w:rPr>
            </w:pPr>
            <w:r w:rsidRPr="00E3198A">
              <w:rPr>
                <w:rFonts w:ascii="Arial" w:hAnsi="Arial" w:cs="Arial"/>
                <w:position w:val="4"/>
                <w:sz w:val="20"/>
                <w:szCs w:val="20"/>
              </w:rPr>
              <w:t>isocarboxazid</w:t>
            </w:r>
          </w:p>
        </w:tc>
        <w:tc>
          <w:tcPr>
            <w:tcW w:w="2587" w:type="dxa"/>
            <w:tcBorders>
              <w:top w:val="nil"/>
              <w:bottom w:val="single" w:sz="18" w:space="0" w:color="808080" w:themeColor="background1" w:themeShade="80"/>
              <w:right w:val="single" w:sz="18" w:space="0" w:color="808080" w:themeColor="background1" w:themeShade="80"/>
            </w:tcBorders>
            <w:vAlign w:val="center"/>
          </w:tcPr>
          <w:p w14:paraId="09E87001" w14:textId="0CBF4BFE" w:rsidR="007453A8" w:rsidRPr="00B14121" w:rsidRDefault="007453A8" w:rsidP="007453A8">
            <w:pPr>
              <w:rPr>
                <w:rFonts w:ascii="Arial" w:hAnsi="Arial" w:cs="Arial"/>
                <w:position w:val="-3"/>
                <w:sz w:val="20"/>
                <w:szCs w:val="20"/>
              </w:rPr>
            </w:pPr>
            <w:r w:rsidRPr="0013353E">
              <w:rPr>
                <w:rFonts w:ascii="Arial" w:hAnsi="Arial" w:cs="Arial"/>
                <w:position w:val="-3"/>
                <w:sz w:val="20"/>
                <w:szCs w:val="20"/>
              </w:rPr>
              <w:t>zuranolone</w:t>
            </w:r>
          </w:p>
        </w:tc>
        <w:tc>
          <w:tcPr>
            <w:tcW w:w="2641" w:type="dxa"/>
            <w:tcBorders>
              <w:top w:val="nil"/>
              <w:left w:val="single" w:sz="18" w:space="0" w:color="808080" w:themeColor="background1" w:themeShade="80"/>
              <w:bottom w:val="nil"/>
            </w:tcBorders>
            <w:vAlign w:val="center"/>
          </w:tcPr>
          <w:p w14:paraId="351D97A0" w14:textId="2D08EE3E" w:rsidR="007453A8" w:rsidRDefault="007453A8" w:rsidP="007453A8">
            <w:pPr>
              <w:rPr>
                <w:rFonts w:ascii="Arial" w:hAnsi="Arial" w:cs="Arial"/>
                <w:sz w:val="20"/>
                <w:szCs w:val="20"/>
              </w:rPr>
            </w:pPr>
            <w:r w:rsidRPr="00B14121">
              <w:rPr>
                <w:rFonts w:ascii="Arial" w:hAnsi="Arial" w:cs="Arial"/>
                <w:sz w:val="20"/>
                <w:szCs w:val="20"/>
              </w:rPr>
              <w:t>estazolam</w:t>
            </w:r>
          </w:p>
        </w:tc>
        <w:tc>
          <w:tcPr>
            <w:tcW w:w="2478" w:type="dxa"/>
            <w:tcBorders>
              <w:top w:val="nil"/>
              <w:bottom w:val="nil"/>
              <w:right w:val="single" w:sz="18" w:space="0" w:color="808080" w:themeColor="background1" w:themeShade="80"/>
            </w:tcBorders>
            <w:vAlign w:val="center"/>
          </w:tcPr>
          <w:p w14:paraId="4B4EB6FB" w14:textId="413EB240" w:rsidR="007453A8" w:rsidRPr="00B14121" w:rsidRDefault="007453A8" w:rsidP="007453A8">
            <w:pPr>
              <w:rPr>
                <w:rFonts w:ascii="Arial" w:hAnsi="Arial" w:cs="Arial"/>
                <w:sz w:val="20"/>
                <w:szCs w:val="20"/>
              </w:rPr>
            </w:pPr>
            <w:r w:rsidRPr="00B14121">
              <w:rPr>
                <w:rFonts w:ascii="Arial" w:hAnsi="Arial" w:cs="Arial"/>
                <w:sz w:val="20"/>
                <w:szCs w:val="20"/>
              </w:rPr>
              <w:t>temazepam</w:t>
            </w:r>
            <w:r w:rsidRPr="00B14121" w:rsidDel="00041FF4">
              <w:rPr>
                <w:rFonts w:ascii="Arial" w:hAnsi="Arial" w:cs="Arial"/>
                <w:sz w:val="20"/>
                <w:szCs w:val="20"/>
              </w:rPr>
              <w:t xml:space="preserve"> </w:t>
            </w:r>
          </w:p>
        </w:tc>
      </w:tr>
      <w:tr w:rsidR="007453A8" w:rsidRPr="00B14121" w14:paraId="55C385D5" w14:textId="77777777" w:rsidTr="002959C5">
        <w:trPr>
          <w:trHeight w:val="313"/>
        </w:trPr>
        <w:tc>
          <w:tcPr>
            <w:tcW w:w="5712" w:type="dxa"/>
            <w:gridSpan w:val="2"/>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555A76E0" w14:textId="06CCF02D" w:rsidR="007453A8" w:rsidRPr="002959C5" w:rsidRDefault="007453A8" w:rsidP="007453A8">
            <w:pPr>
              <w:jc w:val="center"/>
              <w:rPr>
                <w:rFonts w:ascii="Arial" w:hAnsi="Arial" w:cs="Arial"/>
                <w:b/>
                <w:bCs/>
                <w:sz w:val="20"/>
                <w:szCs w:val="20"/>
              </w:rPr>
            </w:pPr>
            <w:r w:rsidRPr="002959C5">
              <w:rPr>
                <w:rFonts w:ascii="Arial" w:hAnsi="Arial" w:cs="Arial"/>
                <w:b/>
                <w:bCs/>
                <w:sz w:val="20"/>
                <w:szCs w:val="20"/>
              </w:rPr>
              <w:t>Antipsychotics</w:t>
            </w:r>
            <w:r w:rsidRPr="002959C5" w:rsidDel="00D70190">
              <w:rPr>
                <w:rFonts w:ascii="Arial" w:hAnsi="Arial" w:cs="Arial"/>
                <w:b/>
                <w:bCs/>
                <w:sz w:val="20"/>
                <w:szCs w:val="20"/>
              </w:rPr>
              <w:t xml:space="preserve"> </w:t>
            </w:r>
          </w:p>
        </w:tc>
        <w:tc>
          <w:tcPr>
            <w:tcW w:w="2641" w:type="dxa"/>
            <w:tcBorders>
              <w:top w:val="nil"/>
              <w:left w:val="single" w:sz="18" w:space="0" w:color="808080" w:themeColor="background1" w:themeShade="80"/>
              <w:bottom w:val="nil"/>
              <w:right w:val="nil"/>
            </w:tcBorders>
            <w:vAlign w:val="center"/>
          </w:tcPr>
          <w:p w14:paraId="0A8F3FC7" w14:textId="3525615B" w:rsidR="007453A8" w:rsidRPr="00B14121" w:rsidRDefault="007453A8" w:rsidP="007453A8">
            <w:pPr>
              <w:rPr>
                <w:rFonts w:ascii="Arial" w:hAnsi="Arial" w:cs="Arial"/>
                <w:sz w:val="20"/>
                <w:szCs w:val="20"/>
              </w:rPr>
            </w:pPr>
            <w:r w:rsidRPr="00B14121">
              <w:rPr>
                <w:rFonts w:ascii="Arial" w:hAnsi="Arial" w:cs="Arial"/>
                <w:sz w:val="20"/>
                <w:szCs w:val="20"/>
              </w:rPr>
              <w:t>eszopiclone</w:t>
            </w:r>
            <w:r w:rsidRPr="00B14121" w:rsidDel="0013353E">
              <w:rPr>
                <w:rFonts w:ascii="Arial" w:hAnsi="Arial" w:cs="Arial"/>
                <w:sz w:val="20"/>
                <w:szCs w:val="20"/>
              </w:rPr>
              <w:t xml:space="preserve"> </w:t>
            </w:r>
          </w:p>
        </w:tc>
        <w:tc>
          <w:tcPr>
            <w:tcW w:w="2478" w:type="dxa"/>
            <w:tcBorders>
              <w:top w:val="nil"/>
              <w:left w:val="nil"/>
              <w:bottom w:val="nil"/>
              <w:right w:val="single" w:sz="18" w:space="0" w:color="808080" w:themeColor="background1" w:themeShade="80"/>
            </w:tcBorders>
            <w:vAlign w:val="center"/>
          </w:tcPr>
          <w:p w14:paraId="348E64F3" w14:textId="606ADB96" w:rsidR="007453A8" w:rsidRPr="00B14121" w:rsidRDefault="007453A8" w:rsidP="007453A8">
            <w:pPr>
              <w:rPr>
                <w:rFonts w:ascii="Arial" w:hAnsi="Arial" w:cs="Arial"/>
                <w:sz w:val="20"/>
                <w:szCs w:val="20"/>
              </w:rPr>
            </w:pPr>
            <w:r w:rsidRPr="0013353E">
              <w:rPr>
                <w:rFonts w:ascii="Arial" w:hAnsi="Arial" w:cs="Arial"/>
                <w:sz w:val="20"/>
                <w:szCs w:val="20"/>
              </w:rPr>
              <w:t>triazolam</w:t>
            </w:r>
            <w:r w:rsidRPr="0013353E" w:rsidDel="007453A8">
              <w:rPr>
                <w:rFonts w:ascii="Arial" w:hAnsi="Arial" w:cs="Arial"/>
                <w:sz w:val="20"/>
                <w:szCs w:val="20"/>
              </w:rPr>
              <w:t xml:space="preserve"> </w:t>
            </w:r>
          </w:p>
        </w:tc>
      </w:tr>
      <w:tr w:rsidR="007453A8" w:rsidRPr="00B14121" w14:paraId="68120BAE" w14:textId="77777777" w:rsidTr="002959C5">
        <w:trPr>
          <w:trHeight w:val="288"/>
        </w:trPr>
        <w:tc>
          <w:tcPr>
            <w:tcW w:w="3125" w:type="dxa"/>
            <w:tcBorders>
              <w:top w:val="nil"/>
              <w:left w:val="single" w:sz="18" w:space="0" w:color="808080" w:themeColor="background1" w:themeShade="80"/>
              <w:bottom w:val="nil"/>
            </w:tcBorders>
            <w:vAlign w:val="center"/>
          </w:tcPr>
          <w:p w14:paraId="48F22820" w14:textId="357F2CC7" w:rsidR="007453A8" w:rsidRPr="00B14121" w:rsidRDefault="007453A8" w:rsidP="007453A8">
            <w:pPr>
              <w:rPr>
                <w:rFonts w:ascii="Arial" w:hAnsi="Arial" w:cs="Arial"/>
                <w:sz w:val="20"/>
                <w:szCs w:val="20"/>
              </w:rPr>
            </w:pPr>
            <w:r w:rsidRPr="00B14121">
              <w:rPr>
                <w:rFonts w:ascii="Arial" w:hAnsi="Arial" w:cs="Arial"/>
                <w:sz w:val="20"/>
                <w:szCs w:val="20"/>
              </w:rPr>
              <w:t>aripiprazole</w:t>
            </w:r>
          </w:p>
        </w:tc>
        <w:tc>
          <w:tcPr>
            <w:tcW w:w="2587" w:type="dxa"/>
            <w:tcBorders>
              <w:top w:val="nil"/>
              <w:bottom w:val="nil"/>
              <w:right w:val="single" w:sz="18" w:space="0" w:color="808080" w:themeColor="background1" w:themeShade="80"/>
            </w:tcBorders>
            <w:vAlign w:val="center"/>
          </w:tcPr>
          <w:p w14:paraId="0CFA351C" w14:textId="03C66F36" w:rsidR="007453A8" w:rsidRPr="00636651" w:rsidRDefault="00F9721E" w:rsidP="007453A8">
            <w:pPr>
              <w:rPr>
                <w:rFonts w:ascii="Arial" w:hAnsi="Arial" w:cs="Arial"/>
                <w:sz w:val="20"/>
                <w:szCs w:val="20"/>
              </w:rPr>
            </w:pPr>
            <w:r w:rsidRPr="00F9721E">
              <w:rPr>
                <w:rFonts w:ascii="Arial" w:hAnsi="Arial" w:cs="Arial"/>
                <w:sz w:val="20"/>
                <w:szCs w:val="20"/>
              </w:rPr>
              <w:t xml:space="preserve">olanzapine/fluoxetine </w:t>
            </w:r>
          </w:p>
        </w:tc>
        <w:tc>
          <w:tcPr>
            <w:tcW w:w="2641" w:type="dxa"/>
            <w:tcBorders>
              <w:top w:val="nil"/>
              <w:left w:val="single" w:sz="18" w:space="0" w:color="808080" w:themeColor="background1" w:themeShade="80"/>
              <w:bottom w:val="nil"/>
              <w:right w:val="nil"/>
            </w:tcBorders>
            <w:vAlign w:val="center"/>
          </w:tcPr>
          <w:p w14:paraId="403EAC29" w14:textId="668A448F" w:rsidR="007453A8" w:rsidRPr="00662293" w:rsidRDefault="007453A8" w:rsidP="007453A8">
            <w:pPr>
              <w:rPr>
                <w:rFonts w:ascii="Arial" w:hAnsi="Arial" w:cs="Arial"/>
                <w:sz w:val="20"/>
                <w:szCs w:val="20"/>
              </w:rPr>
            </w:pPr>
            <w:r w:rsidRPr="0013353E">
              <w:rPr>
                <w:rFonts w:ascii="Arial" w:hAnsi="Arial" w:cs="Arial"/>
                <w:sz w:val="20"/>
                <w:szCs w:val="20"/>
              </w:rPr>
              <w:t>flurazepam</w:t>
            </w:r>
            <w:r w:rsidRPr="0013353E" w:rsidDel="0013353E">
              <w:rPr>
                <w:rFonts w:ascii="Arial" w:hAnsi="Arial" w:cs="Arial"/>
                <w:sz w:val="20"/>
                <w:szCs w:val="20"/>
              </w:rPr>
              <w:t xml:space="preserve"> </w:t>
            </w:r>
          </w:p>
        </w:tc>
        <w:tc>
          <w:tcPr>
            <w:tcW w:w="2478" w:type="dxa"/>
            <w:tcBorders>
              <w:top w:val="nil"/>
              <w:left w:val="nil"/>
              <w:bottom w:val="nil"/>
              <w:right w:val="single" w:sz="18" w:space="0" w:color="808080" w:themeColor="background1" w:themeShade="80"/>
            </w:tcBorders>
            <w:vAlign w:val="center"/>
          </w:tcPr>
          <w:p w14:paraId="68AA4B27" w14:textId="0AFE5C1D" w:rsidR="007453A8" w:rsidRPr="00662293" w:rsidRDefault="007453A8" w:rsidP="007453A8">
            <w:pPr>
              <w:rPr>
                <w:rFonts w:ascii="Arial" w:hAnsi="Arial" w:cs="Arial"/>
                <w:sz w:val="20"/>
                <w:szCs w:val="20"/>
              </w:rPr>
            </w:pPr>
            <w:r w:rsidRPr="0013353E">
              <w:rPr>
                <w:rFonts w:ascii="Arial" w:hAnsi="Arial" w:cs="Arial"/>
                <w:sz w:val="20"/>
                <w:szCs w:val="20"/>
              </w:rPr>
              <w:t>zaleplon</w:t>
            </w:r>
            <w:r w:rsidRPr="0013353E" w:rsidDel="0013353E">
              <w:rPr>
                <w:rFonts w:ascii="Arial" w:hAnsi="Arial" w:cs="Arial"/>
                <w:sz w:val="20"/>
                <w:szCs w:val="20"/>
              </w:rPr>
              <w:t xml:space="preserve"> </w:t>
            </w:r>
          </w:p>
        </w:tc>
      </w:tr>
      <w:tr w:rsidR="007453A8" w:rsidRPr="00B14121" w14:paraId="6D8E96B5" w14:textId="77777777" w:rsidTr="002959C5">
        <w:trPr>
          <w:trHeight w:hRule="exact" w:val="288"/>
        </w:trPr>
        <w:tc>
          <w:tcPr>
            <w:tcW w:w="3125" w:type="dxa"/>
            <w:tcBorders>
              <w:top w:val="nil"/>
              <w:left w:val="single" w:sz="18" w:space="0" w:color="808080" w:themeColor="background1" w:themeShade="80"/>
              <w:bottom w:val="nil"/>
              <w:right w:val="nil"/>
            </w:tcBorders>
            <w:vAlign w:val="center"/>
          </w:tcPr>
          <w:p w14:paraId="7F2181A7" w14:textId="596F3003" w:rsidR="007453A8" w:rsidRPr="002959C5" w:rsidRDefault="007453A8" w:rsidP="007453A8">
            <w:pPr>
              <w:pStyle w:val="Heading1"/>
              <w:spacing w:before="0"/>
              <w:ind w:left="0"/>
              <w:rPr>
                <w:b w:val="0"/>
                <w:bCs w:val="0"/>
              </w:rPr>
            </w:pPr>
            <w:r w:rsidRPr="002959C5">
              <w:rPr>
                <w:b w:val="0"/>
                <w:bCs w:val="0"/>
                <w:sz w:val="20"/>
                <w:szCs w:val="20"/>
              </w:rPr>
              <w:t>asenapine</w:t>
            </w:r>
          </w:p>
        </w:tc>
        <w:tc>
          <w:tcPr>
            <w:tcW w:w="2587" w:type="dxa"/>
            <w:tcBorders>
              <w:top w:val="nil"/>
              <w:left w:val="nil"/>
              <w:bottom w:val="nil"/>
              <w:right w:val="single" w:sz="18" w:space="0" w:color="808080" w:themeColor="background1" w:themeShade="80"/>
            </w:tcBorders>
            <w:vAlign w:val="center"/>
          </w:tcPr>
          <w:p w14:paraId="6286968C" w14:textId="6EA51E17" w:rsidR="007453A8" w:rsidRPr="002959C5" w:rsidRDefault="00F9721E" w:rsidP="007453A8">
            <w:pPr>
              <w:pStyle w:val="Heading1"/>
              <w:spacing w:before="0"/>
              <w:ind w:left="0"/>
              <w:rPr>
                <w:b w:val="0"/>
                <w:bCs w:val="0"/>
              </w:rPr>
            </w:pPr>
            <w:r w:rsidRPr="00F9721E">
              <w:rPr>
                <w:b w:val="0"/>
                <w:bCs w:val="0"/>
                <w:sz w:val="20"/>
                <w:szCs w:val="20"/>
              </w:rPr>
              <w:t>olanzapine/samidorphan</w:t>
            </w:r>
            <w:r w:rsidRPr="00F9721E" w:rsidDel="00F9721E">
              <w:rPr>
                <w:b w:val="0"/>
                <w:bCs w:val="0"/>
                <w:sz w:val="20"/>
                <w:szCs w:val="20"/>
              </w:rPr>
              <w:t xml:space="preserve"> </w:t>
            </w:r>
          </w:p>
        </w:tc>
        <w:tc>
          <w:tcPr>
            <w:tcW w:w="2641" w:type="dxa"/>
            <w:tcBorders>
              <w:top w:val="nil"/>
              <w:left w:val="single" w:sz="18" w:space="0" w:color="808080" w:themeColor="background1" w:themeShade="80"/>
              <w:bottom w:val="nil"/>
            </w:tcBorders>
            <w:vAlign w:val="center"/>
          </w:tcPr>
          <w:p w14:paraId="604A686D" w14:textId="54F2B45A" w:rsidR="007453A8" w:rsidRPr="00662293" w:rsidRDefault="007453A8" w:rsidP="007453A8">
            <w:pPr>
              <w:rPr>
                <w:rFonts w:ascii="Arial" w:hAnsi="Arial" w:cs="Arial"/>
                <w:sz w:val="20"/>
                <w:szCs w:val="20"/>
              </w:rPr>
            </w:pPr>
            <w:r w:rsidRPr="0013353E">
              <w:rPr>
                <w:rFonts w:ascii="Arial" w:hAnsi="Arial" w:cs="Arial"/>
                <w:sz w:val="20"/>
                <w:szCs w:val="20"/>
              </w:rPr>
              <w:t>lemborexant</w:t>
            </w:r>
            <w:r w:rsidRPr="0013353E" w:rsidDel="0013353E">
              <w:rPr>
                <w:rFonts w:ascii="Arial" w:hAnsi="Arial" w:cs="Arial"/>
                <w:sz w:val="20"/>
                <w:szCs w:val="20"/>
              </w:rPr>
              <w:t xml:space="preserve"> </w:t>
            </w:r>
          </w:p>
        </w:tc>
        <w:tc>
          <w:tcPr>
            <w:tcW w:w="2478" w:type="dxa"/>
            <w:tcBorders>
              <w:top w:val="nil"/>
              <w:bottom w:val="nil"/>
              <w:right w:val="single" w:sz="18" w:space="0" w:color="808080" w:themeColor="background1" w:themeShade="80"/>
            </w:tcBorders>
            <w:vAlign w:val="center"/>
          </w:tcPr>
          <w:p w14:paraId="21950932" w14:textId="033F5FF6" w:rsidR="007453A8" w:rsidRPr="00662293" w:rsidRDefault="007453A8" w:rsidP="007453A8">
            <w:pPr>
              <w:rPr>
                <w:rFonts w:ascii="Arial" w:hAnsi="Arial" w:cs="Arial"/>
                <w:sz w:val="20"/>
                <w:szCs w:val="20"/>
              </w:rPr>
            </w:pPr>
            <w:r w:rsidRPr="0013353E">
              <w:rPr>
                <w:rFonts w:ascii="Arial" w:hAnsi="Arial" w:cs="Arial"/>
                <w:sz w:val="20"/>
                <w:szCs w:val="20"/>
              </w:rPr>
              <w:t>zolpidem</w:t>
            </w:r>
          </w:p>
        </w:tc>
      </w:tr>
      <w:tr w:rsidR="007453A8" w:rsidRPr="00B14121" w14:paraId="4268B732" w14:textId="2EE08C35" w:rsidTr="002959C5">
        <w:trPr>
          <w:trHeight w:val="288"/>
        </w:trPr>
        <w:tc>
          <w:tcPr>
            <w:tcW w:w="3125" w:type="dxa"/>
            <w:tcBorders>
              <w:top w:val="nil"/>
              <w:left w:val="single" w:sz="18" w:space="0" w:color="808080" w:themeColor="background1" w:themeShade="80"/>
              <w:bottom w:val="nil"/>
            </w:tcBorders>
            <w:vAlign w:val="center"/>
          </w:tcPr>
          <w:p w14:paraId="12388BE7" w14:textId="74011B3D" w:rsidR="007453A8" w:rsidRPr="00B14121" w:rsidRDefault="007453A8" w:rsidP="007453A8">
            <w:pPr>
              <w:pStyle w:val="TableParagraph"/>
              <w:tabs>
                <w:tab w:val="left" w:pos="2939"/>
              </w:tabs>
              <w:spacing w:line="240" w:lineRule="auto"/>
              <w:ind w:left="0"/>
              <w:rPr>
                <w:rFonts w:ascii="Arial" w:hAnsi="Arial" w:cs="Arial"/>
                <w:sz w:val="20"/>
                <w:szCs w:val="20"/>
              </w:rPr>
            </w:pPr>
            <w:r w:rsidRPr="00B14121">
              <w:rPr>
                <w:rFonts w:ascii="Arial" w:hAnsi="Arial" w:cs="Arial"/>
                <w:sz w:val="20"/>
                <w:szCs w:val="20"/>
              </w:rPr>
              <w:t>brexpiprazole</w:t>
            </w:r>
          </w:p>
        </w:tc>
        <w:tc>
          <w:tcPr>
            <w:tcW w:w="2587" w:type="dxa"/>
            <w:tcBorders>
              <w:top w:val="nil"/>
              <w:bottom w:val="nil"/>
              <w:right w:val="single" w:sz="18" w:space="0" w:color="808080" w:themeColor="background1" w:themeShade="80"/>
            </w:tcBorders>
            <w:vAlign w:val="center"/>
          </w:tcPr>
          <w:p w14:paraId="1E5BD0FF" w14:textId="4F805064" w:rsidR="007453A8" w:rsidRPr="00636651" w:rsidRDefault="00F9721E" w:rsidP="007453A8">
            <w:pPr>
              <w:rPr>
                <w:rFonts w:ascii="Arial" w:hAnsi="Arial" w:cs="Arial"/>
                <w:sz w:val="20"/>
                <w:szCs w:val="20"/>
              </w:rPr>
            </w:pPr>
            <w:r w:rsidRPr="00636651">
              <w:rPr>
                <w:rFonts w:ascii="Arial" w:hAnsi="Arial" w:cs="Arial"/>
                <w:sz w:val="20"/>
                <w:szCs w:val="20"/>
              </w:rPr>
              <w:t>paliperidone</w:t>
            </w:r>
            <w:r w:rsidRPr="00636651" w:rsidDel="00F9721E">
              <w:rPr>
                <w:rFonts w:ascii="Arial" w:hAnsi="Arial" w:cs="Arial"/>
                <w:sz w:val="20"/>
                <w:szCs w:val="20"/>
              </w:rPr>
              <w:t xml:space="preserve"> </w:t>
            </w:r>
          </w:p>
        </w:tc>
        <w:tc>
          <w:tcPr>
            <w:tcW w:w="2641" w:type="dxa"/>
            <w:tcBorders>
              <w:top w:val="nil"/>
              <w:left w:val="single" w:sz="18" w:space="0" w:color="808080" w:themeColor="background1" w:themeShade="80"/>
              <w:bottom w:val="single" w:sz="18" w:space="0" w:color="808080" w:themeColor="background1" w:themeShade="80"/>
            </w:tcBorders>
            <w:vAlign w:val="center"/>
          </w:tcPr>
          <w:p w14:paraId="436D8354" w14:textId="44EA1641" w:rsidR="007453A8" w:rsidRPr="00B14121" w:rsidRDefault="007453A8" w:rsidP="007453A8">
            <w:pPr>
              <w:rPr>
                <w:rFonts w:ascii="Arial" w:hAnsi="Arial" w:cs="Arial"/>
                <w:sz w:val="20"/>
                <w:szCs w:val="20"/>
              </w:rPr>
            </w:pPr>
          </w:p>
        </w:tc>
        <w:tc>
          <w:tcPr>
            <w:tcW w:w="2478" w:type="dxa"/>
            <w:tcBorders>
              <w:top w:val="nil"/>
              <w:left w:val="nil"/>
              <w:bottom w:val="single" w:sz="18" w:space="0" w:color="808080" w:themeColor="background1" w:themeShade="80"/>
              <w:right w:val="single" w:sz="18" w:space="0" w:color="808080" w:themeColor="background1" w:themeShade="80"/>
            </w:tcBorders>
            <w:vAlign w:val="center"/>
          </w:tcPr>
          <w:p w14:paraId="5B540C4C" w14:textId="35AC525D" w:rsidR="007453A8" w:rsidRPr="00B14121" w:rsidRDefault="007453A8" w:rsidP="007453A8">
            <w:pPr>
              <w:rPr>
                <w:rFonts w:ascii="Arial" w:hAnsi="Arial" w:cs="Arial"/>
                <w:sz w:val="20"/>
                <w:szCs w:val="20"/>
              </w:rPr>
            </w:pPr>
          </w:p>
        </w:tc>
      </w:tr>
      <w:tr w:rsidR="00F9721E" w:rsidRPr="00B14121" w14:paraId="6EA51A32" w14:textId="77777777" w:rsidTr="002959C5">
        <w:trPr>
          <w:trHeight w:val="288"/>
        </w:trPr>
        <w:tc>
          <w:tcPr>
            <w:tcW w:w="3125" w:type="dxa"/>
            <w:tcBorders>
              <w:top w:val="nil"/>
              <w:left w:val="single" w:sz="18" w:space="0" w:color="808080" w:themeColor="background1" w:themeShade="80"/>
              <w:bottom w:val="nil"/>
            </w:tcBorders>
            <w:vAlign w:val="center"/>
          </w:tcPr>
          <w:p w14:paraId="4648CF1B" w14:textId="3B12B253" w:rsidR="00F9721E" w:rsidRPr="00B14121" w:rsidRDefault="00F9721E" w:rsidP="00F9721E">
            <w:pPr>
              <w:rPr>
                <w:rFonts w:ascii="Arial" w:hAnsi="Arial" w:cs="Arial"/>
                <w:sz w:val="20"/>
                <w:szCs w:val="20"/>
              </w:rPr>
            </w:pPr>
            <w:r w:rsidRPr="00B14121">
              <w:rPr>
                <w:rFonts w:ascii="Arial" w:hAnsi="Arial" w:cs="Arial"/>
                <w:sz w:val="20"/>
                <w:szCs w:val="20"/>
              </w:rPr>
              <w:t>cariprazine</w:t>
            </w:r>
          </w:p>
        </w:tc>
        <w:tc>
          <w:tcPr>
            <w:tcW w:w="2587" w:type="dxa"/>
            <w:tcBorders>
              <w:top w:val="nil"/>
              <w:bottom w:val="nil"/>
              <w:right w:val="single" w:sz="18" w:space="0" w:color="808080" w:themeColor="background1" w:themeShade="80"/>
            </w:tcBorders>
            <w:vAlign w:val="center"/>
          </w:tcPr>
          <w:p w14:paraId="723E25C2" w14:textId="0898E5DF" w:rsidR="00F9721E" w:rsidRPr="00636651" w:rsidRDefault="00F9721E" w:rsidP="00F9721E">
            <w:pPr>
              <w:rPr>
                <w:rFonts w:ascii="Arial" w:hAnsi="Arial" w:cs="Arial"/>
                <w:sz w:val="20"/>
                <w:szCs w:val="20"/>
              </w:rPr>
            </w:pPr>
            <w:r w:rsidRPr="00636651">
              <w:rPr>
                <w:rFonts w:ascii="Arial" w:hAnsi="Arial" w:cs="Arial"/>
                <w:sz w:val="20"/>
                <w:szCs w:val="20"/>
              </w:rPr>
              <w:t>perphenazine</w:t>
            </w:r>
          </w:p>
        </w:tc>
        <w:tc>
          <w:tcPr>
            <w:tcW w:w="5119" w:type="dxa"/>
            <w:gridSpan w:val="2"/>
            <w:tcBorders>
              <w:top w:val="nil"/>
              <w:left w:val="single" w:sz="18" w:space="0" w:color="808080" w:themeColor="background1" w:themeShade="80"/>
              <w:bottom w:val="nil"/>
              <w:right w:val="single" w:sz="18" w:space="0" w:color="808080" w:themeColor="background1" w:themeShade="80"/>
            </w:tcBorders>
            <w:vAlign w:val="center"/>
          </w:tcPr>
          <w:p w14:paraId="64C4D826" w14:textId="09411B3D" w:rsidR="00F9721E" w:rsidRPr="00B14121" w:rsidRDefault="00F9721E" w:rsidP="00F9721E">
            <w:pPr>
              <w:pStyle w:val="Heading1"/>
              <w:ind w:left="-135"/>
              <w:jc w:val="center"/>
              <w:rPr>
                <w:sz w:val="20"/>
                <w:szCs w:val="20"/>
              </w:rPr>
            </w:pPr>
            <w:r w:rsidRPr="007E05AE">
              <w:rPr>
                <w:sz w:val="20"/>
              </w:rPr>
              <w:t>Alpha</w:t>
            </w:r>
            <w:r w:rsidRPr="007E05AE">
              <w:rPr>
                <w:sz w:val="20"/>
                <w:vertAlign w:val="subscript"/>
              </w:rPr>
              <w:t>2</w:t>
            </w:r>
            <w:r w:rsidRPr="007E05AE">
              <w:rPr>
                <w:sz w:val="20"/>
              </w:rPr>
              <w:t xml:space="preserve"> Agonists</w:t>
            </w:r>
          </w:p>
        </w:tc>
      </w:tr>
      <w:tr w:rsidR="00F9721E" w:rsidRPr="00B14121" w14:paraId="7D7C7BCC" w14:textId="77777777" w:rsidTr="002959C5">
        <w:trPr>
          <w:trHeight w:val="288"/>
        </w:trPr>
        <w:tc>
          <w:tcPr>
            <w:tcW w:w="3125" w:type="dxa"/>
            <w:tcBorders>
              <w:top w:val="nil"/>
              <w:left w:val="single" w:sz="18" w:space="0" w:color="808080" w:themeColor="background1" w:themeShade="80"/>
              <w:bottom w:val="nil"/>
            </w:tcBorders>
            <w:vAlign w:val="center"/>
          </w:tcPr>
          <w:p w14:paraId="4EEADBB0" w14:textId="09829F66" w:rsidR="00F9721E" w:rsidRPr="00B14121" w:rsidRDefault="00F9721E" w:rsidP="00F9721E">
            <w:pPr>
              <w:rPr>
                <w:rFonts w:ascii="Arial" w:hAnsi="Arial" w:cs="Arial"/>
                <w:sz w:val="20"/>
                <w:szCs w:val="20"/>
              </w:rPr>
            </w:pPr>
            <w:r w:rsidRPr="00B14121">
              <w:rPr>
                <w:rFonts w:ascii="Arial" w:hAnsi="Arial" w:cs="Arial"/>
                <w:sz w:val="20"/>
                <w:szCs w:val="20"/>
              </w:rPr>
              <w:t>chlorpromazine</w:t>
            </w:r>
            <w:r w:rsidRPr="00B14121">
              <w:rPr>
                <w:rFonts w:ascii="Arial" w:hAnsi="Arial" w:cs="Arial"/>
                <w:sz w:val="20"/>
                <w:szCs w:val="20"/>
              </w:rPr>
              <w:tab/>
            </w:r>
          </w:p>
        </w:tc>
        <w:tc>
          <w:tcPr>
            <w:tcW w:w="2587" w:type="dxa"/>
            <w:tcBorders>
              <w:top w:val="nil"/>
              <w:bottom w:val="nil"/>
              <w:right w:val="single" w:sz="18" w:space="0" w:color="808080" w:themeColor="background1" w:themeShade="80"/>
            </w:tcBorders>
            <w:vAlign w:val="center"/>
          </w:tcPr>
          <w:p w14:paraId="22FABB97" w14:textId="6CB751CF" w:rsidR="00F9721E" w:rsidRPr="00636651" w:rsidRDefault="00F9721E" w:rsidP="00F9721E">
            <w:pPr>
              <w:rPr>
                <w:rFonts w:ascii="Arial" w:hAnsi="Arial" w:cs="Arial"/>
                <w:sz w:val="20"/>
                <w:szCs w:val="20"/>
              </w:rPr>
            </w:pPr>
            <w:r w:rsidRPr="00636651">
              <w:rPr>
                <w:rFonts w:ascii="Arial" w:hAnsi="Arial" w:cs="Arial"/>
                <w:sz w:val="20"/>
                <w:szCs w:val="20"/>
              </w:rPr>
              <w:t>perphenazine/amitriptyline</w:t>
            </w:r>
            <w:r w:rsidRPr="00636651" w:rsidDel="00F9721E">
              <w:rPr>
                <w:rFonts w:ascii="Arial" w:hAnsi="Arial" w:cs="Arial"/>
                <w:sz w:val="20"/>
                <w:szCs w:val="20"/>
              </w:rPr>
              <w:t xml:space="preserve"> </w:t>
            </w:r>
          </w:p>
        </w:tc>
        <w:tc>
          <w:tcPr>
            <w:tcW w:w="2641" w:type="dxa"/>
            <w:tcBorders>
              <w:top w:val="nil"/>
              <w:left w:val="single" w:sz="18" w:space="0" w:color="808080" w:themeColor="background1" w:themeShade="80"/>
              <w:bottom w:val="single" w:sz="18" w:space="0" w:color="808080" w:themeColor="background1" w:themeShade="80"/>
            </w:tcBorders>
            <w:vAlign w:val="center"/>
          </w:tcPr>
          <w:p w14:paraId="07FB62BB" w14:textId="36B3554B" w:rsidR="00F9721E" w:rsidRPr="00B14121" w:rsidRDefault="00F9721E" w:rsidP="00F9721E">
            <w:pPr>
              <w:pStyle w:val="TableParagraph"/>
              <w:tabs>
                <w:tab w:val="left" w:pos="2909"/>
              </w:tabs>
              <w:spacing w:line="264" w:lineRule="exact"/>
              <w:ind w:left="16"/>
              <w:rPr>
                <w:rFonts w:ascii="Arial" w:hAnsi="Arial" w:cs="Arial"/>
                <w:sz w:val="20"/>
                <w:szCs w:val="20"/>
              </w:rPr>
            </w:pPr>
            <w:r w:rsidRPr="00B14121">
              <w:rPr>
                <w:rFonts w:ascii="Arial" w:hAnsi="Arial" w:cs="Arial"/>
                <w:sz w:val="20"/>
                <w:szCs w:val="20"/>
              </w:rPr>
              <w:t>clonidine</w:t>
            </w:r>
          </w:p>
        </w:tc>
        <w:tc>
          <w:tcPr>
            <w:tcW w:w="2478" w:type="dxa"/>
            <w:tcBorders>
              <w:top w:val="nil"/>
              <w:bottom w:val="single" w:sz="18" w:space="0" w:color="808080" w:themeColor="background1" w:themeShade="80"/>
              <w:right w:val="single" w:sz="18" w:space="0" w:color="808080" w:themeColor="background1" w:themeShade="80"/>
            </w:tcBorders>
            <w:vAlign w:val="center"/>
          </w:tcPr>
          <w:p w14:paraId="52074F5D" w14:textId="18DBE0B6" w:rsidR="00F9721E" w:rsidRPr="00B14121" w:rsidRDefault="00F9721E" w:rsidP="00F9721E">
            <w:pPr>
              <w:rPr>
                <w:rFonts w:ascii="Arial" w:hAnsi="Arial" w:cs="Arial"/>
                <w:sz w:val="20"/>
                <w:szCs w:val="20"/>
              </w:rPr>
            </w:pPr>
            <w:r w:rsidRPr="00B14121">
              <w:rPr>
                <w:rFonts w:ascii="Arial" w:hAnsi="Arial" w:cs="Arial"/>
                <w:sz w:val="20"/>
                <w:szCs w:val="20"/>
              </w:rPr>
              <w:t>guanfacine</w:t>
            </w:r>
          </w:p>
        </w:tc>
      </w:tr>
      <w:tr w:rsidR="00F9721E" w:rsidRPr="00B14121" w14:paraId="30C8455D" w14:textId="77777777" w:rsidTr="002959C5">
        <w:trPr>
          <w:trHeight w:val="288"/>
        </w:trPr>
        <w:tc>
          <w:tcPr>
            <w:tcW w:w="3125" w:type="dxa"/>
            <w:tcBorders>
              <w:top w:val="nil"/>
              <w:left w:val="single" w:sz="18" w:space="0" w:color="808080" w:themeColor="background1" w:themeShade="80"/>
              <w:bottom w:val="nil"/>
            </w:tcBorders>
            <w:vAlign w:val="center"/>
          </w:tcPr>
          <w:p w14:paraId="2BA63939" w14:textId="656A800A" w:rsidR="00F9721E" w:rsidRPr="00B14121" w:rsidRDefault="00F9721E" w:rsidP="00F9721E">
            <w:pPr>
              <w:pStyle w:val="TableParagraph"/>
              <w:tabs>
                <w:tab w:val="left" w:pos="2939"/>
              </w:tabs>
              <w:spacing w:line="249" w:lineRule="auto"/>
              <w:ind w:left="0"/>
              <w:rPr>
                <w:rFonts w:ascii="Arial" w:hAnsi="Arial" w:cs="Arial"/>
                <w:sz w:val="20"/>
                <w:szCs w:val="20"/>
              </w:rPr>
            </w:pPr>
            <w:r w:rsidRPr="00B14121">
              <w:rPr>
                <w:rFonts w:ascii="Arial" w:hAnsi="Arial" w:cs="Arial"/>
                <w:sz w:val="20"/>
                <w:szCs w:val="20"/>
              </w:rPr>
              <w:t>clozapine</w:t>
            </w:r>
          </w:p>
        </w:tc>
        <w:tc>
          <w:tcPr>
            <w:tcW w:w="2587" w:type="dxa"/>
            <w:tcBorders>
              <w:top w:val="nil"/>
              <w:bottom w:val="nil"/>
              <w:right w:val="single" w:sz="18" w:space="0" w:color="808080" w:themeColor="background1" w:themeShade="80"/>
            </w:tcBorders>
            <w:vAlign w:val="center"/>
          </w:tcPr>
          <w:p w14:paraId="22EDF9C7" w14:textId="4FCA5C12" w:rsidR="00F9721E" w:rsidRPr="00636651" w:rsidRDefault="00F9721E" w:rsidP="00F9721E">
            <w:pPr>
              <w:ind w:left="274" w:hanging="274"/>
              <w:rPr>
                <w:rFonts w:ascii="Arial" w:hAnsi="Arial" w:cs="Arial"/>
                <w:sz w:val="20"/>
                <w:szCs w:val="20"/>
              </w:rPr>
            </w:pPr>
            <w:r w:rsidRPr="00636651">
              <w:rPr>
                <w:rFonts w:ascii="Arial" w:hAnsi="Arial" w:cs="Arial"/>
                <w:position w:val="2"/>
                <w:sz w:val="20"/>
                <w:szCs w:val="20"/>
              </w:rPr>
              <w:t>pimozide</w:t>
            </w:r>
            <w:r w:rsidRPr="00636651" w:rsidDel="00F9721E">
              <w:rPr>
                <w:rFonts w:ascii="Arial" w:hAnsi="Arial" w:cs="Arial"/>
                <w:sz w:val="20"/>
                <w:szCs w:val="20"/>
              </w:rPr>
              <w:t xml:space="preserve"> </w:t>
            </w:r>
          </w:p>
        </w:tc>
        <w:tc>
          <w:tcPr>
            <w:tcW w:w="5119" w:type="dxa"/>
            <w:gridSpan w:val="2"/>
            <w:tcBorders>
              <w:top w:val="nil"/>
              <w:left w:val="single" w:sz="18" w:space="0" w:color="808080" w:themeColor="background1" w:themeShade="80"/>
              <w:bottom w:val="nil"/>
              <w:right w:val="single" w:sz="18" w:space="0" w:color="808080" w:themeColor="background1" w:themeShade="80"/>
            </w:tcBorders>
            <w:vAlign w:val="center"/>
          </w:tcPr>
          <w:p w14:paraId="32779628" w14:textId="219B72D1" w:rsidR="00F9721E" w:rsidRPr="00B14121" w:rsidRDefault="00F9721E" w:rsidP="00F9721E">
            <w:pPr>
              <w:pStyle w:val="Heading1"/>
              <w:ind w:left="-135"/>
              <w:jc w:val="center"/>
              <w:rPr>
                <w:sz w:val="20"/>
                <w:szCs w:val="20"/>
              </w:rPr>
            </w:pPr>
            <w:r w:rsidRPr="003611CE">
              <w:rPr>
                <w:sz w:val="20"/>
              </w:rPr>
              <w:t>Stimulants</w:t>
            </w:r>
          </w:p>
        </w:tc>
      </w:tr>
      <w:tr w:rsidR="00F9721E" w:rsidRPr="00B14121" w14:paraId="47265B31" w14:textId="77777777" w:rsidTr="002959C5">
        <w:trPr>
          <w:trHeight w:val="288"/>
        </w:trPr>
        <w:tc>
          <w:tcPr>
            <w:tcW w:w="3125" w:type="dxa"/>
            <w:tcBorders>
              <w:top w:val="nil"/>
              <w:left w:val="single" w:sz="18" w:space="0" w:color="808080" w:themeColor="background1" w:themeShade="80"/>
              <w:bottom w:val="nil"/>
            </w:tcBorders>
            <w:vAlign w:val="center"/>
          </w:tcPr>
          <w:p w14:paraId="0E19C98B" w14:textId="24C972C8" w:rsidR="00F9721E" w:rsidRPr="00B14121" w:rsidRDefault="00F9721E" w:rsidP="00F9721E">
            <w:pPr>
              <w:rPr>
                <w:rFonts w:ascii="Arial" w:hAnsi="Arial" w:cs="Arial"/>
                <w:sz w:val="20"/>
                <w:szCs w:val="20"/>
              </w:rPr>
            </w:pPr>
            <w:r w:rsidRPr="00B14121">
              <w:rPr>
                <w:rFonts w:ascii="Arial" w:hAnsi="Arial" w:cs="Arial"/>
                <w:sz w:val="20"/>
                <w:szCs w:val="20"/>
              </w:rPr>
              <w:t>fluphenazine</w:t>
            </w:r>
          </w:p>
        </w:tc>
        <w:tc>
          <w:tcPr>
            <w:tcW w:w="2587" w:type="dxa"/>
            <w:tcBorders>
              <w:top w:val="nil"/>
              <w:bottom w:val="nil"/>
              <w:right w:val="single" w:sz="18" w:space="0" w:color="808080" w:themeColor="background1" w:themeShade="80"/>
            </w:tcBorders>
            <w:vAlign w:val="center"/>
          </w:tcPr>
          <w:p w14:paraId="0E559B49" w14:textId="213B11B5" w:rsidR="00F9721E" w:rsidRPr="00636651" w:rsidRDefault="00F9721E" w:rsidP="00F9721E">
            <w:pPr>
              <w:rPr>
                <w:rFonts w:ascii="Arial" w:hAnsi="Arial" w:cs="Arial"/>
                <w:sz w:val="20"/>
                <w:szCs w:val="20"/>
              </w:rPr>
            </w:pPr>
            <w:r w:rsidRPr="00636651">
              <w:rPr>
                <w:rFonts w:ascii="Arial" w:hAnsi="Arial" w:cs="Arial"/>
                <w:position w:val="2"/>
                <w:sz w:val="20"/>
                <w:szCs w:val="20"/>
              </w:rPr>
              <w:t>quetiapine</w:t>
            </w:r>
            <w:r w:rsidRPr="00636651" w:rsidDel="00F9721E">
              <w:rPr>
                <w:rFonts w:ascii="Arial" w:hAnsi="Arial" w:cs="Arial"/>
                <w:position w:val="2"/>
                <w:sz w:val="20"/>
                <w:szCs w:val="20"/>
              </w:rPr>
              <w:t xml:space="preserve"> </w:t>
            </w:r>
          </w:p>
        </w:tc>
        <w:tc>
          <w:tcPr>
            <w:tcW w:w="2641" w:type="dxa"/>
            <w:tcBorders>
              <w:top w:val="nil"/>
              <w:left w:val="single" w:sz="18" w:space="0" w:color="808080" w:themeColor="background1" w:themeShade="80"/>
              <w:bottom w:val="nil"/>
            </w:tcBorders>
            <w:vAlign w:val="center"/>
          </w:tcPr>
          <w:p w14:paraId="0533056E" w14:textId="31193CB7" w:rsidR="00F9721E" w:rsidRPr="00B14121" w:rsidRDefault="00F9721E" w:rsidP="00F9721E">
            <w:pPr>
              <w:rPr>
                <w:rFonts w:ascii="Arial" w:hAnsi="Arial" w:cs="Arial"/>
                <w:sz w:val="20"/>
                <w:szCs w:val="20"/>
              </w:rPr>
            </w:pPr>
            <w:r w:rsidRPr="00B14121">
              <w:rPr>
                <w:rFonts w:ascii="Arial" w:hAnsi="Arial" w:cs="Arial"/>
                <w:sz w:val="20"/>
                <w:szCs w:val="20"/>
              </w:rPr>
              <w:t>amphetamine</w:t>
            </w:r>
          </w:p>
        </w:tc>
        <w:tc>
          <w:tcPr>
            <w:tcW w:w="2478" w:type="dxa"/>
            <w:tcBorders>
              <w:top w:val="nil"/>
              <w:bottom w:val="nil"/>
              <w:right w:val="single" w:sz="18" w:space="0" w:color="808080" w:themeColor="background1" w:themeShade="80"/>
            </w:tcBorders>
            <w:vAlign w:val="center"/>
          </w:tcPr>
          <w:p w14:paraId="1164127F" w14:textId="303B1817" w:rsidR="00F9721E" w:rsidRPr="00B14121" w:rsidRDefault="00F9721E" w:rsidP="00F9721E">
            <w:pPr>
              <w:rPr>
                <w:rFonts w:ascii="Arial" w:hAnsi="Arial" w:cs="Arial"/>
                <w:sz w:val="20"/>
                <w:szCs w:val="20"/>
              </w:rPr>
            </w:pPr>
            <w:r w:rsidRPr="00B14121">
              <w:rPr>
                <w:rFonts w:ascii="Arial" w:hAnsi="Arial" w:cs="Arial"/>
                <w:sz w:val="20"/>
                <w:szCs w:val="20"/>
              </w:rPr>
              <w:t>lisdexamfetamine</w:t>
            </w:r>
          </w:p>
        </w:tc>
      </w:tr>
      <w:tr w:rsidR="00F9721E" w:rsidRPr="00B14121" w14:paraId="12907A11" w14:textId="77777777" w:rsidTr="002959C5">
        <w:trPr>
          <w:trHeight w:val="288"/>
        </w:trPr>
        <w:tc>
          <w:tcPr>
            <w:tcW w:w="3125" w:type="dxa"/>
            <w:tcBorders>
              <w:top w:val="nil"/>
              <w:left w:val="single" w:sz="18" w:space="0" w:color="808080" w:themeColor="background1" w:themeShade="80"/>
              <w:bottom w:val="nil"/>
              <w:right w:val="nil"/>
            </w:tcBorders>
            <w:vAlign w:val="center"/>
          </w:tcPr>
          <w:p w14:paraId="05D4E24E" w14:textId="1FFB0B69" w:rsidR="00F9721E" w:rsidRPr="003611CE" w:rsidRDefault="00F9721E" w:rsidP="00F9721E">
            <w:pPr>
              <w:spacing w:before="55"/>
              <w:rPr>
                <w:rFonts w:ascii="Arial" w:hAnsi="Arial" w:cs="Arial"/>
                <w:sz w:val="20"/>
                <w:szCs w:val="20"/>
              </w:rPr>
            </w:pPr>
            <w:r w:rsidRPr="00B14121">
              <w:rPr>
                <w:rFonts w:ascii="Arial" w:hAnsi="Arial" w:cs="Arial"/>
                <w:position w:val="-1"/>
                <w:sz w:val="20"/>
                <w:szCs w:val="20"/>
              </w:rPr>
              <w:t>haloperidol</w:t>
            </w:r>
          </w:p>
        </w:tc>
        <w:tc>
          <w:tcPr>
            <w:tcW w:w="2587" w:type="dxa"/>
            <w:tcBorders>
              <w:top w:val="nil"/>
              <w:left w:val="nil"/>
              <w:bottom w:val="nil"/>
              <w:right w:val="single" w:sz="18" w:space="0" w:color="808080" w:themeColor="background1" w:themeShade="80"/>
            </w:tcBorders>
            <w:vAlign w:val="center"/>
          </w:tcPr>
          <w:p w14:paraId="25854477" w14:textId="72230732" w:rsidR="00F9721E" w:rsidRPr="00636651" w:rsidRDefault="00F9721E" w:rsidP="00F9721E">
            <w:pPr>
              <w:rPr>
                <w:rFonts w:ascii="Arial" w:hAnsi="Arial" w:cs="Arial"/>
                <w:sz w:val="20"/>
                <w:szCs w:val="20"/>
              </w:rPr>
            </w:pPr>
            <w:r w:rsidRPr="00636651">
              <w:rPr>
                <w:rFonts w:ascii="Arial" w:hAnsi="Arial" w:cs="Arial"/>
                <w:sz w:val="20"/>
                <w:szCs w:val="20"/>
              </w:rPr>
              <w:t>risperidone</w:t>
            </w:r>
            <w:r w:rsidRPr="00636651" w:rsidDel="00F9721E">
              <w:rPr>
                <w:rFonts w:ascii="Arial" w:hAnsi="Arial" w:cs="Arial"/>
                <w:position w:val="2"/>
                <w:sz w:val="20"/>
                <w:szCs w:val="20"/>
              </w:rPr>
              <w:t xml:space="preserve"> </w:t>
            </w:r>
          </w:p>
        </w:tc>
        <w:tc>
          <w:tcPr>
            <w:tcW w:w="2641" w:type="dxa"/>
            <w:tcBorders>
              <w:top w:val="nil"/>
              <w:left w:val="single" w:sz="18" w:space="0" w:color="808080" w:themeColor="background1" w:themeShade="80"/>
              <w:bottom w:val="nil"/>
              <w:right w:val="nil"/>
            </w:tcBorders>
            <w:vAlign w:val="center"/>
          </w:tcPr>
          <w:p w14:paraId="0F0A1C7E" w14:textId="28436EDD" w:rsidR="00F9721E" w:rsidRPr="003611CE" w:rsidRDefault="00F9721E" w:rsidP="00F9721E">
            <w:pPr>
              <w:rPr>
                <w:b/>
                <w:bCs/>
                <w:sz w:val="20"/>
              </w:rPr>
            </w:pPr>
            <w:r w:rsidRPr="003611CE">
              <w:rPr>
                <w:rFonts w:ascii="Arial" w:hAnsi="Arial" w:cs="Arial"/>
                <w:sz w:val="20"/>
                <w:szCs w:val="20"/>
              </w:rPr>
              <w:t>dexmethylphenidate</w:t>
            </w:r>
          </w:p>
        </w:tc>
        <w:tc>
          <w:tcPr>
            <w:tcW w:w="2478" w:type="dxa"/>
            <w:tcBorders>
              <w:top w:val="nil"/>
              <w:left w:val="nil"/>
              <w:bottom w:val="nil"/>
              <w:right w:val="single" w:sz="18" w:space="0" w:color="808080" w:themeColor="background1" w:themeShade="80"/>
            </w:tcBorders>
            <w:vAlign w:val="center"/>
          </w:tcPr>
          <w:p w14:paraId="04A03EA9" w14:textId="274406ED" w:rsidR="00F9721E" w:rsidRPr="007E05AE" w:rsidRDefault="00F9721E" w:rsidP="00F9721E">
            <w:pPr>
              <w:rPr>
                <w:b/>
                <w:sz w:val="20"/>
              </w:rPr>
            </w:pPr>
            <w:r w:rsidRPr="003611CE">
              <w:rPr>
                <w:rFonts w:ascii="Arial" w:hAnsi="Arial" w:cs="Arial"/>
                <w:sz w:val="20"/>
                <w:szCs w:val="20"/>
              </w:rPr>
              <w:t>methamphetamine</w:t>
            </w:r>
          </w:p>
        </w:tc>
      </w:tr>
      <w:tr w:rsidR="00F9721E" w:rsidRPr="00B14121" w14:paraId="16F369E3" w14:textId="77777777" w:rsidTr="002959C5">
        <w:trPr>
          <w:trHeight w:val="288"/>
        </w:trPr>
        <w:tc>
          <w:tcPr>
            <w:tcW w:w="3125" w:type="dxa"/>
            <w:tcBorders>
              <w:top w:val="nil"/>
              <w:left w:val="single" w:sz="18" w:space="0" w:color="808080" w:themeColor="background1" w:themeShade="80"/>
              <w:bottom w:val="nil"/>
            </w:tcBorders>
            <w:vAlign w:val="center"/>
          </w:tcPr>
          <w:p w14:paraId="4BA79925" w14:textId="7AE4AAD3" w:rsidR="00F9721E" w:rsidRPr="00B14121" w:rsidRDefault="00F9721E" w:rsidP="00F9721E">
            <w:pPr>
              <w:spacing w:before="55"/>
              <w:rPr>
                <w:rFonts w:ascii="Arial" w:hAnsi="Arial" w:cs="Arial"/>
                <w:sz w:val="20"/>
                <w:szCs w:val="20"/>
              </w:rPr>
            </w:pPr>
            <w:r w:rsidRPr="00B14121">
              <w:rPr>
                <w:rFonts w:ascii="Arial" w:hAnsi="Arial" w:cs="Arial"/>
                <w:position w:val="-1"/>
                <w:sz w:val="20"/>
                <w:szCs w:val="20"/>
              </w:rPr>
              <w:t>iloperidone</w:t>
            </w:r>
          </w:p>
        </w:tc>
        <w:tc>
          <w:tcPr>
            <w:tcW w:w="2587" w:type="dxa"/>
            <w:tcBorders>
              <w:top w:val="nil"/>
              <w:bottom w:val="nil"/>
              <w:right w:val="single" w:sz="18" w:space="0" w:color="808080" w:themeColor="background1" w:themeShade="80"/>
            </w:tcBorders>
            <w:vAlign w:val="center"/>
          </w:tcPr>
          <w:p w14:paraId="77AAF867" w14:textId="44D7FD14" w:rsidR="00F9721E" w:rsidRPr="00636651" w:rsidRDefault="00F9721E" w:rsidP="00F9721E">
            <w:pPr>
              <w:rPr>
                <w:rFonts w:ascii="Arial" w:hAnsi="Arial" w:cs="Arial"/>
                <w:sz w:val="20"/>
                <w:szCs w:val="20"/>
              </w:rPr>
            </w:pPr>
            <w:r w:rsidRPr="00636651">
              <w:rPr>
                <w:rFonts w:ascii="Arial" w:hAnsi="Arial" w:cs="Arial"/>
                <w:sz w:val="20"/>
                <w:szCs w:val="20"/>
              </w:rPr>
              <w:t>thioridazine</w:t>
            </w:r>
          </w:p>
        </w:tc>
        <w:tc>
          <w:tcPr>
            <w:tcW w:w="2641" w:type="dxa"/>
            <w:tcBorders>
              <w:top w:val="nil"/>
              <w:left w:val="single" w:sz="18" w:space="0" w:color="808080" w:themeColor="background1" w:themeShade="80"/>
              <w:bottom w:val="nil"/>
            </w:tcBorders>
            <w:vAlign w:val="center"/>
          </w:tcPr>
          <w:p w14:paraId="7508910F" w14:textId="411852D7" w:rsidR="00F9721E" w:rsidRPr="00B14121" w:rsidRDefault="00F9721E" w:rsidP="00F9721E">
            <w:pPr>
              <w:spacing w:before="55"/>
              <w:rPr>
                <w:rFonts w:ascii="Arial" w:hAnsi="Arial" w:cs="Arial"/>
                <w:sz w:val="20"/>
                <w:szCs w:val="20"/>
              </w:rPr>
            </w:pPr>
            <w:r w:rsidRPr="00B14121">
              <w:rPr>
                <w:rFonts w:ascii="Arial" w:hAnsi="Arial" w:cs="Arial"/>
                <w:sz w:val="20"/>
                <w:szCs w:val="20"/>
              </w:rPr>
              <w:t>dextroamphetamine</w:t>
            </w:r>
          </w:p>
        </w:tc>
        <w:tc>
          <w:tcPr>
            <w:tcW w:w="2478" w:type="dxa"/>
            <w:tcBorders>
              <w:top w:val="nil"/>
              <w:bottom w:val="nil"/>
              <w:right w:val="single" w:sz="18" w:space="0" w:color="808080" w:themeColor="background1" w:themeShade="80"/>
            </w:tcBorders>
            <w:vAlign w:val="center"/>
          </w:tcPr>
          <w:p w14:paraId="64B1E036" w14:textId="5D2EC6D0" w:rsidR="00F9721E" w:rsidRPr="00B14121" w:rsidRDefault="00F9721E" w:rsidP="00F9721E">
            <w:pPr>
              <w:spacing w:before="55"/>
              <w:rPr>
                <w:rFonts w:ascii="Arial" w:hAnsi="Arial" w:cs="Arial"/>
                <w:sz w:val="20"/>
                <w:szCs w:val="20"/>
              </w:rPr>
            </w:pPr>
            <w:r w:rsidRPr="00B14121">
              <w:rPr>
                <w:rFonts w:ascii="Arial" w:hAnsi="Arial" w:cs="Arial"/>
                <w:spacing w:val="-1"/>
                <w:sz w:val="20"/>
                <w:szCs w:val="20"/>
              </w:rPr>
              <w:t>methylphenidate</w:t>
            </w:r>
          </w:p>
        </w:tc>
      </w:tr>
      <w:tr w:rsidR="00F9721E" w:rsidRPr="00B14121" w14:paraId="11353D91" w14:textId="77777777" w:rsidTr="002959C5">
        <w:trPr>
          <w:trHeight w:val="288"/>
        </w:trPr>
        <w:tc>
          <w:tcPr>
            <w:tcW w:w="3125" w:type="dxa"/>
            <w:tcBorders>
              <w:top w:val="nil"/>
              <w:left w:val="single" w:sz="18" w:space="0" w:color="808080" w:themeColor="background1" w:themeShade="80"/>
              <w:bottom w:val="nil"/>
            </w:tcBorders>
            <w:vAlign w:val="center"/>
          </w:tcPr>
          <w:p w14:paraId="1331DD05" w14:textId="1BDA5DA4" w:rsidR="00F9721E" w:rsidRPr="00B14121" w:rsidRDefault="00F9721E" w:rsidP="00F9721E">
            <w:pPr>
              <w:spacing w:before="55"/>
              <w:rPr>
                <w:rFonts w:ascii="Arial" w:hAnsi="Arial" w:cs="Arial"/>
                <w:sz w:val="20"/>
                <w:szCs w:val="20"/>
              </w:rPr>
            </w:pPr>
            <w:r w:rsidRPr="00B14121">
              <w:rPr>
                <w:rFonts w:ascii="Arial" w:hAnsi="Arial" w:cs="Arial"/>
                <w:position w:val="-1"/>
                <w:sz w:val="20"/>
                <w:szCs w:val="20"/>
              </w:rPr>
              <w:t>loxapine</w:t>
            </w:r>
          </w:p>
        </w:tc>
        <w:tc>
          <w:tcPr>
            <w:tcW w:w="2587" w:type="dxa"/>
            <w:tcBorders>
              <w:top w:val="nil"/>
              <w:bottom w:val="nil"/>
              <w:right w:val="single" w:sz="18" w:space="0" w:color="808080" w:themeColor="background1" w:themeShade="80"/>
            </w:tcBorders>
            <w:vAlign w:val="center"/>
          </w:tcPr>
          <w:p w14:paraId="7AF8BB17" w14:textId="2D14C21B" w:rsidR="00F9721E" w:rsidRPr="00636651" w:rsidRDefault="00F9721E" w:rsidP="00F9721E">
            <w:pPr>
              <w:rPr>
                <w:rFonts w:ascii="Arial" w:hAnsi="Arial" w:cs="Arial"/>
                <w:sz w:val="20"/>
                <w:szCs w:val="20"/>
              </w:rPr>
            </w:pPr>
            <w:r w:rsidRPr="00636651">
              <w:rPr>
                <w:rFonts w:ascii="Arial" w:hAnsi="Arial" w:cs="Arial"/>
                <w:sz w:val="20"/>
                <w:szCs w:val="20"/>
              </w:rPr>
              <w:t>thiothixene</w:t>
            </w:r>
          </w:p>
        </w:tc>
        <w:tc>
          <w:tcPr>
            <w:tcW w:w="2641" w:type="dxa"/>
            <w:tcBorders>
              <w:top w:val="nil"/>
              <w:left w:val="single" w:sz="18" w:space="0" w:color="808080" w:themeColor="background1" w:themeShade="80"/>
              <w:bottom w:val="nil"/>
            </w:tcBorders>
            <w:vAlign w:val="center"/>
          </w:tcPr>
          <w:p w14:paraId="332E5CFD" w14:textId="668E090E" w:rsidR="00F9721E" w:rsidRPr="00B14121" w:rsidRDefault="00F9721E" w:rsidP="00F9721E">
            <w:pPr>
              <w:spacing w:before="55"/>
              <w:rPr>
                <w:rFonts w:ascii="Arial" w:hAnsi="Arial" w:cs="Arial"/>
                <w:sz w:val="20"/>
                <w:szCs w:val="20"/>
              </w:rPr>
            </w:pPr>
            <w:r w:rsidRPr="00B14121">
              <w:rPr>
                <w:rFonts w:ascii="Arial" w:hAnsi="Arial" w:cs="Arial"/>
                <w:sz w:val="20"/>
                <w:szCs w:val="20"/>
              </w:rPr>
              <w:t>dextroamphetamine/</w:t>
            </w:r>
          </w:p>
        </w:tc>
        <w:tc>
          <w:tcPr>
            <w:tcW w:w="2478" w:type="dxa"/>
            <w:tcBorders>
              <w:top w:val="nil"/>
              <w:bottom w:val="nil"/>
              <w:right w:val="single" w:sz="18" w:space="0" w:color="808080" w:themeColor="background1" w:themeShade="80"/>
            </w:tcBorders>
            <w:vAlign w:val="center"/>
          </w:tcPr>
          <w:p w14:paraId="14B224AA" w14:textId="71FE42B6" w:rsidR="00F9721E" w:rsidRPr="00B14121" w:rsidRDefault="00F9721E" w:rsidP="00F9721E">
            <w:pPr>
              <w:spacing w:before="55"/>
              <w:rPr>
                <w:rFonts w:ascii="Arial" w:hAnsi="Arial" w:cs="Arial"/>
                <w:sz w:val="20"/>
                <w:szCs w:val="20"/>
              </w:rPr>
            </w:pPr>
            <w:r w:rsidRPr="00F826F5">
              <w:rPr>
                <w:rFonts w:ascii="Arial" w:hAnsi="Arial" w:cs="Arial"/>
                <w:sz w:val="20"/>
                <w:szCs w:val="20"/>
              </w:rPr>
              <w:t>serdexmethylphenidate/</w:t>
            </w:r>
          </w:p>
        </w:tc>
      </w:tr>
      <w:tr w:rsidR="00F9721E" w:rsidRPr="00B14121" w14:paraId="1EC69B23" w14:textId="77777777" w:rsidTr="002959C5">
        <w:trPr>
          <w:trHeight w:val="288"/>
        </w:trPr>
        <w:tc>
          <w:tcPr>
            <w:tcW w:w="3125" w:type="dxa"/>
            <w:tcBorders>
              <w:top w:val="nil"/>
              <w:left w:val="single" w:sz="18" w:space="0" w:color="808080" w:themeColor="background1" w:themeShade="80"/>
              <w:bottom w:val="nil"/>
            </w:tcBorders>
            <w:vAlign w:val="center"/>
          </w:tcPr>
          <w:p w14:paraId="428792CE" w14:textId="23DF7E84" w:rsidR="00F9721E" w:rsidRPr="00B14121" w:rsidRDefault="00F9721E" w:rsidP="00F9721E">
            <w:pPr>
              <w:spacing w:before="55"/>
              <w:rPr>
                <w:rFonts w:ascii="Arial" w:hAnsi="Arial" w:cs="Arial"/>
                <w:sz w:val="20"/>
                <w:szCs w:val="20"/>
              </w:rPr>
            </w:pPr>
            <w:r>
              <w:rPr>
                <w:rFonts w:ascii="Arial" w:hAnsi="Arial" w:cs="Arial"/>
                <w:position w:val="-1"/>
                <w:sz w:val="20"/>
                <w:szCs w:val="20"/>
              </w:rPr>
              <w:t>lumateperone</w:t>
            </w:r>
          </w:p>
        </w:tc>
        <w:tc>
          <w:tcPr>
            <w:tcW w:w="2587" w:type="dxa"/>
            <w:tcBorders>
              <w:top w:val="nil"/>
              <w:bottom w:val="nil"/>
              <w:right w:val="single" w:sz="18" w:space="0" w:color="808080" w:themeColor="background1" w:themeShade="80"/>
            </w:tcBorders>
            <w:vAlign w:val="center"/>
          </w:tcPr>
          <w:p w14:paraId="6617CC57" w14:textId="1067577C" w:rsidR="00F9721E" w:rsidRPr="00636651" w:rsidRDefault="00F9721E" w:rsidP="00F9721E">
            <w:pPr>
              <w:rPr>
                <w:rFonts w:ascii="Arial" w:hAnsi="Arial" w:cs="Arial"/>
                <w:sz w:val="20"/>
                <w:szCs w:val="20"/>
              </w:rPr>
            </w:pPr>
            <w:r w:rsidRPr="00636651">
              <w:rPr>
                <w:rFonts w:ascii="Arial" w:hAnsi="Arial" w:cs="Arial"/>
                <w:sz w:val="20"/>
                <w:szCs w:val="20"/>
              </w:rPr>
              <w:t>trifluoperazine</w:t>
            </w:r>
            <w:r w:rsidRPr="00636651" w:rsidDel="00F9721E">
              <w:rPr>
                <w:rFonts w:ascii="Arial" w:hAnsi="Arial" w:cs="Arial"/>
                <w:sz w:val="20"/>
                <w:szCs w:val="20"/>
              </w:rPr>
              <w:t xml:space="preserve"> </w:t>
            </w:r>
          </w:p>
        </w:tc>
        <w:tc>
          <w:tcPr>
            <w:tcW w:w="2641" w:type="dxa"/>
            <w:tcBorders>
              <w:top w:val="nil"/>
              <w:left w:val="single" w:sz="18" w:space="0" w:color="808080" w:themeColor="background1" w:themeShade="80"/>
              <w:bottom w:val="single" w:sz="18" w:space="0" w:color="808080" w:themeColor="background1" w:themeShade="80"/>
            </w:tcBorders>
            <w:vAlign w:val="center"/>
          </w:tcPr>
          <w:p w14:paraId="3A0707D6" w14:textId="42523E26" w:rsidR="00F9721E" w:rsidRPr="00B14121" w:rsidRDefault="00F9721E" w:rsidP="00F9721E">
            <w:pPr>
              <w:spacing w:before="55"/>
              <w:ind w:left="368"/>
              <w:rPr>
                <w:rFonts w:ascii="Arial" w:hAnsi="Arial" w:cs="Arial"/>
                <w:sz w:val="20"/>
                <w:szCs w:val="20"/>
              </w:rPr>
            </w:pPr>
            <w:r w:rsidRPr="00B14121">
              <w:rPr>
                <w:rFonts w:ascii="Arial" w:hAnsi="Arial" w:cs="Arial"/>
                <w:sz w:val="20"/>
                <w:szCs w:val="20"/>
              </w:rPr>
              <w:t>amphetamine</w:t>
            </w:r>
          </w:p>
        </w:tc>
        <w:tc>
          <w:tcPr>
            <w:tcW w:w="2478" w:type="dxa"/>
            <w:tcBorders>
              <w:top w:val="nil"/>
              <w:bottom w:val="single" w:sz="18" w:space="0" w:color="808080" w:themeColor="background1" w:themeShade="80"/>
              <w:right w:val="single" w:sz="18" w:space="0" w:color="808080" w:themeColor="background1" w:themeShade="80"/>
            </w:tcBorders>
            <w:vAlign w:val="center"/>
          </w:tcPr>
          <w:p w14:paraId="3AC47B9A" w14:textId="6826FF5C" w:rsidR="00F9721E" w:rsidRPr="00B14121" w:rsidRDefault="00F9721E" w:rsidP="00F9721E">
            <w:pPr>
              <w:spacing w:before="55"/>
              <w:ind w:left="348"/>
              <w:rPr>
                <w:rFonts w:ascii="Arial" w:hAnsi="Arial" w:cs="Arial"/>
                <w:sz w:val="20"/>
                <w:szCs w:val="20"/>
              </w:rPr>
            </w:pPr>
            <w:r w:rsidRPr="00F826F5">
              <w:rPr>
                <w:rFonts w:ascii="Arial" w:hAnsi="Arial" w:cs="Arial"/>
                <w:sz w:val="20"/>
                <w:szCs w:val="20"/>
              </w:rPr>
              <w:t>dexmethylphenidate</w:t>
            </w:r>
          </w:p>
        </w:tc>
      </w:tr>
      <w:tr w:rsidR="00F9721E" w:rsidRPr="00B14121" w14:paraId="1732F739" w14:textId="77777777" w:rsidTr="002959C5">
        <w:trPr>
          <w:trHeight w:val="288"/>
        </w:trPr>
        <w:tc>
          <w:tcPr>
            <w:tcW w:w="3125" w:type="dxa"/>
            <w:tcBorders>
              <w:top w:val="nil"/>
              <w:left w:val="single" w:sz="18" w:space="0" w:color="808080" w:themeColor="background1" w:themeShade="80"/>
              <w:bottom w:val="nil"/>
            </w:tcBorders>
            <w:vAlign w:val="center"/>
          </w:tcPr>
          <w:p w14:paraId="443A5F89" w14:textId="3FAAADA7" w:rsidR="00F9721E" w:rsidRPr="00B14121" w:rsidRDefault="00F9721E" w:rsidP="00F9721E">
            <w:pPr>
              <w:spacing w:before="55"/>
              <w:rPr>
                <w:rFonts w:ascii="Arial" w:hAnsi="Arial" w:cs="Arial"/>
                <w:sz w:val="20"/>
                <w:szCs w:val="20"/>
              </w:rPr>
            </w:pPr>
            <w:r w:rsidRPr="00B14121">
              <w:rPr>
                <w:rFonts w:ascii="Arial" w:hAnsi="Arial" w:cs="Arial"/>
                <w:position w:val="-1"/>
                <w:sz w:val="20"/>
                <w:szCs w:val="20"/>
              </w:rPr>
              <w:t>lurasidone</w:t>
            </w:r>
          </w:p>
        </w:tc>
        <w:tc>
          <w:tcPr>
            <w:tcW w:w="2587" w:type="dxa"/>
            <w:tcBorders>
              <w:top w:val="nil"/>
              <w:bottom w:val="nil"/>
              <w:right w:val="single" w:sz="18" w:space="0" w:color="808080" w:themeColor="background1" w:themeShade="80"/>
            </w:tcBorders>
            <w:vAlign w:val="center"/>
          </w:tcPr>
          <w:p w14:paraId="0E6FF219" w14:textId="6793E312" w:rsidR="00F9721E" w:rsidRPr="00636651" w:rsidRDefault="00F9721E" w:rsidP="00F9548C">
            <w:pPr>
              <w:rPr>
                <w:rFonts w:ascii="Arial" w:hAnsi="Arial" w:cs="Arial"/>
                <w:sz w:val="20"/>
                <w:szCs w:val="20"/>
              </w:rPr>
            </w:pPr>
            <w:r w:rsidRPr="001A1A1F">
              <w:rPr>
                <w:rFonts w:ascii="Arial" w:hAnsi="Arial" w:cs="Arial"/>
                <w:sz w:val="20"/>
                <w:szCs w:val="20"/>
              </w:rPr>
              <w:t>xanomeline/trospium</w:t>
            </w:r>
          </w:p>
        </w:tc>
        <w:tc>
          <w:tcPr>
            <w:tcW w:w="5119" w:type="dxa"/>
            <w:gridSpan w:val="2"/>
            <w:tcBorders>
              <w:top w:val="nil"/>
              <w:left w:val="single" w:sz="18" w:space="0" w:color="808080" w:themeColor="background1" w:themeShade="80"/>
              <w:bottom w:val="nil"/>
              <w:right w:val="single" w:sz="18" w:space="0" w:color="808080" w:themeColor="background1" w:themeShade="80"/>
            </w:tcBorders>
          </w:tcPr>
          <w:p w14:paraId="6D5CABAD" w14:textId="07B4F32D" w:rsidR="00F9721E" w:rsidRPr="00B14121" w:rsidRDefault="00F9721E" w:rsidP="00F9721E">
            <w:pPr>
              <w:pStyle w:val="Heading1"/>
              <w:ind w:left="-74"/>
              <w:jc w:val="center"/>
              <w:rPr>
                <w:sz w:val="20"/>
                <w:szCs w:val="20"/>
              </w:rPr>
            </w:pPr>
            <w:r w:rsidRPr="003611CE">
              <w:rPr>
                <w:sz w:val="20"/>
              </w:rPr>
              <w:t>Miscellaneous</w:t>
            </w:r>
          </w:p>
        </w:tc>
      </w:tr>
      <w:tr w:rsidR="00F9721E" w:rsidRPr="00B14121" w14:paraId="39E1D86B" w14:textId="77777777" w:rsidTr="00DA7822">
        <w:trPr>
          <w:trHeight w:val="288"/>
        </w:trPr>
        <w:tc>
          <w:tcPr>
            <w:tcW w:w="3125" w:type="dxa"/>
            <w:tcBorders>
              <w:top w:val="nil"/>
              <w:left w:val="single" w:sz="18" w:space="0" w:color="808080" w:themeColor="background1" w:themeShade="80"/>
              <w:bottom w:val="nil"/>
            </w:tcBorders>
            <w:vAlign w:val="center"/>
          </w:tcPr>
          <w:p w14:paraId="1943046D" w14:textId="506BB9C2" w:rsidR="00F9721E" w:rsidRPr="00B14121" w:rsidRDefault="00F9721E" w:rsidP="00F9721E">
            <w:pPr>
              <w:spacing w:before="55"/>
              <w:rPr>
                <w:rFonts w:ascii="Arial" w:hAnsi="Arial" w:cs="Arial"/>
                <w:sz w:val="20"/>
                <w:szCs w:val="20"/>
              </w:rPr>
            </w:pPr>
            <w:r w:rsidRPr="00B14121">
              <w:rPr>
                <w:rFonts w:ascii="Arial" w:hAnsi="Arial" w:cs="Arial"/>
                <w:position w:val="-1"/>
                <w:sz w:val="20"/>
                <w:szCs w:val="20"/>
              </w:rPr>
              <w:t>molindone</w:t>
            </w:r>
          </w:p>
        </w:tc>
        <w:tc>
          <w:tcPr>
            <w:tcW w:w="2587" w:type="dxa"/>
            <w:tcBorders>
              <w:top w:val="nil"/>
              <w:bottom w:val="nil"/>
              <w:right w:val="single" w:sz="18" w:space="0" w:color="808080" w:themeColor="background1" w:themeShade="80"/>
            </w:tcBorders>
            <w:vAlign w:val="center"/>
          </w:tcPr>
          <w:p w14:paraId="3B0D7E59" w14:textId="7BBD1592" w:rsidR="00F9721E" w:rsidRPr="00636651" w:rsidRDefault="00F9721E" w:rsidP="00F9721E">
            <w:pPr>
              <w:rPr>
                <w:rFonts w:ascii="Arial" w:hAnsi="Arial" w:cs="Arial"/>
                <w:sz w:val="20"/>
                <w:szCs w:val="20"/>
              </w:rPr>
            </w:pPr>
            <w:r w:rsidRPr="00636651">
              <w:rPr>
                <w:rFonts w:ascii="Arial" w:hAnsi="Arial" w:cs="Arial"/>
                <w:sz w:val="20"/>
                <w:szCs w:val="20"/>
              </w:rPr>
              <w:t>ziprasidone</w:t>
            </w:r>
          </w:p>
        </w:tc>
        <w:tc>
          <w:tcPr>
            <w:tcW w:w="2641" w:type="dxa"/>
            <w:tcBorders>
              <w:top w:val="nil"/>
              <w:left w:val="single" w:sz="18" w:space="0" w:color="808080" w:themeColor="background1" w:themeShade="80"/>
              <w:bottom w:val="nil"/>
            </w:tcBorders>
            <w:vAlign w:val="center"/>
          </w:tcPr>
          <w:p w14:paraId="0FB4F161" w14:textId="3C098E72" w:rsidR="00F9721E" w:rsidRPr="00B14121" w:rsidRDefault="00F9721E" w:rsidP="00F9721E">
            <w:pPr>
              <w:spacing w:before="55"/>
              <w:rPr>
                <w:rFonts w:ascii="Arial" w:hAnsi="Arial" w:cs="Arial"/>
                <w:sz w:val="20"/>
                <w:szCs w:val="20"/>
              </w:rPr>
            </w:pPr>
            <w:r w:rsidRPr="00A34491">
              <w:rPr>
                <w:rFonts w:ascii="Arial" w:hAnsi="Arial" w:cs="Arial"/>
                <w:sz w:val="20"/>
                <w:szCs w:val="20"/>
              </w:rPr>
              <w:t>armodafinil</w:t>
            </w:r>
          </w:p>
        </w:tc>
        <w:tc>
          <w:tcPr>
            <w:tcW w:w="2478" w:type="dxa"/>
            <w:tcBorders>
              <w:top w:val="nil"/>
              <w:bottom w:val="nil"/>
              <w:right w:val="single" w:sz="18" w:space="0" w:color="808080" w:themeColor="background1" w:themeShade="80"/>
            </w:tcBorders>
            <w:vAlign w:val="center"/>
          </w:tcPr>
          <w:p w14:paraId="2B9CCFEF" w14:textId="7AEE4621" w:rsidR="00F9721E" w:rsidRPr="00B14121" w:rsidRDefault="00F9721E" w:rsidP="00F9721E">
            <w:pPr>
              <w:spacing w:before="55"/>
              <w:rPr>
                <w:rFonts w:ascii="Arial" w:hAnsi="Arial" w:cs="Arial"/>
                <w:sz w:val="20"/>
                <w:szCs w:val="20"/>
              </w:rPr>
            </w:pPr>
            <w:r w:rsidRPr="00A34491">
              <w:rPr>
                <w:rFonts w:ascii="Arial" w:hAnsi="Arial" w:cs="Arial"/>
                <w:sz w:val="20"/>
                <w:szCs w:val="20"/>
              </w:rPr>
              <w:t xml:space="preserve">modafinil </w:t>
            </w:r>
          </w:p>
        </w:tc>
      </w:tr>
      <w:tr w:rsidR="00F9721E" w:rsidRPr="00B14121" w14:paraId="6C2EC8A8" w14:textId="77777777" w:rsidTr="00DA7822">
        <w:trPr>
          <w:trHeight w:val="288"/>
        </w:trPr>
        <w:tc>
          <w:tcPr>
            <w:tcW w:w="5712" w:type="dxa"/>
            <w:gridSpan w:val="2"/>
            <w:vMerge w:val="restart"/>
            <w:tcBorders>
              <w:top w:val="nil"/>
              <w:left w:val="single" w:sz="18" w:space="0" w:color="808080" w:themeColor="background1" w:themeShade="80"/>
              <w:bottom w:val="single" w:sz="24" w:space="0" w:color="808080" w:themeColor="background1" w:themeShade="80"/>
              <w:right w:val="single" w:sz="18" w:space="0" w:color="808080" w:themeColor="background1" w:themeShade="80"/>
            </w:tcBorders>
            <w:vAlign w:val="center"/>
          </w:tcPr>
          <w:p w14:paraId="3DA5CD7B" w14:textId="7DEAA5E1" w:rsidR="00F9721E" w:rsidRPr="00B14121" w:rsidRDefault="00F9721E" w:rsidP="00F9721E">
            <w:pPr>
              <w:spacing w:before="55"/>
              <w:rPr>
                <w:rFonts w:ascii="Arial" w:hAnsi="Arial" w:cs="Arial"/>
                <w:sz w:val="20"/>
                <w:szCs w:val="20"/>
              </w:rPr>
            </w:pPr>
            <w:r w:rsidRPr="00636651">
              <w:rPr>
                <w:rFonts w:ascii="Arial" w:hAnsi="Arial" w:cs="Arial"/>
                <w:sz w:val="20"/>
                <w:szCs w:val="20"/>
              </w:rPr>
              <w:t>olanzapine</w:t>
            </w:r>
          </w:p>
          <w:p w14:paraId="4F653D8E" w14:textId="3C56AAA8" w:rsidR="00F9721E" w:rsidRPr="00B14121" w:rsidRDefault="00F9721E" w:rsidP="00F9721E">
            <w:pPr>
              <w:spacing w:before="55"/>
              <w:rPr>
                <w:rFonts w:ascii="Arial" w:hAnsi="Arial" w:cs="Arial"/>
                <w:sz w:val="20"/>
                <w:szCs w:val="20"/>
              </w:rPr>
            </w:pPr>
          </w:p>
          <w:p w14:paraId="1CC8BC48" w14:textId="63DDB4F0" w:rsidR="00F9721E" w:rsidRPr="00B14121" w:rsidRDefault="00F9721E" w:rsidP="00F9721E">
            <w:pPr>
              <w:spacing w:before="55"/>
              <w:rPr>
                <w:rFonts w:ascii="Arial" w:hAnsi="Arial" w:cs="Arial"/>
                <w:sz w:val="20"/>
                <w:szCs w:val="20"/>
              </w:rPr>
            </w:pPr>
          </w:p>
          <w:p w14:paraId="15672502" w14:textId="4B734715" w:rsidR="00F9721E" w:rsidRPr="00B14121" w:rsidRDefault="00F9721E" w:rsidP="00F9721E">
            <w:pPr>
              <w:spacing w:before="55"/>
              <w:rPr>
                <w:rFonts w:ascii="Arial" w:hAnsi="Arial" w:cs="Arial"/>
                <w:sz w:val="20"/>
                <w:szCs w:val="20"/>
              </w:rPr>
            </w:pPr>
          </w:p>
        </w:tc>
        <w:tc>
          <w:tcPr>
            <w:tcW w:w="2641" w:type="dxa"/>
            <w:tcBorders>
              <w:top w:val="nil"/>
              <w:left w:val="single" w:sz="18" w:space="0" w:color="808080" w:themeColor="background1" w:themeShade="80"/>
              <w:bottom w:val="nil"/>
              <w:right w:val="nil"/>
            </w:tcBorders>
            <w:vAlign w:val="center"/>
          </w:tcPr>
          <w:p w14:paraId="07E14C7F" w14:textId="0870CFAE" w:rsidR="00F9721E" w:rsidRPr="003611CE" w:rsidRDefault="00F9721E" w:rsidP="00F9721E">
            <w:pPr>
              <w:spacing w:before="55"/>
              <w:rPr>
                <w:rFonts w:ascii="Arial" w:hAnsi="Arial" w:cs="Arial"/>
                <w:sz w:val="20"/>
                <w:szCs w:val="20"/>
              </w:rPr>
            </w:pPr>
            <w:r w:rsidRPr="00B14121">
              <w:rPr>
                <w:rFonts w:ascii="Arial" w:hAnsi="Arial" w:cs="Arial"/>
                <w:sz w:val="20"/>
                <w:szCs w:val="20"/>
              </w:rPr>
              <w:t>atomoxetine</w:t>
            </w:r>
          </w:p>
        </w:tc>
        <w:tc>
          <w:tcPr>
            <w:tcW w:w="2478" w:type="dxa"/>
            <w:tcBorders>
              <w:top w:val="nil"/>
              <w:left w:val="nil"/>
              <w:bottom w:val="nil"/>
              <w:right w:val="single" w:sz="18" w:space="0" w:color="808080" w:themeColor="background1" w:themeShade="80"/>
            </w:tcBorders>
            <w:vAlign w:val="center"/>
          </w:tcPr>
          <w:p w14:paraId="310371BA" w14:textId="2B3BCA25" w:rsidR="00F9721E" w:rsidRPr="003611CE" w:rsidRDefault="00F9721E" w:rsidP="00F9721E">
            <w:pPr>
              <w:spacing w:before="55"/>
              <w:rPr>
                <w:rFonts w:ascii="Arial" w:hAnsi="Arial" w:cs="Arial"/>
                <w:sz w:val="20"/>
                <w:szCs w:val="20"/>
              </w:rPr>
            </w:pPr>
            <w:r>
              <w:rPr>
                <w:rFonts w:ascii="Arial" w:hAnsi="Arial" w:cs="Arial"/>
                <w:sz w:val="20"/>
                <w:szCs w:val="20"/>
              </w:rPr>
              <w:t>n</w:t>
            </w:r>
            <w:r w:rsidRPr="00A34491">
              <w:rPr>
                <w:rFonts w:ascii="Arial" w:hAnsi="Arial" w:cs="Arial"/>
                <w:sz w:val="20"/>
                <w:szCs w:val="20"/>
              </w:rPr>
              <w:t>altrexone</w:t>
            </w:r>
            <w:r>
              <w:rPr>
                <w:rFonts w:ascii="Arial" w:hAnsi="Arial" w:cs="Arial"/>
                <w:sz w:val="20"/>
                <w:szCs w:val="20"/>
                <w:vertAlign w:val="superscript"/>
              </w:rPr>
              <w:t>5</w:t>
            </w:r>
          </w:p>
        </w:tc>
      </w:tr>
      <w:tr w:rsidR="00F9721E" w:rsidRPr="00B14121" w14:paraId="5EB89767" w14:textId="77777777" w:rsidTr="00DA7822">
        <w:trPr>
          <w:trHeight w:val="288"/>
        </w:trPr>
        <w:tc>
          <w:tcPr>
            <w:tcW w:w="5712" w:type="dxa"/>
            <w:gridSpan w:val="2"/>
            <w:vMerge/>
            <w:tcBorders>
              <w:top w:val="single" w:sz="12" w:space="0" w:color="auto"/>
              <w:left w:val="single" w:sz="18" w:space="0" w:color="808080" w:themeColor="background1" w:themeShade="80"/>
              <w:bottom w:val="single" w:sz="24" w:space="0" w:color="808080" w:themeColor="background1" w:themeShade="80"/>
              <w:right w:val="single" w:sz="18" w:space="0" w:color="808080" w:themeColor="background1" w:themeShade="80"/>
            </w:tcBorders>
            <w:vAlign w:val="center"/>
          </w:tcPr>
          <w:p w14:paraId="50A14309" w14:textId="48C2B2D6" w:rsidR="00F9721E" w:rsidRPr="00B14121" w:rsidRDefault="00F9721E" w:rsidP="00F9721E">
            <w:pPr>
              <w:spacing w:before="55"/>
              <w:rPr>
                <w:rFonts w:ascii="Arial" w:hAnsi="Arial" w:cs="Arial"/>
                <w:sz w:val="20"/>
                <w:szCs w:val="20"/>
              </w:rPr>
            </w:pPr>
          </w:p>
        </w:tc>
        <w:tc>
          <w:tcPr>
            <w:tcW w:w="2641" w:type="dxa"/>
            <w:tcBorders>
              <w:top w:val="nil"/>
              <w:left w:val="single" w:sz="18" w:space="0" w:color="808080" w:themeColor="background1" w:themeShade="80"/>
              <w:bottom w:val="nil"/>
            </w:tcBorders>
            <w:vAlign w:val="center"/>
          </w:tcPr>
          <w:p w14:paraId="559589BC" w14:textId="12B655BE" w:rsidR="00F9721E" w:rsidRPr="00B14121" w:rsidRDefault="00F9721E" w:rsidP="00D4350E">
            <w:pPr>
              <w:rPr>
                <w:rFonts w:ascii="Arial" w:hAnsi="Arial" w:cs="Arial"/>
                <w:sz w:val="20"/>
                <w:szCs w:val="20"/>
              </w:rPr>
            </w:pPr>
            <w:r w:rsidRPr="00A34491">
              <w:rPr>
                <w:rFonts w:ascii="Arial" w:hAnsi="Arial" w:cs="Arial"/>
                <w:sz w:val="20"/>
                <w:szCs w:val="20"/>
              </w:rPr>
              <w:t>donepezil</w:t>
            </w:r>
          </w:p>
        </w:tc>
        <w:tc>
          <w:tcPr>
            <w:tcW w:w="2478" w:type="dxa"/>
            <w:tcBorders>
              <w:top w:val="nil"/>
              <w:bottom w:val="nil"/>
              <w:right w:val="single" w:sz="18" w:space="0" w:color="808080" w:themeColor="background1" w:themeShade="80"/>
            </w:tcBorders>
            <w:vAlign w:val="center"/>
          </w:tcPr>
          <w:p w14:paraId="64D1C67D" w14:textId="7362EE90" w:rsidR="00F9721E" w:rsidRPr="00B14121" w:rsidRDefault="00F9721E" w:rsidP="00D4350E">
            <w:pPr>
              <w:rPr>
                <w:rFonts w:ascii="Arial" w:hAnsi="Arial" w:cs="Arial"/>
                <w:sz w:val="20"/>
                <w:szCs w:val="20"/>
              </w:rPr>
            </w:pPr>
            <w:r>
              <w:rPr>
                <w:rFonts w:ascii="Arial" w:hAnsi="Arial" w:cs="Arial"/>
                <w:sz w:val="20"/>
                <w:szCs w:val="20"/>
              </w:rPr>
              <w:t>prazosin</w:t>
            </w:r>
          </w:p>
        </w:tc>
      </w:tr>
      <w:tr w:rsidR="00F9721E" w:rsidRPr="00B14121" w14:paraId="30C88449" w14:textId="77777777" w:rsidTr="00DA7822">
        <w:trPr>
          <w:trHeight w:hRule="exact" w:val="288"/>
        </w:trPr>
        <w:tc>
          <w:tcPr>
            <w:tcW w:w="5712" w:type="dxa"/>
            <w:gridSpan w:val="2"/>
            <w:vMerge/>
            <w:tcBorders>
              <w:top w:val="single" w:sz="12" w:space="0" w:color="auto"/>
              <w:left w:val="single" w:sz="18" w:space="0" w:color="808080" w:themeColor="background1" w:themeShade="80"/>
              <w:bottom w:val="single" w:sz="24" w:space="0" w:color="808080" w:themeColor="background1" w:themeShade="80"/>
              <w:right w:val="single" w:sz="18" w:space="0" w:color="808080" w:themeColor="background1" w:themeShade="80"/>
            </w:tcBorders>
            <w:vAlign w:val="center"/>
          </w:tcPr>
          <w:p w14:paraId="7A571EB5" w14:textId="27633967" w:rsidR="00F9721E" w:rsidRPr="00B14121" w:rsidRDefault="00F9721E" w:rsidP="00F9721E">
            <w:pPr>
              <w:spacing w:before="55"/>
              <w:rPr>
                <w:rFonts w:ascii="Arial" w:hAnsi="Arial" w:cs="Arial"/>
                <w:sz w:val="20"/>
                <w:szCs w:val="20"/>
              </w:rPr>
            </w:pPr>
          </w:p>
        </w:tc>
        <w:tc>
          <w:tcPr>
            <w:tcW w:w="2641" w:type="dxa"/>
            <w:tcBorders>
              <w:top w:val="nil"/>
              <w:left w:val="single" w:sz="18" w:space="0" w:color="808080" w:themeColor="background1" w:themeShade="80"/>
              <w:bottom w:val="single" w:sz="24" w:space="0" w:color="808080" w:themeColor="background1" w:themeShade="80"/>
              <w:right w:val="nil"/>
            </w:tcBorders>
            <w:vAlign w:val="center"/>
          </w:tcPr>
          <w:p w14:paraId="5D8FA0EC" w14:textId="51BCD42F" w:rsidR="00F9721E" w:rsidRPr="003611CE" w:rsidRDefault="00F9721E" w:rsidP="00D4350E">
            <w:pPr>
              <w:rPr>
                <w:rFonts w:ascii="Arial" w:hAnsi="Arial" w:cs="Arial"/>
                <w:sz w:val="20"/>
                <w:szCs w:val="20"/>
              </w:rPr>
            </w:pPr>
            <w:r w:rsidRPr="00A34491">
              <w:rPr>
                <w:rFonts w:ascii="Arial" w:hAnsi="Arial" w:cs="Arial"/>
                <w:sz w:val="20"/>
                <w:szCs w:val="20"/>
              </w:rPr>
              <w:t>memantine</w:t>
            </w:r>
          </w:p>
        </w:tc>
        <w:tc>
          <w:tcPr>
            <w:tcW w:w="2478" w:type="dxa"/>
            <w:tcBorders>
              <w:top w:val="nil"/>
              <w:left w:val="nil"/>
              <w:bottom w:val="single" w:sz="24" w:space="0" w:color="808080" w:themeColor="background1" w:themeShade="80"/>
              <w:right w:val="single" w:sz="18" w:space="0" w:color="808080" w:themeColor="background1" w:themeShade="80"/>
            </w:tcBorders>
            <w:vAlign w:val="center"/>
          </w:tcPr>
          <w:p w14:paraId="7B421264" w14:textId="23B6904C" w:rsidR="00F9721E" w:rsidRPr="003611CE" w:rsidRDefault="00F9721E" w:rsidP="00D4350E">
            <w:pPr>
              <w:rPr>
                <w:rFonts w:ascii="Arial" w:hAnsi="Arial" w:cs="Arial"/>
                <w:sz w:val="20"/>
                <w:szCs w:val="20"/>
              </w:rPr>
            </w:pPr>
            <w:r w:rsidRPr="00D302E5">
              <w:rPr>
                <w:rFonts w:ascii="Arial" w:hAnsi="Arial" w:cs="Arial"/>
                <w:sz w:val="20"/>
                <w:szCs w:val="20"/>
              </w:rPr>
              <w:t>viloxazine</w:t>
            </w:r>
          </w:p>
        </w:tc>
      </w:tr>
    </w:tbl>
    <w:p w14:paraId="503186C4" w14:textId="57E0ECE9" w:rsidR="001F1864" w:rsidRDefault="002C46AC" w:rsidP="007E05AE">
      <w:pPr>
        <w:spacing w:before="120" w:line="235" w:lineRule="auto"/>
        <w:ind w:left="345" w:right="1177" w:hanging="100"/>
        <w:rPr>
          <w:sz w:val="20"/>
        </w:rPr>
      </w:pPr>
      <w:r>
        <w:rPr>
          <w:position w:val="6"/>
          <w:sz w:val="20"/>
        </w:rPr>
        <w:t>1</w:t>
      </w:r>
      <w:r>
        <w:rPr>
          <w:sz w:val="20"/>
        </w:rPr>
        <w:t>S</w:t>
      </w:r>
      <w:r w:rsidR="00C25951">
        <w:rPr>
          <w:sz w:val="20"/>
        </w:rPr>
        <w:t>hort-acting intramuscular injectable and intravenous formulations are excluded from the Pediatric Behavioral Health Medication Initiative requirements.</w:t>
      </w:r>
    </w:p>
    <w:p w14:paraId="170BF8A7" w14:textId="33BA6E7B" w:rsidR="001F1864" w:rsidRDefault="002C46AC">
      <w:pPr>
        <w:spacing w:before="60" w:line="235" w:lineRule="auto"/>
        <w:ind w:left="345" w:right="697" w:hanging="100"/>
        <w:rPr>
          <w:sz w:val="20"/>
        </w:rPr>
      </w:pPr>
      <w:r>
        <w:rPr>
          <w:position w:val="6"/>
          <w:sz w:val="20"/>
        </w:rPr>
        <w:t>2</w:t>
      </w:r>
      <w:r>
        <w:rPr>
          <w:sz w:val="20"/>
        </w:rPr>
        <w:t xml:space="preserve">Emsam (selegiline) is the only selegiline formulation included in the Pediatric Behavioral Health Medication Initiative. </w:t>
      </w:r>
    </w:p>
    <w:p w14:paraId="414EE447" w14:textId="2646D014" w:rsidR="001F1864" w:rsidRDefault="00657CA5">
      <w:pPr>
        <w:spacing w:before="55"/>
        <w:ind w:left="245"/>
        <w:rPr>
          <w:sz w:val="20"/>
        </w:rPr>
      </w:pPr>
      <w:r>
        <w:rPr>
          <w:position w:val="6"/>
          <w:sz w:val="20"/>
        </w:rPr>
        <w:t>3</w:t>
      </w:r>
      <w:r w:rsidR="009B69F1">
        <w:rPr>
          <w:sz w:val="20"/>
        </w:rPr>
        <w:t>Nasal and r</w:t>
      </w:r>
      <w:r w:rsidR="002C46AC">
        <w:rPr>
          <w:sz w:val="20"/>
        </w:rPr>
        <w:t>ectal diazepam</w:t>
      </w:r>
      <w:r w:rsidR="007E2B16">
        <w:rPr>
          <w:sz w:val="20"/>
        </w:rPr>
        <w:t xml:space="preserve"> and nasal midazolam</w:t>
      </w:r>
      <w:r w:rsidR="002C46AC">
        <w:rPr>
          <w:sz w:val="20"/>
        </w:rPr>
        <w:t xml:space="preserve"> formulations are excluded from the Pediatric Behavioral Health Medication Initiative requirements.</w:t>
      </w:r>
    </w:p>
    <w:p w14:paraId="51CBD5CD" w14:textId="4A977781" w:rsidR="002A041C" w:rsidRDefault="00657CA5" w:rsidP="00804ABD">
      <w:pPr>
        <w:spacing w:before="55"/>
        <w:ind w:left="245"/>
        <w:rPr>
          <w:sz w:val="20"/>
        </w:rPr>
      </w:pPr>
      <w:r>
        <w:rPr>
          <w:position w:val="6"/>
          <w:sz w:val="20"/>
        </w:rPr>
        <w:t>4</w:t>
      </w:r>
      <w:r w:rsidR="009B17D9">
        <w:rPr>
          <w:sz w:val="20"/>
        </w:rPr>
        <w:t>D</w:t>
      </w:r>
      <w:r w:rsidR="002C46AC">
        <w:rPr>
          <w:sz w:val="20"/>
        </w:rPr>
        <w:t>oxepin</w:t>
      </w:r>
      <w:r w:rsidR="009B17D9">
        <w:rPr>
          <w:sz w:val="20"/>
        </w:rPr>
        <w:t xml:space="preserve"> tablet</w:t>
      </w:r>
      <w:r w:rsidR="002C46AC">
        <w:rPr>
          <w:sz w:val="20"/>
        </w:rPr>
        <w:t xml:space="preserve"> is classified as a hypnotic agent and the Pediatric Behavioral Health Medication Initiative requirements for antidepressants do not apply. Pediatric Behavioral Health Medication Initiative requirements for hypnotics apply.</w:t>
      </w:r>
    </w:p>
    <w:p w14:paraId="4D3EB665" w14:textId="69A1EDFE" w:rsidR="00A34491" w:rsidRPr="00A34491" w:rsidRDefault="00657CA5" w:rsidP="009811CF">
      <w:pPr>
        <w:spacing w:before="120" w:line="235" w:lineRule="auto"/>
        <w:ind w:left="345" w:right="1177" w:hanging="100"/>
        <w:rPr>
          <w:sz w:val="20"/>
        </w:rPr>
      </w:pPr>
      <w:r>
        <w:rPr>
          <w:position w:val="6"/>
          <w:sz w:val="20"/>
        </w:rPr>
        <w:t>5</w:t>
      </w:r>
      <w:r w:rsidR="009811CF">
        <w:rPr>
          <w:sz w:val="20"/>
        </w:rPr>
        <w:t xml:space="preserve">Vivitrol </w:t>
      </w:r>
      <w:r w:rsidR="009811CF" w:rsidRPr="009811CF">
        <w:rPr>
          <w:sz w:val="20"/>
        </w:rPr>
        <w:t>(naltrexone injection)</w:t>
      </w:r>
      <w:r w:rsidR="009811CF">
        <w:rPr>
          <w:sz w:val="20"/>
        </w:rPr>
        <w:t xml:space="preserve"> is excluded from the Pediatric Behavioral Health Medication Initiative requirements.</w:t>
      </w:r>
    </w:p>
    <w:sectPr w:rsidR="00A34491" w:rsidRPr="00A34491" w:rsidSect="00023839">
      <w:type w:val="continuous"/>
      <w:pgSz w:w="12240" w:h="15840"/>
      <w:pgMar w:top="4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6546" w14:textId="77777777" w:rsidR="00FF7AEF" w:rsidRDefault="00FF7AEF" w:rsidP="00D77BE7">
      <w:r>
        <w:separator/>
      </w:r>
    </w:p>
  </w:endnote>
  <w:endnote w:type="continuationSeparator" w:id="0">
    <w:p w14:paraId="03D8E30D" w14:textId="77777777" w:rsidR="00FF7AEF" w:rsidRDefault="00FF7AEF" w:rsidP="00D77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DE00" w14:textId="77777777" w:rsidR="00FF7AEF" w:rsidRDefault="00FF7AEF" w:rsidP="00D77BE7">
      <w:r>
        <w:separator/>
      </w:r>
    </w:p>
  </w:footnote>
  <w:footnote w:type="continuationSeparator" w:id="0">
    <w:p w14:paraId="407F0223" w14:textId="77777777" w:rsidR="00FF7AEF" w:rsidRDefault="00FF7AEF" w:rsidP="00D77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95EBC"/>
    <w:multiLevelType w:val="hybridMultilevel"/>
    <w:tmpl w:val="7D20AB7C"/>
    <w:lvl w:ilvl="0" w:tplc="A3F2068E">
      <w:start w:val="1"/>
      <w:numFmt w:val="decimal"/>
      <w:lvlText w:val="%1."/>
      <w:lvlJc w:val="left"/>
      <w:pPr>
        <w:ind w:left="860" w:hanging="360"/>
      </w:pPr>
      <w:rPr>
        <w:rFonts w:ascii="Calibri" w:eastAsia="Calibri" w:hAnsi="Calibri" w:cs="Calibri" w:hint="default"/>
        <w:b/>
        <w:bCs/>
        <w:spacing w:val="-10"/>
        <w:w w:val="98"/>
        <w:sz w:val="22"/>
        <w:szCs w:val="22"/>
      </w:rPr>
    </w:lvl>
    <w:lvl w:ilvl="1" w:tplc="CABABA2C">
      <w:numFmt w:val="bullet"/>
      <w:lvlText w:val="•"/>
      <w:lvlJc w:val="left"/>
      <w:pPr>
        <w:ind w:left="1882" w:hanging="360"/>
      </w:pPr>
      <w:rPr>
        <w:rFonts w:hint="default"/>
      </w:rPr>
    </w:lvl>
    <w:lvl w:ilvl="2" w:tplc="98A8053A">
      <w:numFmt w:val="bullet"/>
      <w:lvlText w:val="•"/>
      <w:lvlJc w:val="left"/>
      <w:pPr>
        <w:ind w:left="2904" w:hanging="360"/>
      </w:pPr>
      <w:rPr>
        <w:rFonts w:hint="default"/>
      </w:rPr>
    </w:lvl>
    <w:lvl w:ilvl="3" w:tplc="EB800BDA">
      <w:numFmt w:val="bullet"/>
      <w:lvlText w:val="•"/>
      <w:lvlJc w:val="left"/>
      <w:pPr>
        <w:ind w:left="3926" w:hanging="360"/>
      </w:pPr>
      <w:rPr>
        <w:rFonts w:hint="default"/>
      </w:rPr>
    </w:lvl>
    <w:lvl w:ilvl="4" w:tplc="F918AE76">
      <w:numFmt w:val="bullet"/>
      <w:lvlText w:val="•"/>
      <w:lvlJc w:val="left"/>
      <w:pPr>
        <w:ind w:left="4948" w:hanging="360"/>
      </w:pPr>
      <w:rPr>
        <w:rFonts w:hint="default"/>
      </w:rPr>
    </w:lvl>
    <w:lvl w:ilvl="5" w:tplc="86BA3514">
      <w:numFmt w:val="bullet"/>
      <w:lvlText w:val="•"/>
      <w:lvlJc w:val="left"/>
      <w:pPr>
        <w:ind w:left="5970" w:hanging="360"/>
      </w:pPr>
      <w:rPr>
        <w:rFonts w:hint="default"/>
      </w:rPr>
    </w:lvl>
    <w:lvl w:ilvl="6" w:tplc="95B002A0">
      <w:numFmt w:val="bullet"/>
      <w:lvlText w:val="•"/>
      <w:lvlJc w:val="left"/>
      <w:pPr>
        <w:ind w:left="6992" w:hanging="360"/>
      </w:pPr>
      <w:rPr>
        <w:rFonts w:hint="default"/>
      </w:rPr>
    </w:lvl>
    <w:lvl w:ilvl="7" w:tplc="F58483B4">
      <w:numFmt w:val="bullet"/>
      <w:lvlText w:val="•"/>
      <w:lvlJc w:val="left"/>
      <w:pPr>
        <w:ind w:left="8014" w:hanging="360"/>
      </w:pPr>
      <w:rPr>
        <w:rFonts w:hint="default"/>
      </w:rPr>
    </w:lvl>
    <w:lvl w:ilvl="8" w:tplc="183E4D4C">
      <w:numFmt w:val="bullet"/>
      <w:lvlText w:val="•"/>
      <w:lvlJc w:val="left"/>
      <w:pPr>
        <w:ind w:left="9036" w:hanging="360"/>
      </w:pPr>
      <w:rPr>
        <w:rFonts w:hint="default"/>
      </w:rPr>
    </w:lvl>
  </w:abstractNum>
  <w:num w:numId="1" w16cid:durableId="69404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64"/>
    <w:rsid w:val="000230DB"/>
    <w:rsid w:val="00023839"/>
    <w:rsid w:val="00032C48"/>
    <w:rsid w:val="00041FF4"/>
    <w:rsid w:val="00051D4C"/>
    <w:rsid w:val="0006040D"/>
    <w:rsid w:val="000C763F"/>
    <w:rsid w:val="00107FB8"/>
    <w:rsid w:val="001127FA"/>
    <w:rsid w:val="0013353E"/>
    <w:rsid w:val="00134751"/>
    <w:rsid w:val="00136AE1"/>
    <w:rsid w:val="001516F7"/>
    <w:rsid w:val="00154136"/>
    <w:rsid w:val="00156611"/>
    <w:rsid w:val="0017000C"/>
    <w:rsid w:val="00171DA3"/>
    <w:rsid w:val="001A1A1F"/>
    <w:rsid w:val="001A49C6"/>
    <w:rsid w:val="001B280F"/>
    <w:rsid w:val="001C0DB6"/>
    <w:rsid w:val="001D2F5D"/>
    <w:rsid w:val="001E63EF"/>
    <w:rsid w:val="001F1864"/>
    <w:rsid w:val="00211352"/>
    <w:rsid w:val="00227D8F"/>
    <w:rsid w:val="00244931"/>
    <w:rsid w:val="00247169"/>
    <w:rsid w:val="002709E3"/>
    <w:rsid w:val="00276FE9"/>
    <w:rsid w:val="00280A3E"/>
    <w:rsid w:val="00294972"/>
    <w:rsid w:val="002959C5"/>
    <w:rsid w:val="00297A5F"/>
    <w:rsid w:val="002A041C"/>
    <w:rsid w:val="002B11A1"/>
    <w:rsid w:val="002B278D"/>
    <w:rsid w:val="002C15F0"/>
    <w:rsid w:val="002C3B41"/>
    <w:rsid w:val="002C46AC"/>
    <w:rsid w:val="002E1034"/>
    <w:rsid w:val="00300EA2"/>
    <w:rsid w:val="00316055"/>
    <w:rsid w:val="00335D47"/>
    <w:rsid w:val="00341431"/>
    <w:rsid w:val="003611CE"/>
    <w:rsid w:val="00364EB6"/>
    <w:rsid w:val="0038072A"/>
    <w:rsid w:val="00382018"/>
    <w:rsid w:val="00391D5D"/>
    <w:rsid w:val="003A14E4"/>
    <w:rsid w:val="003B6607"/>
    <w:rsid w:val="003C3B08"/>
    <w:rsid w:val="003C4F63"/>
    <w:rsid w:val="003D19A9"/>
    <w:rsid w:val="003D2B19"/>
    <w:rsid w:val="003D2EFF"/>
    <w:rsid w:val="003D60DF"/>
    <w:rsid w:val="003D6C36"/>
    <w:rsid w:val="003E4755"/>
    <w:rsid w:val="003F018C"/>
    <w:rsid w:val="003F7E54"/>
    <w:rsid w:val="004140A1"/>
    <w:rsid w:val="004432B7"/>
    <w:rsid w:val="00445F95"/>
    <w:rsid w:val="00454C1B"/>
    <w:rsid w:val="00454F9B"/>
    <w:rsid w:val="004575FB"/>
    <w:rsid w:val="00465120"/>
    <w:rsid w:val="00465939"/>
    <w:rsid w:val="00470A3D"/>
    <w:rsid w:val="00484F46"/>
    <w:rsid w:val="00490FC5"/>
    <w:rsid w:val="004A35CE"/>
    <w:rsid w:val="004A3856"/>
    <w:rsid w:val="004B0562"/>
    <w:rsid w:val="004B15E2"/>
    <w:rsid w:val="004C24C0"/>
    <w:rsid w:val="004D1D99"/>
    <w:rsid w:val="004F189B"/>
    <w:rsid w:val="004F5352"/>
    <w:rsid w:val="004F6C5F"/>
    <w:rsid w:val="00512508"/>
    <w:rsid w:val="00512E36"/>
    <w:rsid w:val="0051509A"/>
    <w:rsid w:val="0054504B"/>
    <w:rsid w:val="00553D76"/>
    <w:rsid w:val="00557F2D"/>
    <w:rsid w:val="00566784"/>
    <w:rsid w:val="005867E7"/>
    <w:rsid w:val="005C7F0B"/>
    <w:rsid w:val="005D61AB"/>
    <w:rsid w:val="005E7D85"/>
    <w:rsid w:val="00610FAC"/>
    <w:rsid w:val="00624BD6"/>
    <w:rsid w:val="00630D50"/>
    <w:rsid w:val="00636651"/>
    <w:rsid w:val="00657CA5"/>
    <w:rsid w:val="00662293"/>
    <w:rsid w:val="0067435E"/>
    <w:rsid w:val="00675ACA"/>
    <w:rsid w:val="0068785A"/>
    <w:rsid w:val="00693B55"/>
    <w:rsid w:val="006A5E23"/>
    <w:rsid w:val="006F1011"/>
    <w:rsid w:val="00703093"/>
    <w:rsid w:val="007060B7"/>
    <w:rsid w:val="00741735"/>
    <w:rsid w:val="007453A8"/>
    <w:rsid w:val="0075198A"/>
    <w:rsid w:val="00763468"/>
    <w:rsid w:val="00780CC4"/>
    <w:rsid w:val="007A6EE7"/>
    <w:rsid w:val="007B042D"/>
    <w:rsid w:val="007E05AE"/>
    <w:rsid w:val="007E2B16"/>
    <w:rsid w:val="007E3F4F"/>
    <w:rsid w:val="007E4969"/>
    <w:rsid w:val="007F368C"/>
    <w:rsid w:val="007F381D"/>
    <w:rsid w:val="007F6F30"/>
    <w:rsid w:val="00804ABD"/>
    <w:rsid w:val="00804FC6"/>
    <w:rsid w:val="00807C14"/>
    <w:rsid w:val="0081608E"/>
    <w:rsid w:val="008277D8"/>
    <w:rsid w:val="00846252"/>
    <w:rsid w:val="00847841"/>
    <w:rsid w:val="0085309A"/>
    <w:rsid w:val="00871026"/>
    <w:rsid w:val="00871AC4"/>
    <w:rsid w:val="00881510"/>
    <w:rsid w:val="008820C4"/>
    <w:rsid w:val="008861CD"/>
    <w:rsid w:val="0089033F"/>
    <w:rsid w:val="008954F2"/>
    <w:rsid w:val="008B477D"/>
    <w:rsid w:val="008C1A09"/>
    <w:rsid w:val="008D15B0"/>
    <w:rsid w:val="008D4C27"/>
    <w:rsid w:val="008F2376"/>
    <w:rsid w:val="009060CE"/>
    <w:rsid w:val="00925D4E"/>
    <w:rsid w:val="00932493"/>
    <w:rsid w:val="00932B0E"/>
    <w:rsid w:val="00936184"/>
    <w:rsid w:val="00951072"/>
    <w:rsid w:val="009510EC"/>
    <w:rsid w:val="009553FF"/>
    <w:rsid w:val="009811CF"/>
    <w:rsid w:val="009841CE"/>
    <w:rsid w:val="00991113"/>
    <w:rsid w:val="00997941"/>
    <w:rsid w:val="00997B23"/>
    <w:rsid w:val="009B0DB4"/>
    <w:rsid w:val="009B1472"/>
    <w:rsid w:val="009B17D9"/>
    <w:rsid w:val="009B424F"/>
    <w:rsid w:val="009B69F1"/>
    <w:rsid w:val="009D7B6E"/>
    <w:rsid w:val="00A0119D"/>
    <w:rsid w:val="00A0414D"/>
    <w:rsid w:val="00A06EF7"/>
    <w:rsid w:val="00A14FCF"/>
    <w:rsid w:val="00A15664"/>
    <w:rsid w:val="00A32630"/>
    <w:rsid w:val="00A34491"/>
    <w:rsid w:val="00A36281"/>
    <w:rsid w:val="00A41244"/>
    <w:rsid w:val="00A509E6"/>
    <w:rsid w:val="00A61040"/>
    <w:rsid w:val="00A673C9"/>
    <w:rsid w:val="00A910F2"/>
    <w:rsid w:val="00A9484F"/>
    <w:rsid w:val="00AA4D60"/>
    <w:rsid w:val="00AB0938"/>
    <w:rsid w:val="00AB4730"/>
    <w:rsid w:val="00AB4B69"/>
    <w:rsid w:val="00AD49AA"/>
    <w:rsid w:val="00B002C3"/>
    <w:rsid w:val="00B410C0"/>
    <w:rsid w:val="00B5315B"/>
    <w:rsid w:val="00B91CF3"/>
    <w:rsid w:val="00BA3033"/>
    <w:rsid w:val="00BB25A7"/>
    <w:rsid w:val="00BB7442"/>
    <w:rsid w:val="00BC3F72"/>
    <w:rsid w:val="00BE1E44"/>
    <w:rsid w:val="00BF1C15"/>
    <w:rsid w:val="00BF5F01"/>
    <w:rsid w:val="00C135B7"/>
    <w:rsid w:val="00C16250"/>
    <w:rsid w:val="00C25951"/>
    <w:rsid w:val="00C3112C"/>
    <w:rsid w:val="00C4157C"/>
    <w:rsid w:val="00C4203F"/>
    <w:rsid w:val="00C604D4"/>
    <w:rsid w:val="00C732A3"/>
    <w:rsid w:val="00C82287"/>
    <w:rsid w:val="00C84BB9"/>
    <w:rsid w:val="00C94D53"/>
    <w:rsid w:val="00CA3323"/>
    <w:rsid w:val="00CC0C8D"/>
    <w:rsid w:val="00CC129B"/>
    <w:rsid w:val="00CF130B"/>
    <w:rsid w:val="00D02160"/>
    <w:rsid w:val="00D23799"/>
    <w:rsid w:val="00D302E5"/>
    <w:rsid w:val="00D33F44"/>
    <w:rsid w:val="00D373B9"/>
    <w:rsid w:val="00D41572"/>
    <w:rsid w:val="00D4350E"/>
    <w:rsid w:val="00D70190"/>
    <w:rsid w:val="00D741DF"/>
    <w:rsid w:val="00D77BE7"/>
    <w:rsid w:val="00D84919"/>
    <w:rsid w:val="00D85873"/>
    <w:rsid w:val="00DA7822"/>
    <w:rsid w:val="00DC2BED"/>
    <w:rsid w:val="00DD17D0"/>
    <w:rsid w:val="00DD654F"/>
    <w:rsid w:val="00E01B8D"/>
    <w:rsid w:val="00E02235"/>
    <w:rsid w:val="00E02807"/>
    <w:rsid w:val="00E3198A"/>
    <w:rsid w:val="00E43AB8"/>
    <w:rsid w:val="00E5401A"/>
    <w:rsid w:val="00E66BBE"/>
    <w:rsid w:val="00E81326"/>
    <w:rsid w:val="00E97979"/>
    <w:rsid w:val="00EC4344"/>
    <w:rsid w:val="00EC46C9"/>
    <w:rsid w:val="00EE3B11"/>
    <w:rsid w:val="00EE60AC"/>
    <w:rsid w:val="00EF1C1E"/>
    <w:rsid w:val="00F00B9F"/>
    <w:rsid w:val="00F0547B"/>
    <w:rsid w:val="00F24D0A"/>
    <w:rsid w:val="00F31103"/>
    <w:rsid w:val="00F34344"/>
    <w:rsid w:val="00F421D6"/>
    <w:rsid w:val="00F63BE9"/>
    <w:rsid w:val="00F73765"/>
    <w:rsid w:val="00F826F5"/>
    <w:rsid w:val="00F935A6"/>
    <w:rsid w:val="00F9548C"/>
    <w:rsid w:val="00F9721E"/>
    <w:rsid w:val="00FA04E9"/>
    <w:rsid w:val="00FE0717"/>
    <w:rsid w:val="00FF7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8870"/>
  <w15:docId w15:val="{DCA7FA17-2033-4D3B-B6C7-C2DC6196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6"/>
      <w:ind w:left="1834"/>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860" w:hanging="360"/>
    </w:pPr>
  </w:style>
  <w:style w:type="paragraph" w:customStyle="1" w:styleId="TableParagraph">
    <w:name w:val="Table Paragraph"/>
    <w:basedOn w:val="Normal"/>
    <w:uiPriority w:val="1"/>
    <w:qFormat/>
    <w:pPr>
      <w:spacing w:line="200" w:lineRule="exact"/>
      <w:ind w:left="180"/>
    </w:pPr>
  </w:style>
  <w:style w:type="character" w:styleId="CommentReference">
    <w:name w:val="annotation reference"/>
    <w:basedOn w:val="DefaultParagraphFont"/>
    <w:uiPriority w:val="99"/>
    <w:semiHidden/>
    <w:unhideWhenUsed/>
    <w:rsid w:val="00BC3F72"/>
    <w:rPr>
      <w:sz w:val="16"/>
      <w:szCs w:val="16"/>
    </w:rPr>
  </w:style>
  <w:style w:type="paragraph" w:styleId="CommentText">
    <w:name w:val="annotation text"/>
    <w:basedOn w:val="Normal"/>
    <w:link w:val="CommentTextChar"/>
    <w:uiPriority w:val="99"/>
    <w:unhideWhenUsed/>
    <w:rsid w:val="00BC3F72"/>
    <w:rPr>
      <w:sz w:val="20"/>
      <w:szCs w:val="20"/>
    </w:rPr>
  </w:style>
  <w:style w:type="character" w:customStyle="1" w:styleId="CommentTextChar">
    <w:name w:val="Comment Text Char"/>
    <w:basedOn w:val="DefaultParagraphFont"/>
    <w:link w:val="CommentText"/>
    <w:uiPriority w:val="99"/>
    <w:rsid w:val="00BC3F7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3F72"/>
    <w:rPr>
      <w:b/>
      <w:bCs/>
    </w:rPr>
  </w:style>
  <w:style w:type="character" w:customStyle="1" w:styleId="CommentSubjectChar">
    <w:name w:val="Comment Subject Char"/>
    <w:basedOn w:val="CommentTextChar"/>
    <w:link w:val="CommentSubject"/>
    <w:uiPriority w:val="99"/>
    <w:semiHidden/>
    <w:rsid w:val="00BC3F7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BC3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72"/>
    <w:rPr>
      <w:rFonts w:ascii="Segoe UI" w:eastAsia="Calibri" w:hAnsi="Segoe UI" w:cs="Segoe UI"/>
      <w:sz w:val="18"/>
      <w:szCs w:val="18"/>
    </w:rPr>
  </w:style>
  <w:style w:type="table" w:styleId="TableGrid">
    <w:name w:val="Table Grid"/>
    <w:basedOn w:val="TableNormal"/>
    <w:uiPriority w:val="39"/>
    <w:rsid w:val="002A0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026"/>
    <w:pPr>
      <w:widowControl/>
      <w:autoSpaceDE/>
      <w:autoSpaceDN/>
    </w:pPr>
    <w:rPr>
      <w:rFonts w:ascii="Calibri" w:eastAsia="Calibri" w:hAnsi="Calibri" w:cs="Calibri"/>
    </w:rPr>
  </w:style>
  <w:style w:type="character" w:customStyle="1" w:styleId="fontstyle01">
    <w:name w:val="fontstyle01"/>
    <w:basedOn w:val="DefaultParagraphFont"/>
    <w:rsid w:val="004B0562"/>
    <w:rPr>
      <w:rFonts w:ascii="ArialMT" w:hAnsi="ArialMT" w:hint="default"/>
      <w:b w:val="0"/>
      <w:bCs w:val="0"/>
      <w:i w:val="0"/>
      <w:iCs w:val="0"/>
      <w:color w:val="000000"/>
      <w:sz w:val="20"/>
      <w:szCs w:val="20"/>
    </w:rPr>
  </w:style>
  <w:style w:type="paragraph" w:styleId="Header">
    <w:name w:val="header"/>
    <w:basedOn w:val="Normal"/>
    <w:link w:val="HeaderChar"/>
    <w:uiPriority w:val="99"/>
    <w:unhideWhenUsed/>
    <w:rsid w:val="00D77BE7"/>
    <w:pPr>
      <w:tabs>
        <w:tab w:val="center" w:pos="4680"/>
        <w:tab w:val="right" w:pos="9360"/>
      </w:tabs>
    </w:pPr>
  </w:style>
  <w:style w:type="character" w:customStyle="1" w:styleId="HeaderChar">
    <w:name w:val="Header Char"/>
    <w:basedOn w:val="DefaultParagraphFont"/>
    <w:link w:val="Header"/>
    <w:uiPriority w:val="99"/>
    <w:rsid w:val="00D77BE7"/>
    <w:rPr>
      <w:rFonts w:ascii="Calibri" w:eastAsia="Calibri" w:hAnsi="Calibri" w:cs="Calibri"/>
    </w:rPr>
  </w:style>
  <w:style w:type="paragraph" w:styleId="Footer">
    <w:name w:val="footer"/>
    <w:basedOn w:val="Normal"/>
    <w:link w:val="FooterChar"/>
    <w:uiPriority w:val="99"/>
    <w:unhideWhenUsed/>
    <w:rsid w:val="00D77BE7"/>
    <w:pPr>
      <w:tabs>
        <w:tab w:val="center" w:pos="4680"/>
        <w:tab w:val="right" w:pos="9360"/>
      </w:tabs>
    </w:pPr>
  </w:style>
  <w:style w:type="character" w:customStyle="1" w:styleId="FooterChar">
    <w:name w:val="Footer Char"/>
    <w:basedOn w:val="DefaultParagraphFont"/>
    <w:link w:val="Footer"/>
    <w:uiPriority w:val="99"/>
    <w:rsid w:val="00D77BE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4962">
      <w:bodyDiv w:val="1"/>
      <w:marLeft w:val="0"/>
      <w:marRight w:val="0"/>
      <w:marTop w:val="0"/>
      <w:marBottom w:val="0"/>
      <w:divBdr>
        <w:top w:val="none" w:sz="0" w:space="0" w:color="auto"/>
        <w:left w:val="none" w:sz="0" w:space="0" w:color="auto"/>
        <w:bottom w:val="none" w:sz="0" w:space="0" w:color="auto"/>
        <w:right w:val="none" w:sz="0" w:space="0" w:color="auto"/>
      </w:divBdr>
    </w:div>
    <w:div w:id="1450901579">
      <w:bodyDiv w:val="1"/>
      <w:marLeft w:val="0"/>
      <w:marRight w:val="0"/>
      <w:marTop w:val="0"/>
      <w:marBottom w:val="0"/>
      <w:divBdr>
        <w:top w:val="none" w:sz="0" w:space="0" w:color="auto"/>
        <w:left w:val="none" w:sz="0" w:space="0" w:color="auto"/>
        <w:bottom w:val="none" w:sz="0" w:space="0" w:color="auto"/>
        <w:right w:val="none" w:sz="0" w:space="0" w:color="auto"/>
      </w:divBdr>
    </w:div>
    <w:div w:id="1560820963">
      <w:bodyDiv w:val="1"/>
      <w:marLeft w:val="0"/>
      <w:marRight w:val="0"/>
      <w:marTop w:val="0"/>
      <w:marBottom w:val="0"/>
      <w:divBdr>
        <w:top w:val="none" w:sz="0" w:space="0" w:color="auto"/>
        <w:left w:val="none" w:sz="0" w:space="0" w:color="auto"/>
        <w:bottom w:val="none" w:sz="0" w:space="0" w:color="auto"/>
        <w:right w:val="none" w:sz="0" w:space="0" w:color="auto"/>
      </w:divBdr>
    </w:div>
    <w:div w:id="1651982174">
      <w:bodyDiv w:val="1"/>
      <w:marLeft w:val="0"/>
      <w:marRight w:val="0"/>
      <w:marTop w:val="0"/>
      <w:marBottom w:val="0"/>
      <w:divBdr>
        <w:top w:val="none" w:sz="0" w:space="0" w:color="auto"/>
        <w:left w:val="none" w:sz="0" w:space="0" w:color="auto"/>
        <w:bottom w:val="none" w:sz="0" w:space="0" w:color="auto"/>
        <w:right w:val="none" w:sz="0" w:space="0" w:color="auto"/>
      </w:divBdr>
    </w:div>
    <w:div w:id="174058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sshealthdruglist.ehs.state.ma.us/MHD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948B3CF23A144A486E4E782C08A15" ma:contentTypeVersion="20" ma:contentTypeDescription="Create a new document." ma:contentTypeScope="" ma:versionID="247c188bef81f8dde2c204dfb30e81f8">
  <xsd:schema xmlns:xsd="http://www.w3.org/2001/XMLSchema" xmlns:xs="http://www.w3.org/2001/XMLSchema" xmlns:p="http://schemas.microsoft.com/office/2006/metadata/properties" xmlns:ns1="http://schemas.microsoft.com/sharepoint/v3" xmlns:ns2="5c0ed19a-6442-486d-a068-86457d131ec5" xmlns:ns3="a2ac5cde-4468-402a-ac20-5b556603971c" targetNamespace="http://schemas.microsoft.com/office/2006/metadata/properties" ma:root="true" ma:fieldsID="9584c690942716e74c93cd43a058c058" ns1:_="" ns2:_="" ns3:_="">
    <xsd:import namespace="http://schemas.microsoft.com/sharepoint/v3"/>
    <xsd:import namespace="5c0ed19a-6442-486d-a068-86457d131ec5"/>
    <xsd:import namespace="a2ac5cde-4468-402a-ac20-5b55660397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urrentVersion" minOccurs="0"/>
                <xsd:element ref="ns2:Effective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d19a-6442-486d-a068-86457d13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urrentVersion" ma:index="22" nillable="true" ma:displayName="Current Version" ma:default="1" ma:format="Dropdown" ma:internalName="CurrentVersion">
      <xsd:simpleType>
        <xsd:restriction base="dms:Boolean"/>
      </xsd:simpleType>
    </xsd:element>
    <xsd:element name="Effectiveon" ma:index="23" nillable="true" ma:displayName="Effective on" ma:format="DateOnly" ma:internalName="Effectiveon">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c5cde-4468-402a-ac20-5b55660397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5a8000-916a-4dcb-802f-e3b4d15fce1e}" ma:internalName="TaxCatchAll" ma:showField="CatchAllData" ma:web="a2ac5cde-4468-402a-ac20-5b5566039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ac5cde-4468-402a-ac20-5b556603971c" xsi:nil="true"/>
    <lcf76f155ced4ddcb4097134ff3c332f xmlns="5c0ed19a-6442-486d-a068-86457d131ec5">
      <Terms xmlns="http://schemas.microsoft.com/office/infopath/2007/PartnerControls"/>
    </lcf76f155ced4ddcb4097134ff3c332f>
    <CurrentVersion xmlns="5c0ed19a-6442-486d-a068-86457d131ec5">true</CurrentVersion>
    <Effectiveon xmlns="5c0ed19a-6442-486d-a068-86457d131ec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FBF63-5B07-4F8C-A6B4-C71603F80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0ed19a-6442-486d-a068-86457d131ec5"/>
    <ds:schemaRef ds:uri="a2ac5cde-4468-402a-ac20-5b5566039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9FA32-3E44-4A3A-B64E-FA0E6419E0CE}">
  <ds:schemaRefs>
    <ds:schemaRef ds:uri="http://schemas.openxmlformats.org/package/2006/metadata/core-properties"/>
    <ds:schemaRef ds:uri="5c0ed19a-6442-486d-a068-86457d131ec5"/>
    <ds:schemaRef ds:uri="http://www.w3.org/XML/1998/namespace"/>
    <ds:schemaRef ds:uri="http://schemas.microsoft.com/office/2006/documentManagement/types"/>
    <ds:schemaRef ds:uri="a2ac5cde-4468-402a-ac20-5b556603971c"/>
    <ds:schemaRef ds:uri="http://purl.org/dc/elements/1.1/"/>
    <ds:schemaRef ds:uri="http://schemas.microsoft.com/sharepoint/v3"/>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6EC713A-A748-42C6-A45E-1B0464B420F7}">
  <ds:schemaRefs>
    <ds:schemaRef ds:uri="http://schemas.openxmlformats.org/officeDocument/2006/bibliography"/>
  </ds:schemaRefs>
</ds:datastoreItem>
</file>

<file path=customXml/itemProps4.xml><?xml version="1.0" encoding="utf-8"?>
<ds:datastoreItem xmlns:ds="http://schemas.openxmlformats.org/officeDocument/2006/customXml" ds:itemID="{53144DD4-A7A2-42BF-B580-11F3BBED5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Jasinski, Amy</dc:creator>
  <cp:lastModifiedBy>Nelson, Chris</cp:lastModifiedBy>
  <cp:revision>6</cp:revision>
  <cp:lastPrinted>2025-01-23T19:26:00Z</cp:lastPrinted>
  <dcterms:created xsi:type="dcterms:W3CDTF">2025-01-23T19:24:00Z</dcterms:created>
  <dcterms:modified xsi:type="dcterms:W3CDTF">2025-01-23T19:27:00Z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Adobe InDesign CC 2015 (Windows)</vt:lpwstr>
  </property>
  <property fmtid="{D5CDD505-2E9C-101B-9397-08002B2CF9AE}" pid="4" name="LastSaved">
    <vt:filetime>2017-09-19T00:00:00Z</vt:filetime>
  </property>
  <property fmtid="{D5CDD505-2E9C-101B-9397-08002B2CF9AE}" pid="5" name="ContentTypeId">
    <vt:lpwstr>0x010100C20948B3CF23A144A486E4E782C08A15</vt:lpwstr>
  </property>
  <property fmtid="{D5CDD505-2E9C-101B-9397-08002B2CF9AE}" pid="6" name="MediaServiceImageTags">
    <vt:lpwstr/>
  </property>
</Properties>
</file>