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4" w:type="dxa"/>
        <w:tblLayout w:type="fixed"/>
        <w:tblLook w:val="04A0" w:firstRow="1" w:lastRow="0" w:firstColumn="1" w:lastColumn="0" w:noHBand="0" w:noVBand="1"/>
      </w:tblPr>
      <w:tblGrid>
        <w:gridCol w:w="1890"/>
        <w:gridCol w:w="5164"/>
        <w:gridCol w:w="1516"/>
        <w:gridCol w:w="1844"/>
        <w:gridCol w:w="2077"/>
        <w:gridCol w:w="2243"/>
      </w:tblGrid>
      <w:tr w:rsidR="00B06FA2" w:rsidRPr="00D3633F" w14:paraId="1D757882" w14:textId="77777777" w:rsidTr="00FC32DD">
        <w:trPr>
          <w:trHeight w:val="129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3791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 w:eastAsia="es-ES"/>
              </w:rPr>
              <w:drawing>
                <wp:anchor distT="0" distB="0" distL="114300" distR="114300" simplePos="0" relativeHeight="251658240" behindDoc="0" locked="0" layoutInCell="1" allowOverlap="1" wp14:anchorId="631DC4ED" wp14:editId="0818923D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101600</wp:posOffset>
                  </wp:positionV>
                  <wp:extent cx="1308100" cy="647700"/>
                  <wp:effectExtent l="0" t="0" r="0" b="0"/>
                  <wp:wrapNone/>
                  <wp:docPr id="576473974" name="Picture 4" descr="MassHealth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C3430-1CEC-18E4-2075-437D6DBE2D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73974" name="Picture 6" descr="MassHealth logo">
                            <a:extLst>
                              <a:ext uri="{FF2B5EF4-FFF2-40B4-BE49-F238E27FC236}">
                                <a16:creationId xmlns:a16="http://schemas.microsoft.com/office/drawing/2014/main" id="{3A7C3430-1CEC-18E4-2075-437D6DBE2D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123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B06FA2" w:rsidRPr="00D3633F" w14:paraId="5E505081" w14:textId="77777777" w:rsidTr="00D94775">
              <w:trPr>
                <w:trHeight w:val="129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F88D44" w14:textId="77777777" w:rsidR="00D94775" w:rsidRPr="00D3633F" w:rsidRDefault="00D94775" w:rsidP="00D9477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val="es-419"/>
                    </w:rPr>
                  </w:pPr>
                </w:p>
              </w:tc>
            </w:tr>
          </w:tbl>
          <w:p w14:paraId="4A2D46CB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10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1C318" w14:textId="62C7E84F" w:rsidR="00D94775" w:rsidRPr="00D3633F" w:rsidRDefault="00DD732E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14558F"/>
                <w:kern w:val="0"/>
                <w:sz w:val="72"/>
                <w:szCs w:val="7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14558F"/>
                <w:kern w:val="0"/>
                <w:sz w:val="72"/>
                <w:szCs w:val="72"/>
                <w:lang w:val="es-419"/>
              </w:rPr>
              <w:t xml:space="preserve">Comparación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14558F"/>
                <w:kern w:val="0"/>
                <w:sz w:val="72"/>
                <w:szCs w:val="72"/>
                <w:lang w:val="es-419"/>
              </w:rPr>
              <w:t>s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14558F"/>
                <w:kern w:val="0"/>
                <w:sz w:val="72"/>
                <w:szCs w:val="72"/>
                <w:lang w:val="es-419"/>
              </w:rPr>
              <w:t>ervicios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5865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0"/>
            </w:tblGrid>
            <w:tr w:rsidR="00B06FA2" w:rsidRPr="00D3633F" w14:paraId="3FD9C781" w14:textId="77777777" w:rsidTr="00D94775">
              <w:trPr>
                <w:trHeight w:val="1290"/>
                <w:tblCellSpacing w:w="0" w:type="dxa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99EB04" w14:textId="77777777" w:rsidR="00D94775" w:rsidRPr="00D3633F" w:rsidRDefault="00DD732E" w:rsidP="00D9477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val="es-419"/>
                    </w:rPr>
                  </w:pPr>
                  <w:r w:rsidRPr="00D3633F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val="es-419" w:eastAsia="es-ES"/>
                    </w:rPr>
                    <w:drawing>
                      <wp:anchor distT="0" distB="0" distL="114300" distR="114300" simplePos="0" relativeHeight="251659264" behindDoc="0" locked="0" layoutInCell="1" allowOverlap="1" wp14:anchorId="31AEF558" wp14:editId="2006F9E0">
                        <wp:simplePos x="0" y="0"/>
                        <wp:positionH relativeFrom="column">
                          <wp:posOffset>302895</wp:posOffset>
                        </wp:positionH>
                        <wp:positionV relativeFrom="paragraph">
                          <wp:posOffset>-699770</wp:posOffset>
                        </wp:positionV>
                        <wp:extent cx="1104900" cy="660400"/>
                        <wp:effectExtent l="0" t="0" r="0" b="0"/>
                        <wp:wrapNone/>
                        <wp:docPr id="1003328367" name="Picture 3" descr="ForHealth Consulting logo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EE80D5B-FCC6-545E-41A1-37B23EE10EE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328367" name="Picture 4" descr="ForHealth Consulting logo">
                                  <a:extLst>
                                    <a:ext uri="{FF2B5EF4-FFF2-40B4-BE49-F238E27FC236}">
                                      <a16:creationId xmlns:a16="http://schemas.microsoft.com/office/drawing/2014/main" id="{9EE80D5B-FCC6-545E-41A1-37B23EE10EE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900" cy="66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20C76B8B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</w:tr>
      <w:tr w:rsidR="00B06FA2" w:rsidRPr="00D3633F" w14:paraId="792C86D6" w14:textId="77777777" w:rsidTr="00FC32DD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D1DE" w14:textId="77777777" w:rsidR="00D94775" w:rsidRPr="00D3633F" w:rsidRDefault="00D94775" w:rsidP="00D947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05CC" w14:textId="77777777" w:rsidR="00D94775" w:rsidRPr="00D3633F" w:rsidRDefault="00D94775" w:rsidP="00D947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15E9" w14:textId="77777777" w:rsidR="00D94775" w:rsidRPr="00D3633F" w:rsidRDefault="00D94775" w:rsidP="00D947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6B54" w14:textId="77777777" w:rsidR="00D94775" w:rsidRPr="00D3633F" w:rsidRDefault="00D94775" w:rsidP="00D947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4DA2" w14:textId="77777777" w:rsidR="00D94775" w:rsidRPr="00D3633F" w:rsidRDefault="00D94775" w:rsidP="00D947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0AB4" w14:textId="77777777" w:rsidR="00D94775" w:rsidRPr="00D3633F" w:rsidRDefault="00D94775" w:rsidP="00D947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419"/>
              </w:rPr>
            </w:pPr>
          </w:p>
        </w:tc>
      </w:tr>
      <w:tr w:rsidR="00B06FA2" w:rsidRPr="00D3633F" w14:paraId="430D0015" w14:textId="77777777" w:rsidTr="00FC32DD">
        <w:trPr>
          <w:trHeight w:val="8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4558F"/>
            <w:noWrap/>
            <w:vAlign w:val="bottom"/>
            <w:hideMark/>
          </w:tcPr>
          <w:p w14:paraId="3C3DABB7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>Tareas</w:t>
            </w: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558F"/>
            <w:noWrap/>
            <w:vAlign w:val="bottom"/>
            <w:hideMark/>
          </w:tcPr>
          <w:p w14:paraId="24F15B95" w14:textId="2A28135D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 xml:space="preserve">Descripción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>t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>areas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558F"/>
            <w:hideMark/>
          </w:tcPr>
          <w:p w14:paraId="5A531D46" w14:textId="4922A815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Asistente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s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alud en el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h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ogar (HHA)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558F"/>
            <w:hideMark/>
          </w:tcPr>
          <w:p w14:paraId="4196DE78" w14:textId="2B22EB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Asistente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c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uidados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p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ersonales (PCA)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558F"/>
            <w:hideMark/>
          </w:tcPr>
          <w:p w14:paraId="53E18BD7" w14:textId="7BD5F945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Asistente para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n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ecesidades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a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tención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c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ompleja (CCA)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4558F"/>
            <w:hideMark/>
          </w:tcPr>
          <w:p w14:paraId="0EBEA6AD" w14:textId="13474B9B" w:rsidR="00D94775" w:rsidRPr="00D3633F" w:rsidRDefault="00DD732E" w:rsidP="005D50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Enfermería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e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specializada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m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 xml:space="preserve">anera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c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28"/>
                <w:szCs w:val="28"/>
                <w:lang w:val="es-419"/>
              </w:rPr>
              <w:t>ontinua (CSN)***</w:t>
            </w:r>
          </w:p>
        </w:tc>
      </w:tr>
      <w:tr w:rsidR="00B06FA2" w:rsidRPr="00D3633F" w14:paraId="49914DDC" w14:textId="77777777" w:rsidTr="00B222BF">
        <w:trPr>
          <w:trHeight w:val="6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FF7"/>
            <w:hideMark/>
          </w:tcPr>
          <w:p w14:paraId="64C8F92C" w14:textId="05C7B7D1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Actividades de la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v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ida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d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iaria (ADL)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FB22" w14:textId="27016410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Actividades relacionadas con los cuidados personales; específicamente bañarse, higien</w:t>
            </w:r>
            <w:r w:rsidR="000B673E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izarse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, vestirse, ir al baño o incontinencia, traslad</w:t>
            </w:r>
            <w:r w:rsidR="000B673E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arse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o mov</w:t>
            </w:r>
            <w:r w:rsidR="000B673E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erse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, y comer.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FB47" w14:textId="52D034A3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A7E9" w14:textId="06F815A9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CAD" w14:textId="78660D92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A309" w14:textId="7B688D21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4286DDB1" w14:textId="77777777" w:rsidTr="00B222BF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FF7"/>
            <w:hideMark/>
          </w:tcPr>
          <w:p w14:paraId="6664D699" w14:textId="74FB2A9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Servicios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i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ncidentales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9814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Servicios adicionales que pueden hacer falta cuando se realizan las ADL (por ejemplo, tareas livianas de limpieza, preparar una comida, retirar la basura).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11B4" w14:textId="2C48FF72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0972" w14:textId="23A6D37B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3932" w14:textId="0BA9788A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2AC0" w14:textId="629DC995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68603B4D" w14:textId="77777777" w:rsidTr="00B222BF">
        <w:trPr>
          <w:trHeight w:val="12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FF7"/>
            <w:hideMark/>
          </w:tcPr>
          <w:p w14:paraId="4AF3B640" w14:textId="02EF47D9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Actividades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i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nstrumentales de la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v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ida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d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iaria (IADL)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51F" w14:textId="30A3FDB0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Actividades que son fundamentales para la atención de la salud del afiliado y que realiza un PCA, tales como preparar las comidas, hacer la limpieza y los quehaceres domésticos, lavar la ropa, hacer las compras, man</w:t>
            </w:r>
            <w:r w:rsidR="00CC4FC2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tener el equipo médico, llevar</w:t>
            </w:r>
            <w:r w:rsidR="00DF223D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al afiliado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a los proveedores de servicios médicos y completar documentación.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5101" w14:textId="1E482913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7CCB" w14:textId="32AFAE32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31AA" w14:textId="77777777" w:rsidR="00D94775" w:rsidRPr="00D3633F" w:rsidRDefault="00DD732E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D363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042" w14:textId="515C8A1B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4082C473" w14:textId="77777777" w:rsidTr="00FC32DD">
        <w:trPr>
          <w:trHeight w:val="96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5DFF7"/>
            <w:hideMark/>
          </w:tcPr>
          <w:p w14:paraId="4ECFE552" w14:textId="64E19D68" w:rsidR="00D94775" w:rsidRPr="00D3633F" w:rsidRDefault="00DD732E" w:rsidP="00D112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Servicios de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c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 xml:space="preserve">uidado </w:t>
            </w:r>
            <w:r w:rsidR="000B673E"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ó</w:t>
            </w: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ptimo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474B" w14:textId="77777777" w:rsidR="00D94775" w:rsidRPr="00D3633F" w:rsidRDefault="00DD732E" w:rsidP="00CC4F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Alimentación enteral por sonda G o sonda J: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instalar o discontinuar bombas y su</w:t>
            </w:r>
            <w:r w:rsidR="00CC4FC2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ministrar alimentación en bolos.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</w:t>
            </w:r>
            <w:r w:rsidR="00CC4FC2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N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o incluye el cambio o el reemplazo de sondas nasogástricas.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CD2E" w14:textId="3E6085A9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BBE" w14:textId="3E9E3C49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  <w:r w:rsidR="00DD732E" w:rsidRPr="00D363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  <w:t>*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E6A7" w14:textId="35DA4D2A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6D9B" w14:textId="2D162A06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</w:tr>
      <w:tr w:rsidR="00B06FA2" w:rsidRPr="00D3633F" w14:paraId="51222E9C" w14:textId="77777777" w:rsidTr="00FC32DD">
        <w:trPr>
          <w:trHeight w:val="21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73B75441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31B4" w14:textId="65D84F35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Cuidado de la piel: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aplicación de productos OTC o cuidado habitual de sondas G y sondas J, aplicación de productos no recetados de venta libre</w:t>
            </w:r>
            <w:r w:rsidR="004B3A88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(OTC)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o cuidado habitual de sondas G y sondas J o de estomas que lo requieran (incluye la higiene, la aplicación de productos OTC para mejorar la adherencia de los dispositivos y la aplicación de los dispositivos), o cambiar vendajes sencillos que no necesiten aplicación de medicamentos o de apósitos especializados o con medicinas.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BC67" w14:textId="2C97B6EA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987B" w14:textId="7B30E3B0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7116" w14:textId="4D8787AD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40FE" w14:textId="020A9DCB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</w:tr>
      <w:tr w:rsidR="00B06FA2" w:rsidRPr="00D3633F" w14:paraId="462F8610" w14:textId="77777777" w:rsidTr="00FC32DD">
        <w:trPr>
          <w:trHeight w:val="9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2762E473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D816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Oxigenoterapia: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reemplazo de tubos de oxígeno o cánulas nasales y establecer el flujo indicado del oxígeno, siempre y cuando el cuidado no responda a un evento respiratorio que requiera la opinión y la evaluación de un profesional de enfermería.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8254" w14:textId="17F466EF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D584" w14:textId="161D9DB1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EC51" w14:textId="5ECBF273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9E38" w14:textId="093751FE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0F659B2D" w14:textId="77777777" w:rsidTr="00FC32DD">
        <w:trPr>
          <w:trHeight w:val="9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2836E4BD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E0BA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Succión oral (dental)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para retirar secreciones orales superficiales: extracción de las secreciones superficiales de la cavidad bucal. Incluye la instalación e higiene del dispositivo de succión.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3702" w14:textId="2A5123B7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0FBC" w14:textId="05D3DDEE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6821" w14:textId="7C385CB9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82BF" w14:textId="2BF59AA6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47EEF2D9" w14:textId="77777777" w:rsidTr="00FC32DD">
        <w:trPr>
          <w:trHeight w:val="9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47FED341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5083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Cuidado de ostomías y catéteres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para vaciar o cambiar bolsas de ostomía o dispositivos para recolección de orina, e higienizar la piel donde no haya necesidad de cuidados especializados. No incluye el reemplazo de catéteres.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7AA5" w14:textId="0FFEDCFF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E99A" w14:textId="333FA341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94BC" w14:textId="326C851A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B754" w14:textId="5D495362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</w:tr>
      <w:tr w:rsidR="00B06FA2" w:rsidRPr="00D3633F" w14:paraId="7C108711" w14:textId="77777777" w:rsidTr="00B222BF">
        <w:trPr>
          <w:trHeight w:val="9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34E746CD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E364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Preparación de comidas modificadas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para preparar dietas que no requieran la supervisión de un profesional de enfermería para ser suministradas. Esto puede incluir la modificación de la textura de las comidas según sea indicada.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40A7" w14:textId="083AAC13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31E4" w14:textId="5BDCF330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CEF8" w14:textId="3857E7D3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E373" w14:textId="14495CC0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0D287C10" w14:textId="77777777" w:rsidTr="00B222BF">
        <w:trPr>
          <w:trHeight w:val="128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211AA4A5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FF06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Manejo y mantenimiento de equipos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(sillas de ruedas, CPAP y BiPAP, oxígeno y equipos de cuidado respiratorio) y documentación, incluida la limpieza simple y control de equipos a fin de informar cualquier problema al supervisor de RN y a la agencia de CSN, tal como la documentación de la agencia relacionada.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3BAF" w14:textId="4DE7F93E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6C62" w14:textId="54A98A5A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D434" w14:textId="2CCFFD0B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983F" w14:textId="5D77FB54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7D273A01" w14:textId="77777777" w:rsidTr="00B222BF">
        <w:trPr>
          <w:trHeight w:val="9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652C16C0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1B2A4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Aparatos ortopédicos, férulas y medias de compresión: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poner y sacar medias, férulas y aparatos ortopédicos; también la aplicación de los aparatos ortopédicos, las férulas o las medias de compresión.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3731" w14:textId="10229FA6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FEB7" w14:textId="5C8BA329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5087" w14:textId="1322F0CB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1EAA" w14:textId="5EF1AD97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B06FA2" w:rsidRPr="00D3633F" w14:paraId="319B3AED" w14:textId="77777777" w:rsidTr="00B222BF">
        <w:trPr>
          <w:trHeight w:val="96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FF7"/>
            <w:vAlign w:val="bottom"/>
            <w:hideMark/>
          </w:tcPr>
          <w:p w14:paraId="64E94394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717C" w14:textId="77777777" w:rsidR="00D94775" w:rsidRPr="00D3633F" w:rsidRDefault="00DD732E" w:rsidP="00CC4F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s-419"/>
              </w:rPr>
              <w:t>Traslado a los proveedores de servicios médicos o a la farmacia: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llevar al afiliado o ir a la farmacia</w:t>
            </w:r>
            <w:r w:rsidR="00CC4FC2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 solo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, o trasladar al afiliado a los proveedores de servicios médicos.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9165" w14:textId="57519D08" w:rsidR="00D94775" w:rsidRPr="00D3633F" w:rsidRDefault="00D94775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8005" w14:textId="4B8B6BFC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  <w:r w:rsidR="00DD732E" w:rsidRPr="00D363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  <w:t>**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1FBA" w14:textId="159898BD" w:rsidR="00D94775" w:rsidRPr="00D3633F" w:rsidRDefault="00F067A0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  <w:r w:rsidRPr="00F067A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8"/>
                <w:szCs w:val="48"/>
                <w:lang w:val="es-419"/>
              </w:rPr>
              <w:sym w:font="Wingdings" w:char="F0FC"/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E93A" w14:textId="789D5F28" w:rsidR="00D94775" w:rsidRPr="00B222BF" w:rsidRDefault="00D94775" w:rsidP="00B222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val="es-419"/>
              </w:rPr>
            </w:pPr>
          </w:p>
        </w:tc>
      </w:tr>
      <w:tr w:rsidR="00210EB3" w:rsidRPr="00D3633F" w14:paraId="286A1EBB" w14:textId="77777777" w:rsidTr="00210EB3">
        <w:trPr>
          <w:trHeight w:val="40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FF7"/>
            <w:vAlign w:val="bottom"/>
            <w:hideMark/>
          </w:tcPr>
          <w:p w14:paraId="2B305C75" w14:textId="7102301E" w:rsidR="00210EB3" w:rsidRPr="00D3633F" w:rsidRDefault="00210EB3" w:rsidP="00D947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hideMark/>
          </w:tcPr>
          <w:p w14:paraId="360D14BD" w14:textId="6A193C22" w:rsidR="00210EB3" w:rsidRPr="00D3633F" w:rsidRDefault="00210EB3" w:rsidP="00210E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000000"/>
                <w:kern w:val="0"/>
                <w:sz w:val="18"/>
                <w:szCs w:val="18"/>
                <w:lang w:val="es-419"/>
              </w:rPr>
              <w:t>*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>Solamente pueden administrar alimentación enteral los PCA que brindan servicios de atención compleja y tienen un formulario de resumen del PCP firmado por el médico.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vAlign w:val="bottom"/>
            <w:hideMark/>
          </w:tcPr>
          <w:p w14:paraId="2EE176A5" w14:textId="2FD83C81" w:rsidR="00210EB3" w:rsidRPr="00D3633F" w:rsidRDefault="00210EB3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vAlign w:val="bottom"/>
            <w:hideMark/>
          </w:tcPr>
          <w:p w14:paraId="1A916592" w14:textId="1595E786" w:rsidR="00210EB3" w:rsidRPr="00D3633F" w:rsidRDefault="00210EB3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56F24C68" w14:textId="32DFBE2C" w:rsidR="00210EB3" w:rsidRPr="00D3633F" w:rsidRDefault="00210EB3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</w:tr>
      <w:tr w:rsidR="00B06FA2" w:rsidRPr="00D3633F" w14:paraId="0D2C2C0E" w14:textId="77777777" w:rsidTr="00FC32DD">
        <w:trPr>
          <w:trHeight w:val="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9A376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FF7"/>
            <w:noWrap/>
            <w:vAlign w:val="center"/>
            <w:hideMark/>
          </w:tcPr>
          <w:p w14:paraId="7A7089D4" w14:textId="4C8F6431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>**</w:t>
            </w:r>
            <w:r w:rsidR="00A7107F"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>L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 xml:space="preserve">os PCA </w:t>
            </w:r>
            <w:r w:rsidR="00A7107F"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 xml:space="preserve">solo 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 xml:space="preserve">pueden proveer transporte para acompañar a los afiliados a los proveedores de servicios médicos.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vAlign w:val="bottom"/>
            <w:hideMark/>
          </w:tcPr>
          <w:p w14:paraId="4A649169" w14:textId="34038D35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vAlign w:val="bottom"/>
            <w:hideMark/>
          </w:tcPr>
          <w:p w14:paraId="0F2B4BAE" w14:textId="074D0931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0B030038" w14:textId="31665599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</w:tr>
      <w:tr w:rsidR="00B06FA2" w:rsidRPr="00D3633F" w14:paraId="53CAB566" w14:textId="77777777" w:rsidTr="00FC32DD">
        <w:trPr>
          <w:trHeight w:val="39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2C20A" w14:textId="7777777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FF7"/>
            <w:noWrap/>
            <w:vAlign w:val="center"/>
            <w:hideMark/>
          </w:tcPr>
          <w:p w14:paraId="68FAF93C" w14:textId="05EE5DDC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 xml:space="preserve">***Partes de estas tareas pueden ser asignadas a los CSN cuando </w:t>
            </w:r>
            <w:r w:rsidR="009674CA"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 xml:space="preserve">ocurren 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18"/>
                <w:szCs w:val="18"/>
                <w:lang w:val="es-419"/>
              </w:rPr>
              <w:t>durante una intervención o una evaluación de enfermería especializada.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vAlign w:val="bottom"/>
            <w:hideMark/>
          </w:tcPr>
          <w:p w14:paraId="7F385985" w14:textId="24938363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FF7"/>
            <w:noWrap/>
            <w:vAlign w:val="bottom"/>
            <w:hideMark/>
          </w:tcPr>
          <w:p w14:paraId="2FCF44A5" w14:textId="4A2424DC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FF7"/>
            <w:noWrap/>
            <w:vAlign w:val="bottom"/>
            <w:hideMark/>
          </w:tcPr>
          <w:p w14:paraId="3D893533" w14:textId="67A6F917" w:rsidR="00D94775" w:rsidRPr="00D3633F" w:rsidRDefault="00D94775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</w:p>
        </w:tc>
      </w:tr>
    </w:tbl>
    <w:p w14:paraId="229DFC06" w14:textId="77777777" w:rsidR="00D94775" w:rsidRPr="00D3633F" w:rsidRDefault="00DD732E">
      <w:pPr>
        <w:rPr>
          <w:lang w:val="es-419"/>
        </w:rPr>
      </w:pPr>
      <w:r w:rsidRPr="00D3633F">
        <w:rPr>
          <w:lang w:val="es-419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2951"/>
        <w:gridCol w:w="2693"/>
        <w:gridCol w:w="2917"/>
        <w:gridCol w:w="2718"/>
      </w:tblGrid>
      <w:tr w:rsidR="00B06FA2" w:rsidRPr="00D3633F" w14:paraId="087B0B59" w14:textId="77777777" w:rsidTr="00DD732E">
        <w:trPr>
          <w:trHeight w:val="50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2784E"/>
            <w:noWrap/>
            <w:hideMark/>
          </w:tcPr>
          <w:p w14:paraId="21DA3039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lastRenderedPageBreak/>
              <w:t>Diferencias entre los tipos de servicios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784E"/>
            <w:hideMark/>
          </w:tcPr>
          <w:p w14:paraId="4A78BD78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>HHA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784E"/>
            <w:hideMark/>
          </w:tcPr>
          <w:p w14:paraId="1509785E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>PCA</w:t>
            </w:r>
            <w:r w:rsidRPr="00D3633F">
              <w:rPr>
                <w:rFonts w:ascii="Arial" w:eastAsia="Arial" w:hAnsi="Arial" w:cs="Arial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>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784E"/>
            <w:noWrap/>
            <w:hideMark/>
          </w:tcPr>
          <w:p w14:paraId="275B6479" w14:textId="7777777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6"/>
                <w:szCs w:val="36"/>
                <w:lang w:val="es-419"/>
              </w:rPr>
              <w:t xml:space="preserve">CCA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2784E"/>
            <w:hideMark/>
          </w:tcPr>
          <w:p w14:paraId="782A43E1" w14:textId="6524C635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FFFFFF"/>
                <w:kern w:val="0"/>
                <w:sz w:val="32"/>
                <w:szCs w:val="32"/>
                <w:lang w:val="es-419"/>
              </w:rPr>
              <w:t>¿Qué significa esto?</w:t>
            </w:r>
          </w:p>
        </w:tc>
      </w:tr>
      <w:tr w:rsidR="00B06FA2" w:rsidRPr="00D3633F" w14:paraId="0C8AC8C3" w14:textId="77777777" w:rsidTr="00DD732E">
        <w:trPr>
          <w:trHeight w:val="2700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AD8"/>
            <w:hideMark/>
          </w:tcPr>
          <w:p w14:paraId="06193A38" w14:textId="4DF3A1C5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141414"/>
                <w:kern w:val="0"/>
                <w:sz w:val="28"/>
                <w:szCs w:val="28"/>
                <w:lang w:val="es-419"/>
              </w:rPr>
              <w:t>Servicios autorizados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2E9E" w14:textId="30E301D1" w:rsidR="00D94775" w:rsidRPr="00D3633F" w:rsidRDefault="000E3BF8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Las 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ADL y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los 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servicios incidentales que pueden hacer falta cuando se realizan las ADL (por ejemplo, tareas livianas de limpieza, preparar una comida, retirar la basura).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26AF" w14:textId="03626446" w:rsidR="00D94775" w:rsidRPr="00D3633F" w:rsidRDefault="000E3BF8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Las 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ADL </w:t>
            </w:r>
            <w:r w:rsidR="00D27896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y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las 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IADL. El programa de PCA permite redondear horas de tareas que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ocurran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entre las 12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: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00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 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a.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 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m. y las 6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: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00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 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a.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 </w:t>
            </w:r>
            <w:r w:rsidR="00DD732E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m.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E5C2" w14:textId="57065523" w:rsidR="00D94775" w:rsidRPr="00D3633F" w:rsidRDefault="000E3BF8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Las </w:t>
            </w:r>
            <w:r w:rsidR="00DD732E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ADL y 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los </w:t>
            </w:r>
            <w:r w:rsidR="00DD732E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servicios de cuidado óptimo de CCA para los afiliados de MassHealth que cumplan con los requisitos de necesidades médicas para recibir servicios de enfermería especializada de manera continua (CSN).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7D60" w14:textId="3693A206" w:rsidR="00261D83" w:rsidRPr="00D3633F" w:rsidRDefault="00DD732E" w:rsidP="00D94775">
            <w:pPr>
              <w:spacing w:after="0" w:line="240" w:lineRule="auto"/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Generalmente, las</w:t>
            </w:r>
            <w:r w:rsidR="00251DE5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autorizaciones de HHA</w:t>
            </w:r>
            <w:r w:rsidR="00251DE5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pueden tener</w:t>
            </w:r>
            <w:r w:rsidR="00251DE5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menos horas por semana que</w:t>
            </w:r>
            <w:r w:rsidR="00251DE5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las de PCA o de CCA, ya que las autorizaciones de HHA incluyen tiempo solo para </w:t>
            </w:r>
            <w:r w:rsidR="0047091A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las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ADL.</w:t>
            </w:r>
          </w:p>
          <w:p w14:paraId="09A95B0D" w14:textId="48FA5C3A" w:rsidR="00261D83" w:rsidRPr="00D3633F" w:rsidRDefault="00DD732E" w:rsidP="00D94775">
            <w:pPr>
              <w:spacing w:after="0" w:line="240" w:lineRule="auto"/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El servicio de PCA es el único que permite redondear tiempo para tareas nocturnas.</w:t>
            </w:r>
          </w:p>
          <w:p w14:paraId="064B29AF" w14:textId="70C56F32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El servicio de CCA está disponible solamente para los afiliados de M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ass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H</w:t>
            </w:r>
            <w:r w:rsidR="003E128F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ealth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que califiquen para recibir </w:t>
            </w:r>
            <w:r w:rsidR="00210EB3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servicios de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CSN.</w:t>
            </w:r>
          </w:p>
        </w:tc>
      </w:tr>
      <w:tr w:rsidR="00B06FA2" w:rsidRPr="00D3633F" w14:paraId="780DC002" w14:textId="77777777" w:rsidTr="00DD732E">
        <w:trPr>
          <w:trHeight w:val="3000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AD8"/>
            <w:hideMark/>
          </w:tcPr>
          <w:p w14:paraId="3A7EC7A4" w14:textId="6C89C878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141414"/>
                <w:kern w:val="0"/>
                <w:sz w:val="28"/>
                <w:szCs w:val="28"/>
                <w:lang w:val="es-419"/>
              </w:rPr>
              <w:t>Supervisión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A4B6" w14:textId="7CDC83B9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Los HHA son empleados de agencias de cuidados a domicilio y supervisados por profesionales de enfermería de la agencia; no pueden prestar servicios que requieran la opinión de un profesional de enfermería. Deben cumplir con los requisitos de capacitación de la agencia de cuidados a domicilio.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B48F" w14:textId="3287C469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141414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El programa de PCA está</w:t>
            </w:r>
            <w:r w:rsidR="008A65DB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dirigido por el consumidor,</w:t>
            </w:r>
            <w:r w:rsidR="008A65DB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o sea que el empleador es el afiliado. Los PCA</w:t>
            </w:r>
            <w:r w:rsidR="008A65DB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pueden</w:t>
            </w:r>
            <w:r w:rsidR="008A65DB"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color w:val="141414"/>
                <w:kern w:val="0"/>
                <w:sz w:val="22"/>
                <w:szCs w:val="22"/>
                <w:lang w:val="es-419"/>
              </w:rPr>
              <w:t>realizar las tareas según las indicaciones del consumidor.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8EA4" w14:textId="1D86B47B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Los CCA son empleados de una agencia de CSN y supervisados por un profesional de enfermería de la agencia. Deben </w:t>
            </w:r>
            <w:r w:rsidR="008A65DB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seguir</w:t>
            </w:r>
            <w:r w:rsidR="008A65DB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las normas y procedimientos de cada agencia de CSN y cumplir con los requisitos de capacitación o evaluación de aptitud de los HHA, así como también con los requisitos de capacitación o de aptitud para los servicios de cuidado óptimo de CCA.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0085E" w14:textId="05DB791E" w:rsidR="00D94775" w:rsidRPr="00D3633F" w:rsidRDefault="00DD732E" w:rsidP="005D507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Los HHA están mucho más</w:t>
            </w:r>
            <w:r w:rsidR="008A65DB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limitados en cuanto a las tareas</w:t>
            </w:r>
            <w:r w:rsidR="008A65DB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que pueden realizar. Los HHA y los CCA son empleados y supervisados por las agencias, mientras que a los PCA los emplea el consumidor.</w:t>
            </w:r>
          </w:p>
        </w:tc>
      </w:tr>
      <w:tr w:rsidR="00B06FA2" w:rsidRPr="00D3633F" w14:paraId="396E5695" w14:textId="77777777" w:rsidTr="00DD732E">
        <w:trPr>
          <w:trHeight w:val="2880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AD8"/>
            <w:hideMark/>
          </w:tcPr>
          <w:p w14:paraId="0FE78EA9" w14:textId="65D22687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b/>
                <w:bCs/>
                <w:color w:val="141414"/>
                <w:kern w:val="0"/>
                <w:sz w:val="28"/>
                <w:szCs w:val="28"/>
                <w:lang w:val="es-419"/>
              </w:rPr>
              <w:t>Elegibilidad de la familia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9A66" w14:textId="55C21586" w:rsidR="00D94775" w:rsidRPr="00D3633F" w:rsidRDefault="00DD732E" w:rsidP="00DD732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Los integrantes de la familia, incluidos el padre, la madre, el cónyuge o el tutor legal,</w:t>
            </w:r>
            <w:r w:rsidR="00B271A3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pueden proveer servicios de</w:t>
            </w:r>
            <w:r w:rsidR="00B271A3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 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HHA. Los afiliados también pueden trabajar con HHA que no estén relacionados con el afiliado o la familia.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0CF3" w14:textId="11C0A626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La ley federal no permite que el padre o la madre de un menor, un cónyuge o un tutor legal sean PCA. Otro integrante de la familia,</w:t>
            </w:r>
            <w:r w:rsidR="00B271A3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un amigo u otra persona pueden brindar servicios de PCA.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B492" w14:textId="531550A6" w:rsidR="00D94775" w:rsidRPr="00D3633F" w:rsidRDefault="00DD732E" w:rsidP="00D947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 xml:space="preserve">Los servicios de CCA pueden ser provistos por personas que una agencia de CSN contrate con ese </w:t>
            </w:r>
            <w:r w:rsidR="00B271A3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propósito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. Los CCA pueden ser integrantes de la familia, incluidos padres o madres, cónyuges y tutores legales. También pueden ser CCA quienes no sean integrantes de la familia, por ejemplo: amigos, vecinos u otras personas que no estén relacionadas con el afiliado de</w:t>
            </w:r>
            <w:r w:rsidR="00210EB3"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 </w:t>
            </w:r>
            <w:r w:rsidRPr="00D3633F">
              <w:rPr>
                <w:rFonts w:ascii="Aptos Narrow" w:eastAsia="Aptos Narrow" w:hAnsi="Aptos Narrow" w:cs="Times New Roman"/>
                <w:color w:val="000000"/>
                <w:kern w:val="0"/>
                <w:sz w:val="22"/>
                <w:szCs w:val="22"/>
                <w:lang w:val="es-419"/>
              </w:rPr>
              <w:t>CCM.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2D44" w14:textId="700F6CE0" w:rsidR="00D94775" w:rsidRPr="00D3633F" w:rsidRDefault="00DD732E" w:rsidP="00DD732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s-419"/>
              </w:rPr>
            </w:pP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El padre o la madre de un menor, </w:t>
            </w:r>
            <w:r w:rsidR="00A004C0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un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cónyuge o </w:t>
            </w:r>
            <w:r w:rsidR="00A004C0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un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tutor legal</w:t>
            </w:r>
            <w:r w:rsidR="00B271A3"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 xml:space="preserve"> </w:t>
            </w:r>
            <w:r w:rsidRPr="00D3633F">
              <w:rPr>
                <w:rFonts w:ascii="Aptos Narrow" w:eastAsia="Aptos Narrow" w:hAnsi="Aptos Narrow" w:cs="Times New Roman"/>
                <w:kern w:val="0"/>
                <w:sz w:val="22"/>
                <w:szCs w:val="22"/>
                <w:lang w:val="es-419"/>
              </w:rPr>
              <w:t>pueden ser HHA o CCA de un afiliado, pero no pueden ser PCA del afiliado.</w:t>
            </w:r>
          </w:p>
        </w:tc>
      </w:tr>
    </w:tbl>
    <w:p w14:paraId="58FC538A" w14:textId="77777777" w:rsidR="009C4737" w:rsidRPr="00D3633F" w:rsidRDefault="009C4737" w:rsidP="00D9477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val="es-419"/>
        </w:rPr>
      </w:pPr>
    </w:p>
    <w:sectPr w:rsidR="009C4737" w:rsidRPr="00D3633F" w:rsidSect="00D94775">
      <w:pgSz w:w="17280" w:h="259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75"/>
    <w:rsid w:val="000B673E"/>
    <w:rsid w:val="000E3BF8"/>
    <w:rsid w:val="00144219"/>
    <w:rsid w:val="00176CCB"/>
    <w:rsid w:val="001B6B30"/>
    <w:rsid w:val="00210EB3"/>
    <w:rsid w:val="00251DE5"/>
    <w:rsid w:val="00261D83"/>
    <w:rsid w:val="00354DAD"/>
    <w:rsid w:val="003E128F"/>
    <w:rsid w:val="004024D2"/>
    <w:rsid w:val="00433874"/>
    <w:rsid w:val="0047091A"/>
    <w:rsid w:val="004B3A88"/>
    <w:rsid w:val="005135CF"/>
    <w:rsid w:val="005D5071"/>
    <w:rsid w:val="0064298A"/>
    <w:rsid w:val="007C2C2E"/>
    <w:rsid w:val="00835B9E"/>
    <w:rsid w:val="008A65DB"/>
    <w:rsid w:val="009662D9"/>
    <w:rsid w:val="009674CA"/>
    <w:rsid w:val="00976000"/>
    <w:rsid w:val="009C4737"/>
    <w:rsid w:val="00A004C0"/>
    <w:rsid w:val="00A3273E"/>
    <w:rsid w:val="00A7107F"/>
    <w:rsid w:val="00A744A9"/>
    <w:rsid w:val="00AB707C"/>
    <w:rsid w:val="00AC2A98"/>
    <w:rsid w:val="00AC2F8E"/>
    <w:rsid w:val="00B06FA2"/>
    <w:rsid w:val="00B222BF"/>
    <w:rsid w:val="00B271A3"/>
    <w:rsid w:val="00C0052A"/>
    <w:rsid w:val="00C8410C"/>
    <w:rsid w:val="00CB5221"/>
    <w:rsid w:val="00CC4FC2"/>
    <w:rsid w:val="00D112EB"/>
    <w:rsid w:val="00D27896"/>
    <w:rsid w:val="00D355ED"/>
    <w:rsid w:val="00D3633F"/>
    <w:rsid w:val="00D84181"/>
    <w:rsid w:val="00D94775"/>
    <w:rsid w:val="00DD732E"/>
    <w:rsid w:val="00DF223D"/>
    <w:rsid w:val="00E02689"/>
    <w:rsid w:val="00EF1F80"/>
    <w:rsid w:val="00F067A0"/>
    <w:rsid w:val="00F153B2"/>
    <w:rsid w:val="00F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4973"/>
  <w15:docId w15:val="{99D7BF19-5709-495F-868B-04C8E8FE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FA2"/>
  </w:style>
  <w:style w:type="paragraph" w:styleId="Heading1">
    <w:name w:val="heading 1"/>
    <w:basedOn w:val="Normal"/>
    <w:next w:val="Normal"/>
    <w:link w:val="Heading1Char"/>
    <w:uiPriority w:val="9"/>
    <w:qFormat/>
    <w:rsid w:val="00D9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77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B6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0B2F8D-21D6-8C48-A328-6EBD8685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1106</Words>
  <Characters>5655</Characters>
  <Application>Microsoft Office Word</Application>
  <DocSecurity>0</DocSecurity>
  <Lines>297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Emma R</dc:creator>
  <cp:lastModifiedBy>Erika Schulz</cp:lastModifiedBy>
  <cp:revision>3</cp:revision>
  <cp:lastPrinted>2026-01-23T18:10:00Z</cp:lastPrinted>
  <dcterms:created xsi:type="dcterms:W3CDTF">2026-01-23T18:12:00Z</dcterms:created>
  <dcterms:modified xsi:type="dcterms:W3CDTF">2026-01-23T18:17:00Z</dcterms:modified>
</cp:coreProperties>
</file>