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B2448" w14:textId="77777777" w:rsidR="002825ED" w:rsidRPr="00885B12" w:rsidRDefault="00885B12" w:rsidP="00885B12">
      <w:pPr>
        <w:pStyle w:val="Heading1"/>
        <w:rPr>
          <w:color w:val="auto"/>
        </w:rPr>
      </w:pPr>
      <w:r w:rsidRPr="00885B12">
        <w:rPr>
          <w:rStyle w:val="TitleChar"/>
          <w:color w:val="auto"/>
        </w:rPr>
        <w:t>Personal Care Attendant (PCA) Program Enhancements</w:t>
      </w:r>
      <w:r w:rsidRPr="00885B12">
        <w:rPr>
          <w:color w:val="auto"/>
        </w:rPr>
        <w:t xml:space="preserve"> </w:t>
      </w:r>
      <w:r w:rsidRPr="00885B12">
        <w:rPr>
          <w:color w:val="auto"/>
        </w:rPr>
        <w:br/>
      </w:r>
      <w:bookmarkStart w:id="0" w:name="_GoBack"/>
      <w:bookmarkEnd w:id="0"/>
      <w:r w:rsidRPr="00885B12">
        <w:rPr>
          <w:color w:val="auto"/>
        </w:rPr>
        <w:t>Public Listening Session</w:t>
      </w:r>
    </w:p>
    <w:p w14:paraId="6F8B9DC5" w14:textId="77777777" w:rsidR="00885B12" w:rsidRPr="00885B12" w:rsidRDefault="00885B12" w:rsidP="00885B12">
      <w:pPr>
        <w:pStyle w:val="Heading1"/>
        <w:rPr>
          <w:color w:val="auto"/>
        </w:rPr>
      </w:pPr>
      <w:r w:rsidRPr="00885B12">
        <w:rPr>
          <w:color w:val="auto"/>
        </w:rPr>
        <w:t>Executive Office of Health and Human Services</w:t>
      </w:r>
    </w:p>
    <w:p w14:paraId="5A307092" w14:textId="36859817" w:rsidR="005270FA" w:rsidRPr="005270FA" w:rsidRDefault="00D92419" w:rsidP="005270FA">
      <w:pPr>
        <w:pStyle w:val="Heading1"/>
        <w:rPr>
          <w:color w:val="auto"/>
        </w:rPr>
      </w:pPr>
      <w:r>
        <w:rPr>
          <w:color w:val="auto"/>
        </w:rPr>
        <w:t>July 24</w:t>
      </w:r>
      <w:r w:rsidR="00885B12" w:rsidRPr="00885B12">
        <w:rPr>
          <w:color w:val="auto"/>
        </w:rPr>
        <w:t>, 2019</w:t>
      </w:r>
      <w:r w:rsidR="005270FA">
        <w:br w:type="page"/>
      </w:r>
    </w:p>
    <w:p w14:paraId="0F5B815C" w14:textId="77777777" w:rsidR="00885B12" w:rsidRPr="00885B12" w:rsidRDefault="00885B12" w:rsidP="00885B12">
      <w:pPr>
        <w:pStyle w:val="Heading2"/>
        <w:rPr>
          <w:color w:val="auto"/>
          <w:u w:val="single"/>
        </w:rPr>
      </w:pPr>
      <w:r w:rsidRPr="00885B12">
        <w:rPr>
          <w:color w:val="auto"/>
          <w:u w:val="single"/>
        </w:rPr>
        <w:lastRenderedPageBreak/>
        <w:t>Slide 1:</w:t>
      </w:r>
    </w:p>
    <w:p w14:paraId="447E649D" w14:textId="77777777" w:rsidR="00885B12" w:rsidRPr="00885B12" w:rsidRDefault="00885B12" w:rsidP="00885B12">
      <w:pPr>
        <w:pStyle w:val="Heading2"/>
        <w:rPr>
          <w:color w:val="auto"/>
        </w:rPr>
      </w:pPr>
      <w:r w:rsidRPr="00885B12">
        <w:rPr>
          <w:color w:val="auto"/>
        </w:rPr>
        <w:t>Personal Care Attendant (PCA) Program Enhancements</w:t>
      </w:r>
    </w:p>
    <w:p w14:paraId="3FE6ABBC" w14:textId="77777777" w:rsidR="00885B12" w:rsidRPr="00885B12" w:rsidRDefault="00885B12" w:rsidP="00885B12">
      <w:pPr>
        <w:pStyle w:val="Heading2"/>
        <w:rPr>
          <w:color w:val="auto"/>
        </w:rPr>
      </w:pPr>
      <w:r w:rsidRPr="00885B12">
        <w:rPr>
          <w:color w:val="auto"/>
        </w:rPr>
        <w:t>Today’s Agenda</w:t>
      </w:r>
    </w:p>
    <w:p w14:paraId="0F5716D4" w14:textId="77777777" w:rsidR="00885B12" w:rsidRPr="00885B12" w:rsidRDefault="00885B12" w:rsidP="00885B12">
      <w:pPr>
        <w:pStyle w:val="ListParagraph"/>
        <w:numPr>
          <w:ilvl w:val="0"/>
          <w:numId w:val="1"/>
        </w:numPr>
        <w:rPr>
          <w:sz w:val="21"/>
          <w:szCs w:val="21"/>
        </w:rPr>
      </w:pPr>
      <w:r w:rsidRPr="00885B12">
        <w:rPr>
          <w:sz w:val="21"/>
          <w:szCs w:val="21"/>
        </w:rPr>
        <w:t>Personal Care Attendant (PCA) Program History</w:t>
      </w:r>
    </w:p>
    <w:p w14:paraId="1B137A17" w14:textId="77777777" w:rsidR="00885B12" w:rsidRPr="00885B12" w:rsidRDefault="00885B12" w:rsidP="00885B12">
      <w:pPr>
        <w:pStyle w:val="ListParagraph"/>
        <w:numPr>
          <w:ilvl w:val="0"/>
          <w:numId w:val="1"/>
        </w:numPr>
        <w:rPr>
          <w:sz w:val="21"/>
          <w:szCs w:val="21"/>
        </w:rPr>
      </w:pPr>
      <w:r w:rsidRPr="00885B12">
        <w:rPr>
          <w:sz w:val="21"/>
          <w:szCs w:val="21"/>
        </w:rPr>
        <w:t>Challenges Identified with Current PCA Program</w:t>
      </w:r>
    </w:p>
    <w:p w14:paraId="553F8B3D" w14:textId="77777777" w:rsidR="00885B12" w:rsidRPr="00885B12" w:rsidRDefault="00885B12" w:rsidP="00885B12">
      <w:pPr>
        <w:pStyle w:val="ListParagraph"/>
        <w:numPr>
          <w:ilvl w:val="0"/>
          <w:numId w:val="1"/>
        </w:numPr>
        <w:rPr>
          <w:sz w:val="21"/>
          <w:szCs w:val="21"/>
        </w:rPr>
      </w:pPr>
      <w:r w:rsidRPr="00885B12">
        <w:rPr>
          <w:sz w:val="21"/>
          <w:szCs w:val="21"/>
        </w:rPr>
        <w:t>Intent of Public Listening Sessions</w:t>
      </w:r>
    </w:p>
    <w:p w14:paraId="01CD768F" w14:textId="77777777" w:rsidR="00885B12" w:rsidRPr="00885B12" w:rsidRDefault="00885B12" w:rsidP="00885B12">
      <w:pPr>
        <w:pStyle w:val="ListParagraph"/>
        <w:numPr>
          <w:ilvl w:val="0"/>
          <w:numId w:val="1"/>
        </w:numPr>
        <w:rPr>
          <w:sz w:val="21"/>
          <w:szCs w:val="21"/>
        </w:rPr>
      </w:pPr>
      <w:r w:rsidRPr="00885B12">
        <w:rPr>
          <w:sz w:val="21"/>
          <w:szCs w:val="21"/>
        </w:rPr>
        <w:t>Comment Period</w:t>
      </w:r>
    </w:p>
    <w:p w14:paraId="424A05CB" w14:textId="77777777" w:rsidR="00885B12" w:rsidRDefault="00885B12" w:rsidP="00885B12">
      <w:pPr>
        <w:pStyle w:val="ListParagraph"/>
        <w:numPr>
          <w:ilvl w:val="0"/>
          <w:numId w:val="1"/>
        </w:numPr>
        <w:rPr>
          <w:sz w:val="21"/>
          <w:szCs w:val="21"/>
        </w:rPr>
      </w:pPr>
      <w:r w:rsidRPr="00885B12">
        <w:rPr>
          <w:sz w:val="21"/>
          <w:szCs w:val="21"/>
        </w:rPr>
        <w:t>Future Listening Sessions</w:t>
      </w:r>
    </w:p>
    <w:p w14:paraId="2CCD1F48" w14:textId="77777777" w:rsidR="00885B12" w:rsidRPr="00885B12" w:rsidRDefault="00885B12" w:rsidP="00885B12">
      <w:pPr>
        <w:pStyle w:val="ListParagraph"/>
        <w:rPr>
          <w:sz w:val="21"/>
          <w:szCs w:val="21"/>
        </w:rPr>
      </w:pPr>
    </w:p>
    <w:p w14:paraId="5435D22A" w14:textId="77777777" w:rsidR="00885B12" w:rsidRPr="00885B12" w:rsidRDefault="00885B12" w:rsidP="00885B12">
      <w:pPr>
        <w:pStyle w:val="Heading2"/>
        <w:rPr>
          <w:color w:val="auto"/>
          <w:u w:val="single"/>
        </w:rPr>
      </w:pPr>
      <w:r w:rsidRPr="00885B12">
        <w:rPr>
          <w:color w:val="auto"/>
          <w:u w:val="single"/>
        </w:rPr>
        <w:t xml:space="preserve">Slide 2: </w:t>
      </w:r>
    </w:p>
    <w:p w14:paraId="2FCC7A43" w14:textId="77777777" w:rsidR="00885B12" w:rsidRDefault="00885B12" w:rsidP="00885B12">
      <w:pPr>
        <w:pStyle w:val="Heading2"/>
        <w:rPr>
          <w:color w:val="auto"/>
        </w:rPr>
      </w:pPr>
      <w:r w:rsidRPr="00885B12">
        <w:rPr>
          <w:color w:val="auto"/>
        </w:rPr>
        <w:t>PCA Program History</w:t>
      </w:r>
    </w:p>
    <w:p w14:paraId="527B307C" w14:textId="77777777" w:rsidR="00885B12" w:rsidRPr="00885B12" w:rsidRDefault="00885B12" w:rsidP="00885B12">
      <w:pPr>
        <w:pStyle w:val="NoSpacing"/>
      </w:pPr>
    </w:p>
    <w:p w14:paraId="5AFFDE36" w14:textId="77777777" w:rsidR="00885B12" w:rsidRPr="00885B12" w:rsidRDefault="00885B12" w:rsidP="00885B12">
      <w:pPr>
        <w:rPr>
          <w:sz w:val="21"/>
          <w:szCs w:val="21"/>
        </w:rPr>
      </w:pPr>
      <w:r w:rsidRPr="00885B12">
        <w:rPr>
          <w:sz w:val="21"/>
          <w:szCs w:val="21"/>
        </w:rPr>
        <w:t xml:space="preserve">The MassHealth PCA Program has been an extremely successful consumer directed program enabling ever-increasing numbers of individuals to direct and manage their own services.  </w:t>
      </w:r>
    </w:p>
    <w:p w14:paraId="24FC9D4D" w14:textId="77777777" w:rsidR="00885B12" w:rsidRPr="005270FA" w:rsidRDefault="00885B12" w:rsidP="00885B12">
      <w:pPr>
        <w:rPr>
          <w:b/>
        </w:rPr>
      </w:pPr>
      <w:r w:rsidRPr="005270FA">
        <w:rPr>
          <w:b/>
          <w:noProof/>
        </w:rPr>
        <w:drawing>
          <wp:inline distT="0" distB="0" distL="0" distR="0" wp14:anchorId="7EB0D47E" wp14:editId="60D4E167">
            <wp:extent cx="4746929" cy="2991612"/>
            <wp:effectExtent l="0" t="0" r="0" b="0"/>
            <wp:docPr id="1" name="Picture 1" descr="Chart indicates growth of consumers in PCA program, starting with 5,000 in the year 2000 to approximately 35,000 today." title="Consumers in PCA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9793" cy="2993417"/>
                    </a:xfrm>
                    <a:prstGeom prst="rect">
                      <a:avLst/>
                    </a:prstGeom>
                    <a:noFill/>
                  </pic:spPr>
                </pic:pic>
              </a:graphicData>
            </a:graphic>
          </wp:inline>
        </w:drawing>
      </w:r>
    </w:p>
    <w:p w14:paraId="0A2B6B18" w14:textId="77777777" w:rsidR="005270FA" w:rsidRDefault="005270FA">
      <w:pPr>
        <w:rPr>
          <w:rFonts w:asciiTheme="majorHAnsi" w:eastAsiaTheme="majorEastAsia" w:hAnsiTheme="majorHAnsi" w:cstheme="majorBidi"/>
          <w:b/>
          <w:bCs/>
          <w:sz w:val="26"/>
          <w:szCs w:val="26"/>
          <w:u w:val="single"/>
        </w:rPr>
      </w:pPr>
      <w:r>
        <w:rPr>
          <w:u w:val="single"/>
        </w:rPr>
        <w:br w:type="page"/>
      </w:r>
    </w:p>
    <w:p w14:paraId="3EB81C36" w14:textId="77777777" w:rsidR="00885B12" w:rsidRPr="00885B12" w:rsidRDefault="00885B12" w:rsidP="00885B12">
      <w:pPr>
        <w:pStyle w:val="Heading2"/>
        <w:rPr>
          <w:color w:val="auto"/>
          <w:u w:val="single"/>
        </w:rPr>
      </w:pPr>
      <w:r w:rsidRPr="00885B12">
        <w:rPr>
          <w:color w:val="auto"/>
          <w:u w:val="single"/>
        </w:rPr>
        <w:t xml:space="preserve">Slide 3: </w:t>
      </w:r>
    </w:p>
    <w:p w14:paraId="381F08B4" w14:textId="77777777" w:rsidR="00885B12" w:rsidRDefault="00885B12" w:rsidP="00885B12">
      <w:pPr>
        <w:pStyle w:val="Heading2"/>
        <w:rPr>
          <w:color w:val="auto"/>
        </w:rPr>
      </w:pPr>
      <w:r w:rsidRPr="00885B12">
        <w:rPr>
          <w:color w:val="auto"/>
        </w:rPr>
        <w:t>PCA Program History</w:t>
      </w:r>
    </w:p>
    <w:p w14:paraId="199DA700" w14:textId="77777777" w:rsidR="00885B12" w:rsidRPr="00885B12" w:rsidRDefault="00885B12" w:rsidP="00885B12">
      <w:pPr>
        <w:pStyle w:val="NoSpacing"/>
      </w:pPr>
    </w:p>
    <w:p w14:paraId="501C7B06" w14:textId="77777777" w:rsidR="004A6D5E" w:rsidRPr="00885B12" w:rsidRDefault="00067599" w:rsidP="00885B12">
      <w:pPr>
        <w:numPr>
          <w:ilvl w:val="0"/>
          <w:numId w:val="3"/>
        </w:numPr>
        <w:rPr>
          <w:sz w:val="21"/>
          <w:szCs w:val="21"/>
        </w:rPr>
      </w:pPr>
      <w:r w:rsidRPr="00885B12">
        <w:rPr>
          <w:sz w:val="21"/>
          <w:szCs w:val="21"/>
        </w:rPr>
        <w:t xml:space="preserve">The MassHealth PCA Program has been in place for more than four decades and there have been </w:t>
      </w:r>
      <w:r w:rsidRPr="00885B12">
        <w:rPr>
          <w:b/>
          <w:bCs/>
          <w:sz w:val="21"/>
          <w:szCs w:val="21"/>
        </w:rPr>
        <w:t>significant shifts in the population it serves</w:t>
      </w:r>
      <w:r w:rsidRPr="00885B12">
        <w:rPr>
          <w:sz w:val="21"/>
          <w:szCs w:val="21"/>
        </w:rPr>
        <w:t xml:space="preserve"> over that time.</w:t>
      </w:r>
      <w:r w:rsidRPr="00885B12">
        <w:rPr>
          <w:b/>
          <w:bCs/>
          <w:sz w:val="21"/>
          <w:szCs w:val="21"/>
        </w:rPr>
        <w:t xml:space="preserve"> </w:t>
      </w:r>
    </w:p>
    <w:p w14:paraId="6FA86EB7" w14:textId="77777777" w:rsidR="004A6D5E" w:rsidRPr="00885B12" w:rsidRDefault="00067599" w:rsidP="00885B12">
      <w:pPr>
        <w:numPr>
          <w:ilvl w:val="0"/>
          <w:numId w:val="3"/>
        </w:numPr>
        <w:rPr>
          <w:sz w:val="21"/>
          <w:szCs w:val="21"/>
        </w:rPr>
      </w:pPr>
      <w:r w:rsidRPr="00885B12">
        <w:rPr>
          <w:sz w:val="21"/>
          <w:szCs w:val="21"/>
        </w:rPr>
        <w:t xml:space="preserve">The average consumer in the PCA program has gotten older.  </w:t>
      </w:r>
    </w:p>
    <w:p w14:paraId="2BAC6502" w14:textId="77777777" w:rsidR="004A6D5E" w:rsidRPr="00885B12" w:rsidRDefault="00067599" w:rsidP="00885B12">
      <w:pPr>
        <w:numPr>
          <w:ilvl w:val="0"/>
          <w:numId w:val="3"/>
        </w:numPr>
        <w:rPr>
          <w:sz w:val="21"/>
          <w:szCs w:val="21"/>
        </w:rPr>
      </w:pPr>
      <w:r w:rsidRPr="00885B12">
        <w:rPr>
          <w:sz w:val="21"/>
          <w:szCs w:val="21"/>
        </w:rPr>
        <w:t xml:space="preserve">The </w:t>
      </w:r>
      <w:r w:rsidRPr="00885B12">
        <w:rPr>
          <w:b/>
          <w:bCs/>
          <w:sz w:val="21"/>
          <w:szCs w:val="21"/>
        </w:rPr>
        <w:t>needs of PCA consumers have become increasingly diverse</w:t>
      </w:r>
      <w:r w:rsidRPr="00885B12">
        <w:rPr>
          <w:sz w:val="21"/>
          <w:szCs w:val="21"/>
        </w:rPr>
        <w:t>, with a variety of populations accessing services. These include:</w:t>
      </w:r>
    </w:p>
    <w:p w14:paraId="0FABC164" w14:textId="77777777" w:rsidR="004A6D5E" w:rsidRPr="00885B12" w:rsidRDefault="00067599" w:rsidP="00885B12">
      <w:pPr>
        <w:numPr>
          <w:ilvl w:val="1"/>
          <w:numId w:val="3"/>
        </w:numPr>
        <w:rPr>
          <w:sz w:val="21"/>
          <w:szCs w:val="21"/>
        </w:rPr>
      </w:pPr>
      <w:r w:rsidRPr="00885B12">
        <w:rPr>
          <w:sz w:val="21"/>
          <w:szCs w:val="21"/>
        </w:rPr>
        <w:t>individuals with intellectual or developmental disabilities;</w:t>
      </w:r>
    </w:p>
    <w:p w14:paraId="4B26CDA1" w14:textId="77777777" w:rsidR="004A6D5E" w:rsidRPr="00885B12" w:rsidRDefault="00067599" w:rsidP="00885B12">
      <w:pPr>
        <w:numPr>
          <w:ilvl w:val="1"/>
          <w:numId w:val="3"/>
        </w:numPr>
        <w:rPr>
          <w:sz w:val="21"/>
          <w:szCs w:val="21"/>
        </w:rPr>
      </w:pPr>
      <w:r w:rsidRPr="00885B12">
        <w:rPr>
          <w:sz w:val="21"/>
          <w:szCs w:val="21"/>
        </w:rPr>
        <w:t xml:space="preserve">individuals under 65 with physical disabilities; and </w:t>
      </w:r>
    </w:p>
    <w:p w14:paraId="2AAB6B16" w14:textId="77777777" w:rsidR="004A6D5E" w:rsidRPr="00885B12" w:rsidRDefault="00067599" w:rsidP="00885B12">
      <w:pPr>
        <w:numPr>
          <w:ilvl w:val="1"/>
          <w:numId w:val="3"/>
        </w:numPr>
        <w:rPr>
          <w:sz w:val="21"/>
          <w:szCs w:val="21"/>
        </w:rPr>
      </w:pPr>
      <w:r w:rsidRPr="00885B12">
        <w:rPr>
          <w:sz w:val="21"/>
          <w:szCs w:val="21"/>
        </w:rPr>
        <w:t>individuals over 65.</w:t>
      </w:r>
    </w:p>
    <w:p w14:paraId="0D37FD6B" w14:textId="77777777" w:rsidR="00885B12" w:rsidRPr="00885B12" w:rsidRDefault="00885B12" w:rsidP="00885B12">
      <w:pPr>
        <w:pStyle w:val="Heading2"/>
        <w:rPr>
          <w:color w:val="auto"/>
          <w:u w:val="single"/>
        </w:rPr>
      </w:pPr>
      <w:r w:rsidRPr="00885B12">
        <w:rPr>
          <w:color w:val="auto"/>
          <w:u w:val="single"/>
        </w:rPr>
        <w:t xml:space="preserve">Slide 4: </w:t>
      </w:r>
    </w:p>
    <w:p w14:paraId="38019DDB" w14:textId="77777777" w:rsidR="00885B12" w:rsidRDefault="00885B12" w:rsidP="00885B12">
      <w:pPr>
        <w:pStyle w:val="Heading2"/>
        <w:rPr>
          <w:color w:val="auto"/>
        </w:rPr>
      </w:pPr>
      <w:r w:rsidRPr="00885B12">
        <w:rPr>
          <w:color w:val="auto"/>
        </w:rPr>
        <w:t>Current PCA Program Focus Areas</w:t>
      </w:r>
    </w:p>
    <w:p w14:paraId="3111A5F0" w14:textId="77777777" w:rsidR="00885B12" w:rsidRPr="00885B12" w:rsidRDefault="00885B12" w:rsidP="00885B12">
      <w:pPr>
        <w:pStyle w:val="NoSpacing"/>
      </w:pPr>
    </w:p>
    <w:p w14:paraId="0D17B7B1" w14:textId="77777777" w:rsidR="00885B12" w:rsidRPr="00885B12" w:rsidRDefault="00885B12" w:rsidP="00885B12">
      <w:pPr>
        <w:rPr>
          <w:sz w:val="21"/>
          <w:szCs w:val="21"/>
        </w:rPr>
      </w:pPr>
      <w:r w:rsidRPr="00885B12">
        <w:rPr>
          <w:sz w:val="21"/>
          <w:szCs w:val="21"/>
        </w:rPr>
        <w:t xml:space="preserve">Through earlier public listening sessions and stakeholder engagement initiatives, MassHealth has recognized that </w:t>
      </w:r>
      <w:r w:rsidRPr="00885B12">
        <w:rPr>
          <w:b/>
          <w:bCs/>
          <w:sz w:val="21"/>
          <w:szCs w:val="21"/>
        </w:rPr>
        <w:t xml:space="preserve">the current one-size-fits-all structure of the state plan PCA program needs to adapt </w:t>
      </w:r>
      <w:r w:rsidRPr="00885B12">
        <w:rPr>
          <w:sz w:val="21"/>
          <w:szCs w:val="21"/>
        </w:rPr>
        <w:t xml:space="preserve">to address flexibilities and supports requested by consumers. </w:t>
      </w:r>
    </w:p>
    <w:p w14:paraId="61EEAA0F" w14:textId="77777777" w:rsidR="00885B12" w:rsidRPr="00885B12" w:rsidRDefault="00885B12" w:rsidP="00885B12">
      <w:pPr>
        <w:rPr>
          <w:sz w:val="21"/>
          <w:szCs w:val="21"/>
        </w:rPr>
      </w:pPr>
      <w:r w:rsidRPr="00885B12">
        <w:rPr>
          <w:sz w:val="21"/>
          <w:szCs w:val="21"/>
        </w:rPr>
        <w:t>The key focus areas identified through stakeholder engagement initiatives include:</w:t>
      </w:r>
    </w:p>
    <w:p w14:paraId="1BFEFA76" w14:textId="77777777" w:rsidR="004A6D5E" w:rsidRPr="00885B12" w:rsidRDefault="00067599" w:rsidP="00885B12">
      <w:pPr>
        <w:numPr>
          <w:ilvl w:val="1"/>
          <w:numId w:val="4"/>
        </w:numPr>
        <w:rPr>
          <w:sz w:val="21"/>
          <w:szCs w:val="21"/>
        </w:rPr>
      </w:pPr>
      <w:r w:rsidRPr="00885B12">
        <w:rPr>
          <w:sz w:val="21"/>
          <w:szCs w:val="21"/>
        </w:rPr>
        <w:t xml:space="preserve">Some </w:t>
      </w:r>
      <w:r w:rsidRPr="00885B12">
        <w:rPr>
          <w:b/>
          <w:bCs/>
          <w:sz w:val="21"/>
          <w:szCs w:val="21"/>
        </w:rPr>
        <w:t xml:space="preserve">consumers seek greater control </w:t>
      </w:r>
      <w:r w:rsidRPr="00885B12">
        <w:rPr>
          <w:sz w:val="21"/>
          <w:szCs w:val="21"/>
        </w:rPr>
        <w:t>in managing their PCA services</w:t>
      </w:r>
    </w:p>
    <w:p w14:paraId="1FDB41C2" w14:textId="77777777" w:rsidR="004A6D5E" w:rsidRPr="00885B12" w:rsidRDefault="00067599" w:rsidP="00885B12">
      <w:pPr>
        <w:numPr>
          <w:ilvl w:val="1"/>
          <w:numId w:val="4"/>
        </w:numPr>
        <w:rPr>
          <w:sz w:val="21"/>
          <w:szCs w:val="21"/>
        </w:rPr>
      </w:pPr>
      <w:r w:rsidRPr="00885B12">
        <w:rPr>
          <w:sz w:val="21"/>
          <w:szCs w:val="21"/>
        </w:rPr>
        <w:t xml:space="preserve">Some </w:t>
      </w:r>
      <w:r w:rsidRPr="00885B12">
        <w:rPr>
          <w:b/>
          <w:bCs/>
          <w:sz w:val="21"/>
          <w:szCs w:val="21"/>
        </w:rPr>
        <w:t xml:space="preserve">consumers seek greater support </w:t>
      </w:r>
      <w:r w:rsidRPr="00885B12">
        <w:rPr>
          <w:sz w:val="21"/>
          <w:szCs w:val="21"/>
        </w:rPr>
        <w:t>for their PCA services</w:t>
      </w:r>
    </w:p>
    <w:p w14:paraId="39766E7E" w14:textId="77777777" w:rsidR="004A6D5E" w:rsidRPr="00885B12" w:rsidRDefault="00067599" w:rsidP="00885B12">
      <w:pPr>
        <w:numPr>
          <w:ilvl w:val="1"/>
          <w:numId w:val="4"/>
        </w:numPr>
        <w:rPr>
          <w:sz w:val="21"/>
          <w:szCs w:val="21"/>
        </w:rPr>
      </w:pPr>
      <w:r w:rsidRPr="00885B12">
        <w:rPr>
          <w:b/>
          <w:bCs/>
          <w:sz w:val="21"/>
          <w:szCs w:val="21"/>
        </w:rPr>
        <w:t>PCA employment</w:t>
      </w:r>
      <w:r w:rsidRPr="00885B12">
        <w:rPr>
          <w:sz w:val="21"/>
          <w:szCs w:val="21"/>
        </w:rPr>
        <w:t>, including recruitment and retention and scheduling</w:t>
      </w:r>
    </w:p>
    <w:p w14:paraId="0F79A866" w14:textId="77777777" w:rsidR="004A6D5E" w:rsidRPr="00885B12" w:rsidRDefault="00067599" w:rsidP="00885B12">
      <w:pPr>
        <w:numPr>
          <w:ilvl w:val="1"/>
          <w:numId w:val="4"/>
        </w:numPr>
        <w:rPr>
          <w:sz w:val="21"/>
          <w:szCs w:val="21"/>
        </w:rPr>
      </w:pPr>
      <w:r w:rsidRPr="00885B12">
        <w:rPr>
          <w:sz w:val="21"/>
          <w:szCs w:val="21"/>
        </w:rPr>
        <w:t xml:space="preserve">Role and the high use of </w:t>
      </w:r>
      <w:r w:rsidRPr="00885B12">
        <w:rPr>
          <w:b/>
          <w:bCs/>
          <w:sz w:val="21"/>
          <w:szCs w:val="21"/>
        </w:rPr>
        <w:t>surrogates</w:t>
      </w:r>
    </w:p>
    <w:p w14:paraId="493E159D" w14:textId="77777777" w:rsidR="004A6D5E" w:rsidRPr="00885B12" w:rsidRDefault="00067599" w:rsidP="00885B12">
      <w:pPr>
        <w:numPr>
          <w:ilvl w:val="1"/>
          <w:numId w:val="4"/>
        </w:numPr>
        <w:rPr>
          <w:sz w:val="21"/>
          <w:szCs w:val="21"/>
        </w:rPr>
      </w:pPr>
      <w:r w:rsidRPr="00885B12">
        <w:rPr>
          <w:sz w:val="21"/>
          <w:szCs w:val="21"/>
        </w:rPr>
        <w:t xml:space="preserve">Implementing </w:t>
      </w:r>
      <w:r w:rsidRPr="00885B12">
        <w:rPr>
          <w:b/>
          <w:bCs/>
          <w:sz w:val="21"/>
          <w:szCs w:val="21"/>
        </w:rPr>
        <w:t xml:space="preserve">Electronic Visit Verification (EVV) </w:t>
      </w:r>
      <w:r w:rsidRPr="00885B12">
        <w:rPr>
          <w:sz w:val="21"/>
          <w:szCs w:val="21"/>
        </w:rPr>
        <w:t>in a way that meets federal requirements and preserves consumer independence and choice</w:t>
      </w:r>
    </w:p>
    <w:p w14:paraId="6DD00997" w14:textId="77777777" w:rsidR="005270FA" w:rsidRPr="005270FA" w:rsidRDefault="00067599" w:rsidP="005270FA">
      <w:pPr>
        <w:numPr>
          <w:ilvl w:val="1"/>
          <w:numId w:val="4"/>
        </w:numPr>
        <w:rPr>
          <w:sz w:val="21"/>
          <w:szCs w:val="21"/>
        </w:rPr>
      </w:pPr>
      <w:r w:rsidRPr="00885B12">
        <w:rPr>
          <w:sz w:val="21"/>
          <w:szCs w:val="21"/>
        </w:rPr>
        <w:t xml:space="preserve">Role and key functions of </w:t>
      </w:r>
      <w:r w:rsidRPr="00885B12">
        <w:rPr>
          <w:b/>
          <w:bCs/>
          <w:sz w:val="21"/>
          <w:szCs w:val="21"/>
        </w:rPr>
        <w:t>PCMs and FIs</w:t>
      </w:r>
      <w:r w:rsidR="005270FA">
        <w:br w:type="page"/>
      </w:r>
    </w:p>
    <w:p w14:paraId="610CD2B9" w14:textId="77777777" w:rsidR="00885B12" w:rsidRPr="00885B12" w:rsidRDefault="00885B12" w:rsidP="00885B12">
      <w:pPr>
        <w:pStyle w:val="Heading2"/>
        <w:rPr>
          <w:color w:val="auto"/>
        </w:rPr>
      </w:pPr>
      <w:r w:rsidRPr="00885B12">
        <w:rPr>
          <w:color w:val="auto"/>
        </w:rPr>
        <w:t xml:space="preserve">Slide 6: </w:t>
      </w:r>
    </w:p>
    <w:p w14:paraId="43FD0090" w14:textId="77777777" w:rsidR="00885B12" w:rsidRPr="00885B12" w:rsidRDefault="00885B12" w:rsidP="00885B12">
      <w:pPr>
        <w:pStyle w:val="Heading2"/>
        <w:rPr>
          <w:color w:val="auto"/>
        </w:rPr>
      </w:pPr>
      <w:r w:rsidRPr="00885B12">
        <w:rPr>
          <w:color w:val="auto"/>
        </w:rPr>
        <w:t>Process for Addressing PCA Program Challenges</w:t>
      </w:r>
    </w:p>
    <w:p w14:paraId="5C0B69BB" w14:textId="77777777" w:rsidR="00885B12" w:rsidRDefault="00885B12" w:rsidP="00885B12">
      <w:pPr>
        <w:pStyle w:val="NoSpacing"/>
      </w:pPr>
    </w:p>
    <w:p w14:paraId="3CE40778" w14:textId="77777777" w:rsidR="00885B12" w:rsidRDefault="00885B12" w:rsidP="00885B12">
      <w:r>
        <w:rPr>
          <w:noProof/>
        </w:rPr>
        <w:drawing>
          <wp:inline distT="0" distB="0" distL="0" distR="0" wp14:anchorId="61D82187" wp14:editId="3B8B3493">
            <wp:extent cx="5943600" cy="3981450"/>
            <wp:effectExtent l="19050" t="0" r="38100" b="0"/>
            <wp:docPr id="2" name="Diagram 2" descr="Addressing PCA program challenges is a multi-stage process including identifying program challenges, soliciting input on solutions, and addressing the input received." title="Process for Addressing PCA Program Challeng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2FF6CF3" w14:textId="77777777" w:rsidR="005270FA" w:rsidRDefault="005270FA">
      <w:pPr>
        <w:rPr>
          <w:rFonts w:asciiTheme="majorHAnsi" w:eastAsiaTheme="majorEastAsia" w:hAnsiTheme="majorHAnsi" w:cstheme="majorBidi"/>
          <w:b/>
          <w:bCs/>
          <w:sz w:val="26"/>
          <w:szCs w:val="26"/>
          <w:u w:val="single"/>
        </w:rPr>
      </w:pPr>
      <w:r>
        <w:rPr>
          <w:u w:val="single"/>
        </w:rPr>
        <w:br w:type="page"/>
      </w:r>
    </w:p>
    <w:p w14:paraId="6C035E65" w14:textId="77777777" w:rsidR="00885B12" w:rsidRPr="00067599" w:rsidRDefault="00885B12" w:rsidP="00067599">
      <w:pPr>
        <w:pStyle w:val="Heading2"/>
        <w:rPr>
          <w:color w:val="auto"/>
          <w:u w:val="single"/>
        </w:rPr>
      </w:pPr>
      <w:r w:rsidRPr="00067599">
        <w:rPr>
          <w:color w:val="auto"/>
          <w:u w:val="single"/>
        </w:rPr>
        <w:t>Slide 7:</w:t>
      </w:r>
    </w:p>
    <w:p w14:paraId="58494AC4" w14:textId="77777777" w:rsidR="00885B12" w:rsidRDefault="00885B12" w:rsidP="00885B12">
      <w:pPr>
        <w:pStyle w:val="Heading2"/>
        <w:rPr>
          <w:color w:val="auto"/>
        </w:rPr>
      </w:pPr>
      <w:r w:rsidRPr="00885B12">
        <w:rPr>
          <w:color w:val="auto"/>
        </w:rPr>
        <w:t>Public Listening Sessions</w:t>
      </w:r>
    </w:p>
    <w:p w14:paraId="0EC627A2" w14:textId="77777777" w:rsidR="00885B12" w:rsidRPr="00885B12" w:rsidRDefault="00885B12" w:rsidP="00885B12">
      <w:pPr>
        <w:pStyle w:val="NoSpacing"/>
      </w:pPr>
    </w:p>
    <w:p w14:paraId="62EB30F0" w14:textId="77777777" w:rsidR="004A6D5E" w:rsidRPr="00885B12" w:rsidRDefault="00067599" w:rsidP="00885B12">
      <w:pPr>
        <w:numPr>
          <w:ilvl w:val="0"/>
          <w:numId w:val="5"/>
        </w:numPr>
      </w:pPr>
      <w:r w:rsidRPr="00885B12">
        <w:t>The purpose of the public listening sessions is for MassHealth’s Office of Long-Term Services and Supports (OLTSS) to listen and gather input from PCA Program stakeholders on key focus areas within the PCA Program.</w:t>
      </w:r>
    </w:p>
    <w:p w14:paraId="73C16524" w14:textId="77777777" w:rsidR="004A6D5E" w:rsidRPr="00885B12" w:rsidRDefault="00067599" w:rsidP="00885B12">
      <w:pPr>
        <w:numPr>
          <w:ilvl w:val="0"/>
          <w:numId w:val="5"/>
        </w:numPr>
      </w:pPr>
      <w:r w:rsidRPr="00885B12">
        <w:t>As part of our regular operational activities, OLTSS will make changes to improve the PCA program; however, these listening sessions will provide OLTSS with valuable information for longer-term program enhancements.</w:t>
      </w:r>
    </w:p>
    <w:p w14:paraId="5D51FCE1" w14:textId="77777777" w:rsidR="004A6D5E" w:rsidRPr="00885B12" w:rsidRDefault="00067599" w:rsidP="00885B12">
      <w:pPr>
        <w:numPr>
          <w:ilvl w:val="1"/>
          <w:numId w:val="5"/>
        </w:numPr>
      </w:pPr>
      <w:r w:rsidRPr="00885B12">
        <w:t>Public Listening Session are open to stakeholders and will allow an opportunity to provide comments about elements of the PCA Program.</w:t>
      </w:r>
    </w:p>
    <w:p w14:paraId="2D5F25AC" w14:textId="77777777" w:rsidR="004A6D5E" w:rsidRPr="00885B12" w:rsidRDefault="00067599" w:rsidP="00885B12">
      <w:pPr>
        <w:numPr>
          <w:ilvl w:val="1"/>
          <w:numId w:val="5"/>
        </w:numPr>
      </w:pPr>
      <w:r w:rsidRPr="00885B12">
        <w:t>MassHealth will ask questions related to key areas of challenge to the PCA Program.</w:t>
      </w:r>
    </w:p>
    <w:p w14:paraId="3634FA79" w14:textId="77777777" w:rsidR="004A6D5E" w:rsidRPr="00885B12" w:rsidRDefault="00067599" w:rsidP="00885B12">
      <w:pPr>
        <w:numPr>
          <w:ilvl w:val="1"/>
          <w:numId w:val="5"/>
        </w:numPr>
      </w:pPr>
      <w:r w:rsidRPr="00885B12">
        <w:t>Meetings will be held approximately every 6 weeks at various locations in the Commonwealth.  Meeting location and times will be posted publicly.</w:t>
      </w:r>
    </w:p>
    <w:p w14:paraId="2979B645" w14:textId="77777777" w:rsidR="004A6D5E" w:rsidRPr="00885B12" w:rsidRDefault="00067599" w:rsidP="00885B12">
      <w:pPr>
        <w:numPr>
          <w:ilvl w:val="1"/>
          <w:numId w:val="5"/>
        </w:numPr>
      </w:pPr>
      <w:r w:rsidRPr="00885B12">
        <w:t>Written responses will be accepted at PCAfeedback@massmail.state.ma.us</w:t>
      </w:r>
    </w:p>
    <w:p w14:paraId="3D524564" w14:textId="77777777" w:rsidR="00885B12" w:rsidRPr="00885B12" w:rsidRDefault="00885B12" w:rsidP="00885B12">
      <w:pPr>
        <w:pStyle w:val="Heading2"/>
        <w:rPr>
          <w:color w:val="auto"/>
          <w:u w:val="single"/>
        </w:rPr>
      </w:pPr>
      <w:r w:rsidRPr="00885B12">
        <w:rPr>
          <w:color w:val="auto"/>
          <w:u w:val="single"/>
        </w:rPr>
        <w:t>Slide 8:</w:t>
      </w:r>
    </w:p>
    <w:p w14:paraId="183CDC61" w14:textId="77777777" w:rsidR="00885B12" w:rsidRDefault="00885B12" w:rsidP="00885B12">
      <w:pPr>
        <w:pStyle w:val="Heading2"/>
        <w:rPr>
          <w:color w:val="auto"/>
        </w:rPr>
      </w:pPr>
      <w:r w:rsidRPr="00885B12">
        <w:rPr>
          <w:color w:val="auto"/>
        </w:rPr>
        <w:t>Key Focus Areas for Today’s Meeting</w:t>
      </w:r>
    </w:p>
    <w:p w14:paraId="71DF40EA" w14:textId="77777777" w:rsidR="00885B12" w:rsidRPr="00885B12" w:rsidRDefault="00885B12" w:rsidP="00885B12">
      <w:pPr>
        <w:pStyle w:val="NoSpacing"/>
      </w:pPr>
    </w:p>
    <w:p w14:paraId="1CCA3C62" w14:textId="77777777" w:rsidR="00885B12" w:rsidRDefault="000527C6" w:rsidP="00885B12">
      <w:pPr>
        <w:pStyle w:val="ListParagraph"/>
        <w:numPr>
          <w:ilvl w:val="0"/>
          <w:numId w:val="6"/>
        </w:numPr>
      </w:pPr>
      <w:r>
        <w:t>PCA Recruitment and Retention</w:t>
      </w:r>
    </w:p>
    <w:p w14:paraId="157B3A52" w14:textId="77777777" w:rsidR="00885B12" w:rsidRDefault="00885B12" w:rsidP="00885B12">
      <w:pPr>
        <w:pStyle w:val="ListParagraph"/>
        <w:numPr>
          <w:ilvl w:val="0"/>
          <w:numId w:val="6"/>
        </w:numPr>
      </w:pPr>
      <w:r>
        <w:t xml:space="preserve">PCA </w:t>
      </w:r>
      <w:r w:rsidR="000527C6">
        <w:t>Program Structure</w:t>
      </w:r>
    </w:p>
    <w:p w14:paraId="3379108A" w14:textId="476BEA61" w:rsidR="00885B12" w:rsidRDefault="00D92419" w:rsidP="00885B12">
      <w:pPr>
        <w:pStyle w:val="ListParagraph"/>
        <w:numPr>
          <w:ilvl w:val="0"/>
          <w:numId w:val="6"/>
        </w:numPr>
      </w:pPr>
      <w:r>
        <w:t>Surrogates</w:t>
      </w:r>
    </w:p>
    <w:p w14:paraId="467C532D" w14:textId="77777777" w:rsidR="00885B12" w:rsidRDefault="00885B12" w:rsidP="00885B12">
      <w:pPr>
        <w:pStyle w:val="Heading2"/>
        <w:rPr>
          <w:color w:val="auto"/>
          <w:u w:val="single"/>
        </w:rPr>
      </w:pPr>
      <w:r w:rsidRPr="00885B12">
        <w:rPr>
          <w:color w:val="auto"/>
          <w:u w:val="single"/>
        </w:rPr>
        <w:t>Slide 9:</w:t>
      </w:r>
    </w:p>
    <w:p w14:paraId="2A8FC568" w14:textId="77777777" w:rsidR="00067599" w:rsidRPr="00067599" w:rsidRDefault="00067599" w:rsidP="00067599">
      <w:pPr>
        <w:pStyle w:val="NoSpacing"/>
      </w:pPr>
    </w:p>
    <w:p w14:paraId="6894FB60" w14:textId="77777777" w:rsidR="00067599" w:rsidRPr="00067599" w:rsidRDefault="00067599" w:rsidP="00067599">
      <w:pPr>
        <w:pStyle w:val="Heading2"/>
        <w:rPr>
          <w:color w:val="auto"/>
        </w:rPr>
      </w:pPr>
      <w:r w:rsidRPr="00067599">
        <w:rPr>
          <w:color w:val="auto"/>
        </w:rPr>
        <w:t>Topics for Today’s Meeting</w:t>
      </w:r>
    </w:p>
    <w:p w14:paraId="367C6E7D" w14:textId="77777777" w:rsidR="00885B12" w:rsidRPr="00885B12" w:rsidRDefault="00A7234F" w:rsidP="00885B12">
      <w:pPr>
        <w:pStyle w:val="Heading2"/>
        <w:numPr>
          <w:ilvl w:val="0"/>
          <w:numId w:val="7"/>
        </w:numPr>
        <w:rPr>
          <w:color w:val="auto"/>
        </w:rPr>
      </w:pPr>
      <w:r>
        <w:rPr>
          <w:color w:val="auto"/>
        </w:rPr>
        <w:t xml:space="preserve">PCA </w:t>
      </w:r>
      <w:r w:rsidR="000527C6">
        <w:rPr>
          <w:color w:val="auto"/>
        </w:rPr>
        <w:t>Recruitment and Retention</w:t>
      </w:r>
    </w:p>
    <w:p w14:paraId="5EA7785E" w14:textId="77777777" w:rsidR="00885B12" w:rsidRDefault="00885B12" w:rsidP="00885B12">
      <w:pPr>
        <w:pStyle w:val="ListParagraph"/>
      </w:pPr>
    </w:p>
    <w:p w14:paraId="59C18883" w14:textId="77777777" w:rsidR="000527C6" w:rsidRDefault="000527C6" w:rsidP="000527C6">
      <w:pPr>
        <w:pStyle w:val="ListParagraph"/>
        <w:numPr>
          <w:ilvl w:val="3"/>
          <w:numId w:val="8"/>
        </w:numPr>
      </w:pPr>
      <w:r>
        <w:t>What program requirements or options could be added to improve the quality of PCAs?</w:t>
      </w:r>
    </w:p>
    <w:p w14:paraId="709EE5AD" w14:textId="77777777" w:rsidR="000527C6" w:rsidRDefault="000527C6" w:rsidP="000527C6">
      <w:pPr>
        <w:pStyle w:val="ListParagraph"/>
        <w:numPr>
          <w:ilvl w:val="3"/>
          <w:numId w:val="8"/>
        </w:numPr>
      </w:pPr>
      <w:r>
        <w:t>Currently, background checks (CORIs) of PCAs are optional. Should the PCA program require consumers to conduct CORIs on their PCAs or provide more education around the existing CORI option? Would this be helpful, or would it create other challenges?</w:t>
      </w:r>
    </w:p>
    <w:p w14:paraId="5AE0DA0C" w14:textId="116395C1" w:rsidR="00D92419" w:rsidRDefault="00D92419" w:rsidP="000527C6">
      <w:pPr>
        <w:pStyle w:val="ListParagraph"/>
        <w:numPr>
          <w:ilvl w:val="3"/>
          <w:numId w:val="8"/>
        </w:numPr>
      </w:pPr>
      <w:r>
        <w:t>What are some ways the PCA Directory can be improved and be more useful to Consumers, PCAs, and Surrogates?</w:t>
      </w:r>
    </w:p>
    <w:p w14:paraId="51CFBCF6" w14:textId="648A547B" w:rsidR="000527C6" w:rsidRDefault="000527C6" w:rsidP="00D92419">
      <w:pPr>
        <w:pStyle w:val="ListParagraph"/>
        <w:numPr>
          <w:ilvl w:val="3"/>
          <w:numId w:val="8"/>
        </w:numPr>
      </w:pPr>
      <w:r>
        <w:t xml:space="preserve">What are the </w:t>
      </w:r>
      <w:r w:rsidR="00D92419">
        <w:t>unique aspects to consumer self-direction in coastal settings? Are there program changes that could improve challenges specific to consumer self-direction in a coastal setting?</w:t>
      </w:r>
    </w:p>
    <w:p w14:paraId="299102D5" w14:textId="77777777" w:rsidR="000527C6" w:rsidRDefault="000527C6" w:rsidP="000527C6">
      <w:pPr>
        <w:pStyle w:val="ListParagraph"/>
        <w:numPr>
          <w:ilvl w:val="3"/>
          <w:numId w:val="8"/>
        </w:numPr>
      </w:pPr>
      <w:r>
        <w:t>Have you experienced challenges with recruiting/hiring PCAs related to language or culture? Are there ways to help address these challenges through the PCA program?</w:t>
      </w:r>
    </w:p>
    <w:p w14:paraId="3B267A93" w14:textId="77777777" w:rsidR="00A7234F" w:rsidRDefault="00A7234F" w:rsidP="00067599">
      <w:pPr>
        <w:pStyle w:val="Heading2"/>
        <w:rPr>
          <w:color w:val="auto"/>
          <w:u w:val="single"/>
        </w:rPr>
      </w:pPr>
    </w:p>
    <w:p w14:paraId="4E392109" w14:textId="77777777" w:rsidR="00067599" w:rsidRPr="00067599" w:rsidRDefault="00067599" w:rsidP="00067599">
      <w:pPr>
        <w:pStyle w:val="Heading2"/>
        <w:rPr>
          <w:color w:val="auto"/>
          <w:u w:val="single"/>
        </w:rPr>
      </w:pPr>
      <w:r w:rsidRPr="00067599">
        <w:rPr>
          <w:color w:val="auto"/>
          <w:u w:val="single"/>
        </w:rPr>
        <w:t>Slide 10:</w:t>
      </w:r>
    </w:p>
    <w:p w14:paraId="00B522A0" w14:textId="77777777" w:rsidR="00067599" w:rsidRPr="00067599" w:rsidRDefault="00067599" w:rsidP="00067599">
      <w:pPr>
        <w:pStyle w:val="NoSpacing"/>
      </w:pPr>
    </w:p>
    <w:p w14:paraId="3FFE0B1F" w14:textId="77777777" w:rsidR="00067599" w:rsidRPr="00067599" w:rsidRDefault="00067599" w:rsidP="00067599">
      <w:pPr>
        <w:pStyle w:val="Heading2"/>
        <w:rPr>
          <w:color w:val="auto"/>
        </w:rPr>
      </w:pPr>
      <w:r w:rsidRPr="00067599">
        <w:rPr>
          <w:color w:val="auto"/>
        </w:rPr>
        <w:t>Topics for Today’s Meeting</w:t>
      </w:r>
    </w:p>
    <w:p w14:paraId="0FFD8A8B" w14:textId="77777777" w:rsidR="00067599" w:rsidRPr="00885B12" w:rsidRDefault="00067599" w:rsidP="00067599">
      <w:pPr>
        <w:pStyle w:val="Heading2"/>
        <w:numPr>
          <w:ilvl w:val="0"/>
          <w:numId w:val="7"/>
        </w:numPr>
        <w:rPr>
          <w:color w:val="auto"/>
        </w:rPr>
      </w:pPr>
      <w:r>
        <w:rPr>
          <w:color w:val="auto"/>
        </w:rPr>
        <w:t xml:space="preserve">PCA </w:t>
      </w:r>
      <w:r w:rsidR="000527C6">
        <w:rPr>
          <w:color w:val="auto"/>
        </w:rPr>
        <w:t>Program Structure</w:t>
      </w:r>
    </w:p>
    <w:p w14:paraId="0CB8B31E" w14:textId="77777777" w:rsidR="00067599" w:rsidRDefault="00067599" w:rsidP="00067599">
      <w:pPr>
        <w:pStyle w:val="ListParagraph"/>
      </w:pPr>
    </w:p>
    <w:p w14:paraId="24BC375A" w14:textId="77777777" w:rsidR="00067599" w:rsidRDefault="000527C6" w:rsidP="00067599">
      <w:pPr>
        <w:pStyle w:val="NoSpacing"/>
      </w:pPr>
      <w:r>
        <w:t>Goals of any future PCA Program Structure:</w:t>
      </w:r>
    </w:p>
    <w:p w14:paraId="63A44D09" w14:textId="77777777" w:rsidR="000527C6" w:rsidRDefault="000527C6" w:rsidP="000527C6">
      <w:pPr>
        <w:pStyle w:val="NoSpacing"/>
        <w:numPr>
          <w:ilvl w:val="0"/>
          <w:numId w:val="10"/>
        </w:numPr>
      </w:pPr>
      <w:r>
        <w:t>Maintains commitment to consumer self-direction</w:t>
      </w:r>
    </w:p>
    <w:p w14:paraId="312C4E34" w14:textId="77777777" w:rsidR="000527C6" w:rsidRDefault="000527C6" w:rsidP="000527C6">
      <w:pPr>
        <w:pStyle w:val="NoSpacing"/>
        <w:numPr>
          <w:ilvl w:val="0"/>
          <w:numId w:val="10"/>
        </w:numPr>
      </w:pPr>
      <w:r>
        <w:t>Supports continuity of care</w:t>
      </w:r>
    </w:p>
    <w:p w14:paraId="0BC0E501" w14:textId="77777777" w:rsidR="000527C6" w:rsidRDefault="000527C6" w:rsidP="000527C6">
      <w:pPr>
        <w:pStyle w:val="NoSpacing"/>
        <w:numPr>
          <w:ilvl w:val="0"/>
          <w:numId w:val="10"/>
        </w:numPr>
      </w:pPr>
      <w:r>
        <w:t>Increases the number of self-directed options</w:t>
      </w:r>
    </w:p>
    <w:p w14:paraId="021E0F1D" w14:textId="77777777" w:rsidR="000527C6" w:rsidRDefault="000527C6" w:rsidP="000527C6">
      <w:pPr>
        <w:pStyle w:val="NoSpacing"/>
        <w:numPr>
          <w:ilvl w:val="0"/>
          <w:numId w:val="10"/>
        </w:numPr>
      </w:pPr>
      <w:r>
        <w:t>Tailored to better suit consumer needs</w:t>
      </w:r>
    </w:p>
    <w:p w14:paraId="56368468" w14:textId="77777777" w:rsidR="000527C6" w:rsidRDefault="000527C6" w:rsidP="000527C6">
      <w:pPr>
        <w:pStyle w:val="NoSpacing"/>
        <w:numPr>
          <w:ilvl w:val="0"/>
          <w:numId w:val="10"/>
        </w:numPr>
      </w:pPr>
      <w:r>
        <w:t>Improves PCA recruitment and retention issues; and</w:t>
      </w:r>
    </w:p>
    <w:p w14:paraId="04825E75" w14:textId="77777777" w:rsidR="000527C6" w:rsidRDefault="000527C6" w:rsidP="000527C6">
      <w:pPr>
        <w:pStyle w:val="NoSpacing"/>
        <w:numPr>
          <w:ilvl w:val="0"/>
          <w:numId w:val="10"/>
        </w:numPr>
      </w:pPr>
      <w:r>
        <w:t>Reduces risks associated with consumers who have difficulty identifying a surrogate</w:t>
      </w:r>
    </w:p>
    <w:p w14:paraId="186E5C5D" w14:textId="77777777" w:rsidR="000527C6" w:rsidRPr="000527C6" w:rsidRDefault="00067599" w:rsidP="000527C6">
      <w:pPr>
        <w:pStyle w:val="Heading2"/>
        <w:rPr>
          <w:color w:val="auto"/>
          <w:u w:val="single"/>
        </w:rPr>
      </w:pPr>
      <w:r>
        <w:rPr>
          <w:color w:val="auto"/>
          <w:u w:val="single"/>
        </w:rPr>
        <w:t>Slide 11</w:t>
      </w:r>
      <w:r w:rsidRPr="00885B12">
        <w:rPr>
          <w:color w:val="auto"/>
          <w:u w:val="single"/>
        </w:rPr>
        <w:t>:</w:t>
      </w:r>
    </w:p>
    <w:p w14:paraId="5CDA158E" w14:textId="77777777" w:rsidR="000527C6" w:rsidRPr="00885B12" w:rsidRDefault="000527C6" w:rsidP="000527C6">
      <w:pPr>
        <w:pStyle w:val="Heading2"/>
        <w:numPr>
          <w:ilvl w:val="0"/>
          <w:numId w:val="12"/>
        </w:numPr>
        <w:rPr>
          <w:color w:val="auto"/>
        </w:rPr>
      </w:pPr>
      <w:r>
        <w:rPr>
          <w:color w:val="auto"/>
        </w:rPr>
        <w:t>PCA Program Structure</w:t>
      </w:r>
    </w:p>
    <w:p w14:paraId="3579C426" w14:textId="77777777" w:rsidR="000527C6" w:rsidRDefault="000527C6" w:rsidP="000527C6"/>
    <w:p w14:paraId="1B66BE4C" w14:textId="77777777" w:rsidR="000527C6" w:rsidRDefault="000527C6" w:rsidP="000527C6">
      <w:r>
        <w:rPr>
          <w:noProof/>
        </w:rPr>
        <w:drawing>
          <wp:inline distT="0" distB="0" distL="0" distR="0" wp14:anchorId="666CC0E5" wp14:editId="7530F4B1">
            <wp:extent cx="6421386" cy="3598223"/>
            <wp:effectExtent l="0" t="0" r="0" b="2540"/>
            <wp:docPr id="4" name="Picture 4" descr="Chart shows four models along a continuum of Consumer Choice and Control.&#10;One Agency-Based Model: Agency Employers Workers (Not Consumer Direction). For Illustrative purposes only: MassHealth is not contemplating this model as part of the PCA Program.&#10;Three Consumer Direction Models:&#10;1. Agency with Choice: Consumer shared Employer Duties with an Agency&#10;2. Current PCA Program: Consumer is the employer&#10;3: Cash &amp; Counseling: Consumer is the employer and maintains a budget" title="Chart showing spectrum of potential models for a PCA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25238" cy="3600382"/>
                    </a:xfrm>
                    <a:prstGeom prst="rect">
                      <a:avLst/>
                    </a:prstGeom>
                    <a:noFill/>
                  </pic:spPr>
                </pic:pic>
              </a:graphicData>
            </a:graphic>
          </wp:inline>
        </w:drawing>
      </w:r>
    </w:p>
    <w:p w14:paraId="4F9F30F1" w14:textId="77777777" w:rsidR="00D930FA" w:rsidRPr="000527C6" w:rsidRDefault="00067599" w:rsidP="00D930FA">
      <w:pPr>
        <w:pStyle w:val="Heading2"/>
        <w:rPr>
          <w:color w:val="auto"/>
          <w:u w:val="single"/>
        </w:rPr>
      </w:pPr>
      <w:r w:rsidRPr="00067599">
        <w:rPr>
          <w:color w:val="auto"/>
          <w:u w:val="single"/>
        </w:rPr>
        <w:t>Slide 12:</w:t>
      </w:r>
    </w:p>
    <w:p w14:paraId="29256465" w14:textId="77777777" w:rsidR="00D930FA" w:rsidRPr="00885B12" w:rsidRDefault="00D930FA" w:rsidP="00D930FA">
      <w:pPr>
        <w:pStyle w:val="Heading2"/>
        <w:numPr>
          <w:ilvl w:val="0"/>
          <w:numId w:val="13"/>
        </w:numPr>
        <w:rPr>
          <w:color w:val="auto"/>
        </w:rPr>
      </w:pPr>
      <w:r>
        <w:rPr>
          <w:color w:val="auto"/>
        </w:rPr>
        <w:t>PCA Program Structure</w:t>
      </w:r>
    </w:p>
    <w:p w14:paraId="1A893E2D" w14:textId="77777777" w:rsidR="00D930FA" w:rsidRDefault="00D930FA" w:rsidP="00D930FA">
      <w:pPr>
        <w:pStyle w:val="ListParagraph"/>
      </w:pPr>
    </w:p>
    <w:p w14:paraId="1E2302C4" w14:textId="77777777" w:rsidR="00D930FA" w:rsidRDefault="00D930FA" w:rsidP="00D930FA">
      <w:pPr>
        <w:pStyle w:val="ListParagraph"/>
        <w:numPr>
          <w:ilvl w:val="0"/>
          <w:numId w:val="14"/>
        </w:numPr>
      </w:pPr>
      <w:r>
        <w:t>If, in addition to the current program, EOHHS offered a model for receiving PCA services where consumers co-employed workers with a provider agency,</w:t>
      </w:r>
    </w:p>
    <w:p w14:paraId="402DD871" w14:textId="77777777" w:rsidR="00D930FA" w:rsidRDefault="00D930FA" w:rsidP="00D930FA">
      <w:pPr>
        <w:pStyle w:val="ListParagraph"/>
        <w:numPr>
          <w:ilvl w:val="1"/>
          <w:numId w:val="14"/>
        </w:numPr>
        <w:ind w:left="2340"/>
      </w:pPr>
      <w:r>
        <w:t>What challenges would the new model create?</w:t>
      </w:r>
    </w:p>
    <w:p w14:paraId="39D54C94" w14:textId="77777777" w:rsidR="00D930FA" w:rsidRDefault="00D930FA" w:rsidP="00D930FA">
      <w:pPr>
        <w:pStyle w:val="ListParagraph"/>
        <w:numPr>
          <w:ilvl w:val="1"/>
          <w:numId w:val="14"/>
        </w:numPr>
        <w:ind w:left="2340"/>
      </w:pPr>
      <w:r>
        <w:t>What issues would it resolve?</w:t>
      </w:r>
    </w:p>
    <w:p w14:paraId="46E7A853" w14:textId="77777777" w:rsidR="00D930FA" w:rsidRDefault="00D930FA" w:rsidP="00D930FA">
      <w:pPr>
        <w:pStyle w:val="ListParagraph"/>
        <w:numPr>
          <w:ilvl w:val="0"/>
          <w:numId w:val="14"/>
        </w:numPr>
      </w:pPr>
      <w:r>
        <w:t xml:space="preserve">What employer </w:t>
      </w:r>
      <w:r w:rsidRPr="00D930FA">
        <w:t>responsibilities may be beneficial to be shared between a provider agency and a consumer while still maintaining consumer control over self-direction?</w:t>
      </w:r>
    </w:p>
    <w:p w14:paraId="40315AD5" w14:textId="77777777" w:rsidR="00D930FA" w:rsidRPr="00D930FA" w:rsidRDefault="00D930FA" w:rsidP="00D930FA">
      <w:pPr>
        <w:pStyle w:val="ListParagraph"/>
        <w:numPr>
          <w:ilvl w:val="0"/>
          <w:numId w:val="14"/>
        </w:numPr>
      </w:pPr>
      <w:r>
        <w:t>If</w:t>
      </w:r>
      <w:r w:rsidRPr="00D930FA">
        <w:t xml:space="preserve"> provider agencies co-employed workers with consumers, what safeguards should be implemented to maintain consumer control over self-direction?</w:t>
      </w:r>
    </w:p>
    <w:p w14:paraId="40767FAF" w14:textId="77777777" w:rsidR="00D930FA" w:rsidRPr="000527C6" w:rsidRDefault="00D930FA" w:rsidP="00D930FA">
      <w:pPr>
        <w:pStyle w:val="Heading2"/>
        <w:rPr>
          <w:color w:val="auto"/>
          <w:u w:val="single"/>
        </w:rPr>
      </w:pPr>
      <w:r>
        <w:rPr>
          <w:color w:val="auto"/>
          <w:u w:val="single"/>
        </w:rPr>
        <w:t>Slide 13</w:t>
      </w:r>
      <w:r w:rsidRPr="00067599">
        <w:rPr>
          <w:color w:val="auto"/>
          <w:u w:val="single"/>
        </w:rPr>
        <w:t>:</w:t>
      </w:r>
    </w:p>
    <w:p w14:paraId="1D0D4267" w14:textId="530DA479" w:rsidR="00D930FA" w:rsidRPr="00885B12" w:rsidRDefault="00D92419" w:rsidP="00D930FA">
      <w:pPr>
        <w:pStyle w:val="Heading2"/>
        <w:numPr>
          <w:ilvl w:val="0"/>
          <w:numId w:val="13"/>
        </w:numPr>
        <w:rPr>
          <w:color w:val="auto"/>
        </w:rPr>
      </w:pPr>
      <w:r>
        <w:rPr>
          <w:color w:val="auto"/>
        </w:rPr>
        <w:t>Surrogates</w:t>
      </w:r>
    </w:p>
    <w:p w14:paraId="20B93D7D" w14:textId="77777777" w:rsidR="00D930FA" w:rsidRDefault="00D930FA" w:rsidP="00D930FA">
      <w:pPr>
        <w:pStyle w:val="ListParagraph"/>
      </w:pPr>
    </w:p>
    <w:p w14:paraId="1C82FE2C" w14:textId="341B30DB" w:rsidR="00D930FA" w:rsidRDefault="00D930FA" w:rsidP="00D92419">
      <w:pPr>
        <w:pStyle w:val="ListParagraph"/>
        <w:numPr>
          <w:ilvl w:val="0"/>
          <w:numId w:val="16"/>
        </w:numPr>
      </w:pPr>
      <w:r>
        <w:t xml:space="preserve">What </w:t>
      </w:r>
      <w:r w:rsidR="00D92419">
        <w:t>supports could help Consumers in finding a Surrogate? How might an expanded PCM Agency role be helpful?</w:t>
      </w:r>
    </w:p>
    <w:p w14:paraId="122E06B8" w14:textId="7CD26AF8" w:rsidR="00D92419" w:rsidRDefault="00D92419" w:rsidP="00D92419">
      <w:pPr>
        <w:pStyle w:val="ListParagraph"/>
        <w:numPr>
          <w:ilvl w:val="0"/>
          <w:numId w:val="16"/>
        </w:numPr>
      </w:pPr>
      <w:r>
        <w:t>What qualifications are necessary for a Surrogate serving as an administrative proxy (completing administrative tasks on behalf of the consumer but not self-directing PCAs)? Could these qualifications be included in a Surrogate Assessment?</w:t>
      </w:r>
    </w:p>
    <w:p w14:paraId="2F5EAAE0" w14:textId="2EB8E531" w:rsidR="00D92419" w:rsidRDefault="00D92419" w:rsidP="00D92419">
      <w:pPr>
        <w:pStyle w:val="ListParagraph"/>
        <w:numPr>
          <w:ilvl w:val="0"/>
          <w:numId w:val="16"/>
        </w:numPr>
      </w:pPr>
      <w:r>
        <w:t>What qualifications are necessary for a Surrogate self-directing on behalf of a consumer? Could these qualifications be included in a Surrogate Assessment?</w:t>
      </w:r>
    </w:p>
    <w:p w14:paraId="689C6DCC" w14:textId="177BD86B" w:rsidR="00D930FA" w:rsidRDefault="00D92419" w:rsidP="00D92419">
      <w:pPr>
        <w:pStyle w:val="ListParagraph"/>
        <w:numPr>
          <w:ilvl w:val="0"/>
          <w:numId w:val="16"/>
        </w:numPr>
      </w:pPr>
      <w:r>
        <w:t xml:space="preserve">Are there supports/resources that could assist with Surrogate retention? </w:t>
      </w:r>
    </w:p>
    <w:p w14:paraId="542D0CBD" w14:textId="77777777" w:rsidR="00D930FA" w:rsidRPr="00D930FA" w:rsidRDefault="00D930FA" w:rsidP="00D930FA">
      <w:pPr>
        <w:pStyle w:val="Heading2"/>
        <w:rPr>
          <w:color w:val="auto"/>
          <w:u w:val="single"/>
        </w:rPr>
      </w:pPr>
      <w:r>
        <w:rPr>
          <w:color w:val="auto"/>
          <w:u w:val="single"/>
        </w:rPr>
        <w:t>Slide 14</w:t>
      </w:r>
      <w:r w:rsidRPr="00067599">
        <w:rPr>
          <w:color w:val="auto"/>
          <w:u w:val="single"/>
        </w:rPr>
        <w:t>:</w:t>
      </w:r>
    </w:p>
    <w:p w14:paraId="5F4EA27F" w14:textId="77777777" w:rsidR="00067599" w:rsidRDefault="00D930FA" w:rsidP="00067599">
      <w:pPr>
        <w:pStyle w:val="Heading2"/>
        <w:rPr>
          <w:color w:val="auto"/>
        </w:rPr>
      </w:pPr>
      <w:r>
        <w:rPr>
          <w:color w:val="auto"/>
        </w:rPr>
        <w:br/>
      </w:r>
      <w:r w:rsidR="00067599" w:rsidRPr="00067599">
        <w:rPr>
          <w:color w:val="auto"/>
        </w:rPr>
        <w:t>Public Listening Sessions (Sessions without dates are tentative)</w:t>
      </w:r>
    </w:p>
    <w:p w14:paraId="66BCDB4B" w14:textId="77777777" w:rsidR="00067599" w:rsidRPr="00067599" w:rsidRDefault="00067599" w:rsidP="00067599">
      <w:pPr>
        <w:pStyle w:val="NoSpacing"/>
      </w:pPr>
    </w:p>
    <w:p w14:paraId="7635C16E" w14:textId="77777777" w:rsidR="00067599" w:rsidRDefault="00067599" w:rsidP="00067599">
      <w:r>
        <w:t>January 2019:  Boston Public Library, January 29, 2019, 1-3PM</w:t>
      </w:r>
    </w:p>
    <w:p w14:paraId="074A9C77" w14:textId="77777777" w:rsidR="00067599" w:rsidRDefault="00067599" w:rsidP="00067599">
      <w:r>
        <w:t>February 2019:  Worcester Public Library, February 28, 2019, 1-3PM</w:t>
      </w:r>
    </w:p>
    <w:p w14:paraId="54612C50" w14:textId="77777777" w:rsidR="00067599" w:rsidRDefault="00067599" w:rsidP="00067599">
      <w:r>
        <w:t>April 2019:  Pittsfield Public Library, April 10, 2019, 10AM-12PM; Springfield Public Library, April 10, 2019, 2-4PM</w:t>
      </w:r>
    </w:p>
    <w:p w14:paraId="2EEDE3E9" w14:textId="77777777" w:rsidR="00067599" w:rsidRDefault="00067599" w:rsidP="00067599">
      <w:r>
        <w:t>June 2019:  Lawrence</w:t>
      </w:r>
      <w:r w:rsidR="00A7234F">
        <w:t xml:space="preserve"> Public Library, May 30, 2019, 1-3pm</w:t>
      </w:r>
    </w:p>
    <w:p w14:paraId="774D3C3B" w14:textId="619B0DA5" w:rsidR="00067599" w:rsidRDefault="00067599" w:rsidP="00067599">
      <w:r>
        <w:t xml:space="preserve">July 2019: </w:t>
      </w:r>
      <w:r w:rsidR="00D92419">
        <w:t>New Bedford Public Library, July 24, 2019, 1:30-3:30pm</w:t>
      </w:r>
    </w:p>
    <w:p w14:paraId="690C946C" w14:textId="77777777" w:rsidR="00067599" w:rsidRDefault="00067599" w:rsidP="00067599">
      <w:r>
        <w:t>September 2019: Metro-Boston area</w:t>
      </w:r>
    </w:p>
    <w:p w14:paraId="22A6F024" w14:textId="77777777" w:rsidR="00067599" w:rsidRDefault="00067599" w:rsidP="00067599"/>
    <w:p w14:paraId="7957670C" w14:textId="77777777" w:rsidR="00067599" w:rsidRDefault="00067599" w:rsidP="00067599"/>
    <w:p w14:paraId="29192CA0" w14:textId="77777777" w:rsidR="00067599" w:rsidRDefault="00D930FA" w:rsidP="00D930FA">
      <w:pPr>
        <w:pStyle w:val="Heading2"/>
        <w:rPr>
          <w:color w:val="auto"/>
        </w:rPr>
      </w:pPr>
      <w:r>
        <w:rPr>
          <w:color w:val="auto"/>
          <w:u w:val="single"/>
        </w:rPr>
        <w:t>Slide 15</w:t>
      </w:r>
      <w:r w:rsidR="00067599" w:rsidRPr="00067599">
        <w:rPr>
          <w:color w:val="auto"/>
          <w:u w:val="single"/>
        </w:rPr>
        <w:t>:</w:t>
      </w:r>
    </w:p>
    <w:p w14:paraId="45D1B3F1" w14:textId="77777777" w:rsidR="00067599" w:rsidRPr="00067599" w:rsidRDefault="00067599" w:rsidP="00067599">
      <w:pPr>
        <w:pStyle w:val="NoSpacing"/>
      </w:pPr>
    </w:p>
    <w:p w14:paraId="18F0F8C6" w14:textId="77777777" w:rsidR="00067599" w:rsidRDefault="00067599" w:rsidP="00067599">
      <w:r>
        <w:t>Copies of this presentation can be found at:</w:t>
      </w:r>
    </w:p>
    <w:p w14:paraId="6F847DB2" w14:textId="621822C5" w:rsidR="00067599" w:rsidRDefault="00C307BE" w:rsidP="00067599">
      <w:hyperlink r:id="rId14" w:tooltip="Go to PCA Program Enhancements web page" w:history="1">
        <w:r w:rsidR="00067599" w:rsidRPr="00C307BE">
          <w:rPr>
            <w:rStyle w:val="Hyperlink"/>
          </w:rPr>
          <w:t xml:space="preserve">https://www.mass.gov/service-details/pca-program-enhancements </w:t>
        </w:r>
      </w:hyperlink>
    </w:p>
    <w:p w14:paraId="48D71797" w14:textId="61440409" w:rsidR="00067599" w:rsidRDefault="00067599" w:rsidP="00067599">
      <w:r>
        <w:t xml:space="preserve">Additional feedback can be submitted to MassHealth by emailing:  </w:t>
      </w:r>
      <w:hyperlink r:id="rId15" w:history="1">
        <w:r w:rsidR="00C307BE" w:rsidRPr="005E7A46">
          <w:rPr>
            <w:rStyle w:val="Hyperlink"/>
          </w:rPr>
          <w:t>PCAfeedback@massmail.state.ma.us</w:t>
        </w:r>
      </w:hyperlink>
    </w:p>
    <w:sectPr w:rsidR="00067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B77"/>
    <w:multiLevelType w:val="hybridMultilevel"/>
    <w:tmpl w:val="D2E418E2"/>
    <w:lvl w:ilvl="0" w:tplc="31BE9A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C7FEB"/>
    <w:multiLevelType w:val="hybridMultilevel"/>
    <w:tmpl w:val="3E0E344C"/>
    <w:lvl w:ilvl="0" w:tplc="A5D09B0E">
      <w:start w:val="1"/>
      <w:numFmt w:val="bullet"/>
      <w:lvlText w:val=""/>
      <w:lvlJc w:val="left"/>
      <w:pPr>
        <w:tabs>
          <w:tab w:val="num" w:pos="720"/>
        </w:tabs>
        <w:ind w:left="720" w:hanging="360"/>
      </w:pPr>
      <w:rPr>
        <w:rFonts w:ascii="Wingdings" w:hAnsi="Wingdings" w:hint="default"/>
      </w:rPr>
    </w:lvl>
    <w:lvl w:ilvl="1" w:tplc="170A62F0">
      <w:start w:val="1480"/>
      <w:numFmt w:val="bullet"/>
      <w:lvlText w:val="−"/>
      <w:lvlJc w:val="left"/>
      <w:pPr>
        <w:tabs>
          <w:tab w:val="num" w:pos="1440"/>
        </w:tabs>
        <w:ind w:left="1440" w:hanging="360"/>
      </w:pPr>
      <w:rPr>
        <w:rFonts w:ascii="Arial" w:hAnsi="Arial" w:hint="default"/>
      </w:rPr>
    </w:lvl>
    <w:lvl w:ilvl="2" w:tplc="24A8A460" w:tentative="1">
      <w:start w:val="1"/>
      <w:numFmt w:val="bullet"/>
      <w:lvlText w:val=""/>
      <w:lvlJc w:val="left"/>
      <w:pPr>
        <w:tabs>
          <w:tab w:val="num" w:pos="2160"/>
        </w:tabs>
        <w:ind w:left="2160" w:hanging="360"/>
      </w:pPr>
      <w:rPr>
        <w:rFonts w:ascii="Wingdings" w:hAnsi="Wingdings" w:hint="default"/>
      </w:rPr>
    </w:lvl>
    <w:lvl w:ilvl="3" w:tplc="6E308FF0" w:tentative="1">
      <w:start w:val="1"/>
      <w:numFmt w:val="bullet"/>
      <w:lvlText w:val=""/>
      <w:lvlJc w:val="left"/>
      <w:pPr>
        <w:tabs>
          <w:tab w:val="num" w:pos="2880"/>
        </w:tabs>
        <w:ind w:left="2880" w:hanging="360"/>
      </w:pPr>
      <w:rPr>
        <w:rFonts w:ascii="Wingdings" w:hAnsi="Wingdings" w:hint="default"/>
      </w:rPr>
    </w:lvl>
    <w:lvl w:ilvl="4" w:tplc="6ACA4D5A" w:tentative="1">
      <w:start w:val="1"/>
      <w:numFmt w:val="bullet"/>
      <w:lvlText w:val=""/>
      <w:lvlJc w:val="left"/>
      <w:pPr>
        <w:tabs>
          <w:tab w:val="num" w:pos="3600"/>
        </w:tabs>
        <w:ind w:left="3600" w:hanging="360"/>
      </w:pPr>
      <w:rPr>
        <w:rFonts w:ascii="Wingdings" w:hAnsi="Wingdings" w:hint="default"/>
      </w:rPr>
    </w:lvl>
    <w:lvl w:ilvl="5" w:tplc="ECFC2C44" w:tentative="1">
      <w:start w:val="1"/>
      <w:numFmt w:val="bullet"/>
      <w:lvlText w:val=""/>
      <w:lvlJc w:val="left"/>
      <w:pPr>
        <w:tabs>
          <w:tab w:val="num" w:pos="4320"/>
        </w:tabs>
        <w:ind w:left="4320" w:hanging="360"/>
      </w:pPr>
      <w:rPr>
        <w:rFonts w:ascii="Wingdings" w:hAnsi="Wingdings" w:hint="default"/>
      </w:rPr>
    </w:lvl>
    <w:lvl w:ilvl="6" w:tplc="B84E03B4" w:tentative="1">
      <w:start w:val="1"/>
      <w:numFmt w:val="bullet"/>
      <w:lvlText w:val=""/>
      <w:lvlJc w:val="left"/>
      <w:pPr>
        <w:tabs>
          <w:tab w:val="num" w:pos="5040"/>
        </w:tabs>
        <w:ind w:left="5040" w:hanging="360"/>
      </w:pPr>
      <w:rPr>
        <w:rFonts w:ascii="Wingdings" w:hAnsi="Wingdings" w:hint="default"/>
      </w:rPr>
    </w:lvl>
    <w:lvl w:ilvl="7" w:tplc="5A96917C" w:tentative="1">
      <w:start w:val="1"/>
      <w:numFmt w:val="bullet"/>
      <w:lvlText w:val=""/>
      <w:lvlJc w:val="left"/>
      <w:pPr>
        <w:tabs>
          <w:tab w:val="num" w:pos="5760"/>
        </w:tabs>
        <w:ind w:left="5760" w:hanging="360"/>
      </w:pPr>
      <w:rPr>
        <w:rFonts w:ascii="Wingdings" w:hAnsi="Wingdings" w:hint="default"/>
      </w:rPr>
    </w:lvl>
    <w:lvl w:ilvl="8" w:tplc="EEE69560" w:tentative="1">
      <w:start w:val="1"/>
      <w:numFmt w:val="bullet"/>
      <w:lvlText w:val=""/>
      <w:lvlJc w:val="left"/>
      <w:pPr>
        <w:tabs>
          <w:tab w:val="num" w:pos="6480"/>
        </w:tabs>
        <w:ind w:left="6480" w:hanging="360"/>
      </w:pPr>
      <w:rPr>
        <w:rFonts w:ascii="Wingdings" w:hAnsi="Wingdings" w:hint="default"/>
      </w:rPr>
    </w:lvl>
  </w:abstractNum>
  <w:abstractNum w:abstractNumId="2">
    <w:nsid w:val="2CB67516"/>
    <w:multiLevelType w:val="hybridMultilevel"/>
    <w:tmpl w:val="2C60B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821722"/>
    <w:multiLevelType w:val="hybridMultilevel"/>
    <w:tmpl w:val="556690D4"/>
    <w:lvl w:ilvl="0" w:tplc="A3F0B3FC">
      <w:start w:val="1"/>
      <w:numFmt w:val="bullet"/>
      <w:lvlText w:val=""/>
      <w:lvlJc w:val="left"/>
      <w:pPr>
        <w:tabs>
          <w:tab w:val="num" w:pos="720"/>
        </w:tabs>
        <w:ind w:left="720" w:hanging="360"/>
      </w:pPr>
      <w:rPr>
        <w:rFonts w:ascii="Wingdings" w:hAnsi="Wingdings" w:hint="default"/>
      </w:rPr>
    </w:lvl>
    <w:lvl w:ilvl="1" w:tplc="7220CFFA">
      <w:start w:val="1135"/>
      <w:numFmt w:val="bullet"/>
      <w:lvlText w:val="−"/>
      <w:lvlJc w:val="left"/>
      <w:pPr>
        <w:tabs>
          <w:tab w:val="num" w:pos="1440"/>
        </w:tabs>
        <w:ind w:left="1440" w:hanging="360"/>
      </w:pPr>
      <w:rPr>
        <w:rFonts w:ascii="Arial" w:hAnsi="Arial" w:hint="default"/>
      </w:rPr>
    </w:lvl>
    <w:lvl w:ilvl="2" w:tplc="54F6DB36" w:tentative="1">
      <w:start w:val="1"/>
      <w:numFmt w:val="bullet"/>
      <w:lvlText w:val=""/>
      <w:lvlJc w:val="left"/>
      <w:pPr>
        <w:tabs>
          <w:tab w:val="num" w:pos="2160"/>
        </w:tabs>
        <w:ind w:left="2160" w:hanging="360"/>
      </w:pPr>
      <w:rPr>
        <w:rFonts w:ascii="Wingdings" w:hAnsi="Wingdings" w:hint="default"/>
      </w:rPr>
    </w:lvl>
    <w:lvl w:ilvl="3" w:tplc="25D6DE40" w:tentative="1">
      <w:start w:val="1"/>
      <w:numFmt w:val="bullet"/>
      <w:lvlText w:val=""/>
      <w:lvlJc w:val="left"/>
      <w:pPr>
        <w:tabs>
          <w:tab w:val="num" w:pos="2880"/>
        </w:tabs>
        <w:ind w:left="2880" w:hanging="360"/>
      </w:pPr>
      <w:rPr>
        <w:rFonts w:ascii="Wingdings" w:hAnsi="Wingdings" w:hint="default"/>
      </w:rPr>
    </w:lvl>
    <w:lvl w:ilvl="4" w:tplc="BACE0238" w:tentative="1">
      <w:start w:val="1"/>
      <w:numFmt w:val="bullet"/>
      <w:lvlText w:val=""/>
      <w:lvlJc w:val="left"/>
      <w:pPr>
        <w:tabs>
          <w:tab w:val="num" w:pos="3600"/>
        </w:tabs>
        <w:ind w:left="3600" w:hanging="360"/>
      </w:pPr>
      <w:rPr>
        <w:rFonts w:ascii="Wingdings" w:hAnsi="Wingdings" w:hint="default"/>
      </w:rPr>
    </w:lvl>
    <w:lvl w:ilvl="5" w:tplc="795C54A8" w:tentative="1">
      <w:start w:val="1"/>
      <w:numFmt w:val="bullet"/>
      <w:lvlText w:val=""/>
      <w:lvlJc w:val="left"/>
      <w:pPr>
        <w:tabs>
          <w:tab w:val="num" w:pos="4320"/>
        </w:tabs>
        <w:ind w:left="4320" w:hanging="360"/>
      </w:pPr>
      <w:rPr>
        <w:rFonts w:ascii="Wingdings" w:hAnsi="Wingdings" w:hint="default"/>
      </w:rPr>
    </w:lvl>
    <w:lvl w:ilvl="6" w:tplc="20780AE2" w:tentative="1">
      <w:start w:val="1"/>
      <w:numFmt w:val="bullet"/>
      <w:lvlText w:val=""/>
      <w:lvlJc w:val="left"/>
      <w:pPr>
        <w:tabs>
          <w:tab w:val="num" w:pos="5040"/>
        </w:tabs>
        <w:ind w:left="5040" w:hanging="360"/>
      </w:pPr>
      <w:rPr>
        <w:rFonts w:ascii="Wingdings" w:hAnsi="Wingdings" w:hint="default"/>
      </w:rPr>
    </w:lvl>
    <w:lvl w:ilvl="7" w:tplc="DC4E399E" w:tentative="1">
      <w:start w:val="1"/>
      <w:numFmt w:val="bullet"/>
      <w:lvlText w:val=""/>
      <w:lvlJc w:val="left"/>
      <w:pPr>
        <w:tabs>
          <w:tab w:val="num" w:pos="5760"/>
        </w:tabs>
        <w:ind w:left="5760" w:hanging="360"/>
      </w:pPr>
      <w:rPr>
        <w:rFonts w:ascii="Wingdings" w:hAnsi="Wingdings" w:hint="default"/>
      </w:rPr>
    </w:lvl>
    <w:lvl w:ilvl="8" w:tplc="C77EAC9A" w:tentative="1">
      <w:start w:val="1"/>
      <w:numFmt w:val="bullet"/>
      <w:lvlText w:val=""/>
      <w:lvlJc w:val="left"/>
      <w:pPr>
        <w:tabs>
          <w:tab w:val="num" w:pos="6480"/>
        </w:tabs>
        <w:ind w:left="6480" w:hanging="360"/>
      </w:pPr>
      <w:rPr>
        <w:rFonts w:ascii="Wingdings" w:hAnsi="Wingdings" w:hint="default"/>
      </w:rPr>
    </w:lvl>
  </w:abstractNum>
  <w:abstractNum w:abstractNumId="4">
    <w:nsid w:val="40A4106C"/>
    <w:multiLevelType w:val="hybridMultilevel"/>
    <w:tmpl w:val="AE602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C10C27"/>
    <w:multiLevelType w:val="hybridMultilevel"/>
    <w:tmpl w:val="C2A85848"/>
    <w:lvl w:ilvl="0" w:tplc="31BE9A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230DD0"/>
    <w:multiLevelType w:val="hybridMultilevel"/>
    <w:tmpl w:val="51E2BCC0"/>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11262F"/>
    <w:multiLevelType w:val="hybridMultilevel"/>
    <w:tmpl w:val="3FC03AFC"/>
    <w:lvl w:ilvl="0" w:tplc="D71AC13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253983"/>
    <w:multiLevelType w:val="hybridMultilevel"/>
    <w:tmpl w:val="3FC03AFC"/>
    <w:lvl w:ilvl="0" w:tplc="D71AC13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9860BE"/>
    <w:multiLevelType w:val="hybridMultilevel"/>
    <w:tmpl w:val="5DC4A728"/>
    <w:lvl w:ilvl="0" w:tplc="8CFE81E6">
      <w:start w:val="1"/>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A24DD9"/>
    <w:multiLevelType w:val="hybridMultilevel"/>
    <w:tmpl w:val="2F961262"/>
    <w:lvl w:ilvl="0" w:tplc="55CC0B8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2A627C"/>
    <w:multiLevelType w:val="hybridMultilevel"/>
    <w:tmpl w:val="0138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637EA9"/>
    <w:multiLevelType w:val="hybridMultilevel"/>
    <w:tmpl w:val="05B2CBD6"/>
    <w:lvl w:ilvl="0" w:tplc="31BE9A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0F672E"/>
    <w:multiLevelType w:val="hybridMultilevel"/>
    <w:tmpl w:val="2BFCC044"/>
    <w:lvl w:ilvl="0" w:tplc="90C8AB5E">
      <w:start w:val="1"/>
      <w:numFmt w:val="bullet"/>
      <w:lvlText w:val=""/>
      <w:lvlJc w:val="left"/>
      <w:pPr>
        <w:tabs>
          <w:tab w:val="num" w:pos="720"/>
        </w:tabs>
        <w:ind w:left="720" w:hanging="360"/>
      </w:pPr>
      <w:rPr>
        <w:rFonts w:ascii="Wingdings" w:hAnsi="Wingdings" w:hint="default"/>
      </w:rPr>
    </w:lvl>
    <w:lvl w:ilvl="1" w:tplc="DD00DEA8">
      <w:start w:val="1"/>
      <w:numFmt w:val="bullet"/>
      <w:lvlText w:val=""/>
      <w:lvlJc w:val="left"/>
      <w:pPr>
        <w:tabs>
          <w:tab w:val="num" w:pos="1440"/>
        </w:tabs>
        <w:ind w:left="1440" w:hanging="360"/>
      </w:pPr>
      <w:rPr>
        <w:rFonts w:ascii="Wingdings" w:hAnsi="Wingdings" w:hint="default"/>
      </w:rPr>
    </w:lvl>
    <w:lvl w:ilvl="2" w:tplc="8D300986" w:tentative="1">
      <w:start w:val="1"/>
      <w:numFmt w:val="bullet"/>
      <w:lvlText w:val=""/>
      <w:lvlJc w:val="left"/>
      <w:pPr>
        <w:tabs>
          <w:tab w:val="num" w:pos="2160"/>
        </w:tabs>
        <w:ind w:left="2160" w:hanging="360"/>
      </w:pPr>
      <w:rPr>
        <w:rFonts w:ascii="Wingdings" w:hAnsi="Wingdings" w:hint="default"/>
      </w:rPr>
    </w:lvl>
    <w:lvl w:ilvl="3" w:tplc="A328CBAA" w:tentative="1">
      <w:start w:val="1"/>
      <w:numFmt w:val="bullet"/>
      <w:lvlText w:val=""/>
      <w:lvlJc w:val="left"/>
      <w:pPr>
        <w:tabs>
          <w:tab w:val="num" w:pos="2880"/>
        </w:tabs>
        <w:ind w:left="2880" w:hanging="360"/>
      </w:pPr>
      <w:rPr>
        <w:rFonts w:ascii="Wingdings" w:hAnsi="Wingdings" w:hint="default"/>
      </w:rPr>
    </w:lvl>
    <w:lvl w:ilvl="4" w:tplc="EA4C1A6A" w:tentative="1">
      <w:start w:val="1"/>
      <w:numFmt w:val="bullet"/>
      <w:lvlText w:val=""/>
      <w:lvlJc w:val="left"/>
      <w:pPr>
        <w:tabs>
          <w:tab w:val="num" w:pos="3600"/>
        </w:tabs>
        <w:ind w:left="3600" w:hanging="360"/>
      </w:pPr>
      <w:rPr>
        <w:rFonts w:ascii="Wingdings" w:hAnsi="Wingdings" w:hint="default"/>
      </w:rPr>
    </w:lvl>
    <w:lvl w:ilvl="5" w:tplc="AA2E39B4" w:tentative="1">
      <w:start w:val="1"/>
      <w:numFmt w:val="bullet"/>
      <w:lvlText w:val=""/>
      <w:lvlJc w:val="left"/>
      <w:pPr>
        <w:tabs>
          <w:tab w:val="num" w:pos="4320"/>
        </w:tabs>
        <w:ind w:left="4320" w:hanging="360"/>
      </w:pPr>
      <w:rPr>
        <w:rFonts w:ascii="Wingdings" w:hAnsi="Wingdings" w:hint="default"/>
      </w:rPr>
    </w:lvl>
    <w:lvl w:ilvl="6" w:tplc="20084776" w:tentative="1">
      <w:start w:val="1"/>
      <w:numFmt w:val="bullet"/>
      <w:lvlText w:val=""/>
      <w:lvlJc w:val="left"/>
      <w:pPr>
        <w:tabs>
          <w:tab w:val="num" w:pos="5040"/>
        </w:tabs>
        <w:ind w:left="5040" w:hanging="360"/>
      </w:pPr>
      <w:rPr>
        <w:rFonts w:ascii="Wingdings" w:hAnsi="Wingdings" w:hint="default"/>
      </w:rPr>
    </w:lvl>
    <w:lvl w:ilvl="7" w:tplc="08028992" w:tentative="1">
      <w:start w:val="1"/>
      <w:numFmt w:val="bullet"/>
      <w:lvlText w:val=""/>
      <w:lvlJc w:val="left"/>
      <w:pPr>
        <w:tabs>
          <w:tab w:val="num" w:pos="5760"/>
        </w:tabs>
        <w:ind w:left="5760" w:hanging="360"/>
      </w:pPr>
      <w:rPr>
        <w:rFonts w:ascii="Wingdings" w:hAnsi="Wingdings" w:hint="default"/>
      </w:rPr>
    </w:lvl>
    <w:lvl w:ilvl="8" w:tplc="36AA93A8" w:tentative="1">
      <w:start w:val="1"/>
      <w:numFmt w:val="bullet"/>
      <w:lvlText w:val=""/>
      <w:lvlJc w:val="left"/>
      <w:pPr>
        <w:tabs>
          <w:tab w:val="num" w:pos="6480"/>
        </w:tabs>
        <w:ind w:left="6480" w:hanging="360"/>
      </w:pPr>
      <w:rPr>
        <w:rFonts w:ascii="Wingdings" w:hAnsi="Wingdings" w:hint="default"/>
      </w:rPr>
    </w:lvl>
  </w:abstractNum>
  <w:abstractNum w:abstractNumId="14">
    <w:nsid w:val="7F6644A8"/>
    <w:multiLevelType w:val="hybridMultilevel"/>
    <w:tmpl w:val="246CA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D01BEF"/>
    <w:multiLevelType w:val="hybridMultilevel"/>
    <w:tmpl w:val="05B2CBD6"/>
    <w:lvl w:ilvl="0" w:tplc="31BE9A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4"/>
  </w:num>
  <w:num w:numId="4">
    <w:abstractNumId w:val="13"/>
  </w:num>
  <w:num w:numId="5">
    <w:abstractNumId w:val="3"/>
  </w:num>
  <w:num w:numId="6">
    <w:abstractNumId w:val="4"/>
  </w:num>
  <w:num w:numId="7">
    <w:abstractNumId w:val="15"/>
  </w:num>
  <w:num w:numId="8">
    <w:abstractNumId w:val="0"/>
  </w:num>
  <w:num w:numId="9">
    <w:abstractNumId w:val="5"/>
  </w:num>
  <w:num w:numId="10">
    <w:abstractNumId w:val="11"/>
  </w:num>
  <w:num w:numId="11">
    <w:abstractNumId w:val="12"/>
  </w:num>
  <w:num w:numId="12">
    <w:abstractNumId w:val="7"/>
  </w:num>
  <w:num w:numId="13">
    <w:abstractNumId w:val="10"/>
  </w:num>
  <w:num w:numId="14">
    <w:abstractNumId w:val="6"/>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WzMDU0NLQ0NrG0NDdU0lEKTi0uzszPAykwrAUAfFrrFiwAAAA="/>
  </w:docVars>
  <w:rsids>
    <w:rsidRoot w:val="00885B12"/>
    <w:rsid w:val="00026598"/>
    <w:rsid w:val="000527C6"/>
    <w:rsid w:val="00067599"/>
    <w:rsid w:val="00067E10"/>
    <w:rsid w:val="001D1142"/>
    <w:rsid w:val="00211FE1"/>
    <w:rsid w:val="00235EA7"/>
    <w:rsid w:val="004A6D5E"/>
    <w:rsid w:val="005270FA"/>
    <w:rsid w:val="005E6AFA"/>
    <w:rsid w:val="00885B12"/>
    <w:rsid w:val="00A7234F"/>
    <w:rsid w:val="00C307BE"/>
    <w:rsid w:val="00D92419"/>
    <w:rsid w:val="00D930FA"/>
    <w:rsid w:val="00DF1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C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5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5B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5B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85B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85B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85B1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85B12"/>
    <w:pPr>
      <w:ind w:left="720"/>
      <w:contextualSpacing/>
    </w:pPr>
  </w:style>
  <w:style w:type="paragraph" w:styleId="Title">
    <w:name w:val="Title"/>
    <w:basedOn w:val="Normal"/>
    <w:next w:val="Normal"/>
    <w:link w:val="TitleChar"/>
    <w:uiPriority w:val="10"/>
    <w:qFormat/>
    <w:rsid w:val="00885B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5B1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85B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5B12"/>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885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B12"/>
    <w:rPr>
      <w:rFonts w:ascii="Tahoma" w:hAnsi="Tahoma" w:cs="Tahoma"/>
      <w:sz w:val="16"/>
      <w:szCs w:val="16"/>
    </w:rPr>
  </w:style>
  <w:style w:type="paragraph" w:styleId="NoSpacing">
    <w:name w:val="No Spacing"/>
    <w:uiPriority w:val="1"/>
    <w:qFormat/>
    <w:rsid w:val="00885B12"/>
    <w:pPr>
      <w:spacing w:after="0" w:line="240" w:lineRule="auto"/>
    </w:pPr>
  </w:style>
  <w:style w:type="character" w:styleId="Hyperlink">
    <w:name w:val="Hyperlink"/>
    <w:basedOn w:val="DefaultParagraphFont"/>
    <w:uiPriority w:val="99"/>
    <w:unhideWhenUsed/>
    <w:rsid w:val="000675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5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5B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5B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85B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85B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85B1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85B12"/>
    <w:pPr>
      <w:ind w:left="720"/>
      <w:contextualSpacing/>
    </w:pPr>
  </w:style>
  <w:style w:type="paragraph" w:styleId="Title">
    <w:name w:val="Title"/>
    <w:basedOn w:val="Normal"/>
    <w:next w:val="Normal"/>
    <w:link w:val="TitleChar"/>
    <w:uiPriority w:val="10"/>
    <w:qFormat/>
    <w:rsid w:val="00885B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5B1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85B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5B12"/>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885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B12"/>
    <w:rPr>
      <w:rFonts w:ascii="Tahoma" w:hAnsi="Tahoma" w:cs="Tahoma"/>
      <w:sz w:val="16"/>
      <w:szCs w:val="16"/>
    </w:rPr>
  </w:style>
  <w:style w:type="paragraph" w:styleId="NoSpacing">
    <w:name w:val="No Spacing"/>
    <w:uiPriority w:val="1"/>
    <w:qFormat/>
    <w:rsid w:val="00885B12"/>
    <w:pPr>
      <w:spacing w:after="0" w:line="240" w:lineRule="auto"/>
    </w:pPr>
  </w:style>
  <w:style w:type="character" w:styleId="Hyperlink">
    <w:name w:val="Hyperlink"/>
    <w:basedOn w:val="DefaultParagraphFont"/>
    <w:uiPriority w:val="99"/>
    <w:unhideWhenUsed/>
    <w:rsid w:val="000675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51003">
      <w:bodyDiv w:val="1"/>
      <w:marLeft w:val="0"/>
      <w:marRight w:val="0"/>
      <w:marTop w:val="0"/>
      <w:marBottom w:val="0"/>
      <w:divBdr>
        <w:top w:val="none" w:sz="0" w:space="0" w:color="auto"/>
        <w:left w:val="none" w:sz="0" w:space="0" w:color="auto"/>
        <w:bottom w:val="none" w:sz="0" w:space="0" w:color="auto"/>
        <w:right w:val="none" w:sz="0" w:space="0" w:color="auto"/>
      </w:divBdr>
    </w:div>
    <w:div w:id="1071660018">
      <w:bodyDiv w:val="1"/>
      <w:marLeft w:val="0"/>
      <w:marRight w:val="0"/>
      <w:marTop w:val="0"/>
      <w:marBottom w:val="0"/>
      <w:divBdr>
        <w:top w:val="none" w:sz="0" w:space="0" w:color="auto"/>
        <w:left w:val="none" w:sz="0" w:space="0" w:color="auto"/>
        <w:bottom w:val="none" w:sz="0" w:space="0" w:color="auto"/>
        <w:right w:val="none" w:sz="0" w:space="0" w:color="auto"/>
      </w:divBdr>
    </w:div>
    <w:div w:id="1116370860">
      <w:bodyDiv w:val="1"/>
      <w:marLeft w:val="0"/>
      <w:marRight w:val="0"/>
      <w:marTop w:val="0"/>
      <w:marBottom w:val="0"/>
      <w:divBdr>
        <w:top w:val="none" w:sz="0" w:space="0" w:color="auto"/>
        <w:left w:val="none" w:sz="0" w:space="0" w:color="auto"/>
        <w:bottom w:val="none" w:sz="0" w:space="0" w:color="auto"/>
        <w:right w:val="none" w:sz="0" w:space="0" w:color="auto"/>
      </w:divBdr>
      <w:divsChild>
        <w:div w:id="384837323">
          <w:marLeft w:val="1181"/>
          <w:marRight w:val="0"/>
          <w:marTop w:val="0"/>
          <w:marBottom w:val="0"/>
          <w:divBdr>
            <w:top w:val="none" w:sz="0" w:space="0" w:color="auto"/>
            <w:left w:val="none" w:sz="0" w:space="0" w:color="auto"/>
            <w:bottom w:val="none" w:sz="0" w:space="0" w:color="auto"/>
            <w:right w:val="none" w:sz="0" w:space="0" w:color="auto"/>
          </w:divBdr>
        </w:div>
        <w:div w:id="1595941316">
          <w:marLeft w:val="1181"/>
          <w:marRight w:val="0"/>
          <w:marTop w:val="0"/>
          <w:marBottom w:val="0"/>
          <w:divBdr>
            <w:top w:val="none" w:sz="0" w:space="0" w:color="auto"/>
            <w:left w:val="none" w:sz="0" w:space="0" w:color="auto"/>
            <w:bottom w:val="none" w:sz="0" w:space="0" w:color="auto"/>
            <w:right w:val="none" w:sz="0" w:space="0" w:color="auto"/>
          </w:divBdr>
        </w:div>
        <w:div w:id="1000432288">
          <w:marLeft w:val="1181"/>
          <w:marRight w:val="0"/>
          <w:marTop w:val="0"/>
          <w:marBottom w:val="0"/>
          <w:divBdr>
            <w:top w:val="none" w:sz="0" w:space="0" w:color="auto"/>
            <w:left w:val="none" w:sz="0" w:space="0" w:color="auto"/>
            <w:bottom w:val="none" w:sz="0" w:space="0" w:color="auto"/>
            <w:right w:val="none" w:sz="0" w:space="0" w:color="auto"/>
          </w:divBdr>
        </w:div>
        <w:div w:id="1626111789">
          <w:marLeft w:val="1181"/>
          <w:marRight w:val="0"/>
          <w:marTop w:val="0"/>
          <w:marBottom w:val="0"/>
          <w:divBdr>
            <w:top w:val="none" w:sz="0" w:space="0" w:color="auto"/>
            <w:left w:val="none" w:sz="0" w:space="0" w:color="auto"/>
            <w:bottom w:val="none" w:sz="0" w:space="0" w:color="auto"/>
            <w:right w:val="none" w:sz="0" w:space="0" w:color="auto"/>
          </w:divBdr>
        </w:div>
        <w:div w:id="1824277834">
          <w:marLeft w:val="1181"/>
          <w:marRight w:val="0"/>
          <w:marTop w:val="0"/>
          <w:marBottom w:val="0"/>
          <w:divBdr>
            <w:top w:val="none" w:sz="0" w:space="0" w:color="auto"/>
            <w:left w:val="none" w:sz="0" w:space="0" w:color="auto"/>
            <w:bottom w:val="none" w:sz="0" w:space="0" w:color="auto"/>
            <w:right w:val="none" w:sz="0" w:space="0" w:color="auto"/>
          </w:divBdr>
        </w:div>
        <w:div w:id="1240868204">
          <w:marLeft w:val="1181"/>
          <w:marRight w:val="0"/>
          <w:marTop w:val="0"/>
          <w:marBottom w:val="0"/>
          <w:divBdr>
            <w:top w:val="none" w:sz="0" w:space="0" w:color="auto"/>
            <w:left w:val="none" w:sz="0" w:space="0" w:color="auto"/>
            <w:bottom w:val="none" w:sz="0" w:space="0" w:color="auto"/>
            <w:right w:val="none" w:sz="0" w:space="0" w:color="auto"/>
          </w:divBdr>
        </w:div>
      </w:divsChild>
    </w:div>
    <w:div w:id="1177577840">
      <w:bodyDiv w:val="1"/>
      <w:marLeft w:val="0"/>
      <w:marRight w:val="0"/>
      <w:marTop w:val="0"/>
      <w:marBottom w:val="0"/>
      <w:divBdr>
        <w:top w:val="none" w:sz="0" w:space="0" w:color="auto"/>
        <w:left w:val="none" w:sz="0" w:space="0" w:color="auto"/>
        <w:bottom w:val="none" w:sz="0" w:space="0" w:color="auto"/>
        <w:right w:val="none" w:sz="0" w:space="0" w:color="auto"/>
      </w:divBdr>
      <w:divsChild>
        <w:div w:id="735401874">
          <w:marLeft w:val="274"/>
          <w:marRight w:val="0"/>
          <w:marTop w:val="0"/>
          <w:marBottom w:val="0"/>
          <w:divBdr>
            <w:top w:val="none" w:sz="0" w:space="0" w:color="auto"/>
            <w:left w:val="none" w:sz="0" w:space="0" w:color="auto"/>
            <w:bottom w:val="none" w:sz="0" w:space="0" w:color="auto"/>
            <w:right w:val="none" w:sz="0" w:space="0" w:color="auto"/>
          </w:divBdr>
        </w:div>
        <w:div w:id="1487934410">
          <w:marLeft w:val="274"/>
          <w:marRight w:val="0"/>
          <w:marTop w:val="0"/>
          <w:marBottom w:val="0"/>
          <w:divBdr>
            <w:top w:val="none" w:sz="0" w:space="0" w:color="auto"/>
            <w:left w:val="none" w:sz="0" w:space="0" w:color="auto"/>
            <w:bottom w:val="none" w:sz="0" w:space="0" w:color="auto"/>
            <w:right w:val="none" w:sz="0" w:space="0" w:color="auto"/>
          </w:divBdr>
        </w:div>
        <w:div w:id="484392967">
          <w:marLeft w:val="274"/>
          <w:marRight w:val="0"/>
          <w:marTop w:val="0"/>
          <w:marBottom w:val="0"/>
          <w:divBdr>
            <w:top w:val="none" w:sz="0" w:space="0" w:color="auto"/>
            <w:left w:val="none" w:sz="0" w:space="0" w:color="auto"/>
            <w:bottom w:val="none" w:sz="0" w:space="0" w:color="auto"/>
            <w:right w:val="none" w:sz="0" w:space="0" w:color="auto"/>
          </w:divBdr>
        </w:div>
        <w:div w:id="2112965760">
          <w:marLeft w:val="1166"/>
          <w:marRight w:val="0"/>
          <w:marTop w:val="80"/>
          <w:marBottom w:val="0"/>
          <w:divBdr>
            <w:top w:val="none" w:sz="0" w:space="0" w:color="auto"/>
            <w:left w:val="none" w:sz="0" w:space="0" w:color="auto"/>
            <w:bottom w:val="none" w:sz="0" w:space="0" w:color="auto"/>
            <w:right w:val="none" w:sz="0" w:space="0" w:color="auto"/>
          </w:divBdr>
        </w:div>
        <w:div w:id="353385701">
          <w:marLeft w:val="1166"/>
          <w:marRight w:val="0"/>
          <w:marTop w:val="80"/>
          <w:marBottom w:val="0"/>
          <w:divBdr>
            <w:top w:val="none" w:sz="0" w:space="0" w:color="auto"/>
            <w:left w:val="none" w:sz="0" w:space="0" w:color="auto"/>
            <w:bottom w:val="none" w:sz="0" w:space="0" w:color="auto"/>
            <w:right w:val="none" w:sz="0" w:space="0" w:color="auto"/>
          </w:divBdr>
        </w:div>
        <w:div w:id="1064990770">
          <w:marLeft w:val="1166"/>
          <w:marRight w:val="0"/>
          <w:marTop w:val="80"/>
          <w:marBottom w:val="0"/>
          <w:divBdr>
            <w:top w:val="none" w:sz="0" w:space="0" w:color="auto"/>
            <w:left w:val="none" w:sz="0" w:space="0" w:color="auto"/>
            <w:bottom w:val="none" w:sz="0" w:space="0" w:color="auto"/>
            <w:right w:val="none" w:sz="0" w:space="0" w:color="auto"/>
          </w:divBdr>
        </w:div>
      </w:divsChild>
    </w:div>
    <w:div w:id="2117602117">
      <w:bodyDiv w:val="1"/>
      <w:marLeft w:val="0"/>
      <w:marRight w:val="0"/>
      <w:marTop w:val="0"/>
      <w:marBottom w:val="0"/>
      <w:divBdr>
        <w:top w:val="none" w:sz="0" w:space="0" w:color="auto"/>
        <w:left w:val="none" w:sz="0" w:space="0" w:color="auto"/>
        <w:bottom w:val="none" w:sz="0" w:space="0" w:color="auto"/>
        <w:right w:val="none" w:sz="0" w:space="0" w:color="auto"/>
      </w:divBdr>
      <w:divsChild>
        <w:div w:id="1157844593">
          <w:marLeft w:val="274"/>
          <w:marRight w:val="0"/>
          <w:marTop w:val="0"/>
          <w:marBottom w:val="0"/>
          <w:divBdr>
            <w:top w:val="none" w:sz="0" w:space="0" w:color="auto"/>
            <w:left w:val="none" w:sz="0" w:space="0" w:color="auto"/>
            <w:bottom w:val="none" w:sz="0" w:space="0" w:color="auto"/>
            <w:right w:val="none" w:sz="0" w:space="0" w:color="auto"/>
          </w:divBdr>
        </w:div>
        <w:div w:id="47076544">
          <w:marLeft w:val="274"/>
          <w:marRight w:val="0"/>
          <w:marTop w:val="0"/>
          <w:marBottom w:val="0"/>
          <w:divBdr>
            <w:top w:val="none" w:sz="0" w:space="0" w:color="auto"/>
            <w:left w:val="none" w:sz="0" w:space="0" w:color="auto"/>
            <w:bottom w:val="none" w:sz="0" w:space="0" w:color="auto"/>
            <w:right w:val="none" w:sz="0" w:space="0" w:color="auto"/>
          </w:divBdr>
        </w:div>
        <w:div w:id="1068305130">
          <w:marLeft w:val="1181"/>
          <w:marRight w:val="0"/>
          <w:marTop w:val="0"/>
          <w:marBottom w:val="0"/>
          <w:divBdr>
            <w:top w:val="none" w:sz="0" w:space="0" w:color="auto"/>
            <w:left w:val="none" w:sz="0" w:space="0" w:color="auto"/>
            <w:bottom w:val="none" w:sz="0" w:space="0" w:color="auto"/>
            <w:right w:val="none" w:sz="0" w:space="0" w:color="auto"/>
          </w:divBdr>
        </w:div>
        <w:div w:id="155344226">
          <w:marLeft w:val="1181"/>
          <w:marRight w:val="0"/>
          <w:marTop w:val="0"/>
          <w:marBottom w:val="0"/>
          <w:divBdr>
            <w:top w:val="none" w:sz="0" w:space="0" w:color="auto"/>
            <w:left w:val="none" w:sz="0" w:space="0" w:color="auto"/>
            <w:bottom w:val="none" w:sz="0" w:space="0" w:color="auto"/>
            <w:right w:val="none" w:sz="0" w:space="0" w:color="auto"/>
          </w:divBdr>
        </w:div>
        <w:div w:id="420613467">
          <w:marLeft w:val="1181"/>
          <w:marRight w:val="0"/>
          <w:marTop w:val="0"/>
          <w:marBottom w:val="0"/>
          <w:divBdr>
            <w:top w:val="none" w:sz="0" w:space="0" w:color="auto"/>
            <w:left w:val="none" w:sz="0" w:space="0" w:color="auto"/>
            <w:bottom w:val="none" w:sz="0" w:space="0" w:color="auto"/>
            <w:right w:val="none" w:sz="0" w:space="0" w:color="auto"/>
          </w:divBdr>
        </w:div>
        <w:div w:id="1669089592">
          <w:marLeft w:val="118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Colors" Target="diagrams/colors1.xml"/><Relationship Id="rId5" Type="http://schemas.openxmlformats.org/officeDocument/2006/relationships/settings" Target="settings.xml"/><Relationship Id="rId15" Type="http://schemas.openxmlformats.org/officeDocument/2006/relationships/hyperlink" Target="mailto:PCAfeedback@massmail.state.ma.us" TargetMode="External"/><Relationship Id="rId10" Type="http://schemas.openxmlformats.org/officeDocument/2006/relationships/diagramQuickStyle" Target="diagrams/quickStyle1.xml"/><Relationship Id="rId4" Type="http://schemas.microsoft.com/office/2007/relationships/stylesWithEffects" Target="stylesWithEffects.xml"/><Relationship Id="rId9" Type="http://schemas.openxmlformats.org/officeDocument/2006/relationships/diagramLayout" Target="diagrams/layout1.xml"/><Relationship Id="rId14" Type="http://schemas.openxmlformats.org/officeDocument/2006/relationships/hyperlink" Target="https://www.mass.gov/service-details/pca-program-enhancements"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FCB92D-C456-4F67-9657-3D197C06A744}" type="doc">
      <dgm:prSet loTypeId="urn:microsoft.com/office/officeart/2005/8/layout/lProcess3" loCatId="process" qsTypeId="urn:microsoft.com/office/officeart/2005/8/quickstyle/simple1" qsCatId="simple" csTypeId="urn:microsoft.com/office/officeart/2005/8/colors/colorful3" csCatId="colorful" phldr="1"/>
      <dgm:spPr/>
      <dgm:t>
        <a:bodyPr/>
        <a:lstStyle/>
        <a:p>
          <a:endParaRPr lang="en-US"/>
        </a:p>
      </dgm:t>
    </dgm:pt>
    <dgm:pt modelId="{D721AFBC-AA65-4DCA-98E9-AFCF1593F821}">
      <dgm:prSet phldrT="[Text]" custT="1"/>
      <dgm:spPr>
        <a:xfrm>
          <a:off x="4885" y="984740"/>
          <a:ext cx="2506340" cy="1002536"/>
        </a:xfrm>
        <a:solidFill>
          <a:srgbClr val="0066CC">
            <a:hueOff val="0"/>
            <a:satOff val="0"/>
            <a:lumOff val="0"/>
            <a:alphaOff val="0"/>
          </a:srgbClr>
        </a:solidFill>
        <a:ln w="25400" cap="flat" cmpd="sng" algn="ctr">
          <a:solidFill>
            <a:srgbClr val="FFFFFF">
              <a:hueOff val="0"/>
              <a:satOff val="0"/>
              <a:lumOff val="0"/>
              <a:alphaOff val="0"/>
            </a:srgbClr>
          </a:solidFill>
          <a:prstDash val="solid"/>
        </a:ln>
        <a:effectLst/>
      </dgm:spPr>
      <dgm:t>
        <a:bodyPr/>
        <a:lstStyle/>
        <a:p>
          <a:r>
            <a:rPr lang="en-US" sz="1800" dirty="0">
              <a:solidFill>
                <a:srgbClr val="FFFFFF"/>
              </a:solidFill>
              <a:latin typeface="Arial"/>
              <a:ea typeface="+mn-ea"/>
              <a:cs typeface="+mn-cs"/>
            </a:rPr>
            <a:t>Identify program challenges</a:t>
          </a:r>
        </a:p>
      </dgm:t>
    </dgm:pt>
    <dgm:pt modelId="{9314D0CE-CFD0-4D2C-A98F-D18EB1699B31}" type="parTrans" cxnId="{F9EEB253-F0A4-4236-82DA-4214C75B0506}">
      <dgm:prSet/>
      <dgm:spPr/>
      <dgm:t>
        <a:bodyPr/>
        <a:lstStyle/>
        <a:p>
          <a:endParaRPr lang="en-US"/>
        </a:p>
      </dgm:t>
    </dgm:pt>
    <dgm:pt modelId="{33DD9961-DE08-44BD-BF4D-6128E01D1C83}" type="sibTrans" cxnId="{F9EEB253-F0A4-4236-82DA-4214C75B0506}">
      <dgm:prSet/>
      <dgm:spPr/>
      <dgm:t>
        <a:bodyPr/>
        <a:lstStyle/>
        <a:p>
          <a:endParaRPr lang="en-US"/>
        </a:p>
      </dgm:t>
    </dgm:pt>
    <dgm:pt modelId="{5947291B-D5B1-48D1-933B-538E68FAF2FC}">
      <dgm:prSet phldrT="[Text]"/>
      <dgm:spPr>
        <a:xfrm>
          <a:off x="2185401" y="1069956"/>
          <a:ext cx="2080262" cy="832104"/>
        </a:xfrm>
        <a:solidFill>
          <a:srgbClr val="0066CC">
            <a:tint val="40000"/>
            <a:alpha val="90000"/>
            <a:hueOff val="0"/>
            <a:satOff val="0"/>
            <a:lumOff val="0"/>
            <a:alphaOff val="0"/>
          </a:srgbClr>
        </a:solidFill>
        <a:ln w="25400" cap="flat" cmpd="sng" algn="ctr">
          <a:solidFill>
            <a:srgbClr val="0066CC">
              <a:tint val="40000"/>
              <a:alpha val="90000"/>
              <a:hueOff val="0"/>
              <a:satOff val="0"/>
              <a:lumOff val="0"/>
              <a:alphaOff val="0"/>
            </a:srgbClr>
          </a:solidFill>
          <a:prstDash val="solid"/>
        </a:ln>
        <a:effectLst/>
      </dgm:spPr>
      <dgm:t>
        <a:bodyPr/>
        <a:lstStyle/>
        <a:p>
          <a:r>
            <a:rPr lang="en-US" dirty="0">
              <a:solidFill>
                <a:srgbClr val="000000">
                  <a:hueOff val="0"/>
                  <a:satOff val="0"/>
                  <a:lumOff val="0"/>
                  <a:alphaOff val="0"/>
                </a:srgbClr>
              </a:solidFill>
              <a:latin typeface="Arial"/>
              <a:ea typeface="+mn-ea"/>
              <a:cs typeface="+mn-cs"/>
            </a:rPr>
            <a:t>Hosted public listening sessions</a:t>
          </a:r>
        </a:p>
      </dgm:t>
    </dgm:pt>
    <dgm:pt modelId="{E4832D33-B62F-47D2-BD44-8CB3532A98EF}" type="parTrans" cxnId="{A2896347-2F4C-4FD0-9A44-B21D027C96BD}">
      <dgm:prSet/>
      <dgm:spPr/>
      <dgm:t>
        <a:bodyPr/>
        <a:lstStyle/>
        <a:p>
          <a:endParaRPr lang="en-US"/>
        </a:p>
      </dgm:t>
    </dgm:pt>
    <dgm:pt modelId="{5CDEF8A5-343A-406F-94F1-E5E4178B0F09}" type="sibTrans" cxnId="{A2896347-2F4C-4FD0-9A44-B21D027C96BD}">
      <dgm:prSet/>
      <dgm:spPr/>
      <dgm:t>
        <a:bodyPr/>
        <a:lstStyle/>
        <a:p>
          <a:endParaRPr lang="en-US"/>
        </a:p>
      </dgm:t>
    </dgm:pt>
    <dgm:pt modelId="{014EF6B9-EF6F-4CC6-8474-11E3E9DD8726}">
      <dgm:prSet phldrT="[Text]"/>
      <dgm:spPr>
        <a:xfrm>
          <a:off x="3974426" y="1069956"/>
          <a:ext cx="2080262" cy="832104"/>
        </a:xfrm>
        <a:solidFill>
          <a:srgbClr val="0066CC">
            <a:tint val="40000"/>
            <a:alpha val="90000"/>
            <a:hueOff val="26900"/>
            <a:satOff val="-6614"/>
            <a:lumOff val="-850"/>
            <a:alphaOff val="0"/>
          </a:srgbClr>
        </a:solidFill>
        <a:ln w="25400" cap="flat" cmpd="sng" algn="ctr">
          <a:solidFill>
            <a:srgbClr val="0066CC">
              <a:tint val="40000"/>
              <a:alpha val="90000"/>
              <a:hueOff val="26900"/>
              <a:satOff val="-6614"/>
              <a:lumOff val="-850"/>
              <a:alphaOff val="0"/>
            </a:srgbClr>
          </a:solidFill>
          <a:prstDash val="solid"/>
        </a:ln>
        <a:effectLst/>
      </dgm:spPr>
      <dgm:t>
        <a:bodyPr/>
        <a:lstStyle/>
        <a:p>
          <a:r>
            <a:rPr lang="en-US" dirty="0">
              <a:solidFill>
                <a:srgbClr val="000000">
                  <a:hueOff val="0"/>
                  <a:satOff val="0"/>
                  <a:lumOff val="0"/>
                  <a:alphaOff val="0"/>
                </a:srgbClr>
              </a:solidFill>
              <a:latin typeface="Arial"/>
              <a:ea typeface="+mn-ea"/>
              <a:cs typeface="+mn-cs"/>
            </a:rPr>
            <a:t>Held stakeholder engagement meetings</a:t>
          </a:r>
        </a:p>
      </dgm:t>
    </dgm:pt>
    <dgm:pt modelId="{9DAEAB7B-630B-4080-B2CD-A6C1B787BD99}" type="parTrans" cxnId="{E2DA38A7-C117-4CE6-8ED7-869EDB961AA5}">
      <dgm:prSet/>
      <dgm:spPr/>
      <dgm:t>
        <a:bodyPr/>
        <a:lstStyle/>
        <a:p>
          <a:endParaRPr lang="en-US"/>
        </a:p>
      </dgm:t>
    </dgm:pt>
    <dgm:pt modelId="{15B7AD63-9EE4-4FA6-BD97-B41BB8358E1C}" type="sibTrans" cxnId="{E2DA38A7-C117-4CE6-8ED7-869EDB961AA5}">
      <dgm:prSet/>
      <dgm:spPr/>
      <dgm:t>
        <a:bodyPr/>
        <a:lstStyle/>
        <a:p>
          <a:endParaRPr lang="en-US"/>
        </a:p>
      </dgm:t>
    </dgm:pt>
    <dgm:pt modelId="{DF6B6A81-FF97-42A2-AA66-FE26C30DF494}">
      <dgm:prSet phldrT="[Text]" custT="1"/>
      <dgm:spPr>
        <a:xfrm>
          <a:off x="4885" y="2127631"/>
          <a:ext cx="2506340" cy="1002536"/>
        </a:xfrm>
        <a:solidFill>
          <a:srgbClr val="0066CC">
            <a:hueOff val="131326"/>
            <a:satOff val="0"/>
            <a:lumOff val="-10589"/>
            <a:alphaOff val="0"/>
          </a:srgbClr>
        </a:solidFill>
        <a:ln w="25400" cap="flat" cmpd="sng" algn="ctr">
          <a:solidFill>
            <a:srgbClr val="FFFFFF">
              <a:hueOff val="0"/>
              <a:satOff val="0"/>
              <a:lumOff val="0"/>
              <a:alphaOff val="0"/>
            </a:srgbClr>
          </a:solidFill>
          <a:prstDash val="solid"/>
        </a:ln>
        <a:effectLst/>
      </dgm:spPr>
      <dgm:t>
        <a:bodyPr/>
        <a:lstStyle/>
        <a:p>
          <a:r>
            <a:rPr lang="en-US" sz="1800" dirty="0">
              <a:solidFill>
                <a:srgbClr val="FFFFFF"/>
              </a:solidFill>
              <a:latin typeface="Arial"/>
              <a:ea typeface="+mn-ea"/>
              <a:cs typeface="+mn-cs"/>
            </a:rPr>
            <a:t>Solicit input on solutions</a:t>
          </a:r>
        </a:p>
      </dgm:t>
    </dgm:pt>
    <dgm:pt modelId="{F1901A0D-9160-4D9D-8A4F-F04A13DEE922}" type="parTrans" cxnId="{3E179971-AD65-4B11-BD52-498FC2D58F33}">
      <dgm:prSet/>
      <dgm:spPr/>
      <dgm:t>
        <a:bodyPr/>
        <a:lstStyle/>
        <a:p>
          <a:endParaRPr lang="en-US"/>
        </a:p>
      </dgm:t>
    </dgm:pt>
    <dgm:pt modelId="{FB154D67-01D2-4A2F-A349-F4ECA94C629F}" type="sibTrans" cxnId="{3E179971-AD65-4B11-BD52-498FC2D58F33}">
      <dgm:prSet/>
      <dgm:spPr/>
      <dgm:t>
        <a:bodyPr/>
        <a:lstStyle/>
        <a:p>
          <a:endParaRPr lang="en-US"/>
        </a:p>
      </dgm:t>
    </dgm:pt>
    <dgm:pt modelId="{4F71EBD1-B256-4E94-8FF4-0D569CA03022}">
      <dgm:prSet phldrT="[Text]"/>
      <dgm:spPr>
        <a:xfrm>
          <a:off x="2185401" y="2212847"/>
          <a:ext cx="2080262" cy="832104"/>
        </a:xfrm>
        <a:solidFill>
          <a:srgbClr val="0066CC">
            <a:tint val="40000"/>
            <a:alpha val="90000"/>
            <a:hueOff val="53801"/>
            <a:satOff val="-13227"/>
            <a:lumOff val="-1700"/>
            <a:alphaOff val="0"/>
          </a:srgbClr>
        </a:solidFill>
        <a:ln w="25400" cap="flat" cmpd="sng" algn="ctr">
          <a:solidFill>
            <a:srgbClr val="0066CC">
              <a:tint val="40000"/>
              <a:alpha val="90000"/>
              <a:hueOff val="53801"/>
              <a:satOff val="-13227"/>
              <a:lumOff val="-1700"/>
              <a:alphaOff val="0"/>
            </a:srgbClr>
          </a:solidFill>
          <a:prstDash val="solid"/>
        </a:ln>
        <a:effectLst/>
      </dgm:spPr>
      <dgm:t>
        <a:bodyPr/>
        <a:lstStyle/>
        <a:p>
          <a:r>
            <a:rPr lang="en-US" dirty="0">
              <a:solidFill>
                <a:srgbClr val="000000">
                  <a:hueOff val="0"/>
                  <a:satOff val="0"/>
                  <a:lumOff val="0"/>
                  <a:alphaOff val="0"/>
                </a:srgbClr>
              </a:solidFill>
              <a:latin typeface="Arial"/>
              <a:ea typeface="+mn-ea"/>
              <a:cs typeface="+mn-cs"/>
            </a:rPr>
            <a:t>Formed PCA Enhancements Advisory Group</a:t>
          </a:r>
        </a:p>
      </dgm:t>
    </dgm:pt>
    <dgm:pt modelId="{26296A3F-220A-4BA7-84F6-C31985A95622}" type="parTrans" cxnId="{164C107B-F575-45E0-AC99-CE6584057F21}">
      <dgm:prSet/>
      <dgm:spPr/>
      <dgm:t>
        <a:bodyPr/>
        <a:lstStyle/>
        <a:p>
          <a:endParaRPr lang="en-US"/>
        </a:p>
      </dgm:t>
    </dgm:pt>
    <dgm:pt modelId="{ADBA1AD4-69C3-41AA-B7BA-4A7E647FC107}" type="sibTrans" cxnId="{164C107B-F575-45E0-AC99-CE6584057F21}">
      <dgm:prSet/>
      <dgm:spPr/>
      <dgm:t>
        <a:bodyPr/>
        <a:lstStyle/>
        <a:p>
          <a:endParaRPr lang="en-US"/>
        </a:p>
      </dgm:t>
    </dgm:pt>
    <dgm:pt modelId="{E5AB9E0D-A502-45A3-B142-C46606E0F38E}">
      <dgm:prSet phldrT="[Text]"/>
      <dgm:spPr>
        <a:xfrm>
          <a:off x="3974426" y="2212847"/>
          <a:ext cx="2080262" cy="832104"/>
        </a:xfrm>
        <a:solidFill>
          <a:srgbClr val="0066CC">
            <a:tint val="40000"/>
            <a:alpha val="90000"/>
            <a:hueOff val="80701"/>
            <a:satOff val="-19841"/>
            <a:lumOff val="-2549"/>
            <a:alphaOff val="0"/>
          </a:srgbClr>
        </a:solidFill>
        <a:ln w="25400" cap="flat" cmpd="sng" algn="ctr">
          <a:solidFill>
            <a:srgbClr val="0066CC">
              <a:tint val="40000"/>
              <a:alpha val="90000"/>
              <a:hueOff val="80701"/>
              <a:satOff val="-19841"/>
              <a:lumOff val="-2549"/>
              <a:alphaOff val="0"/>
            </a:srgbClr>
          </a:solidFill>
          <a:prstDash val="solid"/>
        </a:ln>
        <a:effectLst/>
      </dgm:spPr>
      <dgm:t>
        <a:bodyPr/>
        <a:lstStyle/>
        <a:p>
          <a:r>
            <a:rPr lang="en-US" dirty="0">
              <a:solidFill>
                <a:srgbClr val="000000">
                  <a:hueOff val="0"/>
                  <a:satOff val="0"/>
                  <a:lumOff val="0"/>
                  <a:alphaOff val="0"/>
                </a:srgbClr>
              </a:solidFill>
              <a:latin typeface="Arial"/>
              <a:ea typeface="+mn-ea"/>
              <a:cs typeface="+mn-cs"/>
            </a:rPr>
            <a:t>Hosting public listening sessions</a:t>
          </a:r>
        </a:p>
      </dgm:t>
    </dgm:pt>
    <dgm:pt modelId="{E9F86A72-F596-40BE-B227-2130F06708FB}" type="parTrans" cxnId="{77A7E132-C7C0-437E-87B8-7D1D2ABE8754}">
      <dgm:prSet/>
      <dgm:spPr/>
      <dgm:t>
        <a:bodyPr/>
        <a:lstStyle/>
        <a:p>
          <a:endParaRPr lang="en-US"/>
        </a:p>
      </dgm:t>
    </dgm:pt>
    <dgm:pt modelId="{78ED012F-F7C8-45B8-94D3-3EF8047CA3FF}" type="sibTrans" cxnId="{77A7E132-C7C0-437E-87B8-7D1D2ABE8754}">
      <dgm:prSet/>
      <dgm:spPr/>
      <dgm:t>
        <a:bodyPr/>
        <a:lstStyle/>
        <a:p>
          <a:endParaRPr lang="en-US"/>
        </a:p>
      </dgm:t>
    </dgm:pt>
    <dgm:pt modelId="{C5804253-CA60-464D-B06F-63764E9D05BF}">
      <dgm:prSet phldrT="[Text]" custT="1"/>
      <dgm:spPr>
        <a:xfrm>
          <a:off x="4885" y="3270523"/>
          <a:ext cx="2506340" cy="1002536"/>
        </a:xfrm>
        <a:solidFill>
          <a:srgbClr val="0066CC">
            <a:hueOff val="262653"/>
            <a:satOff val="0"/>
            <a:lumOff val="-21177"/>
            <a:alphaOff val="0"/>
          </a:srgbClr>
        </a:solidFill>
        <a:ln w="25400" cap="flat" cmpd="sng" algn="ctr">
          <a:solidFill>
            <a:srgbClr val="FFFFFF">
              <a:hueOff val="0"/>
              <a:satOff val="0"/>
              <a:lumOff val="0"/>
              <a:alphaOff val="0"/>
            </a:srgbClr>
          </a:solidFill>
          <a:prstDash val="solid"/>
        </a:ln>
        <a:effectLst/>
      </dgm:spPr>
      <dgm:t>
        <a:bodyPr/>
        <a:lstStyle/>
        <a:p>
          <a:r>
            <a:rPr lang="en-US" sz="1800" dirty="0">
              <a:solidFill>
                <a:srgbClr val="FFFFFF"/>
              </a:solidFill>
              <a:latin typeface="Arial"/>
              <a:ea typeface="+mn-ea"/>
              <a:cs typeface="+mn-cs"/>
            </a:rPr>
            <a:t>Address input</a:t>
          </a:r>
        </a:p>
      </dgm:t>
    </dgm:pt>
    <dgm:pt modelId="{0CE25B6C-45D2-4F8D-B8B2-0B5CAA95C00A}" type="parTrans" cxnId="{CC229882-D883-4656-B7F7-09A4455761AC}">
      <dgm:prSet/>
      <dgm:spPr/>
      <dgm:t>
        <a:bodyPr/>
        <a:lstStyle/>
        <a:p>
          <a:endParaRPr lang="en-US"/>
        </a:p>
      </dgm:t>
    </dgm:pt>
    <dgm:pt modelId="{E07A0401-F5F1-428E-8A2C-EBB4492286D2}" type="sibTrans" cxnId="{CC229882-D883-4656-B7F7-09A4455761AC}">
      <dgm:prSet/>
      <dgm:spPr/>
      <dgm:t>
        <a:bodyPr/>
        <a:lstStyle/>
        <a:p>
          <a:endParaRPr lang="en-US"/>
        </a:p>
      </dgm:t>
    </dgm:pt>
    <dgm:pt modelId="{533D1F67-59A1-40CF-8D9E-F661B5513C48}">
      <dgm:prSet phldrT="[Text]"/>
      <dgm:spPr>
        <a:xfrm>
          <a:off x="2185401" y="3355738"/>
          <a:ext cx="2080262" cy="832104"/>
        </a:xfrm>
        <a:solidFill>
          <a:srgbClr val="0066CC">
            <a:tint val="40000"/>
            <a:alpha val="90000"/>
            <a:hueOff val="134502"/>
            <a:satOff val="-33068"/>
            <a:lumOff val="-4249"/>
            <a:alphaOff val="0"/>
          </a:srgbClr>
        </a:solidFill>
        <a:ln w="25400" cap="flat" cmpd="sng" algn="ctr">
          <a:solidFill>
            <a:srgbClr val="0066CC">
              <a:tint val="40000"/>
              <a:alpha val="90000"/>
              <a:hueOff val="134502"/>
              <a:satOff val="-33068"/>
              <a:lumOff val="-4249"/>
              <a:alphaOff val="0"/>
            </a:srgbClr>
          </a:solidFill>
          <a:prstDash val="solid"/>
        </a:ln>
        <a:effectLst/>
      </dgm:spPr>
      <dgm:t>
        <a:bodyPr/>
        <a:lstStyle/>
        <a:p>
          <a:r>
            <a:rPr lang="en-US" dirty="0">
              <a:solidFill>
                <a:srgbClr val="000000">
                  <a:hueOff val="0"/>
                  <a:satOff val="0"/>
                  <a:lumOff val="0"/>
                  <a:alphaOff val="0"/>
                </a:srgbClr>
              </a:solidFill>
              <a:latin typeface="Arial"/>
              <a:ea typeface="+mn-ea"/>
              <a:cs typeface="+mn-cs"/>
            </a:rPr>
            <a:t>Review RFI responses</a:t>
          </a:r>
        </a:p>
      </dgm:t>
    </dgm:pt>
    <dgm:pt modelId="{CE1363B6-ACCC-4CFF-A4F4-41E83C2C36AB}" type="parTrans" cxnId="{7B46F563-9AB5-496A-AF81-50A732EF4ABA}">
      <dgm:prSet/>
      <dgm:spPr/>
      <dgm:t>
        <a:bodyPr/>
        <a:lstStyle/>
        <a:p>
          <a:endParaRPr lang="en-US"/>
        </a:p>
      </dgm:t>
    </dgm:pt>
    <dgm:pt modelId="{999C27F6-E8F0-4D69-B18D-CE1220BEB763}" type="sibTrans" cxnId="{7B46F563-9AB5-496A-AF81-50A732EF4ABA}">
      <dgm:prSet/>
      <dgm:spPr/>
      <dgm:t>
        <a:bodyPr/>
        <a:lstStyle/>
        <a:p>
          <a:endParaRPr lang="en-US"/>
        </a:p>
      </dgm:t>
    </dgm:pt>
    <dgm:pt modelId="{5C57E667-D377-4DD0-8A4B-AEEC3FB349EA}">
      <dgm:prSet phldrT="[Text]"/>
      <dgm:spPr>
        <a:xfrm>
          <a:off x="3974426" y="3355738"/>
          <a:ext cx="2080262" cy="832104"/>
        </a:xfrm>
        <a:solidFill>
          <a:srgbClr val="0066CC">
            <a:tint val="40000"/>
            <a:alpha val="90000"/>
            <a:hueOff val="161403"/>
            <a:satOff val="-39682"/>
            <a:lumOff val="-5099"/>
            <a:alphaOff val="0"/>
          </a:srgbClr>
        </a:solidFill>
        <a:ln w="25400" cap="flat" cmpd="sng" algn="ctr">
          <a:solidFill>
            <a:srgbClr val="0066CC">
              <a:tint val="40000"/>
              <a:alpha val="90000"/>
              <a:hueOff val="161403"/>
              <a:satOff val="-39682"/>
              <a:lumOff val="-5099"/>
              <a:alphaOff val="0"/>
            </a:srgbClr>
          </a:solidFill>
          <a:prstDash val="solid"/>
        </a:ln>
        <a:effectLst/>
      </dgm:spPr>
      <dgm:t>
        <a:bodyPr/>
        <a:lstStyle/>
        <a:p>
          <a:r>
            <a:rPr lang="en-US" dirty="0">
              <a:solidFill>
                <a:srgbClr val="000000">
                  <a:hueOff val="0"/>
                  <a:satOff val="0"/>
                  <a:lumOff val="0"/>
                  <a:alphaOff val="0"/>
                </a:srgbClr>
              </a:solidFill>
              <a:latin typeface="Arial"/>
              <a:ea typeface="+mn-ea"/>
              <a:cs typeface="+mn-cs"/>
            </a:rPr>
            <a:t>Inform future policy decisions</a:t>
          </a:r>
        </a:p>
      </dgm:t>
    </dgm:pt>
    <dgm:pt modelId="{7FEFED16-A808-4FE4-BCC1-E9AF598766F6}" type="parTrans" cxnId="{1AB9509A-1BC1-4452-8A5A-25DC4D2E4A65}">
      <dgm:prSet/>
      <dgm:spPr/>
      <dgm:t>
        <a:bodyPr/>
        <a:lstStyle/>
        <a:p>
          <a:endParaRPr lang="en-US"/>
        </a:p>
      </dgm:t>
    </dgm:pt>
    <dgm:pt modelId="{C6E98197-97CE-4EB3-9B27-572A084E5852}" type="sibTrans" cxnId="{1AB9509A-1BC1-4452-8A5A-25DC4D2E4A65}">
      <dgm:prSet/>
      <dgm:spPr/>
      <dgm:t>
        <a:bodyPr/>
        <a:lstStyle/>
        <a:p>
          <a:endParaRPr lang="en-US"/>
        </a:p>
      </dgm:t>
    </dgm:pt>
    <dgm:pt modelId="{A60B2A27-05B6-4622-8473-1878E45F17A1}">
      <dgm:prSet/>
      <dgm:spPr>
        <a:xfrm>
          <a:off x="5763452" y="2212847"/>
          <a:ext cx="2080262" cy="832104"/>
        </a:xfrm>
        <a:solidFill>
          <a:srgbClr val="0066CC">
            <a:tint val="40000"/>
            <a:alpha val="90000"/>
            <a:hueOff val="107602"/>
            <a:satOff val="-26455"/>
            <a:lumOff val="-3399"/>
            <a:alphaOff val="0"/>
          </a:srgbClr>
        </a:solidFill>
        <a:ln w="25400" cap="flat" cmpd="sng" algn="ctr">
          <a:solidFill>
            <a:srgbClr val="0066CC">
              <a:tint val="40000"/>
              <a:alpha val="90000"/>
              <a:hueOff val="107602"/>
              <a:satOff val="-26455"/>
              <a:lumOff val="-3399"/>
              <a:alphaOff val="0"/>
            </a:srgbClr>
          </a:solidFill>
          <a:prstDash val="solid"/>
        </a:ln>
        <a:effectLst/>
      </dgm:spPr>
      <dgm:t>
        <a:bodyPr/>
        <a:lstStyle/>
        <a:p>
          <a:r>
            <a:rPr lang="en-US" dirty="0">
              <a:solidFill>
                <a:srgbClr val="000000">
                  <a:hueOff val="0"/>
                  <a:satOff val="0"/>
                  <a:lumOff val="0"/>
                  <a:alphaOff val="0"/>
                </a:srgbClr>
              </a:solidFill>
              <a:latin typeface="Arial"/>
              <a:ea typeface="+mn-ea"/>
              <a:cs typeface="+mn-cs"/>
            </a:rPr>
            <a:t>Issue Request for Information (RFI)</a:t>
          </a:r>
        </a:p>
      </dgm:t>
    </dgm:pt>
    <dgm:pt modelId="{2A0827AE-E54A-41E2-8F02-153F6EE14C37}" type="parTrans" cxnId="{5E238B63-FA92-466A-AEBE-BCC3C1077851}">
      <dgm:prSet/>
      <dgm:spPr/>
      <dgm:t>
        <a:bodyPr/>
        <a:lstStyle/>
        <a:p>
          <a:endParaRPr lang="en-US"/>
        </a:p>
      </dgm:t>
    </dgm:pt>
    <dgm:pt modelId="{2D36CAB8-29E0-40B5-A6EE-C24B3BDECDF6}" type="sibTrans" cxnId="{5E238B63-FA92-466A-AEBE-BCC3C1077851}">
      <dgm:prSet/>
      <dgm:spPr/>
      <dgm:t>
        <a:bodyPr/>
        <a:lstStyle/>
        <a:p>
          <a:endParaRPr lang="en-US"/>
        </a:p>
      </dgm:t>
    </dgm:pt>
    <dgm:pt modelId="{C2283864-7BFB-4158-A6ED-69B8059AF1BF}" type="pres">
      <dgm:prSet presAssocID="{13FCB92D-C456-4F67-9657-3D197C06A744}" presName="Name0" presStyleCnt="0">
        <dgm:presLayoutVars>
          <dgm:chPref val="3"/>
          <dgm:dir/>
          <dgm:animLvl val="lvl"/>
          <dgm:resizeHandles/>
        </dgm:presLayoutVars>
      </dgm:prSet>
      <dgm:spPr/>
      <dgm:t>
        <a:bodyPr/>
        <a:lstStyle/>
        <a:p>
          <a:endParaRPr lang="en-US"/>
        </a:p>
      </dgm:t>
    </dgm:pt>
    <dgm:pt modelId="{32B8A013-9978-4CB7-9626-4B72BB406858}" type="pres">
      <dgm:prSet presAssocID="{D721AFBC-AA65-4DCA-98E9-AFCF1593F821}" presName="horFlow" presStyleCnt="0"/>
      <dgm:spPr/>
    </dgm:pt>
    <dgm:pt modelId="{4C06BE65-0198-4B1F-AF79-29F327F1EEE6}" type="pres">
      <dgm:prSet presAssocID="{D721AFBC-AA65-4DCA-98E9-AFCF1593F821}" presName="bigChev" presStyleLbl="node1" presStyleIdx="0" presStyleCnt="3"/>
      <dgm:spPr>
        <a:prstGeom prst="chevron">
          <a:avLst/>
        </a:prstGeom>
      </dgm:spPr>
      <dgm:t>
        <a:bodyPr/>
        <a:lstStyle/>
        <a:p>
          <a:endParaRPr lang="en-US"/>
        </a:p>
      </dgm:t>
    </dgm:pt>
    <dgm:pt modelId="{7925AB8A-B3BB-43AE-9A75-B3AA52167C1A}" type="pres">
      <dgm:prSet presAssocID="{E4832D33-B62F-47D2-BD44-8CB3532A98EF}" presName="parTrans" presStyleCnt="0"/>
      <dgm:spPr/>
    </dgm:pt>
    <dgm:pt modelId="{F6A5A435-F69B-4716-8486-71284D0843C9}" type="pres">
      <dgm:prSet presAssocID="{5947291B-D5B1-48D1-933B-538E68FAF2FC}" presName="node" presStyleLbl="alignAccFollowNode1" presStyleIdx="0" presStyleCnt="7">
        <dgm:presLayoutVars>
          <dgm:bulletEnabled val="1"/>
        </dgm:presLayoutVars>
      </dgm:prSet>
      <dgm:spPr>
        <a:prstGeom prst="chevron">
          <a:avLst/>
        </a:prstGeom>
      </dgm:spPr>
      <dgm:t>
        <a:bodyPr/>
        <a:lstStyle/>
        <a:p>
          <a:endParaRPr lang="en-US"/>
        </a:p>
      </dgm:t>
    </dgm:pt>
    <dgm:pt modelId="{244D9A5F-4F87-4295-8F28-7878431D466C}" type="pres">
      <dgm:prSet presAssocID="{5CDEF8A5-343A-406F-94F1-E5E4178B0F09}" presName="sibTrans" presStyleCnt="0"/>
      <dgm:spPr/>
    </dgm:pt>
    <dgm:pt modelId="{F9487CF8-18D9-4E40-A33F-FFC86A310AD4}" type="pres">
      <dgm:prSet presAssocID="{014EF6B9-EF6F-4CC6-8474-11E3E9DD8726}" presName="node" presStyleLbl="alignAccFollowNode1" presStyleIdx="1" presStyleCnt="7">
        <dgm:presLayoutVars>
          <dgm:bulletEnabled val="1"/>
        </dgm:presLayoutVars>
      </dgm:prSet>
      <dgm:spPr>
        <a:prstGeom prst="chevron">
          <a:avLst/>
        </a:prstGeom>
      </dgm:spPr>
      <dgm:t>
        <a:bodyPr/>
        <a:lstStyle/>
        <a:p>
          <a:endParaRPr lang="en-US"/>
        </a:p>
      </dgm:t>
    </dgm:pt>
    <dgm:pt modelId="{132FCD3C-844B-4C40-BB9A-7F6D12847164}" type="pres">
      <dgm:prSet presAssocID="{D721AFBC-AA65-4DCA-98E9-AFCF1593F821}" presName="vSp" presStyleCnt="0"/>
      <dgm:spPr/>
    </dgm:pt>
    <dgm:pt modelId="{26B8A885-CEBF-4DBE-BA55-BF207CE669B7}" type="pres">
      <dgm:prSet presAssocID="{DF6B6A81-FF97-42A2-AA66-FE26C30DF494}" presName="horFlow" presStyleCnt="0"/>
      <dgm:spPr/>
    </dgm:pt>
    <dgm:pt modelId="{3B138606-C51E-4810-A709-92FF02226B17}" type="pres">
      <dgm:prSet presAssocID="{DF6B6A81-FF97-42A2-AA66-FE26C30DF494}" presName="bigChev" presStyleLbl="node1" presStyleIdx="1" presStyleCnt="3"/>
      <dgm:spPr>
        <a:prstGeom prst="chevron">
          <a:avLst/>
        </a:prstGeom>
      </dgm:spPr>
      <dgm:t>
        <a:bodyPr/>
        <a:lstStyle/>
        <a:p>
          <a:endParaRPr lang="en-US"/>
        </a:p>
      </dgm:t>
    </dgm:pt>
    <dgm:pt modelId="{5FD542CF-C7D5-46B8-A19D-64D7FD43744B}" type="pres">
      <dgm:prSet presAssocID="{26296A3F-220A-4BA7-84F6-C31985A95622}" presName="parTrans" presStyleCnt="0"/>
      <dgm:spPr/>
    </dgm:pt>
    <dgm:pt modelId="{FAFE5516-F6C3-4985-BD05-8863230DF421}" type="pres">
      <dgm:prSet presAssocID="{4F71EBD1-B256-4E94-8FF4-0D569CA03022}" presName="node" presStyleLbl="alignAccFollowNode1" presStyleIdx="2" presStyleCnt="7">
        <dgm:presLayoutVars>
          <dgm:bulletEnabled val="1"/>
        </dgm:presLayoutVars>
      </dgm:prSet>
      <dgm:spPr>
        <a:prstGeom prst="chevron">
          <a:avLst/>
        </a:prstGeom>
      </dgm:spPr>
      <dgm:t>
        <a:bodyPr/>
        <a:lstStyle/>
        <a:p>
          <a:endParaRPr lang="en-US"/>
        </a:p>
      </dgm:t>
    </dgm:pt>
    <dgm:pt modelId="{DD19EF7F-8110-430B-9FF9-56D39B6EABDF}" type="pres">
      <dgm:prSet presAssocID="{ADBA1AD4-69C3-41AA-B7BA-4A7E647FC107}" presName="sibTrans" presStyleCnt="0"/>
      <dgm:spPr/>
    </dgm:pt>
    <dgm:pt modelId="{61950D7C-1463-4FE2-BDEE-1EA53C82200E}" type="pres">
      <dgm:prSet presAssocID="{E5AB9E0D-A502-45A3-B142-C46606E0F38E}" presName="node" presStyleLbl="alignAccFollowNode1" presStyleIdx="3" presStyleCnt="7">
        <dgm:presLayoutVars>
          <dgm:bulletEnabled val="1"/>
        </dgm:presLayoutVars>
      </dgm:prSet>
      <dgm:spPr>
        <a:prstGeom prst="chevron">
          <a:avLst/>
        </a:prstGeom>
      </dgm:spPr>
      <dgm:t>
        <a:bodyPr/>
        <a:lstStyle/>
        <a:p>
          <a:endParaRPr lang="en-US"/>
        </a:p>
      </dgm:t>
    </dgm:pt>
    <dgm:pt modelId="{BB2ACB10-750C-451D-A14A-A797EBD880DE}" type="pres">
      <dgm:prSet presAssocID="{78ED012F-F7C8-45B8-94D3-3EF8047CA3FF}" presName="sibTrans" presStyleCnt="0"/>
      <dgm:spPr/>
    </dgm:pt>
    <dgm:pt modelId="{BC9D241D-426C-47E4-BF02-7CD490627AD6}" type="pres">
      <dgm:prSet presAssocID="{A60B2A27-05B6-4622-8473-1878E45F17A1}" presName="node" presStyleLbl="alignAccFollowNode1" presStyleIdx="4" presStyleCnt="7">
        <dgm:presLayoutVars>
          <dgm:bulletEnabled val="1"/>
        </dgm:presLayoutVars>
      </dgm:prSet>
      <dgm:spPr>
        <a:prstGeom prst="chevron">
          <a:avLst/>
        </a:prstGeom>
      </dgm:spPr>
      <dgm:t>
        <a:bodyPr/>
        <a:lstStyle/>
        <a:p>
          <a:endParaRPr lang="en-US"/>
        </a:p>
      </dgm:t>
    </dgm:pt>
    <dgm:pt modelId="{379BD4EA-D34E-4DFE-82B1-E824976DE837}" type="pres">
      <dgm:prSet presAssocID="{DF6B6A81-FF97-42A2-AA66-FE26C30DF494}" presName="vSp" presStyleCnt="0"/>
      <dgm:spPr/>
    </dgm:pt>
    <dgm:pt modelId="{6F15F76E-7DEB-4E54-B61B-DE630C6507B5}" type="pres">
      <dgm:prSet presAssocID="{C5804253-CA60-464D-B06F-63764E9D05BF}" presName="horFlow" presStyleCnt="0"/>
      <dgm:spPr/>
    </dgm:pt>
    <dgm:pt modelId="{A4524E54-4C72-4BB6-AED6-0335F674324D}" type="pres">
      <dgm:prSet presAssocID="{C5804253-CA60-464D-B06F-63764E9D05BF}" presName="bigChev" presStyleLbl="node1" presStyleIdx="2" presStyleCnt="3"/>
      <dgm:spPr>
        <a:prstGeom prst="chevron">
          <a:avLst/>
        </a:prstGeom>
      </dgm:spPr>
      <dgm:t>
        <a:bodyPr/>
        <a:lstStyle/>
        <a:p>
          <a:endParaRPr lang="en-US"/>
        </a:p>
      </dgm:t>
    </dgm:pt>
    <dgm:pt modelId="{6805135D-DA0E-4FA9-A5F1-081894F79EFE}" type="pres">
      <dgm:prSet presAssocID="{CE1363B6-ACCC-4CFF-A4F4-41E83C2C36AB}" presName="parTrans" presStyleCnt="0"/>
      <dgm:spPr/>
    </dgm:pt>
    <dgm:pt modelId="{9E5F35AF-3832-4085-A9D4-028B252A5084}" type="pres">
      <dgm:prSet presAssocID="{533D1F67-59A1-40CF-8D9E-F661B5513C48}" presName="node" presStyleLbl="alignAccFollowNode1" presStyleIdx="5" presStyleCnt="7">
        <dgm:presLayoutVars>
          <dgm:bulletEnabled val="1"/>
        </dgm:presLayoutVars>
      </dgm:prSet>
      <dgm:spPr>
        <a:prstGeom prst="chevron">
          <a:avLst/>
        </a:prstGeom>
      </dgm:spPr>
      <dgm:t>
        <a:bodyPr/>
        <a:lstStyle/>
        <a:p>
          <a:endParaRPr lang="en-US"/>
        </a:p>
      </dgm:t>
    </dgm:pt>
    <dgm:pt modelId="{C0098BFA-0EC8-4D0A-B7D2-D62E44582E10}" type="pres">
      <dgm:prSet presAssocID="{999C27F6-E8F0-4D69-B18D-CE1220BEB763}" presName="sibTrans" presStyleCnt="0"/>
      <dgm:spPr/>
    </dgm:pt>
    <dgm:pt modelId="{D78F660F-10F0-4AB9-937E-A7DC8CEE7FF4}" type="pres">
      <dgm:prSet presAssocID="{5C57E667-D377-4DD0-8A4B-AEEC3FB349EA}" presName="node" presStyleLbl="alignAccFollowNode1" presStyleIdx="6" presStyleCnt="7">
        <dgm:presLayoutVars>
          <dgm:bulletEnabled val="1"/>
        </dgm:presLayoutVars>
      </dgm:prSet>
      <dgm:spPr>
        <a:prstGeom prst="chevron">
          <a:avLst/>
        </a:prstGeom>
      </dgm:spPr>
      <dgm:t>
        <a:bodyPr/>
        <a:lstStyle/>
        <a:p>
          <a:endParaRPr lang="en-US"/>
        </a:p>
      </dgm:t>
    </dgm:pt>
  </dgm:ptLst>
  <dgm:cxnLst>
    <dgm:cxn modelId="{164C107B-F575-45E0-AC99-CE6584057F21}" srcId="{DF6B6A81-FF97-42A2-AA66-FE26C30DF494}" destId="{4F71EBD1-B256-4E94-8FF4-0D569CA03022}" srcOrd="0" destOrd="0" parTransId="{26296A3F-220A-4BA7-84F6-C31985A95622}" sibTransId="{ADBA1AD4-69C3-41AA-B7BA-4A7E647FC107}"/>
    <dgm:cxn modelId="{77A7E132-C7C0-437E-87B8-7D1D2ABE8754}" srcId="{DF6B6A81-FF97-42A2-AA66-FE26C30DF494}" destId="{E5AB9E0D-A502-45A3-B142-C46606E0F38E}" srcOrd="1" destOrd="0" parTransId="{E9F86A72-F596-40BE-B227-2130F06708FB}" sibTransId="{78ED012F-F7C8-45B8-94D3-3EF8047CA3FF}"/>
    <dgm:cxn modelId="{3E179971-AD65-4B11-BD52-498FC2D58F33}" srcId="{13FCB92D-C456-4F67-9657-3D197C06A744}" destId="{DF6B6A81-FF97-42A2-AA66-FE26C30DF494}" srcOrd="1" destOrd="0" parTransId="{F1901A0D-9160-4D9D-8A4F-F04A13DEE922}" sibTransId="{FB154D67-01D2-4A2F-A349-F4ECA94C629F}"/>
    <dgm:cxn modelId="{CC229882-D883-4656-B7F7-09A4455761AC}" srcId="{13FCB92D-C456-4F67-9657-3D197C06A744}" destId="{C5804253-CA60-464D-B06F-63764E9D05BF}" srcOrd="2" destOrd="0" parTransId="{0CE25B6C-45D2-4F8D-B8B2-0B5CAA95C00A}" sibTransId="{E07A0401-F5F1-428E-8A2C-EBB4492286D2}"/>
    <dgm:cxn modelId="{2070DBA7-8490-4131-AC6A-EC293FC6FF48}" type="presOf" srcId="{DF6B6A81-FF97-42A2-AA66-FE26C30DF494}" destId="{3B138606-C51E-4810-A709-92FF02226B17}" srcOrd="0" destOrd="0" presId="urn:microsoft.com/office/officeart/2005/8/layout/lProcess3"/>
    <dgm:cxn modelId="{1AB9509A-1BC1-4452-8A5A-25DC4D2E4A65}" srcId="{C5804253-CA60-464D-B06F-63764E9D05BF}" destId="{5C57E667-D377-4DD0-8A4B-AEEC3FB349EA}" srcOrd="1" destOrd="0" parTransId="{7FEFED16-A808-4FE4-BCC1-E9AF598766F6}" sibTransId="{C6E98197-97CE-4EB3-9B27-572A084E5852}"/>
    <dgm:cxn modelId="{0D5E63EF-E56D-4244-B210-ADDE893D22EF}" type="presOf" srcId="{E5AB9E0D-A502-45A3-B142-C46606E0F38E}" destId="{61950D7C-1463-4FE2-BDEE-1EA53C82200E}" srcOrd="0" destOrd="0" presId="urn:microsoft.com/office/officeart/2005/8/layout/lProcess3"/>
    <dgm:cxn modelId="{4ECEFDEC-BDDB-404E-B7A0-E41D44478FE0}" type="presOf" srcId="{C5804253-CA60-464D-B06F-63764E9D05BF}" destId="{A4524E54-4C72-4BB6-AED6-0335F674324D}" srcOrd="0" destOrd="0" presId="urn:microsoft.com/office/officeart/2005/8/layout/lProcess3"/>
    <dgm:cxn modelId="{D890CE78-5734-4DE7-AE11-05F73319306A}" type="presOf" srcId="{5C57E667-D377-4DD0-8A4B-AEEC3FB349EA}" destId="{D78F660F-10F0-4AB9-937E-A7DC8CEE7FF4}" srcOrd="0" destOrd="0" presId="urn:microsoft.com/office/officeart/2005/8/layout/lProcess3"/>
    <dgm:cxn modelId="{DC1CE53D-E4DD-41D7-AF1C-7C20C100AF8A}" type="presOf" srcId="{533D1F67-59A1-40CF-8D9E-F661B5513C48}" destId="{9E5F35AF-3832-4085-A9D4-028B252A5084}" srcOrd="0" destOrd="0" presId="urn:microsoft.com/office/officeart/2005/8/layout/lProcess3"/>
    <dgm:cxn modelId="{15D1386C-99AD-4A23-8C15-C82C10CD66CC}" type="presOf" srcId="{13FCB92D-C456-4F67-9657-3D197C06A744}" destId="{C2283864-7BFB-4158-A6ED-69B8059AF1BF}" srcOrd="0" destOrd="0" presId="urn:microsoft.com/office/officeart/2005/8/layout/lProcess3"/>
    <dgm:cxn modelId="{F9EEB253-F0A4-4236-82DA-4214C75B0506}" srcId="{13FCB92D-C456-4F67-9657-3D197C06A744}" destId="{D721AFBC-AA65-4DCA-98E9-AFCF1593F821}" srcOrd="0" destOrd="0" parTransId="{9314D0CE-CFD0-4D2C-A98F-D18EB1699B31}" sibTransId="{33DD9961-DE08-44BD-BF4D-6128E01D1C83}"/>
    <dgm:cxn modelId="{E2DA38A7-C117-4CE6-8ED7-869EDB961AA5}" srcId="{D721AFBC-AA65-4DCA-98E9-AFCF1593F821}" destId="{014EF6B9-EF6F-4CC6-8474-11E3E9DD8726}" srcOrd="1" destOrd="0" parTransId="{9DAEAB7B-630B-4080-B2CD-A6C1B787BD99}" sibTransId="{15B7AD63-9EE4-4FA6-BD97-B41BB8358E1C}"/>
    <dgm:cxn modelId="{7B46F563-9AB5-496A-AF81-50A732EF4ABA}" srcId="{C5804253-CA60-464D-B06F-63764E9D05BF}" destId="{533D1F67-59A1-40CF-8D9E-F661B5513C48}" srcOrd="0" destOrd="0" parTransId="{CE1363B6-ACCC-4CFF-A4F4-41E83C2C36AB}" sibTransId="{999C27F6-E8F0-4D69-B18D-CE1220BEB763}"/>
    <dgm:cxn modelId="{5E238B63-FA92-466A-AEBE-BCC3C1077851}" srcId="{DF6B6A81-FF97-42A2-AA66-FE26C30DF494}" destId="{A60B2A27-05B6-4622-8473-1878E45F17A1}" srcOrd="2" destOrd="0" parTransId="{2A0827AE-E54A-41E2-8F02-153F6EE14C37}" sibTransId="{2D36CAB8-29E0-40B5-A6EE-C24B3BDECDF6}"/>
    <dgm:cxn modelId="{A2896347-2F4C-4FD0-9A44-B21D027C96BD}" srcId="{D721AFBC-AA65-4DCA-98E9-AFCF1593F821}" destId="{5947291B-D5B1-48D1-933B-538E68FAF2FC}" srcOrd="0" destOrd="0" parTransId="{E4832D33-B62F-47D2-BD44-8CB3532A98EF}" sibTransId="{5CDEF8A5-343A-406F-94F1-E5E4178B0F09}"/>
    <dgm:cxn modelId="{600F115A-8FE3-440E-B7F5-1C876696E1B9}" type="presOf" srcId="{5947291B-D5B1-48D1-933B-538E68FAF2FC}" destId="{F6A5A435-F69B-4716-8486-71284D0843C9}" srcOrd="0" destOrd="0" presId="urn:microsoft.com/office/officeart/2005/8/layout/lProcess3"/>
    <dgm:cxn modelId="{2EFAC462-DE99-41C7-9F2C-7E02F236C2D0}" type="presOf" srcId="{D721AFBC-AA65-4DCA-98E9-AFCF1593F821}" destId="{4C06BE65-0198-4B1F-AF79-29F327F1EEE6}" srcOrd="0" destOrd="0" presId="urn:microsoft.com/office/officeart/2005/8/layout/lProcess3"/>
    <dgm:cxn modelId="{C1CF006F-E7D9-4CE5-A087-62DFCC509614}" type="presOf" srcId="{014EF6B9-EF6F-4CC6-8474-11E3E9DD8726}" destId="{F9487CF8-18D9-4E40-A33F-FFC86A310AD4}" srcOrd="0" destOrd="0" presId="urn:microsoft.com/office/officeart/2005/8/layout/lProcess3"/>
    <dgm:cxn modelId="{51F620C8-27E8-499B-A7AF-8056702D53FC}" type="presOf" srcId="{4F71EBD1-B256-4E94-8FF4-0D569CA03022}" destId="{FAFE5516-F6C3-4985-BD05-8863230DF421}" srcOrd="0" destOrd="0" presId="urn:microsoft.com/office/officeart/2005/8/layout/lProcess3"/>
    <dgm:cxn modelId="{4A13CCEB-1621-4F06-921F-BC28F8E1A578}" type="presOf" srcId="{A60B2A27-05B6-4622-8473-1878E45F17A1}" destId="{BC9D241D-426C-47E4-BF02-7CD490627AD6}" srcOrd="0" destOrd="0" presId="urn:microsoft.com/office/officeart/2005/8/layout/lProcess3"/>
    <dgm:cxn modelId="{DAFDE9ED-3656-4923-B219-7EBEFCB4A68D}" type="presParOf" srcId="{C2283864-7BFB-4158-A6ED-69B8059AF1BF}" destId="{32B8A013-9978-4CB7-9626-4B72BB406858}" srcOrd="0" destOrd="0" presId="urn:microsoft.com/office/officeart/2005/8/layout/lProcess3"/>
    <dgm:cxn modelId="{866AA9E9-FC3E-47ED-AA52-D7A666C95DBC}" type="presParOf" srcId="{32B8A013-9978-4CB7-9626-4B72BB406858}" destId="{4C06BE65-0198-4B1F-AF79-29F327F1EEE6}" srcOrd="0" destOrd="0" presId="urn:microsoft.com/office/officeart/2005/8/layout/lProcess3"/>
    <dgm:cxn modelId="{10FA8E35-2327-4537-ACDE-13E2797AA77B}" type="presParOf" srcId="{32B8A013-9978-4CB7-9626-4B72BB406858}" destId="{7925AB8A-B3BB-43AE-9A75-B3AA52167C1A}" srcOrd="1" destOrd="0" presId="urn:microsoft.com/office/officeart/2005/8/layout/lProcess3"/>
    <dgm:cxn modelId="{3B98B0FA-4550-4CD1-8D63-E1F8C4163866}" type="presParOf" srcId="{32B8A013-9978-4CB7-9626-4B72BB406858}" destId="{F6A5A435-F69B-4716-8486-71284D0843C9}" srcOrd="2" destOrd="0" presId="urn:microsoft.com/office/officeart/2005/8/layout/lProcess3"/>
    <dgm:cxn modelId="{80C36629-41EF-45D8-ABAB-B6EEAA38E426}" type="presParOf" srcId="{32B8A013-9978-4CB7-9626-4B72BB406858}" destId="{244D9A5F-4F87-4295-8F28-7878431D466C}" srcOrd="3" destOrd="0" presId="urn:microsoft.com/office/officeart/2005/8/layout/lProcess3"/>
    <dgm:cxn modelId="{1CFBDE44-6859-48AA-A272-F0DC68F26F03}" type="presParOf" srcId="{32B8A013-9978-4CB7-9626-4B72BB406858}" destId="{F9487CF8-18D9-4E40-A33F-FFC86A310AD4}" srcOrd="4" destOrd="0" presId="urn:microsoft.com/office/officeart/2005/8/layout/lProcess3"/>
    <dgm:cxn modelId="{6ECD32F7-227F-4A6F-B262-8F79885A8EC2}" type="presParOf" srcId="{C2283864-7BFB-4158-A6ED-69B8059AF1BF}" destId="{132FCD3C-844B-4C40-BB9A-7F6D12847164}" srcOrd="1" destOrd="0" presId="urn:microsoft.com/office/officeart/2005/8/layout/lProcess3"/>
    <dgm:cxn modelId="{734D1CDE-E681-45D9-9BAC-77E4F0CA1E1F}" type="presParOf" srcId="{C2283864-7BFB-4158-A6ED-69B8059AF1BF}" destId="{26B8A885-CEBF-4DBE-BA55-BF207CE669B7}" srcOrd="2" destOrd="0" presId="urn:microsoft.com/office/officeart/2005/8/layout/lProcess3"/>
    <dgm:cxn modelId="{4B30BD92-863A-4736-BE97-321B9D53C765}" type="presParOf" srcId="{26B8A885-CEBF-4DBE-BA55-BF207CE669B7}" destId="{3B138606-C51E-4810-A709-92FF02226B17}" srcOrd="0" destOrd="0" presId="urn:microsoft.com/office/officeart/2005/8/layout/lProcess3"/>
    <dgm:cxn modelId="{CDE888DC-6AF5-4173-8005-79D7C4CC5556}" type="presParOf" srcId="{26B8A885-CEBF-4DBE-BA55-BF207CE669B7}" destId="{5FD542CF-C7D5-46B8-A19D-64D7FD43744B}" srcOrd="1" destOrd="0" presId="urn:microsoft.com/office/officeart/2005/8/layout/lProcess3"/>
    <dgm:cxn modelId="{3C586D13-3DBE-4865-AF17-1627210087C7}" type="presParOf" srcId="{26B8A885-CEBF-4DBE-BA55-BF207CE669B7}" destId="{FAFE5516-F6C3-4985-BD05-8863230DF421}" srcOrd="2" destOrd="0" presId="urn:microsoft.com/office/officeart/2005/8/layout/lProcess3"/>
    <dgm:cxn modelId="{6FC13F64-45AF-4972-BBB6-78F94D18B7CC}" type="presParOf" srcId="{26B8A885-CEBF-4DBE-BA55-BF207CE669B7}" destId="{DD19EF7F-8110-430B-9FF9-56D39B6EABDF}" srcOrd="3" destOrd="0" presId="urn:microsoft.com/office/officeart/2005/8/layout/lProcess3"/>
    <dgm:cxn modelId="{CA7C2F3F-658E-4BAB-9D01-2BF71B92FAC9}" type="presParOf" srcId="{26B8A885-CEBF-4DBE-BA55-BF207CE669B7}" destId="{61950D7C-1463-4FE2-BDEE-1EA53C82200E}" srcOrd="4" destOrd="0" presId="urn:microsoft.com/office/officeart/2005/8/layout/lProcess3"/>
    <dgm:cxn modelId="{E2645CCE-E955-4DC8-9612-E8F970FBE4BE}" type="presParOf" srcId="{26B8A885-CEBF-4DBE-BA55-BF207CE669B7}" destId="{BB2ACB10-750C-451D-A14A-A797EBD880DE}" srcOrd="5" destOrd="0" presId="urn:microsoft.com/office/officeart/2005/8/layout/lProcess3"/>
    <dgm:cxn modelId="{802E5510-B8C8-40B4-94C2-4D680D36BF29}" type="presParOf" srcId="{26B8A885-CEBF-4DBE-BA55-BF207CE669B7}" destId="{BC9D241D-426C-47E4-BF02-7CD490627AD6}" srcOrd="6" destOrd="0" presId="urn:microsoft.com/office/officeart/2005/8/layout/lProcess3"/>
    <dgm:cxn modelId="{4A6151BF-85E0-4511-BDEC-FDB8EE65C035}" type="presParOf" srcId="{C2283864-7BFB-4158-A6ED-69B8059AF1BF}" destId="{379BD4EA-D34E-4DFE-82B1-E824976DE837}" srcOrd="3" destOrd="0" presId="urn:microsoft.com/office/officeart/2005/8/layout/lProcess3"/>
    <dgm:cxn modelId="{6F90FB48-2E49-43D0-9C9B-5340B3523230}" type="presParOf" srcId="{C2283864-7BFB-4158-A6ED-69B8059AF1BF}" destId="{6F15F76E-7DEB-4E54-B61B-DE630C6507B5}" srcOrd="4" destOrd="0" presId="urn:microsoft.com/office/officeart/2005/8/layout/lProcess3"/>
    <dgm:cxn modelId="{0B10E1AF-485D-451D-8442-AEDFED611166}" type="presParOf" srcId="{6F15F76E-7DEB-4E54-B61B-DE630C6507B5}" destId="{A4524E54-4C72-4BB6-AED6-0335F674324D}" srcOrd="0" destOrd="0" presId="urn:microsoft.com/office/officeart/2005/8/layout/lProcess3"/>
    <dgm:cxn modelId="{65C54E1C-125C-4592-BB1E-0769AD4EC1B2}" type="presParOf" srcId="{6F15F76E-7DEB-4E54-B61B-DE630C6507B5}" destId="{6805135D-DA0E-4FA9-A5F1-081894F79EFE}" srcOrd="1" destOrd="0" presId="urn:microsoft.com/office/officeart/2005/8/layout/lProcess3"/>
    <dgm:cxn modelId="{6289B99A-1510-4E9C-89D5-54A516DAF5E8}" type="presParOf" srcId="{6F15F76E-7DEB-4E54-B61B-DE630C6507B5}" destId="{9E5F35AF-3832-4085-A9D4-028B252A5084}" srcOrd="2" destOrd="0" presId="urn:microsoft.com/office/officeart/2005/8/layout/lProcess3"/>
    <dgm:cxn modelId="{9CFB0AC7-EB4E-43AF-B838-3B76E5698E80}" type="presParOf" srcId="{6F15F76E-7DEB-4E54-B61B-DE630C6507B5}" destId="{C0098BFA-0EC8-4D0A-B7D2-D62E44582E10}" srcOrd="3" destOrd="0" presId="urn:microsoft.com/office/officeart/2005/8/layout/lProcess3"/>
    <dgm:cxn modelId="{B4A3FCC1-035D-49F8-A2C9-DB14BE26BEE1}" type="presParOf" srcId="{6F15F76E-7DEB-4E54-B61B-DE630C6507B5}" destId="{D78F660F-10F0-4AB9-937E-A7DC8CEE7FF4}" srcOrd="4" destOrd="0" presId="urn:microsoft.com/office/officeart/2005/8/layout/l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06BE65-0198-4B1F-AF79-29F327F1EEE6}">
      <dsp:nvSpPr>
        <dsp:cNvPr id="0" name=""/>
        <dsp:cNvSpPr/>
      </dsp:nvSpPr>
      <dsp:spPr>
        <a:xfrm>
          <a:off x="3699" y="745633"/>
          <a:ext cx="1898005" cy="759202"/>
        </a:xfrm>
        <a:prstGeom prst="chevron">
          <a:avLst/>
        </a:prstGeom>
        <a:solidFill>
          <a:srgbClr val="0066CC">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en-US" sz="1800" kern="1200" dirty="0">
              <a:solidFill>
                <a:srgbClr val="FFFFFF"/>
              </a:solidFill>
              <a:latin typeface="Arial"/>
              <a:ea typeface="+mn-ea"/>
              <a:cs typeface="+mn-cs"/>
            </a:rPr>
            <a:t>Identify program challenges</a:t>
          </a:r>
        </a:p>
      </dsp:txBody>
      <dsp:txXfrm>
        <a:off x="383300" y="745633"/>
        <a:ext cx="1138803" cy="759202"/>
      </dsp:txXfrm>
    </dsp:sp>
    <dsp:sp modelId="{F6A5A435-F69B-4716-8486-71284D0843C9}">
      <dsp:nvSpPr>
        <dsp:cNvPr id="0" name=""/>
        <dsp:cNvSpPr/>
      </dsp:nvSpPr>
      <dsp:spPr>
        <a:xfrm>
          <a:off x="1654964" y="810165"/>
          <a:ext cx="1575344" cy="630137"/>
        </a:xfrm>
        <a:prstGeom prst="chevron">
          <a:avLst/>
        </a:prstGeom>
        <a:solidFill>
          <a:srgbClr val="0066CC">
            <a:tint val="40000"/>
            <a:alpha val="90000"/>
            <a:hueOff val="0"/>
            <a:satOff val="0"/>
            <a:lumOff val="0"/>
            <a:alphaOff val="0"/>
          </a:srgbClr>
        </a:solidFill>
        <a:ln w="25400" cap="flat" cmpd="sng" algn="ctr">
          <a:solidFill>
            <a:srgbClr val="0066CC">
              <a:tint val="40000"/>
              <a:alpha val="9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dirty="0">
              <a:solidFill>
                <a:srgbClr val="000000">
                  <a:hueOff val="0"/>
                  <a:satOff val="0"/>
                  <a:lumOff val="0"/>
                  <a:alphaOff val="0"/>
                </a:srgbClr>
              </a:solidFill>
              <a:latin typeface="Arial"/>
              <a:ea typeface="+mn-ea"/>
              <a:cs typeface="+mn-cs"/>
            </a:rPr>
            <a:t>Hosted public listening sessions</a:t>
          </a:r>
        </a:p>
      </dsp:txBody>
      <dsp:txXfrm>
        <a:off x="1970033" y="810165"/>
        <a:ext cx="945207" cy="630137"/>
      </dsp:txXfrm>
    </dsp:sp>
    <dsp:sp modelId="{F9487CF8-18D9-4E40-A33F-FFC86A310AD4}">
      <dsp:nvSpPr>
        <dsp:cNvPr id="0" name=""/>
        <dsp:cNvSpPr/>
      </dsp:nvSpPr>
      <dsp:spPr>
        <a:xfrm>
          <a:off x="3009760" y="810165"/>
          <a:ext cx="1575344" cy="630137"/>
        </a:xfrm>
        <a:prstGeom prst="chevron">
          <a:avLst/>
        </a:prstGeom>
        <a:solidFill>
          <a:srgbClr val="0066CC">
            <a:tint val="40000"/>
            <a:alpha val="90000"/>
            <a:hueOff val="26900"/>
            <a:satOff val="-6614"/>
            <a:lumOff val="-850"/>
            <a:alphaOff val="0"/>
          </a:srgbClr>
        </a:solidFill>
        <a:ln w="25400" cap="flat" cmpd="sng" algn="ctr">
          <a:solidFill>
            <a:srgbClr val="0066CC">
              <a:tint val="40000"/>
              <a:alpha val="90000"/>
              <a:hueOff val="26900"/>
              <a:satOff val="-6614"/>
              <a:lumOff val="-85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dirty="0">
              <a:solidFill>
                <a:srgbClr val="000000">
                  <a:hueOff val="0"/>
                  <a:satOff val="0"/>
                  <a:lumOff val="0"/>
                  <a:alphaOff val="0"/>
                </a:srgbClr>
              </a:solidFill>
              <a:latin typeface="Arial"/>
              <a:ea typeface="+mn-ea"/>
              <a:cs typeface="+mn-cs"/>
            </a:rPr>
            <a:t>Held stakeholder engagement meetings</a:t>
          </a:r>
        </a:p>
      </dsp:txBody>
      <dsp:txXfrm>
        <a:off x="3324829" y="810165"/>
        <a:ext cx="945207" cy="630137"/>
      </dsp:txXfrm>
    </dsp:sp>
    <dsp:sp modelId="{3B138606-C51E-4810-A709-92FF02226B17}">
      <dsp:nvSpPr>
        <dsp:cNvPr id="0" name=""/>
        <dsp:cNvSpPr/>
      </dsp:nvSpPr>
      <dsp:spPr>
        <a:xfrm>
          <a:off x="3699" y="1611123"/>
          <a:ext cx="1898005" cy="759202"/>
        </a:xfrm>
        <a:prstGeom prst="chevron">
          <a:avLst/>
        </a:prstGeom>
        <a:solidFill>
          <a:srgbClr val="0066CC">
            <a:hueOff val="131326"/>
            <a:satOff val="0"/>
            <a:lumOff val="-10589"/>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en-US" sz="1800" kern="1200" dirty="0">
              <a:solidFill>
                <a:srgbClr val="FFFFFF"/>
              </a:solidFill>
              <a:latin typeface="Arial"/>
              <a:ea typeface="+mn-ea"/>
              <a:cs typeface="+mn-cs"/>
            </a:rPr>
            <a:t>Solicit input on solutions</a:t>
          </a:r>
        </a:p>
      </dsp:txBody>
      <dsp:txXfrm>
        <a:off x="383300" y="1611123"/>
        <a:ext cx="1138803" cy="759202"/>
      </dsp:txXfrm>
    </dsp:sp>
    <dsp:sp modelId="{FAFE5516-F6C3-4985-BD05-8863230DF421}">
      <dsp:nvSpPr>
        <dsp:cNvPr id="0" name=""/>
        <dsp:cNvSpPr/>
      </dsp:nvSpPr>
      <dsp:spPr>
        <a:xfrm>
          <a:off x="1654964" y="1675656"/>
          <a:ext cx="1575344" cy="630137"/>
        </a:xfrm>
        <a:prstGeom prst="chevron">
          <a:avLst/>
        </a:prstGeom>
        <a:solidFill>
          <a:srgbClr val="0066CC">
            <a:tint val="40000"/>
            <a:alpha val="90000"/>
            <a:hueOff val="53801"/>
            <a:satOff val="-13227"/>
            <a:lumOff val="-1700"/>
            <a:alphaOff val="0"/>
          </a:srgbClr>
        </a:solidFill>
        <a:ln w="25400" cap="flat" cmpd="sng" algn="ctr">
          <a:solidFill>
            <a:srgbClr val="0066CC">
              <a:tint val="40000"/>
              <a:alpha val="90000"/>
              <a:hueOff val="53801"/>
              <a:satOff val="-13227"/>
              <a:lumOff val="-170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dirty="0">
              <a:solidFill>
                <a:srgbClr val="000000">
                  <a:hueOff val="0"/>
                  <a:satOff val="0"/>
                  <a:lumOff val="0"/>
                  <a:alphaOff val="0"/>
                </a:srgbClr>
              </a:solidFill>
              <a:latin typeface="Arial"/>
              <a:ea typeface="+mn-ea"/>
              <a:cs typeface="+mn-cs"/>
            </a:rPr>
            <a:t>Formed PCA Enhancements Advisory Group</a:t>
          </a:r>
        </a:p>
      </dsp:txBody>
      <dsp:txXfrm>
        <a:off x="1970033" y="1675656"/>
        <a:ext cx="945207" cy="630137"/>
      </dsp:txXfrm>
    </dsp:sp>
    <dsp:sp modelId="{61950D7C-1463-4FE2-BDEE-1EA53C82200E}">
      <dsp:nvSpPr>
        <dsp:cNvPr id="0" name=""/>
        <dsp:cNvSpPr/>
      </dsp:nvSpPr>
      <dsp:spPr>
        <a:xfrm>
          <a:off x="3009760" y="1675656"/>
          <a:ext cx="1575344" cy="630137"/>
        </a:xfrm>
        <a:prstGeom prst="chevron">
          <a:avLst/>
        </a:prstGeom>
        <a:solidFill>
          <a:srgbClr val="0066CC">
            <a:tint val="40000"/>
            <a:alpha val="90000"/>
            <a:hueOff val="80701"/>
            <a:satOff val="-19841"/>
            <a:lumOff val="-2549"/>
            <a:alphaOff val="0"/>
          </a:srgbClr>
        </a:solidFill>
        <a:ln w="25400" cap="flat" cmpd="sng" algn="ctr">
          <a:solidFill>
            <a:srgbClr val="0066CC">
              <a:tint val="40000"/>
              <a:alpha val="90000"/>
              <a:hueOff val="80701"/>
              <a:satOff val="-19841"/>
              <a:lumOff val="-2549"/>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dirty="0">
              <a:solidFill>
                <a:srgbClr val="000000">
                  <a:hueOff val="0"/>
                  <a:satOff val="0"/>
                  <a:lumOff val="0"/>
                  <a:alphaOff val="0"/>
                </a:srgbClr>
              </a:solidFill>
              <a:latin typeface="Arial"/>
              <a:ea typeface="+mn-ea"/>
              <a:cs typeface="+mn-cs"/>
            </a:rPr>
            <a:t>Hosting public listening sessions</a:t>
          </a:r>
        </a:p>
      </dsp:txBody>
      <dsp:txXfrm>
        <a:off x="3324829" y="1675656"/>
        <a:ext cx="945207" cy="630137"/>
      </dsp:txXfrm>
    </dsp:sp>
    <dsp:sp modelId="{BC9D241D-426C-47E4-BF02-7CD490627AD6}">
      <dsp:nvSpPr>
        <dsp:cNvPr id="0" name=""/>
        <dsp:cNvSpPr/>
      </dsp:nvSpPr>
      <dsp:spPr>
        <a:xfrm>
          <a:off x="4364556" y="1675656"/>
          <a:ext cx="1575344" cy="630137"/>
        </a:xfrm>
        <a:prstGeom prst="chevron">
          <a:avLst/>
        </a:prstGeom>
        <a:solidFill>
          <a:srgbClr val="0066CC">
            <a:tint val="40000"/>
            <a:alpha val="90000"/>
            <a:hueOff val="107602"/>
            <a:satOff val="-26455"/>
            <a:lumOff val="-3399"/>
            <a:alphaOff val="0"/>
          </a:srgbClr>
        </a:solidFill>
        <a:ln w="25400" cap="flat" cmpd="sng" algn="ctr">
          <a:solidFill>
            <a:srgbClr val="0066CC">
              <a:tint val="40000"/>
              <a:alpha val="90000"/>
              <a:hueOff val="107602"/>
              <a:satOff val="-26455"/>
              <a:lumOff val="-3399"/>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dirty="0">
              <a:solidFill>
                <a:srgbClr val="000000">
                  <a:hueOff val="0"/>
                  <a:satOff val="0"/>
                  <a:lumOff val="0"/>
                  <a:alphaOff val="0"/>
                </a:srgbClr>
              </a:solidFill>
              <a:latin typeface="Arial"/>
              <a:ea typeface="+mn-ea"/>
              <a:cs typeface="+mn-cs"/>
            </a:rPr>
            <a:t>Issue Request for Information (RFI)</a:t>
          </a:r>
        </a:p>
      </dsp:txBody>
      <dsp:txXfrm>
        <a:off x="4679625" y="1675656"/>
        <a:ext cx="945207" cy="630137"/>
      </dsp:txXfrm>
    </dsp:sp>
    <dsp:sp modelId="{A4524E54-4C72-4BB6-AED6-0335F674324D}">
      <dsp:nvSpPr>
        <dsp:cNvPr id="0" name=""/>
        <dsp:cNvSpPr/>
      </dsp:nvSpPr>
      <dsp:spPr>
        <a:xfrm>
          <a:off x="3699" y="2476614"/>
          <a:ext cx="1898005" cy="759202"/>
        </a:xfrm>
        <a:prstGeom prst="chevron">
          <a:avLst/>
        </a:prstGeom>
        <a:solidFill>
          <a:srgbClr val="0066CC">
            <a:hueOff val="262653"/>
            <a:satOff val="0"/>
            <a:lumOff val="-21177"/>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en-US" sz="1800" kern="1200" dirty="0">
              <a:solidFill>
                <a:srgbClr val="FFFFFF"/>
              </a:solidFill>
              <a:latin typeface="Arial"/>
              <a:ea typeface="+mn-ea"/>
              <a:cs typeface="+mn-cs"/>
            </a:rPr>
            <a:t>Address input</a:t>
          </a:r>
        </a:p>
      </dsp:txBody>
      <dsp:txXfrm>
        <a:off x="383300" y="2476614"/>
        <a:ext cx="1138803" cy="759202"/>
      </dsp:txXfrm>
    </dsp:sp>
    <dsp:sp modelId="{9E5F35AF-3832-4085-A9D4-028B252A5084}">
      <dsp:nvSpPr>
        <dsp:cNvPr id="0" name=""/>
        <dsp:cNvSpPr/>
      </dsp:nvSpPr>
      <dsp:spPr>
        <a:xfrm>
          <a:off x="1654964" y="2541146"/>
          <a:ext cx="1575344" cy="630137"/>
        </a:xfrm>
        <a:prstGeom prst="chevron">
          <a:avLst/>
        </a:prstGeom>
        <a:solidFill>
          <a:srgbClr val="0066CC">
            <a:tint val="40000"/>
            <a:alpha val="90000"/>
            <a:hueOff val="134502"/>
            <a:satOff val="-33068"/>
            <a:lumOff val="-4249"/>
            <a:alphaOff val="0"/>
          </a:srgbClr>
        </a:solidFill>
        <a:ln w="25400" cap="flat" cmpd="sng" algn="ctr">
          <a:solidFill>
            <a:srgbClr val="0066CC">
              <a:tint val="40000"/>
              <a:alpha val="90000"/>
              <a:hueOff val="134502"/>
              <a:satOff val="-33068"/>
              <a:lumOff val="-4249"/>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dirty="0">
              <a:solidFill>
                <a:srgbClr val="000000">
                  <a:hueOff val="0"/>
                  <a:satOff val="0"/>
                  <a:lumOff val="0"/>
                  <a:alphaOff val="0"/>
                </a:srgbClr>
              </a:solidFill>
              <a:latin typeface="Arial"/>
              <a:ea typeface="+mn-ea"/>
              <a:cs typeface="+mn-cs"/>
            </a:rPr>
            <a:t>Review RFI responses</a:t>
          </a:r>
        </a:p>
      </dsp:txBody>
      <dsp:txXfrm>
        <a:off x="1970033" y="2541146"/>
        <a:ext cx="945207" cy="630137"/>
      </dsp:txXfrm>
    </dsp:sp>
    <dsp:sp modelId="{D78F660F-10F0-4AB9-937E-A7DC8CEE7FF4}">
      <dsp:nvSpPr>
        <dsp:cNvPr id="0" name=""/>
        <dsp:cNvSpPr/>
      </dsp:nvSpPr>
      <dsp:spPr>
        <a:xfrm>
          <a:off x="3009760" y="2541146"/>
          <a:ext cx="1575344" cy="630137"/>
        </a:xfrm>
        <a:prstGeom prst="chevron">
          <a:avLst/>
        </a:prstGeom>
        <a:solidFill>
          <a:srgbClr val="0066CC">
            <a:tint val="40000"/>
            <a:alpha val="90000"/>
            <a:hueOff val="161403"/>
            <a:satOff val="-39682"/>
            <a:lumOff val="-5099"/>
            <a:alphaOff val="0"/>
          </a:srgbClr>
        </a:solidFill>
        <a:ln w="25400" cap="flat" cmpd="sng" algn="ctr">
          <a:solidFill>
            <a:srgbClr val="0066CC">
              <a:tint val="40000"/>
              <a:alpha val="90000"/>
              <a:hueOff val="161403"/>
              <a:satOff val="-39682"/>
              <a:lumOff val="-5099"/>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dirty="0">
              <a:solidFill>
                <a:srgbClr val="000000">
                  <a:hueOff val="0"/>
                  <a:satOff val="0"/>
                  <a:lumOff val="0"/>
                  <a:alphaOff val="0"/>
                </a:srgbClr>
              </a:solidFill>
              <a:latin typeface="Arial"/>
              <a:ea typeface="+mn-ea"/>
              <a:cs typeface="+mn-cs"/>
            </a:rPr>
            <a:t>Inform future policy decisions</a:t>
          </a:r>
        </a:p>
      </dsp:txBody>
      <dsp:txXfrm>
        <a:off x="3324829" y="2541146"/>
        <a:ext cx="945207" cy="630137"/>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4F298-122A-4FCF-8611-C683DCB0C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896</Words>
  <Characters>5421</Characters>
  <Application>Microsoft Office Word</Application>
  <DocSecurity>0</DocSecurity>
  <Lines>150</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Administrator</cp:lastModifiedBy>
  <cp:revision>4</cp:revision>
  <dcterms:created xsi:type="dcterms:W3CDTF">2019-07-23T15:48:00Z</dcterms:created>
  <dcterms:modified xsi:type="dcterms:W3CDTF">2019-07-23T16:24:00Z</dcterms:modified>
</cp:coreProperties>
</file>