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Look w:val="04A0" w:firstRow="1" w:lastRow="0" w:firstColumn="1" w:lastColumn="0" w:noHBand="0" w:noVBand="1"/>
      </w:tblPr>
      <w:tblGrid>
        <w:gridCol w:w="9350"/>
      </w:tblGrid>
      <w:tr w:rsidR="0010363A" w14:paraId="78EB335E" w14:textId="77777777" w:rsidTr="00D630EE">
        <w:tc>
          <w:tcPr>
            <w:tcW w:w="9350" w:type="dxa"/>
            <w:shd w:val="clear" w:color="auto" w:fill="275317" w:themeFill="accent6" w:themeFillShade="80"/>
          </w:tcPr>
          <w:p w14:paraId="6D47DCB6" w14:textId="6D5ECC4E" w:rsidR="0010363A" w:rsidRPr="00D630EE" w:rsidRDefault="0010363A" w:rsidP="0010363A">
            <w:pPr>
              <w:spacing w:line="276" w:lineRule="auto"/>
              <w:rPr>
                <w:rFonts w:ascii="Calibri" w:eastAsia="Calibri" w:hAnsi="Calibri" w:cs="Calibri"/>
                <w:color w:val="FFFFFF" w:themeColor="background1"/>
              </w:rPr>
            </w:pPr>
            <w:r w:rsidRPr="00D630EE">
              <w:rPr>
                <w:rFonts w:ascii="Calibri" w:eastAsia="Calibri" w:hAnsi="Calibri" w:cs="Calibri"/>
                <w:color w:val="FFFFFF" w:themeColor="background1"/>
              </w:rPr>
              <w:t>PELL Data Sources</w:t>
            </w:r>
          </w:p>
        </w:tc>
      </w:tr>
    </w:tbl>
    <w:p w14:paraId="5643E6F7" w14:textId="77777777" w:rsidR="0010363A" w:rsidRPr="00313B87" w:rsidRDefault="0010363A" w:rsidP="0010363A">
      <w:pPr>
        <w:spacing w:line="276" w:lineRule="auto"/>
        <w:rPr>
          <w:rFonts w:ascii="Calibri" w:eastAsia="Calibri" w:hAnsi="Calibri" w:cs="Calibri"/>
          <w:color w:val="FFFFFF" w:themeColor="background1"/>
        </w:rPr>
      </w:pPr>
    </w:p>
    <w:p w14:paraId="2D605A96" w14:textId="2DB95D71" w:rsidR="0010363A" w:rsidRPr="00313B87" w:rsidRDefault="0010363A" w:rsidP="0010363A">
      <w:pPr>
        <w:spacing w:line="276" w:lineRule="auto"/>
        <w:rPr>
          <w:rFonts w:ascii="Calibri" w:eastAsia="Calibri" w:hAnsi="Calibri" w:cs="Calibri"/>
          <w:b/>
          <w:bCs/>
        </w:rPr>
      </w:pPr>
      <w:r w:rsidRPr="00313B87">
        <w:rPr>
          <w:rFonts w:ascii="Calibri" w:eastAsia="Calibri" w:hAnsi="Calibri" w:cs="Calibri"/>
          <w:b/>
          <w:bCs/>
          <w:u w:val="single"/>
        </w:rPr>
        <w:t>Birth Certificate (BC) and Fetal Death Certificate (FD</w:t>
      </w:r>
      <w:r w:rsidRPr="00313B87">
        <w:rPr>
          <w:rFonts w:ascii="Calibri" w:eastAsia="Calibri" w:hAnsi="Calibri" w:cs="Calibri"/>
          <w:b/>
          <w:bCs/>
        </w:rPr>
        <w:t>)</w:t>
      </w:r>
    </w:p>
    <w:p w14:paraId="079FD04B" w14:textId="77777777" w:rsidR="009F7D16" w:rsidRPr="00313B87" w:rsidRDefault="009F7D16" w:rsidP="009F7D16">
      <w:pPr>
        <w:ind w:left="720"/>
        <w:rPr>
          <w:rFonts w:ascii="Calibri" w:eastAsia="Calibri" w:hAnsi="Calibri" w:cs="Calibri"/>
        </w:rPr>
      </w:pPr>
      <w:r w:rsidRPr="00313B87">
        <w:rPr>
          <w:rFonts w:ascii="Calibri" w:eastAsia="Calibri" w:hAnsi="Calibri" w:cs="Calibri"/>
        </w:rPr>
        <w:t xml:space="preserve">BC </w:t>
      </w:r>
      <w:r w:rsidRPr="00313B87">
        <w:rPr>
          <w:rFonts w:ascii="Calibri" w:eastAsia="Times New Roman" w:hAnsi="Calibri" w:cs="Calibri"/>
        </w:rPr>
        <w:t xml:space="preserve">data includes all occurrence live births and all live births to MA residents that occurred in other states.  </w:t>
      </w:r>
      <w:r w:rsidRPr="00313B87">
        <w:rPr>
          <w:rFonts w:ascii="Calibri" w:eastAsia="Times New Roman" w:hAnsi="Calibri" w:cs="Calibri"/>
          <w:b/>
          <w:bCs/>
          <w:i/>
          <w:iCs/>
        </w:rPr>
        <w:t>Live births that occurred outside of MA are used for linkage purposes only and are not generally available for analysis.</w:t>
      </w:r>
      <w:r w:rsidRPr="00313B87">
        <w:rPr>
          <w:rFonts w:ascii="Calibri" w:eastAsia="Times New Roman" w:hAnsi="Calibri" w:cs="Calibri"/>
        </w:rPr>
        <w:t xml:space="preserve"> </w:t>
      </w:r>
    </w:p>
    <w:p w14:paraId="19067F4D" w14:textId="77777777" w:rsidR="009F7D16" w:rsidRPr="00313B87" w:rsidRDefault="009F7D16" w:rsidP="009F7D16">
      <w:pPr>
        <w:spacing w:after="0" w:line="276" w:lineRule="auto"/>
        <w:ind w:left="720"/>
        <w:rPr>
          <w:rFonts w:ascii="Calibri" w:eastAsia="Times New Roman" w:hAnsi="Calibri" w:cs="Calibri"/>
        </w:rPr>
      </w:pPr>
      <w:r w:rsidRPr="00313B87">
        <w:rPr>
          <w:rFonts w:ascii="Calibri" w:eastAsia="Times New Roman" w:hAnsi="Calibri" w:cs="Calibri"/>
        </w:rPr>
        <w:t xml:space="preserve">FD data includes all fetal deaths that occurred in Massachusetts to MA residents and non-residents.  The fetal death registration system requires fetal deaths of 20 or more weeks gestation or those where the fetus weighed 350 grams or more to be reported to MDPH.  </w:t>
      </w:r>
    </w:p>
    <w:p w14:paraId="294E6D56" w14:textId="77777777" w:rsidR="009F7D16" w:rsidRPr="00313B87" w:rsidRDefault="009F7D16" w:rsidP="009F7D16">
      <w:pPr>
        <w:spacing w:after="0" w:line="276" w:lineRule="auto"/>
        <w:rPr>
          <w:rFonts w:ascii="Calibri" w:eastAsia="Calibri" w:hAnsi="Calibri" w:cs="Calibri"/>
          <w:b/>
          <w:bCs/>
        </w:rPr>
      </w:pPr>
    </w:p>
    <w:p w14:paraId="40C55735" w14:textId="746DA755" w:rsidR="009F7D16" w:rsidRPr="00313B87" w:rsidRDefault="009F7D16" w:rsidP="009F7D16">
      <w:pPr>
        <w:spacing w:after="0" w:line="276" w:lineRule="auto"/>
        <w:rPr>
          <w:rFonts w:ascii="Calibri" w:eastAsia="Calibri" w:hAnsi="Calibri" w:cs="Calibri"/>
          <w:b/>
          <w:bCs/>
          <w:u w:val="single"/>
        </w:rPr>
      </w:pPr>
      <w:r w:rsidRPr="00313B87">
        <w:rPr>
          <w:rFonts w:ascii="Calibri" w:eastAsia="Calibri" w:hAnsi="Calibri" w:cs="Calibri"/>
          <w:b/>
          <w:bCs/>
          <w:u w:val="single"/>
        </w:rPr>
        <w:t>Hospital Discharge</w:t>
      </w:r>
    </w:p>
    <w:p w14:paraId="6DAF535C" w14:textId="17981E3B" w:rsidR="009F7D16" w:rsidRPr="00313B87" w:rsidRDefault="009F7D16" w:rsidP="0010363A">
      <w:pPr>
        <w:pStyle w:val="ListParagraph"/>
        <w:spacing w:after="0" w:line="276" w:lineRule="auto"/>
        <w:rPr>
          <w:rFonts w:ascii="Calibri" w:hAnsi="Calibri" w:cs="Calibri"/>
        </w:rPr>
      </w:pPr>
      <w:r w:rsidRPr="00313B87">
        <w:rPr>
          <w:rFonts w:ascii="Calibri" w:eastAsia="Times New Roman" w:hAnsi="Calibri" w:cs="Calibri"/>
          <w:color w:val="000000" w:themeColor="text1"/>
        </w:rPr>
        <w:t>The Hospital Inpatient Discharge Database (HD) contains comprehensive patient-level information including socio-demographics, clinic data, and charge data. It is used to establish reasonable and adequate rates, to enable hospitals to be grouped for comparing costs, to assist in the formulation of health care delivery and financing policy, and to assist in the provision and purchase of health care services</w:t>
      </w:r>
      <w:r w:rsidR="0010363A" w:rsidRPr="00313B87">
        <w:rPr>
          <w:rFonts w:ascii="Calibri" w:eastAsia="Times New Roman" w:hAnsi="Calibri" w:cs="Calibri"/>
          <w:color w:val="000000" w:themeColor="text1"/>
        </w:rPr>
        <w:t>.</w:t>
      </w:r>
    </w:p>
    <w:p w14:paraId="64459D3F" w14:textId="77777777" w:rsidR="0010363A" w:rsidRPr="00313B87" w:rsidRDefault="0010363A" w:rsidP="0010363A">
      <w:pPr>
        <w:pStyle w:val="ListParagraph"/>
        <w:spacing w:after="0" w:line="276" w:lineRule="auto"/>
        <w:rPr>
          <w:rFonts w:ascii="Calibri" w:eastAsia="Calibri" w:hAnsi="Calibri" w:cs="Calibri"/>
        </w:rPr>
      </w:pPr>
    </w:p>
    <w:p w14:paraId="7A1DD8B8" w14:textId="27CC50D4" w:rsidR="009F7D16" w:rsidRPr="00313B87" w:rsidRDefault="009F7D16" w:rsidP="0010363A">
      <w:pPr>
        <w:pStyle w:val="ListParagraph"/>
        <w:spacing w:after="0" w:line="276" w:lineRule="auto"/>
        <w:rPr>
          <w:rFonts w:ascii="Calibri" w:eastAsia="Calibri" w:hAnsi="Calibri" w:cs="Calibri"/>
        </w:rPr>
      </w:pPr>
      <w:r w:rsidRPr="00313B87">
        <w:rPr>
          <w:rFonts w:ascii="Calibri" w:eastAsia="Calibri" w:hAnsi="Calibri" w:cs="Calibri"/>
        </w:rPr>
        <w:t>As part of PELL’s Core data, HD birth records are linked to live birth certificate data for each newborn.  HD maternal delivery records are linked to BC/FD data for each delivery.</w:t>
      </w:r>
    </w:p>
    <w:p w14:paraId="04645185" w14:textId="77777777" w:rsidR="0010363A" w:rsidRPr="00313B87" w:rsidRDefault="0010363A" w:rsidP="0010363A">
      <w:pPr>
        <w:pStyle w:val="ListParagraph"/>
        <w:spacing w:after="0" w:line="276" w:lineRule="auto"/>
        <w:rPr>
          <w:rFonts w:ascii="Calibri" w:eastAsia="Calibri" w:hAnsi="Calibri" w:cs="Calibri"/>
        </w:rPr>
      </w:pPr>
    </w:p>
    <w:p w14:paraId="6610050D" w14:textId="5DAE579F" w:rsidR="009F7D16" w:rsidRPr="00313B87" w:rsidRDefault="009F7D16" w:rsidP="0010363A">
      <w:pPr>
        <w:pStyle w:val="ListParagraph"/>
        <w:spacing w:after="0" w:line="276" w:lineRule="auto"/>
        <w:rPr>
          <w:rFonts w:ascii="Calibri" w:eastAsia="Calibri" w:hAnsi="Calibri" w:cs="Calibri"/>
        </w:rPr>
      </w:pPr>
      <w:r w:rsidRPr="00313B87">
        <w:rPr>
          <w:rFonts w:ascii="Calibri" w:eastAsia="Calibri" w:hAnsi="Calibri" w:cs="Calibri"/>
        </w:rPr>
        <w:t>In addition, HD non-birth and non-delivery data are linked longitudinally.  HD non-birth records for children born in 1998 to the present are linked postnatally as part of the children’s longitudinal linkage.  HD non-delivery records for mothers are linked longitudinally as part of the maternal longitudinal linkage, both before and after delivery.</w:t>
      </w:r>
    </w:p>
    <w:p w14:paraId="0F9EA775" w14:textId="77777777" w:rsidR="009F7D16" w:rsidRPr="00313B87" w:rsidRDefault="009F7D16" w:rsidP="009F7D16">
      <w:pPr>
        <w:spacing w:after="0" w:line="276" w:lineRule="auto"/>
        <w:ind w:left="360"/>
        <w:rPr>
          <w:rFonts w:ascii="Calibri" w:eastAsia="Calibri" w:hAnsi="Calibri" w:cs="Calibri"/>
        </w:rPr>
      </w:pPr>
    </w:p>
    <w:p w14:paraId="548ADDEA" w14:textId="41CC78C7" w:rsidR="009F7D16" w:rsidRPr="00313B87" w:rsidRDefault="009F7D16" w:rsidP="009F7D16">
      <w:pPr>
        <w:spacing w:after="0" w:line="276" w:lineRule="auto"/>
        <w:ind w:left="360"/>
        <w:rPr>
          <w:rFonts w:ascii="Calibri" w:eastAsia="Calibri" w:hAnsi="Calibri" w:cs="Calibri"/>
          <w:b/>
          <w:bCs/>
          <w:u w:val="single"/>
        </w:rPr>
      </w:pPr>
      <w:r w:rsidRPr="00313B87">
        <w:rPr>
          <w:rFonts w:ascii="Calibri" w:eastAsia="Calibri" w:hAnsi="Calibri" w:cs="Calibri"/>
          <w:b/>
          <w:bCs/>
          <w:u w:val="single"/>
        </w:rPr>
        <w:t>Emergency Department</w:t>
      </w:r>
    </w:p>
    <w:p w14:paraId="6E702C80" w14:textId="77777777" w:rsidR="009F7D16" w:rsidRPr="00313B87" w:rsidRDefault="009F7D16" w:rsidP="0010363A">
      <w:pPr>
        <w:pStyle w:val="ListParagraph"/>
        <w:spacing w:after="0" w:line="276" w:lineRule="auto"/>
        <w:rPr>
          <w:rFonts w:ascii="Calibri" w:eastAsia="Times New Roman" w:hAnsi="Calibri" w:cs="Calibri"/>
        </w:rPr>
      </w:pPr>
      <w:r w:rsidRPr="00313B87">
        <w:rPr>
          <w:rFonts w:ascii="Calibri" w:eastAsia="Times New Roman" w:hAnsi="Calibri" w:cs="Calibri"/>
        </w:rPr>
        <w:t>Data for all outpatient visits to Massachusetts acute care hospital emergency departments and satellite emergency facilities.  Data elements are similar to those contained in the inpatient and observational stay databases, including patient demographics, clinical characteristics, services provided, charges, and hospital and practitioner information.</w:t>
      </w:r>
    </w:p>
    <w:p w14:paraId="60682A2D" w14:textId="77777777" w:rsidR="009F7D16" w:rsidRPr="00313B87" w:rsidRDefault="009F7D16" w:rsidP="0010363A">
      <w:pPr>
        <w:pStyle w:val="ListParagraph"/>
        <w:spacing w:after="0" w:line="276" w:lineRule="auto"/>
        <w:rPr>
          <w:rFonts w:ascii="Calibri" w:eastAsia="Calibri" w:hAnsi="Calibri" w:cs="Calibri"/>
        </w:rPr>
      </w:pPr>
    </w:p>
    <w:p w14:paraId="1726EDF8" w14:textId="77777777" w:rsidR="009F7D16" w:rsidRPr="00313B87" w:rsidRDefault="009F7D16" w:rsidP="0010363A">
      <w:pPr>
        <w:pStyle w:val="ListParagraph"/>
        <w:spacing w:after="0" w:line="276" w:lineRule="auto"/>
        <w:rPr>
          <w:rFonts w:ascii="Calibri" w:eastAsia="Calibri" w:hAnsi="Calibri" w:cs="Calibri"/>
        </w:rPr>
      </w:pPr>
      <w:r w:rsidRPr="00313B87">
        <w:rPr>
          <w:rFonts w:ascii="Calibri" w:eastAsia="Calibri" w:hAnsi="Calibri" w:cs="Calibri"/>
        </w:rPr>
        <w:t>ED data for mothers are linked longitudinally in PELL as part of the maternal longitudinal linkage, both before and after delivery. ED data for children are linked postnatally as part of the children’s longitudinal linkage.</w:t>
      </w:r>
    </w:p>
    <w:p w14:paraId="4B8412F8" w14:textId="77777777" w:rsidR="009F7D16" w:rsidRPr="00313B87" w:rsidRDefault="009F7D16" w:rsidP="009F7D16">
      <w:pPr>
        <w:spacing w:after="0" w:line="276" w:lineRule="auto"/>
        <w:ind w:left="360"/>
        <w:rPr>
          <w:rFonts w:ascii="Calibri" w:eastAsia="Calibri" w:hAnsi="Calibri" w:cs="Calibri"/>
        </w:rPr>
      </w:pPr>
    </w:p>
    <w:p w14:paraId="01989003" w14:textId="77777777" w:rsidR="00B56C5F" w:rsidRPr="00313B87" w:rsidRDefault="00B56C5F" w:rsidP="009F7D16">
      <w:pPr>
        <w:spacing w:after="0" w:line="276" w:lineRule="auto"/>
        <w:ind w:left="360"/>
        <w:rPr>
          <w:rFonts w:ascii="Calibri" w:eastAsia="Calibri" w:hAnsi="Calibri" w:cs="Calibri"/>
          <w:b/>
          <w:bCs/>
          <w:u w:val="single"/>
        </w:rPr>
      </w:pPr>
    </w:p>
    <w:p w14:paraId="24D87FB3" w14:textId="71771CCB" w:rsidR="009F7D16" w:rsidRPr="00313B87" w:rsidRDefault="009F7D16" w:rsidP="009F7D16">
      <w:pPr>
        <w:spacing w:after="0" w:line="276" w:lineRule="auto"/>
        <w:ind w:left="360"/>
        <w:rPr>
          <w:rFonts w:ascii="Calibri" w:eastAsia="Calibri" w:hAnsi="Calibri" w:cs="Calibri"/>
          <w:b/>
          <w:bCs/>
          <w:u w:val="single"/>
        </w:rPr>
      </w:pPr>
      <w:r w:rsidRPr="00313B87">
        <w:rPr>
          <w:rFonts w:ascii="Calibri" w:eastAsia="Calibri" w:hAnsi="Calibri" w:cs="Calibri"/>
          <w:b/>
          <w:bCs/>
          <w:u w:val="single"/>
        </w:rPr>
        <w:t>Observational Stay</w:t>
      </w:r>
    </w:p>
    <w:p w14:paraId="20A7B412" w14:textId="77777777" w:rsidR="009F7D16" w:rsidRPr="00313B87" w:rsidRDefault="009F7D16" w:rsidP="0010363A">
      <w:pPr>
        <w:pStyle w:val="ListParagraph"/>
        <w:spacing w:after="0" w:line="276" w:lineRule="auto"/>
        <w:rPr>
          <w:rFonts w:ascii="Calibri" w:eastAsia="Calibri" w:hAnsi="Calibri" w:cs="Calibri"/>
        </w:rPr>
      </w:pPr>
      <w:r w:rsidRPr="00313B87">
        <w:rPr>
          <w:rFonts w:ascii="Calibri" w:eastAsia="Calibri" w:hAnsi="Calibri" w:cs="Calibri"/>
        </w:rPr>
        <w:t xml:space="preserve">The outpatient Observational Stay (OS) data include patients who receive observation services and are not admitted to the hospital. This database contains patient-level information including socio-demographics, clinical data and total charge data for patients who had an observational stay in a Massachusetts acute care hospital. </w:t>
      </w:r>
    </w:p>
    <w:p w14:paraId="5CB3D94C" w14:textId="77777777" w:rsidR="009F7D16" w:rsidRPr="00313B87" w:rsidRDefault="009F7D16" w:rsidP="0010363A">
      <w:pPr>
        <w:pStyle w:val="ListParagraph"/>
        <w:spacing w:after="0" w:line="276" w:lineRule="auto"/>
        <w:rPr>
          <w:rFonts w:ascii="Calibri" w:eastAsia="Calibri" w:hAnsi="Calibri" w:cs="Calibri"/>
        </w:rPr>
      </w:pPr>
      <w:r w:rsidRPr="00313B87">
        <w:rPr>
          <w:rFonts w:ascii="Calibri" w:eastAsia="Calibri" w:hAnsi="Calibri" w:cs="Calibri"/>
        </w:rPr>
        <w:t>OS data for mothers are linked longitudinally in PELL as part of the maternal longitudinal linkage, both before and after delivery. OS data for children are linked postnatally as part of the children’s longitudinal linkage.</w:t>
      </w:r>
    </w:p>
    <w:p w14:paraId="7AA432BD" w14:textId="77777777" w:rsidR="009F7D16" w:rsidRPr="00313B87" w:rsidRDefault="009F7D16" w:rsidP="009F7D16">
      <w:pPr>
        <w:pStyle w:val="ListParagraph"/>
        <w:spacing w:after="0" w:line="276" w:lineRule="auto"/>
        <w:rPr>
          <w:rFonts w:ascii="Calibri" w:eastAsia="Calibri" w:hAnsi="Calibri" w:cs="Calibri"/>
        </w:rPr>
      </w:pPr>
    </w:p>
    <w:p w14:paraId="083B7FB7" w14:textId="37696B53" w:rsidR="009F7D16" w:rsidRPr="00313B87" w:rsidRDefault="009F7D16" w:rsidP="009F7D16">
      <w:pPr>
        <w:pStyle w:val="ListParagraph"/>
        <w:spacing w:after="0" w:line="276" w:lineRule="auto"/>
        <w:ind w:left="360"/>
        <w:rPr>
          <w:rFonts w:ascii="Calibri" w:eastAsia="Calibri" w:hAnsi="Calibri" w:cs="Calibri"/>
          <w:b/>
          <w:u w:val="single"/>
        </w:rPr>
      </w:pPr>
      <w:r w:rsidRPr="00313B87">
        <w:rPr>
          <w:rFonts w:ascii="Calibri" w:eastAsia="Calibri" w:hAnsi="Calibri" w:cs="Calibri"/>
          <w:b/>
          <w:u w:val="single"/>
        </w:rPr>
        <w:t xml:space="preserve">Programmatic </w:t>
      </w:r>
      <w:r w:rsidR="000E320C" w:rsidRPr="00313B87">
        <w:rPr>
          <w:rFonts w:ascii="Calibri" w:eastAsia="Calibri" w:hAnsi="Calibri" w:cs="Calibri"/>
          <w:b/>
          <w:u w:val="single"/>
        </w:rPr>
        <w:t>D</w:t>
      </w:r>
      <w:r w:rsidRPr="00313B87">
        <w:rPr>
          <w:rFonts w:ascii="Calibri" w:eastAsia="Calibri" w:hAnsi="Calibri" w:cs="Calibri"/>
          <w:b/>
          <w:u w:val="single"/>
        </w:rPr>
        <w:t>ata</w:t>
      </w:r>
    </w:p>
    <w:p w14:paraId="6D9F371D" w14:textId="2B10831D" w:rsidR="009F7D16" w:rsidRPr="00313B87" w:rsidRDefault="009F7D16" w:rsidP="0010363A">
      <w:pPr>
        <w:pStyle w:val="ListParagraph"/>
        <w:spacing w:after="0" w:line="276" w:lineRule="auto"/>
        <w:rPr>
          <w:rFonts w:ascii="Calibri" w:eastAsia="Calibri" w:hAnsi="Calibri" w:cs="Calibri"/>
        </w:rPr>
      </w:pPr>
      <w:r w:rsidRPr="00313B87">
        <w:rPr>
          <w:rFonts w:ascii="Calibri" w:eastAsia="Calibri" w:hAnsi="Calibri" w:cs="Calibri"/>
        </w:rPr>
        <w:t xml:space="preserve">Massachusetts Birth Defects Registry, Early Intervention (EI), Pregnancy Risk Assessment Monitoring System (PRAMS) survey, Massachusetts Cancer Registry, and Universal Newborn Hearing Screening (UNHS) data are all linkable to PELL. These datasets require additional application materials available on IRBnet.org. Through the use of geocodes, PELL is able to be linked to other datasets for environmental exposures or additional census-tract-based files. </w:t>
      </w:r>
      <w:r w:rsidR="000A4FEF" w:rsidRPr="00313B87">
        <w:rPr>
          <w:rFonts w:ascii="Calibri" w:eastAsia="Calibri" w:hAnsi="Calibri" w:cs="Calibri"/>
        </w:rPr>
        <w:t xml:space="preserve">Data from </w:t>
      </w:r>
      <w:r w:rsidR="00A21CA1" w:rsidRPr="00313B87">
        <w:rPr>
          <w:rFonts w:ascii="Calibri" w:eastAsia="Calibri" w:hAnsi="Calibri" w:cs="Calibri"/>
        </w:rPr>
        <w:t xml:space="preserve">SART CORS was included within the Massachusetts Outcomes Study of Assisted Reproductive Technology (MOSART) and requires additional application materials </w:t>
      </w:r>
      <w:r w:rsidR="00AA7585" w:rsidRPr="00313B87">
        <w:rPr>
          <w:rFonts w:ascii="Calibri" w:eastAsia="Calibri" w:hAnsi="Calibri" w:cs="Calibri"/>
        </w:rPr>
        <w:t>through</w:t>
      </w:r>
      <w:r w:rsidR="00A21CA1" w:rsidRPr="00313B87">
        <w:rPr>
          <w:rFonts w:ascii="Calibri" w:eastAsia="Calibri" w:hAnsi="Calibri" w:cs="Calibri"/>
        </w:rPr>
        <w:t xml:space="preserve"> </w:t>
      </w:r>
      <w:r w:rsidR="00AA7585" w:rsidRPr="00313B87">
        <w:rPr>
          <w:rFonts w:ascii="Calibri" w:eastAsia="Calibri" w:hAnsi="Calibri" w:cs="Calibri"/>
        </w:rPr>
        <w:t>SART CORS.</w:t>
      </w:r>
    </w:p>
    <w:p w14:paraId="1012571D" w14:textId="77777777" w:rsidR="009F7D16" w:rsidRPr="00313B87" w:rsidRDefault="009F7D16" w:rsidP="00B80B7E">
      <w:pPr>
        <w:spacing w:after="0" w:line="276" w:lineRule="auto"/>
        <w:ind w:left="360"/>
        <w:rPr>
          <w:rFonts w:ascii="Calibri" w:eastAsia="Calibri" w:hAnsi="Calibri" w:cs="Calibri"/>
        </w:rPr>
      </w:pPr>
    </w:p>
    <w:p w14:paraId="2AA4A584" w14:textId="6E77B991" w:rsidR="009F7D16" w:rsidRPr="00313B87" w:rsidRDefault="00AA7585" w:rsidP="009F7D16">
      <w:pPr>
        <w:spacing w:after="0"/>
        <w:rPr>
          <w:rFonts w:ascii="Calibri" w:hAnsi="Calibri" w:cs="Calibri"/>
        </w:rPr>
      </w:pPr>
      <w:r w:rsidRPr="00313B87">
        <w:rPr>
          <w:rFonts w:ascii="Calibri" w:eastAsia="Calibri" w:hAnsi="Calibri" w:cs="Calibri"/>
        </w:rPr>
        <w:t xml:space="preserve">Currently, </w:t>
      </w:r>
      <w:r w:rsidR="009F7D16" w:rsidRPr="00313B87">
        <w:rPr>
          <w:rFonts w:ascii="Calibri" w:eastAsia="Calibri" w:hAnsi="Calibri" w:cs="Calibri"/>
        </w:rPr>
        <w:t>PELL data do not include outpatient or clinical records or pharmacy records. PELL anticipates incorporating data from the All</w:t>
      </w:r>
      <w:r w:rsidRPr="00313B87">
        <w:rPr>
          <w:rFonts w:ascii="Calibri" w:eastAsia="Calibri" w:hAnsi="Calibri" w:cs="Calibri"/>
        </w:rPr>
        <w:t>-</w:t>
      </w:r>
      <w:r w:rsidR="009F7D16" w:rsidRPr="00313B87">
        <w:rPr>
          <w:rFonts w:ascii="Calibri" w:eastAsia="Calibri" w:hAnsi="Calibri" w:cs="Calibri"/>
        </w:rPr>
        <w:t>Payer Claims Database (APCD) and from MassHealth (Medicaid) by summer 2027.</w:t>
      </w:r>
    </w:p>
    <w:p w14:paraId="096E725A" w14:textId="77777777" w:rsidR="009F7D16" w:rsidRPr="00313B87" w:rsidRDefault="009F7D16" w:rsidP="009F7D16">
      <w:pPr>
        <w:spacing w:after="0"/>
        <w:rPr>
          <w:rFonts w:ascii="Calibri" w:eastAsia="Calibri" w:hAnsi="Calibri" w:cs="Calibri"/>
        </w:rPr>
      </w:pPr>
    </w:p>
    <w:p w14:paraId="6D259F6A" w14:textId="77777777" w:rsidR="009F7D16" w:rsidRPr="00313B87" w:rsidRDefault="009F7D16" w:rsidP="009F7D16">
      <w:pPr>
        <w:spacing w:after="0"/>
        <w:rPr>
          <w:rFonts w:ascii="Calibri" w:eastAsia="Calibri" w:hAnsi="Calibri" w:cs="Calibri"/>
        </w:rPr>
      </w:pPr>
      <w:commentRangeStart w:id="0"/>
      <w:commentRangeStart w:id="1"/>
      <w:r w:rsidRPr="00313B87">
        <w:rPr>
          <w:rFonts w:ascii="Calibri" w:eastAsia="Calibri" w:hAnsi="Calibri" w:cs="Calibri"/>
        </w:rPr>
        <w:t>PELL includes records from 1998 through 2023 and are updated yearly</w:t>
      </w:r>
      <w:commentRangeEnd w:id="0"/>
      <w:r w:rsidRPr="00313B87">
        <w:rPr>
          <w:rStyle w:val="CommentReference"/>
          <w:rFonts w:ascii="Calibri" w:eastAsia="Calibri" w:hAnsi="Calibri" w:cs="Calibri"/>
          <w:sz w:val="24"/>
          <w:szCs w:val="24"/>
        </w:rPr>
        <w:commentReference w:id="0"/>
      </w:r>
      <w:commentRangeEnd w:id="1"/>
      <w:r w:rsidR="00000000" w:rsidRPr="00313B87">
        <w:rPr>
          <w:rStyle w:val="CommentReference"/>
          <w:rFonts w:ascii="Calibri" w:eastAsia="Calibri" w:hAnsi="Calibri" w:cs="Calibri"/>
          <w:sz w:val="24"/>
          <w:szCs w:val="24"/>
        </w:rPr>
        <w:commentReference w:id="1"/>
      </w:r>
      <w:r w:rsidRPr="00313B87">
        <w:rPr>
          <w:rFonts w:ascii="Calibri" w:eastAsia="Calibri" w:hAnsi="Calibri" w:cs="Calibri"/>
        </w:rPr>
        <w:t>.</w:t>
      </w:r>
    </w:p>
    <w:p w14:paraId="5761929A" w14:textId="77777777" w:rsidR="009F7D16" w:rsidRPr="00313B87" w:rsidRDefault="009F7D16" w:rsidP="009F7D16">
      <w:pPr>
        <w:spacing w:after="0"/>
        <w:rPr>
          <w:rFonts w:ascii="Calibri" w:eastAsia="Calibri" w:hAnsi="Calibri" w:cs="Calibri"/>
        </w:rPr>
      </w:pPr>
    </w:p>
    <w:p w14:paraId="554209C4" w14:textId="77777777" w:rsidR="009F7D16" w:rsidRPr="00313B87" w:rsidRDefault="009F7D16" w:rsidP="009F7D16">
      <w:pPr>
        <w:spacing w:after="0"/>
        <w:rPr>
          <w:rFonts w:ascii="Calibri" w:eastAsia="Calibri" w:hAnsi="Calibri" w:cs="Calibri"/>
        </w:rPr>
      </w:pPr>
    </w:p>
    <w:p w14:paraId="617D8CA7" w14:textId="77777777" w:rsidR="009F7D16" w:rsidRPr="00313B87" w:rsidRDefault="009F7D16" w:rsidP="009F7D16">
      <w:pPr>
        <w:rPr>
          <w:rFonts w:ascii="Calibri" w:hAnsi="Calibri" w:cs="Calibri"/>
        </w:rPr>
      </w:pPr>
    </w:p>
    <w:p w14:paraId="40E77477" w14:textId="77777777" w:rsidR="00F37B88" w:rsidRPr="00313B87" w:rsidRDefault="00F37B88">
      <w:pPr>
        <w:rPr>
          <w:rFonts w:ascii="Calibri" w:hAnsi="Calibri" w:cs="Calibri"/>
        </w:rPr>
      </w:pPr>
    </w:p>
    <w:sectPr w:rsidR="00F37B88" w:rsidRPr="00313B8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Stone, Sarah L (DPH)" w:date="2026-01-08T11:00:00Z" w:initials="S(">
    <w:p w14:paraId="55E65BEB" w14:textId="77777777" w:rsidR="009F7D16" w:rsidRDefault="009F7D16">
      <w:pPr>
        <w:pStyle w:val="CommentText"/>
      </w:pPr>
      <w:r>
        <w:rPr>
          <w:rStyle w:val="CommentReference"/>
        </w:rPr>
        <w:annotationRef/>
      </w:r>
      <w:r>
        <w:fldChar w:fldCharType="begin"/>
      </w:r>
      <w:r>
        <w:instrText xml:space="preserve"> HYPERLINK "mailto:xiaohui.cui@mass.gov"</w:instrText>
      </w:r>
      <w:bookmarkStart w:id="2" w:name="_@_639ED2263FC240E5A84EEE64977F77FCZ"/>
      <w:r>
        <w:fldChar w:fldCharType="separate"/>
      </w:r>
      <w:bookmarkEnd w:id="2"/>
      <w:r w:rsidRPr="08D41AD0">
        <w:rPr>
          <w:rStyle w:val="Mention"/>
          <w:noProof/>
        </w:rPr>
        <w:t>@Cui, Xiaohui (DPH)</w:t>
      </w:r>
      <w:r>
        <w:fldChar w:fldCharType="end"/>
      </w:r>
      <w:r w:rsidRPr="67221725">
        <w:t xml:space="preserve"> please check with Qi, he may have the numbers for 2023</w:t>
      </w:r>
    </w:p>
  </w:comment>
  <w:comment w:id="1" w:author="Cui, Xiaohui (DPH)" w:date="2026-01-08T12:36:00Z" w:initials="CX">
    <w:p w14:paraId="016128C2" w14:textId="77777777" w:rsidR="009F7D16" w:rsidRDefault="009F7D16">
      <w:pPr>
        <w:pStyle w:val="CommentText"/>
      </w:pPr>
      <w:r>
        <w:rPr>
          <w:rStyle w:val="CommentReference"/>
        </w:rPr>
        <w:annotationRef/>
      </w:r>
      <w:r w:rsidRPr="208C577E">
        <w:t>numbers are updated through 2023</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55E65BEB" w15:done="1"/>
  <w15:commentEx w15:paraId="016128C2" w15:paraIdParent="55E65BE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C13FCF9" w16cex:dateUtc="2026-01-08T16:00:00Z"/>
  <w16cex:commentExtensible w16cex:durableId="319A17B3" w16cex:dateUtc="2026-01-08T1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55E65BEB" w16cid:durableId="0C13FCF9"/>
  <w16cid:commentId w16cid:paraId="016128C2" w16cid:durableId="319A17B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quot;Calibri&quot;,sans-serif">
    <w:altName w:val="Cambria"/>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5A2E33"/>
    <w:multiLevelType w:val="hybridMultilevel"/>
    <w:tmpl w:val="5AD40C6E"/>
    <w:lvl w:ilvl="0" w:tplc="34002CA2">
      <w:start w:val="1"/>
      <w:numFmt w:val="bullet"/>
      <w:lvlText w:val="-"/>
      <w:lvlJc w:val="left"/>
      <w:pPr>
        <w:ind w:left="720" w:hanging="360"/>
      </w:pPr>
      <w:rPr>
        <w:rFonts w:ascii="&quot;Calibri&quot;,sans-serif" w:hAnsi="&quot;Calibri&quot;,sans-serif" w:hint="default"/>
      </w:rPr>
    </w:lvl>
    <w:lvl w:ilvl="1" w:tplc="A0487036">
      <w:start w:val="1"/>
      <w:numFmt w:val="bullet"/>
      <w:lvlText w:val="o"/>
      <w:lvlJc w:val="left"/>
      <w:pPr>
        <w:ind w:left="1440" w:hanging="360"/>
      </w:pPr>
      <w:rPr>
        <w:rFonts w:ascii="Courier New" w:hAnsi="Courier New" w:hint="default"/>
      </w:rPr>
    </w:lvl>
    <w:lvl w:ilvl="2" w:tplc="2FE015D0">
      <w:start w:val="1"/>
      <w:numFmt w:val="bullet"/>
      <w:lvlText w:val=""/>
      <w:lvlJc w:val="left"/>
      <w:pPr>
        <w:ind w:left="2160" w:hanging="360"/>
      </w:pPr>
      <w:rPr>
        <w:rFonts w:ascii="Wingdings" w:hAnsi="Wingdings" w:hint="default"/>
      </w:rPr>
    </w:lvl>
    <w:lvl w:ilvl="3" w:tplc="339E8D30">
      <w:start w:val="1"/>
      <w:numFmt w:val="bullet"/>
      <w:lvlText w:val=""/>
      <w:lvlJc w:val="left"/>
      <w:pPr>
        <w:ind w:left="2880" w:hanging="360"/>
      </w:pPr>
      <w:rPr>
        <w:rFonts w:ascii="Symbol" w:hAnsi="Symbol" w:hint="default"/>
      </w:rPr>
    </w:lvl>
    <w:lvl w:ilvl="4" w:tplc="D9C04658">
      <w:start w:val="1"/>
      <w:numFmt w:val="bullet"/>
      <w:lvlText w:val="o"/>
      <w:lvlJc w:val="left"/>
      <w:pPr>
        <w:ind w:left="3600" w:hanging="360"/>
      </w:pPr>
      <w:rPr>
        <w:rFonts w:ascii="Courier New" w:hAnsi="Courier New" w:hint="default"/>
      </w:rPr>
    </w:lvl>
    <w:lvl w:ilvl="5" w:tplc="346EC24A">
      <w:start w:val="1"/>
      <w:numFmt w:val="bullet"/>
      <w:lvlText w:val=""/>
      <w:lvlJc w:val="left"/>
      <w:pPr>
        <w:ind w:left="4320" w:hanging="360"/>
      </w:pPr>
      <w:rPr>
        <w:rFonts w:ascii="Wingdings" w:hAnsi="Wingdings" w:hint="default"/>
      </w:rPr>
    </w:lvl>
    <w:lvl w:ilvl="6" w:tplc="48C2BA24">
      <w:start w:val="1"/>
      <w:numFmt w:val="bullet"/>
      <w:lvlText w:val=""/>
      <w:lvlJc w:val="left"/>
      <w:pPr>
        <w:ind w:left="5040" w:hanging="360"/>
      </w:pPr>
      <w:rPr>
        <w:rFonts w:ascii="Symbol" w:hAnsi="Symbol" w:hint="default"/>
      </w:rPr>
    </w:lvl>
    <w:lvl w:ilvl="7" w:tplc="AF92238E">
      <w:start w:val="1"/>
      <w:numFmt w:val="bullet"/>
      <w:lvlText w:val="o"/>
      <w:lvlJc w:val="left"/>
      <w:pPr>
        <w:ind w:left="5760" w:hanging="360"/>
      </w:pPr>
      <w:rPr>
        <w:rFonts w:ascii="Courier New" w:hAnsi="Courier New" w:hint="default"/>
      </w:rPr>
    </w:lvl>
    <w:lvl w:ilvl="8" w:tplc="82EABD50">
      <w:start w:val="1"/>
      <w:numFmt w:val="bullet"/>
      <w:lvlText w:val=""/>
      <w:lvlJc w:val="left"/>
      <w:pPr>
        <w:ind w:left="6480" w:hanging="360"/>
      </w:pPr>
      <w:rPr>
        <w:rFonts w:ascii="Wingdings" w:hAnsi="Wingdings" w:hint="default"/>
      </w:rPr>
    </w:lvl>
  </w:abstractNum>
  <w:abstractNum w:abstractNumId="1" w15:restartNumberingAfterBreak="0">
    <w:nsid w:val="57154121"/>
    <w:multiLevelType w:val="hybridMultilevel"/>
    <w:tmpl w:val="09C2A674"/>
    <w:lvl w:ilvl="0" w:tplc="3932A6D6">
      <w:start w:val="1"/>
      <w:numFmt w:val="bullet"/>
      <w:lvlText w:val="-"/>
      <w:lvlJc w:val="left"/>
      <w:pPr>
        <w:ind w:left="720" w:hanging="360"/>
      </w:pPr>
      <w:rPr>
        <w:rFonts w:ascii="&quot;Calibri&quot;,sans-serif" w:hAnsi="&quot;Calibri&quot;,sans-serif" w:hint="default"/>
      </w:rPr>
    </w:lvl>
    <w:lvl w:ilvl="1" w:tplc="FE22E6BE">
      <w:start w:val="1"/>
      <w:numFmt w:val="bullet"/>
      <w:lvlText w:val="o"/>
      <w:lvlJc w:val="left"/>
      <w:pPr>
        <w:ind w:left="1440" w:hanging="360"/>
      </w:pPr>
      <w:rPr>
        <w:rFonts w:ascii="Courier New" w:hAnsi="Courier New" w:hint="default"/>
      </w:rPr>
    </w:lvl>
    <w:lvl w:ilvl="2" w:tplc="8604D8D8">
      <w:start w:val="1"/>
      <w:numFmt w:val="bullet"/>
      <w:lvlText w:val=""/>
      <w:lvlJc w:val="left"/>
      <w:pPr>
        <w:ind w:left="2160" w:hanging="360"/>
      </w:pPr>
      <w:rPr>
        <w:rFonts w:ascii="Wingdings" w:hAnsi="Wingdings" w:hint="default"/>
      </w:rPr>
    </w:lvl>
    <w:lvl w:ilvl="3" w:tplc="5B10FEAA">
      <w:start w:val="1"/>
      <w:numFmt w:val="bullet"/>
      <w:lvlText w:val=""/>
      <w:lvlJc w:val="left"/>
      <w:pPr>
        <w:ind w:left="2880" w:hanging="360"/>
      </w:pPr>
      <w:rPr>
        <w:rFonts w:ascii="Symbol" w:hAnsi="Symbol" w:hint="default"/>
      </w:rPr>
    </w:lvl>
    <w:lvl w:ilvl="4" w:tplc="7E5E552A">
      <w:start w:val="1"/>
      <w:numFmt w:val="bullet"/>
      <w:lvlText w:val="o"/>
      <w:lvlJc w:val="left"/>
      <w:pPr>
        <w:ind w:left="3600" w:hanging="360"/>
      </w:pPr>
      <w:rPr>
        <w:rFonts w:ascii="Courier New" w:hAnsi="Courier New" w:hint="default"/>
      </w:rPr>
    </w:lvl>
    <w:lvl w:ilvl="5" w:tplc="8258FF74">
      <w:start w:val="1"/>
      <w:numFmt w:val="bullet"/>
      <w:lvlText w:val=""/>
      <w:lvlJc w:val="left"/>
      <w:pPr>
        <w:ind w:left="4320" w:hanging="360"/>
      </w:pPr>
      <w:rPr>
        <w:rFonts w:ascii="Wingdings" w:hAnsi="Wingdings" w:hint="default"/>
      </w:rPr>
    </w:lvl>
    <w:lvl w:ilvl="6" w:tplc="A42221DA">
      <w:start w:val="1"/>
      <w:numFmt w:val="bullet"/>
      <w:lvlText w:val=""/>
      <w:lvlJc w:val="left"/>
      <w:pPr>
        <w:ind w:left="5040" w:hanging="360"/>
      </w:pPr>
      <w:rPr>
        <w:rFonts w:ascii="Symbol" w:hAnsi="Symbol" w:hint="default"/>
      </w:rPr>
    </w:lvl>
    <w:lvl w:ilvl="7" w:tplc="1F64AADC">
      <w:start w:val="1"/>
      <w:numFmt w:val="bullet"/>
      <w:lvlText w:val="o"/>
      <w:lvlJc w:val="left"/>
      <w:pPr>
        <w:ind w:left="5760" w:hanging="360"/>
      </w:pPr>
      <w:rPr>
        <w:rFonts w:ascii="Courier New" w:hAnsi="Courier New" w:hint="default"/>
      </w:rPr>
    </w:lvl>
    <w:lvl w:ilvl="8" w:tplc="4008CDE8">
      <w:start w:val="1"/>
      <w:numFmt w:val="bullet"/>
      <w:lvlText w:val=""/>
      <w:lvlJc w:val="left"/>
      <w:pPr>
        <w:ind w:left="6480" w:hanging="360"/>
      </w:pPr>
      <w:rPr>
        <w:rFonts w:ascii="Wingdings" w:hAnsi="Wingdings" w:hint="default"/>
      </w:rPr>
    </w:lvl>
  </w:abstractNum>
  <w:abstractNum w:abstractNumId="2" w15:restartNumberingAfterBreak="0">
    <w:nsid w:val="5DD86FC7"/>
    <w:multiLevelType w:val="hybridMultilevel"/>
    <w:tmpl w:val="A4BC613E"/>
    <w:lvl w:ilvl="0" w:tplc="3932A6D6">
      <w:start w:val="1"/>
      <w:numFmt w:val="bullet"/>
      <w:lvlText w:val="-"/>
      <w:lvlJc w:val="left"/>
      <w:pPr>
        <w:ind w:left="720" w:hanging="360"/>
      </w:pPr>
      <w:rPr>
        <w:rFonts w:ascii="&quot;Calibri&quot;,sans-serif" w:hAnsi="&quot;Calibri&quot;,sans-serif"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69AE87EF"/>
    <w:multiLevelType w:val="hybridMultilevel"/>
    <w:tmpl w:val="901061A8"/>
    <w:lvl w:ilvl="0" w:tplc="F59C1B4E">
      <w:start w:val="1"/>
      <w:numFmt w:val="bullet"/>
      <w:lvlText w:val="-"/>
      <w:lvlJc w:val="left"/>
      <w:pPr>
        <w:ind w:left="720" w:hanging="360"/>
      </w:pPr>
      <w:rPr>
        <w:rFonts w:ascii="&quot;Calibri&quot;,sans-serif" w:hAnsi="&quot;Calibri&quot;,sans-serif" w:hint="default"/>
      </w:rPr>
    </w:lvl>
    <w:lvl w:ilvl="1" w:tplc="E862BC62">
      <w:start w:val="1"/>
      <w:numFmt w:val="bullet"/>
      <w:lvlText w:val="o"/>
      <w:lvlJc w:val="left"/>
      <w:pPr>
        <w:ind w:left="1440" w:hanging="360"/>
      </w:pPr>
      <w:rPr>
        <w:rFonts w:ascii="Courier New" w:hAnsi="Courier New" w:hint="default"/>
      </w:rPr>
    </w:lvl>
    <w:lvl w:ilvl="2" w:tplc="79A4E658">
      <w:start w:val="1"/>
      <w:numFmt w:val="bullet"/>
      <w:lvlText w:val=""/>
      <w:lvlJc w:val="left"/>
      <w:pPr>
        <w:ind w:left="2160" w:hanging="360"/>
      </w:pPr>
      <w:rPr>
        <w:rFonts w:ascii="Wingdings" w:hAnsi="Wingdings" w:hint="default"/>
      </w:rPr>
    </w:lvl>
    <w:lvl w:ilvl="3" w:tplc="5466384A">
      <w:start w:val="1"/>
      <w:numFmt w:val="bullet"/>
      <w:lvlText w:val=""/>
      <w:lvlJc w:val="left"/>
      <w:pPr>
        <w:ind w:left="2880" w:hanging="360"/>
      </w:pPr>
      <w:rPr>
        <w:rFonts w:ascii="Symbol" w:hAnsi="Symbol" w:hint="default"/>
      </w:rPr>
    </w:lvl>
    <w:lvl w:ilvl="4" w:tplc="FCDC4B28">
      <w:start w:val="1"/>
      <w:numFmt w:val="bullet"/>
      <w:lvlText w:val="o"/>
      <w:lvlJc w:val="left"/>
      <w:pPr>
        <w:ind w:left="3600" w:hanging="360"/>
      </w:pPr>
      <w:rPr>
        <w:rFonts w:ascii="Courier New" w:hAnsi="Courier New" w:hint="default"/>
      </w:rPr>
    </w:lvl>
    <w:lvl w:ilvl="5" w:tplc="AB740736">
      <w:start w:val="1"/>
      <w:numFmt w:val="bullet"/>
      <w:lvlText w:val=""/>
      <w:lvlJc w:val="left"/>
      <w:pPr>
        <w:ind w:left="4320" w:hanging="360"/>
      </w:pPr>
      <w:rPr>
        <w:rFonts w:ascii="Wingdings" w:hAnsi="Wingdings" w:hint="default"/>
      </w:rPr>
    </w:lvl>
    <w:lvl w:ilvl="6" w:tplc="05029CF8">
      <w:start w:val="1"/>
      <w:numFmt w:val="bullet"/>
      <w:lvlText w:val=""/>
      <w:lvlJc w:val="left"/>
      <w:pPr>
        <w:ind w:left="5040" w:hanging="360"/>
      </w:pPr>
      <w:rPr>
        <w:rFonts w:ascii="Symbol" w:hAnsi="Symbol" w:hint="default"/>
      </w:rPr>
    </w:lvl>
    <w:lvl w:ilvl="7" w:tplc="5CC0871E">
      <w:start w:val="1"/>
      <w:numFmt w:val="bullet"/>
      <w:lvlText w:val="o"/>
      <w:lvlJc w:val="left"/>
      <w:pPr>
        <w:ind w:left="5760" w:hanging="360"/>
      </w:pPr>
      <w:rPr>
        <w:rFonts w:ascii="Courier New" w:hAnsi="Courier New" w:hint="default"/>
      </w:rPr>
    </w:lvl>
    <w:lvl w:ilvl="8" w:tplc="FA6CB340">
      <w:start w:val="1"/>
      <w:numFmt w:val="bullet"/>
      <w:lvlText w:val=""/>
      <w:lvlJc w:val="left"/>
      <w:pPr>
        <w:ind w:left="6480" w:hanging="360"/>
      </w:pPr>
      <w:rPr>
        <w:rFonts w:ascii="Wingdings" w:hAnsi="Wingdings" w:hint="default"/>
      </w:rPr>
    </w:lvl>
  </w:abstractNum>
  <w:num w:numId="1" w16cid:durableId="958995905">
    <w:abstractNumId w:val="1"/>
  </w:num>
  <w:num w:numId="2" w16cid:durableId="708720969">
    <w:abstractNumId w:val="3"/>
  </w:num>
  <w:num w:numId="3" w16cid:durableId="1020819298">
    <w:abstractNumId w:val="0"/>
  </w:num>
  <w:num w:numId="4" w16cid:durableId="173631902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tone, Sarah L (DPH)">
    <w15:presenceInfo w15:providerId="AD" w15:userId="S::sarah.l.stone@mass.gov::a12485c1-aa50-4385-a76e-9a021046b903"/>
  </w15:person>
  <w15:person w15:author="Cui, Xiaohui (DPH)">
    <w15:presenceInfo w15:providerId="AD" w15:userId="S::xiaohui.cui@mass.gov::ce061dce-1767-4728-8963-0b2bf4ea0a9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4CA"/>
    <w:rsid w:val="000A4FEF"/>
    <w:rsid w:val="000E320C"/>
    <w:rsid w:val="0010363A"/>
    <w:rsid w:val="002774CA"/>
    <w:rsid w:val="00313B87"/>
    <w:rsid w:val="004F591E"/>
    <w:rsid w:val="009F7D16"/>
    <w:rsid w:val="00A21CA1"/>
    <w:rsid w:val="00AA7585"/>
    <w:rsid w:val="00B56C5F"/>
    <w:rsid w:val="00B80B7E"/>
    <w:rsid w:val="00D50DC7"/>
    <w:rsid w:val="00D630EE"/>
    <w:rsid w:val="00E746B0"/>
    <w:rsid w:val="00F307C3"/>
    <w:rsid w:val="00F37B88"/>
    <w:rsid w:val="00FA3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16AD"/>
  <w15:chartTrackingRefBased/>
  <w15:docId w15:val="{7380A671-B89B-4D15-BA88-350F21E5F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D16"/>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2774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74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74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74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74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74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74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74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74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4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74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74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74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74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74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74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74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74CA"/>
    <w:rPr>
      <w:rFonts w:eastAsiaTheme="majorEastAsia" w:cstheme="majorBidi"/>
      <w:color w:val="272727" w:themeColor="text1" w:themeTint="D8"/>
    </w:rPr>
  </w:style>
  <w:style w:type="paragraph" w:styleId="Title">
    <w:name w:val="Title"/>
    <w:basedOn w:val="Normal"/>
    <w:next w:val="Normal"/>
    <w:link w:val="TitleChar"/>
    <w:uiPriority w:val="10"/>
    <w:qFormat/>
    <w:rsid w:val="002774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74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74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74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74CA"/>
    <w:pPr>
      <w:spacing w:before="160"/>
      <w:jc w:val="center"/>
    </w:pPr>
    <w:rPr>
      <w:i/>
      <w:iCs/>
      <w:color w:val="404040" w:themeColor="text1" w:themeTint="BF"/>
    </w:rPr>
  </w:style>
  <w:style w:type="character" w:customStyle="1" w:styleId="QuoteChar">
    <w:name w:val="Quote Char"/>
    <w:basedOn w:val="DefaultParagraphFont"/>
    <w:link w:val="Quote"/>
    <w:uiPriority w:val="29"/>
    <w:rsid w:val="002774CA"/>
    <w:rPr>
      <w:i/>
      <w:iCs/>
      <w:color w:val="404040" w:themeColor="text1" w:themeTint="BF"/>
    </w:rPr>
  </w:style>
  <w:style w:type="paragraph" w:styleId="ListParagraph">
    <w:name w:val="List Paragraph"/>
    <w:basedOn w:val="Normal"/>
    <w:uiPriority w:val="34"/>
    <w:qFormat/>
    <w:rsid w:val="002774CA"/>
    <w:pPr>
      <w:ind w:left="720"/>
      <w:contextualSpacing/>
    </w:pPr>
  </w:style>
  <w:style w:type="character" w:styleId="IntenseEmphasis">
    <w:name w:val="Intense Emphasis"/>
    <w:basedOn w:val="DefaultParagraphFont"/>
    <w:uiPriority w:val="21"/>
    <w:qFormat/>
    <w:rsid w:val="002774CA"/>
    <w:rPr>
      <w:i/>
      <w:iCs/>
      <w:color w:val="0F4761" w:themeColor="accent1" w:themeShade="BF"/>
    </w:rPr>
  </w:style>
  <w:style w:type="paragraph" w:styleId="IntenseQuote">
    <w:name w:val="Intense Quote"/>
    <w:basedOn w:val="Normal"/>
    <w:next w:val="Normal"/>
    <w:link w:val="IntenseQuoteChar"/>
    <w:uiPriority w:val="30"/>
    <w:qFormat/>
    <w:rsid w:val="002774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74CA"/>
    <w:rPr>
      <w:i/>
      <w:iCs/>
      <w:color w:val="0F4761" w:themeColor="accent1" w:themeShade="BF"/>
    </w:rPr>
  </w:style>
  <w:style w:type="character" w:styleId="IntenseReference">
    <w:name w:val="Intense Reference"/>
    <w:basedOn w:val="DefaultParagraphFont"/>
    <w:uiPriority w:val="32"/>
    <w:qFormat/>
    <w:rsid w:val="002774CA"/>
    <w:rPr>
      <w:b/>
      <w:bCs/>
      <w:smallCaps/>
      <w:color w:val="0F4761" w:themeColor="accent1" w:themeShade="BF"/>
      <w:spacing w:val="5"/>
    </w:rPr>
  </w:style>
  <w:style w:type="paragraph" w:styleId="CommentText">
    <w:name w:val="annotation text"/>
    <w:basedOn w:val="Normal"/>
    <w:link w:val="CommentTextChar"/>
    <w:uiPriority w:val="99"/>
    <w:unhideWhenUsed/>
    <w:rsid w:val="009F7D16"/>
    <w:pPr>
      <w:spacing w:line="240" w:lineRule="auto"/>
    </w:pPr>
    <w:rPr>
      <w:sz w:val="20"/>
      <w:szCs w:val="20"/>
    </w:rPr>
  </w:style>
  <w:style w:type="character" w:customStyle="1" w:styleId="CommentTextChar">
    <w:name w:val="Comment Text Char"/>
    <w:basedOn w:val="DefaultParagraphFont"/>
    <w:link w:val="CommentText"/>
    <w:uiPriority w:val="99"/>
    <w:rsid w:val="009F7D16"/>
    <w:rPr>
      <w:rFonts w:eastAsiaTheme="minorEastAsia"/>
      <w:kern w:val="0"/>
      <w:sz w:val="20"/>
      <w:szCs w:val="20"/>
      <w:lang w:eastAsia="ja-JP"/>
      <w14:ligatures w14:val="none"/>
    </w:rPr>
  </w:style>
  <w:style w:type="character" w:styleId="CommentReference">
    <w:name w:val="annotation reference"/>
    <w:basedOn w:val="DefaultParagraphFont"/>
    <w:uiPriority w:val="99"/>
    <w:semiHidden/>
    <w:unhideWhenUsed/>
    <w:rsid w:val="009F7D16"/>
    <w:rPr>
      <w:sz w:val="16"/>
      <w:szCs w:val="16"/>
    </w:rPr>
  </w:style>
  <w:style w:type="character" w:styleId="Mention">
    <w:name w:val="Mention"/>
    <w:basedOn w:val="DefaultParagraphFont"/>
    <w:uiPriority w:val="99"/>
    <w:unhideWhenUsed/>
    <w:rsid w:val="009F7D16"/>
    <w:rPr>
      <w:color w:val="2B579A"/>
    </w:rPr>
  </w:style>
  <w:style w:type="character" w:styleId="Hyperlink">
    <w:name w:val="Hyperlink"/>
    <w:basedOn w:val="DefaultParagraphFont"/>
    <w:uiPriority w:val="99"/>
    <w:unhideWhenUsed/>
    <w:rsid w:val="009F7D16"/>
    <w:rPr>
      <w:color w:val="467886" w:themeColor="hyperlink"/>
      <w:u w:val="single"/>
    </w:rPr>
  </w:style>
  <w:style w:type="table" w:styleId="TableGrid">
    <w:name w:val="Table Grid"/>
    <w:basedOn w:val="TableNormal"/>
    <w:uiPriority w:val="59"/>
    <w:rsid w:val="0010363A"/>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microsoft.com/office/2019/05/relationships/documenttasks" Target="documenttasks/documenttasks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D72DD09B-B10F-4AF8-B7A7-1C0D5BBB34E4}">
    <t:Anchor>
      <t:Comment id="202636537"/>
    </t:Anchor>
    <t:History>
      <t:Event id="{FD0A3945-A715-4E66-95F4-427DD2DE7779}" time="2026-01-08T16:00:06.331Z">
        <t:Attribution userId="S::sarah.l.stone@mass.gov::a12485c1-aa50-4385-a76e-9a021046b903" userProvider="AD" userName="Stone, Sarah L (DPH)"/>
        <t:Anchor>
          <t:Comment id="202636537"/>
        </t:Anchor>
        <t:Create/>
      </t:Event>
      <t:Event id="{94B92D26-CCE0-44A8-BE9C-8B1F626C0729}" time="2026-01-08T16:00:06.331Z">
        <t:Attribution userId="S::sarah.l.stone@mass.gov::a12485c1-aa50-4385-a76e-9a021046b903" userProvider="AD" userName="Stone, Sarah L (DPH)"/>
        <t:Anchor>
          <t:Comment id="202636537"/>
        </t:Anchor>
        <t:Assign userId="S::xiaohui.cui@mass.gov::ce061dce-1767-4728-8963-0b2bf4ea0a9f" userProvider="AD" userName="Cui, Xiaohui (DPH)"/>
      </t:Event>
      <t:Event id="{1680CCF5-B3EE-4271-B10C-F2C73C456095}" time="2026-01-08T16:00:06.331Z">
        <t:Attribution userId="S::sarah.l.stone@mass.gov::a12485c1-aa50-4385-a76e-9a021046b903" userProvider="AD" userName="Stone, Sarah L (DPH)"/>
        <t:Anchor>
          <t:Comment id="202636537"/>
        </t:Anchor>
        <t:SetTitle title="@Cui, Xiaohui (DPH) please check with Qi, he may have the numbers for 2023"/>
      </t:Event>
      <t:Event id="{88D9D69C-621B-4C79-80C6-10A69A5EE6E1}" time="2026-07-23T14:38:41.62Z">
        <t:Attribution userId="S::sarah.l.stone@mass.gov::a12485c1-aa50-4385-a76e-9a021046b903" userProvider="AD" userName="Stone, Sarah L (DPH)"/>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35</TotalTime>
  <Pages>2</Pages>
  <Words>546</Words>
  <Characters>3113</Characters>
  <Application>Microsoft Office Word</Application>
  <DocSecurity>0</DocSecurity>
  <Lines>25</Lines>
  <Paragraphs>7</Paragraphs>
  <ScaleCrop>false</ScaleCrop>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 Sarah L (DPH)</dc:creator>
  <cp:keywords/>
  <dc:description/>
  <cp:lastModifiedBy>Konuk, Olivia T</cp:lastModifiedBy>
  <cp:revision>15</cp:revision>
  <dcterms:created xsi:type="dcterms:W3CDTF">2026-07-23T14:48:00Z</dcterms:created>
  <dcterms:modified xsi:type="dcterms:W3CDTF">2026-09-25T14:25:00Z</dcterms:modified>
</cp:coreProperties>
</file>