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FEDD"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1E7041B9" w14:textId="77777777" w:rsidR="000537DA" w:rsidRDefault="000537DA" w:rsidP="000F315B">
      <w:pPr>
        <w:pStyle w:val="ExecOffice"/>
        <w:framePr w:w="6926" w:wrap="notBeside" w:vAnchor="page" w:x="2884" w:y="711"/>
      </w:pPr>
      <w:r>
        <w:t>Executive Office of Health and Human Services</w:t>
      </w:r>
    </w:p>
    <w:p w14:paraId="53961D17" w14:textId="77777777" w:rsidR="000537DA" w:rsidRDefault="000537DA" w:rsidP="000F315B">
      <w:pPr>
        <w:pStyle w:val="ExecOffice"/>
        <w:framePr w:w="6926" w:wrap="notBeside" w:vAnchor="page" w:x="2884" w:y="711"/>
      </w:pPr>
      <w:r>
        <w:t>Department of Public Health</w:t>
      </w:r>
    </w:p>
    <w:p w14:paraId="40E6CEC0" w14:textId="77777777" w:rsidR="006D06D9" w:rsidRDefault="000537DA" w:rsidP="000F315B">
      <w:pPr>
        <w:pStyle w:val="ExecOffice"/>
        <w:framePr w:w="6926" w:wrap="notBeside" w:vAnchor="page" w:x="2884" w:y="711"/>
      </w:pPr>
      <w:r>
        <w:t>250 Washington Street, Boston, MA 02108-4619</w:t>
      </w:r>
    </w:p>
    <w:p w14:paraId="71967BF5" w14:textId="77777777"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5A39F" wp14:editId="3762C761">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351E4889" w14:textId="77777777" w:rsidR="009908FF" w:rsidRDefault="000B7D96" w:rsidP="0072610D">
      <w:r>
        <w:rPr>
          <w:noProof/>
        </w:rPr>
        <mc:AlternateContent>
          <mc:Choice Requires="wps">
            <w:drawing>
              <wp:anchor distT="0" distB="0" distL="114300" distR="114300" simplePos="0" relativeHeight="251658241" behindDoc="0" locked="0" layoutInCell="1" allowOverlap="1" wp14:anchorId="6387AC0D" wp14:editId="66E06A6D">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ACC20F" w14:textId="77777777" w:rsidR="00FC6B42" w:rsidRDefault="00FC6B42" w:rsidP="00FC6B42">
                            <w:pPr>
                              <w:pStyle w:val="Governor"/>
                              <w:spacing w:after="0"/>
                              <w:rPr>
                                <w:sz w:val="16"/>
                              </w:rPr>
                            </w:pPr>
                          </w:p>
                          <w:p w14:paraId="689DBF0B" w14:textId="77777777" w:rsidR="00FC6B42" w:rsidRPr="00530145" w:rsidRDefault="009D48CD" w:rsidP="009D48CD">
                            <w:pPr>
                              <w:pStyle w:val="Governor"/>
                              <w:spacing w:after="0"/>
                              <w:rPr>
                                <w:sz w:val="16"/>
                                <w:szCs w:val="16"/>
                              </w:rPr>
                            </w:pPr>
                            <w:r w:rsidRPr="00530145">
                              <w:rPr>
                                <w:sz w:val="16"/>
                                <w:szCs w:val="16"/>
                              </w:rPr>
                              <w:t>KATHLEEN E. WALSH</w:t>
                            </w:r>
                          </w:p>
                          <w:p w14:paraId="06B7041B" w14:textId="77777777" w:rsidR="002D1C21" w:rsidRDefault="009D48CD" w:rsidP="0000218B">
                            <w:pPr>
                              <w:pStyle w:val="Governor"/>
                            </w:pPr>
                            <w:r>
                              <w:t xml:space="preserve">Secretary </w:t>
                            </w:r>
                          </w:p>
                          <w:p w14:paraId="362543FF"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EAE4C5A" w14:textId="77777777" w:rsidR="004813AC" w:rsidRDefault="004813AC" w:rsidP="00FC6B42">
                            <w:pPr>
                              <w:jc w:val="center"/>
                              <w:rPr>
                                <w:rFonts w:ascii="Arial Rounded MT Bold" w:hAnsi="Arial Rounded MT Bold"/>
                                <w:sz w:val="14"/>
                                <w:szCs w:val="14"/>
                              </w:rPr>
                            </w:pPr>
                          </w:p>
                          <w:p w14:paraId="0FB3F3D0"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059D213F"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8112794"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387AC0D"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72ACC20F" w14:textId="77777777" w:rsidR="00FC6B42" w:rsidRDefault="00FC6B42" w:rsidP="00FC6B42">
                      <w:pPr>
                        <w:pStyle w:val="Governor"/>
                        <w:spacing w:after="0"/>
                        <w:rPr>
                          <w:sz w:val="16"/>
                        </w:rPr>
                      </w:pPr>
                    </w:p>
                    <w:p w14:paraId="689DBF0B" w14:textId="77777777" w:rsidR="00FC6B42" w:rsidRPr="00530145" w:rsidRDefault="009D48CD" w:rsidP="009D48CD">
                      <w:pPr>
                        <w:pStyle w:val="Governor"/>
                        <w:spacing w:after="0"/>
                        <w:rPr>
                          <w:sz w:val="16"/>
                          <w:szCs w:val="16"/>
                        </w:rPr>
                      </w:pPr>
                      <w:r w:rsidRPr="00530145">
                        <w:rPr>
                          <w:sz w:val="16"/>
                          <w:szCs w:val="16"/>
                        </w:rPr>
                        <w:t>KATHLEEN E. WALSH</w:t>
                      </w:r>
                    </w:p>
                    <w:p w14:paraId="06B7041B" w14:textId="77777777" w:rsidR="002D1C21" w:rsidRDefault="009D48CD" w:rsidP="0000218B">
                      <w:pPr>
                        <w:pStyle w:val="Governor"/>
                      </w:pPr>
                      <w:r>
                        <w:t xml:space="preserve">Secretary </w:t>
                      </w:r>
                    </w:p>
                    <w:p w14:paraId="362543FF" w14:textId="77777777"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4EAE4C5A" w14:textId="77777777" w:rsidR="004813AC" w:rsidRDefault="004813AC" w:rsidP="00FC6B42">
                      <w:pPr>
                        <w:jc w:val="center"/>
                        <w:rPr>
                          <w:rFonts w:ascii="Arial Rounded MT Bold" w:hAnsi="Arial Rounded MT Bold"/>
                          <w:sz w:val="14"/>
                          <w:szCs w:val="14"/>
                        </w:rPr>
                      </w:pPr>
                    </w:p>
                    <w:p w14:paraId="0FB3F3D0"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059D213F"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8112794"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4A5FD387" wp14:editId="5942CC84">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20BCE5" w14:textId="77777777" w:rsidR="00FC6B42" w:rsidRDefault="00FC6B42" w:rsidP="00FC6B42">
                            <w:pPr>
                              <w:pStyle w:val="Governor"/>
                              <w:spacing w:after="0"/>
                              <w:rPr>
                                <w:sz w:val="16"/>
                              </w:rPr>
                            </w:pPr>
                          </w:p>
                          <w:p w14:paraId="7DFB6B1D" w14:textId="77777777" w:rsidR="00FC6B42" w:rsidRDefault="002D1C21" w:rsidP="00FC6B42">
                            <w:pPr>
                              <w:pStyle w:val="Governor"/>
                              <w:spacing w:after="0"/>
                              <w:rPr>
                                <w:sz w:val="16"/>
                              </w:rPr>
                            </w:pPr>
                            <w:r>
                              <w:rPr>
                                <w:sz w:val="16"/>
                              </w:rPr>
                              <w:t>MAURA T. HEALEY</w:t>
                            </w:r>
                          </w:p>
                          <w:p w14:paraId="31493424" w14:textId="77777777" w:rsidR="00FC6B42" w:rsidRDefault="00FC6B42" w:rsidP="00FC6B42">
                            <w:pPr>
                              <w:pStyle w:val="Governor"/>
                            </w:pPr>
                            <w:r>
                              <w:t>Governor</w:t>
                            </w:r>
                          </w:p>
                          <w:p w14:paraId="6062259D" w14:textId="77777777" w:rsidR="00FC6B42" w:rsidRDefault="002D1C21" w:rsidP="00FC6B42">
                            <w:pPr>
                              <w:pStyle w:val="Governor"/>
                              <w:spacing w:after="0"/>
                              <w:rPr>
                                <w:sz w:val="16"/>
                              </w:rPr>
                            </w:pPr>
                            <w:r>
                              <w:rPr>
                                <w:sz w:val="16"/>
                              </w:rPr>
                              <w:t>KIMBERLEY DRISCOLL</w:t>
                            </w:r>
                          </w:p>
                          <w:p w14:paraId="3049DE63"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A5FD387" 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3720BCE5" w14:textId="77777777" w:rsidR="00FC6B42" w:rsidRDefault="00FC6B42" w:rsidP="00FC6B42">
                      <w:pPr>
                        <w:pStyle w:val="Governor"/>
                        <w:spacing w:after="0"/>
                        <w:rPr>
                          <w:sz w:val="16"/>
                        </w:rPr>
                      </w:pPr>
                    </w:p>
                    <w:p w14:paraId="7DFB6B1D" w14:textId="77777777" w:rsidR="00FC6B42" w:rsidRDefault="002D1C21" w:rsidP="00FC6B42">
                      <w:pPr>
                        <w:pStyle w:val="Governor"/>
                        <w:spacing w:after="0"/>
                        <w:rPr>
                          <w:sz w:val="16"/>
                        </w:rPr>
                      </w:pPr>
                      <w:r>
                        <w:rPr>
                          <w:sz w:val="16"/>
                        </w:rPr>
                        <w:t>MAURA T. HEALEY</w:t>
                      </w:r>
                    </w:p>
                    <w:p w14:paraId="31493424" w14:textId="77777777" w:rsidR="00FC6B42" w:rsidRDefault="00FC6B42" w:rsidP="00FC6B42">
                      <w:pPr>
                        <w:pStyle w:val="Governor"/>
                      </w:pPr>
                      <w:r>
                        <w:t>Governor</w:t>
                      </w:r>
                    </w:p>
                    <w:p w14:paraId="6062259D" w14:textId="77777777" w:rsidR="00FC6B42" w:rsidRDefault="002D1C21" w:rsidP="00FC6B42">
                      <w:pPr>
                        <w:pStyle w:val="Governor"/>
                        <w:spacing w:after="0"/>
                        <w:rPr>
                          <w:sz w:val="16"/>
                        </w:rPr>
                      </w:pPr>
                      <w:r>
                        <w:rPr>
                          <w:sz w:val="16"/>
                        </w:rPr>
                        <w:t>KIMBERLEY DRISCOLL</w:t>
                      </w:r>
                    </w:p>
                    <w:p w14:paraId="3049DE63" w14:textId="77777777" w:rsidR="00FC6B42" w:rsidRDefault="00FC6B42" w:rsidP="00FC6B42">
                      <w:pPr>
                        <w:pStyle w:val="Governor"/>
                      </w:pPr>
                      <w:r>
                        <w:t>Lieutenant Governor</w:t>
                      </w:r>
                    </w:p>
                  </w:txbxContent>
                </v:textbox>
              </v:shape>
            </w:pict>
          </mc:Fallback>
        </mc:AlternateContent>
      </w:r>
    </w:p>
    <w:p w14:paraId="65D18436" w14:textId="77777777" w:rsidR="00FC6B42" w:rsidRDefault="00FC6B42" w:rsidP="0072610D"/>
    <w:p w14:paraId="31CA00A8" w14:textId="77777777" w:rsidR="00FC6B42" w:rsidRDefault="00FC6B42" w:rsidP="0072610D"/>
    <w:p w14:paraId="2D87FC3B" w14:textId="77777777" w:rsidR="00033154" w:rsidRDefault="00033154" w:rsidP="0072610D"/>
    <w:p w14:paraId="54E43D0C" w14:textId="77777777" w:rsidR="00033154" w:rsidRDefault="00033154" w:rsidP="0072610D"/>
    <w:p w14:paraId="5306D87D" w14:textId="77777777" w:rsidR="00033154" w:rsidRDefault="00033154" w:rsidP="0072610D"/>
    <w:p w14:paraId="19D2D5B7" w14:textId="6FCA42E7" w:rsidR="003815E7" w:rsidRDefault="003815E7" w:rsidP="001E06D9">
      <w:pPr>
        <w:rPr>
          <w:rFonts w:ascii="Calibri" w:eastAsia="Calibri" w:hAnsi="Calibri" w:cs="Calibri"/>
          <w:color w:val="000000" w:themeColor="text1"/>
          <w:sz w:val="22"/>
          <w:szCs w:val="22"/>
        </w:rPr>
      </w:pPr>
    </w:p>
    <w:p w14:paraId="4D6736D4" w14:textId="77777777" w:rsidR="004735EB" w:rsidRPr="009E219E" w:rsidRDefault="004735EB" w:rsidP="004735EB">
      <w:pPr>
        <w:pStyle w:val="paragraph"/>
        <w:spacing w:before="0" w:beforeAutospacing="0" w:after="0" w:afterAutospacing="0"/>
        <w:textAlignment w:val="baseline"/>
        <w:rPr>
          <w:rFonts w:asciiTheme="minorHAnsi" w:hAnsiTheme="minorHAnsi" w:cstheme="minorHAnsi"/>
          <w:sz w:val="22"/>
          <w:szCs w:val="22"/>
        </w:rPr>
      </w:pPr>
      <w:r w:rsidRPr="009E219E">
        <w:rPr>
          <w:rStyle w:val="normaltextrun"/>
          <w:rFonts w:asciiTheme="minorHAnsi" w:hAnsiTheme="minorHAnsi" w:cstheme="minorHAnsi"/>
          <w:sz w:val="22"/>
          <w:szCs w:val="22"/>
        </w:rPr>
        <w:t>Lauren Meatty</w:t>
      </w:r>
    </w:p>
    <w:p w14:paraId="0BAF50F0" w14:textId="77777777" w:rsidR="004735EB" w:rsidRPr="009E219E" w:rsidRDefault="004735EB" w:rsidP="004735EB">
      <w:pPr>
        <w:pStyle w:val="paragraph"/>
        <w:spacing w:before="0" w:beforeAutospacing="0" w:after="0" w:afterAutospacing="0"/>
        <w:textAlignment w:val="baseline"/>
        <w:rPr>
          <w:rFonts w:asciiTheme="minorHAnsi" w:hAnsiTheme="minorHAnsi" w:cstheme="minorHAnsi"/>
          <w:sz w:val="22"/>
          <w:szCs w:val="22"/>
        </w:rPr>
      </w:pPr>
      <w:r w:rsidRPr="009E219E">
        <w:rPr>
          <w:rStyle w:val="normaltextrun"/>
          <w:rFonts w:asciiTheme="minorHAnsi" w:hAnsiTheme="minorHAnsi" w:cstheme="minorHAnsi"/>
          <w:sz w:val="22"/>
          <w:szCs w:val="22"/>
        </w:rPr>
        <w:t>People Incorporated</w:t>
      </w:r>
    </w:p>
    <w:p w14:paraId="5FC0CC92" w14:textId="77777777" w:rsidR="004735EB" w:rsidRPr="009E219E" w:rsidRDefault="004735EB" w:rsidP="004735EB">
      <w:pPr>
        <w:pStyle w:val="paragraph"/>
        <w:spacing w:before="0" w:beforeAutospacing="0" w:after="0" w:afterAutospacing="0"/>
        <w:textAlignment w:val="baseline"/>
        <w:rPr>
          <w:rFonts w:asciiTheme="minorHAnsi" w:hAnsiTheme="minorHAnsi" w:cstheme="minorHAnsi"/>
          <w:sz w:val="22"/>
          <w:szCs w:val="22"/>
        </w:rPr>
      </w:pPr>
      <w:r w:rsidRPr="009E219E">
        <w:rPr>
          <w:rFonts w:asciiTheme="minorHAnsi" w:hAnsiTheme="minorHAnsi" w:cstheme="minorHAnsi"/>
          <w:sz w:val="22"/>
          <w:szCs w:val="22"/>
        </w:rPr>
        <w:t>4 South Main Street</w:t>
      </w:r>
    </w:p>
    <w:p w14:paraId="0274DE86" w14:textId="77777777" w:rsidR="004735EB" w:rsidRDefault="004735EB" w:rsidP="004735EB">
      <w:pPr>
        <w:pStyle w:val="paragraph"/>
        <w:spacing w:before="0" w:beforeAutospacing="0" w:after="0" w:afterAutospacing="0"/>
        <w:textAlignment w:val="baseline"/>
        <w:rPr>
          <w:rFonts w:asciiTheme="minorHAnsi" w:hAnsiTheme="minorHAnsi" w:cstheme="minorHAnsi"/>
          <w:sz w:val="22"/>
          <w:szCs w:val="22"/>
        </w:rPr>
      </w:pPr>
      <w:r w:rsidRPr="009E219E">
        <w:rPr>
          <w:rFonts w:asciiTheme="minorHAnsi" w:hAnsiTheme="minorHAnsi" w:cstheme="minorHAnsi"/>
          <w:sz w:val="22"/>
          <w:szCs w:val="22"/>
        </w:rPr>
        <w:t>Fall River, MA 02721</w:t>
      </w:r>
    </w:p>
    <w:p w14:paraId="79F211DC" w14:textId="77777777" w:rsidR="001E06D9" w:rsidRDefault="001E06D9" w:rsidP="004735EB">
      <w:pPr>
        <w:pStyle w:val="paragraph"/>
        <w:spacing w:before="0" w:beforeAutospacing="0" w:after="0" w:afterAutospacing="0"/>
        <w:textAlignment w:val="baseline"/>
        <w:rPr>
          <w:rFonts w:asciiTheme="minorHAnsi" w:hAnsiTheme="minorHAnsi" w:cstheme="minorHAnsi"/>
          <w:sz w:val="22"/>
          <w:szCs w:val="22"/>
        </w:rPr>
      </w:pPr>
    </w:p>
    <w:p w14:paraId="5B336ABE" w14:textId="6DC6B444" w:rsidR="001E06D9" w:rsidRDefault="001E06D9" w:rsidP="001E06D9">
      <w:pPr>
        <w:pStyle w:val="paragraph"/>
        <w:spacing w:before="0" w:beforeAutospacing="0" w:after="0" w:afterAutospacing="0"/>
        <w:textAlignment w:val="baseline"/>
        <w:rPr>
          <w:rStyle w:val="eop"/>
          <w:rFonts w:asciiTheme="minorHAnsi" w:hAnsiTheme="minorHAnsi" w:cstheme="minorHAnsi"/>
          <w:sz w:val="22"/>
          <w:szCs w:val="22"/>
        </w:rPr>
      </w:pPr>
      <w:r>
        <w:rPr>
          <w:rStyle w:val="eop"/>
          <w:rFonts w:asciiTheme="minorHAnsi" w:hAnsiTheme="minorHAnsi" w:cstheme="minorHAnsi"/>
          <w:sz w:val="22"/>
          <w:szCs w:val="22"/>
        </w:rPr>
        <w:t>June 18, 2025</w:t>
      </w:r>
    </w:p>
    <w:p w14:paraId="5E92D0AA" w14:textId="77777777" w:rsidR="001E06D9" w:rsidRPr="009E219E" w:rsidRDefault="001E06D9" w:rsidP="001E06D9">
      <w:pPr>
        <w:pStyle w:val="paragraph"/>
        <w:spacing w:before="0" w:beforeAutospacing="0" w:after="0" w:afterAutospacing="0"/>
        <w:textAlignment w:val="baseline"/>
        <w:rPr>
          <w:rFonts w:asciiTheme="minorHAnsi" w:hAnsiTheme="minorHAnsi" w:cstheme="minorHAnsi"/>
          <w:sz w:val="22"/>
          <w:szCs w:val="22"/>
        </w:rPr>
      </w:pPr>
    </w:p>
    <w:p w14:paraId="34166667" w14:textId="594FCF69" w:rsidR="003815E7" w:rsidRPr="001E06D9" w:rsidRDefault="001E06D9" w:rsidP="001E06D9">
      <w:pPr>
        <w:textAlignment w:val="baseline"/>
        <w:rPr>
          <w:rFonts w:ascii="Calibri" w:hAnsi="Calibri" w:cs="Calibri"/>
          <w:sz w:val="22"/>
          <w:szCs w:val="22"/>
        </w:rPr>
      </w:pPr>
      <w:r w:rsidRPr="009E219E">
        <w:rPr>
          <w:rFonts w:ascii="Calibri" w:hAnsi="Calibri" w:cs="Calibri"/>
          <w:sz w:val="22"/>
          <w:szCs w:val="22"/>
        </w:rPr>
        <w:t>Dear</w:t>
      </w:r>
      <w:r>
        <w:rPr>
          <w:rFonts w:ascii="Calibri" w:hAnsi="Calibri" w:cs="Calibri"/>
          <w:sz w:val="22"/>
          <w:szCs w:val="22"/>
        </w:rPr>
        <w:t xml:space="preserve"> Lauren,</w:t>
      </w:r>
    </w:p>
    <w:p w14:paraId="36C6E03B" w14:textId="77777777" w:rsidR="001E06D9" w:rsidRDefault="001E06D9" w:rsidP="4618209B">
      <w:pPr>
        <w:rPr>
          <w:rFonts w:ascii="Calibri" w:eastAsia="Calibri" w:hAnsi="Calibri" w:cs="Calibri"/>
          <w:color w:val="000000" w:themeColor="text1"/>
          <w:sz w:val="22"/>
          <w:szCs w:val="22"/>
        </w:rPr>
      </w:pPr>
    </w:p>
    <w:p w14:paraId="7EFF0C9E" w14:textId="1AF4A22D" w:rsidR="003815E7" w:rsidRDefault="325EFD86" w:rsidP="16BCAAAE">
      <w:pPr>
        <w:rPr>
          <w:rFonts w:ascii="Calibri" w:eastAsia="Calibri" w:hAnsi="Calibri" w:cs="Calibri"/>
          <w:color w:val="000000" w:themeColor="text1"/>
          <w:sz w:val="22"/>
          <w:szCs w:val="22"/>
        </w:rPr>
      </w:pPr>
      <w:r w:rsidRPr="16BCAAAE">
        <w:rPr>
          <w:rFonts w:ascii="Calibri" w:eastAsia="Calibri" w:hAnsi="Calibri" w:cs="Calibri"/>
          <w:color w:val="000000" w:themeColor="text1"/>
          <w:sz w:val="22"/>
          <w:szCs w:val="22"/>
        </w:rPr>
        <w:t xml:space="preserve">The purpose of this letter is to provide an update on the status of the findings and corrective actions identified by the Department of Public Health’s (the Department) Early Intervention Division (EI Division) reported in the Cyclical </w:t>
      </w:r>
      <w:r w:rsidR="51E9D157" w:rsidRPr="16BCAAAE">
        <w:rPr>
          <w:rFonts w:ascii="Calibri" w:eastAsia="Calibri" w:hAnsi="Calibri" w:cs="Calibri"/>
          <w:color w:val="000000" w:themeColor="text1"/>
          <w:sz w:val="22"/>
          <w:szCs w:val="22"/>
        </w:rPr>
        <w:t>M</w:t>
      </w:r>
      <w:r w:rsidRPr="16BCAAAE">
        <w:rPr>
          <w:rFonts w:ascii="Calibri" w:eastAsia="Calibri" w:hAnsi="Calibri" w:cs="Calibri"/>
          <w:color w:val="000000" w:themeColor="text1"/>
          <w:sz w:val="22"/>
          <w:szCs w:val="22"/>
        </w:rPr>
        <w:t xml:space="preserve">onitoring report to </w:t>
      </w:r>
      <w:r w:rsidR="00AF3AE0">
        <w:rPr>
          <w:rFonts w:ascii="Calibri" w:eastAsia="Calibri" w:hAnsi="Calibri" w:cs="Calibri"/>
          <w:color w:val="000000" w:themeColor="text1"/>
          <w:sz w:val="22"/>
          <w:szCs w:val="22"/>
        </w:rPr>
        <w:t>People, Inc.</w:t>
      </w:r>
      <w:r w:rsidRPr="16BCAAAE">
        <w:rPr>
          <w:rFonts w:ascii="Calibri" w:eastAsia="Calibri" w:hAnsi="Calibri" w:cs="Calibri"/>
          <w:color w:val="000000" w:themeColor="text1"/>
          <w:sz w:val="22"/>
          <w:szCs w:val="22"/>
        </w:rPr>
        <w:t xml:space="preserve"> dated </w:t>
      </w:r>
      <w:r w:rsidR="00F029FA">
        <w:rPr>
          <w:rFonts w:ascii="Calibri" w:eastAsia="Calibri" w:hAnsi="Calibri" w:cs="Calibri"/>
          <w:color w:val="000000" w:themeColor="text1"/>
          <w:sz w:val="22"/>
          <w:szCs w:val="22"/>
        </w:rPr>
        <w:t>January 21, 2025.</w:t>
      </w:r>
      <w:r w:rsidRPr="16BCAAAE">
        <w:rPr>
          <w:rFonts w:ascii="Calibri" w:eastAsia="Calibri" w:hAnsi="Calibri" w:cs="Calibri"/>
          <w:color w:val="000000" w:themeColor="text1"/>
          <w:sz w:val="22"/>
          <w:szCs w:val="22"/>
        </w:rPr>
        <w:t xml:space="preserve"> Based upon the EI Division’s analysis of the revised policies and procedures and</w:t>
      </w:r>
      <w:r w:rsidR="5DA30078" w:rsidRPr="16BCAAAE">
        <w:rPr>
          <w:rFonts w:ascii="Calibri" w:eastAsia="Calibri" w:hAnsi="Calibri" w:cs="Calibri"/>
          <w:color w:val="000000" w:themeColor="text1"/>
          <w:sz w:val="22"/>
          <w:szCs w:val="22"/>
        </w:rPr>
        <w:t>/or</w:t>
      </w:r>
      <w:r w:rsidRPr="16BCAAAE">
        <w:rPr>
          <w:rFonts w:ascii="Calibri" w:eastAsia="Calibri" w:hAnsi="Calibri" w:cs="Calibri"/>
          <w:color w:val="000000" w:themeColor="text1"/>
          <w:sz w:val="22"/>
          <w:szCs w:val="22"/>
        </w:rPr>
        <w:t xml:space="preserve"> evidence submitted by </w:t>
      </w:r>
      <w:r w:rsidR="00F029FA">
        <w:rPr>
          <w:rFonts w:ascii="Calibri" w:eastAsia="Calibri" w:hAnsi="Calibri" w:cs="Calibri"/>
          <w:color w:val="000000" w:themeColor="text1"/>
          <w:sz w:val="22"/>
          <w:szCs w:val="22"/>
        </w:rPr>
        <w:t>People, Inc.</w:t>
      </w:r>
      <w:r w:rsidRPr="16BCAAAE">
        <w:rPr>
          <w:rFonts w:ascii="Calibri" w:eastAsia="Calibri" w:hAnsi="Calibri" w:cs="Calibri"/>
          <w:color w:val="000000" w:themeColor="text1"/>
          <w:sz w:val="22"/>
          <w:szCs w:val="22"/>
        </w:rPr>
        <w:t>,</w:t>
      </w:r>
      <w:r w:rsidR="000B7B1D">
        <w:rPr>
          <w:rFonts w:ascii="Calibri" w:eastAsia="Calibri" w:hAnsi="Calibri" w:cs="Calibri"/>
          <w:color w:val="000000" w:themeColor="text1"/>
          <w:sz w:val="22"/>
          <w:szCs w:val="22"/>
        </w:rPr>
        <w:t xml:space="preserve"> as well as </w:t>
      </w:r>
      <w:r w:rsidR="006A32C5">
        <w:rPr>
          <w:rFonts w:ascii="Calibri" w:eastAsia="Calibri" w:hAnsi="Calibri" w:cs="Calibri"/>
          <w:color w:val="000000" w:themeColor="text1"/>
          <w:sz w:val="22"/>
          <w:szCs w:val="22"/>
        </w:rPr>
        <w:t>subsequent data pulled from the Early Intervention Client System</w:t>
      </w:r>
      <w:r w:rsidR="00924C12">
        <w:rPr>
          <w:rFonts w:ascii="Calibri" w:eastAsia="Calibri" w:hAnsi="Calibri" w:cs="Calibri"/>
          <w:color w:val="000000" w:themeColor="text1"/>
          <w:sz w:val="22"/>
          <w:szCs w:val="22"/>
        </w:rPr>
        <w:t xml:space="preserve"> on </w:t>
      </w:r>
      <w:r w:rsidR="00D55995">
        <w:rPr>
          <w:rFonts w:ascii="Calibri" w:eastAsia="Calibri" w:hAnsi="Calibri" w:cs="Calibri"/>
          <w:color w:val="000000" w:themeColor="text1"/>
          <w:sz w:val="22"/>
          <w:szCs w:val="22"/>
        </w:rPr>
        <w:t xml:space="preserve">May 5, 2025, </w:t>
      </w:r>
      <w:r w:rsidR="006A32C5">
        <w:rPr>
          <w:rFonts w:ascii="Calibri" w:eastAsia="Calibri" w:hAnsi="Calibri" w:cs="Calibri"/>
          <w:color w:val="000000" w:themeColor="text1"/>
          <w:sz w:val="22"/>
          <w:szCs w:val="22"/>
        </w:rPr>
        <w:t>for all relevant requirements</w:t>
      </w:r>
      <w:r w:rsidR="00924C12">
        <w:rPr>
          <w:rFonts w:ascii="Calibri" w:eastAsia="Calibri" w:hAnsi="Calibri" w:cs="Calibri"/>
          <w:color w:val="000000" w:themeColor="text1"/>
          <w:sz w:val="22"/>
          <w:szCs w:val="22"/>
        </w:rPr>
        <w:t xml:space="preserve">, </w:t>
      </w:r>
      <w:r w:rsidRPr="16BCAAAE">
        <w:rPr>
          <w:rFonts w:ascii="Calibri" w:eastAsia="Calibri" w:hAnsi="Calibri" w:cs="Calibri"/>
          <w:color w:val="000000" w:themeColor="text1"/>
          <w:sz w:val="22"/>
          <w:szCs w:val="22"/>
        </w:rPr>
        <w:t xml:space="preserve">the EI Division has determined that </w:t>
      </w:r>
      <w:r w:rsidR="00D55995">
        <w:rPr>
          <w:rFonts w:ascii="Calibri" w:eastAsia="Calibri" w:hAnsi="Calibri" w:cs="Calibri"/>
          <w:color w:val="000000" w:themeColor="text1"/>
          <w:sz w:val="22"/>
          <w:szCs w:val="22"/>
        </w:rPr>
        <w:t xml:space="preserve">People, Inc. </w:t>
      </w:r>
      <w:r w:rsidRPr="16BCAAAE">
        <w:rPr>
          <w:rFonts w:ascii="Calibri" w:eastAsia="Calibri" w:hAnsi="Calibri" w:cs="Calibri"/>
          <w:color w:val="000000" w:themeColor="text1"/>
          <w:sz w:val="22"/>
          <w:szCs w:val="22"/>
        </w:rPr>
        <w:t xml:space="preserve">has taken the necessary steps to address and resolve the findings of noncompliance and the required corrective actions outlined in the monitoring report. </w:t>
      </w:r>
    </w:p>
    <w:p w14:paraId="19FC9F42" w14:textId="77777777" w:rsidR="001E06D9" w:rsidRDefault="001E06D9" w:rsidP="16BCAAAE">
      <w:pPr>
        <w:rPr>
          <w:rFonts w:ascii="Calibri" w:eastAsia="Calibri" w:hAnsi="Calibri" w:cs="Calibri"/>
          <w:color w:val="000000" w:themeColor="text1"/>
          <w:sz w:val="22"/>
          <w:szCs w:val="22"/>
        </w:rPr>
      </w:pPr>
    </w:p>
    <w:p w14:paraId="6ACB873D" w14:textId="75F3E74B" w:rsidR="003815E7" w:rsidRDefault="325EFD86" w:rsidP="4618209B">
      <w:pPr>
        <w:rPr>
          <w:rFonts w:ascii="Calibri" w:eastAsia="Calibri" w:hAnsi="Calibri" w:cs="Calibri"/>
          <w:color w:val="000000" w:themeColor="text1"/>
          <w:sz w:val="22"/>
          <w:szCs w:val="22"/>
        </w:rPr>
      </w:pPr>
      <w:r w:rsidRPr="4618209B">
        <w:rPr>
          <w:rFonts w:ascii="Calibri" w:eastAsia="Calibri" w:hAnsi="Calibri" w:cs="Calibri"/>
          <w:color w:val="000000" w:themeColor="text1"/>
          <w:sz w:val="22"/>
          <w:szCs w:val="22"/>
        </w:rPr>
        <w:t>The chart, included in this letter, summarizes the monitoring component, finding</w:t>
      </w:r>
      <w:r w:rsidR="00C01022">
        <w:rPr>
          <w:rFonts w:ascii="Calibri" w:eastAsia="Calibri" w:hAnsi="Calibri" w:cs="Calibri"/>
          <w:color w:val="000000" w:themeColor="text1"/>
          <w:sz w:val="22"/>
          <w:szCs w:val="22"/>
        </w:rPr>
        <w:t>s</w:t>
      </w:r>
      <w:r w:rsidRPr="4618209B">
        <w:rPr>
          <w:rFonts w:ascii="Calibri" w:eastAsia="Calibri" w:hAnsi="Calibri" w:cs="Calibri"/>
          <w:color w:val="000000" w:themeColor="text1"/>
          <w:sz w:val="22"/>
          <w:szCs w:val="22"/>
        </w:rPr>
        <w:t xml:space="preserve">, required actions, EI Division analysis, and status of finding(s) based on the evidence received from </w:t>
      </w:r>
      <w:r w:rsidR="00D55995">
        <w:rPr>
          <w:rFonts w:ascii="Calibri" w:eastAsia="Calibri" w:hAnsi="Calibri" w:cs="Calibri"/>
          <w:color w:val="000000" w:themeColor="text1"/>
          <w:sz w:val="22"/>
          <w:szCs w:val="22"/>
        </w:rPr>
        <w:t>People, Inc.</w:t>
      </w:r>
      <w:r w:rsidRPr="4618209B">
        <w:rPr>
          <w:rFonts w:ascii="Calibri" w:eastAsia="Calibri" w:hAnsi="Calibri" w:cs="Calibri"/>
          <w:color w:val="000000" w:themeColor="text1"/>
          <w:sz w:val="22"/>
          <w:szCs w:val="22"/>
        </w:rPr>
        <w:t xml:space="preserve"> </w:t>
      </w:r>
    </w:p>
    <w:p w14:paraId="65FF0AB0" w14:textId="4C7DE242" w:rsidR="00D55995" w:rsidRDefault="325EFD86" w:rsidP="4618209B">
      <w:pPr>
        <w:rPr>
          <w:rFonts w:ascii="Calibri" w:eastAsia="Calibri" w:hAnsi="Calibri" w:cs="Calibri"/>
          <w:color w:val="000000" w:themeColor="text1"/>
          <w:sz w:val="22"/>
          <w:szCs w:val="22"/>
        </w:rPr>
      </w:pPr>
      <w:r w:rsidRPr="4618209B">
        <w:rPr>
          <w:rFonts w:ascii="Calibri" w:eastAsia="Calibri" w:hAnsi="Calibri" w:cs="Calibri"/>
          <w:color w:val="000000" w:themeColor="text1"/>
          <w:sz w:val="22"/>
          <w:szCs w:val="22"/>
        </w:rPr>
        <w:t xml:space="preserve">The EI Division appreciates </w:t>
      </w:r>
      <w:r w:rsidR="00D55995">
        <w:rPr>
          <w:rFonts w:ascii="Calibri" w:eastAsia="Calibri" w:hAnsi="Calibri" w:cs="Calibri"/>
          <w:color w:val="000000" w:themeColor="text1"/>
          <w:sz w:val="22"/>
          <w:szCs w:val="22"/>
        </w:rPr>
        <w:t xml:space="preserve">People Inc.’s </w:t>
      </w:r>
      <w:r w:rsidRPr="4618209B">
        <w:rPr>
          <w:rFonts w:ascii="Calibri" w:eastAsia="Calibri" w:hAnsi="Calibri" w:cs="Calibri"/>
          <w:color w:val="000000" w:themeColor="text1"/>
          <w:sz w:val="22"/>
          <w:szCs w:val="22"/>
        </w:rPr>
        <w:t xml:space="preserve">continued efforts to improve the implementation of IDEA Part C and the development and implementation of a reasonably designed system which ensures compliance and improving results for infants and toddlers with disabilities. The EI Division notes that having a consistent and transparent system for identifying and correcting noncompliance, particularly noncompliance that impacts the delivery of early intervention services in accordance with individualized family service plans, and dispute resolutions systems that protect the rights of parents, are essential elements to ensuring improved results for infants and toddlers with disabilities. If you have any questions, please reach out to your clinical oversight and support specialist, at </w:t>
      </w:r>
      <w:hyperlink r:id="rId11" w:history="1">
        <w:r w:rsidR="00D55995" w:rsidRPr="00B369B2">
          <w:rPr>
            <w:rStyle w:val="Hyperlink"/>
            <w:rFonts w:ascii="Calibri" w:eastAsia="Calibri" w:hAnsi="Calibri" w:cs="Calibri"/>
            <w:sz w:val="22"/>
            <w:szCs w:val="22"/>
          </w:rPr>
          <w:t>julie.longpre@mass.gov</w:t>
        </w:r>
      </w:hyperlink>
      <w:r w:rsidR="00D55995">
        <w:rPr>
          <w:rFonts w:ascii="Calibri" w:eastAsia="Calibri" w:hAnsi="Calibri" w:cs="Calibri"/>
          <w:color w:val="000000" w:themeColor="text1"/>
          <w:sz w:val="22"/>
          <w:szCs w:val="22"/>
        </w:rPr>
        <w:t>.</w:t>
      </w:r>
    </w:p>
    <w:p w14:paraId="4F486334" w14:textId="77777777" w:rsidR="001E06D9" w:rsidRDefault="001E06D9" w:rsidP="4618209B">
      <w:pPr>
        <w:rPr>
          <w:rFonts w:ascii="Calibri" w:eastAsia="Calibri" w:hAnsi="Calibri" w:cs="Calibri"/>
          <w:color w:val="000000" w:themeColor="text1"/>
          <w:sz w:val="22"/>
          <w:szCs w:val="22"/>
        </w:rPr>
      </w:pPr>
    </w:p>
    <w:p w14:paraId="6D2E222A" w14:textId="77C4781D" w:rsidR="003815E7" w:rsidRDefault="325EFD86" w:rsidP="4618209B">
      <w:pPr>
        <w:rPr>
          <w:rFonts w:ascii="Calibri" w:eastAsia="Calibri" w:hAnsi="Calibri" w:cs="Calibri"/>
          <w:color w:val="000000" w:themeColor="text1"/>
          <w:sz w:val="22"/>
          <w:szCs w:val="22"/>
        </w:rPr>
      </w:pPr>
      <w:r w:rsidRPr="4618209B">
        <w:rPr>
          <w:rFonts w:ascii="Calibri" w:eastAsia="Calibri" w:hAnsi="Calibri" w:cs="Calibri"/>
          <w:color w:val="000000" w:themeColor="text1"/>
          <w:sz w:val="22"/>
          <w:szCs w:val="22"/>
        </w:rPr>
        <w:t>Sincerely,</w:t>
      </w:r>
    </w:p>
    <w:p w14:paraId="5B1650A9" w14:textId="77777777" w:rsidR="001E06D9" w:rsidRDefault="001E06D9" w:rsidP="4618209B">
      <w:pPr>
        <w:rPr>
          <w:rFonts w:ascii="Calibri" w:eastAsia="Calibri" w:hAnsi="Calibri" w:cs="Calibri"/>
          <w:color w:val="000000" w:themeColor="text1"/>
          <w:sz w:val="22"/>
          <w:szCs w:val="22"/>
        </w:rPr>
      </w:pPr>
    </w:p>
    <w:p w14:paraId="09F161B2" w14:textId="7821F7BB" w:rsidR="003815E7" w:rsidRPr="00B448EA" w:rsidRDefault="00D55995" w:rsidP="4618209B">
      <w:pPr>
        <w:rPr>
          <w:rFonts w:ascii="Fairwater Script" w:eastAsia="Calibri" w:hAnsi="Fairwater Script" w:cs="Calibri"/>
          <w:color w:val="000000" w:themeColor="text1"/>
          <w:sz w:val="22"/>
          <w:szCs w:val="22"/>
        </w:rPr>
      </w:pPr>
      <w:r w:rsidRPr="00B448EA">
        <w:rPr>
          <w:rFonts w:ascii="Fairwater Script" w:eastAsia="Calibri" w:hAnsi="Fairwater Script" w:cs="Calibri"/>
          <w:color w:val="000000" w:themeColor="text1"/>
          <w:sz w:val="22"/>
          <w:szCs w:val="22"/>
        </w:rPr>
        <w:t>Julie Longpre</w:t>
      </w:r>
    </w:p>
    <w:p w14:paraId="00576D22" w14:textId="7027F915" w:rsidR="00B448EA" w:rsidRDefault="00B448EA" w:rsidP="4618209B">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Clinical Oversight and Support Specialist</w:t>
      </w:r>
    </w:p>
    <w:p w14:paraId="0F6063F3" w14:textId="77777777" w:rsidR="001E06D9" w:rsidRDefault="001E06D9" w:rsidP="4618209B">
      <w:pPr>
        <w:rPr>
          <w:rFonts w:ascii="Calibri" w:eastAsia="Calibri" w:hAnsi="Calibri" w:cs="Calibri"/>
          <w:color w:val="000000" w:themeColor="text1"/>
          <w:sz w:val="22"/>
          <w:szCs w:val="22"/>
        </w:rPr>
      </w:pPr>
    </w:p>
    <w:p w14:paraId="735845B1" w14:textId="6CCF8547" w:rsidR="003815E7" w:rsidRDefault="325EFD86" w:rsidP="4618209B">
      <w:pPr>
        <w:rPr>
          <w:rFonts w:ascii="Calibri" w:eastAsia="Calibri" w:hAnsi="Calibri" w:cs="Calibri"/>
          <w:color w:val="000000" w:themeColor="text1"/>
          <w:sz w:val="22"/>
          <w:szCs w:val="22"/>
        </w:rPr>
      </w:pPr>
      <w:r w:rsidRPr="4618209B">
        <w:rPr>
          <w:rFonts w:ascii="Calibri" w:eastAsia="Calibri" w:hAnsi="Calibri" w:cs="Calibri"/>
          <w:color w:val="000000" w:themeColor="text1"/>
          <w:sz w:val="22"/>
          <w:szCs w:val="22"/>
        </w:rPr>
        <w:t xml:space="preserve">Molly Gilbride </w:t>
      </w:r>
    </w:p>
    <w:p w14:paraId="719770D9" w14:textId="3660EE8E" w:rsidR="003815E7" w:rsidRDefault="325EFD86" w:rsidP="4618209B">
      <w:pPr>
        <w:pStyle w:val="NoSpacing"/>
        <w:contextualSpacing/>
      </w:pPr>
      <w:r w:rsidRPr="4618209B">
        <w:rPr>
          <w:rFonts w:ascii="Calibri" w:eastAsia="Calibri" w:hAnsi="Calibri" w:cs="Calibri"/>
          <w:color w:val="000000" w:themeColor="text1"/>
        </w:rPr>
        <w:t>Clinical Quality Manager, Early Intervention Division</w:t>
      </w:r>
    </w:p>
    <w:p w14:paraId="173C468D" w14:textId="0AC8C229" w:rsidR="00F53C45" w:rsidRDefault="00F53C45" w:rsidP="002B3227"/>
    <w:p w14:paraId="6390B361" w14:textId="77777777" w:rsidR="000E4A20" w:rsidRDefault="005D08E6" w:rsidP="002B3227">
      <w:pPr>
        <w:sectPr w:rsidR="000E4A20">
          <w:headerReference w:type="default" r:id="rId12"/>
          <w:footerReference w:type="default" r:id="rId13"/>
          <w:pgSz w:w="12240" w:h="15840"/>
          <w:pgMar w:top="1440" w:right="1440" w:bottom="1440" w:left="1440" w:header="720" w:footer="720" w:gutter="0"/>
          <w:cols w:space="720"/>
        </w:sectPr>
      </w:pPr>
      <w:r>
        <w:br w:type="page"/>
      </w:r>
    </w:p>
    <w:p w14:paraId="2CFDFF3C" w14:textId="32D9AB63" w:rsidR="005D08E6" w:rsidRPr="002B3227" w:rsidRDefault="005D08E6" w:rsidP="002B3227"/>
    <w:p w14:paraId="5E2EFCD8" w14:textId="39D313DE" w:rsidR="00F53C45" w:rsidRPr="00C24B1D" w:rsidRDefault="00F53C45" w:rsidP="009943BC">
      <w:pPr>
        <w:pStyle w:val="paragraph"/>
        <w:spacing w:before="0" w:beforeAutospacing="0" w:after="0" w:afterAutospacing="0"/>
        <w:jc w:val="center"/>
        <w:textAlignment w:val="baseline"/>
        <w:rPr>
          <w:rFonts w:ascii="Segoe UI" w:hAnsi="Segoe UI" w:cs="Segoe UI"/>
          <w:sz w:val="18"/>
          <w:szCs w:val="18"/>
        </w:rPr>
      </w:pPr>
      <w:r w:rsidRPr="00C24B1D">
        <w:rPr>
          <w:rFonts w:ascii="Calibri" w:hAnsi="Calibri" w:cs="Calibri"/>
          <w:b/>
          <w:bCs/>
          <w:sz w:val="22"/>
          <w:szCs w:val="22"/>
        </w:rPr>
        <w:t>COMPLIANCE</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6"/>
        <w:gridCol w:w="3236"/>
        <w:gridCol w:w="3236"/>
        <w:gridCol w:w="3236"/>
      </w:tblGrid>
      <w:tr w:rsidR="00F53C45" w:rsidRPr="00C24B1D" w14:paraId="6EA61066" w14:textId="77777777" w:rsidTr="63B388FB">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BA6DF5B" w14:textId="77777777" w:rsidR="00F53C45" w:rsidRPr="00C24B1D" w:rsidRDefault="00F53C45" w:rsidP="00A32BE3">
            <w:pPr>
              <w:textAlignment w:val="baseline"/>
              <w:rPr>
                <w:szCs w:val="24"/>
              </w:rPr>
            </w:pPr>
            <w:r w:rsidRPr="00C24B1D">
              <w:rPr>
                <w:rFonts w:ascii="Calibri" w:hAnsi="Calibri" w:cs="Calibri"/>
                <w:b/>
                <w:bCs/>
                <w:sz w:val="22"/>
                <w:szCs w:val="22"/>
              </w:rPr>
              <w:t>Legal Requirement/State Standard</w:t>
            </w:r>
            <w:r w:rsidRPr="00C24B1D">
              <w:rPr>
                <w:rFonts w:ascii="Calibri" w:hAnsi="Calibri" w:cs="Calibri"/>
                <w:sz w:val="22"/>
                <w:szCs w:val="22"/>
              </w:rPr>
              <w:t>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BD38DAF" w14:textId="77777777" w:rsidR="00F53C45" w:rsidRPr="00CC7204" w:rsidRDefault="00F53C45" w:rsidP="00A32BE3">
            <w:pPr>
              <w:textAlignment w:val="baseline"/>
              <w:rPr>
                <w:b/>
                <w:bCs/>
                <w:szCs w:val="24"/>
              </w:rPr>
            </w:pPr>
            <w:r w:rsidRPr="00CC7204">
              <w:rPr>
                <w:rFonts w:ascii="Calibri" w:hAnsi="Calibri" w:cs="Calibri"/>
                <w:b/>
                <w:bCs/>
                <w:sz w:val="22"/>
                <w:szCs w:val="22"/>
              </w:rPr>
              <w:t>Noncompliant Policy, Procedure or Practice and EI Division analysis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DEF546E" w14:textId="77777777" w:rsidR="00F53C45" w:rsidRPr="00CC7204" w:rsidRDefault="00F53C45" w:rsidP="00A32BE3">
            <w:pPr>
              <w:textAlignment w:val="baseline"/>
              <w:rPr>
                <w:b/>
                <w:bCs/>
                <w:szCs w:val="24"/>
              </w:rPr>
            </w:pPr>
            <w:r w:rsidRPr="00CC7204">
              <w:rPr>
                <w:rFonts w:ascii="Calibri" w:hAnsi="Calibri" w:cs="Calibri"/>
                <w:b/>
                <w:bCs/>
                <w:sz w:val="22"/>
                <w:szCs w:val="22"/>
              </w:rPr>
              <w:t>Conclusion/Finding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4186E258" w14:textId="77777777" w:rsidR="00F53C45" w:rsidRPr="00CC7204" w:rsidRDefault="00F53C45" w:rsidP="00A32BE3">
            <w:pPr>
              <w:textAlignment w:val="baseline"/>
              <w:rPr>
                <w:b/>
                <w:bCs/>
                <w:szCs w:val="24"/>
              </w:rPr>
            </w:pPr>
            <w:r w:rsidRPr="00CC7204">
              <w:rPr>
                <w:rFonts w:ascii="Calibri" w:hAnsi="Calibri" w:cs="Calibri"/>
                <w:b/>
                <w:bCs/>
                <w:sz w:val="22"/>
                <w:szCs w:val="22"/>
              </w:rPr>
              <w:t>Next Steps and Required Actions </w:t>
            </w:r>
          </w:p>
        </w:tc>
      </w:tr>
      <w:tr w:rsidR="00F53C45" w:rsidRPr="00C24B1D" w14:paraId="76427184" w14:textId="77777777" w:rsidTr="63B388FB">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73D00F5D" w14:textId="77777777" w:rsidR="00F53C45" w:rsidRPr="008127AD" w:rsidRDefault="00F53C45" w:rsidP="00A32BE3">
            <w:pPr>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1.1 </w:t>
            </w:r>
            <w:r w:rsidRPr="008127AD">
              <w:rPr>
                <w:rFonts w:asciiTheme="minorHAnsi" w:hAnsiTheme="minorHAnsi" w:cstheme="minorHAnsi"/>
                <w:b/>
                <w:bCs/>
                <w:sz w:val="22"/>
                <w:szCs w:val="22"/>
              </w:rPr>
              <w:t>Service Delivery</w:t>
            </w:r>
          </w:p>
          <w:p w14:paraId="0FEA5BCC" w14:textId="77777777" w:rsidR="00F53C45" w:rsidRPr="006C3768" w:rsidRDefault="00F53C45" w:rsidP="00A32BE3">
            <w:pPr>
              <w:textAlignment w:val="baseline"/>
              <w:rPr>
                <w:rFonts w:asciiTheme="minorHAnsi" w:hAnsiTheme="minorHAnsi" w:cstheme="minorHAnsi"/>
                <w:sz w:val="22"/>
                <w:szCs w:val="22"/>
              </w:rPr>
            </w:pPr>
          </w:p>
          <w:p w14:paraId="2CD06213" w14:textId="77777777" w:rsidR="00F53C45" w:rsidRPr="006C3768" w:rsidRDefault="00F53C45" w:rsidP="00A32BE3">
            <w:pPr>
              <w:textAlignment w:val="baseline"/>
              <w:rPr>
                <w:rFonts w:asciiTheme="minorHAnsi" w:hAnsiTheme="minorHAnsi" w:cstheme="minorHAnsi"/>
                <w:sz w:val="22"/>
                <w:szCs w:val="22"/>
              </w:rPr>
            </w:pPr>
            <w:r w:rsidRPr="006C3768">
              <w:rPr>
                <w:rFonts w:asciiTheme="minorHAnsi" w:hAnsiTheme="minorHAnsi" w:cstheme="minorHAnsi"/>
                <w:sz w:val="22"/>
                <w:szCs w:val="22"/>
              </w:rPr>
              <w:t>EIOS Page 32</w:t>
            </w:r>
          </w:p>
          <w:p w14:paraId="514F38E2" w14:textId="77777777" w:rsidR="00F53C45" w:rsidRPr="006C3768" w:rsidRDefault="00F53C45" w:rsidP="00A32BE3">
            <w:pPr>
              <w:textAlignment w:val="baseline"/>
              <w:rPr>
                <w:rFonts w:asciiTheme="minorHAnsi" w:hAnsiTheme="minorHAnsi" w:cstheme="minorHAnsi"/>
                <w:sz w:val="22"/>
                <w:szCs w:val="22"/>
              </w:rPr>
            </w:pPr>
            <w:r w:rsidRPr="006C3768">
              <w:rPr>
                <w:rFonts w:asciiTheme="minorHAnsi" w:hAnsiTheme="minorHAnsi" w:cstheme="minorHAnsi"/>
                <w:sz w:val="22"/>
                <w:szCs w:val="22"/>
              </w:rPr>
              <w:t>C. SERVICE COORDINATION</w:t>
            </w:r>
          </w:p>
          <w:p w14:paraId="674628F7" w14:textId="77777777" w:rsidR="00F53C45" w:rsidRPr="006C3768" w:rsidRDefault="00F53C45" w:rsidP="00A32BE3">
            <w:pPr>
              <w:textAlignment w:val="baseline"/>
              <w:rPr>
                <w:rFonts w:asciiTheme="minorHAnsi" w:hAnsiTheme="minorHAnsi" w:cstheme="minorHAnsi"/>
                <w:sz w:val="22"/>
                <w:szCs w:val="22"/>
              </w:rPr>
            </w:pPr>
            <w:r w:rsidRPr="006C3768">
              <w:rPr>
                <w:rFonts w:asciiTheme="minorHAnsi" w:hAnsiTheme="minorHAnsi" w:cstheme="minorHAnsi"/>
                <w:sz w:val="22"/>
                <w:szCs w:val="22"/>
              </w:rPr>
              <w:t>Conducting activities which ensure the timely and consistent delivery of IFSP (Part C) services;</w:t>
            </w:r>
          </w:p>
          <w:p w14:paraId="099E7708" w14:textId="77777777" w:rsidR="00F53C45" w:rsidRPr="006C3768" w:rsidRDefault="00F53C45" w:rsidP="00A32BE3">
            <w:pPr>
              <w:textAlignment w:val="baseline"/>
              <w:rPr>
                <w:rFonts w:asciiTheme="minorHAnsi" w:hAnsiTheme="minorHAnsi" w:cstheme="minorHAnsi"/>
                <w:sz w:val="22"/>
                <w:szCs w:val="22"/>
              </w:rPr>
            </w:pPr>
          </w:p>
          <w:p w14:paraId="1F492595" w14:textId="77777777" w:rsidR="00F53C45" w:rsidRPr="00411A64" w:rsidRDefault="00F53C45" w:rsidP="00A32BE3">
            <w:pPr>
              <w:textAlignment w:val="baseline"/>
              <w:rPr>
                <w:rFonts w:asciiTheme="minorHAnsi" w:hAnsiTheme="minorHAnsi" w:cstheme="minorHAnsi"/>
                <w:sz w:val="22"/>
                <w:szCs w:val="22"/>
              </w:rPr>
            </w:pPr>
            <w:r w:rsidRPr="006C3768">
              <w:rPr>
                <w:rStyle w:val="normaltextrun"/>
                <w:rFonts w:asciiTheme="minorHAnsi" w:hAnsiTheme="minorHAnsi" w:cstheme="minorHAnsi"/>
                <w:color w:val="000000"/>
                <w:sz w:val="22"/>
                <w:szCs w:val="22"/>
                <w:shd w:val="clear" w:color="auto" w:fill="FFFFFF"/>
              </w:rPr>
              <w:t>Part C services are provided to all eligible infants and toddlers with disabilities and their families in a timely manner and that each eligible infant and toddler with a disability has available early intervention services that are designed to meet his or her unique individual needs as identified by the IFSP team as required by 34 C.F.R. §§ 303.13(c), 303.342, and 303.344(d).</w:t>
            </w:r>
            <w:r w:rsidRPr="006C3768">
              <w:rPr>
                <w:rStyle w:val="eop"/>
                <w:rFonts w:asciiTheme="minorHAnsi" w:hAnsiTheme="minorHAnsi" w:cstheme="minorHAnsi"/>
                <w:color w:val="000000"/>
                <w:sz w:val="22"/>
                <w:szCs w:val="22"/>
                <w:shd w:val="clear" w:color="auto" w:fill="FFFFFF"/>
              </w:rPr>
              <w:t> </w:t>
            </w:r>
          </w:p>
          <w:p w14:paraId="54337708" w14:textId="77777777" w:rsidR="00F53C45" w:rsidRPr="00411A64" w:rsidRDefault="00F53C45" w:rsidP="00A32BE3">
            <w:pPr>
              <w:textAlignment w:val="baseline"/>
              <w:rPr>
                <w:rFonts w:asciiTheme="minorHAnsi" w:hAnsiTheme="minorHAnsi" w:cstheme="minorHAns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556A46B2" w14:textId="77777777" w:rsidR="00F53C45" w:rsidRDefault="00F53C45" w:rsidP="00A32BE3">
            <w:pPr>
              <w:textAlignment w:val="baseline"/>
              <w:rPr>
                <w:rFonts w:asciiTheme="minorHAnsi" w:hAnsiTheme="minorHAnsi" w:cstheme="minorHAnsi"/>
                <w:sz w:val="22"/>
                <w:szCs w:val="22"/>
              </w:rPr>
            </w:pPr>
            <w:r>
              <w:rPr>
                <w:rFonts w:asciiTheme="minorHAnsi" w:hAnsiTheme="minorHAnsi" w:cstheme="minorHAnsi"/>
                <w:sz w:val="22"/>
                <w:szCs w:val="22"/>
              </w:rPr>
              <w:t xml:space="preserve">1.1 </w:t>
            </w:r>
          </w:p>
          <w:p w14:paraId="6926FDDE" w14:textId="77777777" w:rsidR="00F53C45" w:rsidRDefault="00F53C45" w:rsidP="00A32BE3">
            <w:pPr>
              <w:textAlignment w:val="baseline"/>
              <w:rPr>
                <w:rFonts w:asciiTheme="minorHAnsi" w:hAnsiTheme="minorHAnsi" w:cstheme="minorHAnsi"/>
                <w:sz w:val="22"/>
                <w:szCs w:val="22"/>
              </w:rPr>
            </w:pPr>
          </w:p>
          <w:p w14:paraId="17E61A5F" w14:textId="77777777" w:rsidR="00F53C45" w:rsidRPr="006C3768" w:rsidRDefault="00F53C45" w:rsidP="00A32BE3">
            <w:pPr>
              <w:textAlignment w:val="baseline"/>
              <w:rPr>
                <w:rFonts w:asciiTheme="minorHAnsi" w:hAnsiTheme="minorHAnsi" w:cstheme="minorHAnsi"/>
                <w:sz w:val="22"/>
                <w:szCs w:val="22"/>
              </w:rPr>
            </w:pPr>
            <w:r w:rsidRPr="006C3768">
              <w:rPr>
                <w:rFonts w:asciiTheme="minorHAnsi" w:hAnsiTheme="minorHAnsi" w:cstheme="minorHAnsi"/>
                <w:sz w:val="22"/>
                <w:szCs w:val="22"/>
              </w:rPr>
              <w:t>In the record review, DPH found that 50% of the selected enrollments had service delivery frequencies that did not match the frequenc</w:t>
            </w:r>
            <w:r>
              <w:rPr>
                <w:rFonts w:asciiTheme="minorHAnsi" w:hAnsiTheme="minorHAnsi" w:cstheme="minorHAnsi"/>
                <w:sz w:val="22"/>
                <w:szCs w:val="22"/>
              </w:rPr>
              <w:t>ies</w:t>
            </w:r>
            <w:r w:rsidRPr="006C3768">
              <w:rPr>
                <w:rFonts w:asciiTheme="minorHAnsi" w:hAnsiTheme="minorHAnsi" w:cstheme="minorHAnsi"/>
                <w:sz w:val="22"/>
                <w:szCs w:val="22"/>
              </w:rPr>
              <w:t xml:space="preserve"> stated on the IFSP.</w:t>
            </w: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718E777D" w14:textId="77777777" w:rsidR="00F53C45" w:rsidRDefault="00F53C45" w:rsidP="00A32BE3">
            <w:pPr>
              <w:textAlignment w:val="baseline"/>
              <w:rPr>
                <w:rFonts w:ascii="Calibri" w:hAnsi="Calibri" w:cs="Calibri"/>
                <w:sz w:val="22"/>
                <w:szCs w:val="22"/>
              </w:rPr>
            </w:pPr>
            <w:r>
              <w:rPr>
                <w:rFonts w:ascii="Calibri" w:hAnsi="Calibri" w:cs="Calibri"/>
                <w:sz w:val="22"/>
                <w:szCs w:val="22"/>
              </w:rPr>
              <w:t>1.1</w:t>
            </w:r>
          </w:p>
          <w:p w14:paraId="018AF378" w14:textId="77777777" w:rsidR="00F53C45" w:rsidRDefault="00F53C45" w:rsidP="00A32BE3">
            <w:pPr>
              <w:textAlignment w:val="baseline"/>
              <w:rPr>
                <w:rFonts w:ascii="Calibri" w:hAnsi="Calibri" w:cs="Calibri"/>
                <w:sz w:val="22"/>
                <w:szCs w:val="22"/>
              </w:rPr>
            </w:pPr>
          </w:p>
          <w:p w14:paraId="4AAAFC37" w14:textId="77777777" w:rsidR="00F53C45" w:rsidRPr="00D03C01" w:rsidRDefault="00F53C45" w:rsidP="00A32BE3">
            <w:pPr>
              <w:textAlignment w:val="baseline"/>
              <w:rPr>
                <w:rFonts w:ascii="Calibri" w:hAnsi="Calibri" w:cs="Calibri"/>
                <w:sz w:val="22"/>
                <w:szCs w:val="22"/>
              </w:rPr>
            </w:pPr>
            <w:r w:rsidRPr="6AD528B5">
              <w:rPr>
                <w:rFonts w:ascii="Calibri" w:hAnsi="Calibri" w:cs="Calibri"/>
                <w:sz w:val="22"/>
                <w:szCs w:val="22"/>
              </w:rPr>
              <w:t xml:space="preserve">The EI Division finds that the EIS program does not have a procedure that is reasonably designed to provide consistent ongoing service delivery frequency as determined through the IFSP process and consented to by the parent on the IFSP, as required under </w:t>
            </w:r>
            <w:r w:rsidRPr="6AD528B5">
              <w:rPr>
                <w:rStyle w:val="normaltextrun"/>
                <w:rFonts w:asciiTheme="minorHAnsi" w:hAnsiTheme="minorHAnsi" w:cstheme="minorBidi"/>
                <w:color w:val="000000" w:themeColor="text1"/>
                <w:sz w:val="22"/>
                <w:szCs w:val="22"/>
              </w:rPr>
              <w:t>34 C.F.R. §§ 303.13(c), 303.342, and 303.344(d)</w:t>
            </w:r>
            <w:r w:rsidRPr="6AD528B5">
              <w:rPr>
                <w:rFonts w:ascii="Calibri" w:hAnsi="Calibri" w:cs="Calibri"/>
                <w:sz w:val="22"/>
                <w:szCs w:val="22"/>
              </w:rPr>
              <w:t xml:space="preserve"> and EIOS Page 32. </w:t>
            </w:r>
          </w:p>
          <w:p w14:paraId="1C9A979C" w14:textId="77777777" w:rsidR="00F53C45" w:rsidRPr="00C24B1D" w:rsidRDefault="00F53C45" w:rsidP="00A32BE3">
            <w:pPr>
              <w:textAlignment w:val="baseline"/>
              <w:rPr>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71B70181" w14:textId="77777777" w:rsidR="00F53C45" w:rsidRDefault="00F53C45" w:rsidP="00A32BE3">
            <w:pPr>
              <w:textAlignment w:val="baseline"/>
              <w:rPr>
                <w:rFonts w:ascii="Calibri" w:hAnsi="Calibri" w:cs="Calibri"/>
                <w:sz w:val="22"/>
                <w:szCs w:val="22"/>
              </w:rPr>
            </w:pPr>
            <w:r>
              <w:rPr>
                <w:rFonts w:ascii="Calibri" w:hAnsi="Calibri" w:cs="Calibri"/>
                <w:sz w:val="22"/>
                <w:szCs w:val="22"/>
              </w:rPr>
              <w:t>1.1</w:t>
            </w:r>
          </w:p>
          <w:p w14:paraId="14C196CB" w14:textId="77777777" w:rsidR="00F53C45" w:rsidRDefault="00F53C45" w:rsidP="00A32BE3">
            <w:pPr>
              <w:textAlignment w:val="baseline"/>
              <w:rPr>
                <w:rFonts w:ascii="Calibri" w:hAnsi="Calibri" w:cs="Calibri"/>
                <w:sz w:val="22"/>
                <w:szCs w:val="22"/>
              </w:rPr>
            </w:pPr>
          </w:p>
          <w:p w14:paraId="5614C7D1" w14:textId="26935DE7" w:rsidR="00F53C45" w:rsidRPr="009943BC" w:rsidRDefault="688AD746" w:rsidP="63B388FB">
            <w:pPr>
              <w:spacing w:line="259" w:lineRule="auto"/>
              <w:rPr>
                <w:rFonts w:ascii="Calibri" w:hAnsi="Calibri" w:cs="Calibri"/>
                <w:sz w:val="22"/>
                <w:szCs w:val="22"/>
              </w:rPr>
            </w:pPr>
            <w:r w:rsidRPr="63B388FB">
              <w:rPr>
                <w:rFonts w:ascii="Calibri" w:hAnsi="Calibri" w:cs="Calibri"/>
                <w:sz w:val="22"/>
                <w:szCs w:val="22"/>
              </w:rPr>
              <w:t>CORRECTED and CLOSED</w:t>
            </w:r>
          </w:p>
        </w:tc>
      </w:tr>
      <w:tr w:rsidR="00F53C45" w:rsidRPr="00E8557B" w14:paraId="268D8DCF" w14:textId="77777777" w:rsidTr="63B388FB">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6E09D7ED" w14:textId="77777777" w:rsidR="00F53C45" w:rsidRPr="008127AD" w:rsidRDefault="00F53C45" w:rsidP="00A32BE3">
            <w:pPr>
              <w:textAlignment w:val="baseline"/>
              <w:rPr>
                <w:rFonts w:asciiTheme="minorHAnsi" w:hAnsiTheme="minorHAnsi" w:cstheme="minorHAnsi"/>
                <w:b/>
                <w:bCs/>
                <w:sz w:val="22"/>
                <w:szCs w:val="22"/>
              </w:rPr>
            </w:pPr>
            <w:r>
              <w:rPr>
                <w:rFonts w:asciiTheme="minorHAnsi" w:hAnsiTheme="minorHAnsi" w:cstheme="minorHAnsi"/>
                <w:b/>
                <w:bCs/>
                <w:sz w:val="22"/>
                <w:szCs w:val="22"/>
              </w:rPr>
              <w:t xml:space="preserve">1.2 </w:t>
            </w:r>
            <w:r w:rsidRPr="008127AD">
              <w:rPr>
                <w:rFonts w:asciiTheme="minorHAnsi" w:hAnsiTheme="minorHAnsi" w:cstheme="minorHAnsi"/>
                <w:b/>
                <w:bCs/>
                <w:sz w:val="22"/>
                <w:szCs w:val="22"/>
              </w:rPr>
              <w:t>Transition</w:t>
            </w:r>
          </w:p>
          <w:p w14:paraId="0AAD8C6C" w14:textId="77777777" w:rsidR="00F53C45" w:rsidRDefault="00F53C45" w:rsidP="00A32BE3">
            <w:pPr>
              <w:textAlignment w:val="baseline"/>
              <w:rPr>
                <w:rFonts w:asciiTheme="minorHAnsi" w:hAnsiTheme="minorHAnsi" w:cstheme="minorHAnsi"/>
                <w:sz w:val="22"/>
                <w:szCs w:val="22"/>
              </w:rPr>
            </w:pPr>
          </w:p>
          <w:p w14:paraId="3EF0BF4F" w14:textId="77777777" w:rsidR="00F53C45" w:rsidRDefault="00F53C45" w:rsidP="00A32BE3">
            <w:pPr>
              <w:textAlignment w:val="baseline"/>
              <w:rPr>
                <w:rFonts w:asciiTheme="minorHAnsi" w:hAnsiTheme="minorHAnsi" w:cstheme="minorHAnsi"/>
                <w:sz w:val="22"/>
                <w:szCs w:val="22"/>
              </w:rPr>
            </w:pPr>
            <w:r w:rsidRPr="00E0177C">
              <w:rPr>
                <w:rFonts w:asciiTheme="minorHAnsi" w:hAnsiTheme="minorHAnsi" w:cstheme="minorHAnsi"/>
                <w:sz w:val="22"/>
                <w:szCs w:val="22"/>
              </w:rPr>
              <w:t xml:space="preserve">For toddlers potentially eligible for Part B services and in accordance with the IDEA, a transition conference to be held not fewer than 90 days </w:t>
            </w:r>
            <w:r>
              <w:rPr>
                <w:rFonts w:asciiTheme="minorHAnsi" w:hAnsiTheme="minorHAnsi" w:cstheme="minorHAnsi"/>
                <w:sz w:val="22"/>
                <w:szCs w:val="22"/>
              </w:rPr>
              <w:t>and</w:t>
            </w:r>
            <w:r w:rsidRPr="00E0177C">
              <w:rPr>
                <w:rFonts w:asciiTheme="minorHAnsi" w:hAnsiTheme="minorHAnsi" w:cstheme="minorHAnsi"/>
                <w:sz w:val="22"/>
                <w:szCs w:val="22"/>
              </w:rPr>
              <w:t xml:space="preserve">, at the discretion of </w:t>
            </w:r>
            <w:r>
              <w:rPr>
                <w:rFonts w:asciiTheme="minorHAnsi" w:hAnsiTheme="minorHAnsi" w:cstheme="minorHAnsi"/>
                <w:sz w:val="22"/>
                <w:szCs w:val="22"/>
              </w:rPr>
              <w:t>all</w:t>
            </w:r>
            <w:r w:rsidRPr="00E0177C">
              <w:rPr>
                <w:rFonts w:asciiTheme="minorHAnsi" w:hAnsiTheme="minorHAnsi" w:cstheme="minorHAnsi"/>
                <w:sz w:val="22"/>
                <w:szCs w:val="22"/>
              </w:rPr>
              <w:t xml:space="preserve"> parties, </w:t>
            </w:r>
            <w:r>
              <w:rPr>
                <w:rFonts w:asciiTheme="minorHAnsi" w:hAnsiTheme="minorHAnsi" w:cstheme="minorHAnsi"/>
                <w:sz w:val="22"/>
                <w:szCs w:val="22"/>
              </w:rPr>
              <w:t>not more than</w:t>
            </w:r>
            <w:r w:rsidRPr="00E0177C">
              <w:rPr>
                <w:rFonts w:asciiTheme="minorHAnsi" w:hAnsiTheme="minorHAnsi" w:cstheme="minorHAnsi"/>
                <w:sz w:val="22"/>
                <w:szCs w:val="22"/>
              </w:rPr>
              <w:t xml:space="preserve"> 9 months before the child’s third birthday.</w:t>
            </w:r>
            <w:r>
              <w:rPr>
                <w:rFonts w:asciiTheme="minorHAnsi" w:hAnsiTheme="minorHAnsi" w:cstheme="minorHAnsi"/>
                <w:sz w:val="22"/>
                <w:szCs w:val="22"/>
              </w:rPr>
              <w:t xml:space="preserve"> </w:t>
            </w:r>
          </w:p>
          <w:p w14:paraId="34E81CC1" w14:textId="77777777" w:rsidR="00F53C45" w:rsidRDefault="00F53C45" w:rsidP="00A32BE3">
            <w:pPr>
              <w:textAlignment w:val="baseline"/>
              <w:rPr>
                <w:rFonts w:asciiTheme="minorHAnsi" w:hAnsiTheme="minorHAnsi" w:cstheme="minorHAnsi"/>
                <w:sz w:val="22"/>
                <w:szCs w:val="22"/>
              </w:rPr>
            </w:pPr>
            <w:r w:rsidRPr="00334CFC">
              <w:rPr>
                <w:rFonts w:asciiTheme="minorHAnsi" w:hAnsiTheme="minorHAnsi" w:cstheme="minorHAnsi"/>
                <w:sz w:val="22"/>
                <w:szCs w:val="22"/>
              </w:rPr>
              <w:lastRenderedPageBreak/>
              <w:t>Sec. </w:t>
            </w:r>
            <w:r w:rsidRPr="00D66899">
              <w:rPr>
                <w:rFonts w:asciiTheme="minorHAnsi" w:hAnsiTheme="minorHAnsi" w:cstheme="minorHAnsi"/>
                <w:sz w:val="22"/>
                <w:szCs w:val="22"/>
              </w:rPr>
              <w:t>303.209 (c) (1)</w:t>
            </w:r>
            <w:r>
              <w:rPr>
                <w:rFonts w:asciiTheme="minorHAnsi" w:hAnsiTheme="minorHAnsi" w:cstheme="minorHAnsi"/>
                <w:sz w:val="22"/>
                <w:szCs w:val="22"/>
              </w:rPr>
              <w:t xml:space="preserve"> and </w:t>
            </w:r>
            <w:r w:rsidRPr="00E0177C">
              <w:rPr>
                <w:rFonts w:asciiTheme="minorHAnsi" w:hAnsiTheme="minorHAnsi" w:cstheme="minorHAnsi"/>
                <w:sz w:val="22"/>
                <w:szCs w:val="22"/>
              </w:rPr>
              <w:t>EIOS Page 37</w:t>
            </w:r>
          </w:p>
          <w:p w14:paraId="47A3F6E6" w14:textId="77777777" w:rsidR="00F53C45" w:rsidRPr="00E0177C" w:rsidRDefault="00F53C45" w:rsidP="00A32BE3">
            <w:pPr>
              <w:textAlignment w:val="baseline"/>
              <w:rPr>
                <w:rFonts w:asciiTheme="minorHAnsi" w:hAnsiTheme="minorHAnsi" w:cstheme="minorHAnsi"/>
                <w:sz w:val="22"/>
                <w:szCs w:val="22"/>
              </w:rPr>
            </w:pPr>
          </w:p>
          <w:p w14:paraId="7843A6C6" w14:textId="77777777" w:rsidR="00F53C45" w:rsidRPr="007B1A23" w:rsidRDefault="00F53C45" w:rsidP="00A32BE3">
            <w:pPr>
              <w:textAlignment w:val="baseline"/>
              <w:rPr>
                <w:rStyle w:val="normaltextrun"/>
                <w:rFonts w:asciiTheme="minorHAnsi" w:hAnsiTheme="minorHAnsi" w:cstheme="minorHAnsi"/>
                <w:color w:val="000000"/>
                <w:sz w:val="22"/>
                <w:szCs w:val="22"/>
                <w:shd w:val="clear" w:color="auto" w:fill="FFFFFF"/>
              </w:rPr>
            </w:pPr>
            <w:r w:rsidRPr="007B1A23">
              <w:rPr>
                <w:rStyle w:val="normaltextrun"/>
                <w:rFonts w:asciiTheme="minorHAnsi" w:hAnsiTheme="minorHAnsi" w:cstheme="minorHAnsi"/>
                <w:color w:val="000000"/>
                <w:sz w:val="22"/>
                <w:szCs w:val="22"/>
                <w:shd w:val="clear" w:color="auto" w:fill="FFFFFF"/>
              </w:rPr>
              <w:t>Not fewer than 90 days before the third birthday of the toddler with a disability if that toddler may be eligible for preschool services under part B of the Act, the lead agency notifies the SEA and the LEA for the area in which the toddler resides that the toddler on his or her third birthday will reach the age of eligibility for services under part B of the Act</w:t>
            </w:r>
            <w:r>
              <w:rPr>
                <w:rStyle w:val="normaltextrun"/>
                <w:rFonts w:asciiTheme="minorHAnsi" w:hAnsiTheme="minorHAnsi" w:cstheme="minorHAnsi"/>
                <w:color w:val="000000"/>
                <w:sz w:val="22"/>
                <w:szCs w:val="22"/>
                <w:shd w:val="clear" w:color="auto" w:fill="FFFFFF"/>
              </w:rPr>
              <w:t>.</w:t>
            </w:r>
          </w:p>
          <w:p w14:paraId="5661F63C" w14:textId="77777777" w:rsidR="00F53C45" w:rsidRDefault="00F53C45" w:rsidP="00A32BE3">
            <w:pPr>
              <w:textAlignment w:val="baseline"/>
              <w:rPr>
                <w:rFonts w:asciiTheme="minorHAnsi" w:hAnsiTheme="minorHAnsi" w:cstheme="minorHAnsi"/>
                <w:sz w:val="22"/>
                <w:szCs w:val="22"/>
              </w:rPr>
            </w:pPr>
            <w:r w:rsidRPr="00137744">
              <w:rPr>
                <w:rFonts w:asciiTheme="minorHAnsi" w:hAnsiTheme="minorHAnsi" w:cstheme="minorHAnsi"/>
                <w:sz w:val="22"/>
                <w:szCs w:val="22"/>
              </w:rPr>
              <w:t>Sec. 303.209 (b) (1) (i)</w:t>
            </w:r>
            <w:r>
              <w:rPr>
                <w:rFonts w:asciiTheme="minorHAnsi" w:hAnsiTheme="minorHAnsi" w:cstheme="minorHAnsi"/>
                <w:sz w:val="22"/>
                <w:szCs w:val="22"/>
              </w:rPr>
              <w:t xml:space="preserve"> and </w:t>
            </w:r>
            <w:r w:rsidRPr="00E0177C">
              <w:rPr>
                <w:rFonts w:asciiTheme="minorHAnsi" w:hAnsiTheme="minorHAnsi" w:cstheme="minorHAnsi"/>
                <w:sz w:val="22"/>
                <w:szCs w:val="22"/>
              </w:rPr>
              <w:t>EIOS Page 40</w:t>
            </w:r>
          </w:p>
          <w:p w14:paraId="073042D4" w14:textId="77777777" w:rsidR="00F53C45" w:rsidRPr="00E0177C" w:rsidRDefault="00F53C45" w:rsidP="00A32BE3">
            <w:pPr>
              <w:textAlignment w:val="baseline"/>
              <w:rPr>
                <w:rFonts w:asciiTheme="minorHAnsi" w:hAnsiTheme="minorHAnsi" w:cstheme="minorHAnsi"/>
                <w:sz w:val="22"/>
                <w:szCs w:val="22"/>
              </w:rPr>
            </w:pPr>
          </w:p>
          <w:p w14:paraId="61806920" w14:textId="77777777" w:rsidR="00F53C45" w:rsidRPr="00E0177C" w:rsidRDefault="00F53C45" w:rsidP="00A32BE3">
            <w:pPr>
              <w:textAlignment w:val="baseline"/>
              <w:rPr>
                <w:rFonts w:asciiTheme="minorHAnsi" w:hAnsiTheme="minorHAnsi" w:cstheme="minorHAnsi"/>
                <w:sz w:val="22"/>
                <w:szCs w:val="22"/>
              </w:rPr>
            </w:pPr>
            <w:r w:rsidRPr="00E0177C">
              <w:rPr>
                <w:rFonts w:asciiTheme="minorHAnsi" w:hAnsiTheme="minorHAnsi" w:cstheme="minorHAnsi"/>
                <w:sz w:val="22"/>
                <w:szCs w:val="22"/>
              </w:rPr>
              <w:t>EIOS Page 40</w:t>
            </w:r>
          </w:p>
          <w:p w14:paraId="164DCD9D" w14:textId="77777777" w:rsidR="00F53C45" w:rsidRPr="00E8557B" w:rsidRDefault="00F53C45" w:rsidP="00A32BE3">
            <w:pPr>
              <w:textAlignment w:val="baseline"/>
              <w:rPr>
                <w:rFonts w:asciiTheme="minorHAnsi" w:hAnsiTheme="minorHAnsi" w:cstheme="minorHAnsi"/>
                <w:sz w:val="22"/>
                <w:szCs w:val="22"/>
              </w:rPr>
            </w:pPr>
            <w:r w:rsidRPr="00E0177C">
              <w:rPr>
                <w:rFonts w:asciiTheme="minorHAnsi" w:hAnsiTheme="minorHAnsi" w:cstheme="minorHAnsi"/>
                <w:sz w:val="22"/>
                <w:szCs w:val="22"/>
              </w:rPr>
              <w:t>The parent shall be informed of their option to opt out of the LEA and SEA notification if they choose not to refer their child for Part B services. Parents have 30 days from the date they are informed of this option to indicate their desire to opt out or allow the disclosure of minimally personally identifiable information.</w:t>
            </w: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41D5C379" w14:textId="77777777" w:rsidR="00F53C45" w:rsidRDefault="00F53C45" w:rsidP="00A32BE3">
            <w:pPr>
              <w:textAlignment w:val="baseline"/>
              <w:rPr>
                <w:rFonts w:asciiTheme="minorHAnsi" w:hAnsiTheme="minorHAnsi" w:cstheme="minorHAnsi"/>
                <w:sz w:val="22"/>
                <w:szCs w:val="22"/>
              </w:rPr>
            </w:pPr>
            <w:r>
              <w:rPr>
                <w:rFonts w:asciiTheme="minorHAnsi" w:hAnsiTheme="minorHAnsi" w:cstheme="minorHAnsi"/>
                <w:sz w:val="22"/>
                <w:szCs w:val="22"/>
              </w:rPr>
              <w:lastRenderedPageBreak/>
              <w:t>1.2</w:t>
            </w:r>
          </w:p>
          <w:p w14:paraId="40B8BEB7" w14:textId="77777777" w:rsidR="00F53C45" w:rsidRDefault="00F53C45" w:rsidP="00A32BE3">
            <w:pPr>
              <w:textAlignment w:val="baseline"/>
              <w:rPr>
                <w:rFonts w:asciiTheme="minorHAnsi" w:hAnsiTheme="minorHAnsi" w:cstheme="minorHAnsi"/>
                <w:sz w:val="22"/>
                <w:szCs w:val="22"/>
              </w:rPr>
            </w:pPr>
          </w:p>
          <w:p w14:paraId="0A795072" w14:textId="77777777" w:rsidR="00F53C45" w:rsidRPr="00E8557B" w:rsidRDefault="00F53C45" w:rsidP="00A32BE3">
            <w:pPr>
              <w:textAlignment w:val="baseline"/>
              <w:rPr>
                <w:rFonts w:asciiTheme="minorHAnsi" w:hAnsiTheme="minorHAnsi" w:cstheme="minorHAnsi"/>
                <w:sz w:val="22"/>
                <w:szCs w:val="22"/>
              </w:rPr>
            </w:pPr>
            <w:r>
              <w:rPr>
                <w:rFonts w:asciiTheme="minorHAnsi" w:hAnsiTheme="minorHAnsi" w:cstheme="minorHAnsi"/>
                <w:sz w:val="22"/>
                <w:szCs w:val="22"/>
              </w:rPr>
              <w:t>In the policy review, DPH found that the transition policies lacked the required timeframes for LEA notification and transition conference and lacked information related to a parent’s right to opt out of sending minimally identifiable information to the LEA.</w:t>
            </w: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6B0FD058" w14:textId="77777777" w:rsidR="00F53C45" w:rsidRDefault="00F53C45" w:rsidP="00A32BE3">
            <w:pPr>
              <w:textAlignment w:val="baseline"/>
              <w:rPr>
                <w:rFonts w:asciiTheme="minorHAnsi" w:hAnsiTheme="minorHAnsi" w:cstheme="minorHAnsi"/>
                <w:sz w:val="22"/>
                <w:szCs w:val="22"/>
              </w:rPr>
            </w:pPr>
            <w:r>
              <w:rPr>
                <w:rFonts w:asciiTheme="minorHAnsi" w:hAnsiTheme="minorHAnsi" w:cstheme="minorHAnsi"/>
                <w:sz w:val="22"/>
                <w:szCs w:val="22"/>
              </w:rPr>
              <w:t>1.2</w:t>
            </w:r>
          </w:p>
          <w:p w14:paraId="58B8C33E" w14:textId="77777777" w:rsidR="00F53C45" w:rsidRDefault="00F53C45" w:rsidP="00A32BE3">
            <w:pPr>
              <w:textAlignment w:val="baseline"/>
              <w:rPr>
                <w:rFonts w:asciiTheme="minorHAnsi" w:hAnsiTheme="minorHAnsi" w:cstheme="minorHAnsi"/>
                <w:sz w:val="22"/>
                <w:szCs w:val="22"/>
              </w:rPr>
            </w:pPr>
          </w:p>
          <w:p w14:paraId="4327045B" w14:textId="77777777" w:rsidR="00F53C45" w:rsidRPr="00135465" w:rsidRDefault="00F53C45" w:rsidP="00A32BE3">
            <w:pPr>
              <w:textAlignment w:val="baseline"/>
              <w:rPr>
                <w:rFonts w:asciiTheme="minorHAnsi" w:hAnsiTheme="minorHAnsi" w:cstheme="minorHAnsi"/>
                <w:sz w:val="22"/>
                <w:szCs w:val="22"/>
              </w:rPr>
            </w:pPr>
            <w:r w:rsidRPr="00135465">
              <w:rPr>
                <w:rFonts w:asciiTheme="minorHAnsi" w:hAnsiTheme="minorHAnsi" w:cstheme="minorHAnsi"/>
                <w:sz w:val="22"/>
                <w:szCs w:val="22"/>
              </w:rPr>
              <w:t xml:space="preserve">The EI Division finds that the EIS program does not have documented policies and procedures to ensure timely </w:t>
            </w:r>
            <w:r>
              <w:rPr>
                <w:rFonts w:asciiTheme="minorHAnsi" w:hAnsiTheme="minorHAnsi" w:cstheme="minorHAnsi"/>
                <w:sz w:val="22"/>
                <w:szCs w:val="22"/>
              </w:rPr>
              <w:t xml:space="preserve">LEA </w:t>
            </w:r>
            <w:r w:rsidRPr="00135465">
              <w:rPr>
                <w:rFonts w:asciiTheme="minorHAnsi" w:hAnsiTheme="minorHAnsi" w:cstheme="minorHAnsi"/>
                <w:sz w:val="22"/>
                <w:szCs w:val="22"/>
              </w:rPr>
              <w:t>notification and timely transition conference as well as procedures to ensure families have the opportunity to opt out</w:t>
            </w:r>
            <w:r>
              <w:rPr>
                <w:rFonts w:asciiTheme="minorHAnsi" w:hAnsiTheme="minorHAnsi" w:cstheme="minorHAnsi"/>
                <w:sz w:val="22"/>
                <w:szCs w:val="22"/>
              </w:rPr>
              <w:t>.</w:t>
            </w: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4ADEE0F0" w14:textId="77777777" w:rsidR="00F53C45" w:rsidRDefault="00F53C45" w:rsidP="00A32BE3">
            <w:pPr>
              <w:textAlignment w:val="baseline"/>
              <w:rPr>
                <w:rFonts w:asciiTheme="minorHAnsi" w:hAnsiTheme="minorHAnsi" w:cstheme="minorHAnsi"/>
                <w:sz w:val="22"/>
                <w:szCs w:val="22"/>
              </w:rPr>
            </w:pPr>
            <w:r>
              <w:rPr>
                <w:rFonts w:asciiTheme="minorHAnsi" w:hAnsiTheme="minorHAnsi" w:cstheme="minorHAnsi"/>
                <w:sz w:val="22"/>
                <w:szCs w:val="22"/>
              </w:rPr>
              <w:t>1.2</w:t>
            </w:r>
          </w:p>
          <w:p w14:paraId="636834C5" w14:textId="77777777" w:rsidR="00F53C45" w:rsidRDefault="00F53C45" w:rsidP="00A32BE3">
            <w:pPr>
              <w:textAlignment w:val="baseline"/>
              <w:rPr>
                <w:rFonts w:asciiTheme="minorHAnsi" w:hAnsiTheme="minorHAnsi" w:cstheme="minorHAnsi"/>
                <w:sz w:val="22"/>
                <w:szCs w:val="22"/>
              </w:rPr>
            </w:pPr>
          </w:p>
          <w:p w14:paraId="0F3052E1" w14:textId="79290706" w:rsidR="00F53C45" w:rsidRPr="009943BC" w:rsidRDefault="715B80EF" w:rsidP="63B388FB">
            <w:pPr>
              <w:textAlignment w:val="baseline"/>
              <w:rPr>
                <w:rFonts w:asciiTheme="minorHAnsi" w:hAnsiTheme="minorHAnsi" w:cstheme="minorBidi"/>
                <w:sz w:val="22"/>
                <w:szCs w:val="22"/>
              </w:rPr>
            </w:pPr>
            <w:r w:rsidRPr="63B388FB">
              <w:rPr>
                <w:rFonts w:ascii="Calibri" w:hAnsi="Calibri" w:cs="Calibri"/>
                <w:sz w:val="22"/>
                <w:szCs w:val="22"/>
              </w:rPr>
              <w:t>CORRECTED and CLOSED</w:t>
            </w:r>
            <w:r w:rsidRPr="63B388FB">
              <w:rPr>
                <w:rFonts w:asciiTheme="minorHAnsi" w:hAnsiTheme="minorHAnsi" w:cstheme="minorBidi"/>
                <w:sz w:val="22"/>
                <w:szCs w:val="22"/>
              </w:rPr>
              <w:t xml:space="preserve"> </w:t>
            </w:r>
          </w:p>
          <w:p w14:paraId="4BE836DD" w14:textId="77777777" w:rsidR="00F53C45" w:rsidRPr="00135465" w:rsidRDefault="00F53C45" w:rsidP="00A32BE3">
            <w:pPr>
              <w:textAlignment w:val="baseline"/>
              <w:rPr>
                <w:rFonts w:asciiTheme="minorHAnsi" w:hAnsiTheme="minorHAnsi" w:cstheme="minorHAnsi"/>
                <w:sz w:val="22"/>
                <w:szCs w:val="22"/>
              </w:rPr>
            </w:pPr>
          </w:p>
        </w:tc>
      </w:tr>
    </w:tbl>
    <w:p w14:paraId="1F8609A8" w14:textId="77777777" w:rsidR="00F53C45" w:rsidRPr="004A54F5" w:rsidRDefault="00F53C45" w:rsidP="00F53C45">
      <w:pPr>
        <w:textAlignment w:val="baseline"/>
        <w:rPr>
          <w:rFonts w:asciiTheme="minorHAnsi" w:hAnsiTheme="minorHAnsi" w:cstheme="minorHAnsi"/>
          <w:sz w:val="22"/>
          <w:szCs w:val="22"/>
        </w:rPr>
      </w:pPr>
      <w:r w:rsidRPr="00E8557B">
        <w:rPr>
          <w:rFonts w:asciiTheme="minorHAnsi" w:hAnsiTheme="minorHAnsi" w:cstheme="minorHAnsi"/>
          <w:sz w:val="22"/>
          <w:szCs w:val="22"/>
        </w:rPr>
        <w:t> </w:t>
      </w:r>
      <w:r w:rsidRPr="00C24B1D">
        <w:rPr>
          <w:rFonts w:ascii="Calibri" w:hAnsi="Calibri" w:cs="Calibri"/>
          <w:sz w:val="22"/>
          <w:szCs w:val="22"/>
        </w:rPr>
        <w:t> </w:t>
      </w:r>
    </w:p>
    <w:p w14:paraId="742D2222" w14:textId="77777777" w:rsidR="00F53C45" w:rsidRDefault="00F53C45" w:rsidP="00F53C45">
      <w:pPr>
        <w:jc w:val="center"/>
        <w:textAlignment w:val="baseline"/>
        <w:rPr>
          <w:rFonts w:ascii="Calibri" w:hAnsi="Calibri" w:cs="Calibri"/>
          <w:b/>
          <w:bCs/>
          <w:sz w:val="22"/>
          <w:szCs w:val="22"/>
        </w:rPr>
      </w:pPr>
    </w:p>
    <w:p w14:paraId="028363B9" w14:textId="77777777" w:rsidR="00F53C45" w:rsidRDefault="00F53C45" w:rsidP="00F53C45">
      <w:pPr>
        <w:jc w:val="center"/>
        <w:textAlignment w:val="baseline"/>
        <w:rPr>
          <w:rFonts w:ascii="Calibri" w:hAnsi="Calibri" w:cs="Calibri"/>
          <w:b/>
          <w:bCs/>
          <w:sz w:val="22"/>
          <w:szCs w:val="22"/>
        </w:rPr>
      </w:pPr>
    </w:p>
    <w:p w14:paraId="05955CF1" w14:textId="77777777" w:rsidR="00F53C45" w:rsidRDefault="00F53C45" w:rsidP="00F53C45">
      <w:pPr>
        <w:jc w:val="center"/>
        <w:textAlignment w:val="baseline"/>
        <w:rPr>
          <w:rFonts w:ascii="Calibri" w:hAnsi="Calibri" w:cs="Calibri"/>
          <w:b/>
          <w:bCs/>
          <w:sz w:val="22"/>
          <w:szCs w:val="22"/>
        </w:rPr>
      </w:pPr>
    </w:p>
    <w:p w14:paraId="4E1B4DE3" w14:textId="77777777" w:rsidR="00F53C45" w:rsidRDefault="00F53C45" w:rsidP="00F53C45">
      <w:pPr>
        <w:jc w:val="center"/>
        <w:textAlignment w:val="baseline"/>
        <w:rPr>
          <w:rFonts w:ascii="Calibri" w:hAnsi="Calibri" w:cs="Calibri"/>
          <w:b/>
          <w:bCs/>
          <w:sz w:val="22"/>
          <w:szCs w:val="22"/>
        </w:rPr>
      </w:pPr>
    </w:p>
    <w:p w14:paraId="143B9EA3" w14:textId="77777777" w:rsidR="000E4A20" w:rsidRDefault="000E4A20" w:rsidP="00F53C45">
      <w:pPr>
        <w:jc w:val="center"/>
        <w:textAlignment w:val="baseline"/>
        <w:rPr>
          <w:rFonts w:ascii="Calibri" w:hAnsi="Calibri" w:cs="Calibri"/>
          <w:b/>
          <w:bCs/>
          <w:sz w:val="22"/>
          <w:szCs w:val="22"/>
        </w:rPr>
      </w:pPr>
    </w:p>
    <w:p w14:paraId="0887E11D" w14:textId="413E75D7" w:rsidR="00F53C45" w:rsidRPr="00C24B1D" w:rsidRDefault="00F53C45" w:rsidP="00F53C45">
      <w:pPr>
        <w:jc w:val="center"/>
        <w:textAlignment w:val="baseline"/>
        <w:rPr>
          <w:rFonts w:ascii="Segoe UI" w:hAnsi="Segoe UI" w:cs="Segoe UI"/>
          <w:sz w:val="18"/>
          <w:szCs w:val="18"/>
        </w:rPr>
      </w:pPr>
      <w:r w:rsidRPr="00C24B1D">
        <w:rPr>
          <w:rFonts w:ascii="Calibri" w:hAnsi="Calibri" w:cs="Calibri"/>
          <w:b/>
          <w:bCs/>
          <w:sz w:val="22"/>
          <w:szCs w:val="22"/>
        </w:rPr>
        <w:lastRenderedPageBreak/>
        <w:t>DISPUTE RESOLUTION</w:t>
      </w:r>
      <w:r w:rsidRPr="00C24B1D">
        <w:rPr>
          <w:rFonts w:ascii="Calibri" w:hAnsi="Calibri" w:cs="Calibri"/>
          <w:sz w:val="22"/>
          <w:szCs w:val="22"/>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6"/>
        <w:gridCol w:w="3236"/>
        <w:gridCol w:w="3236"/>
        <w:gridCol w:w="3236"/>
      </w:tblGrid>
      <w:tr w:rsidR="00F53C45" w:rsidRPr="00C24B1D" w14:paraId="6B0AB3FB" w14:textId="77777777" w:rsidTr="63B388FB">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FD3D00D" w14:textId="77777777" w:rsidR="00F53C45" w:rsidRPr="00C24B1D" w:rsidRDefault="00F53C45" w:rsidP="00A32BE3">
            <w:pPr>
              <w:textAlignment w:val="baseline"/>
              <w:rPr>
                <w:szCs w:val="24"/>
              </w:rPr>
            </w:pPr>
            <w:r w:rsidRPr="00C24B1D">
              <w:rPr>
                <w:rFonts w:ascii="Calibri" w:hAnsi="Calibri" w:cs="Calibri"/>
                <w:b/>
                <w:bCs/>
                <w:sz w:val="22"/>
                <w:szCs w:val="22"/>
              </w:rPr>
              <w:t>Legal Requirement/State Standard</w:t>
            </w:r>
            <w:r w:rsidRPr="00C24B1D">
              <w:rPr>
                <w:rFonts w:ascii="Calibri" w:hAnsi="Calibri" w:cs="Calibri"/>
                <w:sz w:val="22"/>
                <w:szCs w:val="22"/>
              </w:rPr>
              <w:t>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BE17D9B" w14:textId="77777777" w:rsidR="00F53C45" w:rsidRPr="00CC7204" w:rsidRDefault="00F53C45" w:rsidP="00A32BE3">
            <w:pPr>
              <w:textAlignment w:val="baseline"/>
              <w:rPr>
                <w:b/>
                <w:bCs/>
                <w:szCs w:val="24"/>
              </w:rPr>
            </w:pPr>
            <w:r w:rsidRPr="00CC7204">
              <w:rPr>
                <w:rFonts w:ascii="Calibri" w:hAnsi="Calibri" w:cs="Calibri"/>
                <w:b/>
                <w:bCs/>
                <w:sz w:val="22"/>
                <w:szCs w:val="22"/>
              </w:rPr>
              <w:t>Noncompliant Policy, Procedure or Practice and EI Division analysis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749C78F3" w14:textId="77777777" w:rsidR="00F53C45" w:rsidRPr="00CC7204" w:rsidRDefault="00F53C45" w:rsidP="00A32BE3">
            <w:pPr>
              <w:textAlignment w:val="baseline"/>
              <w:rPr>
                <w:b/>
                <w:bCs/>
                <w:szCs w:val="24"/>
              </w:rPr>
            </w:pPr>
            <w:r w:rsidRPr="00CC7204">
              <w:rPr>
                <w:rFonts w:ascii="Calibri" w:hAnsi="Calibri" w:cs="Calibri"/>
                <w:b/>
                <w:bCs/>
                <w:sz w:val="22"/>
                <w:szCs w:val="22"/>
              </w:rPr>
              <w:t>Conclusion/Finding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31D8F3B8" w14:textId="77777777" w:rsidR="00F53C45" w:rsidRPr="00CC7204" w:rsidRDefault="00F53C45" w:rsidP="00A32BE3">
            <w:pPr>
              <w:textAlignment w:val="baseline"/>
              <w:rPr>
                <w:b/>
                <w:bCs/>
                <w:szCs w:val="24"/>
              </w:rPr>
            </w:pPr>
            <w:r w:rsidRPr="00CC7204">
              <w:rPr>
                <w:rFonts w:ascii="Calibri" w:hAnsi="Calibri" w:cs="Calibri"/>
                <w:b/>
                <w:bCs/>
                <w:sz w:val="22"/>
                <w:szCs w:val="22"/>
              </w:rPr>
              <w:t>Next Steps and Required Actions </w:t>
            </w:r>
          </w:p>
        </w:tc>
      </w:tr>
      <w:tr w:rsidR="00F53C45" w:rsidRPr="00C24B1D" w14:paraId="5CD08DE6" w14:textId="77777777" w:rsidTr="63B388FB">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14A791BB" w14:textId="77777777" w:rsidR="00F53C45" w:rsidRPr="00525A3C" w:rsidRDefault="00F53C45" w:rsidP="00A32BE3">
            <w:pPr>
              <w:textAlignment w:val="baseline"/>
              <w:rPr>
                <w:rFonts w:ascii="Calibri" w:hAnsi="Calibri" w:cs="Calibri"/>
                <w:b/>
                <w:bCs/>
                <w:sz w:val="22"/>
                <w:szCs w:val="22"/>
              </w:rPr>
            </w:pPr>
            <w:r>
              <w:rPr>
                <w:rFonts w:ascii="Calibri" w:hAnsi="Calibri" w:cs="Calibri"/>
                <w:b/>
                <w:bCs/>
                <w:sz w:val="22"/>
                <w:szCs w:val="22"/>
              </w:rPr>
              <w:t xml:space="preserve">2.1 </w:t>
            </w:r>
            <w:r w:rsidRPr="00525A3C">
              <w:rPr>
                <w:rFonts w:ascii="Calibri" w:hAnsi="Calibri" w:cs="Calibri"/>
                <w:b/>
                <w:bCs/>
                <w:sz w:val="22"/>
                <w:szCs w:val="22"/>
              </w:rPr>
              <w:t>Prior Written Notice and Procedural Safeguards</w:t>
            </w:r>
          </w:p>
          <w:p w14:paraId="7B8E7BFC" w14:textId="77777777" w:rsidR="00F53C45" w:rsidRPr="004A54F5" w:rsidRDefault="00F53C45" w:rsidP="00A32BE3">
            <w:pPr>
              <w:textAlignment w:val="baseline"/>
              <w:rPr>
                <w:rFonts w:asciiTheme="minorHAnsi" w:hAnsiTheme="minorHAnsi" w:cstheme="minorHAnsi"/>
                <w:sz w:val="22"/>
                <w:szCs w:val="22"/>
              </w:rPr>
            </w:pPr>
          </w:p>
          <w:p w14:paraId="24377693" w14:textId="77777777" w:rsidR="00F53C45" w:rsidRPr="00C24B1D" w:rsidRDefault="00F53C45" w:rsidP="00A32BE3">
            <w:pPr>
              <w:textAlignment w:val="baseline"/>
              <w:rPr>
                <w:szCs w:val="24"/>
              </w:rPr>
            </w:pPr>
            <w:r>
              <w:rPr>
                <w:rStyle w:val="normaltextrun"/>
                <w:rFonts w:ascii="Calibri" w:hAnsi="Calibri" w:cs="Calibri"/>
                <w:color w:val="000000"/>
                <w:sz w:val="22"/>
                <w:szCs w:val="22"/>
                <w:shd w:val="clear" w:color="auto" w:fill="FFFFFF"/>
              </w:rPr>
              <w:t>34 CFR §</w:t>
            </w:r>
            <w:r w:rsidRPr="00FE7114">
              <w:rPr>
                <w:rStyle w:val="normaltextrun"/>
                <w:rFonts w:ascii="Calibri" w:hAnsi="Calibri" w:cs="Calibri"/>
                <w:color w:val="000000"/>
                <w:sz w:val="22"/>
                <w:szCs w:val="22"/>
                <w:shd w:val="clear" w:color="auto" w:fill="FFFFFF"/>
              </w:rPr>
              <w:t>303.421 Prior written notice and procedural safeguards notice.</w:t>
            </w:r>
            <w:r>
              <w:rPr>
                <w:rStyle w:val="normaltextrun"/>
                <w:rFonts w:ascii="Calibri" w:hAnsi="Calibri" w:cs="Calibri"/>
                <w:color w:val="000000"/>
                <w:sz w:val="22"/>
                <w:szCs w:val="22"/>
                <w:shd w:val="clear" w:color="auto" w:fill="FFFFFF"/>
              </w:rPr>
              <w:t xml:space="preserve"> a) </w:t>
            </w:r>
            <w:r w:rsidRPr="00FE7114">
              <w:rPr>
                <w:rStyle w:val="normaltextrun"/>
                <w:rFonts w:ascii="Calibri" w:hAnsi="Calibri" w:cs="Calibri"/>
                <w:i/>
                <w:iCs/>
                <w:color w:val="000000"/>
                <w:sz w:val="22"/>
                <w:szCs w:val="22"/>
                <w:shd w:val="clear" w:color="auto" w:fill="FFFFFF"/>
              </w:rPr>
              <w:t>General.</w:t>
            </w:r>
            <w:r>
              <w:rPr>
                <w:rStyle w:val="normaltextrun"/>
                <w:rFonts w:ascii="Calibri" w:hAnsi="Calibri" w:cs="Calibri"/>
                <w:color w:val="000000"/>
                <w:sz w:val="22"/>
                <w:szCs w:val="22"/>
                <w:shd w:val="clear" w:color="auto" w:fill="FFFFFF"/>
              </w:rPr>
              <w:t xml:space="preserve"> Prior written notice must be provided to parents a reasonable time before the lead agency or an EIS provider proposes, or refuses, to initiate or change the identification, evaluation, or placement of their infant or toddler, or the provision of early intervention services to the infant or toddler with a disability and that infant's or toddler's family. </w:t>
            </w:r>
            <w:r>
              <w:rPr>
                <w:rStyle w:val="eop"/>
                <w:rFonts w:ascii="Calibri" w:hAnsi="Calibri" w:cs="Calibri"/>
                <w:color w:val="000000"/>
                <w:sz w:val="22"/>
                <w:szCs w:val="22"/>
                <w:shd w:val="clear" w:color="auto" w:fill="FFFFFF"/>
              </w:rPr>
              <w:t> </w:t>
            </w: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7ECC9AF9" w14:textId="77777777" w:rsidR="00F53C45" w:rsidRDefault="00F53C45" w:rsidP="00A32BE3">
            <w:pPr>
              <w:textAlignment w:val="baseline"/>
              <w:rPr>
                <w:rFonts w:ascii="Calibri" w:hAnsi="Calibri" w:cs="Calibri"/>
                <w:sz w:val="22"/>
                <w:szCs w:val="22"/>
              </w:rPr>
            </w:pPr>
            <w:r>
              <w:rPr>
                <w:rFonts w:ascii="Calibri" w:hAnsi="Calibri" w:cs="Calibri"/>
                <w:sz w:val="22"/>
                <w:szCs w:val="22"/>
              </w:rPr>
              <w:t>2.1</w:t>
            </w:r>
          </w:p>
          <w:p w14:paraId="0A623DCB" w14:textId="77777777" w:rsidR="00F53C45" w:rsidRDefault="00F53C45" w:rsidP="00A32BE3">
            <w:pPr>
              <w:textAlignment w:val="baseline"/>
              <w:rPr>
                <w:rFonts w:ascii="Calibri" w:hAnsi="Calibri" w:cs="Calibri"/>
                <w:sz w:val="22"/>
                <w:szCs w:val="22"/>
              </w:rPr>
            </w:pPr>
          </w:p>
          <w:p w14:paraId="75E9479F" w14:textId="77777777" w:rsidR="00F53C45" w:rsidRDefault="00F53C45" w:rsidP="00A32BE3">
            <w:pPr>
              <w:textAlignment w:val="baseline"/>
              <w:rPr>
                <w:rFonts w:ascii="Calibri" w:hAnsi="Calibri" w:cs="Calibri"/>
                <w:sz w:val="22"/>
                <w:szCs w:val="22"/>
              </w:rPr>
            </w:pPr>
          </w:p>
          <w:p w14:paraId="116D856B" w14:textId="77777777" w:rsidR="00F53C45" w:rsidRPr="00C24B1D" w:rsidRDefault="00F53C45" w:rsidP="00A32BE3">
            <w:pPr>
              <w:textAlignment w:val="baseline"/>
              <w:rPr>
                <w:szCs w:val="24"/>
              </w:rPr>
            </w:pPr>
            <w:r>
              <w:rPr>
                <w:rFonts w:ascii="Calibri" w:hAnsi="Calibri" w:cs="Calibri"/>
                <w:sz w:val="22"/>
                <w:szCs w:val="22"/>
              </w:rPr>
              <w:t>In the record review, DPH found that 30% of the selected enrollments did not have a prior written notice for the transition conference.</w:t>
            </w: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31A407A7" w14:textId="77777777" w:rsidR="00F53C45" w:rsidRDefault="00F53C45" w:rsidP="00A32BE3">
            <w:pPr>
              <w:textAlignment w:val="baseline"/>
              <w:rPr>
                <w:rFonts w:asciiTheme="minorHAnsi" w:hAnsiTheme="minorHAnsi" w:cstheme="minorHAnsi"/>
                <w:sz w:val="22"/>
                <w:szCs w:val="22"/>
              </w:rPr>
            </w:pPr>
            <w:r>
              <w:rPr>
                <w:rFonts w:asciiTheme="minorHAnsi" w:hAnsiTheme="minorHAnsi" w:cstheme="minorHAnsi"/>
                <w:sz w:val="22"/>
                <w:szCs w:val="22"/>
              </w:rPr>
              <w:t>2.1</w:t>
            </w:r>
          </w:p>
          <w:p w14:paraId="7CC66AD4" w14:textId="77777777" w:rsidR="00F53C45" w:rsidRDefault="00F53C45" w:rsidP="00A32BE3">
            <w:pPr>
              <w:textAlignment w:val="baseline"/>
              <w:rPr>
                <w:rFonts w:asciiTheme="minorHAnsi" w:hAnsiTheme="minorHAnsi" w:cstheme="minorHAnsi"/>
                <w:sz w:val="22"/>
                <w:szCs w:val="22"/>
              </w:rPr>
            </w:pPr>
          </w:p>
          <w:p w14:paraId="62FD4D0F" w14:textId="77777777" w:rsidR="00F53C45" w:rsidRDefault="00F53C45" w:rsidP="00A32BE3">
            <w:pPr>
              <w:textAlignment w:val="baseline"/>
              <w:rPr>
                <w:rFonts w:asciiTheme="minorHAnsi" w:hAnsiTheme="minorHAnsi" w:cstheme="minorHAnsi"/>
                <w:sz w:val="22"/>
                <w:szCs w:val="22"/>
              </w:rPr>
            </w:pPr>
          </w:p>
          <w:p w14:paraId="2A823701" w14:textId="77777777" w:rsidR="00F53C45" w:rsidRPr="00C24B1D" w:rsidRDefault="00F53C45" w:rsidP="00A32BE3">
            <w:pPr>
              <w:textAlignment w:val="baseline"/>
              <w:rPr>
                <w:szCs w:val="24"/>
              </w:rPr>
            </w:pPr>
            <w:r w:rsidRPr="00135465">
              <w:rPr>
                <w:rFonts w:asciiTheme="minorHAnsi" w:hAnsiTheme="minorHAnsi" w:cstheme="minorHAnsi"/>
                <w:sz w:val="22"/>
                <w:szCs w:val="22"/>
              </w:rPr>
              <w:t>The EI Division finds that the EIS program does not have</w:t>
            </w:r>
            <w:r>
              <w:rPr>
                <w:rFonts w:asciiTheme="minorHAnsi" w:hAnsiTheme="minorHAnsi" w:cstheme="minorHAnsi"/>
                <w:sz w:val="22"/>
                <w:szCs w:val="22"/>
              </w:rPr>
              <w:t xml:space="preserve"> a procedure in place to ensure prior written notice is provided to each child before a transition conference.</w:t>
            </w: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6084F32F" w14:textId="77777777" w:rsidR="00F53C45" w:rsidRDefault="00F53C45" w:rsidP="00A32BE3">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2.1 </w:t>
            </w:r>
          </w:p>
          <w:p w14:paraId="67723966" w14:textId="77777777" w:rsidR="00F53C45" w:rsidRDefault="00F53C45" w:rsidP="00A32BE3">
            <w:pPr>
              <w:pStyle w:val="paragraph"/>
              <w:spacing w:before="0" w:beforeAutospacing="0" w:after="0" w:afterAutospacing="0"/>
              <w:textAlignment w:val="baseline"/>
              <w:rPr>
                <w:rStyle w:val="normaltextrun"/>
                <w:rFonts w:ascii="Calibri" w:hAnsi="Calibri" w:cs="Calibri"/>
                <w:sz w:val="22"/>
                <w:szCs w:val="22"/>
              </w:rPr>
            </w:pPr>
          </w:p>
          <w:p w14:paraId="7E2E368D" w14:textId="77777777" w:rsidR="009943BC" w:rsidRDefault="009943BC" w:rsidP="009943BC">
            <w:pPr>
              <w:pStyle w:val="paragraph"/>
              <w:spacing w:before="0" w:beforeAutospacing="0" w:after="0" w:afterAutospacing="0"/>
              <w:textAlignment w:val="baseline"/>
              <w:rPr>
                <w:rStyle w:val="eop"/>
                <w:rFonts w:ascii="Calibri" w:hAnsi="Calibri" w:cs="Calibri"/>
                <w:sz w:val="22"/>
              </w:rPr>
            </w:pPr>
          </w:p>
          <w:p w14:paraId="0F8CBD29" w14:textId="32D2C27B" w:rsidR="00F53C45" w:rsidRPr="009943BC" w:rsidRDefault="1DC35ABA" w:rsidP="63B388FB">
            <w:pPr>
              <w:textAlignment w:val="baseline"/>
              <w:rPr>
                <w:rStyle w:val="eop"/>
                <w:rFonts w:asciiTheme="minorHAnsi" w:hAnsiTheme="minorHAnsi" w:cstheme="minorBidi"/>
                <w:sz w:val="22"/>
                <w:szCs w:val="22"/>
              </w:rPr>
            </w:pPr>
            <w:r w:rsidRPr="63B388FB">
              <w:rPr>
                <w:rFonts w:ascii="Calibri" w:hAnsi="Calibri" w:cs="Calibri"/>
                <w:sz w:val="22"/>
                <w:szCs w:val="22"/>
              </w:rPr>
              <w:t>CORRECTED and CLOSED</w:t>
            </w:r>
            <w:r w:rsidRPr="63B388FB">
              <w:rPr>
                <w:rStyle w:val="eop"/>
                <w:rFonts w:asciiTheme="minorHAnsi" w:hAnsiTheme="minorHAnsi" w:cstheme="minorBidi"/>
                <w:sz w:val="22"/>
                <w:szCs w:val="22"/>
              </w:rPr>
              <w:t xml:space="preserve"> </w:t>
            </w:r>
          </w:p>
          <w:p w14:paraId="25417FCC" w14:textId="77777777" w:rsidR="00F53C45" w:rsidRPr="00C24B1D" w:rsidRDefault="00F53C45" w:rsidP="00A32BE3">
            <w:pPr>
              <w:textAlignment w:val="baseline"/>
              <w:rPr>
                <w:szCs w:val="24"/>
              </w:rPr>
            </w:pPr>
          </w:p>
        </w:tc>
      </w:tr>
    </w:tbl>
    <w:p w14:paraId="47E093C2" w14:textId="77777777" w:rsidR="00F53C45" w:rsidRPr="00C24B1D" w:rsidRDefault="00F53C45" w:rsidP="00F53C45">
      <w:pPr>
        <w:textAlignment w:val="baseline"/>
        <w:rPr>
          <w:rFonts w:ascii="Segoe UI" w:hAnsi="Segoe UI" w:cs="Segoe UI"/>
          <w:sz w:val="18"/>
          <w:szCs w:val="18"/>
        </w:rPr>
      </w:pPr>
      <w:r w:rsidRPr="00C24B1D">
        <w:rPr>
          <w:rFonts w:ascii="Calibri" w:hAnsi="Calibri" w:cs="Calibri"/>
          <w:sz w:val="22"/>
          <w:szCs w:val="22"/>
        </w:rPr>
        <w:t>  </w:t>
      </w:r>
    </w:p>
    <w:p w14:paraId="0D916633" w14:textId="77777777" w:rsidR="00F53C45" w:rsidRPr="00C24B1D" w:rsidRDefault="00F53C45" w:rsidP="00F53C45">
      <w:pPr>
        <w:jc w:val="center"/>
        <w:textAlignment w:val="baseline"/>
        <w:rPr>
          <w:rFonts w:ascii="Segoe UI" w:hAnsi="Segoe UI" w:cs="Segoe UI"/>
          <w:sz w:val="18"/>
          <w:szCs w:val="18"/>
        </w:rPr>
      </w:pPr>
      <w:r w:rsidRPr="00C24B1D">
        <w:rPr>
          <w:rFonts w:ascii="Calibri" w:hAnsi="Calibri" w:cs="Calibri"/>
          <w:b/>
          <w:bCs/>
          <w:sz w:val="22"/>
          <w:szCs w:val="22"/>
        </w:rPr>
        <w:t>FISCAL</w:t>
      </w:r>
      <w:r w:rsidRPr="00C24B1D">
        <w:rPr>
          <w:rFonts w:ascii="Calibri" w:hAnsi="Calibri" w:cs="Calibri"/>
          <w:sz w:val="22"/>
          <w:szCs w:val="22"/>
        </w:rPr>
        <w:t> </w:t>
      </w:r>
    </w:p>
    <w:tbl>
      <w:tblPr>
        <w:tblW w:w="5003"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238"/>
        <w:gridCol w:w="3238"/>
        <w:gridCol w:w="3238"/>
        <w:gridCol w:w="3238"/>
      </w:tblGrid>
      <w:tr w:rsidR="00F53C45" w:rsidRPr="00C24B1D" w14:paraId="1CCD6F6B" w14:textId="77777777" w:rsidTr="63B388FB">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E0A7B83" w14:textId="77777777" w:rsidR="00F53C45" w:rsidRPr="00C24B1D" w:rsidRDefault="00F53C45" w:rsidP="00A32BE3">
            <w:pPr>
              <w:textAlignment w:val="baseline"/>
              <w:rPr>
                <w:szCs w:val="24"/>
              </w:rPr>
            </w:pPr>
            <w:r w:rsidRPr="00C24B1D">
              <w:rPr>
                <w:rFonts w:ascii="Calibri" w:hAnsi="Calibri" w:cs="Calibri"/>
                <w:b/>
                <w:bCs/>
                <w:sz w:val="22"/>
                <w:szCs w:val="22"/>
              </w:rPr>
              <w:t>Legal Requirement/State Standard</w:t>
            </w:r>
            <w:r w:rsidRPr="00C24B1D">
              <w:rPr>
                <w:rFonts w:ascii="Calibri" w:hAnsi="Calibri" w:cs="Calibri"/>
                <w:sz w:val="22"/>
                <w:szCs w:val="22"/>
              </w:rPr>
              <w:t>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133100EC" w14:textId="77777777" w:rsidR="00F53C45" w:rsidRPr="00CC7204" w:rsidRDefault="00F53C45" w:rsidP="00A32BE3">
            <w:pPr>
              <w:textAlignment w:val="baseline"/>
              <w:rPr>
                <w:b/>
                <w:bCs/>
                <w:szCs w:val="24"/>
              </w:rPr>
            </w:pPr>
            <w:r w:rsidRPr="00CC7204">
              <w:rPr>
                <w:rFonts w:ascii="Calibri" w:hAnsi="Calibri" w:cs="Calibri"/>
                <w:b/>
                <w:bCs/>
                <w:sz w:val="22"/>
                <w:szCs w:val="22"/>
              </w:rPr>
              <w:t>Noncompliant Policy, Procedure or Practice and EI Division analysis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9FD1747" w14:textId="77777777" w:rsidR="00F53C45" w:rsidRPr="00CC7204" w:rsidRDefault="00F53C45" w:rsidP="00A32BE3">
            <w:pPr>
              <w:textAlignment w:val="baseline"/>
              <w:rPr>
                <w:b/>
                <w:bCs/>
                <w:szCs w:val="24"/>
              </w:rPr>
            </w:pPr>
            <w:r w:rsidRPr="00CC7204">
              <w:rPr>
                <w:rFonts w:ascii="Calibri" w:hAnsi="Calibri" w:cs="Calibri"/>
                <w:b/>
                <w:bCs/>
                <w:sz w:val="22"/>
                <w:szCs w:val="22"/>
              </w:rPr>
              <w:t>Conclusion/Finding </w:t>
            </w:r>
          </w:p>
        </w:tc>
        <w:tc>
          <w:tcPr>
            <w:tcW w:w="1250" w:type="pct"/>
            <w:tcBorders>
              <w:top w:val="single" w:sz="6" w:space="0" w:color="auto"/>
              <w:left w:val="single" w:sz="6" w:space="0" w:color="auto"/>
              <w:bottom w:val="single" w:sz="6" w:space="0" w:color="auto"/>
              <w:right w:val="single" w:sz="6" w:space="0" w:color="auto"/>
            </w:tcBorders>
            <w:shd w:val="clear" w:color="auto" w:fill="D9E2F3" w:themeFill="accent1" w:themeFillTint="33"/>
            <w:hideMark/>
          </w:tcPr>
          <w:p w14:paraId="5D72EBD0" w14:textId="77777777" w:rsidR="00F53C45" w:rsidRPr="00CC7204" w:rsidRDefault="00F53C45" w:rsidP="00A32BE3">
            <w:pPr>
              <w:textAlignment w:val="baseline"/>
              <w:rPr>
                <w:b/>
                <w:bCs/>
                <w:szCs w:val="24"/>
              </w:rPr>
            </w:pPr>
            <w:r w:rsidRPr="00CC7204">
              <w:rPr>
                <w:rFonts w:ascii="Calibri" w:hAnsi="Calibri" w:cs="Calibri"/>
                <w:b/>
                <w:bCs/>
                <w:sz w:val="22"/>
                <w:szCs w:val="22"/>
              </w:rPr>
              <w:t>Next Steps and Required Actions </w:t>
            </w:r>
          </w:p>
        </w:tc>
      </w:tr>
      <w:tr w:rsidR="00F53C45" w:rsidRPr="00C24B1D" w14:paraId="0BA0F916" w14:textId="77777777" w:rsidTr="63B388FB">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10382215" w14:textId="77777777" w:rsidR="00F53C45" w:rsidRDefault="00F53C45" w:rsidP="00A32BE3">
            <w:pPr>
              <w:textAlignment w:val="baseline"/>
              <w:rPr>
                <w:rFonts w:asciiTheme="minorHAnsi" w:hAnsiTheme="minorHAnsi" w:cstheme="minorHAnsi"/>
                <w:sz w:val="22"/>
                <w:szCs w:val="22"/>
              </w:rPr>
            </w:pPr>
            <w:r>
              <w:rPr>
                <w:rFonts w:asciiTheme="minorHAnsi" w:hAnsiTheme="minorHAnsi" w:cstheme="minorHAnsi"/>
                <w:sz w:val="22"/>
                <w:szCs w:val="22"/>
              </w:rPr>
              <w:t xml:space="preserve">3.1 </w:t>
            </w:r>
            <w:r w:rsidRPr="00342A2A">
              <w:rPr>
                <w:rFonts w:asciiTheme="minorHAnsi" w:hAnsiTheme="minorHAnsi" w:cstheme="minorHAnsi"/>
                <w:b/>
                <w:sz w:val="22"/>
                <w:szCs w:val="22"/>
              </w:rPr>
              <w:t>Encounter and Charge Claims</w:t>
            </w:r>
            <w:r w:rsidRPr="006D1C5F">
              <w:rPr>
                <w:rFonts w:asciiTheme="minorHAnsi" w:hAnsiTheme="minorHAnsi" w:cstheme="minorHAnsi"/>
                <w:sz w:val="22"/>
                <w:szCs w:val="22"/>
              </w:rPr>
              <w:t xml:space="preserve"> </w:t>
            </w:r>
          </w:p>
          <w:p w14:paraId="54803AAC" w14:textId="77777777" w:rsidR="00F53C45" w:rsidRDefault="00F53C45" w:rsidP="00A32BE3">
            <w:pPr>
              <w:textAlignment w:val="baseline"/>
              <w:rPr>
                <w:rFonts w:asciiTheme="minorHAnsi" w:hAnsiTheme="minorHAnsi" w:cstheme="minorHAnsi"/>
                <w:sz w:val="22"/>
                <w:szCs w:val="22"/>
              </w:rPr>
            </w:pPr>
          </w:p>
          <w:p w14:paraId="5657B76B" w14:textId="77777777" w:rsidR="00F53C45" w:rsidRDefault="00F53C45" w:rsidP="00A32BE3">
            <w:pPr>
              <w:rPr>
                <w:rFonts w:asciiTheme="minorHAnsi" w:hAnsiTheme="minorHAnsi" w:cstheme="minorHAnsi"/>
                <w:sz w:val="22"/>
                <w:szCs w:val="22"/>
              </w:rPr>
            </w:pPr>
            <w:r w:rsidRPr="00F254AE">
              <w:rPr>
                <w:rFonts w:asciiTheme="minorHAnsi" w:hAnsiTheme="minorHAnsi" w:cstheme="minorHAnsi"/>
                <w:sz w:val="22"/>
                <w:szCs w:val="22"/>
              </w:rPr>
              <w:t xml:space="preserve">Except as provided in paragraph (b) of this section, funds under this part may not be used to satisfy a financial commitment for services that would otherwise have been paid for from another public or private source, including any medical program administered by the Department of Defense, but for </w:t>
            </w:r>
            <w:r w:rsidRPr="00F254AE">
              <w:rPr>
                <w:rFonts w:asciiTheme="minorHAnsi" w:hAnsiTheme="minorHAnsi" w:cstheme="minorHAnsi"/>
                <w:sz w:val="22"/>
                <w:szCs w:val="22"/>
              </w:rPr>
              <w:lastRenderedPageBreak/>
              <w:t>the enactment of part C of the Act. Therefore, funds under this part may be used only for early intervention services that an infant or toddler with a disability needs but is not currently entitled to receive or have payment made from any other Federal, State, local, or private source (subject to §§ 303.520 and 303.521).</w:t>
            </w:r>
          </w:p>
          <w:p w14:paraId="7E246307" w14:textId="77777777" w:rsidR="00F53C45" w:rsidRDefault="00F53C45" w:rsidP="00A32BE3">
            <w:pPr>
              <w:rPr>
                <w:rFonts w:asciiTheme="minorHAnsi" w:hAnsiTheme="minorHAnsi" w:cstheme="minorHAnsi"/>
                <w:sz w:val="22"/>
                <w:szCs w:val="22"/>
              </w:rPr>
            </w:pPr>
          </w:p>
          <w:p w14:paraId="54F7F79B" w14:textId="77777777" w:rsidR="00F53C45" w:rsidRDefault="00F53C45" w:rsidP="00A32BE3">
            <w:pPr>
              <w:rPr>
                <w:rFonts w:asciiTheme="minorHAnsi" w:hAnsiTheme="minorHAnsi" w:cstheme="minorHAnsi"/>
                <w:sz w:val="22"/>
                <w:szCs w:val="22"/>
              </w:rPr>
            </w:pPr>
            <w:r>
              <w:rPr>
                <w:rFonts w:asciiTheme="minorHAnsi" w:hAnsiTheme="minorHAnsi" w:cstheme="minorHAnsi"/>
                <w:sz w:val="22"/>
                <w:szCs w:val="22"/>
              </w:rPr>
              <w:t>Reimbursement Manual Page 11</w:t>
            </w:r>
          </w:p>
          <w:p w14:paraId="47E2DD16" w14:textId="77777777" w:rsidR="00F53C45" w:rsidRPr="00B32DBC" w:rsidRDefault="00F53C45" w:rsidP="00A32BE3">
            <w:pPr>
              <w:rPr>
                <w:rFonts w:asciiTheme="minorHAnsi" w:hAnsiTheme="minorHAnsi" w:cstheme="minorHAnsi"/>
                <w:sz w:val="22"/>
                <w:szCs w:val="22"/>
              </w:rPr>
            </w:pPr>
            <w:r w:rsidRPr="00B32DBC">
              <w:rPr>
                <w:rFonts w:asciiTheme="minorHAnsi" w:hAnsiTheme="minorHAnsi" w:cstheme="minorHAnsi"/>
                <w:sz w:val="22"/>
                <w:szCs w:val="22"/>
              </w:rPr>
              <w:t>DPH Role – Payer of Last Resort</w:t>
            </w:r>
          </w:p>
          <w:p w14:paraId="65485E6C" w14:textId="77777777" w:rsidR="00F53C45" w:rsidRPr="00B32DBC" w:rsidRDefault="00F53C45" w:rsidP="00A32BE3">
            <w:pPr>
              <w:rPr>
                <w:rFonts w:asciiTheme="minorHAnsi" w:hAnsiTheme="minorHAnsi" w:cstheme="minorHAnsi"/>
                <w:sz w:val="22"/>
                <w:szCs w:val="22"/>
              </w:rPr>
            </w:pPr>
            <w:r w:rsidRPr="00B32DBC">
              <w:rPr>
                <w:rFonts w:asciiTheme="minorHAnsi" w:hAnsiTheme="minorHAnsi" w:cstheme="minorHAnsi"/>
                <w:sz w:val="22"/>
                <w:szCs w:val="22"/>
              </w:rPr>
              <w:t>DPH, as the payer of last resort, will deny claims determined to be ineligible for reimbursement per the</w:t>
            </w:r>
          </w:p>
          <w:p w14:paraId="245B2F60" w14:textId="77777777" w:rsidR="00F53C45" w:rsidRPr="006D1C5F" w:rsidRDefault="00F53C45" w:rsidP="00A32BE3">
            <w:pPr>
              <w:rPr>
                <w:rFonts w:asciiTheme="minorHAnsi" w:hAnsiTheme="minorHAnsi" w:cstheme="minorHAnsi"/>
                <w:sz w:val="22"/>
                <w:szCs w:val="22"/>
              </w:rPr>
            </w:pPr>
            <w:r w:rsidRPr="00B32DBC">
              <w:rPr>
                <w:rFonts w:asciiTheme="minorHAnsi" w:hAnsiTheme="minorHAnsi" w:cstheme="minorHAnsi"/>
                <w:sz w:val="22"/>
                <w:szCs w:val="22"/>
              </w:rPr>
              <w:t>Guidelines</w:t>
            </w:r>
            <w:r>
              <w:rPr>
                <w:rFonts w:asciiTheme="minorHAnsi" w:hAnsiTheme="minorHAnsi" w:cstheme="minorHAnsi"/>
                <w:sz w:val="22"/>
                <w:szCs w:val="22"/>
              </w:rPr>
              <w:t xml:space="preserve"> </w:t>
            </w:r>
            <w:r w:rsidRPr="00B32DBC">
              <w:rPr>
                <w:rFonts w:asciiTheme="minorHAnsi" w:hAnsiTheme="minorHAnsi" w:cstheme="minorHAnsi"/>
                <w:sz w:val="22"/>
                <w:szCs w:val="22"/>
              </w:rPr>
              <w:t>in this document. EI agencies/programs must follow insurers’ established procedures and billing</w:t>
            </w:r>
            <w:r>
              <w:rPr>
                <w:rFonts w:asciiTheme="minorHAnsi" w:hAnsiTheme="minorHAnsi" w:cstheme="minorHAnsi"/>
                <w:sz w:val="22"/>
                <w:szCs w:val="22"/>
              </w:rPr>
              <w:t xml:space="preserve"> </w:t>
            </w:r>
            <w:r w:rsidRPr="00B32DBC">
              <w:rPr>
                <w:rFonts w:asciiTheme="minorHAnsi" w:hAnsiTheme="minorHAnsi" w:cstheme="minorHAnsi"/>
                <w:sz w:val="22"/>
                <w:szCs w:val="22"/>
              </w:rPr>
              <w:t>rules (including efforts to resolve denied claims) in order to secure reimbursement for EI and Autism</w:t>
            </w:r>
            <w:r>
              <w:rPr>
                <w:rFonts w:asciiTheme="minorHAnsi" w:hAnsiTheme="minorHAnsi" w:cstheme="minorHAnsi"/>
                <w:sz w:val="22"/>
                <w:szCs w:val="22"/>
              </w:rPr>
              <w:t xml:space="preserve"> </w:t>
            </w:r>
            <w:r w:rsidRPr="00B32DBC">
              <w:rPr>
                <w:rFonts w:asciiTheme="minorHAnsi" w:hAnsiTheme="minorHAnsi" w:cstheme="minorHAnsi"/>
                <w:sz w:val="22"/>
                <w:szCs w:val="22"/>
              </w:rPr>
              <w:t>services PRIOR to submission of charge claims to DPH.</w:t>
            </w:r>
          </w:p>
          <w:p w14:paraId="59353D0E" w14:textId="77777777" w:rsidR="00F53C45" w:rsidRPr="00342A2A" w:rsidRDefault="00F53C45" w:rsidP="00A32BE3">
            <w:pPr>
              <w:rPr>
                <w:rFonts w:asciiTheme="minorHAnsi" w:hAnsiTheme="minorHAnsi" w:cstheme="minorHAnsi"/>
                <w:sz w:val="22"/>
                <w:szCs w:val="22"/>
              </w:rPr>
            </w:pPr>
          </w:p>
          <w:p w14:paraId="6A74315A" w14:textId="77777777" w:rsidR="00F53C45" w:rsidRPr="00C02F4E" w:rsidRDefault="00F53C45" w:rsidP="00A32BE3">
            <w:pPr>
              <w:pStyle w:val="paragraph"/>
              <w:spacing w:before="0" w:beforeAutospacing="0" w:after="0" w:afterAutospacing="0"/>
              <w:textAlignment w:val="baseline"/>
              <w:rPr>
                <w:rFonts w:asciiTheme="minorHAnsi" w:hAnsiTheme="minorHAnsi" w:cstheme="minorHAnsi"/>
                <w:bCs/>
                <w:sz w:val="18"/>
                <w:szCs w:val="18"/>
              </w:rPr>
            </w:pPr>
            <w:r w:rsidRPr="00C02F4E">
              <w:rPr>
                <w:rStyle w:val="normaltextrun"/>
                <w:rFonts w:asciiTheme="minorHAnsi" w:hAnsiTheme="minorHAnsi" w:cstheme="minorHAnsi"/>
                <w:bCs/>
                <w:sz w:val="22"/>
                <w:szCs w:val="22"/>
              </w:rPr>
              <w:t>Reimbursement Manual Page 30 </w:t>
            </w:r>
            <w:r w:rsidRPr="00C02F4E">
              <w:rPr>
                <w:rStyle w:val="eop"/>
                <w:rFonts w:asciiTheme="minorHAnsi" w:hAnsiTheme="minorHAnsi" w:cstheme="minorHAnsi"/>
                <w:bCs/>
                <w:sz w:val="22"/>
                <w:szCs w:val="22"/>
              </w:rPr>
              <w:t> </w:t>
            </w:r>
          </w:p>
          <w:p w14:paraId="06963FC9" w14:textId="77777777" w:rsidR="00F53C45" w:rsidRDefault="00F53C45" w:rsidP="00A32BE3">
            <w:pPr>
              <w:pStyle w:val="paragraph"/>
              <w:spacing w:before="0" w:beforeAutospacing="0" w:after="0" w:afterAutospacing="0"/>
              <w:textAlignment w:val="baseline"/>
              <w:rPr>
                <w:rStyle w:val="eop"/>
                <w:rFonts w:asciiTheme="minorHAnsi" w:hAnsiTheme="minorHAnsi" w:cstheme="minorHAnsi"/>
                <w:sz w:val="22"/>
                <w:szCs w:val="22"/>
              </w:rPr>
            </w:pPr>
            <w:r w:rsidRPr="00F51548">
              <w:rPr>
                <w:rStyle w:val="eop"/>
                <w:rFonts w:asciiTheme="minorHAnsi" w:hAnsiTheme="minorHAnsi" w:cstheme="minorHAnsi"/>
                <w:sz w:val="22"/>
                <w:szCs w:val="22"/>
              </w:rPr>
              <w:t>Services should NOT be bundled, regardless of how they were submitted to another payer.</w:t>
            </w:r>
          </w:p>
          <w:p w14:paraId="4D19BFAF" w14:textId="77777777" w:rsidR="00F53C45" w:rsidRPr="006D1C5F" w:rsidRDefault="00F53C45" w:rsidP="00A32BE3">
            <w:pPr>
              <w:textAlignment w:val="baseline"/>
              <w:rPr>
                <w:rFonts w:asciiTheme="minorHAnsi" w:hAnsiTheme="minorHAnsi" w:cstheme="minorHAnsi"/>
                <w:sz w:val="22"/>
                <w:szCs w:val="22"/>
              </w:rPr>
            </w:pPr>
          </w:p>
          <w:p w14:paraId="6FDB8938" w14:textId="77777777" w:rsidR="00F53C45" w:rsidRPr="006D1C5F" w:rsidRDefault="00F53C45" w:rsidP="00A32BE3">
            <w:pPr>
              <w:textAlignment w:val="baseline"/>
              <w:rPr>
                <w:rFonts w:asciiTheme="minorHAnsi" w:hAnsiTheme="minorHAnsi" w:cstheme="minorHAnsi"/>
                <w:sz w:val="22"/>
                <w:szCs w:val="22"/>
              </w:rPr>
            </w:pPr>
            <w:r w:rsidRPr="006D1C5F">
              <w:rPr>
                <w:rFonts w:asciiTheme="minorHAnsi" w:hAnsiTheme="minorHAnsi" w:cstheme="minorHAnsi"/>
                <w:sz w:val="22"/>
                <w:szCs w:val="22"/>
              </w:rPr>
              <w:t>Reimbursement Manual Page 12</w:t>
            </w:r>
          </w:p>
          <w:p w14:paraId="542C11B8" w14:textId="77777777" w:rsidR="00F53C45" w:rsidRPr="00AB72FB" w:rsidRDefault="00F53C45" w:rsidP="00A32BE3">
            <w:pPr>
              <w:textAlignment w:val="baseline"/>
              <w:rPr>
                <w:rFonts w:asciiTheme="minorHAnsi" w:hAnsiTheme="minorHAnsi" w:cstheme="minorHAnsi"/>
                <w:sz w:val="22"/>
                <w:szCs w:val="22"/>
              </w:rPr>
            </w:pPr>
            <w:r w:rsidRPr="00AB72FB">
              <w:rPr>
                <w:rFonts w:asciiTheme="minorHAnsi" w:hAnsiTheme="minorHAnsi" w:cstheme="minorHAnsi"/>
                <w:sz w:val="22"/>
                <w:szCs w:val="22"/>
              </w:rPr>
              <w:lastRenderedPageBreak/>
              <w:t>There are three verifications that must occur in the following order to ensure claims are submitted to the appropriate payer:</w:t>
            </w:r>
          </w:p>
          <w:p w14:paraId="39B09ABC" w14:textId="77777777" w:rsidR="00F53C45" w:rsidRPr="00AB72FB" w:rsidRDefault="00F53C45" w:rsidP="00A32BE3">
            <w:pPr>
              <w:textAlignment w:val="baseline"/>
              <w:rPr>
                <w:rFonts w:asciiTheme="minorHAnsi" w:hAnsiTheme="minorHAnsi" w:cstheme="minorHAnsi"/>
                <w:sz w:val="22"/>
                <w:szCs w:val="22"/>
              </w:rPr>
            </w:pPr>
            <w:r w:rsidRPr="00AB72FB">
              <w:rPr>
                <w:rFonts w:asciiTheme="minorHAnsi" w:hAnsiTheme="minorHAnsi" w:cstheme="minorHAnsi"/>
                <w:sz w:val="22"/>
                <w:szCs w:val="22"/>
              </w:rPr>
              <w:t xml:space="preserve">Confirmation of Insurance Eligibility </w:t>
            </w:r>
          </w:p>
          <w:p w14:paraId="472CDE6F" w14:textId="77777777" w:rsidR="00F53C45" w:rsidRPr="00AB72FB" w:rsidRDefault="00F53C45" w:rsidP="00A32BE3">
            <w:pPr>
              <w:textAlignment w:val="baseline"/>
              <w:rPr>
                <w:rFonts w:asciiTheme="minorHAnsi" w:hAnsiTheme="minorHAnsi" w:cstheme="minorHAnsi"/>
                <w:sz w:val="22"/>
                <w:szCs w:val="22"/>
              </w:rPr>
            </w:pPr>
            <w:r w:rsidRPr="00AB72FB">
              <w:rPr>
                <w:rFonts w:asciiTheme="minorHAnsi" w:hAnsiTheme="minorHAnsi" w:cstheme="minorHAnsi"/>
                <w:sz w:val="22"/>
                <w:szCs w:val="22"/>
              </w:rPr>
              <w:t>•</w:t>
            </w:r>
            <w:r w:rsidRPr="00AB72FB">
              <w:rPr>
                <w:rFonts w:asciiTheme="minorHAnsi" w:hAnsiTheme="minorHAnsi" w:cstheme="minorHAnsi"/>
                <w:sz w:val="22"/>
                <w:szCs w:val="22"/>
              </w:rPr>
              <w:tab/>
              <w:t>DPH requires that EI agencies/programs verify insurance member eligibility for MassHealth, MassHealth MCO’s and ACO’s, and commercial insurance, on a regular basis, to ensure that claims are submitted to the appropriate payer.</w:t>
            </w:r>
          </w:p>
          <w:p w14:paraId="1F5E34BF" w14:textId="77777777" w:rsidR="00F53C45" w:rsidRPr="00AB72FB" w:rsidRDefault="00F53C45" w:rsidP="00A32BE3">
            <w:pPr>
              <w:textAlignment w:val="baseline"/>
              <w:rPr>
                <w:rFonts w:asciiTheme="minorHAnsi" w:hAnsiTheme="minorHAnsi" w:cstheme="minorHAnsi"/>
                <w:sz w:val="22"/>
                <w:szCs w:val="22"/>
              </w:rPr>
            </w:pPr>
            <w:r w:rsidRPr="00AB72FB">
              <w:rPr>
                <w:rFonts w:asciiTheme="minorHAnsi" w:hAnsiTheme="minorHAnsi" w:cstheme="minorHAnsi"/>
                <w:sz w:val="22"/>
                <w:szCs w:val="22"/>
              </w:rPr>
              <w:t>•</w:t>
            </w:r>
            <w:r w:rsidRPr="00AB72FB">
              <w:rPr>
                <w:rFonts w:asciiTheme="minorHAnsi" w:hAnsiTheme="minorHAnsi" w:cstheme="minorHAnsi"/>
                <w:sz w:val="22"/>
                <w:szCs w:val="22"/>
              </w:rPr>
              <w:tab/>
              <w:t xml:space="preserve">Confirmation of EI Benefit Coverage Basis/ Type </w:t>
            </w:r>
          </w:p>
          <w:p w14:paraId="7C1A56DA" w14:textId="77777777" w:rsidR="00F53C45" w:rsidRPr="00AB72FB" w:rsidRDefault="00F53C45" w:rsidP="00A32BE3">
            <w:pPr>
              <w:textAlignment w:val="baseline"/>
              <w:rPr>
                <w:rFonts w:asciiTheme="minorHAnsi" w:hAnsiTheme="minorHAnsi" w:cstheme="minorHAnsi"/>
                <w:sz w:val="22"/>
                <w:szCs w:val="22"/>
              </w:rPr>
            </w:pPr>
            <w:r w:rsidRPr="00AB72FB">
              <w:rPr>
                <w:rFonts w:asciiTheme="minorHAnsi" w:hAnsiTheme="minorHAnsi" w:cstheme="minorHAnsi"/>
                <w:sz w:val="22"/>
                <w:szCs w:val="22"/>
              </w:rPr>
              <w:t>o</w:t>
            </w:r>
            <w:r w:rsidRPr="00AB72FB">
              <w:rPr>
                <w:rFonts w:asciiTheme="minorHAnsi" w:hAnsiTheme="minorHAnsi" w:cstheme="minorHAnsi"/>
                <w:sz w:val="22"/>
                <w:szCs w:val="22"/>
              </w:rPr>
              <w:tab/>
              <w:t>EI agencies/programs must determine the EI benefit coverage type for each member, including whether EI is a covered benefit and the type of insurance plan. The following table explains the insurance coverage types in the EI Client System.</w:t>
            </w:r>
          </w:p>
          <w:p w14:paraId="1982F6BD" w14:textId="77777777" w:rsidR="00F53C45" w:rsidRPr="00AB72FB" w:rsidRDefault="00F53C45" w:rsidP="00A32BE3">
            <w:pPr>
              <w:textAlignment w:val="baseline"/>
              <w:rPr>
                <w:rFonts w:asciiTheme="minorHAnsi" w:hAnsiTheme="minorHAnsi" w:cstheme="minorHAnsi"/>
                <w:sz w:val="22"/>
                <w:szCs w:val="22"/>
              </w:rPr>
            </w:pPr>
            <w:r w:rsidRPr="00AB72FB">
              <w:rPr>
                <w:rFonts w:asciiTheme="minorHAnsi" w:hAnsiTheme="minorHAnsi" w:cstheme="minorHAnsi"/>
                <w:sz w:val="22"/>
                <w:szCs w:val="22"/>
              </w:rPr>
              <w:t>•</w:t>
            </w:r>
            <w:r w:rsidRPr="00AB72FB">
              <w:rPr>
                <w:rFonts w:asciiTheme="minorHAnsi" w:hAnsiTheme="minorHAnsi" w:cstheme="minorHAnsi"/>
                <w:sz w:val="22"/>
                <w:szCs w:val="22"/>
              </w:rPr>
              <w:tab/>
              <w:t xml:space="preserve">Confirmation of Insurance Plan Options (Health Savings Account (HSA)) </w:t>
            </w:r>
          </w:p>
          <w:p w14:paraId="504068C8" w14:textId="77777777" w:rsidR="00F53C45" w:rsidRPr="00AB72FB" w:rsidRDefault="00F53C45" w:rsidP="00A32BE3">
            <w:pPr>
              <w:textAlignment w:val="baseline"/>
              <w:rPr>
                <w:rFonts w:asciiTheme="minorHAnsi" w:hAnsiTheme="minorHAnsi" w:cstheme="minorHAnsi"/>
                <w:sz w:val="22"/>
                <w:szCs w:val="22"/>
              </w:rPr>
            </w:pPr>
            <w:r w:rsidRPr="00AB72FB">
              <w:rPr>
                <w:rFonts w:asciiTheme="minorHAnsi" w:hAnsiTheme="minorHAnsi" w:cstheme="minorHAnsi"/>
                <w:sz w:val="22"/>
                <w:szCs w:val="22"/>
              </w:rPr>
              <w:t>o</w:t>
            </w:r>
            <w:r w:rsidRPr="00AB72FB">
              <w:rPr>
                <w:rFonts w:asciiTheme="minorHAnsi" w:hAnsiTheme="minorHAnsi" w:cstheme="minorHAnsi"/>
                <w:sz w:val="22"/>
                <w:szCs w:val="22"/>
              </w:rPr>
              <w:tab/>
              <w:t>Massachusetts law mandating insurance to pay co-pays, co-insurance and deductibles does not apply to Heath Savings Account (HSA) plans</w:t>
            </w:r>
          </w:p>
          <w:p w14:paraId="52009C5E" w14:textId="77777777" w:rsidR="00F53C45" w:rsidRPr="00AB72FB" w:rsidRDefault="00F53C45" w:rsidP="00A32BE3">
            <w:pPr>
              <w:textAlignment w:val="baseline"/>
              <w:rPr>
                <w:rFonts w:asciiTheme="minorHAnsi" w:hAnsiTheme="minorHAnsi" w:cstheme="minorHAns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7C7BA892" w14:textId="77777777" w:rsidR="00F53C45" w:rsidRDefault="00F53C45" w:rsidP="00A32BE3">
            <w:pPr>
              <w:textAlignment w:val="baseline"/>
              <w:rPr>
                <w:rFonts w:ascii="Calibri" w:hAnsi="Calibri" w:cs="Calibri"/>
                <w:sz w:val="22"/>
                <w:szCs w:val="22"/>
              </w:rPr>
            </w:pPr>
            <w:r>
              <w:rPr>
                <w:rFonts w:ascii="Calibri" w:hAnsi="Calibri" w:cs="Calibri"/>
                <w:sz w:val="22"/>
                <w:szCs w:val="22"/>
              </w:rPr>
              <w:lastRenderedPageBreak/>
              <w:t>3.1</w:t>
            </w:r>
          </w:p>
          <w:p w14:paraId="2EFEF4DB" w14:textId="77777777" w:rsidR="00F53C45" w:rsidRDefault="00F53C45" w:rsidP="00A32BE3">
            <w:pPr>
              <w:textAlignment w:val="baseline"/>
              <w:rPr>
                <w:rFonts w:ascii="Calibri" w:hAnsi="Calibri" w:cs="Calibri"/>
                <w:sz w:val="22"/>
                <w:szCs w:val="22"/>
              </w:rPr>
            </w:pPr>
          </w:p>
          <w:p w14:paraId="06044D4E" w14:textId="77777777" w:rsidR="00F53C45" w:rsidRDefault="00F53C45" w:rsidP="00A32BE3">
            <w:pPr>
              <w:pStyle w:val="paragraph"/>
              <w:spacing w:before="0" w:beforeAutospacing="0" w:after="0" w:afterAutospacing="0"/>
              <w:textAlignment w:val="baseline"/>
              <w:rPr>
                <w:rFonts w:ascii="Segoe UI" w:hAnsi="Segoe UI" w:cs="Segoe UI"/>
                <w:sz w:val="18"/>
                <w:szCs w:val="18"/>
              </w:rPr>
            </w:pPr>
            <w:r>
              <w:rPr>
                <w:rFonts w:ascii="Calibri" w:hAnsi="Calibri" w:cs="Calibri"/>
                <w:sz w:val="22"/>
                <w:szCs w:val="22"/>
              </w:rPr>
              <w:t>In the policy review, DPH found that the submitted policies did not contain information relevant to all aspects of submitting accurate and timely charge and encounter claims to DPH, including b</w:t>
            </w:r>
            <w:r>
              <w:rPr>
                <w:rStyle w:val="normaltextrun"/>
                <w:rFonts w:ascii="Calibri" w:hAnsi="Calibri" w:cs="Calibri"/>
                <w:color w:val="000000"/>
                <w:sz w:val="22"/>
                <w:szCs w:val="22"/>
                <w:shd w:val="clear" w:color="auto" w:fill="FFFFFF"/>
              </w:rPr>
              <w:t xml:space="preserve">illing practices within the program and agency that follow insurers’ procedures and </w:t>
            </w:r>
            <w:r>
              <w:rPr>
                <w:rStyle w:val="normaltextrun"/>
                <w:rFonts w:ascii="Calibri" w:hAnsi="Calibri" w:cs="Calibri"/>
                <w:color w:val="000000"/>
                <w:sz w:val="22"/>
                <w:szCs w:val="22"/>
                <w:shd w:val="clear" w:color="auto" w:fill="FFFFFF"/>
              </w:rPr>
              <w:lastRenderedPageBreak/>
              <w:t>billing rules prior to submission to DPH as a payor of last resort. </w:t>
            </w:r>
            <w:r>
              <w:rPr>
                <w:rStyle w:val="eop"/>
                <w:rFonts w:ascii="Calibri" w:hAnsi="Calibri" w:cs="Calibri"/>
                <w:color w:val="000000"/>
                <w:sz w:val="22"/>
                <w:szCs w:val="22"/>
              </w:rPr>
              <w:t> </w:t>
            </w:r>
          </w:p>
          <w:p w14:paraId="6E165158" w14:textId="77777777" w:rsidR="00F53C45" w:rsidRDefault="00F53C45" w:rsidP="00A32BE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This includes a policy and plan to ensure the validity and integrity of billing to public insurance, private insurance and DPH and an insurance verification process including confirmation of insurance eligibility, EI Benefit Coverage, and Insurance Plan options. </w:t>
            </w:r>
            <w:r>
              <w:rPr>
                <w:rStyle w:val="eop"/>
                <w:rFonts w:ascii="Calibri" w:hAnsi="Calibri" w:cs="Calibri"/>
                <w:color w:val="000000"/>
                <w:sz w:val="22"/>
                <w:szCs w:val="22"/>
              </w:rPr>
              <w:t> </w:t>
            </w:r>
          </w:p>
          <w:p w14:paraId="693B9D05" w14:textId="77777777" w:rsidR="00F53C45" w:rsidRDefault="00F53C45" w:rsidP="00A32BE3">
            <w:pPr>
              <w:textAlignment w:val="baseline"/>
              <w:rPr>
                <w:rFonts w:ascii="Calibri" w:hAnsi="Calibri" w:cs="Calibri"/>
                <w:sz w:val="22"/>
                <w:szCs w:val="22"/>
              </w:rPr>
            </w:pPr>
          </w:p>
          <w:p w14:paraId="2F03B2FE" w14:textId="77777777" w:rsidR="00F53C45" w:rsidRDefault="00F53C45" w:rsidP="00A32BE3">
            <w:pPr>
              <w:textAlignment w:val="baseline"/>
              <w:rPr>
                <w:szCs w:val="24"/>
              </w:rPr>
            </w:pPr>
          </w:p>
          <w:p w14:paraId="3BF67C83" w14:textId="77777777" w:rsidR="00F53C45" w:rsidRPr="00D6547D" w:rsidRDefault="00F53C45" w:rsidP="00A32BE3">
            <w:pPr>
              <w:textAlignment w:val="baseline"/>
              <w:rPr>
                <w:rFonts w:asciiTheme="minorHAnsi" w:hAnsiTheme="minorHAnsi" w:cstheme="minorHAnsi"/>
                <w:sz w:val="22"/>
                <w:szCs w:val="22"/>
              </w:rPr>
            </w:pPr>
            <w:r w:rsidRPr="002C731A">
              <w:rPr>
                <w:rFonts w:asciiTheme="minorHAnsi" w:hAnsiTheme="minorHAnsi" w:cstheme="minorHAnsi"/>
                <w:sz w:val="22"/>
                <w:szCs w:val="22"/>
              </w:rPr>
              <w:t>I</w:t>
            </w:r>
            <w:r w:rsidRPr="00D31D8F">
              <w:rPr>
                <w:rFonts w:asciiTheme="minorHAnsi" w:hAnsiTheme="minorHAnsi" w:cstheme="minorHAnsi"/>
                <w:sz w:val="22"/>
                <w:szCs w:val="22"/>
              </w:rPr>
              <w:t>n addition,</w:t>
            </w:r>
            <w:r>
              <w:rPr>
                <w:rFonts w:asciiTheme="minorHAnsi" w:hAnsiTheme="minorHAnsi" w:cstheme="minorHAnsi"/>
              </w:rPr>
              <w:t xml:space="preserve"> </w:t>
            </w:r>
            <w:r>
              <w:rPr>
                <w:rFonts w:asciiTheme="minorHAnsi" w:hAnsiTheme="minorHAnsi" w:cstheme="minorHAnsi"/>
                <w:sz w:val="22"/>
                <w:szCs w:val="22"/>
              </w:rPr>
              <w:t>in the record review, DPH found one instance of batch billing.</w:t>
            </w:r>
          </w:p>
          <w:p w14:paraId="7A1376F1" w14:textId="77777777" w:rsidR="00F53C45" w:rsidRPr="0048299D" w:rsidRDefault="00F53C45" w:rsidP="00A32BE3">
            <w:pPr>
              <w:textAlignment w:val="baseline"/>
              <w:rPr>
                <w:rFonts w:asciiTheme="minorHAnsi" w:hAnsiTheme="minorHAnsi" w:cstheme="minorHAnsi"/>
                <w:sz w:val="22"/>
                <w:szCs w:val="22"/>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57C6F515" w14:textId="77777777" w:rsidR="00F53C45" w:rsidRDefault="00F53C45" w:rsidP="00A32BE3">
            <w:pPr>
              <w:pStyle w:val="paragraph"/>
              <w:spacing w:before="0" w:beforeAutospacing="0" w:after="0" w:afterAutospacing="0"/>
              <w:textAlignment w:val="baseline"/>
              <w:rPr>
                <w:rStyle w:val="eop"/>
                <w:rFonts w:ascii="Calibri" w:hAnsi="Calibri" w:cs="Calibri"/>
                <w:sz w:val="22"/>
                <w:szCs w:val="22"/>
              </w:rPr>
            </w:pPr>
            <w:r>
              <w:rPr>
                <w:rStyle w:val="eop"/>
                <w:rFonts w:ascii="Calibri" w:hAnsi="Calibri" w:cs="Calibri"/>
                <w:sz w:val="22"/>
                <w:szCs w:val="22"/>
              </w:rPr>
              <w:lastRenderedPageBreak/>
              <w:t>3.1</w:t>
            </w:r>
          </w:p>
          <w:p w14:paraId="06B51873" w14:textId="77777777" w:rsidR="00F53C45" w:rsidRDefault="00F53C45" w:rsidP="00A32BE3">
            <w:pPr>
              <w:pStyle w:val="paragraph"/>
              <w:spacing w:before="0" w:beforeAutospacing="0" w:after="0" w:afterAutospacing="0"/>
              <w:textAlignment w:val="baseline"/>
              <w:rPr>
                <w:rFonts w:ascii="Segoe UI" w:hAnsi="Segoe UI" w:cs="Segoe UI"/>
                <w:sz w:val="18"/>
                <w:szCs w:val="18"/>
              </w:rPr>
            </w:pPr>
          </w:p>
          <w:p w14:paraId="6C77A3E1" w14:textId="77777777" w:rsidR="00F53C45" w:rsidRDefault="00F53C45" w:rsidP="00A32BE3">
            <w:pPr>
              <w:pStyle w:val="paragraph"/>
              <w:spacing w:before="0" w:beforeAutospacing="0" w:after="0" w:afterAutospacing="0"/>
              <w:textAlignment w:val="baseline"/>
              <w:rPr>
                <w:rFonts w:ascii="Segoe UI" w:hAnsi="Segoe UI" w:cs="Segoe UI"/>
                <w:sz w:val="18"/>
                <w:szCs w:val="18"/>
              </w:rPr>
            </w:pPr>
            <w:r w:rsidRPr="001A3099">
              <w:rPr>
                <w:rStyle w:val="normaltextrun"/>
                <w:rFonts w:ascii="Calibri" w:hAnsi="Calibri" w:cs="Calibri"/>
                <w:color w:val="000000"/>
                <w:sz w:val="22"/>
                <w:szCs w:val="22"/>
              </w:rPr>
              <w:t>The EI Division finds that the EIS program does not have policies and procedures to submit accurate charge and encounter claims and a system that is reasonably designed to ensure that</w:t>
            </w:r>
            <w:r>
              <w:rPr>
                <w:rStyle w:val="normaltextrun"/>
                <w:rFonts w:ascii="Calibri" w:hAnsi="Calibri" w:cs="Calibri"/>
                <w:color w:val="000000"/>
                <w:sz w:val="22"/>
                <w:szCs w:val="22"/>
              </w:rPr>
              <w:t xml:space="preserve"> services on the claim are not bundled regardless of how they were submitted to another payor as required by (34 CFR </w:t>
            </w:r>
            <w:r>
              <w:rPr>
                <w:rStyle w:val="normaltextrun"/>
                <w:rFonts w:ascii="Calibri" w:hAnsi="Calibri" w:cs="Calibri"/>
                <w:color w:val="000000"/>
                <w:sz w:val="22"/>
                <w:szCs w:val="22"/>
              </w:rPr>
              <w:lastRenderedPageBreak/>
              <w:t>303.510(a)) and the Reimbursement Policy Manual for EI Services, Pg. 16, Claims Processing Validations and Page 30.</w:t>
            </w:r>
            <w:r>
              <w:rPr>
                <w:rStyle w:val="eop"/>
                <w:rFonts w:ascii="Calibri" w:hAnsi="Calibri" w:cs="Calibri"/>
                <w:color w:val="000000"/>
                <w:sz w:val="22"/>
                <w:szCs w:val="22"/>
              </w:rPr>
              <w:t> </w:t>
            </w:r>
          </w:p>
          <w:p w14:paraId="44D6E01B" w14:textId="77777777" w:rsidR="00F53C45" w:rsidRDefault="00F53C45" w:rsidP="00A32BE3">
            <w:pPr>
              <w:textAlignment w:val="baseline"/>
              <w:rPr>
                <w:rFonts w:asciiTheme="minorHAnsi" w:hAnsiTheme="minorHAnsi" w:cstheme="minorHAnsi"/>
                <w:szCs w:val="24"/>
              </w:rPr>
            </w:pPr>
          </w:p>
          <w:p w14:paraId="02603EE8" w14:textId="77777777" w:rsidR="00F53C45" w:rsidRPr="00C24B1D" w:rsidRDefault="00F53C45" w:rsidP="00A32BE3">
            <w:pPr>
              <w:textAlignment w:val="baseline"/>
              <w:rPr>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415A0E9E" w14:textId="77777777" w:rsidR="00F53C45" w:rsidRDefault="00F53C45" w:rsidP="00A32BE3">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lastRenderedPageBreak/>
              <w:t>3.1</w:t>
            </w:r>
          </w:p>
          <w:p w14:paraId="36EF900E" w14:textId="77777777" w:rsidR="00F53C45" w:rsidRDefault="00F53C45" w:rsidP="00A32BE3">
            <w:pPr>
              <w:pStyle w:val="paragraph"/>
              <w:spacing w:before="0" w:beforeAutospacing="0" w:after="0" w:afterAutospacing="0"/>
              <w:textAlignment w:val="baseline"/>
              <w:rPr>
                <w:rStyle w:val="normaltextrun"/>
                <w:rFonts w:ascii="Calibri" w:hAnsi="Calibri" w:cs="Calibri"/>
                <w:sz w:val="22"/>
                <w:szCs w:val="22"/>
              </w:rPr>
            </w:pPr>
          </w:p>
          <w:p w14:paraId="1B2453BA" w14:textId="6788F9DE" w:rsidR="00F53C45" w:rsidRPr="009943BC" w:rsidRDefault="0718D72C" w:rsidP="63B388FB">
            <w:pPr>
              <w:textAlignment w:val="baseline"/>
              <w:rPr>
                <w:rFonts w:asciiTheme="minorHAnsi" w:hAnsiTheme="minorHAnsi" w:cstheme="minorBidi"/>
                <w:sz w:val="22"/>
                <w:szCs w:val="22"/>
              </w:rPr>
            </w:pPr>
            <w:r w:rsidRPr="63B388FB">
              <w:rPr>
                <w:rFonts w:ascii="Calibri" w:hAnsi="Calibri" w:cs="Calibri"/>
                <w:sz w:val="22"/>
                <w:szCs w:val="22"/>
              </w:rPr>
              <w:t>CORRECTED and CLOSED</w:t>
            </w:r>
            <w:r w:rsidRPr="63B388FB">
              <w:rPr>
                <w:rFonts w:asciiTheme="minorHAnsi" w:hAnsiTheme="minorHAnsi" w:cstheme="minorBidi"/>
                <w:sz w:val="22"/>
                <w:szCs w:val="22"/>
              </w:rPr>
              <w:t xml:space="preserve"> </w:t>
            </w:r>
          </w:p>
          <w:p w14:paraId="5BACB4CD" w14:textId="77777777" w:rsidR="00F53C45" w:rsidRPr="00C24B1D" w:rsidRDefault="00F53C45" w:rsidP="00A32BE3">
            <w:pPr>
              <w:textAlignment w:val="baseline"/>
              <w:rPr>
                <w:szCs w:val="24"/>
              </w:rPr>
            </w:pPr>
          </w:p>
        </w:tc>
      </w:tr>
      <w:tr w:rsidR="00F53C45" w:rsidRPr="00C24B1D" w14:paraId="3C4B13DE" w14:textId="77777777" w:rsidTr="63B388FB">
        <w:trPr>
          <w:trHeight w:val="300"/>
        </w:trPr>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398087F3" w14:textId="77777777" w:rsidR="00F53C45" w:rsidRPr="00D147EC" w:rsidRDefault="00F53C45" w:rsidP="00A32BE3">
            <w:pPr>
              <w:textAlignment w:val="baseline"/>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lastRenderedPageBreak/>
              <w:t xml:space="preserve">3.2 </w:t>
            </w:r>
            <w:r w:rsidRPr="00D147EC">
              <w:rPr>
                <w:rFonts w:asciiTheme="minorHAnsi" w:hAnsiTheme="minorHAnsi" w:cstheme="minorHAnsi"/>
                <w:b/>
                <w:bCs/>
                <w:color w:val="000000" w:themeColor="text1"/>
                <w:sz w:val="22"/>
                <w:szCs w:val="22"/>
              </w:rPr>
              <w:t>Fiscal Responsibility (Staff Credentialing)</w:t>
            </w:r>
          </w:p>
          <w:p w14:paraId="12EC4FA5" w14:textId="77777777" w:rsidR="00F53C45" w:rsidRPr="00013C21" w:rsidRDefault="00F53C45" w:rsidP="00A32BE3">
            <w:pPr>
              <w:textAlignment w:val="baseline"/>
              <w:rPr>
                <w:rFonts w:asciiTheme="minorHAnsi" w:hAnsiTheme="minorHAnsi" w:cstheme="minorHAnsi"/>
                <w:color w:val="000000" w:themeColor="text1"/>
                <w:sz w:val="22"/>
                <w:szCs w:val="22"/>
              </w:rPr>
            </w:pPr>
          </w:p>
          <w:p w14:paraId="0EB822AB" w14:textId="77777777" w:rsidR="00F53C45" w:rsidRPr="00D31D8F" w:rsidRDefault="00F53C45" w:rsidP="00A32BE3">
            <w:pPr>
              <w:textAlignment w:val="baseline"/>
              <w:rPr>
                <w:rFonts w:asciiTheme="minorHAnsi" w:hAnsiTheme="minorHAnsi" w:cstheme="minorHAnsi"/>
                <w:color w:val="000000" w:themeColor="text1"/>
                <w:sz w:val="22"/>
                <w:szCs w:val="22"/>
              </w:rPr>
            </w:pPr>
            <w:r w:rsidRPr="00D31D8F">
              <w:rPr>
                <w:rFonts w:asciiTheme="minorHAnsi" w:hAnsiTheme="minorHAnsi" w:cstheme="minorHAnsi"/>
                <w:sz w:val="22"/>
                <w:szCs w:val="22"/>
              </w:rPr>
              <w:lastRenderedPageBreak/>
              <w:t>303.31 Qualified personnel.</w:t>
            </w:r>
          </w:p>
          <w:p w14:paraId="4916B6AA" w14:textId="77777777" w:rsidR="00F53C45" w:rsidRPr="00D31D8F" w:rsidRDefault="00F53C45" w:rsidP="00A32BE3">
            <w:pPr>
              <w:shd w:val="clear" w:color="auto" w:fill="FFFFFF"/>
              <w:rPr>
                <w:rFonts w:asciiTheme="minorHAnsi" w:hAnsiTheme="minorHAnsi" w:cstheme="minorHAnsi"/>
                <w:sz w:val="22"/>
                <w:szCs w:val="22"/>
              </w:rPr>
            </w:pPr>
            <w:r w:rsidRPr="00D31D8F">
              <w:rPr>
                <w:rFonts w:asciiTheme="minorHAnsi" w:hAnsiTheme="minorHAnsi" w:cstheme="minorHAnsi"/>
                <w:sz w:val="22"/>
                <w:szCs w:val="22"/>
              </w:rPr>
              <w:t>Qualified personnel means personnel who have met State approved or recognized certification, licensing, registration, or other comparable requirements that apply to the areas in which the individuals are conducting evaluations or assessments or providing early intervention services.</w:t>
            </w:r>
          </w:p>
          <w:p w14:paraId="076A689C" w14:textId="77777777" w:rsidR="00F53C45" w:rsidRDefault="00F53C45" w:rsidP="00A32BE3">
            <w:pPr>
              <w:textAlignment w:val="baseline"/>
              <w:rPr>
                <w:rFonts w:asciiTheme="minorHAnsi" w:hAnsiTheme="minorHAnsi" w:cstheme="minorHAnsi"/>
                <w:color w:val="000000" w:themeColor="text1"/>
              </w:rPr>
            </w:pPr>
          </w:p>
          <w:p w14:paraId="183BDBC7" w14:textId="77777777" w:rsidR="00F53C45" w:rsidRPr="009C1096" w:rsidRDefault="00F53C45" w:rsidP="00A32BE3">
            <w:pPr>
              <w:textAlignment w:val="baseline"/>
              <w:rPr>
                <w:rFonts w:asciiTheme="minorHAnsi" w:hAnsiTheme="minorHAnsi" w:cstheme="minorHAnsi"/>
                <w:color w:val="000000" w:themeColor="text1"/>
                <w:sz w:val="22"/>
                <w:szCs w:val="22"/>
              </w:rPr>
            </w:pPr>
            <w:r w:rsidRPr="009C1096">
              <w:rPr>
                <w:rFonts w:asciiTheme="minorHAnsi" w:hAnsiTheme="minorHAnsi" w:cstheme="minorHAnsi"/>
                <w:color w:val="000000" w:themeColor="text1"/>
                <w:sz w:val="22"/>
                <w:szCs w:val="22"/>
              </w:rPr>
              <w:t>Early Intervention programs will make positive efforts to hire and advance qualified staff in various roles (professional, supportive, and administrative) to provide services that reflect the diversity of enrolled children, their families, and the community served. Personnel records for each staff member are maintained, which include but are not limited to:</w:t>
            </w:r>
          </w:p>
          <w:p w14:paraId="4B6B101F" w14:textId="77777777" w:rsidR="00F53C45" w:rsidRPr="00DD17EB" w:rsidRDefault="00F53C45" w:rsidP="00A32BE3">
            <w:pP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a. </w:t>
            </w:r>
            <w:r w:rsidRPr="00DD17EB">
              <w:rPr>
                <w:rFonts w:asciiTheme="minorHAnsi" w:hAnsiTheme="minorHAnsi" w:cstheme="minorHAnsi"/>
                <w:color w:val="000000" w:themeColor="text1"/>
                <w:sz w:val="22"/>
                <w:szCs w:val="22"/>
              </w:rPr>
              <w:t>employee’s résumé or job application,</w:t>
            </w:r>
          </w:p>
          <w:p w14:paraId="65566341" w14:textId="77777777" w:rsidR="00F53C45" w:rsidRPr="00013C21" w:rsidRDefault="00F53C45" w:rsidP="00A32BE3">
            <w:pPr>
              <w:textAlignment w:val="baseline"/>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b. </w:t>
            </w:r>
            <w:r w:rsidRPr="009C1096">
              <w:rPr>
                <w:rFonts w:asciiTheme="minorHAnsi" w:hAnsiTheme="minorHAnsi" w:cstheme="minorHAnsi"/>
                <w:color w:val="000000" w:themeColor="text1"/>
                <w:sz w:val="22"/>
                <w:szCs w:val="22"/>
              </w:rPr>
              <w:t xml:space="preserve">documentation that the employee has met the credentialing requirements, </w:t>
            </w:r>
          </w:p>
          <w:p w14:paraId="3E2AA754" w14:textId="77777777" w:rsidR="00F53C45" w:rsidRPr="00013C21" w:rsidRDefault="00F53C45" w:rsidP="00A32BE3">
            <w:pPr>
              <w:textAlignment w:val="baseline"/>
              <w:rPr>
                <w:rFonts w:asciiTheme="minorHAnsi" w:hAnsiTheme="minorHAnsi" w:cstheme="minorHAnsi"/>
                <w:color w:val="000000" w:themeColor="text1"/>
                <w:sz w:val="22"/>
                <w:szCs w:val="22"/>
              </w:rPr>
            </w:pPr>
            <w:r w:rsidRPr="00013C21">
              <w:rPr>
                <w:rFonts w:asciiTheme="minorHAnsi" w:hAnsiTheme="minorHAnsi" w:cstheme="minorHAnsi"/>
                <w:color w:val="000000" w:themeColor="text1"/>
                <w:sz w:val="22"/>
                <w:szCs w:val="22"/>
              </w:rPr>
              <w:t>(EIOS Section XII B. 2. Pg. 58)</w:t>
            </w: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05621EE1" w14:textId="77777777" w:rsidR="00F53C45" w:rsidRDefault="00F53C45" w:rsidP="00A32BE3">
            <w:pPr>
              <w:textAlignment w:val="baseline"/>
              <w:rPr>
                <w:rFonts w:ascii="Calibri" w:hAnsi="Calibri" w:cs="Calibri"/>
                <w:sz w:val="22"/>
                <w:szCs w:val="22"/>
              </w:rPr>
            </w:pPr>
            <w:r>
              <w:rPr>
                <w:rFonts w:ascii="Calibri" w:hAnsi="Calibri" w:cs="Calibri"/>
                <w:sz w:val="22"/>
                <w:szCs w:val="22"/>
              </w:rPr>
              <w:lastRenderedPageBreak/>
              <w:t>3.2</w:t>
            </w:r>
          </w:p>
          <w:p w14:paraId="20475DA8" w14:textId="77777777" w:rsidR="00F53C45" w:rsidRDefault="00F53C45" w:rsidP="00A32BE3">
            <w:pPr>
              <w:textAlignment w:val="baseline"/>
              <w:rPr>
                <w:rFonts w:ascii="Calibri" w:hAnsi="Calibri" w:cs="Calibri"/>
                <w:sz w:val="22"/>
                <w:szCs w:val="22"/>
              </w:rPr>
            </w:pPr>
          </w:p>
          <w:p w14:paraId="6CE0A72F" w14:textId="77777777" w:rsidR="00F53C45" w:rsidRDefault="00F53C45" w:rsidP="00A32BE3">
            <w:pPr>
              <w:textAlignment w:val="baseline"/>
              <w:rPr>
                <w:rFonts w:ascii="Calibri" w:hAnsi="Calibri" w:cs="Calibri"/>
                <w:sz w:val="22"/>
                <w:szCs w:val="22"/>
              </w:rPr>
            </w:pPr>
          </w:p>
          <w:p w14:paraId="017A95E9" w14:textId="77777777" w:rsidR="00F53C45" w:rsidRPr="00EE1C23" w:rsidRDefault="00F53C45" w:rsidP="00A32BE3">
            <w:pPr>
              <w:textAlignment w:val="baseline"/>
              <w:rPr>
                <w:rFonts w:ascii="Calibri" w:hAnsi="Calibri" w:cs="Calibri"/>
                <w:sz w:val="22"/>
                <w:szCs w:val="22"/>
              </w:rPr>
            </w:pPr>
            <w:r>
              <w:rPr>
                <w:rFonts w:ascii="Calibri" w:hAnsi="Calibri" w:cs="Calibri"/>
                <w:sz w:val="22"/>
                <w:szCs w:val="22"/>
              </w:rPr>
              <w:lastRenderedPageBreak/>
              <w:t xml:space="preserve">In the policy review, DPH found that the submitted policy lacked detail supporting how the program ensures </w:t>
            </w:r>
            <w:r w:rsidRPr="00013C21">
              <w:rPr>
                <w:rFonts w:asciiTheme="minorHAnsi" w:hAnsiTheme="minorHAnsi" w:cstheme="minorHAnsi"/>
                <w:color w:val="000000" w:themeColor="text1"/>
                <w:sz w:val="22"/>
                <w:szCs w:val="22"/>
              </w:rPr>
              <w:t>staff credentials and licensures are up to date</w:t>
            </w:r>
            <w:r>
              <w:rPr>
                <w:rFonts w:asciiTheme="minorHAnsi" w:hAnsiTheme="minorHAnsi" w:cstheme="minorHAnsi"/>
                <w:color w:val="000000" w:themeColor="text1"/>
                <w:sz w:val="22"/>
                <w:szCs w:val="22"/>
              </w:rPr>
              <w:t>.</w:t>
            </w:r>
          </w:p>
          <w:p w14:paraId="56D5CB68" w14:textId="77777777" w:rsidR="00F53C45" w:rsidRPr="00C24B1D" w:rsidRDefault="00F53C45" w:rsidP="00A32BE3">
            <w:pPr>
              <w:textAlignment w:val="baseline"/>
              <w:rPr>
                <w:szCs w:val="24"/>
              </w:rPr>
            </w:pP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62E944B9" w14:textId="77777777" w:rsidR="00F53C45" w:rsidRDefault="00F53C45" w:rsidP="00A32BE3">
            <w:pPr>
              <w:textAlignment w:val="baseline"/>
              <w:rPr>
                <w:rFonts w:ascii="Calibri" w:hAnsi="Calibri" w:cs="Calibri"/>
                <w:sz w:val="22"/>
                <w:szCs w:val="22"/>
              </w:rPr>
            </w:pPr>
            <w:r>
              <w:rPr>
                <w:rFonts w:ascii="Calibri" w:hAnsi="Calibri" w:cs="Calibri"/>
                <w:sz w:val="22"/>
                <w:szCs w:val="22"/>
              </w:rPr>
              <w:lastRenderedPageBreak/>
              <w:t>3.2</w:t>
            </w:r>
          </w:p>
          <w:p w14:paraId="29FE60C0" w14:textId="77777777" w:rsidR="00F53C45" w:rsidRDefault="00F53C45" w:rsidP="00A32BE3">
            <w:pPr>
              <w:textAlignment w:val="baseline"/>
              <w:rPr>
                <w:rFonts w:ascii="Calibri" w:hAnsi="Calibri" w:cs="Calibri"/>
                <w:sz w:val="22"/>
                <w:szCs w:val="22"/>
              </w:rPr>
            </w:pPr>
          </w:p>
          <w:p w14:paraId="1ED25CAD" w14:textId="77777777" w:rsidR="00F53C45" w:rsidRDefault="00F53C45" w:rsidP="00A32BE3">
            <w:pPr>
              <w:textAlignment w:val="baseline"/>
              <w:rPr>
                <w:rFonts w:ascii="Calibri" w:hAnsi="Calibri" w:cs="Calibri"/>
                <w:sz w:val="22"/>
                <w:szCs w:val="22"/>
              </w:rPr>
            </w:pPr>
          </w:p>
          <w:p w14:paraId="073A11CC" w14:textId="77777777" w:rsidR="00F53C45" w:rsidRPr="00C24B1D" w:rsidRDefault="00F53C45" w:rsidP="00A32BE3">
            <w:pPr>
              <w:textAlignment w:val="baseline"/>
              <w:rPr>
                <w:szCs w:val="24"/>
              </w:rPr>
            </w:pPr>
            <w:r>
              <w:rPr>
                <w:rFonts w:ascii="Calibri" w:hAnsi="Calibri" w:cs="Calibri"/>
                <w:sz w:val="22"/>
                <w:szCs w:val="22"/>
              </w:rPr>
              <w:lastRenderedPageBreak/>
              <w:t>The EI Division finds that the EIS program does not have a documented policy around the ongoing process of ensuring staff licenses are up to date.</w:t>
            </w:r>
          </w:p>
        </w:tc>
        <w:tc>
          <w:tcPr>
            <w:tcW w:w="1250" w:type="pct"/>
            <w:tcBorders>
              <w:top w:val="single" w:sz="6" w:space="0" w:color="auto"/>
              <w:left w:val="single" w:sz="6" w:space="0" w:color="auto"/>
              <w:bottom w:val="single" w:sz="6" w:space="0" w:color="auto"/>
              <w:right w:val="single" w:sz="6" w:space="0" w:color="auto"/>
            </w:tcBorders>
            <w:shd w:val="clear" w:color="auto" w:fill="auto"/>
            <w:hideMark/>
          </w:tcPr>
          <w:p w14:paraId="59C97462" w14:textId="77777777" w:rsidR="00F53C45" w:rsidRDefault="00F53C45" w:rsidP="00A32BE3">
            <w:pPr>
              <w:textAlignment w:val="baseline"/>
              <w:rPr>
                <w:rFonts w:ascii="Calibri" w:hAnsi="Calibri" w:cs="Calibri"/>
                <w:sz w:val="22"/>
                <w:szCs w:val="22"/>
              </w:rPr>
            </w:pPr>
            <w:r>
              <w:rPr>
                <w:rFonts w:ascii="Calibri" w:hAnsi="Calibri" w:cs="Calibri"/>
                <w:sz w:val="22"/>
                <w:szCs w:val="22"/>
              </w:rPr>
              <w:lastRenderedPageBreak/>
              <w:t>3.2</w:t>
            </w:r>
          </w:p>
          <w:p w14:paraId="2082B310" w14:textId="77777777" w:rsidR="00F53C45" w:rsidRDefault="00F53C45" w:rsidP="00A32BE3">
            <w:pPr>
              <w:textAlignment w:val="baseline"/>
              <w:rPr>
                <w:rFonts w:ascii="Calibri" w:hAnsi="Calibri" w:cs="Calibri"/>
                <w:sz w:val="22"/>
                <w:szCs w:val="22"/>
              </w:rPr>
            </w:pPr>
          </w:p>
          <w:p w14:paraId="511C3006" w14:textId="77777777" w:rsidR="00F53C45" w:rsidRDefault="00F53C45" w:rsidP="00A32BE3">
            <w:pPr>
              <w:pStyle w:val="paragraph"/>
              <w:spacing w:before="0" w:beforeAutospacing="0" w:after="0" w:afterAutospacing="0"/>
              <w:textAlignment w:val="baseline"/>
              <w:rPr>
                <w:rFonts w:ascii="Segoe UI" w:hAnsi="Segoe UI" w:cs="Segoe UI"/>
                <w:sz w:val="18"/>
                <w:szCs w:val="18"/>
              </w:rPr>
            </w:pPr>
            <w:r w:rsidRPr="63B388FB">
              <w:rPr>
                <w:rStyle w:val="eop"/>
                <w:rFonts w:ascii="Calibri" w:hAnsi="Calibri" w:cs="Calibri"/>
                <w:sz w:val="22"/>
                <w:szCs w:val="22"/>
              </w:rPr>
              <w:t> </w:t>
            </w:r>
          </w:p>
          <w:p w14:paraId="37791C9A" w14:textId="6F2B544C" w:rsidR="00F53C45" w:rsidRPr="009943BC" w:rsidRDefault="24458B58" w:rsidP="63B388FB">
            <w:pPr>
              <w:textAlignment w:val="baseline"/>
              <w:rPr>
                <w:rFonts w:ascii="Calibri" w:hAnsi="Calibri" w:cs="Calibri"/>
                <w:sz w:val="22"/>
                <w:szCs w:val="22"/>
              </w:rPr>
            </w:pPr>
            <w:r w:rsidRPr="63B388FB">
              <w:rPr>
                <w:rFonts w:ascii="Calibri" w:hAnsi="Calibri" w:cs="Calibri"/>
                <w:sz w:val="22"/>
                <w:szCs w:val="22"/>
              </w:rPr>
              <w:lastRenderedPageBreak/>
              <w:t xml:space="preserve">CORRECTED and CLOSED </w:t>
            </w:r>
          </w:p>
        </w:tc>
      </w:tr>
    </w:tbl>
    <w:p w14:paraId="0ABF701C" w14:textId="77777777" w:rsidR="003815E7" w:rsidRDefault="003815E7" w:rsidP="00436F8C">
      <w:pPr>
        <w:pStyle w:val="NoSpacing"/>
        <w:jc w:val="center"/>
        <w:rPr>
          <w:rFonts w:cs="Times New Roman"/>
          <w:b/>
          <w:sz w:val="28"/>
          <w:szCs w:val="28"/>
        </w:rPr>
      </w:pPr>
      <w:bookmarkStart w:id="0" w:name="_Hlk146484159"/>
      <w:bookmarkEnd w:id="0"/>
    </w:p>
    <w:sectPr w:rsidR="003815E7" w:rsidSect="000E4A20">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FD12A" w14:textId="77777777" w:rsidR="00F3454D" w:rsidRDefault="00F3454D" w:rsidP="004500C5">
      <w:r>
        <w:separator/>
      </w:r>
    </w:p>
  </w:endnote>
  <w:endnote w:type="continuationSeparator" w:id="0">
    <w:p w14:paraId="4B988159" w14:textId="77777777" w:rsidR="00F3454D" w:rsidRDefault="00F3454D" w:rsidP="004500C5">
      <w:r>
        <w:continuationSeparator/>
      </w:r>
    </w:p>
  </w:endnote>
  <w:endnote w:type="continuationNotice" w:id="1">
    <w:p w14:paraId="0A6023C0" w14:textId="77777777" w:rsidR="00F3454D" w:rsidRDefault="00F34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Fairwater Script">
    <w:charset w:val="00"/>
    <w:family w:val="auto"/>
    <w:pitch w:val="variable"/>
    <w:sig w:usb0="A000002F" w:usb1="1000004B"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CDA00" w14:paraId="0B59A7D7" w14:textId="77777777" w:rsidTr="4BFCDA00">
      <w:trPr>
        <w:trHeight w:val="300"/>
      </w:trPr>
      <w:tc>
        <w:tcPr>
          <w:tcW w:w="3120" w:type="dxa"/>
        </w:tcPr>
        <w:p w14:paraId="736BA4F7" w14:textId="7E17840C" w:rsidR="4BFCDA00" w:rsidRDefault="4BFCDA00" w:rsidP="4BFCDA00">
          <w:pPr>
            <w:pStyle w:val="Header"/>
            <w:ind w:left="-115"/>
          </w:pPr>
        </w:p>
      </w:tc>
      <w:tc>
        <w:tcPr>
          <w:tcW w:w="3120" w:type="dxa"/>
        </w:tcPr>
        <w:p w14:paraId="2DC33F82" w14:textId="37BCEF11" w:rsidR="4BFCDA00" w:rsidRDefault="4BFCDA00" w:rsidP="4BFCDA00">
          <w:pPr>
            <w:pStyle w:val="Header"/>
            <w:jc w:val="center"/>
          </w:pPr>
        </w:p>
      </w:tc>
      <w:tc>
        <w:tcPr>
          <w:tcW w:w="3120" w:type="dxa"/>
        </w:tcPr>
        <w:p w14:paraId="075F67BC" w14:textId="2F73FA8B" w:rsidR="4BFCDA00" w:rsidRDefault="4BFCDA00" w:rsidP="4BFCDA00">
          <w:pPr>
            <w:pStyle w:val="Header"/>
            <w:ind w:right="-115"/>
            <w:jc w:val="right"/>
          </w:pPr>
        </w:p>
      </w:tc>
    </w:tr>
  </w:tbl>
  <w:p w14:paraId="3DCB3FF9" w14:textId="647ACB6F" w:rsidR="4BFCDA00" w:rsidRDefault="4BFCDA00" w:rsidP="4BFCDA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39477" w14:textId="77777777" w:rsidR="00F3454D" w:rsidRDefault="00F3454D" w:rsidP="004500C5">
      <w:r>
        <w:separator/>
      </w:r>
    </w:p>
  </w:footnote>
  <w:footnote w:type="continuationSeparator" w:id="0">
    <w:p w14:paraId="01E1D93D" w14:textId="77777777" w:rsidR="00F3454D" w:rsidRDefault="00F3454D" w:rsidP="004500C5">
      <w:r>
        <w:continuationSeparator/>
      </w:r>
    </w:p>
  </w:footnote>
  <w:footnote w:type="continuationNotice" w:id="1">
    <w:p w14:paraId="4EDCF702" w14:textId="77777777" w:rsidR="00F3454D" w:rsidRDefault="00F345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BFCDA00" w14:paraId="3CBE8C8C" w14:textId="77777777" w:rsidTr="4BFCDA00">
      <w:trPr>
        <w:trHeight w:val="300"/>
      </w:trPr>
      <w:tc>
        <w:tcPr>
          <w:tcW w:w="3120" w:type="dxa"/>
        </w:tcPr>
        <w:p w14:paraId="1DE695D0" w14:textId="52CA7EE7" w:rsidR="4BFCDA00" w:rsidRDefault="4BFCDA00" w:rsidP="4BFCDA00">
          <w:pPr>
            <w:pStyle w:val="Header"/>
            <w:ind w:left="-115"/>
          </w:pPr>
        </w:p>
      </w:tc>
      <w:tc>
        <w:tcPr>
          <w:tcW w:w="3120" w:type="dxa"/>
        </w:tcPr>
        <w:p w14:paraId="12E1C8C9" w14:textId="594DF6DF" w:rsidR="4BFCDA00" w:rsidRDefault="4BFCDA00" w:rsidP="4BFCDA00">
          <w:pPr>
            <w:pStyle w:val="Header"/>
            <w:jc w:val="center"/>
          </w:pPr>
        </w:p>
      </w:tc>
      <w:tc>
        <w:tcPr>
          <w:tcW w:w="3120" w:type="dxa"/>
        </w:tcPr>
        <w:p w14:paraId="08BC85CD" w14:textId="7895628F" w:rsidR="4BFCDA00" w:rsidRDefault="4BFCDA00" w:rsidP="4BFCDA00">
          <w:pPr>
            <w:pStyle w:val="Header"/>
            <w:ind w:right="-115"/>
            <w:jc w:val="right"/>
          </w:pPr>
        </w:p>
      </w:tc>
    </w:tr>
  </w:tbl>
  <w:p w14:paraId="769A3A1D" w14:textId="63F8362B" w:rsidR="4BFCDA00" w:rsidRDefault="4BFCDA00" w:rsidP="4BFCD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F453A"/>
    <w:multiLevelType w:val="hybridMultilevel"/>
    <w:tmpl w:val="44640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1C4EF6"/>
    <w:multiLevelType w:val="multilevel"/>
    <w:tmpl w:val="C03A00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C91ED0"/>
    <w:multiLevelType w:val="hybridMultilevel"/>
    <w:tmpl w:val="7EF87D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4CE6559"/>
    <w:multiLevelType w:val="hybridMultilevel"/>
    <w:tmpl w:val="BD5E45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647288">
    <w:abstractNumId w:val="3"/>
  </w:num>
  <w:num w:numId="2" w16cid:durableId="1045518703">
    <w:abstractNumId w:val="2"/>
  </w:num>
  <w:num w:numId="3" w16cid:durableId="543560263">
    <w:abstractNumId w:val="0"/>
  </w:num>
  <w:num w:numId="4" w16cid:durableId="1450390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67B0C"/>
    <w:rsid w:val="00077C2D"/>
    <w:rsid w:val="000A1DE1"/>
    <w:rsid w:val="000B7B1D"/>
    <w:rsid w:val="000B7D96"/>
    <w:rsid w:val="000E4A20"/>
    <w:rsid w:val="000F315B"/>
    <w:rsid w:val="001125C0"/>
    <w:rsid w:val="0015268B"/>
    <w:rsid w:val="0016688A"/>
    <w:rsid w:val="00177C77"/>
    <w:rsid w:val="001B6693"/>
    <w:rsid w:val="001E06D9"/>
    <w:rsid w:val="0021698C"/>
    <w:rsid w:val="0023696A"/>
    <w:rsid w:val="00260D54"/>
    <w:rsid w:val="00276957"/>
    <w:rsid w:val="00276DCC"/>
    <w:rsid w:val="002858B8"/>
    <w:rsid w:val="00287C14"/>
    <w:rsid w:val="002A132F"/>
    <w:rsid w:val="002B3227"/>
    <w:rsid w:val="002D1C21"/>
    <w:rsid w:val="00301022"/>
    <w:rsid w:val="00331752"/>
    <w:rsid w:val="00334DF9"/>
    <w:rsid w:val="00375EAD"/>
    <w:rsid w:val="003815E7"/>
    <w:rsid w:val="00385812"/>
    <w:rsid w:val="00392D0B"/>
    <w:rsid w:val="003A7AFC"/>
    <w:rsid w:val="003C60EF"/>
    <w:rsid w:val="003D1D15"/>
    <w:rsid w:val="00436F8C"/>
    <w:rsid w:val="004500C5"/>
    <w:rsid w:val="004735EB"/>
    <w:rsid w:val="004813AC"/>
    <w:rsid w:val="004B37A0"/>
    <w:rsid w:val="004B5CFB"/>
    <w:rsid w:val="004D6B39"/>
    <w:rsid w:val="004E0C3F"/>
    <w:rsid w:val="00512956"/>
    <w:rsid w:val="00530145"/>
    <w:rsid w:val="00533DD3"/>
    <w:rsid w:val="005448AA"/>
    <w:rsid w:val="00551977"/>
    <w:rsid w:val="005A1A95"/>
    <w:rsid w:val="005B452B"/>
    <w:rsid w:val="005D08E6"/>
    <w:rsid w:val="005F04C3"/>
    <w:rsid w:val="00636B8D"/>
    <w:rsid w:val="006410F1"/>
    <w:rsid w:val="006465D7"/>
    <w:rsid w:val="0064715F"/>
    <w:rsid w:val="006A32C5"/>
    <w:rsid w:val="006D06D9"/>
    <w:rsid w:val="006D77A6"/>
    <w:rsid w:val="00702109"/>
    <w:rsid w:val="0072610D"/>
    <w:rsid w:val="00757006"/>
    <w:rsid w:val="00770A3F"/>
    <w:rsid w:val="0079544E"/>
    <w:rsid w:val="007B3F4B"/>
    <w:rsid w:val="007B7347"/>
    <w:rsid w:val="007D10F3"/>
    <w:rsid w:val="007E278C"/>
    <w:rsid w:val="007F3CDB"/>
    <w:rsid w:val="00865A8F"/>
    <w:rsid w:val="00877D32"/>
    <w:rsid w:val="008B68C9"/>
    <w:rsid w:val="008F6E47"/>
    <w:rsid w:val="00924C12"/>
    <w:rsid w:val="009730E5"/>
    <w:rsid w:val="009908FF"/>
    <w:rsid w:val="009943BC"/>
    <w:rsid w:val="00995505"/>
    <w:rsid w:val="009B7E19"/>
    <w:rsid w:val="009C4428"/>
    <w:rsid w:val="009D48CD"/>
    <w:rsid w:val="00A067DB"/>
    <w:rsid w:val="00A126B9"/>
    <w:rsid w:val="00A31029"/>
    <w:rsid w:val="00A65101"/>
    <w:rsid w:val="00AF3AE0"/>
    <w:rsid w:val="00B1201A"/>
    <w:rsid w:val="00B403BF"/>
    <w:rsid w:val="00B448EA"/>
    <w:rsid w:val="00B608D9"/>
    <w:rsid w:val="00BA4055"/>
    <w:rsid w:val="00BA7FB6"/>
    <w:rsid w:val="00C01022"/>
    <w:rsid w:val="00C20BFE"/>
    <w:rsid w:val="00C46D29"/>
    <w:rsid w:val="00CA69CB"/>
    <w:rsid w:val="00CA6B7C"/>
    <w:rsid w:val="00CC1778"/>
    <w:rsid w:val="00CE575B"/>
    <w:rsid w:val="00CF3DE8"/>
    <w:rsid w:val="00D0493F"/>
    <w:rsid w:val="00D47AE8"/>
    <w:rsid w:val="00D55995"/>
    <w:rsid w:val="00D56F91"/>
    <w:rsid w:val="00D8671C"/>
    <w:rsid w:val="00D91390"/>
    <w:rsid w:val="00DA57C3"/>
    <w:rsid w:val="00DC3855"/>
    <w:rsid w:val="00DC389D"/>
    <w:rsid w:val="00DE2C6A"/>
    <w:rsid w:val="00DF7081"/>
    <w:rsid w:val="00E242A8"/>
    <w:rsid w:val="00E274B8"/>
    <w:rsid w:val="00E72707"/>
    <w:rsid w:val="00F029FA"/>
    <w:rsid w:val="00F0586E"/>
    <w:rsid w:val="00F1373F"/>
    <w:rsid w:val="00F3454D"/>
    <w:rsid w:val="00F43932"/>
    <w:rsid w:val="00F529FB"/>
    <w:rsid w:val="00F53C45"/>
    <w:rsid w:val="00F93545"/>
    <w:rsid w:val="00FA15D9"/>
    <w:rsid w:val="00FA575E"/>
    <w:rsid w:val="00FB6211"/>
    <w:rsid w:val="00FC6B42"/>
    <w:rsid w:val="01A2EDF1"/>
    <w:rsid w:val="0718D72C"/>
    <w:rsid w:val="14060E7C"/>
    <w:rsid w:val="16BCAAAE"/>
    <w:rsid w:val="1DC35ABA"/>
    <w:rsid w:val="24458B58"/>
    <w:rsid w:val="27731528"/>
    <w:rsid w:val="2B388BFA"/>
    <w:rsid w:val="2C9E435E"/>
    <w:rsid w:val="2D170817"/>
    <w:rsid w:val="325EFD86"/>
    <w:rsid w:val="4618209B"/>
    <w:rsid w:val="46197BC8"/>
    <w:rsid w:val="4B1D7FBA"/>
    <w:rsid w:val="4BFCDA00"/>
    <w:rsid w:val="4F1A6142"/>
    <w:rsid w:val="51E9D157"/>
    <w:rsid w:val="5DA30078"/>
    <w:rsid w:val="63B388FB"/>
    <w:rsid w:val="688AD746"/>
    <w:rsid w:val="6E544C3D"/>
    <w:rsid w:val="6F92FDAA"/>
    <w:rsid w:val="715B80EF"/>
    <w:rsid w:val="73D3EFEB"/>
    <w:rsid w:val="7505B276"/>
    <w:rsid w:val="76B30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F64532"/>
  <w15:chartTrackingRefBased/>
  <w15:docId w15:val="{0ED05482-ED92-4FF3-B31A-8A26ED14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otnoteReference">
    <w:name w:val="footnote reference"/>
    <w:rsid w:val="004500C5"/>
    <w:rPr>
      <w:vertAlign w:val="superscript"/>
    </w:rPr>
  </w:style>
  <w:style w:type="paragraph" w:styleId="NoSpacing">
    <w:name w:val="No Spacing"/>
    <w:uiPriority w:val="1"/>
    <w:qFormat/>
    <w:rsid w:val="00436F8C"/>
    <w:rPr>
      <w:rFonts w:asciiTheme="minorHAnsi" w:eastAsiaTheme="minorHAnsi" w:hAnsiTheme="minorHAnsi" w:cstheme="minorBidi"/>
      <w:sz w:val="22"/>
      <w:szCs w:val="22"/>
    </w:rPr>
  </w:style>
  <w:style w:type="paragraph" w:styleId="NormalWeb">
    <w:name w:val="Normal (Web)"/>
    <w:basedOn w:val="Normal"/>
    <w:uiPriority w:val="99"/>
    <w:unhideWhenUsed/>
    <w:rsid w:val="00436F8C"/>
    <w:pPr>
      <w:spacing w:before="100" w:beforeAutospacing="1" w:after="100" w:afterAutospacing="1"/>
    </w:pPr>
    <w:rPr>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CommentReference">
    <w:name w:val="annotation reference"/>
    <w:basedOn w:val="DefaultParagraphFont"/>
    <w:rsid w:val="009B7E19"/>
    <w:rPr>
      <w:sz w:val="16"/>
      <w:szCs w:val="16"/>
    </w:rPr>
  </w:style>
  <w:style w:type="paragraph" w:styleId="CommentText">
    <w:name w:val="annotation text"/>
    <w:basedOn w:val="Normal"/>
    <w:link w:val="CommentTextChar"/>
    <w:rsid w:val="009B7E19"/>
    <w:rPr>
      <w:sz w:val="20"/>
    </w:rPr>
  </w:style>
  <w:style w:type="character" w:customStyle="1" w:styleId="CommentTextChar">
    <w:name w:val="Comment Text Char"/>
    <w:basedOn w:val="DefaultParagraphFont"/>
    <w:link w:val="CommentText"/>
    <w:rsid w:val="009B7E19"/>
  </w:style>
  <w:style w:type="paragraph" w:styleId="CommentSubject">
    <w:name w:val="annotation subject"/>
    <w:basedOn w:val="CommentText"/>
    <w:next w:val="CommentText"/>
    <w:link w:val="CommentSubjectChar"/>
    <w:rsid w:val="009B7E19"/>
    <w:rPr>
      <w:b/>
      <w:bCs/>
    </w:rPr>
  </w:style>
  <w:style w:type="character" w:customStyle="1" w:styleId="CommentSubjectChar">
    <w:name w:val="Comment Subject Char"/>
    <w:basedOn w:val="CommentTextChar"/>
    <w:link w:val="CommentSubject"/>
    <w:rsid w:val="009B7E19"/>
    <w:rPr>
      <w:b/>
      <w:bCs/>
    </w:rPr>
  </w:style>
  <w:style w:type="paragraph" w:customStyle="1" w:styleId="paragraph">
    <w:name w:val="paragraph"/>
    <w:basedOn w:val="Normal"/>
    <w:rsid w:val="004735EB"/>
    <w:pPr>
      <w:spacing w:before="100" w:beforeAutospacing="1" w:after="100" w:afterAutospacing="1"/>
    </w:pPr>
    <w:rPr>
      <w:szCs w:val="24"/>
    </w:rPr>
  </w:style>
  <w:style w:type="character" w:customStyle="1" w:styleId="normaltextrun">
    <w:name w:val="normaltextrun"/>
    <w:basedOn w:val="DefaultParagraphFont"/>
    <w:rsid w:val="004735EB"/>
  </w:style>
  <w:style w:type="character" w:customStyle="1" w:styleId="eop">
    <w:name w:val="eop"/>
    <w:basedOn w:val="DefaultParagraphFont"/>
    <w:rsid w:val="001E06D9"/>
  </w:style>
  <w:style w:type="character" w:styleId="UnresolvedMention">
    <w:name w:val="Unresolved Mention"/>
    <w:basedOn w:val="DefaultParagraphFont"/>
    <w:uiPriority w:val="99"/>
    <w:semiHidden/>
    <w:unhideWhenUsed/>
    <w:rsid w:val="00D55995"/>
    <w:rPr>
      <w:color w:val="605E5C"/>
      <w:shd w:val="clear" w:color="auto" w:fill="E1DFDD"/>
    </w:rPr>
  </w:style>
  <w:style w:type="paragraph" w:styleId="ListParagraph">
    <w:name w:val="List Paragraph"/>
    <w:basedOn w:val="Normal"/>
    <w:uiPriority w:val="34"/>
    <w:qFormat/>
    <w:rsid w:val="00F53C45"/>
    <w:pPr>
      <w:ind w:left="720"/>
      <w:contextualSpacing/>
    </w:pPr>
  </w:style>
  <w:style w:type="paragraph" w:styleId="Revision">
    <w:name w:val="Revision"/>
    <w:hidden/>
    <w:uiPriority w:val="99"/>
    <w:semiHidden/>
    <w:rsid w:val="008F6E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ulie.longpre@mas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f585cda5f68478c85772a40e51703f67">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e1410639e3dacc3639984fbb6068a125"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ddd671-714d-4396-8854-beb75bf744c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5A701278-9C6E-460E-9B05-A7249679E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8</TotalTime>
  <Pages>7</Pages>
  <Words>1598</Words>
  <Characters>9112</Characters>
  <Application>Microsoft Office Word</Application>
  <DocSecurity>0</DocSecurity>
  <Lines>75</Lines>
  <Paragraphs>21</Paragraphs>
  <ScaleCrop>false</ScaleCrop>
  <Company>Commonwealth of Massachusetts</Company>
  <LinksUpToDate>false</LinksUpToDate>
  <CharactersWithSpaces>10689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Longpre, Julie (DPH)</cp:lastModifiedBy>
  <cp:revision>43</cp:revision>
  <cp:lastPrinted>2015-01-29T17:50:00Z</cp:lastPrinted>
  <dcterms:created xsi:type="dcterms:W3CDTF">2023-04-19T18:52:00Z</dcterms:created>
  <dcterms:modified xsi:type="dcterms:W3CDTF">2025-06-18T20:22:00Z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